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437BA" w14:textId="77777777" w:rsidR="00742755" w:rsidRPr="00C26E25" w:rsidRDefault="00742755" w:rsidP="00742755">
      <w:pPr>
        <w:pStyle w:val="Title"/>
      </w:pPr>
      <w:r w:rsidRPr="00C26E25">
        <w:t>Informatīvais ziņojums</w:t>
      </w:r>
    </w:p>
    <w:p w14:paraId="188A9E75" w14:textId="77777777" w:rsidR="00742755" w:rsidRPr="00C26E25" w:rsidRDefault="00742755" w:rsidP="00742755">
      <w:pPr>
        <w:spacing w:before="0" w:after="0" w:line="240" w:lineRule="auto"/>
        <w:jc w:val="center"/>
        <w:rPr>
          <w:b/>
          <w:bCs/>
          <w:sz w:val="28"/>
          <w:lang w:val="lv-LV"/>
        </w:rPr>
      </w:pPr>
    </w:p>
    <w:p w14:paraId="5F801126" w14:textId="7315F978" w:rsidR="00742755" w:rsidRPr="00C26E25" w:rsidRDefault="00742755" w:rsidP="00B557C5">
      <w:pPr>
        <w:spacing w:before="0" w:after="0" w:line="240" w:lineRule="auto"/>
        <w:ind w:firstLine="0"/>
        <w:jc w:val="center"/>
        <w:rPr>
          <w:b/>
          <w:bCs/>
          <w:sz w:val="28"/>
          <w:szCs w:val="24"/>
          <w:lang w:val="lv-LV"/>
        </w:rPr>
      </w:pPr>
      <w:r w:rsidRPr="00C26E25">
        <w:rPr>
          <w:b/>
          <w:bCs/>
          <w:sz w:val="28"/>
          <w:szCs w:val="24"/>
          <w:lang w:val="lv-LV"/>
        </w:rPr>
        <w:t xml:space="preserve">Par </w:t>
      </w:r>
      <w:r w:rsidR="000E772C" w:rsidRPr="00C26E25">
        <w:rPr>
          <w:b/>
          <w:bCs/>
          <w:sz w:val="28"/>
          <w:szCs w:val="24"/>
          <w:lang w:val="lv-LV"/>
        </w:rPr>
        <w:t>Konkurences padomes finansiālās kapacitātes stip</w:t>
      </w:r>
      <w:r w:rsidR="00B557C5" w:rsidRPr="00C26E25">
        <w:rPr>
          <w:b/>
          <w:bCs/>
          <w:sz w:val="28"/>
          <w:szCs w:val="24"/>
          <w:lang w:val="lv-LV"/>
        </w:rPr>
        <w:t>rināšanu</w:t>
      </w:r>
    </w:p>
    <w:p w14:paraId="18EDB7B6" w14:textId="26B0963B" w:rsidR="00742755" w:rsidRPr="00C26E25" w:rsidRDefault="00742755" w:rsidP="00742755">
      <w:pPr>
        <w:spacing w:before="0" w:after="0" w:line="240" w:lineRule="auto"/>
        <w:jc w:val="center"/>
        <w:rPr>
          <w:b/>
          <w:bCs/>
          <w:sz w:val="28"/>
          <w:szCs w:val="24"/>
          <w:lang w:val="lv-LV"/>
        </w:rPr>
      </w:pPr>
    </w:p>
    <w:p w14:paraId="72AD8659" w14:textId="43C79A3F" w:rsidR="00742755" w:rsidRPr="00C26E25" w:rsidRDefault="00742755" w:rsidP="00742755">
      <w:pPr>
        <w:spacing w:before="0" w:after="0" w:line="240" w:lineRule="auto"/>
        <w:jc w:val="center"/>
        <w:rPr>
          <w:b/>
          <w:bCs/>
          <w:sz w:val="28"/>
          <w:szCs w:val="24"/>
          <w:lang w:val="lv-LV"/>
        </w:rPr>
      </w:pPr>
    </w:p>
    <w:p w14:paraId="71087AFB" w14:textId="5F59CBE7" w:rsidR="004C3FF5" w:rsidRPr="00C26E25" w:rsidRDefault="007E137E" w:rsidP="004C3FF5">
      <w:pPr>
        <w:spacing w:before="120" w:after="0" w:line="240" w:lineRule="auto"/>
        <w:rPr>
          <w:szCs w:val="26"/>
          <w:lang w:val="lv-LV"/>
        </w:rPr>
      </w:pPr>
      <w:r w:rsidRPr="00C26E25">
        <w:rPr>
          <w:szCs w:val="26"/>
          <w:lang w:val="lv-LV"/>
        </w:rPr>
        <w:t>Efektīvam</w:t>
      </w:r>
      <w:r w:rsidR="004C3FF5" w:rsidRPr="00C26E25">
        <w:rPr>
          <w:szCs w:val="26"/>
          <w:lang w:val="lv-LV"/>
        </w:rPr>
        <w:t xml:space="preserve"> konkurences uzraugam, k</w:t>
      </w:r>
      <w:r w:rsidRPr="00C26E25">
        <w:rPr>
          <w:szCs w:val="26"/>
          <w:lang w:val="lv-LV"/>
        </w:rPr>
        <w:t xml:space="preserve">ura </w:t>
      </w:r>
      <w:r w:rsidR="000E68E5" w:rsidRPr="00C26E25">
        <w:rPr>
          <w:szCs w:val="26"/>
          <w:lang w:val="lv-LV"/>
        </w:rPr>
        <w:t xml:space="preserve">darba rezultātu </w:t>
      </w:r>
      <w:r w:rsidR="00AC6A63" w:rsidRPr="00C26E25">
        <w:rPr>
          <w:szCs w:val="26"/>
          <w:lang w:val="lv-LV"/>
        </w:rPr>
        <w:t xml:space="preserve">nodrošina </w:t>
      </w:r>
      <w:r w:rsidR="004C3FF5" w:rsidRPr="00C26E25">
        <w:rPr>
          <w:szCs w:val="26"/>
          <w:lang w:val="lv-LV"/>
        </w:rPr>
        <w:t xml:space="preserve">pieredzējuši, zinoši un motivēti </w:t>
      </w:r>
      <w:r w:rsidRPr="00C26E25">
        <w:rPr>
          <w:szCs w:val="26"/>
          <w:lang w:val="lv-LV"/>
        </w:rPr>
        <w:t>speciālisti</w:t>
      </w:r>
      <w:r w:rsidR="004C3FF5" w:rsidRPr="00C26E25">
        <w:rPr>
          <w:szCs w:val="26"/>
          <w:lang w:val="lv-LV"/>
        </w:rPr>
        <w:t xml:space="preserve">, ir izšķiroša nozīme brīvas, godīgas un vienlīdzīgas konkurences aizsardzībai, saglabāšanai un attīstībai visās tautsaimniecības nozarēs sabiedrības interesēs. Savlaicīgai konkurences tiesību pārkāpumu pārtraukšanai un nepieļaušanai ir tieša </w:t>
      </w:r>
      <w:r w:rsidRPr="00C26E25">
        <w:rPr>
          <w:szCs w:val="26"/>
          <w:lang w:val="lv-LV"/>
        </w:rPr>
        <w:t xml:space="preserve">un preventīva </w:t>
      </w:r>
      <w:r w:rsidR="004C3FF5" w:rsidRPr="00C26E25">
        <w:rPr>
          <w:szCs w:val="26"/>
          <w:lang w:val="lv-LV"/>
        </w:rPr>
        <w:t>ietekme gan uz publisko personu naudas līdzekļu lietderīgu izmantošanu, tostarp Eiropas Savienības fondu apguvē, gan uz ikviena uzņēmēja un patērētāja</w:t>
      </w:r>
      <w:r w:rsidR="00AC6A63" w:rsidRPr="00C26E25">
        <w:rPr>
          <w:szCs w:val="26"/>
          <w:lang w:val="lv-LV"/>
        </w:rPr>
        <w:t xml:space="preserve"> naudas līdzekļu taupī</w:t>
      </w:r>
      <w:r w:rsidR="00DE6366" w:rsidRPr="00C26E25">
        <w:rPr>
          <w:szCs w:val="26"/>
          <w:lang w:val="lv-LV"/>
        </w:rPr>
        <w:t>šanu</w:t>
      </w:r>
      <w:r w:rsidR="00AC6A63" w:rsidRPr="00C26E25">
        <w:rPr>
          <w:szCs w:val="26"/>
          <w:lang w:val="lv-LV"/>
        </w:rPr>
        <w:t>, novēršot pārmaksu konkurences kropļojumu dēļ.</w:t>
      </w:r>
    </w:p>
    <w:p w14:paraId="64FE18F5" w14:textId="7071AE38" w:rsidR="00C26E99" w:rsidRPr="00C26E25" w:rsidRDefault="00C26E99" w:rsidP="004C3FF5">
      <w:pPr>
        <w:spacing w:before="120" w:after="0" w:line="240" w:lineRule="auto"/>
        <w:rPr>
          <w:lang w:val="lv-LV"/>
        </w:rPr>
      </w:pPr>
      <w:r w:rsidRPr="00C26E25">
        <w:rPr>
          <w:lang w:val="lv-LV"/>
        </w:rPr>
        <w:t xml:space="preserve">Tādēļ arī </w:t>
      </w:r>
      <w:r w:rsidR="00D4287D" w:rsidRPr="00C26E25">
        <w:rPr>
          <w:lang w:val="lv-LV"/>
        </w:rPr>
        <w:t xml:space="preserve">Valdības rīcības plānā </w:t>
      </w:r>
      <w:r w:rsidRPr="00C26E25">
        <w:rPr>
          <w:lang w:val="lv-LV"/>
        </w:rPr>
        <w:t>Deklarācij</w:t>
      </w:r>
      <w:r w:rsidR="00D4287D" w:rsidRPr="00C26E25">
        <w:rPr>
          <w:lang w:val="lv-LV"/>
        </w:rPr>
        <w:t>as</w:t>
      </w:r>
      <w:r w:rsidRPr="00C26E25">
        <w:rPr>
          <w:lang w:val="lv-LV"/>
        </w:rPr>
        <w:t xml:space="preserve"> par Artura Krišjāņa Kariņa vadītā Ministru kabineta iecerēto darbību īstenošanu tostarp tiek izvirzīts uzdevums panākt, ka iekšējam tirgum ir raksturīga godīga konkurence un Baltijas valstīs zemākais korupcijas līmenis. Lai to sasniegtu, paredzēts:</w:t>
      </w:r>
    </w:p>
    <w:p w14:paraId="6EA4BBF5" w14:textId="07E4483D" w:rsidR="00C26E99" w:rsidRPr="00C26E25" w:rsidRDefault="00C26E99" w:rsidP="00C26E99">
      <w:pPr>
        <w:pStyle w:val="ListParagraph"/>
        <w:widowControl/>
        <w:numPr>
          <w:ilvl w:val="0"/>
          <w:numId w:val="10"/>
        </w:numPr>
        <w:spacing w:before="80" w:after="0" w:line="240" w:lineRule="auto"/>
        <w:ind w:left="714" w:hanging="357"/>
        <w:contextualSpacing w:val="0"/>
        <w:rPr>
          <w:lang w:val="lv-LV"/>
        </w:rPr>
      </w:pPr>
      <w:r w:rsidRPr="00C26E25">
        <w:rPr>
          <w:lang w:val="lv-LV"/>
        </w:rPr>
        <w:t xml:space="preserve">stiprināt un </w:t>
      </w:r>
      <w:proofErr w:type="spellStart"/>
      <w:r w:rsidRPr="00C26E25">
        <w:rPr>
          <w:lang w:val="lv-LV"/>
        </w:rPr>
        <w:t>efektivizēt</w:t>
      </w:r>
      <w:proofErr w:type="spellEnd"/>
      <w:r w:rsidRPr="00C26E25">
        <w:rPr>
          <w:lang w:val="lv-LV"/>
        </w:rPr>
        <w:t xml:space="preserve"> Konkurences padomes darbu un pārskatīt pilnvaras atbilstoši ECN + Direktīvas</w:t>
      </w:r>
      <w:r w:rsidRPr="00C26E25">
        <w:rPr>
          <w:rStyle w:val="FootnoteReference"/>
          <w:lang w:val="lv-LV"/>
        </w:rPr>
        <w:footnoteReference w:id="1"/>
      </w:r>
      <w:r w:rsidRPr="00C26E25">
        <w:rPr>
          <w:lang w:val="lv-LV"/>
        </w:rPr>
        <w:t xml:space="preserve"> prasībām un OECD rekomendācijām;</w:t>
      </w:r>
    </w:p>
    <w:p w14:paraId="04D7868B" w14:textId="7CCCFD88" w:rsidR="00C26E99" w:rsidRPr="00C26E25" w:rsidRDefault="00C26E99" w:rsidP="00C26E99">
      <w:pPr>
        <w:pStyle w:val="ListParagraph"/>
        <w:widowControl/>
        <w:numPr>
          <w:ilvl w:val="0"/>
          <w:numId w:val="10"/>
        </w:numPr>
        <w:spacing w:before="80" w:after="0" w:line="240" w:lineRule="auto"/>
        <w:ind w:left="714" w:hanging="357"/>
        <w:contextualSpacing w:val="0"/>
        <w:rPr>
          <w:sz w:val="24"/>
          <w:lang w:val="lv-LV"/>
        </w:rPr>
      </w:pPr>
      <w:r w:rsidRPr="00C26E25">
        <w:rPr>
          <w:lang w:val="lv-LV"/>
        </w:rPr>
        <w:t xml:space="preserve"> vērsties pret smagākajiem konkurences kropļojumiem, it sevišķi iepirkumu karteļu jomā;</w:t>
      </w:r>
    </w:p>
    <w:p w14:paraId="5F273E05" w14:textId="353D1D8E" w:rsidR="00C26E99" w:rsidRPr="00C26E25" w:rsidRDefault="00C26E99" w:rsidP="00C26E99">
      <w:pPr>
        <w:pStyle w:val="ListParagraph"/>
        <w:widowControl/>
        <w:numPr>
          <w:ilvl w:val="0"/>
          <w:numId w:val="10"/>
        </w:numPr>
        <w:spacing w:before="80" w:after="0" w:line="240" w:lineRule="auto"/>
        <w:ind w:left="714" w:hanging="357"/>
        <w:contextualSpacing w:val="0"/>
        <w:rPr>
          <w:sz w:val="24"/>
          <w:lang w:val="lv-LV"/>
        </w:rPr>
      </w:pPr>
      <w:r w:rsidRPr="00C26E25">
        <w:rPr>
          <w:lang w:val="lv-LV"/>
        </w:rPr>
        <w:t>stiprināt IT rīku izmantošanu Konkurences padomē, lai būtu iespējams efektīvi atklāt un fiksēt iepirkumu karteļu pazīmes.</w:t>
      </w:r>
    </w:p>
    <w:p w14:paraId="6D62D203" w14:textId="65B3B1BD" w:rsidR="004C3FF5" w:rsidRPr="00C26E25" w:rsidRDefault="004C3FF5" w:rsidP="004C3FF5">
      <w:pPr>
        <w:spacing w:before="120" w:after="0" w:line="240" w:lineRule="auto"/>
        <w:rPr>
          <w:szCs w:val="26"/>
          <w:lang w:val="lv-LV"/>
        </w:rPr>
      </w:pPr>
      <w:r w:rsidRPr="00C26E25">
        <w:rPr>
          <w:szCs w:val="26"/>
          <w:lang w:val="lv-LV"/>
        </w:rPr>
        <w:t xml:space="preserve">Neskatoties uz to, ka pēdējo gadu laikā izpildvaras un likumdošanas varas līmeņos ir regulāri atgādināts par Konkurences padomes </w:t>
      </w:r>
      <w:r w:rsidR="00DE6366" w:rsidRPr="00C26E25">
        <w:rPr>
          <w:szCs w:val="26"/>
          <w:lang w:val="lv-LV"/>
        </w:rPr>
        <w:t>ieilgušo</w:t>
      </w:r>
      <w:r w:rsidR="007E137E" w:rsidRPr="00C26E25">
        <w:rPr>
          <w:szCs w:val="26"/>
          <w:lang w:val="lv-LV"/>
        </w:rPr>
        <w:t xml:space="preserve"> finansiālās un profesionālās </w:t>
      </w:r>
      <w:r w:rsidRPr="00C26E25">
        <w:rPr>
          <w:szCs w:val="26"/>
          <w:lang w:val="lv-LV"/>
        </w:rPr>
        <w:t xml:space="preserve">kapacitātes </w:t>
      </w:r>
      <w:r w:rsidR="00AC6A63" w:rsidRPr="00C26E25">
        <w:rPr>
          <w:szCs w:val="26"/>
          <w:lang w:val="lv-LV"/>
        </w:rPr>
        <w:t>iztrūkumu</w:t>
      </w:r>
      <w:r w:rsidR="002941CA" w:rsidRPr="00C26E25">
        <w:rPr>
          <w:szCs w:val="26"/>
          <w:lang w:val="lv-LV"/>
        </w:rPr>
        <w:t xml:space="preserve"> un nepieciešamība nodrošināt spēcīgu konkurences uzraugu ir noteikta par vienu no valdības prioritātēm</w:t>
      </w:r>
      <w:r w:rsidR="00AC6A63" w:rsidRPr="00C26E25">
        <w:rPr>
          <w:szCs w:val="26"/>
          <w:lang w:val="lv-LV"/>
        </w:rPr>
        <w:t xml:space="preserve">, </w:t>
      </w:r>
      <w:r w:rsidRPr="00C26E25">
        <w:rPr>
          <w:szCs w:val="26"/>
          <w:lang w:val="lv-LV"/>
        </w:rPr>
        <w:t>problēm</w:t>
      </w:r>
      <w:r w:rsidR="00AC6A63" w:rsidRPr="00C26E25">
        <w:rPr>
          <w:szCs w:val="26"/>
          <w:lang w:val="lv-LV"/>
        </w:rPr>
        <w:t>a</w:t>
      </w:r>
      <w:r w:rsidR="00185E33" w:rsidRPr="00C26E25">
        <w:rPr>
          <w:szCs w:val="26"/>
          <w:lang w:val="lv-LV"/>
        </w:rPr>
        <w:t xml:space="preserve"> joprojām </w:t>
      </w:r>
      <w:r w:rsidRPr="00C26E25">
        <w:rPr>
          <w:szCs w:val="26"/>
          <w:lang w:val="lv-LV"/>
        </w:rPr>
        <w:t>nav atrisināt</w:t>
      </w:r>
      <w:r w:rsidR="00185E33" w:rsidRPr="00C26E25">
        <w:rPr>
          <w:szCs w:val="26"/>
          <w:lang w:val="lv-LV"/>
        </w:rPr>
        <w:t>a</w:t>
      </w:r>
      <w:r w:rsidRPr="00C26E25">
        <w:rPr>
          <w:szCs w:val="26"/>
          <w:lang w:val="lv-LV"/>
        </w:rPr>
        <w:t>.</w:t>
      </w:r>
    </w:p>
    <w:p w14:paraId="39B6924D" w14:textId="161DF10B" w:rsidR="009A1CA6" w:rsidRPr="00C26E25" w:rsidRDefault="002A4059" w:rsidP="004C3FF5">
      <w:pPr>
        <w:spacing w:before="120" w:after="0" w:line="240" w:lineRule="auto"/>
        <w:rPr>
          <w:color w:val="FF0000"/>
          <w:szCs w:val="26"/>
          <w:lang w:val="lv-LV"/>
        </w:rPr>
      </w:pPr>
      <w:r w:rsidRPr="00C26E25">
        <w:rPr>
          <w:szCs w:val="26"/>
          <w:lang w:val="lv-LV"/>
        </w:rPr>
        <w:t xml:space="preserve">Dēļ atalgojuma </w:t>
      </w:r>
      <w:proofErr w:type="spellStart"/>
      <w:r w:rsidRPr="00C26E25">
        <w:rPr>
          <w:szCs w:val="26"/>
          <w:lang w:val="lv-LV"/>
        </w:rPr>
        <w:t>problēmjautājuma</w:t>
      </w:r>
      <w:proofErr w:type="spellEnd"/>
      <w:r w:rsidRPr="00C26E25">
        <w:rPr>
          <w:szCs w:val="26"/>
          <w:lang w:val="lv-LV"/>
        </w:rPr>
        <w:t xml:space="preserve"> risināšanas atlikšanas, piemēram, 2019.gadā, </w:t>
      </w:r>
      <w:r w:rsidR="00F826D9" w:rsidRPr="00C26E25">
        <w:rPr>
          <w:szCs w:val="26"/>
          <w:lang w:val="lv-LV"/>
        </w:rPr>
        <w:t xml:space="preserve">lai rastu īslaicīgu risinājumu </w:t>
      </w:r>
      <w:r w:rsidRPr="00C26E25">
        <w:rPr>
          <w:szCs w:val="26"/>
          <w:lang w:val="lv-LV"/>
        </w:rPr>
        <w:t xml:space="preserve">akūtajam atlīdzības jautājumam, pēc Ekonomikas ministrijas iniciatīvas tika veikta apropriācijas pārdale 102 743 </w:t>
      </w:r>
      <w:proofErr w:type="spellStart"/>
      <w:r w:rsidRPr="00C26E25">
        <w:rPr>
          <w:i/>
          <w:iCs/>
          <w:szCs w:val="26"/>
          <w:lang w:val="lv-LV"/>
        </w:rPr>
        <w:t>euro</w:t>
      </w:r>
      <w:proofErr w:type="spellEnd"/>
      <w:r w:rsidRPr="00C26E25">
        <w:rPr>
          <w:szCs w:val="26"/>
          <w:lang w:val="lv-LV"/>
        </w:rPr>
        <w:t xml:space="preserve"> apmērā no </w:t>
      </w:r>
      <w:r w:rsidRPr="00C26E25">
        <w:rPr>
          <w:iCs/>
          <w:szCs w:val="26"/>
          <w:lang w:val="lv-LV" w:eastAsia="lv-LV"/>
        </w:rPr>
        <w:t xml:space="preserve">budžeta apakšprogrammas 29.05.00 „Valsts pētījumu programma enerģētikā” uz budžeta apakšprogrammu  26.02.00 “Konkurences politikas ieviešana”. Vienlaikus iepriekš minētajam atlīdzības </w:t>
      </w:r>
      <w:proofErr w:type="spellStart"/>
      <w:r w:rsidRPr="00C26E25">
        <w:rPr>
          <w:iCs/>
          <w:szCs w:val="26"/>
          <w:lang w:val="lv-LV" w:eastAsia="lv-LV"/>
        </w:rPr>
        <w:t>problēmjautājumam</w:t>
      </w:r>
      <w:proofErr w:type="spellEnd"/>
      <w:r w:rsidRPr="00C26E25">
        <w:rPr>
          <w:iCs/>
          <w:szCs w:val="26"/>
          <w:lang w:val="lv-LV" w:eastAsia="lv-LV"/>
        </w:rPr>
        <w:t xml:space="preserve"> turpinot </w:t>
      </w:r>
      <w:proofErr w:type="spellStart"/>
      <w:r w:rsidRPr="00C26E25">
        <w:rPr>
          <w:iCs/>
          <w:szCs w:val="26"/>
          <w:lang w:val="lv-LV" w:eastAsia="lv-LV"/>
        </w:rPr>
        <w:t>eskalēties</w:t>
      </w:r>
      <w:proofErr w:type="spellEnd"/>
      <w:r w:rsidRPr="00C26E25">
        <w:rPr>
          <w:iCs/>
          <w:szCs w:val="26"/>
          <w:lang w:val="lv-LV" w:eastAsia="lv-LV"/>
        </w:rPr>
        <w:t xml:space="preserve">, </w:t>
      </w:r>
      <w:r w:rsidR="001748EB" w:rsidRPr="00C26E25">
        <w:rPr>
          <w:iCs/>
          <w:szCs w:val="26"/>
          <w:lang w:val="lv-LV" w:eastAsia="lv-LV"/>
        </w:rPr>
        <w:t>nekavējoties nepieciešams rast īstermiņa risinājum arī 2020.gadā un pieņemt konceptuālu lēmumu par Konkurences padomes finansiālās kapacitātes stiprināšanu turpmākajos gados.</w:t>
      </w:r>
      <w:r w:rsidRPr="00C26E25">
        <w:rPr>
          <w:iCs/>
          <w:szCs w:val="26"/>
          <w:lang w:val="lv-LV" w:eastAsia="lv-LV"/>
        </w:rPr>
        <w:t xml:space="preserve"> </w:t>
      </w:r>
    </w:p>
    <w:p w14:paraId="714C5368" w14:textId="28873EC5" w:rsidR="004C3FF5" w:rsidRPr="00C26E25" w:rsidRDefault="004C3FF5" w:rsidP="000E68E5">
      <w:pPr>
        <w:spacing w:before="120" w:after="0" w:line="240" w:lineRule="auto"/>
        <w:rPr>
          <w:szCs w:val="26"/>
          <w:lang w:val="lv-LV"/>
        </w:rPr>
      </w:pPr>
      <w:r w:rsidRPr="00C26E25">
        <w:rPr>
          <w:szCs w:val="26"/>
          <w:lang w:val="lv-LV"/>
        </w:rPr>
        <w:t xml:space="preserve">Lai </w:t>
      </w:r>
      <w:r w:rsidRPr="00C26E25">
        <w:rPr>
          <w:bCs/>
          <w:szCs w:val="26"/>
          <w:lang w:val="lv-LV"/>
        </w:rPr>
        <w:t>rastu risinājumu Konkurences padomes finans</w:t>
      </w:r>
      <w:r w:rsidR="00DE6366" w:rsidRPr="00C26E25">
        <w:rPr>
          <w:bCs/>
          <w:szCs w:val="26"/>
          <w:lang w:val="lv-LV"/>
        </w:rPr>
        <w:t>ēšanas</w:t>
      </w:r>
      <w:r w:rsidRPr="00C26E25">
        <w:rPr>
          <w:bCs/>
          <w:szCs w:val="26"/>
          <w:lang w:val="lv-LV"/>
        </w:rPr>
        <w:t xml:space="preserve"> stiprināšanai,</w:t>
      </w:r>
      <w:bookmarkStart w:id="0" w:name="_Hlk31626873"/>
      <w:r w:rsidR="000E68E5" w:rsidRPr="00C26E25">
        <w:rPr>
          <w:szCs w:val="26"/>
          <w:lang w:val="lv-LV"/>
        </w:rPr>
        <w:t xml:space="preserve"> </w:t>
      </w:r>
      <w:bookmarkEnd w:id="0"/>
      <w:r w:rsidRPr="00C26E25">
        <w:rPr>
          <w:szCs w:val="26"/>
          <w:lang w:val="lv-LV"/>
        </w:rPr>
        <w:t>ņem</w:t>
      </w:r>
      <w:r w:rsidR="000E68E5" w:rsidRPr="00C26E25">
        <w:rPr>
          <w:szCs w:val="26"/>
          <w:lang w:val="lv-LV"/>
        </w:rPr>
        <w:t>ot</w:t>
      </w:r>
      <w:r w:rsidRPr="00C26E25">
        <w:rPr>
          <w:szCs w:val="26"/>
          <w:lang w:val="lv-LV"/>
        </w:rPr>
        <w:t xml:space="preserve"> vērā Ekonomiskās sadarbības un attīstības organizācijas (OECD) un </w:t>
      </w:r>
      <w:r w:rsidRPr="00C26E25">
        <w:rPr>
          <w:szCs w:val="26"/>
          <w:lang w:val="lv-LV"/>
        </w:rPr>
        <w:lastRenderedPageBreak/>
        <w:t xml:space="preserve">Eiropas Komisijas rekomendācijas attiecībā uz nepieciešamību nodrošināt Konkurences padomi ar </w:t>
      </w:r>
      <w:r w:rsidR="000E68E5" w:rsidRPr="00C26E25">
        <w:rPr>
          <w:szCs w:val="26"/>
          <w:lang w:val="lv-LV"/>
        </w:rPr>
        <w:t>pietiekamiem</w:t>
      </w:r>
      <w:r w:rsidRPr="00C26E25">
        <w:rPr>
          <w:szCs w:val="26"/>
          <w:lang w:val="lv-LV"/>
        </w:rPr>
        <w:t xml:space="preserve"> resursiem, Ekonomikas ministrija sagatavoja informatīv</w:t>
      </w:r>
      <w:r w:rsidR="00DE6366" w:rsidRPr="00C26E25">
        <w:rPr>
          <w:szCs w:val="26"/>
          <w:lang w:val="lv-LV"/>
        </w:rPr>
        <w:t>o</w:t>
      </w:r>
      <w:r w:rsidRPr="00C26E25">
        <w:rPr>
          <w:szCs w:val="26"/>
          <w:lang w:val="lv-LV"/>
        </w:rPr>
        <w:t xml:space="preserve"> ziņojum</w:t>
      </w:r>
      <w:r w:rsidR="00DE6366" w:rsidRPr="00C26E25">
        <w:rPr>
          <w:szCs w:val="26"/>
          <w:lang w:val="lv-LV"/>
        </w:rPr>
        <w:t>u</w:t>
      </w:r>
      <w:r w:rsidRPr="00C26E25">
        <w:rPr>
          <w:szCs w:val="26"/>
          <w:lang w:val="lv-LV"/>
        </w:rPr>
        <w:t xml:space="preserve"> “</w:t>
      </w:r>
      <w:r w:rsidRPr="00C26E25">
        <w:rPr>
          <w:szCs w:val="26"/>
          <w:shd w:val="clear" w:color="auto" w:fill="FFFFFF"/>
          <w:lang w:val="lv-LV"/>
        </w:rPr>
        <w:t>Par vienotas konkurences un regulācijas iestādes izveides iespējām"</w:t>
      </w:r>
      <w:r w:rsidRPr="00C26E25">
        <w:rPr>
          <w:szCs w:val="26"/>
          <w:lang w:val="lv-LV"/>
        </w:rPr>
        <w:t>.</w:t>
      </w:r>
      <w:r w:rsidR="00DE6366" w:rsidRPr="00C26E25">
        <w:rPr>
          <w:szCs w:val="26"/>
          <w:lang w:val="lv-LV"/>
        </w:rPr>
        <w:t xml:space="preserve"> </w:t>
      </w:r>
      <w:r w:rsidRPr="00C26E25">
        <w:rPr>
          <w:szCs w:val="26"/>
          <w:lang w:val="lv-LV"/>
        </w:rPr>
        <w:t xml:space="preserve">Ministra kabineta </w:t>
      </w:r>
      <w:r w:rsidR="00DE6366" w:rsidRPr="00C26E25">
        <w:rPr>
          <w:szCs w:val="26"/>
          <w:lang w:val="lv-LV"/>
        </w:rPr>
        <w:t xml:space="preserve">2019. gada 24. septembra </w:t>
      </w:r>
      <w:r w:rsidRPr="00C26E25">
        <w:rPr>
          <w:szCs w:val="26"/>
          <w:lang w:val="lv-LV"/>
        </w:rPr>
        <w:t xml:space="preserve">sēdē jautājuma </w:t>
      </w:r>
      <w:r w:rsidR="00BB02E4" w:rsidRPr="00C26E25">
        <w:rPr>
          <w:szCs w:val="26"/>
          <w:lang w:val="lv-LV"/>
        </w:rPr>
        <w:t xml:space="preserve">izskatīšana par konkurences uzrauga finansiālo stiprināšanu </w:t>
      </w:r>
      <w:r w:rsidRPr="00C26E25">
        <w:rPr>
          <w:szCs w:val="26"/>
          <w:lang w:val="lv-LV"/>
        </w:rPr>
        <w:t>pēc būtības tika atlikta, lemjot, ka papildu nepieciešamā finansējuma piešķiršan</w:t>
      </w:r>
      <w:r w:rsidR="00DE6366" w:rsidRPr="00C26E25">
        <w:rPr>
          <w:szCs w:val="26"/>
          <w:lang w:val="lv-LV"/>
        </w:rPr>
        <w:t>a</w:t>
      </w:r>
      <w:r w:rsidRPr="00C26E25">
        <w:rPr>
          <w:szCs w:val="26"/>
          <w:lang w:val="lv-LV"/>
        </w:rPr>
        <w:t xml:space="preserve"> Konkurences padomei ir izskatām</w:t>
      </w:r>
      <w:r w:rsidR="00DE6366" w:rsidRPr="00C26E25">
        <w:rPr>
          <w:szCs w:val="26"/>
          <w:lang w:val="lv-LV"/>
        </w:rPr>
        <w:t xml:space="preserve">a </w:t>
      </w:r>
      <w:r w:rsidRPr="00C26E25">
        <w:rPr>
          <w:szCs w:val="26"/>
          <w:lang w:val="lv-LV"/>
        </w:rPr>
        <w:t>Ministru kabinetā 2020.gadā vienlaikus ar visu ministriju un citu centrālo valsts iestāžu iesniegtajiem prioritārajiem pasākumiem likumprojekta "Par valsts budžetu 2021.gadam" un likumprojekta "Par vidēja termiņa budžeta ietvaru 2021., 2022. un 2023.gadam" sagatavošanas procesā</w:t>
      </w:r>
      <w:r w:rsidRPr="00C26E25">
        <w:rPr>
          <w:rStyle w:val="FootnoteReference"/>
          <w:szCs w:val="26"/>
          <w:lang w:val="lv-LV"/>
        </w:rPr>
        <w:footnoteReference w:id="2"/>
      </w:r>
      <w:r w:rsidRPr="00C26E25">
        <w:rPr>
          <w:szCs w:val="26"/>
          <w:lang w:val="lv-LV"/>
        </w:rPr>
        <w:t>.</w:t>
      </w:r>
    </w:p>
    <w:p w14:paraId="6EF5DE65" w14:textId="555CF682" w:rsidR="00C458B9" w:rsidRPr="00C26E25" w:rsidRDefault="00DE6366" w:rsidP="004B29C4">
      <w:pPr>
        <w:spacing w:before="120" w:after="0" w:line="240" w:lineRule="auto"/>
        <w:rPr>
          <w:iCs/>
          <w:szCs w:val="26"/>
          <w:lang w:val="lv-LV"/>
        </w:rPr>
      </w:pPr>
      <w:r w:rsidRPr="00C26E25">
        <w:rPr>
          <w:rStyle w:val="Strong"/>
          <w:b w:val="0"/>
          <w:bCs w:val="0"/>
          <w:szCs w:val="26"/>
          <w:lang w:val="lv-LV"/>
        </w:rPr>
        <w:t>Informatīvais ziņojums pamatots ar to, ka</w:t>
      </w:r>
      <w:r w:rsidR="000E68E5" w:rsidRPr="00C26E25">
        <w:rPr>
          <w:iCs/>
          <w:szCs w:val="26"/>
          <w:lang w:val="lv-LV"/>
        </w:rPr>
        <w:t xml:space="preserve"> Konkurences padomei ir jābūt finansētai tādā veidā, </w:t>
      </w:r>
      <w:r w:rsidR="00BA1FB7" w:rsidRPr="00C26E25">
        <w:rPr>
          <w:iCs/>
          <w:szCs w:val="26"/>
          <w:lang w:val="lv-LV"/>
        </w:rPr>
        <w:t xml:space="preserve">lai tā darbotos efektīvi un spētu izpildīt ar likumiem uzliktos pienākumus un </w:t>
      </w:r>
      <w:r w:rsidR="000E68E5" w:rsidRPr="00C26E25">
        <w:rPr>
          <w:iCs/>
          <w:szCs w:val="26"/>
          <w:lang w:val="lv-LV"/>
        </w:rPr>
        <w:t>nera</w:t>
      </w:r>
      <w:r w:rsidR="00BA1FB7" w:rsidRPr="00C26E25">
        <w:rPr>
          <w:iCs/>
          <w:szCs w:val="26"/>
          <w:lang w:val="lv-LV"/>
        </w:rPr>
        <w:t xml:space="preserve">stos </w:t>
      </w:r>
      <w:r w:rsidR="000E68E5" w:rsidRPr="00C26E25">
        <w:rPr>
          <w:iCs/>
          <w:szCs w:val="26"/>
          <w:lang w:val="lv-LV"/>
        </w:rPr>
        <w:t xml:space="preserve">šaubas par tās spēju nodrošināt valstī </w:t>
      </w:r>
      <w:r w:rsidR="00BA1FB7" w:rsidRPr="00C26E25">
        <w:rPr>
          <w:iCs/>
          <w:szCs w:val="26"/>
          <w:lang w:val="lv-LV"/>
        </w:rPr>
        <w:t xml:space="preserve">konkurences </w:t>
      </w:r>
      <w:r w:rsidR="000E68E5" w:rsidRPr="00C26E25">
        <w:rPr>
          <w:iCs/>
          <w:szCs w:val="26"/>
          <w:lang w:val="lv-LV"/>
        </w:rPr>
        <w:t>uzraudzību</w:t>
      </w:r>
      <w:r w:rsidR="00BA1FB7" w:rsidRPr="00C26E25">
        <w:rPr>
          <w:iCs/>
          <w:szCs w:val="26"/>
          <w:lang w:val="lv-LV"/>
        </w:rPr>
        <w:t xml:space="preserve">. </w:t>
      </w:r>
      <w:r w:rsidR="000E68E5" w:rsidRPr="00C26E25">
        <w:rPr>
          <w:iCs/>
          <w:szCs w:val="26"/>
          <w:lang w:val="lv-LV"/>
        </w:rPr>
        <w:t>Tas nozīmē, ka iestādes budžetam ir jānodrošina skaitliski pietiekams personāls, kam ir uzraudzības procesā nepieciešamās iemaņas, un algu līmenim jābūt tādam, kas ļauj piesaistīt augsti kvalificētu personālu un nodrošināt zemu personāla mainību.</w:t>
      </w:r>
      <w:r w:rsidR="00BA1FB7" w:rsidRPr="00C26E25">
        <w:rPr>
          <w:iCs/>
          <w:szCs w:val="26"/>
          <w:lang w:val="lv-LV"/>
        </w:rPr>
        <w:t xml:space="preserve"> </w:t>
      </w:r>
      <w:r w:rsidR="000E68E5" w:rsidRPr="00C26E25">
        <w:rPr>
          <w:iCs/>
          <w:szCs w:val="26"/>
          <w:lang w:val="lv-LV"/>
        </w:rPr>
        <w:t xml:space="preserve">Tieši spēja </w:t>
      </w:r>
      <w:r w:rsidR="00DC6C27" w:rsidRPr="00C26E25">
        <w:rPr>
          <w:iCs/>
          <w:szCs w:val="26"/>
          <w:lang w:val="lv-LV"/>
        </w:rPr>
        <w:t xml:space="preserve">atbilstoši faktiskai tirgus situācijai </w:t>
      </w:r>
      <w:r w:rsidR="000E68E5" w:rsidRPr="00C26E25">
        <w:rPr>
          <w:iCs/>
          <w:szCs w:val="26"/>
          <w:lang w:val="lv-LV"/>
        </w:rPr>
        <w:t xml:space="preserve">piesaistīt un </w:t>
      </w:r>
      <w:r w:rsidR="001A6883" w:rsidRPr="00C26E25">
        <w:rPr>
          <w:iCs/>
          <w:szCs w:val="26"/>
          <w:lang w:val="lv-LV"/>
        </w:rPr>
        <w:t xml:space="preserve">ilgtermiņā </w:t>
      </w:r>
      <w:r w:rsidR="000E68E5" w:rsidRPr="00C26E25">
        <w:rPr>
          <w:iCs/>
          <w:szCs w:val="26"/>
          <w:lang w:val="lv-LV"/>
        </w:rPr>
        <w:t>noturēt augsti kvalificētu personālu ar konkurētspējīgiem nosacījumiem stiprina</w:t>
      </w:r>
      <w:r w:rsidR="00853A93" w:rsidRPr="00C26E25">
        <w:rPr>
          <w:iCs/>
          <w:szCs w:val="26"/>
          <w:lang w:val="lv-LV"/>
        </w:rPr>
        <w:t xml:space="preserve"> </w:t>
      </w:r>
      <w:r w:rsidR="000E68E5" w:rsidRPr="00C26E25">
        <w:rPr>
          <w:iCs/>
          <w:szCs w:val="26"/>
          <w:lang w:val="lv-LV"/>
        </w:rPr>
        <w:t>uzraudzības kvalitāti un efektivitāti</w:t>
      </w:r>
      <w:r w:rsidR="00C458B9" w:rsidRPr="00C26E25">
        <w:rPr>
          <w:iCs/>
          <w:szCs w:val="26"/>
          <w:lang w:val="lv-LV"/>
        </w:rPr>
        <w:t>.</w:t>
      </w:r>
    </w:p>
    <w:p w14:paraId="40DBFECE" w14:textId="1359E243" w:rsidR="00207DEC" w:rsidRPr="00C26E25" w:rsidRDefault="00BA1FB7" w:rsidP="004C3FF5">
      <w:pPr>
        <w:spacing w:before="120" w:after="0" w:line="240" w:lineRule="auto"/>
        <w:rPr>
          <w:iCs/>
          <w:szCs w:val="26"/>
          <w:lang w:val="lv-LV"/>
        </w:rPr>
      </w:pPr>
      <w:r w:rsidRPr="00C26E25">
        <w:rPr>
          <w:iCs/>
          <w:szCs w:val="26"/>
          <w:lang w:val="lv-LV"/>
        </w:rPr>
        <w:t>F</w:t>
      </w:r>
      <w:r w:rsidR="00DA6A55" w:rsidRPr="00C26E25">
        <w:rPr>
          <w:iCs/>
          <w:szCs w:val="26"/>
          <w:lang w:val="lv-LV"/>
        </w:rPr>
        <w:t xml:space="preserve">aktisko situāciju </w:t>
      </w:r>
      <w:r w:rsidR="000E68E5" w:rsidRPr="00C26E25">
        <w:rPr>
          <w:iCs/>
          <w:szCs w:val="26"/>
          <w:lang w:val="lv-LV"/>
        </w:rPr>
        <w:t xml:space="preserve">pierāda pēdējo </w:t>
      </w:r>
      <w:r w:rsidR="00DA6A55" w:rsidRPr="00C26E25">
        <w:rPr>
          <w:iCs/>
          <w:szCs w:val="26"/>
          <w:lang w:val="lv-LV"/>
        </w:rPr>
        <w:t>trīs</w:t>
      </w:r>
      <w:r w:rsidR="000E68E5" w:rsidRPr="00C26E25">
        <w:rPr>
          <w:iCs/>
          <w:szCs w:val="26"/>
          <w:lang w:val="lv-LV"/>
        </w:rPr>
        <w:t xml:space="preserve"> gadu statistika</w:t>
      </w:r>
      <w:r w:rsidR="00DA6A55" w:rsidRPr="00C26E25">
        <w:rPr>
          <w:iCs/>
          <w:szCs w:val="26"/>
          <w:lang w:val="lv-LV"/>
        </w:rPr>
        <w:t xml:space="preserve"> par personāla mainību. </w:t>
      </w:r>
      <w:r w:rsidR="004C3FF5" w:rsidRPr="00C26E25">
        <w:rPr>
          <w:iCs/>
          <w:szCs w:val="26"/>
          <w:lang w:val="lv-LV"/>
        </w:rPr>
        <w:t xml:space="preserve">Šobrīd visa līmeņa Konkurences padomes darbinieku mainība </w:t>
      </w:r>
      <w:r w:rsidR="00207DEC" w:rsidRPr="00C26E25">
        <w:rPr>
          <w:iCs/>
          <w:szCs w:val="26"/>
          <w:lang w:val="lv-LV"/>
        </w:rPr>
        <w:t xml:space="preserve">par </w:t>
      </w:r>
      <w:r w:rsidR="004C3FF5" w:rsidRPr="00C26E25">
        <w:rPr>
          <w:iCs/>
          <w:szCs w:val="26"/>
          <w:lang w:val="lv-LV"/>
        </w:rPr>
        <w:t>2017.</w:t>
      </w:r>
      <w:r w:rsidR="00207DEC" w:rsidRPr="00C26E25">
        <w:rPr>
          <w:iCs/>
          <w:szCs w:val="26"/>
          <w:lang w:val="lv-LV"/>
        </w:rPr>
        <w:t xml:space="preserve"> – </w:t>
      </w:r>
      <w:r w:rsidR="004C3FF5" w:rsidRPr="00C26E25">
        <w:rPr>
          <w:iCs/>
          <w:szCs w:val="26"/>
          <w:lang w:val="lv-LV"/>
        </w:rPr>
        <w:t xml:space="preserve">2019. gada </w:t>
      </w:r>
      <w:r w:rsidR="00207DEC" w:rsidRPr="00C26E25">
        <w:rPr>
          <w:iCs/>
          <w:szCs w:val="26"/>
          <w:lang w:val="lv-LV"/>
        </w:rPr>
        <w:t xml:space="preserve">periodu </w:t>
      </w:r>
      <w:r w:rsidR="004C3FF5" w:rsidRPr="00C26E25">
        <w:rPr>
          <w:iCs/>
          <w:szCs w:val="26"/>
          <w:lang w:val="lv-LV"/>
        </w:rPr>
        <w:t xml:space="preserve">vidēji </w:t>
      </w:r>
      <w:r w:rsidR="00207DEC" w:rsidRPr="00C26E25">
        <w:rPr>
          <w:iCs/>
          <w:szCs w:val="26"/>
          <w:lang w:val="lv-LV"/>
        </w:rPr>
        <w:t xml:space="preserve">katru </w:t>
      </w:r>
      <w:r w:rsidR="004C3FF5" w:rsidRPr="00C26E25">
        <w:rPr>
          <w:iCs/>
          <w:szCs w:val="26"/>
          <w:lang w:val="lv-LV"/>
        </w:rPr>
        <w:t>gad</w:t>
      </w:r>
      <w:r w:rsidR="00207DEC" w:rsidRPr="00C26E25">
        <w:rPr>
          <w:iCs/>
          <w:szCs w:val="26"/>
          <w:lang w:val="lv-LV"/>
        </w:rPr>
        <w:t>u</w:t>
      </w:r>
      <w:r w:rsidR="004C3FF5" w:rsidRPr="00C26E25">
        <w:rPr>
          <w:iCs/>
          <w:szCs w:val="26"/>
          <w:lang w:val="lv-LV"/>
        </w:rPr>
        <w:t xml:space="preserve"> ir 24 % no darbinieku kopskaita</w:t>
      </w:r>
      <w:r w:rsidR="004B29C4" w:rsidRPr="00C26E25">
        <w:rPr>
          <w:iCs/>
          <w:szCs w:val="26"/>
          <w:lang w:val="lv-LV"/>
        </w:rPr>
        <w:t xml:space="preserve">, </w:t>
      </w:r>
      <w:r w:rsidR="004C3FF5" w:rsidRPr="00C26E25">
        <w:rPr>
          <w:iCs/>
          <w:szCs w:val="26"/>
          <w:lang w:val="lv-LV"/>
        </w:rPr>
        <w:t>2019. gad</w:t>
      </w:r>
      <w:r w:rsidR="004B29C4" w:rsidRPr="00C26E25">
        <w:rPr>
          <w:iCs/>
          <w:szCs w:val="26"/>
          <w:lang w:val="lv-LV"/>
        </w:rPr>
        <w:t>ā</w:t>
      </w:r>
      <w:r w:rsidR="004C3FF5" w:rsidRPr="00C26E25">
        <w:rPr>
          <w:iCs/>
          <w:szCs w:val="26"/>
          <w:lang w:val="lv-LV"/>
        </w:rPr>
        <w:t xml:space="preserve"> sasniedzot jau 32%. Kopš 2017.gada sākuma Konkurences padomē</w:t>
      </w:r>
      <w:r w:rsidR="004B29C4" w:rsidRPr="00C26E25">
        <w:rPr>
          <w:iCs/>
          <w:szCs w:val="26"/>
          <w:lang w:val="lv-LV"/>
        </w:rPr>
        <w:t xml:space="preserve"> </w:t>
      </w:r>
      <w:r w:rsidR="004C3FF5" w:rsidRPr="00C26E25">
        <w:rPr>
          <w:iCs/>
          <w:szCs w:val="26"/>
          <w:lang w:val="lv-LV"/>
        </w:rPr>
        <w:t>nomainīj</w:t>
      </w:r>
      <w:r w:rsidR="004B29C4" w:rsidRPr="00C26E25">
        <w:rPr>
          <w:iCs/>
          <w:szCs w:val="26"/>
          <w:lang w:val="lv-LV"/>
        </w:rPr>
        <w:t xml:space="preserve">ās </w:t>
      </w:r>
      <w:r w:rsidR="004C3FF5" w:rsidRPr="00C26E25">
        <w:rPr>
          <w:iCs/>
          <w:szCs w:val="26"/>
          <w:lang w:val="lv-LV"/>
        </w:rPr>
        <w:t xml:space="preserve">vairāk kā puse iestādes darbinieku, mainībai sasniedzot </w:t>
      </w:r>
      <w:r w:rsidR="00207DEC" w:rsidRPr="00C26E25">
        <w:rPr>
          <w:iCs/>
          <w:szCs w:val="26"/>
          <w:lang w:val="lv-LV"/>
        </w:rPr>
        <w:t xml:space="preserve">vēl nepieredzētu </w:t>
      </w:r>
      <w:r w:rsidR="004C3FF5" w:rsidRPr="00C26E25">
        <w:rPr>
          <w:iCs/>
          <w:szCs w:val="26"/>
          <w:lang w:val="lv-LV"/>
        </w:rPr>
        <w:t>52 % apmēru no darbinieku kopskaita.</w:t>
      </w:r>
    </w:p>
    <w:p w14:paraId="7E1C16F2" w14:textId="5ADD70EB" w:rsidR="007C43FE" w:rsidRPr="00C26E25" w:rsidRDefault="007C43FE" w:rsidP="007C43FE">
      <w:pPr>
        <w:spacing w:before="120" w:after="0" w:line="240" w:lineRule="auto"/>
        <w:rPr>
          <w:iCs/>
          <w:szCs w:val="26"/>
          <w:lang w:val="lv-LV"/>
        </w:rPr>
      </w:pPr>
      <w:r w:rsidRPr="00C26E25">
        <w:rPr>
          <w:iCs/>
          <w:szCs w:val="26"/>
          <w:lang w:val="lv-LV"/>
        </w:rPr>
        <w:t xml:space="preserve">Personāla mainība </w:t>
      </w:r>
      <w:r w:rsidR="000636C5" w:rsidRPr="00C26E25">
        <w:rPr>
          <w:iCs/>
          <w:szCs w:val="26"/>
          <w:lang w:val="lv-LV"/>
        </w:rPr>
        <w:t xml:space="preserve">un tās ietekme </w:t>
      </w:r>
      <w:r w:rsidRPr="00C26E25">
        <w:rPr>
          <w:iCs/>
          <w:szCs w:val="26"/>
          <w:lang w:val="lv-LV"/>
        </w:rPr>
        <w:t>nav abstrakta, bet gan ļoti reāla. 2019.gada rudenī dažu mēnešu laikā no darba aizgāja visa</w:t>
      </w:r>
      <w:r w:rsidR="000636C5" w:rsidRPr="00C26E25">
        <w:rPr>
          <w:iCs/>
          <w:szCs w:val="26"/>
          <w:lang w:val="lv-LV"/>
        </w:rPr>
        <w:t xml:space="preserve"> atbildīgo</w:t>
      </w:r>
      <w:r w:rsidRPr="00C26E25">
        <w:rPr>
          <w:iCs/>
          <w:szCs w:val="26"/>
          <w:lang w:val="lv-LV"/>
        </w:rPr>
        <w:t xml:space="preserve"> darbinieku grupa</w:t>
      </w:r>
      <w:r w:rsidR="000636C5" w:rsidRPr="00C26E25">
        <w:rPr>
          <w:iCs/>
          <w:szCs w:val="26"/>
          <w:lang w:val="lv-LV"/>
        </w:rPr>
        <w:t xml:space="preserve"> (t.i. eksperts, jurists un atbildīgā departamenta direktors)</w:t>
      </w:r>
      <w:r w:rsidRPr="00C26E25">
        <w:rPr>
          <w:iCs/>
          <w:szCs w:val="26"/>
          <w:lang w:val="lv-LV"/>
        </w:rPr>
        <w:t xml:space="preserve">, kura izmeklēja </w:t>
      </w:r>
      <w:r w:rsidR="000636C5" w:rsidRPr="00C26E25">
        <w:rPr>
          <w:iCs/>
          <w:szCs w:val="26"/>
          <w:lang w:val="lv-LV"/>
        </w:rPr>
        <w:t xml:space="preserve">t.s. </w:t>
      </w:r>
      <w:r w:rsidRPr="00C26E25">
        <w:rPr>
          <w:iCs/>
          <w:szCs w:val="26"/>
          <w:lang w:val="lv-LV"/>
        </w:rPr>
        <w:t xml:space="preserve">Rīgas domes un Tīrīga atkritumu apsaimniekošanas lietu par Līguma par Eiropas Savienības darbību </w:t>
      </w:r>
      <w:r w:rsidR="000636C5" w:rsidRPr="00C26E25">
        <w:rPr>
          <w:iCs/>
          <w:szCs w:val="26"/>
          <w:lang w:val="lv-LV"/>
        </w:rPr>
        <w:t xml:space="preserve">(LESD) </w:t>
      </w:r>
      <w:r w:rsidRPr="00C26E25">
        <w:rPr>
          <w:iCs/>
          <w:szCs w:val="26"/>
          <w:lang w:val="lv-LV"/>
        </w:rPr>
        <w:t xml:space="preserve">102.panta pārkāpumu. </w:t>
      </w:r>
      <w:r w:rsidR="00A13272" w:rsidRPr="00C26E25">
        <w:rPr>
          <w:iCs/>
          <w:szCs w:val="26"/>
          <w:lang w:val="lv-LV"/>
        </w:rPr>
        <w:t xml:space="preserve">Piemēram, vienā no </w:t>
      </w:r>
      <w:r w:rsidR="00825288" w:rsidRPr="00C26E25">
        <w:rPr>
          <w:iCs/>
          <w:szCs w:val="26"/>
          <w:lang w:val="lv-LV"/>
        </w:rPr>
        <w:t xml:space="preserve">apjomīgākām </w:t>
      </w:r>
      <w:r w:rsidRPr="00C26E25">
        <w:rPr>
          <w:iCs/>
          <w:szCs w:val="26"/>
          <w:lang w:val="lv-LV"/>
        </w:rPr>
        <w:t>karteļa lietā</w:t>
      </w:r>
      <w:r w:rsidR="00A13272" w:rsidRPr="00C26E25">
        <w:rPr>
          <w:iCs/>
          <w:szCs w:val="26"/>
          <w:lang w:val="lv-LV"/>
        </w:rPr>
        <w:t>m</w:t>
      </w:r>
      <w:r w:rsidRPr="00C26E25">
        <w:rPr>
          <w:iCs/>
          <w:szCs w:val="26"/>
          <w:lang w:val="lv-LV"/>
        </w:rPr>
        <w:t xml:space="preserve"> no sākotnējās izmeklēšanas grupas palicis tikai viens eksperts. Šobrīd </w:t>
      </w:r>
      <w:r w:rsidR="000636C5" w:rsidRPr="00C26E25">
        <w:rPr>
          <w:iCs/>
          <w:szCs w:val="26"/>
          <w:lang w:val="lv-LV"/>
        </w:rPr>
        <w:t xml:space="preserve">iestādes </w:t>
      </w:r>
      <w:r w:rsidRPr="00C26E25">
        <w:rPr>
          <w:iCs/>
          <w:szCs w:val="26"/>
          <w:lang w:val="lv-LV"/>
        </w:rPr>
        <w:t>vienīgā iespēja ir piesaistīt ekspertus un juristus bez jebkādas pieredzes konkurences tiesību pārkāpumu izmeklēšanas un tiesvedības jautājumos. Daļu lietu izmeklēšanas laiku jaunie darbinieki vēl pavada pārbaudes laikā</w:t>
      </w:r>
      <w:r w:rsidR="00A13272" w:rsidRPr="00C26E25">
        <w:rPr>
          <w:iCs/>
          <w:szCs w:val="26"/>
          <w:lang w:val="lv-LV"/>
        </w:rPr>
        <w:t xml:space="preserve">, kur tiek pārbaudītas pamatiemaņas, bet pietiekamu praktisku pieredzi un spēju strādāt patstāvīgi darbinieki iegūst faktiski tikai </w:t>
      </w:r>
      <w:r w:rsidR="00825288" w:rsidRPr="00C26E25">
        <w:rPr>
          <w:iCs/>
          <w:szCs w:val="26"/>
          <w:lang w:val="lv-LV"/>
        </w:rPr>
        <w:t>divu</w:t>
      </w:r>
      <w:r w:rsidR="00A13272" w:rsidRPr="00C26E25">
        <w:rPr>
          <w:iCs/>
          <w:szCs w:val="26"/>
          <w:lang w:val="lv-LV"/>
        </w:rPr>
        <w:t xml:space="preserve"> gadu laikā.</w:t>
      </w:r>
    </w:p>
    <w:p w14:paraId="7ADC5687" w14:textId="16A937A1" w:rsidR="007C43FE" w:rsidRPr="00C26E25" w:rsidRDefault="007C43FE" w:rsidP="007C43FE">
      <w:pPr>
        <w:spacing w:before="120" w:after="0" w:line="240" w:lineRule="auto"/>
        <w:rPr>
          <w:iCs/>
          <w:szCs w:val="26"/>
          <w:lang w:val="lv-LV"/>
        </w:rPr>
      </w:pPr>
      <w:r w:rsidRPr="00C26E25">
        <w:rPr>
          <w:iCs/>
          <w:szCs w:val="26"/>
          <w:lang w:val="lv-LV"/>
        </w:rPr>
        <w:t xml:space="preserve">Tik augsta darbinieku mainība, pat nespēja nodrošināt pastāvīgu lietas izmeklēšanas sastāvu lietas sākumā, noslēgumā un tiesvedības laikā nav saprātīgi savietojama ar Latvijas kā Eiropas Savienības un OECD dalībvalsts uzņemtajām saistībām efektīvi izpildīt ar Konkurences likumu un LESD uzliktos pienākumus konkurences aizsardzībā. Nepietiekamais finansējums šobrīd </w:t>
      </w:r>
      <w:r w:rsidRPr="00C26E25">
        <w:rPr>
          <w:iCs/>
          <w:szCs w:val="26"/>
          <w:lang w:val="lv-LV"/>
        </w:rPr>
        <w:lastRenderedPageBreak/>
        <w:t>pilnībā apdraud Konkurences padomes pamatfunkciju efektīvu turpmāko īstenošanu, kas tieši 2019. gadā iezīmējas ar tautsaimniecībai īpaši būtisku un sevišķi smagu konkurences pārkāpumu lietu izmeklēšanas uzsākšanu.</w:t>
      </w:r>
    </w:p>
    <w:p w14:paraId="03641CF8" w14:textId="597938C6" w:rsidR="004C3FF5" w:rsidRPr="00C26E25" w:rsidRDefault="004B29C4" w:rsidP="004C3FF5">
      <w:pPr>
        <w:spacing w:before="120" w:after="0" w:line="240" w:lineRule="auto"/>
        <w:rPr>
          <w:iCs/>
          <w:szCs w:val="26"/>
          <w:lang w:val="lv-LV"/>
        </w:rPr>
      </w:pPr>
      <w:r w:rsidRPr="00C26E25">
        <w:rPr>
          <w:iCs/>
          <w:szCs w:val="26"/>
          <w:lang w:val="lv-LV"/>
        </w:rPr>
        <w:t>L</w:t>
      </w:r>
      <w:r w:rsidR="004C3FF5" w:rsidRPr="00C26E25">
        <w:rPr>
          <w:iCs/>
          <w:szCs w:val="26"/>
          <w:lang w:val="lv-LV"/>
        </w:rPr>
        <w:t>īdztekus tirgus dalībnieku apvienošanās un tirgus uzraudzības lietām Konkurences padomei jau šobrīd 2020. gadā ir jānodrošina izmeklēšana nozīmīgās konkurences lietās, t.sk. par smagiem konkurences tiesību iespējamiem pārkāpumiem ēku būvniecības, atkritumu apsaimniekošanas un dzelzceļa pārvadājumu nozarēs. Attiecīgi augstās personāla mainības rezultātā arī šajās lietās ir būtiski nomainījies izmeklētāju sastāvs,</w:t>
      </w:r>
      <w:r w:rsidR="00A13272" w:rsidRPr="00C26E25">
        <w:rPr>
          <w:iCs/>
          <w:szCs w:val="26"/>
          <w:lang w:val="lv-LV"/>
        </w:rPr>
        <w:t xml:space="preserve"> kas radījis nobīdi izpēt</w:t>
      </w:r>
      <w:r w:rsidR="00825288" w:rsidRPr="00C26E25">
        <w:rPr>
          <w:iCs/>
          <w:szCs w:val="26"/>
          <w:lang w:val="lv-LV"/>
        </w:rPr>
        <w:t xml:space="preserve">es termiņā </w:t>
      </w:r>
      <w:r w:rsidR="00A13272" w:rsidRPr="00C26E25">
        <w:rPr>
          <w:iCs/>
          <w:szCs w:val="26"/>
          <w:lang w:val="lv-LV"/>
        </w:rPr>
        <w:t>no 6 mēnešiem līdz pat 1 gadam un var būt ietekmējis izpētes tvērumu</w:t>
      </w:r>
      <w:r w:rsidR="004C3FF5" w:rsidRPr="00C26E25">
        <w:rPr>
          <w:iCs/>
          <w:szCs w:val="26"/>
          <w:lang w:val="lv-LV"/>
        </w:rPr>
        <w:t>.</w:t>
      </w:r>
      <w:r w:rsidRPr="00C26E25">
        <w:rPr>
          <w:iCs/>
          <w:szCs w:val="26"/>
          <w:lang w:val="lv-LV"/>
        </w:rPr>
        <w:t xml:space="preserve"> </w:t>
      </w:r>
      <w:r w:rsidR="00853A93" w:rsidRPr="00C26E25">
        <w:rPr>
          <w:iCs/>
          <w:szCs w:val="26"/>
          <w:lang w:val="lv-LV"/>
        </w:rPr>
        <w:t xml:space="preserve">Tas ir rezultāts </w:t>
      </w:r>
      <w:r w:rsidRPr="00C26E25">
        <w:rPr>
          <w:iCs/>
          <w:szCs w:val="26"/>
          <w:lang w:val="lv-LV"/>
        </w:rPr>
        <w:t>nepietiekama</w:t>
      </w:r>
      <w:r w:rsidR="00853A93" w:rsidRPr="00C26E25">
        <w:rPr>
          <w:iCs/>
          <w:szCs w:val="26"/>
          <w:lang w:val="lv-LV"/>
        </w:rPr>
        <w:t>jam</w:t>
      </w:r>
      <w:r w:rsidRPr="00C26E25">
        <w:rPr>
          <w:iCs/>
          <w:szCs w:val="26"/>
          <w:lang w:val="lv-LV"/>
        </w:rPr>
        <w:t xml:space="preserve"> finansējum</w:t>
      </w:r>
      <w:r w:rsidR="00853A93" w:rsidRPr="00C26E25">
        <w:rPr>
          <w:iCs/>
          <w:szCs w:val="26"/>
          <w:lang w:val="lv-LV"/>
        </w:rPr>
        <w:t xml:space="preserve">am </w:t>
      </w:r>
      <w:r w:rsidRPr="00C26E25">
        <w:rPr>
          <w:iCs/>
          <w:szCs w:val="26"/>
          <w:lang w:val="lv-LV"/>
        </w:rPr>
        <w:t>pēdējo trīs gadu laikā</w:t>
      </w:r>
      <w:r w:rsidR="009C5FC6" w:rsidRPr="00C26E25">
        <w:rPr>
          <w:iCs/>
          <w:szCs w:val="26"/>
          <w:lang w:val="lv-LV"/>
        </w:rPr>
        <w:t xml:space="preserve"> un k</w:t>
      </w:r>
      <w:r w:rsidR="00853A93" w:rsidRPr="00C26E25">
        <w:rPr>
          <w:iCs/>
          <w:szCs w:val="26"/>
          <w:lang w:val="lv-LV"/>
        </w:rPr>
        <w:t xml:space="preserve">as vairs </w:t>
      </w:r>
      <w:r w:rsidR="004C3FF5" w:rsidRPr="00C26E25">
        <w:rPr>
          <w:iCs/>
          <w:szCs w:val="26"/>
          <w:lang w:val="lv-LV"/>
        </w:rPr>
        <w:t>nav savietojam</w:t>
      </w:r>
      <w:r w:rsidRPr="00C26E25">
        <w:rPr>
          <w:iCs/>
          <w:szCs w:val="26"/>
          <w:lang w:val="lv-LV"/>
        </w:rPr>
        <w:t>s</w:t>
      </w:r>
      <w:r w:rsidR="004C3FF5" w:rsidRPr="00C26E25">
        <w:rPr>
          <w:iCs/>
          <w:szCs w:val="26"/>
          <w:lang w:val="lv-LV"/>
        </w:rPr>
        <w:t xml:space="preserve"> ar </w:t>
      </w:r>
      <w:r w:rsidRPr="00C26E25">
        <w:rPr>
          <w:iCs/>
          <w:szCs w:val="26"/>
          <w:lang w:val="lv-LV"/>
        </w:rPr>
        <w:t xml:space="preserve">būtisko </w:t>
      </w:r>
      <w:r w:rsidR="004C3FF5" w:rsidRPr="00C26E25">
        <w:rPr>
          <w:iCs/>
          <w:szCs w:val="26"/>
          <w:lang w:val="lv-LV"/>
        </w:rPr>
        <w:t xml:space="preserve">pārkāpuma lietu operatīvu, vispusīgu un sekmīgu izmeklēšanu un veiksmīga rezultāta sasniegšanu. Turklāt norādāms, ka Konkurences padome patstāvīgi nodrošina iestādes pārstāvību arī tiesās, kas, pieaugot lietu sarežģītībai, prasa piesaistīt arvien vairāk </w:t>
      </w:r>
      <w:r w:rsidRPr="00C26E25">
        <w:rPr>
          <w:iCs/>
          <w:szCs w:val="26"/>
          <w:lang w:val="lv-LV"/>
        </w:rPr>
        <w:t xml:space="preserve">personāla </w:t>
      </w:r>
      <w:r w:rsidR="004C3FF5" w:rsidRPr="00C26E25">
        <w:rPr>
          <w:iCs/>
          <w:szCs w:val="26"/>
          <w:lang w:val="lv-LV"/>
        </w:rPr>
        <w:t xml:space="preserve">resursus, samazinot </w:t>
      </w:r>
      <w:r w:rsidRPr="00C26E25">
        <w:rPr>
          <w:iCs/>
          <w:szCs w:val="26"/>
          <w:lang w:val="lv-LV"/>
        </w:rPr>
        <w:t xml:space="preserve">to </w:t>
      </w:r>
      <w:r w:rsidR="004C3FF5" w:rsidRPr="00C26E25">
        <w:rPr>
          <w:iCs/>
          <w:szCs w:val="26"/>
          <w:lang w:val="lv-LV"/>
        </w:rPr>
        <w:t>pieejamību citu funkciju izpildē.</w:t>
      </w:r>
    </w:p>
    <w:p w14:paraId="32B8152F" w14:textId="77777777" w:rsidR="004C3FF5" w:rsidRPr="00C26E25" w:rsidRDefault="004C3FF5" w:rsidP="004C3FF5">
      <w:pPr>
        <w:spacing w:before="120" w:after="0" w:line="240" w:lineRule="auto"/>
        <w:rPr>
          <w:szCs w:val="26"/>
          <w:lang w:val="lv-LV"/>
        </w:rPr>
      </w:pPr>
      <w:r w:rsidRPr="00C26E25">
        <w:rPr>
          <w:bCs/>
          <w:szCs w:val="26"/>
          <w:shd w:val="clear" w:color="auto" w:fill="FFFFFF"/>
          <w:lang w:val="lv-LV"/>
        </w:rPr>
        <w:t xml:space="preserve">Kopš 2017.gada Konkurences padomes budžets uz esošo amata vietu skaitu (2017.gadā – </w:t>
      </w:r>
      <w:r w:rsidRPr="00C26E25">
        <w:rPr>
          <w:b/>
          <w:szCs w:val="26"/>
          <w:shd w:val="clear" w:color="auto" w:fill="FFFFFF"/>
          <w:lang w:val="lv-LV"/>
        </w:rPr>
        <w:t>51</w:t>
      </w:r>
      <w:r w:rsidRPr="00C26E25">
        <w:rPr>
          <w:bCs/>
          <w:szCs w:val="26"/>
          <w:shd w:val="clear" w:color="auto" w:fill="FFFFFF"/>
          <w:lang w:val="lv-LV"/>
        </w:rPr>
        <w:t xml:space="preserve">, 2018.gadā – </w:t>
      </w:r>
      <w:r w:rsidRPr="00C26E25">
        <w:rPr>
          <w:b/>
          <w:szCs w:val="26"/>
          <w:shd w:val="clear" w:color="auto" w:fill="FFFFFF"/>
          <w:lang w:val="lv-LV"/>
        </w:rPr>
        <w:t>50</w:t>
      </w:r>
      <w:r w:rsidRPr="00C26E25">
        <w:rPr>
          <w:bCs/>
          <w:szCs w:val="26"/>
          <w:shd w:val="clear" w:color="auto" w:fill="FFFFFF"/>
          <w:lang w:val="lv-LV"/>
        </w:rPr>
        <w:t xml:space="preserve">, 2019.gadā – </w:t>
      </w:r>
      <w:r w:rsidRPr="00C26E25">
        <w:rPr>
          <w:b/>
          <w:szCs w:val="26"/>
          <w:shd w:val="clear" w:color="auto" w:fill="FFFFFF"/>
          <w:lang w:val="lv-LV"/>
        </w:rPr>
        <w:t xml:space="preserve">49 </w:t>
      </w:r>
      <w:r w:rsidRPr="00C26E25">
        <w:rPr>
          <w:bCs/>
          <w:szCs w:val="26"/>
          <w:shd w:val="clear" w:color="auto" w:fill="FFFFFF"/>
          <w:lang w:val="lv-LV"/>
        </w:rPr>
        <w:t xml:space="preserve">amata vietas) palicis praktiski nemainīgs (2017.gadā - </w:t>
      </w:r>
      <w:r w:rsidRPr="00C26E25">
        <w:rPr>
          <w:szCs w:val="26"/>
          <w:lang w:val="lv-LV"/>
        </w:rPr>
        <w:t xml:space="preserve">1 276 779 EUR, 2018.gadā - 1 304 579 EUR, 2019.gadā - 1 304  484 EUR). </w:t>
      </w:r>
    </w:p>
    <w:p w14:paraId="5B1183AA" w14:textId="402E3416" w:rsidR="004C3FF5" w:rsidRPr="00C26E25" w:rsidRDefault="004C3FF5" w:rsidP="004C3FF5">
      <w:pPr>
        <w:spacing w:before="120" w:after="0" w:line="240" w:lineRule="auto"/>
        <w:rPr>
          <w:szCs w:val="26"/>
          <w:lang w:val="lv-LV"/>
        </w:rPr>
      </w:pPr>
      <w:r w:rsidRPr="00C26E25">
        <w:rPr>
          <w:szCs w:val="26"/>
          <w:lang w:val="lv-LV"/>
        </w:rPr>
        <w:t>Vienlaikus a</w:t>
      </w:r>
      <w:r w:rsidRPr="00C26E25">
        <w:rPr>
          <w:iCs/>
          <w:szCs w:val="26"/>
          <w:lang w:val="lv-LV"/>
        </w:rPr>
        <w:t>r 2020.gadu Konkurences padomei ir noteikta papildus funkcija – uzraudzīt publisku personu rīcību, kas kaitē konkurencei un nonāk pretrunā ar konkurences neitralitātes principu, kas Latvijā ir īpaši svarīgi ņemot vērā augsto valsts un pašvaldības uzņēmumu īpatsvaru ekonomikā, uz ko vairākkārt uzmanību vērsusi arī OECD.</w:t>
      </w:r>
    </w:p>
    <w:p w14:paraId="49F4F78F" w14:textId="5525E095" w:rsidR="004C3FF5" w:rsidRPr="00C26E25" w:rsidRDefault="004C3FF5" w:rsidP="004C3FF5">
      <w:pPr>
        <w:spacing w:before="120" w:after="0" w:line="240" w:lineRule="auto"/>
        <w:rPr>
          <w:iCs/>
          <w:szCs w:val="26"/>
          <w:lang w:val="lv-LV"/>
        </w:rPr>
      </w:pPr>
      <w:r w:rsidRPr="00C26E25">
        <w:rPr>
          <w:szCs w:val="26"/>
          <w:lang w:val="lv-LV"/>
        </w:rPr>
        <w:t xml:space="preserve">Tāpat </w:t>
      </w:r>
      <w:r w:rsidR="00B91787" w:rsidRPr="00C26E25">
        <w:rPr>
          <w:szCs w:val="26"/>
          <w:lang w:val="lv-LV"/>
        </w:rPr>
        <w:t xml:space="preserve">pēdējo gadu laikā novērojams </w:t>
      </w:r>
      <w:r w:rsidRPr="00C26E25">
        <w:rPr>
          <w:szCs w:val="26"/>
          <w:lang w:val="lv-LV"/>
        </w:rPr>
        <w:t>būtisk</w:t>
      </w:r>
      <w:r w:rsidR="00B91787" w:rsidRPr="00C26E25">
        <w:rPr>
          <w:szCs w:val="26"/>
          <w:lang w:val="lv-LV"/>
        </w:rPr>
        <w:t>s</w:t>
      </w:r>
      <w:r w:rsidRPr="00C26E25">
        <w:rPr>
          <w:szCs w:val="26"/>
          <w:lang w:val="lv-LV"/>
        </w:rPr>
        <w:t xml:space="preserve"> nepieciešamo cilvēkresursu apjom</w:t>
      </w:r>
      <w:r w:rsidR="00B91787" w:rsidRPr="00C26E25">
        <w:rPr>
          <w:szCs w:val="26"/>
          <w:lang w:val="lv-LV"/>
        </w:rPr>
        <w:t>a palielinājums</w:t>
      </w:r>
      <w:r w:rsidRPr="00C26E25">
        <w:rPr>
          <w:szCs w:val="26"/>
          <w:lang w:val="lv-LV"/>
        </w:rPr>
        <w:t>, lai konsultētu publiskās personas un izskatītu iesniegumus (2019.gadā – 40% pieaugums pret plānoto), t.sk. uzraudzītu tirgus, kuros darbojas publisko personu kapitālsabiedrības</w:t>
      </w:r>
      <w:r w:rsidRPr="00C26E25">
        <w:rPr>
          <w:i/>
          <w:iCs/>
          <w:szCs w:val="26"/>
          <w:lang w:val="lv-LV"/>
        </w:rPr>
        <w:t>.</w:t>
      </w:r>
      <w:r w:rsidRPr="00C26E25">
        <w:rPr>
          <w:szCs w:val="26"/>
          <w:lang w:val="lv-LV"/>
        </w:rPr>
        <w:t xml:space="preserve"> </w:t>
      </w:r>
      <w:r w:rsidR="009C5FC6" w:rsidRPr="00C26E25">
        <w:rPr>
          <w:szCs w:val="26"/>
          <w:lang w:val="lv-LV"/>
        </w:rPr>
        <w:t>Novērojams</w:t>
      </w:r>
      <w:r w:rsidRPr="00C26E25">
        <w:rPr>
          <w:iCs/>
          <w:szCs w:val="26"/>
          <w:lang w:val="lv-LV"/>
        </w:rPr>
        <w:t>, ka 2020.gadā būtiski pieaugs darba apjoms, lai nodrošinātu pilnvērtīgu publisko personu kapitālsabiedrību izvērtēšanu atbilstoši Valsts pārvades iekārtas likuma 88.panta septītajā daļā un Publiskas personas kapitāla daļu un kapitālsabiedrību pārvaldības likuma 7.pantā noteiktajam pienākumam publiskai personai pārvērtēt līdzdalību kapitālsabiedrībā (v</w:t>
      </w:r>
      <w:r w:rsidRPr="00C26E25">
        <w:rPr>
          <w:szCs w:val="26"/>
          <w:lang w:val="lv-LV"/>
        </w:rPr>
        <w:t xml:space="preserve">eicot </w:t>
      </w:r>
      <w:proofErr w:type="spellStart"/>
      <w:r w:rsidRPr="00C26E25">
        <w:rPr>
          <w:szCs w:val="26"/>
          <w:lang w:val="lv-LV"/>
        </w:rPr>
        <w:t>izvērtējumu</w:t>
      </w:r>
      <w:proofErr w:type="spellEnd"/>
      <w:r w:rsidRPr="00C26E25">
        <w:rPr>
          <w:szCs w:val="26"/>
          <w:lang w:val="lv-LV"/>
        </w:rPr>
        <w:t>, jākonsultējas ar kompetentajām institūcijām konkurences aizsardzības jomā)</w:t>
      </w:r>
      <w:r w:rsidRPr="00C26E25">
        <w:rPr>
          <w:iCs/>
          <w:szCs w:val="26"/>
          <w:lang w:val="lv-LV"/>
        </w:rPr>
        <w:t xml:space="preserve">. </w:t>
      </w:r>
    </w:p>
    <w:p w14:paraId="55CA0AE1" w14:textId="135F279B" w:rsidR="004C3FF5" w:rsidRPr="00C26E25" w:rsidRDefault="009C5FC6" w:rsidP="004C3FF5">
      <w:pPr>
        <w:spacing w:before="120" w:after="0" w:line="240" w:lineRule="auto"/>
        <w:rPr>
          <w:szCs w:val="26"/>
          <w:lang w:val="lv-LV"/>
        </w:rPr>
      </w:pPr>
      <w:r w:rsidRPr="00C26E25">
        <w:rPr>
          <w:szCs w:val="26"/>
          <w:lang w:val="lv-LV"/>
        </w:rPr>
        <w:t>B</w:t>
      </w:r>
      <w:r w:rsidR="004C3FF5" w:rsidRPr="00C26E25">
        <w:rPr>
          <w:szCs w:val="26"/>
          <w:lang w:val="lv-LV"/>
        </w:rPr>
        <w:t>ūtiski pieaudzis arī dažāda veida iesniegumu, skaidrojumu un sūdzību izskatīšanas skaits (2019.gadā – 24% pieaugums pret plānoto), kā arī tiesvedību skaits (2019.gadā – 29 pārstāvības tiesā un 93% pieaugums pret plānoto) un šo lietu iztiesāšanas</w:t>
      </w:r>
      <w:r w:rsidR="00CC4F74" w:rsidRPr="00C26E25">
        <w:rPr>
          <w:szCs w:val="26"/>
          <w:lang w:val="lv-LV"/>
        </w:rPr>
        <w:t xml:space="preserve"> sarežģītība</w:t>
      </w:r>
      <w:r w:rsidR="004C3FF5" w:rsidRPr="00C26E25">
        <w:rPr>
          <w:szCs w:val="26"/>
          <w:lang w:val="lv-LV"/>
        </w:rPr>
        <w:t xml:space="preserve">. Jāpiemin, ka darba apjoma noslodze ir palielinājusies, īstenojot arī izglītošanas un konkurences </w:t>
      </w:r>
      <w:proofErr w:type="spellStart"/>
      <w:r w:rsidR="004C3FF5" w:rsidRPr="00C26E25">
        <w:rPr>
          <w:szCs w:val="26"/>
          <w:lang w:val="lv-LV"/>
        </w:rPr>
        <w:t>advokācijas</w:t>
      </w:r>
      <w:proofErr w:type="spellEnd"/>
      <w:r w:rsidR="004C3FF5" w:rsidRPr="00C26E25">
        <w:rPr>
          <w:szCs w:val="26"/>
          <w:lang w:val="lv-LV"/>
        </w:rPr>
        <w:t xml:space="preserve"> aktivitātes (2019.gadā pieaugums par 140% pret plānoto), kā arī nodrošinot patstāvīgu un aktīvu darbību Eiropas konkurences tīkla un OECD darba grupās (26% pieaugums pret plānoto).</w:t>
      </w:r>
    </w:p>
    <w:p w14:paraId="43104316" w14:textId="70C74299" w:rsidR="004C3FF5" w:rsidRPr="00C26E25" w:rsidRDefault="004C3FF5" w:rsidP="004C3FF5">
      <w:pPr>
        <w:spacing w:before="120" w:after="0" w:line="240" w:lineRule="auto"/>
        <w:rPr>
          <w:iCs/>
          <w:szCs w:val="26"/>
          <w:lang w:val="lv-LV"/>
        </w:rPr>
      </w:pPr>
      <w:bookmarkStart w:id="1" w:name="_Hlk42861129"/>
      <w:r w:rsidRPr="00C26E25">
        <w:rPr>
          <w:iCs/>
          <w:szCs w:val="26"/>
          <w:lang w:val="lv-LV"/>
        </w:rPr>
        <w:t xml:space="preserve">Šobrīd pieejamais finansējuma apjoms Konkurences padomei </w:t>
      </w:r>
      <w:r w:rsidRPr="00C26E25">
        <w:rPr>
          <w:iCs/>
          <w:szCs w:val="26"/>
          <w:lang w:val="lv-LV"/>
        </w:rPr>
        <w:lastRenderedPageBreak/>
        <w:t xml:space="preserve">izmeklētāju, ekonomistu un juristu amatos ļauj piesaistīt tikai darbiniekus bez atbilstošām priekšzināšanām konkurences tiesībās, kas kopsakarā ar nekonkurētspējīgā atalgojuma rezultātā iestādes nespēju ilgtermiņā noturēt kvalificētus, jau speciālas prasmes un zināšanas apguvušus darbiniekus un augsto darbinieku mainību, </w:t>
      </w:r>
      <w:r w:rsidR="00EE77EE" w:rsidRPr="00C26E25">
        <w:rPr>
          <w:iCs/>
          <w:szCs w:val="26"/>
          <w:lang w:val="lv-LV"/>
        </w:rPr>
        <w:t xml:space="preserve">jau pašlaik negatīvi ietekmē Konkurences likumā noteikto uzdevumu un iestādes darba plānā paredzēto pasākumu izpildi </w:t>
      </w:r>
      <w:r w:rsidR="00952EA2" w:rsidRPr="00C26E25">
        <w:rPr>
          <w:iCs/>
          <w:szCs w:val="26"/>
          <w:lang w:val="lv-LV"/>
        </w:rPr>
        <w:t>2020.gadā 1.pusgadā un plānoto izpildi 2020.gadā kopumā, kā arī vēl vairāk apdraud K</w:t>
      </w:r>
      <w:r w:rsidR="00477BAC" w:rsidRPr="00C26E25">
        <w:rPr>
          <w:iCs/>
          <w:szCs w:val="26"/>
          <w:lang w:val="lv-LV"/>
        </w:rPr>
        <w:t>onkurences padomes</w:t>
      </w:r>
      <w:r w:rsidR="00952EA2" w:rsidRPr="00C26E25">
        <w:rPr>
          <w:iCs/>
          <w:szCs w:val="26"/>
          <w:lang w:val="lv-LV"/>
        </w:rPr>
        <w:t xml:space="preserve"> prioritāro pasākumu izpildi 2021.</w:t>
      </w:r>
      <w:r w:rsidR="007C43FE" w:rsidRPr="00C26E25">
        <w:rPr>
          <w:iCs/>
          <w:szCs w:val="26"/>
          <w:lang w:val="lv-LV"/>
        </w:rPr>
        <w:t xml:space="preserve"> un turpmākajos </w:t>
      </w:r>
      <w:r w:rsidR="000705DC" w:rsidRPr="00C26E25">
        <w:rPr>
          <w:iCs/>
          <w:szCs w:val="26"/>
          <w:lang w:val="lv-LV"/>
        </w:rPr>
        <w:t>gados</w:t>
      </w:r>
      <w:r w:rsidR="00952EA2" w:rsidRPr="00C26E25">
        <w:rPr>
          <w:iCs/>
          <w:szCs w:val="26"/>
          <w:lang w:val="lv-LV"/>
        </w:rPr>
        <w:t xml:space="preserve">, kad </w:t>
      </w:r>
      <w:r w:rsidR="000705DC" w:rsidRPr="00C26E25">
        <w:rPr>
          <w:iCs/>
          <w:szCs w:val="26"/>
          <w:lang w:val="lv-LV"/>
        </w:rPr>
        <w:t>iestādei</w:t>
      </w:r>
      <w:r w:rsidR="00952EA2" w:rsidRPr="00C26E25">
        <w:rPr>
          <w:iCs/>
          <w:szCs w:val="26"/>
          <w:lang w:val="lv-LV"/>
        </w:rPr>
        <w:t xml:space="preserve"> jānodrošina ECN</w:t>
      </w:r>
      <w:r w:rsidR="002941CA" w:rsidRPr="00C26E25">
        <w:rPr>
          <w:iCs/>
          <w:szCs w:val="26"/>
          <w:lang w:val="lv-LV"/>
        </w:rPr>
        <w:t> </w:t>
      </w:r>
      <w:r w:rsidR="00952EA2" w:rsidRPr="00C26E25">
        <w:rPr>
          <w:iCs/>
          <w:szCs w:val="26"/>
          <w:lang w:val="lv-LV"/>
        </w:rPr>
        <w:t>+</w:t>
      </w:r>
      <w:r w:rsidR="00F41541" w:rsidRPr="00C26E25">
        <w:rPr>
          <w:iCs/>
          <w:szCs w:val="26"/>
          <w:lang w:val="lv-LV"/>
        </w:rPr>
        <w:t xml:space="preserve"> </w:t>
      </w:r>
      <w:r w:rsidR="00952EA2" w:rsidRPr="00C26E25">
        <w:rPr>
          <w:iCs/>
          <w:szCs w:val="26"/>
          <w:lang w:val="lv-LV"/>
        </w:rPr>
        <w:t>direktīv</w:t>
      </w:r>
      <w:r w:rsidR="00825288" w:rsidRPr="00C26E25">
        <w:rPr>
          <w:iCs/>
          <w:szCs w:val="26"/>
          <w:lang w:val="lv-LV"/>
        </w:rPr>
        <w:t>as</w:t>
      </w:r>
      <w:r w:rsidR="00F41541" w:rsidRPr="00C26E25">
        <w:rPr>
          <w:iCs/>
          <w:szCs w:val="26"/>
          <w:lang w:val="lv-LV"/>
        </w:rPr>
        <w:t xml:space="preserve"> ieviešana</w:t>
      </w:r>
      <w:r w:rsidR="00952EA2" w:rsidRPr="00C26E25">
        <w:rPr>
          <w:iCs/>
          <w:szCs w:val="26"/>
          <w:lang w:val="lv-LV"/>
        </w:rPr>
        <w:t>.</w:t>
      </w:r>
      <w:r w:rsidR="00825288" w:rsidRPr="00C26E25">
        <w:rPr>
          <w:iCs/>
          <w:szCs w:val="26"/>
          <w:lang w:val="lv-LV"/>
        </w:rPr>
        <w:t xml:space="preserve"> </w:t>
      </w:r>
      <w:r w:rsidR="00B91787" w:rsidRPr="00C26E25">
        <w:rPr>
          <w:iCs/>
          <w:szCs w:val="26"/>
          <w:lang w:val="lv-LV"/>
        </w:rPr>
        <w:t>D</w:t>
      </w:r>
      <w:r w:rsidRPr="00C26E25">
        <w:rPr>
          <w:iCs/>
          <w:szCs w:val="26"/>
          <w:lang w:val="lv-LV"/>
        </w:rPr>
        <w:t>arbinieku augstās mainības dēļ nozīmīgus jau tā ierobežotos iestādes resursus papildus nepieciešams ieguldīt jaunu darbinieku piesaistē un apmācīšanā.</w:t>
      </w:r>
    </w:p>
    <w:bookmarkEnd w:id="1"/>
    <w:p w14:paraId="61EA8BAA" w14:textId="285374F1" w:rsidR="004C3FF5" w:rsidRPr="00C26E25" w:rsidRDefault="004C3FF5" w:rsidP="004C3FF5">
      <w:pPr>
        <w:spacing w:before="120" w:after="0" w:line="240" w:lineRule="auto"/>
        <w:rPr>
          <w:iCs/>
          <w:szCs w:val="26"/>
          <w:lang w:val="lv-LV"/>
        </w:rPr>
      </w:pPr>
      <w:r w:rsidRPr="00C26E25">
        <w:rPr>
          <w:iCs/>
          <w:szCs w:val="26"/>
          <w:lang w:val="lv-LV"/>
        </w:rPr>
        <w:t>Norādāms, ka mūsdienu tehnoloģiju attīstības laikmetā konkurences tiesību pārkāpumu, jo īpaši karteļu atklāšana, ievērojot pārkāpumu komplicētību, tehnikas un tehnoloģisko attīstību, kļūst arvien sarežģītāka. Konkurences padomes tehniskais aprīkojums digitālo pierādījumu iegūšanai un apstrādei ir nepietiekams un atpaliek no tiem risinājumiem, kas ir tirgus dalībnieku rīcībā, slēpjot pierādījumus. Līdz ar to, lai nodrošinātu efektīvu konkurences tiesību pārkāpumu izmeklēšanu, ir nepieciešams finansējums mūsdienu prasībām atbilstošas digitālo pierādījumu izpētes un apstrādes laboratorijas izveidei</w:t>
      </w:r>
      <w:r w:rsidR="002352A4" w:rsidRPr="00C26E25">
        <w:rPr>
          <w:iCs/>
          <w:szCs w:val="26"/>
          <w:lang w:val="lv-LV"/>
        </w:rPr>
        <w:t xml:space="preserve"> un uzturēšanai</w:t>
      </w:r>
      <w:r w:rsidRPr="00C26E25">
        <w:rPr>
          <w:iCs/>
          <w:szCs w:val="26"/>
          <w:lang w:val="lv-LV"/>
        </w:rPr>
        <w:t>, kas ietver ātrgaitas datu nesējus, speciālās digitālo pierādījumu iegūšanas un apstrādes programmatūras u.c. tehniskās ierīces</w:t>
      </w:r>
      <w:r w:rsidR="002352A4" w:rsidRPr="00C26E25">
        <w:rPr>
          <w:iCs/>
          <w:szCs w:val="26"/>
          <w:lang w:val="lv-LV"/>
        </w:rPr>
        <w:t>, to regulāru atjaunošanu</w:t>
      </w:r>
      <w:r w:rsidRPr="00C26E25">
        <w:rPr>
          <w:iCs/>
          <w:szCs w:val="26"/>
          <w:lang w:val="lv-LV"/>
        </w:rPr>
        <w:t>. Konkurences padomes rīcībā nav nepieciešamie finanšu līdzekļi šādu iekārtu un programmatūru iegādei</w:t>
      </w:r>
      <w:r w:rsidR="002352A4" w:rsidRPr="00C26E25">
        <w:rPr>
          <w:rStyle w:val="FootnoteReference"/>
          <w:iCs/>
          <w:szCs w:val="26"/>
          <w:lang w:val="lv-LV"/>
        </w:rPr>
        <w:footnoteReference w:id="3"/>
      </w:r>
      <w:r w:rsidRPr="00C26E25">
        <w:rPr>
          <w:iCs/>
          <w:szCs w:val="26"/>
          <w:lang w:val="lv-LV"/>
        </w:rPr>
        <w:t>.</w:t>
      </w:r>
    </w:p>
    <w:p w14:paraId="7DFCEF71" w14:textId="439E1834" w:rsidR="004C3FF5" w:rsidRPr="00C26E25" w:rsidRDefault="004C3FF5" w:rsidP="004C3FF5">
      <w:pPr>
        <w:spacing w:before="120" w:after="0" w:line="240" w:lineRule="auto"/>
        <w:rPr>
          <w:iCs/>
          <w:szCs w:val="26"/>
          <w:lang w:val="lv-LV"/>
        </w:rPr>
      </w:pPr>
      <w:r w:rsidRPr="00C26E25">
        <w:rPr>
          <w:iCs/>
          <w:szCs w:val="26"/>
          <w:lang w:val="lv-LV"/>
        </w:rPr>
        <w:t>Konkurences padomes kritiskā cilvēkresursu, tehniskā nodrošinājuma un finansiālā situācija 2020.gadā vienlaikus apdraud arī ECN</w:t>
      </w:r>
      <w:r w:rsidR="002941CA" w:rsidRPr="00C26E25">
        <w:rPr>
          <w:iCs/>
          <w:szCs w:val="26"/>
          <w:lang w:val="lv-LV"/>
        </w:rPr>
        <w:t> </w:t>
      </w:r>
      <w:r w:rsidRPr="00C26E25">
        <w:rPr>
          <w:iCs/>
          <w:szCs w:val="26"/>
          <w:lang w:val="lv-LV"/>
        </w:rPr>
        <w:t>+ direktīva</w:t>
      </w:r>
      <w:r w:rsidR="004D11BD" w:rsidRPr="00C26E25">
        <w:rPr>
          <w:iCs/>
          <w:szCs w:val="26"/>
          <w:lang w:val="lv-LV"/>
        </w:rPr>
        <w:t>s</w:t>
      </w:r>
      <w:r w:rsidRPr="00C26E25">
        <w:rPr>
          <w:iCs/>
          <w:szCs w:val="26"/>
          <w:lang w:val="lv-LV"/>
        </w:rPr>
        <w:t xml:space="preserve"> atbilstošu ieviešanu 2021.gadā, kas tieši paredz </w:t>
      </w:r>
      <w:r w:rsidRPr="00C26E25">
        <w:rPr>
          <w:b/>
          <w:bCs/>
          <w:iCs/>
          <w:szCs w:val="26"/>
          <w:lang w:val="lv-LV"/>
        </w:rPr>
        <w:t>dalībvalstu pienākumu nodrošināt, lai valsts konkurences iestāžu rīcībā būtu pietiekams skaits kvalificētu darbinieku un pietiekami finanšu, tehniskie un tehnoloģiskie resursi</w:t>
      </w:r>
      <w:r w:rsidRPr="00C26E25">
        <w:rPr>
          <w:iCs/>
          <w:szCs w:val="26"/>
          <w:lang w:val="lv-LV"/>
        </w:rPr>
        <w:t xml:space="preserve"> pienākumu efektīvai pildīšanai un efektīvai pilnvaru īstenošanai attiecībā uz Eiropas Savienības </w:t>
      </w:r>
      <w:r w:rsidR="00826DB9" w:rsidRPr="00C26E25">
        <w:rPr>
          <w:iCs/>
          <w:szCs w:val="26"/>
          <w:lang w:val="lv-LV"/>
        </w:rPr>
        <w:t xml:space="preserve">un nacionālo </w:t>
      </w:r>
      <w:r w:rsidRPr="00C26E25">
        <w:rPr>
          <w:iCs/>
          <w:szCs w:val="26"/>
          <w:lang w:val="lv-LV"/>
        </w:rPr>
        <w:t>konkurences tiesību piemērošanu.</w:t>
      </w:r>
    </w:p>
    <w:p w14:paraId="6B7AB776" w14:textId="2DF570D9" w:rsidR="004C3FF5" w:rsidRPr="00C26E25" w:rsidRDefault="004C3FF5" w:rsidP="004C3FF5">
      <w:pPr>
        <w:spacing w:before="120" w:after="0" w:line="240" w:lineRule="auto"/>
        <w:rPr>
          <w:szCs w:val="26"/>
          <w:shd w:val="clear" w:color="auto" w:fill="FFFFFF"/>
          <w:lang w:val="lv-LV"/>
        </w:rPr>
      </w:pPr>
      <w:r w:rsidRPr="00C26E25">
        <w:rPr>
          <w:bCs/>
          <w:szCs w:val="26"/>
          <w:shd w:val="clear" w:color="auto" w:fill="FFFFFF"/>
          <w:lang w:val="lv-LV"/>
        </w:rPr>
        <w:t>Ņemot vērā augsto darbinieku mainību iepriekšējos gadus un it sevišķi 2019.gadā, konstatējams, ka iestāde bez papildu finansējuma piesaistes nespē</w:t>
      </w:r>
      <w:r w:rsidR="00826DB9" w:rsidRPr="00C26E25">
        <w:rPr>
          <w:bCs/>
          <w:szCs w:val="26"/>
          <w:shd w:val="clear" w:color="auto" w:fill="FFFFFF"/>
          <w:lang w:val="lv-LV"/>
        </w:rPr>
        <w:t>j</w:t>
      </w:r>
      <w:r w:rsidRPr="00C26E25">
        <w:rPr>
          <w:bCs/>
          <w:szCs w:val="26"/>
          <w:shd w:val="clear" w:color="auto" w:fill="FFFFFF"/>
          <w:lang w:val="lv-LV"/>
        </w:rPr>
        <w:t xml:space="preserve"> pilnvērtīgi nodrošināt vairāku K</w:t>
      </w:r>
      <w:r w:rsidR="00FB04B8" w:rsidRPr="00C26E25">
        <w:rPr>
          <w:bCs/>
          <w:szCs w:val="26"/>
          <w:shd w:val="clear" w:color="auto" w:fill="FFFFFF"/>
          <w:lang w:val="lv-LV"/>
        </w:rPr>
        <w:t>onkurences likuma</w:t>
      </w:r>
      <w:r w:rsidRPr="00C26E25">
        <w:rPr>
          <w:bCs/>
          <w:szCs w:val="26"/>
          <w:shd w:val="clear" w:color="auto" w:fill="FFFFFF"/>
          <w:lang w:val="lv-LV"/>
        </w:rPr>
        <w:t xml:space="preserve"> 6.pantā noteikto un citos normatīvajos aktos noteikto uzdevumu izpildi, kā arī tiek apdraudēts 2021.gadā ECN</w:t>
      </w:r>
      <w:r w:rsidR="002941CA" w:rsidRPr="00C26E25">
        <w:rPr>
          <w:bCs/>
          <w:szCs w:val="26"/>
          <w:shd w:val="clear" w:color="auto" w:fill="FFFFFF"/>
          <w:lang w:val="lv-LV"/>
        </w:rPr>
        <w:t> </w:t>
      </w:r>
      <w:r w:rsidRPr="00C26E25">
        <w:rPr>
          <w:bCs/>
          <w:szCs w:val="26"/>
          <w:shd w:val="clear" w:color="auto" w:fill="FFFFFF"/>
          <w:lang w:val="lv-LV"/>
        </w:rPr>
        <w:t>+ direktīvas ieviešanas viens no mērķiem nodrošināt</w:t>
      </w:r>
      <w:r w:rsidR="00826DB9" w:rsidRPr="00C26E25">
        <w:rPr>
          <w:bCs/>
          <w:szCs w:val="26"/>
          <w:shd w:val="clear" w:color="auto" w:fill="FFFFFF"/>
          <w:lang w:val="lv-LV"/>
        </w:rPr>
        <w:t xml:space="preserve">, lai </w:t>
      </w:r>
      <w:r w:rsidRPr="00C26E25">
        <w:rPr>
          <w:bCs/>
          <w:szCs w:val="26"/>
          <w:shd w:val="clear" w:color="auto" w:fill="FFFFFF"/>
          <w:lang w:val="lv-LV"/>
        </w:rPr>
        <w:t xml:space="preserve"> iestādes </w:t>
      </w:r>
      <w:r w:rsidR="00826DB9" w:rsidRPr="00C26E25">
        <w:rPr>
          <w:bCs/>
          <w:szCs w:val="26"/>
          <w:shd w:val="clear" w:color="auto" w:fill="FFFFFF"/>
          <w:lang w:val="lv-LV"/>
        </w:rPr>
        <w:t>rīcībā būtu pietiekams skaits kvalificētu darbinieku un pietiekami finanšu, tehniskie un tehnoloģiskie resursi konkurences lietu efektīvai izmeklēšanai un atklāšanai, efektīvai sadarbības nodrošināšanai ar citu dalībvalstu konkurences iestādēm un Eiropas Komisiju</w:t>
      </w:r>
      <w:r w:rsidRPr="00C26E25">
        <w:rPr>
          <w:szCs w:val="26"/>
          <w:shd w:val="clear" w:color="auto" w:fill="FFFFFF"/>
          <w:lang w:val="lv-LV"/>
        </w:rPr>
        <w:t xml:space="preserve">. Tāpat tas apdraud </w:t>
      </w:r>
      <w:r w:rsidR="0060754C" w:rsidRPr="00C26E25">
        <w:rPr>
          <w:szCs w:val="26"/>
          <w:shd w:val="clear" w:color="auto" w:fill="FFFFFF"/>
          <w:lang w:val="lv-LV"/>
        </w:rPr>
        <w:t xml:space="preserve">sabiedrībai </w:t>
      </w:r>
      <w:r w:rsidRPr="00C26E25">
        <w:rPr>
          <w:szCs w:val="26"/>
          <w:shd w:val="clear" w:color="auto" w:fill="FFFFFF"/>
          <w:lang w:val="lv-LV"/>
        </w:rPr>
        <w:t xml:space="preserve">būtiskas jau uzsāktas un plānotas konkurences lietu izpētes un uzraudzības vairākos tirgos </w:t>
      </w:r>
      <w:r w:rsidRPr="00C26E25">
        <w:rPr>
          <w:i/>
          <w:iCs/>
          <w:szCs w:val="26"/>
          <w:shd w:val="clear" w:color="auto" w:fill="FFFFFF"/>
          <w:lang w:val="lv-LV"/>
        </w:rPr>
        <w:t xml:space="preserve">(farmācija, atkritumi, būvniecība, dzelzceļa kravu pārvadājumi, </w:t>
      </w:r>
      <w:r w:rsidR="0060754C" w:rsidRPr="00C26E25">
        <w:rPr>
          <w:i/>
          <w:iCs/>
          <w:szCs w:val="26"/>
          <w:shd w:val="clear" w:color="auto" w:fill="FFFFFF"/>
          <w:lang w:val="lv-LV"/>
        </w:rPr>
        <w:t xml:space="preserve">televīzijas </w:t>
      </w:r>
      <w:r w:rsidRPr="00C26E25">
        <w:rPr>
          <w:i/>
          <w:iCs/>
          <w:szCs w:val="26"/>
          <w:shd w:val="clear" w:color="auto" w:fill="FFFFFF"/>
          <w:lang w:val="lv-LV"/>
        </w:rPr>
        <w:t>programmu izplatīšana, elektroniskie sakari u.c.)</w:t>
      </w:r>
      <w:r w:rsidRPr="00C26E25">
        <w:rPr>
          <w:szCs w:val="26"/>
          <w:shd w:val="clear" w:color="auto" w:fill="FFFFFF"/>
          <w:lang w:val="lv-LV"/>
        </w:rPr>
        <w:t>.</w:t>
      </w:r>
    </w:p>
    <w:p w14:paraId="5F3AA0EC" w14:textId="0EF0D33E" w:rsidR="00254D7F" w:rsidRPr="00C26E25" w:rsidRDefault="00DF0BB9" w:rsidP="004C3FF5">
      <w:pPr>
        <w:spacing w:before="120" w:after="0" w:line="240" w:lineRule="auto"/>
        <w:rPr>
          <w:szCs w:val="26"/>
          <w:shd w:val="clear" w:color="auto" w:fill="FFFFFF"/>
          <w:lang w:val="lv-LV"/>
        </w:rPr>
      </w:pPr>
      <w:bookmarkStart w:id="2" w:name="_Hlk42859335"/>
      <w:r w:rsidRPr="00C26E25">
        <w:rPr>
          <w:szCs w:val="26"/>
          <w:shd w:val="clear" w:color="auto" w:fill="FFFFFF"/>
          <w:lang w:val="lv-LV"/>
        </w:rPr>
        <w:lastRenderedPageBreak/>
        <w:t>Piešķirot Konkurences padomei nepieciešamo papildus finansējumu</w:t>
      </w:r>
      <w:r w:rsidR="00477BAC" w:rsidRPr="00C26E25">
        <w:rPr>
          <w:szCs w:val="26"/>
          <w:shd w:val="clear" w:color="auto" w:fill="FFFFFF"/>
          <w:lang w:val="lv-LV"/>
        </w:rPr>
        <w:t>,</w:t>
      </w:r>
      <w:r w:rsidRPr="00C26E25">
        <w:rPr>
          <w:szCs w:val="26"/>
          <w:shd w:val="clear" w:color="auto" w:fill="FFFFFF"/>
          <w:lang w:val="lv-LV"/>
        </w:rPr>
        <w:t xml:space="preserve"> plānots stabilizēt esošo </w:t>
      </w:r>
      <w:proofErr w:type="spellStart"/>
      <w:r w:rsidRPr="00C26E25">
        <w:rPr>
          <w:szCs w:val="26"/>
          <w:shd w:val="clear" w:color="auto" w:fill="FFFFFF"/>
          <w:lang w:val="lv-LV"/>
        </w:rPr>
        <w:t>personālmainību</w:t>
      </w:r>
      <w:proofErr w:type="spellEnd"/>
      <w:r w:rsidR="00477BAC" w:rsidRPr="00C26E25">
        <w:rPr>
          <w:szCs w:val="26"/>
          <w:shd w:val="clear" w:color="auto" w:fill="FFFFFF"/>
          <w:lang w:val="lv-LV"/>
        </w:rPr>
        <w:t xml:space="preserve"> iestādē</w:t>
      </w:r>
      <w:r w:rsidRPr="00C26E25">
        <w:rPr>
          <w:szCs w:val="26"/>
          <w:shd w:val="clear" w:color="auto" w:fill="FFFFFF"/>
          <w:lang w:val="lv-LV"/>
        </w:rPr>
        <w:t xml:space="preserve">, uzsākt kvalificētu speciālistu piesaisti, nodrošināt savlaicīgu un sekmīgu </w:t>
      </w:r>
      <w:r w:rsidR="008F7DA4" w:rsidRPr="00C26E25">
        <w:rPr>
          <w:szCs w:val="26"/>
          <w:shd w:val="clear" w:color="auto" w:fill="FFFFFF"/>
          <w:lang w:val="lv-LV"/>
        </w:rPr>
        <w:t>esošo augstas prioritātes ierosināto konkurences lietu izmeklēšanu un uzsākt jaunu sabiedrībai būtisku</w:t>
      </w:r>
      <w:r w:rsidR="00E337F5" w:rsidRPr="00C26E25">
        <w:rPr>
          <w:szCs w:val="26"/>
          <w:shd w:val="clear" w:color="auto" w:fill="FFFFFF"/>
          <w:lang w:val="lv-LV"/>
        </w:rPr>
        <w:t xml:space="preserve"> </w:t>
      </w:r>
      <w:r w:rsidR="008F7DA4" w:rsidRPr="00C26E25">
        <w:rPr>
          <w:szCs w:val="26"/>
          <w:shd w:val="clear" w:color="auto" w:fill="FFFFFF"/>
          <w:lang w:val="lv-LV"/>
        </w:rPr>
        <w:t xml:space="preserve"> konkurences lietu izmeklēšanu</w:t>
      </w:r>
      <w:r w:rsidR="00254D7F" w:rsidRPr="00C26E25">
        <w:rPr>
          <w:szCs w:val="26"/>
          <w:shd w:val="clear" w:color="auto" w:fill="FFFFFF"/>
          <w:lang w:val="lv-LV"/>
        </w:rPr>
        <w:t>,</w:t>
      </w:r>
      <w:r w:rsidR="006C56A0" w:rsidRPr="00C26E25">
        <w:rPr>
          <w:lang w:val="lv-LV"/>
        </w:rPr>
        <w:t xml:space="preserve"> </w:t>
      </w:r>
      <w:r w:rsidR="006C56A0" w:rsidRPr="00C26E25">
        <w:rPr>
          <w:szCs w:val="26"/>
          <w:shd w:val="clear" w:color="auto" w:fill="FFFFFF"/>
          <w:lang w:val="lv-LV"/>
        </w:rPr>
        <w:t>tostarp</w:t>
      </w:r>
      <w:r w:rsidR="00477BAC" w:rsidRPr="00C26E25">
        <w:rPr>
          <w:szCs w:val="26"/>
          <w:shd w:val="clear" w:color="auto" w:fill="FFFFFF"/>
          <w:lang w:val="lv-LV"/>
        </w:rPr>
        <w:t xml:space="preserve"> </w:t>
      </w:r>
      <w:r w:rsidR="006C56A0" w:rsidRPr="00C26E25">
        <w:rPr>
          <w:szCs w:val="26"/>
          <w:shd w:val="clear" w:color="auto" w:fill="FFFFFF"/>
          <w:lang w:val="lv-LV"/>
        </w:rPr>
        <w:t>digitālajā vidē,</w:t>
      </w:r>
      <w:r w:rsidR="00254D7F" w:rsidRPr="00C26E25">
        <w:rPr>
          <w:szCs w:val="26"/>
          <w:shd w:val="clear" w:color="auto" w:fill="FFFFFF"/>
          <w:lang w:val="lv-LV"/>
        </w:rPr>
        <w:t xml:space="preserve"> ko šobrīd iestādei nav iespējams īstenot nepietiekam</w:t>
      </w:r>
      <w:r w:rsidR="00E337F5" w:rsidRPr="00C26E25">
        <w:rPr>
          <w:szCs w:val="26"/>
          <w:shd w:val="clear" w:color="auto" w:fill="FFFFFF"/>
          <w:lang w:val="lv-LV"/>
        </w:rPr>
        <w:t>ās</w:t>
      </w:r>
      <w:r w:rsidR="00254D7F" w:rsidRPr="00C26E25">
        <w:rPr>
          <w:szCs w:val="26"/>
          <w:shd w:val="clear" w:color="auto" w:fill="FFFFFF"/>
          <w:lang w:val="lv-LV"/>
        </w:rPr>
        <w:t xml:space="preserve"> kapacitāte</w:t>
      </w:r>
      <w:r w:rsidR="00E337F5" w:rsidRPr="00C26E25">
        <w:rPr>
          <w:szCs w:val="26"/>
          <w:shd w:val="clear" w:color="auto" w:fill="FFFFFF"/>
          <w:lang w:val="lv-LV"/>
        </w:rPr>
        <w:t>s un resursu</w:t>
      </w:r>
      <w:r w:rsidR="00254D7F" w:rsidRPr="00C26E25">
        <w:rPr>
          <w:szCs w:val="26"/>
          <w:shd w:val="clear" w:color="auto" w:fill="FFFFFF"/>
          <w:lang w:val="lv-LV"/>
        </w:rPr>
        <w:t xml:space="preserve"> dēļ. </w:t>
      </w:r>
      <w:r w:rsidR="00477BAC" w:rsidRPr="00C26E25">
        <w:rPr>
          <w:szCs w:val="26"/>
          <w:u w:val="single"/>
          <w:shd w:val="clear" w:color="auto" w:fill="FFFFFF"/>
          <w:lang w:val="lv-LV"/>
        </w:rPr>
        <w:t>S</w:t>
      </w:r>
      <w:r w:rsidR="00254D7F" w:rsidRPr="00C26E25">
        <w:rPr>
          <w:szCs w:val="26"/>
          <w:u w:val="single"/>
          <w:shd w:val="clear" w:color="auto" w:fill="FFFFFF"/>
          <w:lang w:val="lv-LV"/>
        </w:rPr>
        <w:t xml:space="preserve">tiprinot Konkurences padomes </w:t>
      </w:r>
      <w:r w:rsidR="000639FF" w:rsidRPr="00C26E25">
        <w:rPr>
          <w:szCs w:val="26"/>
          <w:u w:val="single"/>
          <w:shd w:val="clear" w:color="auto" w:fill="FFFFFF"/>
          <w:lang w:val="lv-LV"/>
        </w:rPr>
        <w:t xml:space="preserve">finansiālo un attiecīgi </w:t>
      </w:r>
      <w:r w:rsidR="001264C4" w:rsidRPr="00C26E25">
        <w:rPr>
          <w:szCs w:val="26"/>
          <w:u w:val="single"/>
          <w:shd w:val="clear" w:color="auto" w:fill="FFFFFF"/>
          <w:lang w:val="lv-LV"/>
        </w:rPr>
        <w:t xml:space="preserve">izmeklēšanas </w:t>
      </w:r>
      <w:r w:rsidR="00254D7F" w:rsidRPr="00C26E25">
        <w:rPr>
          <w:szCs w:val="26"/>
          <w:u w:val="single"/>
          <w:shd w:val="clear" w:color="auto" w:fill="FFFFFF"/>
          <w:lang w:val="lv-LV"/>
        </w:rPr>
        <w:t>kapacitāti</w:t>
      </w:r>
      <w:r w:rsidR="001264C4" w:rsidRPr="00C26E25">
        <w:rPr>
          <w:szCs w:val="26"/>
          <w:u w:val="single"/>
          <w:shd w:val="clear" w:color="auto" w:fill="FFFFFF"/>
          <w:lang w:val="lv-LV"/>
        </w:rPr>
        <w:t xml:space="preserve">, konkurences uzraudzības aktivitāšu rezultātā, novēršot smagākos konkurences tiesību pārkāpumus, </w:t>
      </w:r>
      <w:r w:rsidR="00E337F5" w:rsidRPr="00C26E25">
        <w:rPr>
          <w:szCs w:val="26"/>
          <w:u w:val="single"/>
          <w:shd w:val="clear" w:color="auto" w:fill="FFFFFF"/>
          <w:lang w:val="lv-LV"/>
        </w:rPr>
        <w:t xml:space="preserve">tuvāko trīs gadu periodā </w:t>
      </w:r>
      <w:r w:rsidR="001264C4" w:rsidRPr="00C26E25">
        <w:rPr>
          <w:szCs w:val="26"/>
          <w:u w:val="single"/>
          <w:shd w:val="clear" w:color="auto" w:fill="FFFFFF"/>
          <w:lang w:val="lv-LV"/>
        </w:rPr>
        <w:t>prognozējams sabiedrības ieguvuma pieaugums</w:t>
      </w:r>
      <w:r w:rsidR="00E337F5" w:rsidRPr="00C26E25">
        <w:rPr>
          <w:szCs w:val="26"/>
          <w:u w:val="single"/>
          <w:shd w:val="clear" w:color="auto" w:fill="FFFFFF"/>
          <w:lang w:val="lv-LV"/>
        </w:rPr>
        <w:t>,</w:t>
      </w:r>
      <w:r w:rsidR="001264C4" w:rsidRPr="00C26E25">
        <w:rPr>
          <w:szCs w:val="26"/>
          <w:u w:val="single"/>
          <w:shd w:val="clear" w:color="auto" w:fill="FFFFFF"/>
          <w:lang w:val="lv-LV"/>
        </w:rPr>
        <w:t xml:space="preserve"> </w:t>
      </w:r>
      <w:r w:rsidR="006C56A0" w:rsidRPr="00C26E25">
        <w:rPr>
          <w:szCs w:val="26"/>
          <w:u w:val="single"/>
          <w:shd w:val="clear" w:color="auto" w:fill="FFFFFF"/>
          <w:lang w:val="lv-LV"/>
        </w:rPr>
        <w:t xml:space="preserve">to </w:t>
      </w:r>
      <w:r w:rsidR="001264C4" w:rsidRPr="00C26E25">
        <w:rPr>
          <w:szCs w:val="26"/>
          <w:u w:val="single"/>
          <w:shd w:val="clear" w:color="auto" w:fill="FFFFFF"/>
          <w:lang w:val="lv-LV"/>
        </w:rPr>
        <w:t>sasniedzot ne mazāk kā 23 m</w:t>
      </w:r>
      <w:r w:rsidR="00477BAC" w:rsidRPr="00C26E25">
        <w:rPr>
          <w:szCs w:val="26"/>
          <w:u w:val="single"/>
          <w:shd w:val="clear" w:color="auto" w:fill="FFFFFF"/>
          <w:lang w:val="lv-LV"/>
        </w:rPr>
        <w:t>i</w:t>
      </w:r>
      <w:r w:rsidR="001264C4" w:rsidRPr="00C26E25">
        <w:rPr>
          <w:szCs w:val="26"/>
          <w:u w:val="single"/>
          <w:shd w:val="clear" w:color="auto" w:fill="FFFFFF"/>
          <w:lang w:val="lv-LV"/>
        </w:rPr>
        <w:t xml:space="preserve">lj. </w:t>
      </w:r>
      <w:proofErr w:type="spellStart"/>
      <w:r w:rsidR="001264C4" w:rsidRPr="00C26E25">
        <w:rPr>
          <w:i/>
          <w:iCs/>
          <w:szCs w:val="26"/>
          <w:u w:val="single"/>
          <w:shd w:val="clear" w:color="auto" w:fill="FFFFFF"/>
          <w:lang w:val="lv-LV"/>
        </w:rPr>
        <w:t>euro</w:t>
      </w:r>
      <w:proofErr w:type="spellEnd"/>
      <w:r w:rsidR="00E337F5" w:rsidRPr="00C26E25">
        <w:rPr>
          <w:szCs w:val="26"/>
          <w:u w:val="single"/>
          <w:shd w:val="clear" w:color="auto" w:fill="FFFFFF"/>
          <w:lang w:val="lv-LV"/>
        </w:rPr>
        <w:t xml:space="preserve"> </w:t>
      </w:r>
      <w:r w:rsidR="006C56A0" w:rsidRPr="00C26E25">
        <w:rPr>
          <w:szCs w:val="26"/>
          <w:u w:val="single"/>
          <w:shd w:val="clear" w:color="auto" w:fill="FFFFFF"/>
          <w:lang w:val="lv-LV"/>
        </w:rPr>
        <w:t xml:space="preserve">apmērā </w:t>
      </w:r>
      <w:r w:rsidR="00C3108D" w:rsidRPr="00C26E25">
        <w:rPr>
          <w:szCs w:val="26"/>
          <w:u w:val="single"/>
          <w:shd w:val="clear" w:color="auto" w:fill="FFFFFF"/>
          <w:lang w:val="lv-LV"/>
        </w:rPr>
        <w:t xml:space="preserve">vidēji gadā </w:t>
      </w:r>
      <w:r w:rsidR="00E337F5" w:rsidRPr="00C26E25">
        <w:rPr>
          <w:szCs w:val="26"/>
          <w:u w:val="single"/>
          <w:shd w:val="clear" w:color="auto" w:fill="FFFFFF"/>
          <w:lang w:val="lv-LV"/>
        </w:rPr>
        <w:t>(pieaugums par 15%)</w:t>
      </w:r>
      <w:r w:rsidR="001264C4" w:rsidRPr="00C26E25">
        <w:rPr>
          <w:szCs w:val="26"/>
          <w:u w:val="single"/>
          <w:shd w:val="clear" w:color="auto" w:fill="FFFFFF"/>
          <w:lang w:val="lv-LV"/>
        </w:rPr>
        <w:t xml:space="preserve">, </w:t>
      </w:r>
      <w:r w:rsidR="00E337F5" w:rsidRPr="00C26E25">
        <w:rPr>
          <w:szCs w:val="26"/>
          <w:u w:val="single"/>
          <w:shd w:val="clear" w:color="auto" w:fill="FFFFFF"/>
          <w:lang w:val="lv-LV"/>
        </w:rPr>
        <w:t xml:space="preserve">izmeklēto </w:t>
      </w:r>
      <w:r w:rsidR="001264C4" w:rsidRPr="00C26E25">
        <w:rPr>
          <w:szCs w:val="26"/>
          <w:u w:val="single"/>
          <w:shd w:val="clear" w:color="auto" w:fill="FFFFFF"/>
          <w:lang w:val="lv-LV"/>
        </w:rPr>
        <w:t xml:space="preserve">augstas prioritātes </w:t>
      </w:r>
      <w:r w:rsidR="006A3E13" w:rsidRPr="00C26E25">
        <w:rPr>
          <w:szCs w:val="26"/>
          <w:u w:val="single"/>
          <w:shd w:val="clear" w:color="auto" w:fill="FFFFFF"/>
          <w:lang w:val="lv-LV"/>
        </w:rPr>
        <w:t>sabiedrībai būtisku</w:t>
      </w:r>
      <w:r w:rsidR="001264C4" w:rsidRPr="00C26E25">
        <w:rPr>
          <w:szCs w:val="26"/>
          <w:u w:val="single"/>
          <w:shd w:val="clear" w:color="auto" w:fill="FFFFFF"/>
          <w:lang w:val="lv-LV"/>
        </w:rPr>
        <w:t xml:space="preserve"> </w:t>
      </w:r>
      <w:r w:rsidR="00F016C9" w:rsidRPr="00C26E25">
        <w:rPr>
          <w:szCs w:val="26"/>
          <w:u w:val="single"/>
          <w:shd w:val="clear" w:color="auto" w:fill="FFFFFF"/>
          <w:lang w:val="lv-LV"/>
        </w:rPr>
        <w:t xml:space="preserve">smagāko konkurences tiesību pārkāpumu un tirgus uzraudzības lietu </w:t>
      </w:r>
      <w:r w:rsidR="00E337F5" w:rsidRPr="00C26E25">
        <w:rPr>
          <w:szCs w:val="26"/>
          <w:u w:val="single"/>
          <w:shd w:val="clear" w:color="auto" w:fill="FFFFFF"/>
          <w:lang w:val="lv-LV"/>
        </w:rPr>
        <w:t>skaita pieaugums no 10 uz 1</w:t>
      </w:r>
      <w:r w:rsidR="00632760" w:rsidRPr="00C26E25">
        <w:rPr>
          <w:szCs w:val="26"/>
          <w:u w:val="single"/>
          <w:shd w:val="clear" w:color="auto" w:fill="FFFFFF"/>
          <w:lang w:val="lv-LV"/>
        </w:rPr>
        <w:t>2</w:t>
      </w:r>
      <w:r w:rsidR="00E337F5" w:rsidRPr="00C26E25">
        <w:rPr>
          <w:szCs w:val="26"/>
          <w:u w:val="single"/>
          <w:shd w:val="clear" w:color="auto" w:fill="FFFFFF"/>
          <w:lang w:val="lv-LV"/>
        </w:rPr>
        <w:t xml:space="preserve"> </w:t>
      </w:r>
      <w:r w:rsidR="00632760" w:rsidRPr="00C26E25">
        <w:rPr>
          <w:szCs w:val="26"/>
          <w:u w:val="single"/>
          <w:shd w:val="clear" w:color="auto" w:fill="FFFFFF"/>
          <w:lang w:val="lv-LV"/>
        </w:rPr>
        <w:t xml:space="preserve">lietām (pieaugums par 20%), novērstais publisko personu, to kapitālsabiedrību radīto </w:t>
      </w:r>
      <w:r w:rsidR="000C6AEA" w:rsidRPr="00C26E25">
        <w:rPr>
          <w:szCs w:val="26"/>
          <w:u w:val="single"/>
          <w:shd w:val="clear" w:color="auto" w:fill="FFFFFF"/>
          <w:lang w:val="lv-LV"/>
        </w:rPr>
        <w:t xml:space="preserve">konkurences </w:t>
      </w:r>
      <w:r w:rsidR="00632760" w:rsidRPr="00C26E25">
        <w:rPr>
          <w:szCs w:val="26"/>
          <w:u w:val="single"/>
          <w:shd w:val="clear" w:color="auto" w:fill="FFFFFF"/>
          <w:lang w:val="lv-LV"/>
        </w:rPr>
        <w:t xml:space="preserve">ierobežojumu īpatsvara pieaugums  no 22% uz 30% </w:t>
      </w:r>
      <w:r w:rsidR="00261B83" w:rsidRPr="00C26E25">
        <w:rPr>
          <w:szCs w:val="26"/>
          <w:u w:val="single"/>
          <w:shd w:val="clear" w:color="auto" w:fill="FFFFFF"/>
          <w:lang w:val="lv-LV"/>
        </w:rPr>
        <w:t>(pieaugums par 36%)</w:t>
      </w:r>
      <w:r w:rsidR="00632760" w:rsidRPr="00C26E25">
        <w:rPr>
          <w:szCs w:val="26"/>
          <w:u w:val="single"/>
          <w:shd w:val="clear" w:color="auto" w:fill="FFFFFF"/>
          <w:lang w:val="lv-LV"/>
        </w:rPr>
        <w:t xml:space="preserve"> un izmeklēto lietu, kas saistītas ar konkurences neitralitātes pārkāpum</w:t>
      </w:r>
      <w:r w:rsidR="006C56A0" w:rsidRPr="00C26E25">
        <w:rPr>
          <w:szCs w:val="26"/>
          <w:u w:val="single"/>
          <w:shd w:val="clear" w:color="auto" w:fill="FFFFFF"/>
          <w:lang w:val="lv-LV"/>
        </w:rPr>
        <w:t>iem</w:t>
      </w:r>
      <w:r w:rsidR="00632760" w:rsidRPr="00C26E25">
        <w:rPr>
          <w:szCs w:val="26"/>
          <w:u w:val="single"/>
          <w:shd w:val="clear" w:color="auto" w:fill="FFFFFF"/>
          <w:lang w:val="lv-LV"/>
        </w:rPr>
        <w:t>, skaita pieaugums no 4 uz 8 lietām (pieaugums</w:t>
      </w:r>
      <w:r w:rsidR="006C56A0" w:rsidRPr="00C26E25">
        <w:rPr>
          <w:szCs w:val="26"/>
          <w:u w:val="single"/>
          <w:shd w:val="clear" w:color="auto" w:fill="FFFFFF"/>
          <w:lang w:val="lv-LV"/>
        </w:rPr>
        <w:t xml:space="preserve"> </w:t>
      </w:r>
      <w:r w:rsidR="00261B83" w:rsidRPr="00C26E25">
        <w:rPr>
          <w:szCs w:val="26"/>
          <w:u w:val="single"/>
          <w:shd w:val="clear" w:color="auto" w:fill="FFFFFF"/>
          <w:lang w:val="lv-LV"/>
        </w:rPr>
        <w:t xml:space="preserve">par </w:t>
      </w:r>
      <w:r w:rsidR="006C56A0" w:rsidRPr="00C26E25">
        <w:rPr>
          <w:szCs w:val="26"/>
          <w:u w:val="single"/>
          <w:shd w:val="clear" w:color="auto" w:fill="FFFFFF"/>
          <w:lang w:val="lv-LV"/>
        </w:rPr>
        <w:t>100%</w:t>
      </w:r>
      <w:r w:rsidR="00632760" w:rsidRPr="00C26E25">
        <w:rPr>
          <w:szCs w:val="26"/>
          <w:u w:val="single"/>
          <w:shd w:val="clear" w:color="auto" w:fill="FFFFFF"/>
          <w:lang w:val="lv-LV"/>
        </w:rPr>
        <w:t>)</w:t>
      </w:r>
      <w:r w:rsidR="000C6AEA" w:rsidRPr="00C26E25">
        <w:rPr>
          <w:szCs w:val="26"/>
          <w:u w:val="single"/>
          <w:shd w:val="clear" w:color="auto" w:fill="FFFFFF"/>
          <w:lang w:val="lv-LV"/>
        </w:rPr>
        <w:t>.</w:t>
      </w:r>
    </w:p>
    <w:bookmarkEnd w:id="2"/>
    <w:p w14:paraId="5DDD1BFB" w14:textId="7476F4F4" w:rsidR="004C3FF5" w:rsidRPr="00C26E25" w:rsidRDefault="004C3FF5" w:rsidP="004C3FF5">
      <w:pPr>
        <w:spacing w:before="120" w:after="0" w:line="240" w:lineRule="auto"/>
        <w:rPr>
          <w:szCs w:val="26"/>
          <w:lang w:val="lv-LV"/>
        </w:rPr>
      </w:pPr>
      <w:r w:rsidRPr="00C26E25">
        <w:rPr>
          <w:szCs w:val="26"/>
          <w:lang w:val="lv-LV"/>
        </w:rPr>
        <w:t xml:space="preserve">Attiecīgi, </w:t>
      </w:r>
      <w:r w:rsidRPr="00C26E25">
        <w:rPr>
          <w:szCs w:val="26"/>
          <w:u w:val="single"/>
          <w:lang w:val="lv-LV"/>
        </w:rPr>
        <w:t>lai izvairītos no kritiskas situācijas veidošanās konkurences uzraudzībā, neapdraudētu ECN</w:t>
      </w:r>
      <w:r w:rsidR="002941CA" w:rsidRPr="00C26E25">
        <w:rPr>
          <w:szCs w:val="26"/>
          <w:u w:val="single"/>
          <w:lang w:val="lv-LV"/>
        </w:rPr>
        <w:t> </w:t>
      </w:r>
      <w:r w:rsidRPr="00C26E25">
        <w:rPr>
          <w:szCs w:val="26"/>
          <w:u w:val="single"/>
          <w:lang w:val="lv-LV"/>
        </w:rPr>
        <w:t>+ direktīvas ieviešanu</w:t>
      </w:r>
      <w:r w:rsidR="00FB04B8" w:rsidRPr="00C26E25">
        <w:rPr>
          <w:szCs w:val="26"/>
          <w:u w:val="single"/>
          <w:lang w:val="lv-LV"/>
        </w:rPr>
        <w:t xml:space="preserve"> un</w:t>
      </w:r>
      <w:r w:rsidR="0023536E" w:rsidRPr="00C26E25">
        <w:rPr>
          <w:szCs w:val="26"/>
          <w:u w:val="single"/>
          <w:lang w:val="lv-LV"/>
        </w:rPr>
        <w:t xml:space="preserve"> pilnvērtīgi tiktu izmantots Konkurences padomes potenciāls</w:t>
      </w:r>
      <w:r w:rsidR="00F94137" w:rsidRPr="00C26E25">
        <w:rPr>
          <w:szCs w:val="26"/>
          <w:u w:val="single"/>
          <w:lang w:val="lv-LV"/>
        </w:rPr>
        <w:t xml:space="preserve"> uzņēmējdarbībai un investīcijām labvēlīgas vides </w:t>
      </w:r>
      <w:r w:rsidR="0023536E" w:rsidRPr="00C26E25">
        <w:rPr>
          <w:szCs w:val="26"/>
          <w:u w:val="single"/>
          <w:lang w:val="lv-LV"/>
        </w:rPr>
        <w:t>nodrošināšanā</w:t>
      </w:r>
      <w:r w:rsidR="00F94137" w:rsidRPr="00C26E25">
        <w:rPr>
          <w:szCs w:val="26"/>
          <w:u w:val="single"/>
          <w:lang w:val="lv-LV"/>
        </w:rPr>
        <w:t>, sekmējot</w:t>
      </w:r>
      <w:r w:rsidR="00FB04B8" w:rsidRPr="00C26E25">
        <w:rPr>
          <w:szCs w:val="26"/>
          <w:u w:val="single"/>
          <w:lang w:val="lv-LV"/>
        </w:rPr>
        <w:t xml:space="preserve"> tautsaimniecības</w:t>
      </w:r>
      <w:r w:rsidR="00F94137" w:rsidRPr="00C26E25">
        <w:rPr>
          <w:szCs w:val="26"/>
          <w:u w:val="single"/>
          <w:lang w:val="lv-LV"/>
        </w:rPr>
        <w:t xml:space="preserve"> ilgtspējīgu attīstību un</w:t>
      </w:r>
      <w:r w:rsidR="00FB04B8" w:rsidRPr="00C26E25">
        <w:rPr>
          <w:szCs w:val="26"/>
          <w:u w:val="single"/>
          <w:lang w:val="lv-LV"/>
        </w:rPr>
        <w:t xml:space="preserve"> sabiedrība</w:t>
      </w:r>
      <w:r w:rsidR="00F94137" w:rsidRPr="00C26E25">
        <w:rPr>
          <w:szCs w:val="26"/>
          <w:u w:val="single"/>
          <w:lang w:val="lv-LV"/>
        </w:rPr>
        <w:t xml:space="preserve"> labklājības </w:t>
      </w:r>
      <w:r w:rsidR="0023536E" w:rsidRPr="00C26E25">
        <w:rPr>
          <w:szCs w:val="26"/>
          <w:u w:val="single"/>
          <w:lang w:val="lv-LV"/>
        </w:rPr>
        <w:t>līmeņa celšanos</w:t>
      </w:r>
      <w:r w:rsidRPr="00C26E25">
        <w:rPr>
          <w:szCs w:val="26"/>
          <w:u w:val="single"/>
          <w:lang w:val="lv-LV"/>
        </w:rPr>
        <w:t xml:space="preserve">, ir būtiski </w:t>
      </w:r>
      <w:r w:rsidR="003C2FF6" w:rsidRPr="00C26E25">
        <w:rPr>
          <w:szCs w:val="26"/>
          <w:u w:val="single"/>
          <w:lang w:val="lv-LV"/>
        </w:rPr>
        <w:t xml:space="preserve">jau 2020.gadā </w:t>
      </w:r>
      <w:r w:rsidRPr="00C26E25">
        <w:rPr>
          <w:szCs w:val="26"/>
          <w:u w:val="single"/>
          <w:lang w:val="lv-LV"/>
        </w:rPr>
        <w:t>nodrošināt konkurētspējīgu atalgojumu konkurences uzraudzības funkciju īstenotājiem</w:t>
      </w:r>
      <w:r w:rsidR="00C452E6" w:rsidRPr="00C26E25">
        <w:rPr>
          <w:szCs w:val="26"/>
          <w:u w:val="single"/>
          <w:lang w:val="lv-LV"/>
        </w:rPr>
        <w:t>.</w:t>
      </w:r>
      <w:r w:rsidRPr="00C26E25">
        <w:rPr>
          <w:szCs w:val="26"/>
          <w:lang w:val="lv-LV"/>
        </w:rPr>
        <w:t xml:space="preserve"> </w:t>
      </w:r>
    </w:p>
    <w:p w14:paraId="6A8FD0B8" w14:textId="016E70A9" w:rsidR="00456C74" w:rsidRPr="00C26E25" w:rsidRDefault="00456C74" w:rsidP="004C3FF5">
      <w:pPr>
        <w:spacing w:before="120" w:after="0" w:line="240" w:lineRule="auto"/>
        <w:rPr>
          <w:szCs w:val="26"/>
          <w:lang w:val="lv-LV"/>
        </w:rPr>
      </w:pPr>
      <w:r w:rsidRPr="00C26E25">
        <w:rPr>
          <w:szCs w:val="26"/>
          <w:shd w:val="clear" w:color="auto" w:fill="FFFFFF"/>
          <w:lang w:val="lv-LV"/>
        </w:rPr>
        <w:t xml:space="preserve">Iepriekš minētais jautājums būtu risināms, aicinot Ministru kabinetu </w:t>
      </w:r>
      <w:r w:rsidRPr="00C26E25">
        <w:rPr>
          <w:rStyle w:val="Strong"/>
          <w:b w:val="0"/>
          <w:bCs w:val="0"/>
          <w:szCs w:val="26"/>
          <w:lang w:val="lv-LV"/>
        </w:rPr>
        <w:t>lemt par 2020. gadā papildus nepieciešamo finanšu resursu piešķiršanu Konkurences padomei</w:t>
      </w:r>
      <w:r w:rsidR="00EF07D4" w:rsidRPr="00C26E25">
        <w:rPr>
          <w:rStyle w:val="Strong"/>
          <w:b w:val="0"/>
          <w:bCs w:val="0"/>
          <w:szCs w:val="26"/>
          <w:lang w:val="lv-LV"/>
        </w:rPr>
        <w:t xml:space="preserve">, pārdalot finansējumu 178 039 </w:t>
      </w:r>
      <w:proofErr w:type="spellStart"/>
      <w:r w:rsidR="00EF07D4" w:rsidRPr="00C26E25">
        <w:rPr>
          <w:rStyle w:val="Strong"/>
          <w:b w:val="0"/>
          <w:bCs w:val="0"/>
          <w:i/>
          <w:iCs/>
          <w:szCs w:val="26"/>
          <w:lang w:val="lv-LV"/>
        </w:rPr>
        <w:t>euro</w:t>
      </w:r>
      <w:proofErr w:type="spellEnd"/>
      <w:r w:rsidR="00EF07D4" w:rsidRPr="00C26E25">
        <w:rPr>
          <w:rStyle w:val="Strong"/>
          <w:b w:val="0"/>
          <w:bCs w:val="0"/>
          <w:szCs w:val="26"/>
          <w:lang w:val="lv-LV"/>
        </w:rPr>
        <w:t xml:space="preserve"> apmērā no Ekonomikas ministrijas budžeta apakšprogrammas 29.02.00 “Elektroenerģijas lietotāju atbalsts” uz valsts budžeta programmu 02.00.00 “Līdzekļi neparedzētiem gadījumiem” un no iepriekš minētās budžeta programmas </w:t>
      </w:r>
      <w:r w:rsidR="0068484E" w:rsidRPr="00C26E25">
        <w:rPr>
          <w:rStyle w:val="Strong"/>
          <w:b w:val="0"/>
          <w:bCs w:val="0"/>
          <w:szCs w:val="26"/>
          <w:lang w:val="lv-LV"/>
        </w:rPr>
        <w:t xml:space="preserve">piešķirot </w:t>
      </w:r>
      <w:r w:rsidR="0068484E" w:rsidRPr="00C26E25">
        <w:rPr>
          <w:szCs w:val="28"/>
          <w:lang w:val="lv-LV"/>
        </w:rPr>
        <w:t xml:space="preserve">finansējumu </w:t>
      </w:r>
      <w:r w:rsidR="0068484E" w:rsidRPr="00C26E25">
        <w:rPr>
          <w:b/>
          <w:bCs/>
          <w:szCs w:val="28"/>
          <w:lang w:val="lv-LV"/>
        </w:rPr>
        <w:t xml:space="preserve">178 039 </w:t>
      </w:r>
      <w:proofErr w:type="spellStart"/>
      <w:r w:rsidR="0068484E" w:rsidRPr="00C26E25">
        <w:rPr>
          <w:b/>
          <w:bCs/>
          <w:i/>
          <w:szCs w:val="28"/>
          <w:lang w:val="lv-LV"/>
        </w:rPr>
        <w:t>euro</w:t>
      </w:r>
      <w:proofErr w:type="spellEnd"/>
      <w:r w:rsidR="0068484E" w:rsidRPr="00C26E25">
        <w:rPr>
          <w:szCs w:val="28"/>
          <w:lang w:val="lv-LV"/>
        </w:rPr>
        <w:t xml:space="preserve"> apmērā Konkurences padomes administratīvās kapacitātes stiprināšanai 2020.gadā.</w:t>
      </w:r>
    </w:p>
    <w:p w14:paraId="022A56E6" w14:textId="1B7E7F62" w:rsidR="002941CA" w:rsidRPr="00C26E25" w:rsidRDefault="002941CA" w:rsidP="002941CA">
      <w:pPr>
        <w:spacing w:before="240" w:after="0" w:line="240" w:lineRule="auto"/>
        <w:ind w:right="85"/>
        <w:rPr>
          <w:iCs/>
          <w:szCs w:val="26"/>
          <w:lang w:val="lv-LV"/>
        </w:rPr>
      </w:pPr>
      <w:r w:rsidRPr="00C26E25">
        <w:rPr>
          <w:iCs/>
          <w:szCs w:val="26"/>
          <w:lang w:val="lv-LV"/>
        </w:rPr>
        <w:t xml:space="preserve">Ņemot vērā to, ka apropriācijas izmaiņām </w:t>
      </w:r>
      <w:r w:rsidRPr="00C26E25">
        <w:rPr>
          <w:szCs w:val="26"/>
          <w:lang w:val="lv-LV" w:eastAsia="lv-LV"/>
        </w:rPr>
        <w:t xml:space="preserve">valsts budžeta programmas </w:t>
      </w:r>
      <w:r w:rsidRPr="00C26E25">
        <w:rPr>
          <w:szCs w:val="26"/>
          <w:lang w:val="lv-LV"/>
        </w:rPr>
        <w:t>02.00.00 "</w:t>
      </w:r>
      <w:r w:rsidRPr="00C26E25">
        <w:rPr>
          <w:i/>
          <w:iCs/>
          <w:szCs w:val="26"/>
          <w:lang w:val="lv-LV"/>
        </w:rPr>
        <w:t>Līdzekļi neparedzētiem gadījumiem</w:t>
      </w:r>
      <w:r w:rsidRPr="00C26E25">
        <w:rPr>
          <w:szCs w:val="26"/>
          <w:lang w:val="lv-LV"/>
        </w:rPr>
        <w:t xml:space="preserve">" </w:t>
      </w:r>
      <w:r w:rsidRPr="00C26E25">
        <w:rPr>
          <w:szCs w:val="26"/>
          <w:lang w:val="lv-LV" w:eastAsia="lv-LV"/>
        </w:rPr>
        <w:t xml:space="preserve">tvērumā ir vienreizēja pasākuma raksturs, t.i., </w:t>
      </w:r>
      <w:r w:rsidRPr="00C26E25">
        <w:rPr>
          <w:iCs/>
          <w:szCs w:val="26"/>
          <w:lang w:val="lv-LV"/>
        </w:rPr>
        <w:t xml:space="preserve">nav iespējama personāla mēnešalgu palielināšana 6 mēnešu termiņā, Konkurences padome ir veikusi aprēķinu minētās summas apmērā, </w:t>
      </w:r>
      <w:r w:rsidRPr="00C26E25">
        <w:rPr>
          <w:iCs/>
          <w:szCs w:val="26"/>
          <w:u w:val="single"/>
          <w:lang w:val="lv-LV"/>
        </w:rPr>
        <w:t>paredzot izmaiņu izdarīšanu piemaksu pozīcijā, kas nodrošinātu ārkārtas ar Konkurences padomes finansiālās un attiecīgi izmeklēšanas kapacitātes stiprināšanu saistīto jautājumu risināšanu 2020.gada ietvaros</w:t>
      </w:r>
      <w:r w:rsidRPr="00C26E25">
        <w:rPr>
          <w:iCs/>
          <w:szCs w:val="26"/>
          <w:lang w:val="lv-LV"/>
        </w:rPr>
        <w:t xml:space="preserve">. Tādējādi, lai nodrošinātu iestādes personāla mainības apturēšanu, izmeklēšanas kapacitātes saglabāšanu un stiprināšanu, motivētu nodarbinātos un kompensētu iestādei 2020.gadam iztrūkstošo finansējumu </w:t>
      </w:r>
      <w:r w:rsidRPr="00C26E25">
        <w:rPr>
          <w:b/>
          <w:bCs/>
          <w:iCs/>
          <w:szCs w:val="26"/>
          <w:lang w:val="lv-LV"/>
        </w:rPr>
        <w:t>178 039</w:t>
      </w:r>
      <w:r w:rsidRPr="00C26E25">
        <w:rPr>
          <w:b/>
          <w:bCs/>
          <w:i/>
          <w:szCs w:val="26"/>
          <w:lang w:val="lv-LV"/>
        </w:rPr>
        <w:t xml:space="preserve"> </w:t>
      </w:r>
      <w:proofErr w:type="spellStart"/>
      <w:r w:rsidRPr="00C26E25">
        <w:rPr>
          <w:b/>
          <w:bCs/>
          <w:i/>
          <w:szCs w:val="26"/>
          <w:lang w:val="lv-LV"/>
        </w:rPr>
        <w:t>euro</w:t>
      </w:r>
      <w:proofErr w:type="spellEnd"/>
      <w:r w:rsidRPr="00C26E25">
        <w:rPr>
          <w:iCs/>
          <w:szCs w:val="26"/>
          <w:lang w:val="lv-LV"/>
        </w:rPr>
        <w:t xml:space="preserve"> apmērā, t.sk. VSAOI, Konkurences padomei piešķirtie līdzekļi ir sadalāmi atbilstoši </w:t>
      </w:r>
      <w:r w:rsidRPr="00C26E25">
        <w:rPr>
          <w:i/>
          <w:szCs w:val="26"/>
          <w:lang w:val="lv-LV"/>
        </w:rPr>
        <w:t>Atalgojuma</w:t>
      </w:r>
      <w:r w:rsidRPr="00C26E25">
        <w:rPr>
          <w:iCs/>
          <w:szCs w:val="26"/>
          <w:lang w:val="lv-LV"/>
        </w:rPr>
        <w:t xml:space="preserve"> izdevumu klasifikācijas kodiem, paredzot izmaksu – </w:t>
      </w:r>
      <w:r w:rsidRPr="00C26E25">
        <w:rPr>
          <w:iCs/>
          <w:szCs w:val="26"/>
          <w:u w:val="single"/>
          <w:lang w:val="lv-LV"/>
        </w:rPr>
        <w:t xml:space="preserve">vienreizējam naudas pabalstam visiem nodarbinātajiem vienas mēnešalgas apmērā, </w:t>
      </w:r>
      <w:r w:rsidRPr="00C26E25">
        <w:rPr>
          <w:i/>
          <w:szCs w:val="26"/>
          <w:u w:val="single"/>
          <w:lang w:val="lv-LV"/>
        </w:rPr>
        <w:t>NEVIS</w:t>
      </w:r>
      <w:r w:rsidRPr="00C26E25">
        <w:rPr>
          <w:iCs/>
          <w:szCs w:val="26"/>
          <w:u w:val="single"/>
          <w:lang w:val="lv-LV"/>
        </w:rPr>
        <w:t xml:space="preserve"> (ikgadējās darbinieku darbības rezultātu novērtēšanas) prēmijai un piemaksām pie mēnešalgas</w:t>
      </w:r>
      <w:r w:rsidRPr="00C26E25">
        <w:rPr>
          <w:iCs/>
          <w:szCs w:val="26"/>
          <w:lang w:val="lv-LV"/>
        </w:rPr>
        <w:t>.</w:t>
      </w:r>
    </w:p>
    <w:p w14:paraId="4648701C" w14:textId="77777777" w:rsidR="00215ED9" w:rsidRPr="00C26E25" w:rsidRDefault="00215ED9" w:rsidP="00215ED9">
      <w:pPr>
        <w:spacing w:before="120" w:after="80" w:line="240" w:lineRule="auto"/>
        <w:rPr>
          <w:i/>
          <w:iCs/>
          <w:sz w:val="24"/>
          <w:szCs w:val="24"/>
          <w:lang w:val="lv-LV"/>
        </w:rPr>
      </w:pPr>
      <w:r w:rsidRPr="00C26E25">
        <w:rPr>
          <w:b/>
          <w:bCs/>
          <w:i/>
          <w:iCs/>
          <w:color w:val="000000"/>
          <w:sz w:val="24"/>
          <w:szCs w:val="24"/>
          <w:lang w:val="lv-LV" w:eastAsia="lv-LV"/>
        </w:rPr>
        <w:lastRenderedPageBreak/>
        <w:t>KP kapacitātes celšanai nepieciešamais papildus finansējums 2020.gadam</w:t>
      </w:r>
    </w:p>
    <w:tbl>
      <w:tblPr>
        <w:tblW w:w="0" w:type="auto"/>
        <w:tblLayout w:type="fixed"/>
        <w:tblCellMar>
          <w:left w:w="0" w:type="dxa"/>
          <w:right w:w="0" w:type="dxa"/>
        </w:tblCellMar>
        <w:tblLook w:val="04A0" w:firstRow="1" w:lastRow="0" w:firstColumn="1" w:lastColumn="0" w:noHBand="0" w:noVBand="1"/>
      </w:tblPr>
      <w:tblGrid>
        <w:gridCol w:w="2400"/>
        <w:gridCol w:w="2268"/>
        <w:gridCol w:w="1559"/>
        <w:gridCol w:w="2059"/>
      </w:tblGrid>
      <w:tr w:rsidR="00215ED9" w:rsidRPr="00C26E25" w14:paraId="2A8E4A72" w14:textId="77777777" w:rsidTr="00215ED9">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01ABD3" w14:textId="77777777" w:rsidR="00215ED9" w:rsidRPr="00C26E25" w:rsidRDefault="00215ED9" w:rsidP="00215ED9">
            <w:pPr>
              <w:spacing w:before="0" w:after="0" w:line="240" w:lineRule="auto"/>
              <w:rPr>
                <w:sz w:val="24"/>
                <w:szCs w:val="24"/>
                <w:lang w:val="lv-LV"/>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29ACB3" w14:textId="77777777" w:rsidR="00215ED9" w:rsidRPr="00C26E25" w:rsidRDefault="00215ED9" w:rsidP="00215ED9">
            <w:pPr>
              <w:spacing w:before="0" w:after="0" w:line="240" w:lineRule="auto"/>
              <w:ind w:firstLine="0"/>
              <w:rPr>
                <w:b/>
                <w:bCs/>
                <w:i/>
                <w:iCs/>
                <w:sz w:val="24"/>
                <w:szCs w:val="24"/>
                <w:lang w:val="lv-LV"/>
              </w:rPr>
            </w:pPr>
            <w:r w:rsidRPr="00C26E25">
              <w:rPr>
                <w:b/>
                <w:bCs/>
                <w:i/>
                <w:iCs/>
                <w:sz w:val="24"/>
                <w:szCs w:val="24"/>
                <w:lang w:val="lv-LV"/>
              </w:rPr>
              <w:t>Summa bez nodokļa</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D309D8" w14:textId="77777777" w:rsidR="00215ED9" w:rsidRPr="00C26E25" w:rsidRDefault="00215ED9" w:rsidP="00215ED9">
            <w:pPr>
              <w:spacing w:before="0" w:after="0" w:line="240" w:lineRule="auto"/>
              <w:ind w:firstLine="0"/>
              <w:rPr>
                <w:b/>
                <w:bCs/>
                <w:i/>
                <w:iCs/>
                <w:sz w:val="24"/>
                <w:szCs w:val="24"/>
                <w:lang w:val="lv-LV"/>
              </w:rPr>
            </w:pPr>
            <w:r w:rsidRPr="00C26E25">
              <w:rPr>
                <w:b/>
                <w:bCs/>
                <w:i/>
                <w:iCs/>
                <w:sz w:val="24"/>
                <w:szCs w:val="24"/>
                <w:lang w:val="lv-LV"/>
              </w:rPr>
              <w:t>Nodoklis</w:t>
            </w:r>
          </w:p>
        </w:tc>
        <w:tc>
          <w:tcPr>
            <w:tcW w:w="20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D93DC" w14:textId="77777777" w:rsidR="00215ED9" w:rsidRPr="00C26E25" w:rsidRDefault="00215ED9" w:rsidP="00215ED9">
            <w:pPr>
              <w:spacing w:before="0" w:after="0" w:line="240" w:lineRule="auto"/>
              <w:ind w:firstLine="0"/>
              <w:rPr>
                <w:b/>
                <w:bCs/>
                <w:i/>
                <w:iCs/>
                <w:sz w:val="24"/>
                <w:szCs w:val="24"/>
                <w:lang w:val="lv-LV"/>
              </w:rPr>
            </w:pPr>
            <w:r w:rsidRPr="00C26E25">
              <w:rPr>
                <w:b/>
                <w:bCs/>
                <w:i/>
                <w:iCs/>
                <w:sz w:val="24"/>
                <w:szCs w:val="24"/>
                <w:lang w:val="lv-LV"/>
              </w:rPr>
              <w:t>Summa ar nodokli</w:t>
            </w:r>
          </w:p>
        </w:tc>
      </w:tr>
      <w:tr w:rsidR="00215ED9" w:rsidRPr="00C26E25" w14:paraId="02AB6ABA" w14:textId="77777777" w:rsidTr="00215ED9">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AC411" w14:textId="77777777" w:rsidR="00215ED9" w:rsidRPr="00C26E25" w:rsidRDefault="00215ED9" w:rsidP="00215ED9">
            <w:pPr>
              <w:spacing w:before="0" w:after="0" w:line="240" w:lineRule="auto"/>
              <w:ind w:firstLine="0"/>
              <w:rPr>
                <w:b/>
                <w:bCs/>
                <w:sz w:val="24"/>
                <w:szCs w:val="24"/>
                <w:lang w:val="lv-LV"/>
              </w:rPr>
            </w:pPr>
            <w:r w:rsidRPr="00C26E25">
              <w:rPr>
                <w:b/>
                <w:bCs/>
                <w:sz w:val="24"/>
                <w:szCs w:val="24"/>
                <w:lang w:val="lv-LV"/>
              </w:rPr>
              <w:t xml:space="preserve">Naudas balva vienas mēnešalgas apmērā </w:t>
            </w:r>
          </w:p>
          <w:p w14:paraId="10D0930D" w14:textId="77777777" w:rsidR="00215ED9" w:rsidRPr="00C26E25" w:rsidRDefault="00215ED9" w:rsidP="00215ED9">
            <w:pPr>
              <w:spacing w:before="0" w:after="0" w:line="240" w:lineRule="auto"/>
              <w:ind w:firstLine="0"/>
              <w:rPr>
                <w:sz w:val="24"/>
                <w:szCs w:val="24"/>
                <w:lang w:val="lv-LV"/>
              </w:rPr>
            </w:pPr>
            <w:r w:rsidRPr="00C26E25">
              <w:rPr>
                <w:sz w:val="24"/>
                <w:szCs w:val="24"/>
                <w:lang w:val="lv-LV"/>
              </w:rPr>
              <w:t>(atbilstoši amatu sarakstam uz 01.07.)</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CA60927" w14:textId="77777777" w:rsidR="00215ED9" w:rsidRPr="00C26E25" w:rsidRDefault="00215ED9" w:rsidP="00582F09">
            <w:pPr>
              <w:spacing w:before="0" w:after="0" w:line="240" w:lineRule="auto"/>
              <w:ind w:firstLine="0"/>
              <w:jc w:val="center"/>
              <w:rPr>
                <w:sz w:val="24"/>
                <w:szCs w:val="24"/>
                <w:lang w:val="lv-LV"/>
              </w:rPr>
            </w:pPr>
            <w:r w:rsidRPr="00C26E25">
              <w:rPr>
                <w:sz w:val="24"/>
                <w:szCs w:val="24"/>
                <w:lang w:val="lv-LV"/>
              </w:rPr>
              <w:t>78 648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8B9F62E" w14:textId="77777777" w:rsidR="00215ED9" w:rsidRPr="00C26E25" w:rsidRDefault="00215ED9" w:rsidP="00582F09">
            <w:pPr>
              <w:spacing w:before="0" w:after="0" w:line="240" w:lineRule="auto"/>
              <w:ind w:firstLine="0"/>
              <w:jc w:val="center"/>
              <w:rPr>
                <w:sz w:val="24"/>
                <w:szCs w:val="24"/>
                <w:lang w:val="lv-LV"/>
              </w:rPr>
            </w:pPr>
            <w:r w:rsidRPr="00C26E25">
              <w:rPr>
                <w:sz w:val="24"/>
                <w:szCs w:val="24"/>
                <w:lang w:val="lv-LV"/>
              </w:rPr>
              <w:t>18 946</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11263AD3" w14:textId="77777777" w:rsidR="00215ED9" w:rsidRPr="00C26E25" w:rsidRDefault="00215ED9" w:rsidP="00582F09">
            <w:pPr>
              <w:spacing w:before="0" w:after="0" w:line="240" w:lineRule="auto"/>
              <w:ind w:firstLine="0"/>
              <w:jc w:val="center"/>
              <w:rPr>
                <w:sz w:val="24"/>
                <w:szCs w:val="24"/>
                <w:lang w:val="lv-LV"/>
              </w:rPr>
            </w:pPr>
            <w:r w:rsidRPr="00C26E25">
              <w:rPr>
                <w:sz w:val="24"/>
                <w:szCs w:val="24"/>
                <w:lang w:val="lv-LV"/>
              </w:rPr>
              <w:t>97 594</w:t>
            </w:r>
          </w:p>
        </w:tc>
      </w:tr>
      <w:tr w:rsidR="00215ED9" w:rsidRPr="00C26E25" w14:paraId="36CBFEB8" w14:textId="77777777" w:rsidTr="00215ED9">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A0C49" w14:textId="77777777" w:rsidR="00215ED9" w:rsidRPr="00C26E25" w:rsidRDefault="00215ED9" w:rsidP="00215ED9">
            <w:pPr>
              <w:spacing w:before="0" w:after="0" w:line="240" w:lineRule="auto"/>
              <w:ind w:firstLine="0"/>
              <w:rPr>
                <w:sz w:val="24"/>
                <w:szCs w:val="24"/>
                <w:lang w:val="lv-LV"/>
              </w:rPr>
            </w:pPr>
            <w:r w:rsidRPr="00C26E25">
              <w:rPr>
                <w:b/>
                <w:bCs/>
                <w:sz w:val="24"/>
                <w:szCs w:val="24"/>
                <w:lang w:val="lv-LV"/>
              </w:rPr>
              <w:t>NEVIS prēmija</w:t>
            </w:r>
            <w:r w:rsidRPr="00C26E25">
              <w:rPr>
                <w:sz w:val="24"/>
                <w:szCs w:val="24"/>
                <w:lang w:val="lv-LV"/>
              </w:rPr>
              <w:t xml:space="preserve"> (78 648 x 0,65 x 0.6*)</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925EE2A" w14:textId="77777777" w:rsidR="00215ED9" w:rsidRPr="00C26E25" w:rsidRDefault="00215ED9" w:rsidP="00582F09">
            <w:pPr>
              <w:spacing w:before="0" w:after="0" w:line="240" w:lineRule="auto"/>
              <w:ind w:firstLine="0"/>
              <w:jc w:val="center"/>
              <w:rPr>
                <w:sz w:val="24"/>
                <w:szCs w:val="24"/>
                <w:lang w:val="lv-LV"/>
              </w:rPr>
            </w:pPr>
            <w:r w:rsidRPr="00C26E25">
              <w:rPr>
                <w:sz w:val="24"/>
                <w:szCs w:val="24"/>
                <w:lang w:val="lv-LV"/>
              </w:rPr>
              <w:t>30 672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F2EA114" w14:textId="77777777" w:rsidR="00215ED9" w:rsidRPr="00C26E25" w:rsidRDefault="00215ED9" w:rsidP="00582F09">
            <w:pPr>
              <w:spacing w:before="0" w:after="0" w:line="240" w:lineRule="auto"/>
              <w:ind w:firstLine="0"/>
              <w:jc w:val="center"/>
              <w:rPr>
                <w:sz w:val="24"/>
                <w:szCs w:val="24"/>
                <w:lang w:val="lv-LV"/>
              </w:rPr>
            </w:pPr>
            <w:r w:rsidRPr="00C26E25">
              <w:rPr>
                <w:sz w:val="24"/>
                <w:szCs w:val="24"/>
                <w:lang w:val="lv-LV"/>
              </w:rPr>
              <w:t>7 389</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3AE67966" w14:textId="77777777" w:rsidR="00215ED9" w:rsidRPr="00C26E25" w:rsidRDefault="00215ED9" w:rsidP="00582F09">
            <w:pPr>
              <w:spacing w:before="0" w:after="0" w:line="240" w:lineRule="auto"/>
              <w:ind w:firstLine="0"/>
              <w:jc w:val="center"/>
              <w:rPr>
                <w:sz w:val="24"/>
                <w:szCs w:val="24"/>
                <w:lang w:val="lv-LV"/>
              </w:rPr>
            </w:pPr>
            <w:r w:rsidRPr="00C26E25">
              <w:rPr>
                <w:sz w:val="24"/>
                <w:szCs w:val="24"/>
                <w:lang w:val="lv-LV"/>
              </w:rPr>
              <w:t>38 061</w:t>
            </w:r>
          </w:p>
        </w:tc>
      </w:tr>
      <w:tr w:rsidR="00215ED9" w:rsidRPr="00C26E25" w14:paraId="56486F85" w14:textId="77777777" w:rsidTr="00215ED9">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F7A951" w14:textId="77777777" w:rsidR="00215ED9" w:rsidRPr="00C26E25" w:rsidRDefault="00215ED9" w:rsidP="00215ED9">
            <w:pPr>
              <w:spacing w:before="0" w:after="0" w:line="240" w:lineRule="auto"/>
              <w:ind w:firstLine="0"/>
              <w:rPr>
                <w:b/>
                <w:bCs/>
                <w:sz w:val="24"/>
                <w:szCs w:val="24"/>
                <w:lang w:val="lv-LV"/>
              </w:rPr>
            </w:pPr>
            <w:r w:rsidRPr="00C26E25">
              <w:rPr>
                <w:b/>
                <w:bCs/>
                <w:sz w:val="24"/>
                <w:szCs w:val="24"/>
                <w:lang w:val="lv-LV"/>
              </w:rPr>
              <w:t>Piemaksas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A27656A" w14:textId="77777777" w:rsidR="00215ED9" w:rsidRPr="00C26E25" w:rsidRDefault="00215ED9" w:rsidP="00582F09">
            <w:pPr>
              <w:spacing w:before="0" w:after="0" w:line="240" w:lineRule="auto"/>
              <w:ind w:firstLine="0"/>
              <w:jc w:val="center"/>
              <w:rPr>
                <w:sz w:val="24"/>
                <w:szCs w:val="24"/>
                <w:lang w:val="lv-LV"/>
              </w:rPr>
            </w:pPr>
            <w:r w:rsidRPr="00C26E25">
              <w:rPr>
                <w:sz w:val="24"/>
                <w:szCs w:val="24"/>
                <w:lang w:val="lv-LV"/>
              </w:rPr>
              <w:t>34 156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46A56F1" w14:textId="77777777" w:rsidR="00215ED9" w:rsidRPr="00C26E25" w:rsidRDefault="00215ED9" w:rsidP="00582F09">
            <w:pPr>
              <w:spacing w:before="0" w:after="0" w:line="240" w:lineRule="auto"/>
              <w:ind w:firstLine="0"/>
              <w:jc w:val="center"/>
              <w:rPr>
                <w:sz w:val="24"/>
                <w:szCs w:val="24"/>
                <w:lang w:val="lv-LV"/>
              </w:rPr>
            </w:pPr>
            <w:r w:rsidRPr="00C26E25">
              <w:rPr>
                <w:sz w:val="24"/>
                <w:szCs w:val="24"/>
                <w:lang w:val="lv-LV"/>
              </w:rPr>
              <w:t>8 228</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2E9647AC" w14:textId="77777777" w:rsidR="00215ED9" w:rsidRPr="00C26E25" w:rsidRDefault="00215ED9" w:rsidP="00582F09">
            <w:pPr>
              <w:spacing w:before="0" w:after="0" w:line="240" w:lineRule="auto"/>
              <w:ind w:firstLine="0"/>
              <w:jc w:val="center"/>
              <w:rPr>
                <w:sz w:val="24"/>
                <w:szCs w:val="24"/>
                <w:lang w:val="lv-LV"/>
              </w:rPr>
            </w:pPr>
            <w:r w:rsidRPr="00C26E25">
              <w:rPr>
                <w:sz w:val="24"/>
                <w:szCs w:val="24"/>
                <w:lang w:val="lv-LV"/>
              </w:rPr>
              <w:t>42 384</w:t>
            </w:r>
          </w:p>
        </w:tc>
      </w:tr>
      <w:tr w:rsidR="00215ED9" w:rsidRPr="00C26E25" w14:paraId="4900E79B" w14:textId="77777777" w:rsidTr="00215ED9">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B1995" w14:textId="77777777" w:rsidR="00215ED9" w:rsidRPr="00C26E25" w:rsidRDefault="00215ED9" w:rsidP="00215ED9">
            <w:pPr>
              <w:spacing w:before="0" w:after="0" w:line="240" w:lineRule="auto"/>
              <w:ind w:firstLine="0"/>
              <w:rPr>
                <w:b/>
                <w:bCs/>
                <w:sz w:val="24"/>
                <w:szCs w:val="24"/>
                <w:lang w:val="lv-LV"/>
              </w:rPr>
            </w:pPr>
            <w:r w:rsidRPr="00C26E25">
              <w:rPr>
                <w:b/>
                <w:bCs/>
                <w:sz w:val="24"/>
                <w:szCs w:val="24"/>
                <w:lang w:val="lv-LV"/>
              </w:rPr>
              <w:t>Kopā:</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D4141EB" w14:textId="77777777" w:rsidR="00215ED9" w:rsidRPr="00C26E25" w:rsidRDefault="00215ED9" w:rsidP="00582F09">
            <w:pPr>
              <w:spacing w:before="0" w:after="0" w:line="240" w:lineRule="auto"/>
              <w:ind w:firstLine="0"/>
              <w:jc w:val="center"/>
              <w:rPr>
                <w:sz w:val="24"/>
                <w:szCs w:val="24"/>
                <w:lang w:val="lv-LV"/>
              </w:rPr>
            </w:pPr>
            <w:r w:rsidRPr="00C26E25">
              <w:rPr>
                <w:sz w:val="24"/>
                <w:szCs w:val="24"/>
                <w:lang w:val="lv-LV"/>
              </w:rPr>
              <w:t>143 476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B8AB794" w14:textId="77777777" w:rsidR="00215ED9" w:rsidRPr="00C26E25" w:rsidRDefault="00215ED9" w:rsidP="00582F09">
            <w:pPr>
              <w:spacing w:before="0" w:after="0" w:line="240" w:lineRule="auto"/>
              <w:ind w:firstLine="0"/>
              <w:jc w:val="center"/>
              <w:rPr>
                <w:sz w:val="24"/>
                <w:szCs w:val="24"/>
                <w:lang w:val="lv-LV"/>
              </w:rPr>
            </w:pPr>
            <w:r w:rsidRPr="00C26E25">
              <w:rPr>
                <w:sz w:val="24"/>
                <w:szCs w:val="24"/>
                <w:lang w:val="lv-LV"/>
              </w:rPr>
              <w:t>34 563</w:t>
            </w:r>
          </w:p>
        </w:tc>
        <w:tc>
          <w:tcPr>
            <w:tcW w:w="2059" w:type="dxa"/>
            <w:tcBorders>
              <w:top w:val="nil"/>
              <w:left w:val="nil"/>
              <w:bottom w:val="single" w:sz="8" w:space="0" w:color="auto"/>
              <w:right w:val="single" w:sz="8" w:space="0" w:color="auto"/>
            </w:tcBorders>
            <w:tcMar>
              <w:top w:w="0" w:type="dxa"/>
              <w:left w:w="108" w:type="dxa"/>
              <w:bottom w:w="0" w:type="dxa"/>
              <w:right w:w="108" w:type="dxa"/>
            </w:tcMar>
            <w:hideMark/>
          </w:tcPr>
          <w:p w14:paraId="03B16F21" w14:textId="77777777" w:rsidR="00215ED9" w:rsidRPr="00C26E25" w:rsidRDefault="00215ED9" w:rsidP="00582F09">
            <w:pPr>
              <w:spacing w:before="0" w:after="0" w:line="240" w:lineRule="auto"/>
              <w:ind w:firstLine="0"/>
              <w:jc w:val="center"/>
              <w:rPr>
                <w:b/>
                <w:bCs/>
                <w:sz w:val="24"/>
                <w:szCs w:val="24"/>
                <w:lang w:val="lv-LV"/>
              </w:rPr>
            </w:pPr>
            <w:r w:rsidRPr="00C26E25">
              <w:rPr>
                <w:b/>
                <w:bCs/>
                <w:sz w:val="24"/>
                <w:szCs w:val="24"/>
                <w:lang w:val="lv-LV"/>
              </w:rPr>
              <w:t>178 039</w:t>
            </w:r>
          </w:p>
        </w:tc>
      </w:tr>
    </w:tbl>
    <w:p w14:paraId="42C1FC00" w14:textId="77777777" w:rsidR="00215ED9" w:rsidRPr="00C26E25" w:rsidRDefault="00215ED9" w:rsidP="00215ED9">
      <w:pPr>
        <w:spacing w:before="120" w:after="0" w:line="240" w:lineRule="auto"/>
        <w:ind w:firstLine="0"/>
        <w:rPr>
          <w:rFonts w:eastAsiaTheme="minorHAnsi"/>
          <w:sz w:val="20"/>
          <w:lang w:val="lv-LV"/>
        </w:rPr>
      </w:pPr>
      <w:r w:rsidRPr="00C26E25">
        <w:rPr>
          <w:color w:val="FFFFFF"/>
          <w:sz w:val="20"/>
          <w:lang w:val="lv-LV"/>
        </w:rPr>
        <w:t xml:space="preserve">* </w:t>
      </w:r>
      <w:r w:rsidRPr="00C26E25">
        <w:rPr>
          <w:sz w:val="20"/>
          <w:lang w:val="lv-LV"/>
        </w:rPr>
        <w:t>Nevis prēmija tiek izmaksāta par ikgadējo novērtēšanu – 0,6 ir vidējais koeficients par novērtējumu. Saskaņā ar Konkurences padomes darba samaksas organizēšanas kārtību to izmaksā vienreiz gadā gadījumos, kad novērtējums ir labi, ļoti labi vai teicami.</w:t>
      </w:r>
    </w:p>
    <w:p w14:paraId="26ED6BE9" w14:textId="77777777" w:rsidR="00215ED9" w:rsidRPr="00C26E25" w:rsidRDefault="00215ED9" w:rsidP="00215ED9">
      <w:pPr>
        <w:spacing w:after="0" w:line="240" w:lineRule="auto"/>
        <w:ind w:firstLine="0"/>
        <w:rPr>
          <w:sz w:val="20"/>
          <w:lang w:val="lv-LV"/>
        </w:rPr>
      </w:pPr>
      <w:r w:rsidRPr="00C26E25">
        <w:rPr>
          <w:sz w:val="20"/>
          <w:lang w:val="lv-LV"/>
        </w:rPr>
        <w:t xml:space="preserve">** Piemaksām ir plānots atvēlēt 5,6 tūkst. </w:t>
      </w:r>
      <w:proofErr w:type="spellStart"/>
      <w:r w:rsidRPr="00C26E25">
        <w:rPr>
          <w:i/>
          <w:iCs/>
          <w:sz w:val="20"/>
          <w:lang w:val="lv-LV"/>
        </w:rPr>
        <w:t>euro</w:t>
      </w:r>
      <w:proofErr w:type="spellEnd"/>
      <w:r w:rsidRPr="00C26E25">
        <w:rPr>
          <w:sz w:val="20"/>
          <w:lang w:val="lv-LV"/>
        </w:rPr>
        <w:t xml:space="preserve"> katru mēnesi 7 – 10 Konkurences padomes darbiniekiem par personisko ieguldījumu un darba kvalitāti lietu izpētē un citu iestādei prioritāru uzdevumus un pienākumus veikšanu atbilstoši Konkurences padomes darba samaksas organizēšanas kārtībai (līdz 40% no mēnešalgas apmēra).</w:t>
      </w:r>
    </w:p>
    <w:p w14:paraId="06875E9A" w14:textId="5330CED7" w:rsidR="004C3FF5" w:rsidRPr="00C26E25" w:rsidRDefault="004C3FF5" w:rsidP="00215ED9">
      <w:pPr>
        <w:spacing w:before="240" w:after="0" w:line="240" w:lineRule="auto"/>
        <w:rPr>
          <w:rStyle w:val="spelle"/>
          <w:szCs w:val="26"/>
          <w:lang w:val="lv-LV"/>
        </w:rPr>
      </w:pPr>
      <w:r w:rsidRPr="00C26E25">
        <w:rPr>
          <w:szCs w:val="26"/>
          <w:shd w:val="clear" w:color="auto" w:fill="FFFFFF"/>
          <w:lang w:val="lv-LV"/>
        </w:rPr>
        <w:t>Savukārt</w:t>
      </w:r>
      <w:r w:rsidR="00266BB9" w:rsidRPr="00C26E25">
        <w:rPr>
          <w:szCs w:val="26"/>
          <w:shd w:val="clear" w:color="auto" w:fill="FFFFFF"/>
          <w:lang w:val="lv-LV"/>
        </w:rPr>
        <w:t>,</w:t>
      </w:r>
      <w:r w:rsidRPr="00C26E25">
        <w:rPr>
          <w:szCs w:val="26"/>
          <w:shd w:val="clear" w:color="auto" w:fill="FFFFFF"/>
          <w:lang w:val="lv-LV"/>
        </w:rPr>
        <w:t xml:space="preserve"> </w:t>
      </w:r>
      <w:r w:rsidR="00266BB9" w:rsidRPr="00C26E25">
        <w:rPr>
          <w:szCs w:val="26"/>
          <w:shd w:val="clear" w:color="auto" w:fill="FFFFFF"/>
          <w:lang w:val="lv-LV"/>
        </w:rPr>
        <w:t xml:space="preserve">lai nodrošinātu Konkurences padomes finansiālās </w:t>
      </w:r>
      <w:r w:rsidR="00B002F4" w:rsidRPr="00C26E25">
        <w:rPr>
          <w:szCs w:val="26"/>
          <w:shd w:val="clear" w:color="auto" w:fill="FFFFFF"/>
          <w:lang w:val="lv-LV"/>
        </w:rPr>
        <w:t>kapacitātes</w:t>
      </w:r>
      <w:r w:rsidR="00266BB9" w:rsidRPr="00C26E25">
        <w:rPr>
          <w:szCs w:val="26"/>
          <w:shd w:val="clear" w:color="auto" w:fill="FFFFFF"/>
          <w:lang w:val="lv-LV"/>
        </w:rPr>
        <w:t xml:space="preserve"> stiprināšanu kopumā un ECN</w:t>
      </w:r>
      <w:r w:rsidR="002941CA" w:rsidRPr="00C26E25">
        <w:rPr>
          <w:szCs w:val="26"/>
          <w:shd w:val="clear" w:color="auto" w:fill="FFFFFF"/>
          <w:lang w:val="lv-LV"/>
        </w:rPr>
        <w:t> </w:t>
      </w:r>
      <w:r w:rsidR="00266BB9" w:rsidRPr="00C26E25">
        <w:rPr>
          <w:szCs w:val="26"/>
          <w:shd w:val="clear" w:color="auto" w:fill="FFFFFF"/>
          <w:lang w:val="lv-LV"/>
        </w:rPr>
        <w:t>+ direktīvas pārņemšanu</w:t>
      </w:r>
      <w:r w:rsidR="00D17E30" w:rsidRPr="00C26E25">
        <w:rPr>
          <w:szCs w:val="26"/>
          <w:shd w:val="clear" w:color="auto" w:fill="FFFFFF"/>
          <w:lang w:val="lv-LV"/>
        </w:rPr>
        <w:t>,</w:t>
      </w:r>
      <w:r w:rsidR="00266BB9" w:rsidRPr="00C26E25">
        <w:rPr>
          <w:szCs w:val="26"/>
          <w:shd w:val="clear" w:color="auto" w:fill="FFFFFF"/>
          <w:lang w:val="lv-LV"/>
        </w:rPr>
        <w:t xml:space="preserve"> </w:t>
      </w:r>
      <w:r w:rsidRPr="00C26E25">
        <w:rPr>
          <w:szCs w:val="26"/>
          <w:shd w:val="clear" w:color="auto" w:fill="FFFFFF"/>
          <w:lang w:val="lv-LV"/>
        </w:rPr>
        <w:t xml:space="preserve">jautājums par </w:t>
      </w:r>
      <w:r w:rsidR="005A3280" w:rsidRPr="00C26E25">
        <w:rPr>
          <w:szCs w:val="26"/>
          <w:shd w:val="clear" w:color="auto" w:fill="FFFFFF"/>
          <w:lang w:val="lv-LV"/>
        </w:rPr>
        <w:t xml:space="preserve">Konkurences padomei </w:t>
      </w:r>
      <w:r w:rsidRPr="00C26E25">
        <w:rPr>
          <w:szCs w:val="26"/>
          <w:shd w:val="clear" w:color="auto" w:fill="FFFFFF"/>
          <w:lang w:val="lv-LV"/>
        </w:rPr>
        <w:t>papildus nepieciešamo finansējumu 2021.</w:t>
      </w:r>
      <w:r w:rsidR="003F0670" w:rsidRPr="00C26E25">
        <w:rPr>
          <w:szCs w:val="26"/>
          <w:shd w:val="clear" w:color="auto" w:fill="FFFFFF"/>
          <w:lang w:val="lv-LV"/>
        </w:rPr>
        <w:t> gadam</w:t>
      </w:r>
      <w:r w:rsidRPr="00C26E25">
        <w:rPr>
          <w:szCs w:val="26"/>
          <w:shd w:val="clear" w:color="auto" w:fill="FFFFFF"/>
          <w:lang w:val="lv-LV"/>
        </w:rPr>
        <w:t xml:space="preserve"> un turpmākajiem gadiem </w:t>
      </w:r>
      <w:r w:rsidR="003C2FF6" w:rsidRPr="00C26E25">
        <w:rPr>
          <w:szCs w:val="26"/>
          <w:shd w:val="clear" w:color="auto" w:fill="FFFFFF"/>
          <w:lang w:val="lv-LV"/>
        </w:rPr>
        <w:t>būtu risināms</w:t>
      </w:r>
      <w:r w:rsidRPr="00C26E25">
        <w:rPr>
          <w:szCs w:val="26"/>
          <w:shd w:val="clear" w:color="auto" w:fill="FFFFFF"/>
          <w:lang w:val="lv-LV"/>
        </w:rPr>
        <w:t xml:space="preserve"> atbilstoši</w:t>
      </w:r>
      <w:r w:rsidRPr="00C26E25">
        <w:rPr>
          <w:szCs w:val="26"/>
          <w:lang w:val="lv-LV"/>
        </w:rPr>
        <w:t xml:space="preserve"> 2019.</w:t>
      </w:r>
      <w:r w:rsidR="005A3280" w:rsidRPr="00C26E25">
        <w:rPr>
          <w:szCs w:val="26"/>
          <w:lang w:val="lv-LV"/>
        </w:rPr>
        <w:t> </w:t>
      </w:r>
      <w:r w:rsidRPr="00C26E25">
        <w:rPr>
          <w:szCs w:val="26"/>
          <w:lang w:val="lv-LV"/>
        </w:rPr>
        <w:t>gada 24.</w:t>
      </w:r>
      <w:r w:rsidR="005A3280" w:rsidRPr="00C26E25">
        <w:rPr>
          <w:szCs w:val="26"/>
          <w:lang w:val="lv-LV"/>
        </w:rPr>
        <w:t> </w:t>
      </w:r>
      <w:r w:rsidRPr="00C26E25">
        <w:rPr>
          <w:szCs w:val="26"/>
          <w:lang w:val="lv-LV"/>
        </w:rPr>
        <w:t xml:space="preserve">septembra Ministru kabineta sēdes </w:t>
      </w:r>
      <w:proofErr w:type="spellStart"/>
      <w:r w:rsidRPr="00C26E25">
        <w:rPr>
          <w:szCs w:val="26"/>
          <w:lang w:val="lv-LV"/>
        </w:rPr>
        <w:t>protokollēmumā</w:t>
      </w:r>
      <w:proofErr w:type="spellEnd"/>
      <w:r w:rsidRPr="00C26E25">
        <w:rPr>
          <w:szCs w:val="26"/>
          <w:lang w:val="lv-LV"/>
        </w:rPr>
        <w:t xml:space="preserve"> </w:t>
      </w:r>
      <w:r w:rsidRPr="00C26E25">
        <w:rPr>
          <w:i/>
          <w:iCs/>
          <w:szCs w:val="26"/>
          <w:lang w:val="lv-LV"/>
        </w:rPr>
        <w:t>“Par vienotas konkurences un regulācijas iestādes izveides iespējām”</w:t>
      </w:r>
      <w:r w:rsidRPr="00C26E25">
        <w:rPr>
          <w:szCs w:val="26"/>
          <w:lang w:val="lv-LV"/>
        </w:rPr>
        <w:t xml:space="preserve"> noteiktajam </w:t>
      </w:r>
      <w:r w:rsidRPr="00C26E25">
        <w:rPr>
          <w:rStyle w:val="spelle"/>
          <w:szCs w:val="26"/>
          <w:lang w:val="lv-LV"/>
        </w:rPr>
        <w:t>likumprojekta “Par valsts budžetu 2021.</w:t>
      </w:r>
      <w:r w:rsidR="005A3280" w:rsidRPr="00C26E25">
        <w:rPr>
          <w:rStyle w:val="spelle"/>
          <w:szCs w:val="26"/>
          <w:lang w:val="lv-LV"/>
        </w:rPr>
        <w:t> </w:t>
      </w:r>
      <w:r w:rsidRPr="00C26E25">
        <w:rPr>
          <w:rStyle w:val="spelle"/>
          <w:szCs w:val="26"/>
          <w:lang w:val="lv-LV"/>
        </w:rPr>
        <w:t>gadam” un likumprojekta “Par vidēja termiņa budžeta ietvaru 2021., 2022. un 2023.</w:t>
      </w:r>
      <w:r w:rsidR="005A3280" w:rsidRPr="00C26E25">
        <w:rPr>
          <w:rStyle w:val="spelle"/>
          <w:szCs w:val="26"/>
          <w:lang w:val="lv-LV"/>
        </w:rPr>
        <w:t> </w:t>
      </w:r>
      <w:r w:rsidRPr="00C26E25">
        <w:rPr>
          <w:rStyle w:val="spelle"/>
          <w:szCs w:val="26"/>
          <w:lang w:val="lv-LV"/>
        </w:rPr>
        <w:t>gadam” sagatavošanas procesā</w:t>
      </w:r>
      <w:r w:rsidR="003C2FF6" w:rsidRPr="00C26E25">
        <w:rPr>
          <w:rStyle w:val="spelle"/>
          <w:szCs w:val="26"/>
          <w:lang w:val="lv-LV"/>
        </w:rPr>
        <w:t xml:space="preserve">, lemjot par </w:t>
      </w:r>
      <w:r w:rsidR="005A3280" w:rsidRPr="00C26E25">
        <w:rPr>
          <w:rStyle w:val="spelle"/>
          <w:szCs w:val="26"/>
          <w:lang w:val="lv-LV"/>
        </w:rPr>
        <w:t xml:space="preserve">papildus finansējuma piešķiršanu </w:t>
      </w:r>
      <w:r w:rsidR="005A3280" w:rsidRPr="00C26E25">
        <w:rPr>
          <w:rStyle w:val="spelle"/>
          <w:b/>
          <w:bCs/>
          <w:szCs w:val="26"/>
          <w:lang w:val="lv-LV"/>
        </w:rPr>
        <w:t xml:space="preserve">2021. gadā </w:t>
      </w:r>
      <w:r w:rsidR="005B1A0A" w:rsidRPr="00C26E25">
        <w:rPr>
          <w:rStyle w:val="spelle"/>
          <w:b/>
          <w:bCs/>
          <w:szCs w:val="26"/>
          <w:lang w:val="lv-LV"/>
        </w:rPr>
        <w:t>8</w:t>
      </w:r>
      <w:r w:rsidR="003849CD" w:rsidRPr="00C26E25">
        <w:rPr>
          <w:rStyle w:val="spelle"/>
          <w:b/>
          <w:bCs/>
          <w:szCs w:val="26"/>
          <w:lang w:val="lv-LV"/>
        </w:rPr>
        <w:t>5</w:t>
      </w:r>
      <w:r w:rsidR="005B1A0A" w:rsidRPr="00C26E25">
        <w:rPr>
          <w:rStyle w:val="spelle"/>
          <w:b/>
          <w:bCs/>
          <w:szCs w:val="26"/>
          <w:lang w:val="lv-LV"/>
        </w:rPr>
        <w:t>3 467</w:t>
      </w:r>
      <w:r w:rsidR="005A3280" w:rsidRPr="00C26E25">
        <w:rPr>
          <w:rStyle w:val="spelle"/>
          <w:b/>
          <w:bCs/>
          <w:szCs w:val="26"/>
          <w:lang w:val="lv-LV"/>
        </w:rPr>
        <w:t xml:space="preserve"> </w:t>
      </w:r>
      <w:proofErr w:type="spellStart"/>
      <w:r w:rsidR="005A3280" w:rsidRPr="00C26E25">
        <w:rPr>
          <w:rStyle w:val="spelle"/>
          <w:b/>
          <w:bCs/>
          <w:i/>
          <w:iCs/>
          <w:szCs w:val="26"/>
          <w:lang w:val="lv-LV"/>
        </w:rPr>
        <w:t>euro</w:t>
      </w:r>
      <w:proofErr w:type="spellEnd"/>
      <w:r w:rsidR="005A3280" w:rsidRPr="00C26E25">
        <w:rPr>
          <w:rStyle w:val="spelle"/>
          <w:b/>
          <w:bCs/>
          <w:szCs w:val="26"/>
          <w:lang w:val="lv-LV"/>
        </w:rPr>
        <w:t xml:space="preserve"> </w:t>
      </w:r>
      <w:r w:rsidR="005A3280" w:rsidRPr="00C26E25">
        <w:rPr>
          <w:rStyle w:val="spelle"/>
          <w:szCs w:val="26"/>
          <w:lang w:val="lv-LV"/>
        </w:rPr>
        <w:t>apmērā</w:t>
      </w:r>
      <w:r w:rsidR="005A3280" w:rsidRPr="00C26E25">
        <w:rPr>
          <w:rStyle w:val="spelle"/>
          <w:b/>
          <w:bCs/>
          <w:szCs w:val="26"/>
          <w:lang w:val="lv-LV"/>
        </w:rPr>
        <w:t xml:space="preserve">, 2022. gadā </w:t>
      </w:r>
      <w:r w:rsidR="00B002F4" w:rsidRPr="00C26E25">
        <w:rPr>
          <w:rStyle w:val="spelle"/>
          <w:b/>
          <w:bCs/>
          <w:szCs w:val="26"/>
          <w:lang w:val="lv-LV"/>
        </w:rPr>
        <w:t>8</w:t>
      </w:r>
      <w:r w:rsidR="003849CD" w:rsidRPr="00C26E25">
        <w:rPr>
          <w:rStyle w:val="spelle"/>
          <w:b/>
          <w:bCs/>
          <w:szCs w:val="26"/>
          <w:lang w:val="lv-LV"/>
        </w:rPr>
        <w:t>7</w:t>
      </w:r>
      <w:r w:rsidR="00B002F4" w:rsidRPr="00C26E25">
        <w:rPr>
          <w:rStyle w:val="spelle"/>
          <w:b/>
          <w:bCs/>
          <w:szCs w:val="26"/>
          <w:lang w:val="lv-LV"/>
        </w:rPr>
        <w:t>9</w:t>
      </w:r>
      <w:r w:rsidR="003849CD" w:rsidRPr="00C26E25">
        <w:rPr>
          <w:rStyle w:val="spelle"/>
          <w:b/>
          <w:bCs/>
          <w:szCs w:val="26"/>
          <w:lang w:val="lv-LV"/>
        </w:rPr>
        <w:t> </w:t>
      </w:r>
      <w:r w:rsidR="00B002F4" w:rsidRPr="00C26E25">
        <w:rPr>
          <w:rStyle w:val="spelle"/>
          <w:b/>
          <w:bCs/>
          <w:szCs w:val="26"/>
          <w:lang w:val="lv-LV"/>
        </w:rPr>
        <w:t>769</w:t>
      </w:r>
      <w:r w:rsidR="005A3280" w:rsidRPr="00C26E25">
        <w:rPr>
          <w:rStyle w:val="spelle"/>
          <w:b/>
          <w:bCs/>
          <w:szCs w:val="26"/>
          <w:lang w:val="lv-LV"/>
        </w:rPr>
        <w:t xml:space="preserve"> </w:t>
      </w:r>
      <w:proofErr w:type="spellStart"/>
      <w:r w:rsidR="005A3280" w:rsidRPr="00C26E25">
        <w:rPr>
          <w:rStyle w:val="spelle"/>
          <w:b/>
          <w:bCs/>
          <w:i/>
          <w:iCs/>
          <w:szCs w:val="26"/>
          <w:lang w:val="lv-LV"/>
        </w:rPr>
        <w:t>euro</w:t>
      </w:r>
      <w:proofErr w:type="spellEnd"/>
      <w:r w:rsidR="005A3280" w:rsidRPr="00C26E25">
        <w:rPr>
          <w:rStyle w:val="spelle"/>
          <w:b/>
          <w:bCs/>
          <w:szCs w:val="26"/>
          <w:lang w:val="lv-LV"/>
        </w:rPr>
        <w:t xml:space="preserve"> </w:t>
      </w:r>
      <w:r w:rsidR="005A3280" w:rsidRPr="00C26E25">
        <w:rPr>
          <w:rStyle w:val="spelle"/>
          <w:szCs w:val="26"/>
          <w:lang w:val="lv-LV"/>
        </w:rPr>
        <w:t>apmērā</w:t>
      </w:r>
      <w:r w:rsidR="005A3280" w:rsidRPr="00C26E25">
        <w:rPr>
          <w:rStyle w:val="spelle"/>
          <w:b/>
          <w:bCs/>
          <w:szCs w:val="26"/>
          <w:lang w:val="lv-LV"/>
        </w:rPr>
        <w:t xml:space="preserve"> </w:t>
      </w:r>
      <w:r w:rsidR="005A3280" w:rsidRPr="00C26E25">
        <w:rPr>
          <w:rStyle w:val="spelle"/>
          <w:szCs w:val="26"/>
          <w:lang w:val="lv-LV"/>
        </w:rPr>
        <w:t>un</w:t>
      </w:r>
      <w:r w:rsidR="005A3280" w:rsidRPr="00C26E25">
        <w:rPr>
          <w:rStyle w:val="spelle"/>
          <w:b/>
          <w:bCs/>
          <w:szCs w:val="26"/>
          <w:lang w:val="lv-LV"/>
        </w:rPr>
        <w:t xml:space="preserve"> 2023. gadā </w:t>
      </w:r>
      <w:r w:rsidR="00B002F4" w:rsidRPr="00C26E25">
        <w:rPr>
          <w:rStyle w:val="spelle"/>
          <w:b/>
          <w:bCs/>
          <w:szCs w:val="26"/>
          <w:lang w:val="lv-LV"/>
        </w:rPr>
        <w:t>965</w:t>
      </w:r>
      <w:r w:rsidR="003849CD" w:rsidRPr="00C26E25">
        <w:rPr>
          <w:rStyle w:val="spelle"/>
          <w:b/>
          <w:bCs/>
          <w:szCs w:val="26"/>
          <w:lang w:val="lv-LV"/>
        </w:rPr>
        <w:t> </w:t>
      </w:r>
      <w:r w:rsidR="005B1A0A" w:rsidRPr="00C26E25">
        <w:rPr>
          <w:rStyle w:val="spelle"/>
          <w:b/>
          <w:bCs/>
          <w:szCs w:val="26"/>
          <w:lang w:val="lv-LV"/>
        </w:rPr>
        <w:t>19</w:t>
      </w:r>
      <w:r w:rsidR="00B002F4" w:rsidRPr="00C26E25">
        <w:rPr>
          <w:rStyle w:val="spelle"/>
          <w:b/>
          <w:bCs/>
          <w:szCs w:val="26"/>
          <w:lang w:val="lv-LV"/>
        </w:rPr>
        <w:t>7</w:t>
      </w:r>
      <w:r w:rsidR="005A3280" w:rsidRPr="00C26E25">
        <w:rPr>
          <w:rStyle w:val="spelle"/>
          <w:b/>
          <w:bCs/>
          <w:szCs w:val="26"/>
          <w:lang w:val="lv-LV"/>
        </w:rPr>
        <w:t xml:space="preserve"> </w:t>
      </w:r>
      <w:proofErr w:type="spellStart"/>
      <w:r w:rsidR="005A3280" w:rsidRPr="00C26E25">
        <w:rPr>
          <w:rStyle w:val="spelle"/>
          <w:b/>
          <w:bCs/>
          <w:i/>
          <w:iCs/>
          <w:szCs w:val="26"/>
          <w:lang w:val="lv-LV"/>
        </w:rPr>
        <w:t>euro</w:t>
      </w:r>
      <w:proofErr w:type="spellEnd"/>
      <w:r w:rsidR="005A3280" w:rsidRPr="00C26E25">
        <w:rPr>
          <w:rStyle w:val="spelle"/>
          <w:b/>
          <w:bCs/>
          <w:szCs w:val="26"/>
          <w:lang w:val="lv-LV"/>
        </w:rPr>
        <w:t xml:space="preserve"> </w:t>
      </w:r>
      <w:r w:rsidR="005A3280" w:rsidRPr="00C26E25">
        <w:rPr>
          <w:rStyle w:val="spelle"/>
          <w:szCs w:val="26"/>
          <w:lang w:val="lv-LV"/>
        </w:rPr>
        <w:t>apmērā</w:t>
      </w:r>
      <w:r w:rsidRPr="00C26E25">
        <w:rPr>
          <w:rStyle w:val="spelle"/>
          <w:szCs w:val="26"/>
          <w:lang w:val="lv-LV"/>
        </w:rPr>
        <w:t>.</w:t>
      </w:r>
      <w:r w:rsidR="00D4287D" w:rsidRPr="00C26E25">
        <w:rPr>
          <w:rStyle w:val="spelle"/>
          <w:szCs w:val="26"/>
          <w:lang w:val="lv-LV"/>
        </w:rPr>
        <w:t xml:space="preserve"> Iepriekš minētos finanšu līdzekļus paredzēts izmantot, lai 1) palielinātu mēnešalgas iestādes darbiniekiem, 2) izveidotu 2 amata vietas konkurences neitralitātes uzraudzības nodrošināšanai, </w:t>
      </w:r>
      <w:r w:rsidR="002F6735" w:rsidRPr="00C26E25">
        <w:rPr>
          <w:bCs/>
          <w:color w:val="000000"/>
          <w:szCs w:val="26"/>
          <w:shd w:val="clear" w:color="auto" w:fill="FFFFFF"/>
          <w:lang w:val="lv-LV"/>
        </w:rPr>
        <w:t>3) izveidotu 3 amata vietas Negodīgas tirdzniecības prakses aizlieguma likuma uzraudzības nodrošināšanai un 4</w:t>
      </w:r>
      <w:r w:rsidR="00D4287D" w:rsidRPr="00C26E25">
        <w:rPr>
          <w:rStyle w:val="spelle"/>
          <w:szCs w:val="26"/>
          <w:lang w:val="lv-LV"/>
        </w:rPr>
        <w:t xml:space="preserve">) stiprinātu IT izmeklēšanas kapacitāti, izveidojot laboratoriju ar atbilstošu IT aprīkojumu digitālo pierādījumu efektīvākai un operatīvākai apstrādei un </w:t>
      </w:r>
      <w:r w:rsidR="002F6735" w:rsidRPr="00C26E25">
        <w:rPr>
          <w:rStyle w:val="spelle"/>
          <w:szCs w:val="26"/>
          <w:lang w:val="lv-LV"/>
        </w:rPr>
        <w:t xml:space="preserve">pieņemtu darbā </w:t>
      </w:r>
      <w:r w:rsidR="00D4287D" w:rsidRPr="00C26E25">
        <w:rPr>
          <w:rStyle w:val="spelle"/>
          <w:szCs w:val="26"/>
          <w:lang w:val="lv-LV"/>
        </w:rPr>
        <w:t>IT speciālist</w:t>
      </w:r>
      <w:r w:rsidR="002F6735" w:rsidRPr="00C26E25">
        <w:rPr>
          <w:rStyle w:val="spelle"/>
          <w:szCs w:val="26"/>
          <w:lang w:val="lv-LV"/>
        </w:rPr>
        <w:t>u</w:t>
      </w:r>
      <w:r w:rsidR="00D4287D" w:rsidRPr="00C26E25">
        <w:rPr>
          <w:rStyle w:val="spelle"/>
          <w:szCs w:val="26"/>
          <w:lang w:val="lv-LV"/>
        </w:rPr>
        <w:t>.</w:t>
      </w:r>
    </w:p>
    <w:p w14:paraId="4CA3F862" w14:textId="27ABA424" w:rsidR="004A3CD9" w:rsidRPr="00C26E25" w:rsidRDefault="004A3CD9" w:rsidP="00C16324">
      <w:pPr>
        <w:spacing w:before="120" w:after="0" w:line="240" w:lineRule="auto"/>
        <w:ind w:right="85"/>
        <w:rPr>
          <w:iCs/>
          <w:szCs w:val="26"/>
          <w:lang w:val="lv-LV"/>
        </w:rPr>
      </w:pPr>
      <w:r w:rsidRPr="00C26E25">
        <w:rPr>
          <w:iCs/>
          <w:szCs w:val="26"/>
          <w:lang w:val="lv-LV"/>
        </w:rPr>
        <w:t xml:space="preserve">Vienlaikus norādāms, ka aplēses par Konkurences padomei papildus nepieciešamā finansējuma apmēru var mainīties, ja netiks turpināta </w:t>
      </w:r>
      <w:r w:rsidRPr="00C26E25">
        <w:rPr>
          <w:rStyle w:val="normaltextrun"/>
          <w:szCs w:val="26"/>
          <w:shd w:val="clear" w:color="auto" w:fill="FFFFFF"/>
          <w:lang w:val="lv-LV"/>
        </w:rPr>
        <w:t>Eiropas Reģionālās attīstības fonda projekta Nr. 2.2.1.1/17/I/031 „</w:t>
      </w:r>
      <w:r w:rsidRPr="00C26E25">
        <w:rPr>
          <w:rStyle w:val="normaltextrun"/>
          <w:i/>
          <w:iCs/>
          <w:szCs w:val="26"/>
          <w:shd w:val="clear" w:color="auto" w:fill="FFFFFF"/>
          <w:lang w:val="lv-LV"/>
        </w:rPr>
        <w:t>Vienotas darba vides izveide visā Ekonomikas ministrijas resorā</w:t>
      </w:r>
      <w:r w:rsidRPr="00C26E25">
        <w:rPr>
          <w:rStyle w:val="normaltextrun"/>
          <w:szCs w:val="26"/>
          <w:shd w:val="clear" w:color="auto" w:fill="FFFFFF"/>
          <w:lang w:val="lv-LV"/>
        </w:rPr>
        <w:t xml:space="preserve">” (turpmāk – Projekts) </w:t>
      </w:r>
      <w:r w:rsidRPr="00C26E25">
        <w:rPr>
          <w:iCs/>
          <w:szCs w:val="26"/>
          <w:lang w:val="lv-LV"/>
        </w:rPr>
        <w:t xml:space="preserve">īstenošana Ekonomikas ministrijas resorā. Projekta ietvaros tostarp ir paredzēts būtiski pilnveidot </w:t>
      </w:r>
      <w:r w:rsidR="00772D93" w:rsidRPr="00C26E25">
        <w:rPr>
          <w:iCs/>
          <w:szCs w:val="26"/>
          <w:lang w:val="lv-LV"/>
        </w:rPr>
        <w:t>(</w:t>
      </w:r>
      <w:proofErr w:type="spellStart"/>
      <w:r w:rsidR="00772D93" w:rsidRPr="00C26E25">
        <w:rPr>
          <w:iCs/>
          <w:szCs w:val="26"/>
          <w:lang w:val="lv-LV"/>
        </w:rPr>
        <w:t>digitalizēt</w:t>
      </w:r>
      <w:proofErr w:type="spellEnd"/>
      <w:r w:rsidR="00772D93" w:rsidRPr="00C26E25">
        <w:rPr>
          <w:iCs/>
          <w:szCs w:val="26"/>
          <w:lang w:val="lv-LV"/>
        </w:rPr>
        <w:t xml:space="preserve">) </w:t>
      </w:r>
      <w:r w:rsidRPr="00C26E25">
        <w:rPr>
          <w:iCs/>
          <w:szCs w:val="26"/>
          <w:lang w:val="lv-LV"/>
        </w:rPr>
        <w:t xml:space="preserve">konkurences uzraudzības iestādes lietu pārvaldības procesus, </w:t>
      </w:r>
      <w:r w:rsidR="00772D93" w:rsidRPr="00C26E25">
        <w:rPr>
          <w:iCs/>
          <w:szCs w:val="26"/>
          <w:lang w:val="lv-LV"/>
        </w:rPr>
        <w:t xml:space="preserve">lai </w:t>
      </w:r>
      <w:r w:rsidR="00772D93" w:rsidRPr="00C26E25">
        <w:rPr>
          <w:rStyle w:val="normaltextrun"/>
          <w:szCs w:val="26"/>
          <w:shd w:val="clear" w:color="auto" w:fill="FFFFFF"/>
          <w:lang w:val="lv-LV"/>
        </w:rPr>
        <w:t>sekmētu konkurences tiesību pārkāpumu atklāšanu, jo īpaši karteļu un nelikumīgu uzņēmumu apvienošanas gadījumu identificēšanu, pilnveidotu informācijas apmaiņu ar tiesām un nodrošinātu vienota Konkurences likuma pārkāpēju reģistra izveidi. Attiecīgi, lai nodrošinātu ECN</w:t>
      </w:r>
      <w:r w:rsidR="002941CA" w:rsidRPr="00C26E25">
        <w:rPr>
          <w:rStyle w:val="normaltextrun"/>
          <w:szCs w:val="26"/>
          <w:shd w:val="clear" w:color="auto" w:fill="FFFFFF"/>
          <w:lang w:val="lv-LV"/>
        </w:rPr>
        <w:t> </w:t>
      </w:r>
      <w:r w:rsidR="00772D93" w:rsidRPr="00C26E25">
        <w:rPr>
          <w:rStyle w:val="normaltextrun"/>
          <w:szCs w:val="26"/>
          <w:shd w:val="clear" w:color="auto" w:fill="FFFFFF"/>
          <w:lang w:val="lv-LV"/>
        </w:rPr>
        <w:t xml:space="preserve">+ direktīvas pārņemšanu, t.i., </w:t>
      </w:r>
      <w:r w:rsidR="00C16324" w:rsidRPr="00C26E25">
        <w:rPr>
          <w:rStyle w:val="normaltextrun"/>
          <w:szCs w:val="26"/>
          <w:shd w:val="clear" w:color="auto" w:fill="FFFFFF"/>
          <w:lang w:val="lv-LV"/>
        </w:rPr>
        <w:t xml:space="preserve">nodrošinātu </w:t>
      </w:r>
      <w:r w:rsidR="00772D93" w:rsidRPr="00C26E25">
        <w:rPr>
          <w:rStyle w:val="normaltextrun"/>
          <w:szCs w:val="26"/>
          <w:shd w:val="clear" w:color="auto" w:fill="FFFFFF"/>
          <w:lang w:val="lv-LV"/>
        </w:rPr>
        <w:t xml:space="preserve">konkurences uzraudzības iestādi ar nepieciešamajiem </w:t>
      </w:r>
      <w:r w:rsidR="00772D93" w:rsidRPr="00C26E25">
        <w:rPr>
          <w:iCs/>
          <w:szCs w:val="26"/>
          <w:lang w:val="lv-LV"/>
        </w:rPr>
        <w:t xml:space="preserve">tehniskiem un tehnoloģiskiem resursiem pienākumu </w:t>
      </w:r>
      <w:r w:rsidR="00772D93" w:rsidRPr="00C26E25">
        <w:rPr>
          <w:iCs/>
          <w:szCs w:val="26"/>
          <w:lang w:val="lv-LV"/>
        </w:rPr>
        <w:lastRenderedPageBreak/>
        <w:t xml:space="preserve">efektīvai pildīšanai un efektīvai pilnvaru īstenošanai attiecībā uz Eiropas Savienības </w:t>
      </w:r>
      <w:r w:rsidR="00B002F4" w:rsidRPr="00C26E25">
        <w:rPr>
          <w:iCs/>
          <w:szCs w:val="26"/>
          <w:lang w:val="lv-LV"/>
        </w:rPr>
        <w:t xml:space="preserve">un nacionālo </w:t>
      </w:r>
      <w:r w:rsidR="00772D93" w:rsidRPr="00C26E25">
        <w:rPr>
          <w:iCs/>
          <w:szCs w:val="26"/>
          <w:lang w:val="lv-LV"/>
        </w:rPr>
        <w:t>konkurences tiesību piemērošanu</w:t>
      </w:r>
      <w:r w:rsidR="00C16324" w:rsidRPr="00C26E25">
        <w:rPr>
          <w:iCs/>
          <w:szCs w:val="26"/>
          <w:lang w:val="lv-LV"/>
        </w:rPr>
        <w:t xml:space="preserve">, lietu pārvaldības procesus būs nepieciešams pilnveidot atsevišķi īstenota projekta ietvaros no </w:t>
      </w:r>
      <w:r w:rsidR="00C16324" w:rsidRPr="00C26E25">
        <w:rPr>
          <w:szCs w:val="26"/>
          <w:lang w:val="lv-LV"/>
        </w:rPr>
        <w:t>valsts budžeta dotācijas no vispārējiem ieņēmumiem.</w:t>
      </w:r>
    </w:p>
    <w:p w14:paraId="31A6951C" w14:textId="5EB32212" w:rsidR="00301CD5" w:rsidRPr="00C26E25" w:rsidRDefault="00301CD5" w:rsidP="00742755">
      <w:pPr>
        <w:spacing w:before="0" w:after="0" w:line="240" w:lineRule="auto"/>
        <w:jc w:val="center"/>
        <w:rPr>
          <w:b/>
          <w:bCs/>
          <w:szCs w:val="26"/>
          <w:lang w:val="lv-LV"/>
        </w:rPr>
      </w:pPr>
    </w:p>
    <w:p w14:paraId="651A4A68" w14:textId="77777777" w:rsidR="004C1D76" w:rsidRPr="00C26E25" w:rsidRDefault="004C1D76" w:rsidP="004C1D76">
      <w:pPr>
        <w:pStyle w:val="Footer"/>
        <w:tabs>
          <w:tab w:val="clear" w:pos="4153"/>
          <w:tab w:val="clear" w:pos="8306"/>
        </w:tabs>
        <w:rPr>
          <w:sz w:val="26"/>
          <w:szCs w:val="26"/>
        </w:rPr>
      </w:pPr>
    </w:p>
    <w:p w14:paraId="30C56991" w14:textId="28883585" w:rsidR="004C1D76" w:rsidRPr="00C26E25" w:rsidRDefault="004C1D76" w:rsidP="004C1D76">
      <w:pPr>
        <w:ind w:firstLine="0"/>
        <w:rPr>
          <w:szCs w:val="26"/>
          <w:lang w:val="lv-LV"/>
        </w:rPr>
      </w:pPr>
      <w:r w:rsidRPr="00C26E25">
        <w:rPr>
          <w:szCs w:val="26"/>
          <w:lang w:val="lv-LV"/>
        </w:rPr>
        <w:t>Ekonomikas ministrs</w:t>
      </w:r>
      <w:r w:rsidRPr="00C26E25">
        <w:rPr>
          <w:szCs w:val="26"/>
          <w:lang w:val="lv-LV"/>
        </w:rPr>
        <w:tab/>
      </w:r>
      <w:r w:rsidRPr="00C26E25">
        <w:rPr>
          <w:szCs w:val="26"/>
          <w:lang w:val="lv-LV"/>
        </w:rPr>
        <w:tab/>
      </w:r>
      <w:r w:rsidRPr="00C26E25">
        <w:rPr>
          <w:szCs w:val="26"/>
          <w:lang w:val="lv-LV"/>
        </w:rPr>
        <w:tab/>
      </w:r>
      <w:r w:rsidRPr="00C26E25">
        <w:rPr>
          <w:szCs w:val="26"/>
          <w:lang w:val="lv-LV"/>
        </w:rPr>
        <w:tab/>
      </w:r>
      <w:r w:rsidRPr="00C26E25">
        <w:rPr>
          <w:szCs w:val="26"/>
          <w:lang w:val="lv-LV"/>
        </w:rPr>
        <w:tab/>
      </w:r>
      <w:r w:rsidRPr="00C26E25">
        <w:rPr>
          <w:szCs w:val="26"/>
          <w:lang w:val="lv-LV"/>
        </w:rPr>
        <w:tab/>
      </w:r>
      <w:r w:rsidR="00B557C5" w:rsidRPr="00C26E25">
        <w:rPr>
          <w:szCs w:val="26"/>
          <w:lang w:val="lv-LV"/>
        </w:rPr>
        <w:t>J</w:t>
      </w:r>
      <w:bookmarkStart w:id="3" w:name="_GoBack"/>
      <w:bookmarkEnd w:id="3"/>
      <w:r w:rsidRPr="00C26E25">
        <w:rPr>
          <w:szCs w:val="26"/>
          <w:lang w:val="lv-LV"/>
        </w:rPr>
        <w:t>. </w:t>
      </w:r>
      <w:r w:rsidR="00B557C5" w:rsidRPr="00C26E25">
        <w:rPr>
          <w:szCs w:val="26"/>
          <w:lang w:val="lv-LV"/>
        </w:rPr>
        <w:t>Vitenbergs</w:t>
      </w:r>
    </w:p>
    <w:p w14:paraId="796C0BC7" w14:textId="77777777" w:rsidR="004C1D76" w:rsidRPr="00C26E25" w:rsidRDefault="004C1D76" w:rsidP="004C1D76">
      <w:pPr>
        <w:spacing w:after="0" w:line="240" w:lineRule="auto"/>
        <w:ind w:firstLine="0"/>
        <w:rPr>
          <w:bCs/>
          <w:szCs w:val="26"/>
          <w:lang w:val="lv-LV"/>
        </w:rPr>
      </w:pPr>
      <w:r w:rsidRPr="00C26E25">
        <w:rPr>
          <w:bCs/>
          <w:szCs w:val="26"/>
          <w:lang w:val="lv-LV"/>
        </w:rPr>
        <w:t xml:space="preserve">Vīza: </w:t>
      </w:r>
    </w:p>
    <w:p w14:paraId="410CC31C" w14:textId="3D6C1F5D" w:rsidR="004C1D76" w:rsidRPr="00C26E25" w:rsidRDefault="004C1D76" w:rsidP="004C1D76">
      <w:pPr>
        <w:ind w:firstLine="0"/>
        <w:rPr>
          <w:bCs/>
          <w:szCs w:val="26"/>
          <w:lang w:val="lv-LV"/>
        </w:rPr>
      </w:pPr>
      <w:r w:rsidRPr="00C26E25">
        <w:rPr>
          <w:bCs/>
          <w:szCs w:val="26"/>
          <w:lang w:val="lv-LV"/>
        </w:rPr>
        <w:t>Valsts sekretārs</w:t>
      </w:r>
      <w:r w:rsidRPr="00C26E25">
        <w:rPr>
          <w:bCs/>
          <w:szCs w:val="26"/>
          <w:lang w:val="lv-LV"/>
        </w:rPr>
        <w:tab/>
      </w:r>
      <w:r w:rsidRPr="00C26E25">
        <w:rPr>
          <w:bCs/>
          <w:szCs w:val="26"/>
          <w:lang w:val="lv-LV"/>
        </w:rPr>
        <w:tab/>
      </w:r>
      <w:r w:rsidRPr="00C26E25">
        <w:rPr>
          <w:bCs/>
          <w:szCs w:val="26"/>
          <w:lang w:val="lv-LV"/>
        </w:rPr>
        <w:tab/>
      </w:r>
      <w:r w:rsidRPr="00C26E25">
        <w:rPr>
          <w:bCs/>
          <w:szCs w:val="26"/>
          <w:lang w:val="lv-LV"/>
        </w:rPr>
        <w:tab/>
      </w:r>
      <w:r w:rsidRPr="00C26E25">
        <w:rPr>
          <w:bCs/>
          <w:szCs w:val="26"/>
          <w:lang w:val="lv-LV"/>
        </w:rPr>
        <w:tab/>
      </w:r>
      <w:r w:rsidRPr="00C26E25">
        <w:rPr>
          <w:bCs/>
          <w:szCs w:val="26"/>
          <w:lang w:val="lv-LV"/>
        </w:rPr>
        <w:tab/>
      </w:r>
      <w:r w:rsidRPr="00C26E25">
        <w:rPr>
          <w:bCs/>
          <w:szCs w:val="26"/>
          <w:lang w:val="lv-LV"/>
        </w:rPr>
        <w:tab/>
      </w:r>
      <w:r w:rsidR="00B557C5" w:rsidRPr="00C26E25">
        <w:rPr>
          <w:bCs/>
          <w:szCs w:val="26"/>
          <w:lang w:val="lv-LV"/>
        </w:rPr>
        <w:t>E</w:t>
      </w:r>
      <w:r w:rsidRPr="00C26E25">
        <w:rPr>
          <w:bCs/>
          <w:szCs w:val="26"/>
          <w:lang w:val="lv-LV"/>
        </w:rPr>
        <w:t>. </w:t>
      </w:r>
      <w:r w:rsidR="00B557C5" w:rsidRPr="00C26E25">
        <w:rPr>
          <w:bCs/>
          <w:szCs w:val="26"/>
          <w:lang w:val="lv-LV"/>
        </w:rPr>
        <w:t>Valantis</w:t>
      </w:r>
    </w:p>
    <w:p w14:paraId="21A5DFB7" w14:textId="77777777" w:rsidR="004C1D76" w:rsidRPr="00C26E25" w:rsidRDefault="004C1D76" w:rsidP="004C1D76">
      <w:pPr>
        <w:pStyle w:val="BodyTextIndent"/>
        <w:suppressAutoHyphens/>
        <w:ind w:left="0" w:right="-341"/>
        <w:jc w:val="both"/>
        <w:rPr>
          <w:sz w:val="26"/>
          <w:szCs w:val="26"/>
          <w:lang w:val="lv-LV"/>
        </w:rPr>
      </w:pPr>
    </w:p>
    <w:p w14:paraId="462039D0" w14:textId="77777777" w:rsidR="004C1D76" w:rsidRPr="00C26E25" w:rsidRDefault="004C1D76" w:rsidP="004C1D76">
      <w:pPr>
        <w:spacing w:before="0" w:after="0" w:line="240" w:lineRule="auto"/>
        <w:ind w:firstLine="0"/>
        <w:rPr>
          <w:sz w:val="20"/>
          <w:lang w:val="lv-LV"/>
        </w:rPr>
      </w:pPr>
      <w:proofErr w:type="spellStart"/>
      <w:r w:rsidRPr="00C26E25">
        <w:rPr>
          <w:sz w:val="20"/>
          <w:lang w:val="lv-LV"/>
        </w:rPr>
        <w:t>I.Eglītis</w:t>
      </w:r>
      <w:proofErr w:type="spellEnd"/>
    </w:p>
    <w:p w14:paraId="5D56B4C8" w14:textId="77777777" w:rsidR="004C1D76" w:rsidRPr="00C26E25" w:rsidRDefault="004C1D76" w:rsidP="004C1D76">
      <w:pPr>
        <w:spacing w:before="0" w:after="0" w:line="240" w:lineRule="auto"/>
        <w:ind w:firstLine="0"/>
        <w:rPr>
          <w:sz w:val="20"/>
          <w:lang w:val="lv-LV"/>
        </w:rPr>
      </w:pPr>
      <w:r w:rsidRPr="00C26E25">
        <w:rPr>
          <w:sz w:val="20"/>
          <w:lang w:val="lv-LV"/>
        </w:rPr>
        <w:t>67013236, Intars.Eglitis@em.gov.lv</w:t>
      </w:r>
      <w:bookmarkStart w:id="4" w:name="_1383384029"/>
      <w:bookmarkEnd w:id="4"/>
    </w:p>
    <w:sectPr w:rsidR="004C1D76" w:rsidRPr="00C26E2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FE9D4" w14:textId="77777777" w:rsidR="00CF5680" w:rsidRDefault="00CF5680" w:rsidP="00D65D8F">
      <w:pPr>
        <w:spacing w:before="0" w:after="0" w:line="240" w:lineRule="auto"/>
      </w:pPr>
      <w:r>
        <w:separator/>
      </w:r>
    </w:p>
  </w:endnote>
  <w:endnote w:type="continuationSeparator" w:id="0">
    <w:p w14:paraId="1CEEC58B" w14:textId="77777777" w:rsidR="00CF5680" w:rsidRDefault="00CF5680" w:rsidP="00D65D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9CC0C" w14:textId="36E834A6" w:rsidR="00BF3009" w:rsidRDefault="00BF3009" w:rsidP="00BF3009">
    <w:pPr>
      <w:pStyle w:val="Footer"/>
      <w:jc w:val="both"/>
    </w:pPr>
    <w:r w:rsidRPr="00DB12D5">
      <w:rPr>
        <w:sz w:val="20"/>
        <w:szCs w:val="20"/>
      </w:rPr>
      <w:t>EMZino_</w:t>
    </w:r>
    <w:r w:rsidR="00305781">
      <w:rPr>
        <w:sz w:val="20"/>
        <w:szCs w:val="20"/>
      </w:rPr>
      <w:t>21</w:t>
    </w:r>
    <w:r w:rsidR="004301A0">
      <w:rPr>
        <w:sz w:val="20"/>
        <w:szCs w:val="20"/>
      </w:rPr>
      <w:t>07</w:t>
    </w:r>
    <w:r w:rsidR="00D17E30">
      <w:rPr>
        <w:sz w:val="20"/>
        <w:szCs w:val="20"/>
      </w:rPr>
      <w:t>20</w:t>
    </w:r>
    <w:r w:rsidR="00560806">
      <w:rPr>
        <w:sz w:val="20"/>
        <w:szCs w:val="20"/>
      </w:rPr>
      <w:t>_</w:t>
    </w:r>
    <w:r w:rsidR="0031643C">
      <w:rPr>
        <w:sz w:val="20"/>
        <w:szCs w:val="20"/>
      </w:rPr>
      <w:t xml:space="preserve">Par </w:t>
    </w:r>
    <w:r w:rsidR="00C24EC7">
      <w:rPr>
        <w:sz w:val="20"/>
        <w:szCs w:val="20"/>
      </w:rPr>
      <w:t>Konkurences Padomes finansiālās kapacitātes</w:t>
    </w:r>
    <w:r w:rsidR="00130CFB">
      <w:rPr>
        <w:sz w:val="20"/>
        <w:szCs w:val="20"/>
      </w:rPr>
      <w:t xml:space="preserve"> stiprināšan</w:t>
    </w:r>
    <w:r w:rsidR="0031643C">
      <w:rPr>
        <w:sz w:val="20"/>
        <w:szCs w:val="20"/>
      </w:rPr>
      <w:t>u</w:t>
    </w:r>
    <w:r w:rsidRPr="00DB12D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D79DA" w14:textId="77777777" w:rsidR="00CF5680" w:rsidRDefault="00CF5680" w:rsidP="00D65D8F">
      <w:pPr>
        <w:spacing w:before="0" w:after="0" w:line="240" w:lineRule="auto"/>
      </w:pPr>
      <w:r>
        <w:separator/>
      </w:r>
    </w:p>
  </w:footnote>
  <w:footnote w:type="continuationSeparator" w:id="0">
    <w:p w14:paraId="0B77FA5C" w14:textId="77777777" w:rsidR="00CF5680" w:rsidRDefault="00CF5680" w:rsidP="00D65D8F">
      <w:pPr>
        <w:spacing w:before="0" w:after="0" w:line="240" w:lineRule="auto"/>
      </w:pPr>
      <w:r>
        <w:continuationSeparator/>
      </w:r>
    </w:p>
  </w:footnote>
  <w:footnote w:id="1">
    <w:p w14:paraId="465994BC" w14:textId="5671391F" w:rsidR="00C26E99" w:rsidRPr="00C26E99" w:rsidRDefault="00C26E99">
      <w:pPr>
        <w:pStyle w:val="FootnoteText"/>
        <w:rPr>
          <w:lang w:val="lv-LV"/>
        </w:rPr>
      </w:pPr>
      <w:r>
        <w:rPr>
          <w:rStyle w:val="FootnoteReference"/>
        </w:rPr>
        <w:footnoteRef/>
      </w:r>
      <w:r>
        <w:t xml:space="preserve"> </w:t>
      </w:r>
      <w:r w:rsidRPr="0089556C">
        <w:rPr>
          <w:lang w:val="lv-LV"/>
        </w:rPr>
        <w:t>Eiropas Parlamenta un Padomes Direktīv</w:t>
      </w:r>
      <w:r>
        <w:rPr>
          <w:lang w:val="lv-LV"/>
        </w:rPr>
        <w:t>a</w:t>
      </w:r>
      <w:r w:rsidRPr="0089556C">
        <w:rPr>
          <w:lang w:val="lv-LV"/>
        </w:rPr>
        <w:t xml:space="preserve"> 2019/1/ES </w:t>
      </w:r>
      <w:r w:rsidRPr="0089556C">
        <w:rPr>
          <w:i/>
          <w:iCs/>
          <w:lang w:val="lv-LV"/>
        </w:rPr>
        <w:t>par apstākļu nodrošināšanu nolūkā dot dalībvalstu konkurences iestādēm iespēju efektīvāk izpildīt konkurences noteikumus un par iekšējā tirgus pienācīgas darbības nodrošināšanu</w:t>
      </w:r>
      <w:r>
        <w:rPr>
          <w:i/>
          <w:iCs/>
          <w:lang w:val="lv-LV"/>
        </w:rPr>
        <w:t xml:space="preserve"> (ECN+ direktīva)</w:t>
      </w:r>
    </w:p>
  </w:footnote>
  <w:footnote w:id="2">
    <w:p w14:paraId="7E1F1189" w14:textId="5348F825" w:rsidR="004C3FF5" w:rsidRPr="004C3FF5" w:rsidRDefault="004C3FF5" w:rsidP="00567E72">
      <w:pPr>
        <w:pStyle w:val="FootnoteText"/>
        <w:ind w:firstLine="0"/>
        <w:rPr>
          <w:lang w:val="lv-LV"/>
        </w:rPr>
      </w:pPr>
      <w:r>
        <w:rPr>
          <w:rStyle w:val="FootnoteReference"/>
        </w:rPr>
        <w:footnoteRef/>
      </w:r>
      <w:r>
        <w:t xml:space="preserve"> </w:t>
      </w:r>
      <w:r w:rsidR="00567E72">
        <w:t>24.09.</w:t>
      </w:r>
      <w:r>
        <w:t>201</w:t>
      </w:r>
      <w:r w:rsidR="00567E72">
        <w:t>9</w:t>
      </w:r>
      <w:r>
        <w:t xml:space="preserve">. </w:t>
      </w:r>
      <w:proofErr w:type="spellStart"/>
      <w:r>
        <w:t>Ministru</w:t>
      </w:r>
      <w:proofErr w:type="spellEnd"/>
      <w:r>
        <w:t xml:space="preserve"> </w:t>
      </w:r>
      <w:proofErr w:type="spellStart"/>
      <w:r>
        <w:t>kabineta</w:t>
      </w:r>
      <w:proofErr w:type="spellEnd"/>
      <w:r w:rsidR="00567E72">
        <w:t xml:space="preserve"> </w:t>
      </w:r>
      <w:proofErr w:type="spellStart"/>
      <w:r w:rsidR="00567E72">
        <w:t>sēdes</w:t>
      </w:r>
      <w:proofErr w:type="spellEnd"/>
      <w:r w:rsidR="00567E72">
        <w:t xml:space="preserve"> </w:t>
      </w:r>
      <w:proofErr w:type="spellStart"/>
      <w:r w:rsidR="00567E72">
        <w:t>protokollēmums</w:t>
      </w:r>
      <w:proofErr w:type="spellEnd"/>
      <w:r>
        <w:t xml:space="preserve"> (Prot.Nr.</w:t>
      </w:r>
      <w:proofErr w:type="gramStart"/>
      <w:r w:rsidR="00567E72">
        <w:t>4</w:t>
      </w:r>
      <w:r>
        <w:t>3</w:t>
      </w:r>
      <w:r w:rsidR="00567E72">
        <w:t>  </w:t>
      </w:r>
      <w:r>
        <w:t>2</w:t>
      </w:r>
      <w:r w:rsidR="00567E72">
        <w:t>9</w:t>
      </w:r>
      <w:proofErr w:type="gramEnd"/>
      <w:r w:rsidRPr="005A3F9F">
        <w:t>.§</w:t>
      </w:r>
      <w:r>
        <w:t>  </w:t>
      </w:r>
      <w:r w:rsidRPr="0082349D">
        <w:t>TA-</w:t>
      </w:r>
      <w:r w:rsidR="00567E72">
        <w:t>1352  3.punkts</w:t>
      </w:r>
      <w:r>
        <w:t>)</w:t>
      </w:r>
    </w:p>
  </w:footnote>
  <w:footnote w:id="3">
    <w:p w14:paraId="24BA04FD" w14:textId="0D036B8C" w:rsidR="002352A4" w:rsidRPr="002A324D" w:rsidRDefault="002352A4">
      <w:pPr>
        <w:pStyle w:val="FootnoteText"/>
        <w:rPr>
          <w:lang w:val="lv-LV"/>
        </w:rPr>
      </w:pPr>
      <w:r>
        <w:rPr>
          <w:rStyle w:val="FootnoteReference"/>
        </w:rPr>
        <w:footnoteRef/>
      </w:r>
      <w:r w:rsidRPr="002A324D">
        <w:rPr>
          <w:lang w:val="lv-LV"/>
        </w:rPr>
        <w:t xml:space="preserve"> Uz </w:t>
      </w:r>
      <w:r w:rsidR="002A0B31">
        <w:rPr>
          <w:lang w:val="lv-LV"/>
        </w:rPr>
        <w:t>nepieciešamību</w:t>
      </w:r>
      <w:r w:rsidRPr="002A324D">
        <w:rPr>
          <w:lang w:val="lv-LV"/>
        </w:rPr>
        <w:t xml:space="preserve"> risināt </w:t>
      </w:r>
      <w:r w:rsidR="00477BAC">
        <w:rPr>
          <w:lang w:val="lv-LV"/>
        </w:rPr>
        <w:t>Konkurences padomes</w:t>
      </w:r>
      <w:r w:rsidRPr="002A324D">
        <w:rPr>
          <w:lang w:val="lv-LV"/>
        </w:rPr>
        <w:t xml:space="preserve"> nepietiekamo IT </w:t>
      </w:r>
      <w:r>
        <w:rPr>
          <w:lang w:val="lv-LV"/>
        </w:rPr>
        <w:t xml:space="preserve">personāla un tehnisko </w:t>
      </w:r>
      <w:r w:rsidRPr="002A324D">
        <w:rPr>
          <w:lang w:val="lv-LV"/>
        </w:rPr>
        <w:t>kapacitāti</w:t>
      </w:r>
      <w:r>
        <w:rPr>
          <w:lang w:val="lv-LV"/>
        </w:rPr>
        <w:t xml:space="preserve"> </w:t>
      </w:r>
      <w:r w:rsidRPr="002A324D">
        <w:rPr>
          <w:lang w:val="lv-LV"/>
        </w:rPr>
        <w:t>norādīts arī Informatīvajā ziņojum</w:t>
      </w:r>
      <w:r w:rsidR="002A0B31">
        <w:rPr>
          <w:lang w:val="lv-LV"/>
        </w:rPr>
        <w:t>ā</w:t>
      </w:r>
      <w:r w:rsidRPr="002A324D">
        <w:rPr>
          <w:lang w:val="lv-LV"/>
        </w:rPr>
        <w:t xml:space="preserve"> “Par priekšlikumiem publisko iepirkumu sistēmas uzlabošanai”</w:t>
      </w:r>
      <w:r w:rsidR="002A0B31" w:rsidRPr="002A324D">
        <w:rPr>
          <w:lang w:val="lv-LV"/>
        </w:rPr>
        <w:t xml:space="preserve"> </w:t>
      </w:r>
      <w:r w:rsidR="002A0B31">
        <w:rPr>
          <w:lang w:val="lv-LV"/>
        </w:rPr>
        <w:t>(</w:t>
      </w:r>
      <w:r w:rsidR="002A0B31" w:rsidRPr="002A0B31">
        <w:rPr>
          <w:lang w:val="lv-LV"/>
        </w:rPr>
        <w:t>Prot.Nr.</w:t>
      </w:r>
      <w:r w:rsidR="002A0B31">
        <w:rPr>
          <w:lang w:val="lv-LV"/>
        </w:rPr>
        <w:t>49</w:t>
      </w:r>
      <w:r w:rsidR="002A0B31" w:rsidRPr="002A0B31">
        <w:rPr>
          <w:lang w:val="lv-LV"/>
        </w:rPr>
        <w:t xml:space="preserve">  </w:t>
      </w:r>
      <w:r w:rsidR="002A0B31">
        <w:rPr>
          <w:lang w:val="lv-LV"/>
        </w:rPr>
        <w:t>43</w:t>
      </w:r>
      <w:r w:rsidR="002A0B31" w:rsidRPr="002A0B31">
        <w:rPr>
          <w:lang w:val="lv-LV"/>
        </w:rPr>
        <w:t>.§  TA-1</w:t>
      </w:r>
      <w:r w:rsidR="002A0B31">
        <w:rPr>
          <w:lang w:val="lv-LV"/>
        </w:rPr>
        <w:t>944)</w:t>
      </w:r>
      <w:r w:rsidR="002A0B31" w:rsidRPr="002A0B31">
        <w:rPr>
          <w:lang w:val="lv-LV"/>
        </w:rPr>
        <w:t xml:space="preserve"> </w:t>
      </w:r>
      <w:hyperlink r:id="rId1" w:history="1">
        <w:r w:rsidR="002A0B31" w:rsidRPr="00595594">
          <w:rPr>
            <w:rStyle w:val="Hyperlink"/>
            <w:lang w:val="lv-LV"/>
          </w:rPr>
          <w:t>http://tap.mk.gov.lv/mk/tap/?pid=40478862</w:t>
        </w:r>
      </w:hyperlink>
      <w:r w:rsidR="002A0B31">
        <w:rPr>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D3D7D"/>
    <w:multiLevelType w:val="hybridMultilevel"/>
    <w:tmpl w:val="30B4E7A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6586FE5"/>
    <w:multiLevelType w:val="hybridMultilevel"/>
    <w:tmpl w:val="E9CCCAA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7A23D6"/>
    <w:multiLevelType w:val="hybridMultilevel"/>
    <w:tmpl w:val="CBBED4D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A544087"/>
    <w:multiLevelType w:val="hybridMultilevel"/>
    <w:tmpl w:val="1EEA55D0"/>
    <w:lvl w:ilvl="0" w:tplc="CCF0D0B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CA106DD"/>
    <w:multiLevelType w:val="hybridMultilevel"/>
    <w:tmpl w:val="E5A0B4D8"/>
    <w:lvl w:ilvl="0" w:tplc="E9CCD08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3115338A"/>
    <w:multiLevelType w:val="hybridMultilevel"/>
    <w:tmpl w:val="EFB24432"/>
    <w:lvl w:ilvl="0" w:tplc="D676E76A">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C23E15"/>
    <w:multiLevelType w:val="hybridMultilevel"/>
    <w:tmpl w:val="F960A220"/>
    <w:lvl w:ilvl="0" w:tplc="04260005">
      <w:start w:val="1"/>
      <w:numFmt w:val="bullet"/>
      <w:lvlText w:val=""/>
      <w:lvlJc w:val="left"/>
      <w:pPr>
        <w:ind w:left="360" w:hanging="360"/>
      </w:pPr>
      <w:rPr>
        <w:rFonts w:ascii="Wingdings" w:hAnsi="Wingdings" w:cs="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5FE17E62"/>
    <w:multiLevelType w:val="hybridMultilevel"/>
    <w:tmpl w:val="C400E8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9A8173B"/>
    <w:multiLevelType w:val="hybridMultilevel"/>
    <w:tmpl w:val="ECF2AB54"/>
    <w:lvl w:ilvl="0" w:tplc="E9CCD086">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F233194"/>
    <w:multiLevelType w:val="hybridMultilevel"/>
    <w:tmpl w:val="EC22844C"/>
    <w:lvl w:ilvl="0" w:tplc="9134199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
  </w:num>
  <w:num w:numId="4">
    <w:abstractNumId w:val="0"/>
  </w:num>
  <w:num w:numId="5">
    <w:abstractNumId w:val="2"/>
  </w:num>
  <w:num w:numId="6">
    <w:abstractNumId w:val="3"/>
  </w:num>
  <w:num w:numId="7">
    <w:abstractNumId w:val="6"/>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46"/>
    <w:rsid w:val="00010308"/>
    <w:rsid w:val="000442E7"/>
    <w:rsid w:val="000636C5"/>
    <w:rsid w:val="000639FF"/>
    <w:rsid w:val="000705DC"/>
    <w:rsid w:val="000827D4"/>
    <w:rsid w:val="00094676"/>
    <w:rsid w:val="000B361F"/>
    <w:rsid w:val="000C3246"/>
    <w:rsid w:val="000C6AEA"/>
    <w:rsid w:val="000D01AA"/>
    <w:rsid w:val="000E5FEA"/>
    <w:rsid w:val="000E68E5"/>
    <w:rsid w:val="000E772C"/>
    <w:rsid w:val="000F7F24"/>
    <w:rsid w:val="001139B8"/>
    <w:rsid w:val="001264C4"/>
    <w:rsid w:val="00130CFB"/>
    <w:rsid w:val="00157375"/>
    <w:rsid w:val="0016530D"/>
    <w:rsid w:val="00165B39"/>
    <w:rsid w:val="00166368"/>
    <w:rsid w:val="001748EB"/>
    <w:rsid w:val="0018471C"/>
    <w:rsid w:val="00185E33"/>
    <w:rsid w:val="001A6883"/>
    <w:rsid w:val="001D6B8C"/>
    <w:rsid w:val="00203582"/>
    <w:rsid w:val="00207927"/>
    <w:rsid w:val="00207DEC"/>
    <w:rsid w:val="00212628"/>
    <w:rsid w:val="00215ED9"/>
    <w:rsid w:val="00217C01"/>
    <w:rsid w:val="00231E5C"/>
    <w:rsid w:val="002352A4"/>
    <w:rsid w:val="0023536E"/>
    <w:rsid w:val="002439A1"/>
    <w:rsid w:val="0025428F"/>
    <w:rsid w:val="00254D7F"/>
    <w:rsid w:val="00261B83"/>
    <w:rsid w:val="002647A9"/>
    <w:rsid w:val="00266BB9"/>
    <w:rsid w:val="00273CED"/>
    <w:rsid w:val="002941CA"/>
    <w:rsid w:val="002A0B31"/>
    <w:rsid w:val="002A324D"/>
    <w:rsid w:val="002A4059"/>
    <w:rsid w:val="002A7B57"/>
    <w:rsid w:val="002B6160"/>
    <w:rsid w:val="002C23B0"/>
    <w:rsid w:val="002C4D31"/>
    <w:rsid w:val="002D75C8"/>
    <w:rsid w:val="002F6735"/>
    <w:rsid w:val="00301CD5"/>
    <w:rsid w:val="0030476A"/>
    <w:rsid w:val="00305781"/>
    <w:rsid w:val="0031643C"/>
    <w:rsid w:val="00323491"/>
    <w:rsid w:val="003367C5"/>
    <w:rsid w:val="00354342"/>
    <w:rsid w:val="003849CD"/>
    <w:rsid w:val="00394D4C"/>
    <w:rsid w:val="003B5ABE"/>
    <w:rsid w:val="003C2FF6"/>
    <w:rsid w:val="003C3DD5"/>
    <w:rsid w:val="003C6099"/>
    <w:rsid w:val="003F0670"/>
    <w:rsid w:val="003F53BC"/>
    <w:rsid w:val="00413D20"/>
    <w:rsid w:val="004301A0"/>
    <w:rsid w:val="00431AC9"/>
    <w:rsid w:val="00456C74"/>
    <w:rsid w:val="00460BFA"/>
    <w:rsid w:val="00472D6A"/>
    <w:rsid w:val="00476A6C"/>
    <w:rsid w:val="00477BAC"/>
    <w:rsid w:val="004A3CD9"/>
    <w:rsid w:val="004A50BB"/>
    <w:rsid w:val="004B29C4"/>
    <w:rsid w:val="004B4972"/>
    <w:rsid w:val="004C1D76"/>
    <w:rsid w:val="004C3FF5"/>
    <w:rsid w:val="004D11BD"/>
    <w:rsid w:val="004D7C99"/>
    <w:rsid w:val="004E28DE"/>
    <w:rsid w:val="004F1AEA"/>
    <w:rsid w:val="004F63A6"/>
    <w:rsid w:val="005457A9"/>
    <w:rsid w:val="00546560"/>
    <w:rsid w:val="00556D7E"/>
    <w:rsid w:val="00560806"/>
    <w:rsid w:val="00567E72"/>
    <w:rsid w:val="00570122"/>
    <w:rsid w:val="00570ACA"/>
    <w:rsid w:val="00576CC3"/>
    <w:rsid w:val="00582F09"/>
    <w:rsid w:val="0058504C"/>
    <w:rsid w:val="0059458D"/>
    <w:rsid w:val="00595AD6"/>
    <w:rsid w:val="00596626"/>
    <w:rsid w:val="00596E76"/>
    <w:rsid w:val="005A3280"/>
    <w:rsid w:val="005A397D"/>
    <w:rsid w:val="005B1A0A"/>
    <w:rsid w:val="005C1DC4"/>
    <w:rsid w:val="005D395E"/>
    <w:rsid w:val="005E44FA"/>
    <w:rsid w:val="0060366C"/>
    <w:rsid w:val="0060754C"/>
    <w:rsid w:val="00615407"/>
    <w:rsid w:val="00622FAC"/>
    <w:rsid w:val="006306B1"/>
    <w:rsid w:val="00632760"/>
    <w:rsid w:val="00637516"/>
    <w:rsid w:val="0068484E"/>
    <w:rsid w:val="00686804"/>
    <w:rsid w:val="006A3E13"/>
    <w:rsid w:val="006C56A0"/>
    <w:rsid w:val="006D2A48"/>
    <w:rsid w:val="006D4F7C"/>
    <w:rsid w:val="006F0D6C"/>
    <w:rsid w:val="00720E1C"/>
    <w:rsid w:val="00727FF6"/>
    <w:rsid w:val="00742755"/>
    <w:rsid w:val="00750821"/>
    <w:rsid w:val="00750C69"/>
    <w:rsid w:val="007701CC"/>
    <w:rsid w:val="00772D93"/>
    <w:rsid w:val="007839ED"/>
    <w:rsid w:val="00783FBD"/>
    <w:rsid w:val="007C43FE"/>
    <w:rsid w:val="007D7F07"/>
    <w:rsid w:val="007E137E"/>
    <w:rsid w:val="007F3846"/>
    <w:rsid w:val="0080143F"/>
    <w:rsid w:val="008042D2"/>
    <w:rsid w:val="00825288"/>
    <w:rsid w:val="00826DB9"/>
    <w:rsid w:val="00844481"/>
    <w:rsid w:val="00853A93"/>
    <w:rsid w:val="008716C4"/>
    <w:rsid w:val="00882A5F"/>
    <w:rsid w:val="0089556C"/>
    <w:rsid w:val="008A0A1E"/>
    <w:rsid w:val="008B2C26"/>
    <w:rsid w:val="008B2C9B"/>
    <w:rsid w:val="008B32CB"/>
    <w:rsid w:val="008C3699"/>
    <w:rsid w:val="008C46C7"/>
    <w:rsid w:val="008D7418"/>
    <w:rsid w:val="008D7726"/>
    <w:rsid w:val="008D791B"/>
    <w:rsid w:val="008F474E"/>
    <w:rsid w:val="008F7DA4"/>
    <w:rsid w:val="009042EF"/>
    <w:rsid w:val="009132E8"/>
    <w:rsid w:val="00923ED6"/>
    <w:rsid w:val="00930954"/>
    <w:rsid w:val="009360D1"/>
    <w:rsid w:val="00952EA2"/>
    <w:rsid w:val="00971CC4"/>
    <w:rsid w:val="009A1CA6"/>
    <w:rsid w:val="009C1615"/>
    <w:rsid w:val="009C5FC6"/>
    <w:rsid w:val="009E04CB"/>
    <w:rsid w:val="00A07B95"/>
    <w:rsid w:val="00A13272"/>
    <w:rsid w:val="00A15BCA"/>
    <w:rsid w:val="00A33A8E"/>
    <w:rsid w:val="00A52BCF"/>
    <w:rsid w:val="00A726DB"/>
    <w:rsid w:val="00AC605E"/>
    <w:rsid w:val="00AC6A63"/>
    <w:rsid w:val="00AE5C52"/>
    <w:rsid w:val="00B002F4"/>
    <w:rsid w:val="00B008CE"/>
    <w:rsid w:val="00B019EF"/>
    <w:rsid w:val="00B03020"/>
    <w:rsid w:val="00B13DEF"/>
    <w:rsid w:val="00B17530"/>
    <w:rsid w:val="00B4787A"/>
    <w:rsid w:val="00B53852"/>
    <w:rsid w:val="00B557C5"/>
    <w:rsid w:val="00B63132"/>
    <w:rsid w:val="00B764A9"/>
    <w:rsid w:val="00B8649F"/>
    <w:rsid w:val="00B87C13"/>
    <w:rsid w:val="00B90307"/>
    <w:rsid w:val="00B91787"/>
    <w:rsid w:val="00BA1FB7"/>
    <w:rsid w:val="00BB02E4"/>
    <w:rsid w:val="00BB7EAF"/>
    <w:rsid w:val="00BC24F2"/>
    <w:rsid w:val="00BC320F"/>
    <w:rsid w:val="00BC7169"/>
    <w:rsid w:val="00BE6544"/>
    <w:rsid w:val="00BF3009"/>
    <w:rsid w:val="00C001C4"/>
    <w:rsid w:val="00C04DB0"/>
    <w:rsid w:val="00C149D5"/>
    <w:rsid w:val="00C16324"/>
    <w:rsid w:val="00C176DF"/>
    <w:rsid w:val="00C22830"/>
    <w:rsid w:val="00C24EC7"/>
    <w:rsid w:val="00C262B5"/>
    <w:rsid w:val="00C26E25"/>
    <w:rsid w:val="00C26E99"/>
    <w:rsid w:val="00C3108D"/>
    <w:rsid w:val="00C3274D"/>
    <w:rsid w:val="00C33888"/>
    <w:rsid w:val="00C452E6"/>
    <w:rsid w:val="00C458B9"/>
    <w:rsid w:val="00C45E41"/>
    <w:rsid w:val="00C6201C"/>
    <w:rsid w:val="00C816C4"/>
    <w:rsid w:val="00C84E7F"/>
    <w:rsid w:val="00CC4F74"/>
    <w:rsid w:val="00CE067E"/>
    <w:rsid w:val="00CF02DD"/>
    <w:rsid w:val="00CF36BA"/>
    <w:rsid w:val="00CF5680"/>
    <w:rsid w:val="00D17E30"/>
    <w:rsid w:val="00D21C5C"/>
    <w:rsid w:val="00D33973"/>
    <w:rsid w:val="00D4287D"/>
    <w:rsid w:val="00D6223A"/>
    <w:rsid w:val="00D6345F"/>
    <w:rsid w:val="00D65D8F"/>
    <w:rsid w:val="00D667EC"/>
    <w:rsid w:val="00D713A3"/>
    <w:rsid w:val="00D7593F"/>
    <w:rsid w:val="00D8490C"/>
    <w:rsid w:val="00DA2059"/>
    <w:rsid w:val="00DA6A55"/>
    <w:rsid w:val="00DC6C27"/>
    <w:rsid w:val="00DD2F0A"/>
    <w:rsid w:val="00DD7747"/>
    <w:rsid w:val="00DE6366"/>
    <w:rsid w:val="00DE6668"/>
    <w:rsid w:val="00DF0BB9"/>
    <w:rsid w:val="00DF7558"/>
    <w:rsid w:val="00E0547D"/>
    <w:rsid w:val="00E1656D"/>
    <w:rsid w:val="00E337F5"/>
    <w:rsid w:val="00E43F1A"/>
    <w:rsid w:val="00E60ABD"/>
    <w:rsid w:val="00E66605"/>
    <w:rsid w:val="00E900DC"/>
    <w:rsid w:val="00E91371"/>
    <w:rsid w:val="00E92804"/>
    <w:rsid w:val="00EC487B"/>
    <w:rsid w:val="00ED09EE"/>
    <w:rsid w:val="00ED3213"/>
    <w:rsid w:val="00EE0945"/>
    <w:rsid w:val="00EE77EE"/>
    <w:rsid w:val="00EF07D4"/>
    <w:rsid w:val="00F012E4"/>
    <w:rsid w:val="00F016C9"/>
    <w:rsid w:val="00F24889"/>
    <w:rsid w:val="00F41541"/>
    <w:rsid w:val="00F41C3C"/>
    <w:rsid w:val="00F45139"/>
    <w:rsid w:val="00F80725"/>
    <w:rsid w:val="00F826D9"/>
    <w:rsid w:val="00F94137"/>
    <w:rsid w:val="00FB04B8"/>
    <w:rsid w:val="00FC594E"/>
    <w:rsid w:val="00FE76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9314"/>
  <w15:chartTrackingRefBased/>
  <w15:docId w15:val="{9769E968-EDB5-4659-856D-0CB7F276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846"/>
    <w:pPr>
      <w:widowControl w:val="0"/>
      <w:spacing w:before="60" w:after="60" w:line="360" w:lineRule="auto"/>
      <w:ind w:firstLine="720"/>
      <w:jc w:val="both"/>
    </w:pPr>
    <w:rPr>
      <w:rFonts w:ascii="Times New Roman" w:eastAsia="Times New Roman" w:hAnsi="Times New Roman" w:cs="Times New Roman"/>
      <w:sz w:val="26"/>
      <w:szCs w:val="20"/>
      <w:lang w:val="en-AU"/>
    </w:rPr>
  </w:style>
  <w:style w:type="paragraph" w:styleId="Heading1">
    <w:name w:val="heading 1"/>
    <w:basedOn w:val="Normal"/>
    <w:next w:val="Normal"/>
    <w:link w:val="Heading1Char"/>
    <w:uiPriority w:val="9"/>
    <w:qFormat/>
    <w:rsid w:val="00BF30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826D9"/>
    <w:pPr>
      <w:keepNext/>
      <w:keepLines/>
      <w:spacing w:before="40" w:after="0"/>
      <w:outlineLvl w:val="1"/>
    </w:pPr>
    <w:rPr>
      <w:rFonts w:asciiTheme="majorHAnsi" w:eastAsiaTheme="majorEastAsia" w:hAnsiTheme="majorHAnsi" w:cstheme="majorBidi"/>
      <w:color w:val="2F5496" w:themeColor="accent1" w:themeShade="BF"/>
      <w:szCs w:val="26"/>
    </w:rPr>
  </w:style>
  <w:style w:type="paragraph" w:styleId="Heading3">
    <w:name w:val="heading 3"/>
    <w:basedOn w:val="Normal"/>
    <w:next w:val="Normal"/>
    <w:link w:val="Heading3Char"/>
    <w:uiPriority w:val="9"/>
    <w:semiHidden/>
    <w:unhideWhenUsed/>
    <w:qFormat/>
    <w:rsid w:val="00273C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3846"/>
    <w:pPr>
      <w:widowControl/>
      <w:spacing w:before="100" w:beforeAutospacing="1" w:after="100" w:afterAutospacing="1" w:line="240" w:lineRule="auto"/>
      <w:ind w:firstLine="0"/>
      <w:jc w:val="left"/>
    </w:pPr>
    <w:rPr>
      <w:sz w:val="24"/>
      <w:szCs w:val="24"/>
      <w:lang w:val="lv-LV" w:eastAsia="lv-LV"/>
    </w:rPr>
  </w:style>
  <w:style w:type="character" w:customStyle="1" w:styleId="apple-style-span">
    <w:name w:val="apple-style-span"/>
    <w:basedOn w:val="DefaultParagraphFont"/>
    <w:uiPriority w:val="99"/>
    <w:rsid w:val="008C46C7"/>
    <w:rPr>
      <w:rFonts w:cs="Times New Roman"/>
    </w:rPr>
  </w:style>
  <w:style w:type="table" w:styleId="TableGridLight">
    <w:name w:val="Grid Table Light"/>
    <w:basedOn w:val="TableNormal"/>
    <w:uiPriority w:val="40"/>
    <w:rsid w:val="00D65D8F"/>
    <w:pPr>
      <w:spacing w:after="0" w:line="240" w:lineRule="auto"/>
    </w:pPr>
    <w:rPr>
      <w:rFonts w:ascii="Times New Roman" w:eastAsia="Times New Roman" w:hAnsi="Times New Roman" w:cs="Times New Roman"/>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D65D8F"/>
    <w:pPr>
      <w:spacing w:before="0" w:after="0" w:line="240" w:lineRule="auto"/>
    </w:pPr>
    <w:rPr>
      <w:sz w:val="20"/>
    </w:rPr>
  </w:style>
  <w:style w:type="character" w:customStyle="1" w:styleId="FootnoteTextChar">
    <w:name w:val="Footnote Text Char"/>
    <w:basedOn w:val="DefaultParagraphFont"/>
    <w:link w:val="FootnoteText"/>
    <w:uiPriority w:val="99"/>
    <w:rsid w:val="00D65D8F"/>
    <w:rPr>
      <w:rFonts w:ascii="Times New Roman" w:eastAsia="Times New Roman" w:hAnsi="Times New Roman" w:cs="Times New Roman"/>
      <w:sz w:val="20"/>
      <w:szCs w:val="20"/>
      <w:lang w:val="en-AU"/>
    </w:rPr>
  </w:style>
  <w:style w:type="character" w:styleId="FootnoteReference">
    <w:name w:val="footnote reference"/>
    <w:aliases w:val="(Footnote Reference),BVI fnr,EN Footnote Reference,Exposant 3 Point,Footnote,Footnote Reference Superscript,Footnote call,Footnote reference number,Footnote symbol,Ref,SUPERS,Times 10 Point,Voetnootverwijzing,de nota al pie,note TESI"/>
    <w:basedOn w:val="DefaultParagraphFont"/>
    <w:uiPriority w:val="99"/>
    <w:unhideWhenUsed/>
    <w:rsid w:val="00D65D8F"/>
    <w:rPr>
      <w:vertAlign w:val="superscript"/>
    </w:rPr>
  </w:style>
  <w:style w:type="paragraph" w:styleId="Title">
    <w:name w:val="Title"/>
    <w:basedOn w:val="Normal"/>
    <w:link w:val="TitleChar"/>
    <w:qFormat/>
    <w:rsid w:val="00742755"/>
    <w:pPr>
      <w:widowControl/>
      <w:spacing w:before="0" w:after="0" w:line="240" w:lineRule="auto"/>
      <w:ind w:firstLine="0"/>
      <w:jc w:val="center"/>
    </w:pPr>
    <w:rPr>
      <w:b/>
      <w:bCs/>
      <w:sz w:val="28"/>
      <w:szCs w:val="24"/>
      <w:lang w:val="lv-LV"/>
    </w:rPr>
  </w:style>
  <w:style w:type="character" w:customStyle="1" w:styleId="TitleChar">
    <w:name w:val="Title Char"/>
    <w:basedOn w:val="DefaultParagraphFont"/>
    <w:link w:val="Title"/>
    <w:rsid w:val="00742755"/>
    <w:rPr>
      <w:rFonts w:ascii="Times New Roman" w:eastAsia="Times New Roman" w:hAnsi="Times New Roman" w:cs="Times New Roman"/>
      <w:b/>
      <w:bCs/>
      <w:sz w:val="28"/>
      <w:szCs w:val="24"/>
    </w:rPr>
  </w:style>
  <w:style w:type="paragraph" w:styleId="ListParagraph">
    <w:name w:val="List Paragraph"/>
    <w:basedOn w:val="Normal"/>
    <w:uiPriority w:val="34"/>
    <w:qFormat/>
    <w:rsid w:val="00D667EC"/>
    <w:pPr>
      <w:ind w:left="720"/>
      <w:contextualSpacing/>
    </w:pPr>
  </w:style>
  <w:style w:type="character" w:styleId="Hyperlink">
    <w:name w:val="Hyperlink"/>
    <w:basedOn w:val="DefaultParagraphFont"/>
    <w:uiPriority w:val="99"/>
    <w:unhideWhenUsed/>
    <w:rsid w:val="00930954"/>
    <w:rPr>
      <w:color w:val="0000FF"/>
      <w:u w:val="single"/>
    </w:rPr>
  </w:style>
  <w:style w:type="character" w:styleId="FollowedHyperlink">
    <w:name w:val="FollowedHyperlink"/>
    <w:basedOn w:val="DefaultParagraphFont"/>
    <w:uiPriority w:val="99"/>
    <w:semiHidden/>
    <w:unhideWhenUsed/>
    <w:rsid w:val="00D6345F"/>
    <w:rPr>
      <w:color w:val="954F72" w:themeColor="followedHyperlink"/>
      <w:u w:val="single"/>
    </w:rPr>
  </w:style>
  <w:style w:type="paragraph" w:customStyle="1" w:styleId="doc-ti">
    <w:name w:val="doc-ti"/>
    <w:basedOn w:val="Normal"/>
    <w:rsid w:val="00D6345F"/>
    <w:pPr>
      <w:widowControl/>
      <w:spacing w:before="100" w:beforeAutospacing="1" w:after="100" w:afterAutospacing="1" w:line="240" w:lineRule="auto"/>
      <w:ind w:firstLine="0"/>
      <w:jc w:val="left"/>
    </w:pPr>
    <w:rPr>
      <w:sz w:val="24"/>
      <w:szCs w:val="24"/>
      <w:lang w:val="lv-LV" w:eastAsia="lv-LV"/>
    </w:rPr>
  </w:style>
  <w:style w:type="paragraph" w:styleId="Footer">
    <w:name w:val="footer"/>
    <w:basedOn w:val="Normal"/>
    <w:link w:val="FooterChar"/>
    <w:rsid w:val="004C1D76"/>
    <w:pPr>
      <w:widowControl/>
      <w:tabs>
        <w:tab w:val="center" w:pos="4153"/>
        <w:tab w:val="right" w:pos="8306"/>
      </w:tabs>
      <w:spacing w:before="0" w:after="0" w:line="240" w:lineRule="auto"/>
      <w:ind w:firstLine="0"/>
      <w:jc w:val="left"/>
    </w:pPr>
    <w:rPr>
      <w:rFonts w:eastAsia="Calibri"/>
      <w:sz w:val="24"/>
      <w:szCs w:val="24"/>
      <w:lang w:val="lv-LV" w:eastAsia="lv-LV"/>
    </w:rPr>
  </w:style>
  <w:style w:type="character" w:customStyle="1" w:styleId="FooterChar">
    <w:name w:val="Footer Char"/>
    <w:basedOn w:val="DefaultParagraphFont"/>
    <w:link w:val="Footer"/>
    <w:rsid w:val="004C1D76"/>
    <w:rPr>
      <w:rFonts w:ascii="Times New Roman" w:eastAsia="Calibri" w:hAnsi="Times New Roman" w:cs="Times New Roman"/>
      <w:sz w:val="24"/>
      <w:szCs w:val="24"/>
      <w:lang w:eastAsia="lv-LV"/>
    </w:rPr>
  </w:style>
  <w:style w:type="paragraph" w:styleId="BodyTextIndent">
    <w:name w:val="Body Text Indent"/>
    <w:basedOn w:val="Normal"/>
    <w:link w:val="BodyTextIndentChar"/>
    <w:uiPriority w:val="99"/>
    <w:rsid w:val="004C1D76"/>
    <w:pPr>
      <w:widowControl/>
      <w:spacing w:before="0" w:after="0" w:line="240" w:lineRule="auto"/>
      <w:ind w:left="5760" w:firstLine="0"/>
      <w:jc w:val="left"/>
    </w:pPr>
    <w:rPr>
      <w:sz w:val="24"/>
      <w:lang w:val="x-none" w:eastAsia="lv-LV"/>
    </w:rPr>
  </w:style>
  <w:style w:type="character" w:customStyle="1" w:styleId="BodyTextIndentChar">
    <w:name w:val="Body Text Indent Char"/>
    <w:basedOn w:val="DefaultParagraphFont"/>
    <w:link w:val="BodyTextIndent"/>
    <w:uiPriority w:val="99"/>
    <w:rsid w:val="004C1D76"/>
    <w:rPr>
      <w:rFonts w:ascii="Times New Roman" w:eastAsia="Times New Roman" w:hAnsi="Times New Roman" w:cs="Times New Roman"/>
      <w:sz w:val="24"/>
      <w:szCs w:val="20"/>
      <w:lang w:val="x-none" w:eastAsia="lv-LV"/>
    </w:rPr>
  </w:style>
  <w:style w:type="paragraph" w:styleId="Header">
    <w:name w:val="header"/>
    <w:basedOn w:val="Normal"/>
    <w:link w:val="HeaderChar"/>
    <w:uiPriority w:val="99"/>
    <w:unhideWhenUsed/>
    <w:rsid w:val="00BF3009"/>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BF3009"/>
    <w:rPr>
      <w:rFonts w:ascii="Times New Roman" w:eastAsia="Times New Roman" w:hAnsi="Times New Roman" w:cs="Times New Roman"/>
      <w:sz w:val="26"/>
      <w:szCs w:val="20"/>
      <w:lang w:val="en-AU"/>
    </w:rPr>
  </w:style>
  <w:style w:type="character" w:customStyle="1" w:styleId="Heading1Char">
    <w:name w:val="Heading 1 Char"/>
    <w:basedOn w:val="DefaultParagraphFont"/>
    <w:link w:val="Heading1"/>
    <w:uiPriority w:val="9"/>
    <w:rsid w:val="00BF3009"/>
    <w:rPr>
      <w:rFonts w:asciiTheme="majorHAnsi" w:eastAsiaTheme="majorEastAsia" w:hAnsiTheme="majorHAnsi" w:cstheme="majorBidi"/>
      <w:color w:val="2F5496" w:themeColor="accent1" w:themeShade="BF"/>
      <w:sz w:val="32"/>
      <w:szCs w:val="32"/>
      <w:lang w:val="en-AU"/>
    </w:rPr>
  </w:style>
  <w:style w:type="table" w:styleId="ListTable3-Accent5">
    <w:name w:val="List Table 3 Accent 5"/>
    <w:basedOn w:val="TableNormal"/>
    <w:uiPriority w:val="48"/>
    <w:rsid w:val="00DD7747"/>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tv2131">
    <w:name w:val="tv2131"/>
    <w:basedOn w:val="Normal"/>
    <w:rsid w:val="00F41C3C"/>
    <w:pPr>
      <w:widowControl/>
      <w:spacing w:before="0" w:after="0"/>
      <w:ind w:firstLine="300"/>
      <w:jc w:val="left"/>
    </w:pPr>
    <w:rPr>
      <w:color w:val="414142"/>
      <w:sz w:val="20"/>
      <w:lang w:val="lv-LV" w:eastAsia="lv-LV"/>
    </w:rPr>
  </w:style>
  <w:style w:type="paragraph" w:styleId="BalloonText">
    <w:name w:val="Balloon Text"/>
    <w:basedOn w:val="Normal"/>
    <w:link w:val="BalloonTextChar"/>
    <w:uiPriority w:val="99"/>
    <w:semiHidden/>
    <w:unhideWhenUsed/>
    <w:rsid w:val="00394D4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4C"/>
    <w:rPr>
      <w:rFonts w:ascii="Segoe UI" w:eastAsia="Times New Roman" w:hAnsi="Segoe UI" w:cs="Segoe UI"/>
      <w:sz w:val="18"/>
      <w:szCs w:val="18"/>
      <w:lang w:val="en-AU"/>
    </w:rPr>
  </w:style>
  <w:style w:type="character" w:styleId="CommentReference">
    <w:name w:val="annotation reference"/>
    <w:basedOn w:val="DefaultParagraphFont"/>
    <w:semiHidden/>
    <w:unhideWhenUsed/>
    <w:rsid w:val="00B8649F"/>
    <w:rPr>
      <w:sz w:val="16"/>
      <w:szCs w:val="16"/>
    </w:rPr>
  </w:style>
  <w:style w:type="paragraph" w:styleId="CommentText">
    <w:name w:val="annotation text"/>
    <w:basedOn w:val="Normal"/>
    <w:link w:val="CommentTextChar"/>
    <w:semiHidden/>
    <w:unhideWhenUsed/>
    <w:rsid w:val="00B8649F"/>
    <w:pPr>
      <w:spacing w:line="240" w:lineRule="auto"/>
    </w:pPr>
    <w:rPr>
      <w:sz w:val="20"/>
    </w:rPr>
  </w:style>
  <w:style w:type="character" w:customStyle="1" w:styleId="CommentTextChar">
    <w:name w:val="Comment Text Char"/>
    <w:basedOn w:val="DefaultParagraphFont"/>
    <w:link w:val="CommentText"/>
    <w:semiHidden/>
    <w:rsid w:val="00B8649F"/>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8649F"/>
    <w:rPr>
      <w:b/>
      <w:bCs/>
    </w:rPr>
  </w:style>
  <w:style w:type="character" w:customStyle="1" w:styleId="CommentSubjectChar">
    <w:name w:val="Comment Subject Char"/>
    <w:basedOn w:val="CommentTextChar"/>
    <w:link w:val="CommentSubject"/>
    <w:uiPriority w:val="99"/>
    <w:semiHidden/>
    <w:rsid w:val="00B8649F"/>
    <w:rPr>
      <w:rFonts w:ascii="Times New Roman" w:eastAsia="Times New Roman" w:hAnsi="Times New Roman" w:cs="Times New Roman"/>
      <w:b/>
      <w:bCs/>
      <w:sz w:val="20"/>
      <w:szCs w:val="20"/>
      <w:lang w:val="en-AU"/>
    </w:rPr>
  </w:style>
  <w:style w:type="character" w:customStyle="1" w:styleId="Heading3Char">
    <w:name w:val="Heading 3 Char"/>
    <w:basedOn w:val="DefaultParagraphFont"/>
    <w:link w:val="Heading3"/>
    <w:uiPriority w:val="9"/>
    <w:semiHidden/>
    <w:rsid w:val="00273CED"/>
    <w:rPr>
      <w:rFonts w:asciiTheme="majorHAnsi" w:eastAsiaTheme="majorEastAsia" w:hAnsiTheme="majorHAnsi" w:cstheme="majorBidi"/>
      <w:color w:val="1F3763" w:themeColor="accent1" w:themeShade="7F"/>
      <w:sz w:val="24"/>
      <w:szCs w:val="24"/>
      <w:lang w:val="en-AU"/>
    </w:rPr>
  </w:style>
  <w:style w:type="character" w:styleId="Strong">
    <w:name w:val="Strong"/>
    <w:basedOn w:val="DefaultParagraphFont"/>
    <w:uiPriority w:val="22"/>
    <w:qFormat/>
    <w:rsid w:val="00273CED"/>
    <w:rPr>
      <w:b/>
      <w:bCs/>
    </w:rPr>
  </w:style>
  <w:style w:type="character" w:customStyle="1" w:styleId="spelle">
    <w:name w:val="spelle"/>
    <w:basedOn w:val="DefaultParagraphFont"/>
    <w:rsid w:val="00615407"/>
  </w:style>
  <w:style w:type="character" w:customStyle="1" w:styleId="normaltextrun">
    <w:name w:val="normaltextrun"/>
    <w:basedOn w:val="DefaultParagraphFont"/>
    <w:rsid w:val="004A3CD9"/>
  </w:style>
  <w:style w:type="paragraph" w:styleId="Revision">
    <w:name w:val="Revision"/>
    <w:hidden/>
    <w:uiPriority w:val="99"/>
    <w:semiHidden/>
    <w:rsid w:val="00B03020"/>
    <w:pPr>
      <w:spacing w:after="0" w:line="240" w:lineRule="auto"/>
    </w:pPr>
    <w:rPr>
      <w:rFonts w:ascii="Times New Roman" w:eastAsia="Times New Roman" w:hAnsi="Times New Roman" w:cs="Times New Roman"/>
      <w:sz w:val="26"/>
      <w:szCs w:val="20"/>
      <w:lang w:val="en-AU"/>
    </w:rPr>
  </w:style>
  <w:style w:type="character" w:styleId="UnresolvedMention">
    <w:name w:val="Unresolved Mention"/>
    <w:basedOn w:val="DefaultParagraphFont"/>
    <w:uiPriority w:val="99"/>
    <w:semiHidden/>
    <w:unhideWhenUsed/>
    <w:rsid w:val="002A0B31"/>
    <w:rPr>
      <w:color w:val="605E5C"/>
      <w:shd w:val="clear" w:color="auto" w:fill="E1DFDD"/>
    </w:rPr>
  </w:style>
  <w:style w:type="character" w:customStyle="1" w:styleId="Heading2Char">
    <w:name w:val="Heading 2 Char"/>
    <w:basedOn w:val="DefaultParagraphFont"/>
    <w:link w:val="Heading2"/>
    <w:uiPriority w:val="9"/>
    <w:semiHidden/>
    <w:rsid w:val="00F826D9"/>
    <w:rPr>
      <w:rFonts w:asciiTheme="majorHAnsi" w:eastAsiaTheme="majorEastAsia" w:hAnsiTheme="majorHAnsi" w:cstheme="majorBidi"/>
      <w:color w:val="2F5496"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72706">
      <w:bodyDiv w:val="1"/>
      <w:marLeft w:val="0"/>
      <w:marRight w:val="0"/>
      <w:marTop w:val="0"/>
      <w:marBottom w:val="0"/>
      <w:divBdr>
        <w:top w:val="none" w:sz="0" w:space="0" w:color="auto"/>
        <w:left w:val="none" w:sz="0" w:space="0" w:color="auto"/>
        <w:bottom w:val="none" w:sz="0" w:space="0" w:color="auto"/>
        <w:right w:val="none" w:sz="0" w:space="0" w:color="auto"/>
      </w:divBdr>
    </w:div>
    <w:div w:id="434133467">
      <w:bodyDiv w:val="1"/>
      <w:marLeft w:val="0"/>
      <w:marRight w:val="0"/>
      <w:marTop w:val="0"/>
      <w:marBottom w:val="0"/>
      <w:divBdr>
        <w:top w:val="none" w:sz="0" w:space="0" w:color="auto"/>
        <w:left w:val="none" w:sz="0" w:space="0" w:color="auto"/>
        <w:bottom w:val="none" w:sz="0" w:space="0" w:color="auto"/>
        <w:right w:val="none" w:sz="0" w:space="0" w:color="auto"/>
      </w:divBdr>
    </w:div>
    <w:div w:id="555967177">
      <w:bodyDiv w:val="1"/>
      <w:marLeft w:val="0"/>
      <w:marRight w:val="0"/>
      <w:marTop w:val="0"/>
      <w:marBottom w:val="0"/>
      <w:divBdr>
        <w:top w:val="none" w:sz="0" w:space="0" w:color="auto"/>
        <w:left w:val="none" w:sz="0" w:space="0" w:color="auto"/>
        <w:bottom w:val="none" w:sz="0" w:space="0" w:color="auto"/>
        <w:right w:val="none" w:sz="0" w:space="0" w:color="auto"/>
      </w:divBdr>
    </w:div>
    <w:div w:id="603535061">
      <w:bodyDiv w:val="1"/>
      <w:marLeft w:val="0"/>
      <w:marRight w:val="0"/>
      <w:marTop w:val="0"/>
      <w:marBottom w:val="0"/>
      <w:divBdr>
        <w:top w:val="none" w:sz="0" w:space="0" w:color="auto"/>
        <w:left w:val="none" w:sz="0" w:space="0" w:color="auto"/>
        <w:bottom w:val="none" w:sz="0" w:space="0" w:color="auto"/>
        <w:right w:val="none" w:sz="0" w:space="0" w:color="auto"/>
      </w:divBdr>
    </w:div>
    <w:div w:id="939995516">
      <w:bodyDiv w:val="1"/>
      <w:marLeft w:val="0"/>
      <w:marRight w:val="0"/>
      <w:marTop w:val="0"/>
      <w:marBottom w:val="0"/>
      <w:divBdr>
        <w:top w:val="none" w:sz="0" w:space="0" w:color="auto"/>
        <w:left w:val="none" w:sz="0" w:space="0" w:color="auto"/>
        <w:bottom w:val="none" w:sz="0" w:space="0" w:color="auto"/>
        <w:right w:val="none" w:sz="0" w:space="0" w:color="auto"/>
      </w:divBdr>
    </w:div>
    <w:div w:id="1484470257">
      <w:bodyDiv w:val="1"/>
      <w:marLeft w:val="0"/>
      <w:marRight w:val="0"/>
      <w:marTop w:val="0"/>
      <w:marBottom w:val="0"/>
      <w:divBdr>
        <w:top w:val="none" w:sz="0" w:space="0" w:color="auto"/>
        <w:left w:val="none" w:sz="0" w:space="0" w:color="auto"/>
        <w:bottom w:val="none" w:sz="0" w:space="0" w:color="auto"/>
        <w:right w:val="none" w:sz="0" w:space="0" w:color="auto"/>
      </w:divBdr>
    </w:div>
    <w:div w:id="1923953186">
      <w:bodyDiv w:val="1"/>
      <w:marLeft w:val="0"/>
      <w:marRight w:val="0"/>
      <w:marTop w:val="0"/>
      <w:marBottom w:val="0"/>
      <w:divBdr>
        <w:top w:val="none" w:sz="0" w:space="0" w:color="auto"/>
        <w:left w:val="none" w:sz="0" w:space="0" w:color="auto"/>
        <w:bottom w:val="none" w:sz="0" w:space="0" w:color="auto"/>
        <w:right w:val="none" w:sz="0" w:space="0" w:color="auto"/>
      </w:divBdr>
    </w:div>
    <w:div w:id="198642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tap/?pid=404788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26AE2-EE96-422D-ADDC-4BC2AD47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2061</Words>
  <Characters>16179</Characters>
  <Application>Microsoft Office Word</Application>
  <DocSecurity>0</DocSecurity>
  <Lines>808</Lines>
  <Paragraphs>233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Konkurences padomes finansiālās kapacitātes stiprināšanu</vt:lpstr>
      <vt:lpstr>Par vienotas konkurences un regulācijas iestādes izveides iespējām</vt:lpstr>
    </vt:vector>
  </TitlesOfParts>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Konkurences padomes finansiālās kapacitātes stiprināšanu</dc:title>
  <dc:subject/>
  <dc:creator>Intars Eglītis</dc:creator>
  <cp:keywords>Informativais ziņojums</cp:keywords>
  <dc:description>Intars.Eglitis@em.gov.lv
67013236</dc:description>
  <cp:lastModifiedBy>Intars Eglītis</cp:lastModifiedBy>
  <cp:revision>9</cp:revision>
  <cp:lastPrinted>2020-06-10T07:28:00Z</cp:lastPrinted>
  <dcterms:created xsi:type="dcterms:W3CDTF">2020-06-18T06:25:00Z</dcterms:created>
  <dcterms:modified xsi:type="dcterms:W3CDTF">2020-07-22T12:15:00Z</dcterms:modified>
</cp:coreProperties>
</file>