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B577B9" w:rsidR="0062324C" w:rsidP="00B577B9" w:rsidRDefault="00196278">
      <w:pPr>
        <w:pStyle w:val="naisnod"/>
        <w:spacing w:before="0" w:after="0"/>
        <w:rPr>
          <w:sz w:val="22"/>
          <w:szCs w:val="22"/>
        </w:rPr>
      </w:pPr>
      <w:r w:rsidRPr="00B577B9">
        <w:rPr>
          <w:sz w:val="22"/>
          <w:szCs w:val="22"/>
        </w:rPr>
        <w:t>Izziņa par atzinumos sniegtajiem iebildumiem</w:t>
      </w:r>
      <w:r w:rsidRPr="00B577B9" w:rsidR="008C673C">
        <w:rPr>
          <w:sz w:val="22"/>
          <w:szCs w:val="22"/>
        </w:rPr>
        <w:t xml:space="preserve"> </w:t>
      </w:r>
    </w:p>
    <w:p w:rsidRPr="00B577B9" w:rsidR="009B15B3" w:rsidP="00B577B9" w:rsidRDefault="008C673C">
      <w:pPr>
        <w:pStyle w:val="naisnod"/>
        <w:spacing w:before="0" w:after="0"/>
        <w:rPr>
          <w:sz w:val="22"/>
          <w:szCs w:val="22"/>
          <w:shd w:val="clear" w:color="auto" w:fill="FFFFFF"/>
        </w:rPr>
      </w:pPr>
      <w:r w:rsidRPr="00B577B9">
        <w:rPr>
          <w:sz w:val="22"/>
          <w:szCs w:val="22"/>
        </w:rPr>
        <w:t>par Ministru kabineta noteikumu projektu</w:t>
      </w:r>
      <w:r w:rsidRPr="00B577B9" w:rsidR="0062324C">
        <w:rPr>
          <w:sz w:val="22"/>
          <w:szCs w:val="22"/>
        </w:rPr>
        <w:t xml:space="preserve"> </w:t>
      </w:r>
      <w:r w:rsidRPr="00B577B9" w:rsidR="001C36D1">
        <w:rPr>
          <w:bCs w:val="0"/>
          <w:sz w:val="22"/>
          <w:szCs w:val="22"/>
        </w:rPr>
        <w:t>„</w:t>
      </w:r>
      <w:r w:rsidRPr="00B577B9" w:rsidR="009B15B3">
        <w:rPr>
          <w:sz w:val="22"/>
          <w:szCs w:val="22"/>
          <w:shd w:val="clear" w:color="auto" w:fill="FFFFFF"/>
        </w:rPr>
        <w:t>Grozījumi Ministru kabineta 2013.gada 26.marta noteikumos Nr.163</w:t>
      </w:r>
    </w:p>
    <w:p w:rsidRPr="00B577B9" w:rsidR="00032061" w:rsidP="00B577B9" w:rsidRDefault="009B15B3">
      <w:pPr>
        <w:pStyle w:val="naisnod"/>
        <w:spacing w:before="0" w:after="0"/>
        <w:rPr>
          <w:sz w:val="22"/>
          <w:szCs w:val="22"/>
        </w:rPr>
      </w:pPr>
      <w:r w:rsidRPr="00B577B9">
        <w:rPr>
          <w:sz w:val="22"/>
          <w:szCs w:val="22"/>
          <w:shd w:val="clear" w:color="auto" w:fill="FFFFFF"/>
        </w:rPr>
        <w:t>„Valsts budžeta līdzfinansējuma piešķiršanas kārtība ārvalstu filmu uzņemšanai Latvijā”</w:t>
      </w:r>
      <w:r w:rsidRPr="00B577B9" w:rsidR="00877E05">
        <w:rPr>
          <w:bCs w:val="0"/>
          <w:sz w:val="22"/>
          <w:szCs w:val="22"/>
          <w:shd w:val="clear" w:color="auto" w:fill="FFFFFF"/>
        </w:rPr>
        <w:t>”</w:t>
      </w:r>
    </w:p>
    <w:p w:rsidRPr="00B577B9" w:rsidR="002061EB" w:rsidP="00B577B9" w:rsidRDefault="002061EB">
      <w:pPr>
        <w:pStyle w:val="naisnod"/>
        <w:spacing w:before="0" w:after="0"/>
        <w:jc w:val="left"/>
        <w:rPr>
          <w:b w:val="0"/>
          <w:bCs w:val="0"/>
          <w:sz w:val="22"/>
          <w:szCs w:val="22"/>
        </w:rPr>
      </w:pPr>
    </w:p>
    <w:p w:rsidRPr="006C10D7" w:rsidR="0031433B" w:rsidP="0031433B" w:rsidRDefault="0031433B">
      <w:pPr>
        <w:numPr>
          <w:ilvl w:val="0"/>
          <w:numId w:val="1"/>
        </w:numPr>
        <w:ind w:left="567" w:hanging="207"/>
        <w:jc w:val="center"/>
        <w:rPr>
          <w:b/>
          <w:bCs/>
          <w:sz w:val="22"/>
          <w:szCs w:val="22"/>
        </w:rPr>
      </w:pPr>
      <w:r w:rsidRPr="006C10D7">
        <w:rPr>
          <w:b/>
          <w:bCs/>
          <w:sz w:val="22"/>
          <w:szCs w:val="22"/>
        </w:rPr>
        <w:t>Jautājumi, par kuriem saskaņošanā vienošanās nav panākta</w:t>
      </w:r>
    </w:p>
    <w:p w:rsidRPr="006C10D7" w:rsidR="0031433B" w:rsidP="0031433B" w:rsidRDefault="0031433B">
      <w:pPr>
        <w:rPr>
          <w:bCs/>
          <w:sz w:val="22"/>
          <w:szCs w:val="22"/>
        </w:rPr>
      </w:pPr>
    </w:p>
    <w:tbl>
      <w:tblPr>
        <w:tblW w:w="5000" w:type="pct"/>
        <w:tblBorders>
          <w:top w:val="single" w:color="auto" w:sz="4" w:space="0"/>
          <w:left w:val="single" w:color="auto" w:sz="4" w:space="0"/>
          <w:bottom w:val="single" w:color="auto" w:sz="4" w:space="0"/>
          <w:right w:val="single" w:color="auto" w:sz="4" w:space="0"/>
        </w:tblBorders>
        <w:tblLook w:val="00A0"/>
      </w:tblPr>
      <w:tblGrid>
        <w:gridCol w:w="546"/>
        <w:gridCol w:w="2386"/>
        <w:gridCol w:w="2963"/>
        <w:gridCol w:w="3105"/>
        <w:gridCol w:w="2591"/>
        <w:gridCol w:w="2628"/>
      </w:tblGrid>
      <w:tr w:rsidRPr="006C10D7" w:rsidR="0031433B" w:rsidTr="00AF40D7">
        <w:tc>
          <w:tcPr>
            <w:tcW w:w="192" w:type="pct"/>
            <w:tcBorders>
              <w:top w:val="single" w:color="000000" w:sz="6" w:space="0"/>
              <w:left w:val="single" w:color="000000" w:sz="6" w:space="0"/>
              <w:bottom w:val="single" w:color="000000" w:sz="6" w:space="0"/>
              <w:right w:val="single" w:color="000000" w:sz="6" w:space="0"/>
            </w:tcBorders>
            <w:vAlign w:val="center"/>
            <w:hideMark/>
          </w:tcPr>
          <w:p w:rsidRPr="006C10D7" w:rsidR="0031433B" w:rsidP="00AF40D7" w:rsidRDefault="0031433B">
            <w:pPr>
              <w:pStyle w:val="naisc"/>
              <w:spacing w:before="0" w:after="0"/>
              <w:rPr>
                <w:lang w:eastAsia="en-US"/>
              </w:rPr>
            </w:pPr>
            <w:r w:rsidRPr="006C10D7">
              <w:rPr>
                <w:sz w:val="22"/>
                <w:szCs w:val="22"/>
                <w:lang w:eastAsia="en-US"/>
              </w:rPr>
              <w:t>Nr. p.k.</w:t>
            </w:r>
          </w:p>
        </w:tc>
        <w:tc>
          <w:tcPr>
            <w:tcW w:w="839" w:type="pct"/>
            <w:tcBorders>
              <w:top w:val="single" w:color="000000" w:sz="6" w:space="0"/>
              <w:left w:val="single" w:color="000000" w:sz="6" w:space="0"/>
              <w:bottom w:val="single" w:color="000000" w:sz="6" w:space="0"/>
              <w:right w:val="single" w:color="000000" w:sz="6" w:space="0"/>
            </w:tcBorders>
            <w:vAlign w:val="center"/>
            <w:hideMark/>
          </w:tcPr>
          <w:p w:rsidRPr="006C10D7" w:rsidR="0031433B" w:rsidP="00AF40D7" w:rsidRDefault="0031433B">
            <w:pPr>
              <w:pStyle w:val="naisc"/>
              <w:spacing w:before="0" w:after="0"/>
              <w:ind w:firstLine="12"/>
              <w:rPr>
                <w:lang w:eastAsia="en-US"/>
              </w:rPr>
            </w:pPr>
            <w:r w:rsidRPr="006C10D7">
              <w:rPr>
                <w:sz w:val="22"/>
                <w:szCs w:val="22"/>
                <w:lang w:eastAsia="en-US"/>
              </w:rPr>
              <w:t>Saskaņošanai nosūtītā projekta redakcija (konkrēta punkta (panta) redakcija)</w:t>
            </w:r>
          </w:p>
        </w:tc>
        <w:tc>
          <w:tcPr>
            <w:tcW w:w="1042" w:type="pct"/>
            <w:tcBorders>
              <w:top w:val="single" w:color="000000" w:sz="6" w:space="0"/>
              <w:left w:val="single" w:color="000000" w:sz="6" w:space="0"/>
              <w:bottom w:val="single" w:color="000000" w:sz="6" w:space="0"/>
              <w:right w:val="single" w:color="000000" w:sz="6" w:space="0"/>
            </w:tcBorders>
            <w:vAlign w:val="center"/>
            <w:hideMark/>
          </w:tcPr>
          <w:p w:rsidRPr="006C10D7" w:rsidR="0031433B" w:rsidP="00AF40D7" w:rsidRDefault="0031433B">
            <w:pPr>
              <w:pStyle w:val="naisc"/>
              <w:spacing w:before="0" w:after="0"/>
              <w:ind w:right="3"/>
              <w:rPr>
                <w:lang w:eastAsia="en-US"/>
              </w:rPr>
            </w:pPr>
            <w:r w:rsidRPr="006C10D7">
              <w:rPr>
                <w:sz w:val="22"/>
                <w:szCs w:val="22"/>
                <w:lang w:eastAsia="en-US"/>
              </w:rPr>
              <w:t>Atzinumā norādītais ministrijas (citas institūcijas) iebildums, kā arī saskaņošanā papildus izteiktais iebildums par projekta konkrēto punktu (pantu)</w:t>
            </w:r>
          </w:p>
        </w:tc>
        <w:tc>
          <w:tcPr>
            <w:tcW w:w="1092" w:type="pct"/>
            <w:tcBorders>
              <w:top w:val="single" w:color="000000" w:sz="6" w:space="0"/>
              <w:left w:val="single" w:color="000000" w:sz="6" w:space="0"/>
              <w:bottom w:val="single" w:color="000000" w:sz="6" w:space="0"/>
              <w:right w:val="single" w:color="000000" w:sz="6" w:space="0"/>
            </w:tcBorders>
            <w:vAlign w:val="center"/>
            <w:hideMark/>
          </w:tcPr>
          <w:p w:rsidRPr="00E92EE3" w:rsidR="0031433B" w:rsidP="00AF40D7" w:rsidRDefault="0031433B">
            <w:pPr>
              <w:pStyle w:val="naisc"/>
              <w:spacing w:before="0" w:after="0"/>
              <w:ind w:firstLine="21"/>
              <w:rPr>
                <w:lang w:eastAsia="en-US"/>
              </w:rPr>
            </w:pPr>
            <w:r w:rsidRPr="00E92EE3">
              <w:rPr>
                <w:sz w:val="22"/>
                <w:szCs w:val="22"/>
                <w:lang w:eastAsia="en-US"/>
              </w:rPr>
              <w:t>Atbildīgās ministrijas pamatojums iebilduma noraidījumam</w:t>
            </w:r>
          </w:p>
        </w:tc>
        <w:tc>
          <w:tcPr>
            <w:tcW w:w="911" w:type="pct"/>
            <w:tcBorders>
              <w:top w:val="single" w:color="auto" w:sz="4" w:space="0"/>
              <w:left w:val="single" w:color="auto" w:sz="4" w:space="0"/>
              <w:bottom w:val="single" w:color="auto" w:sz="4" w:space="0"/>
              <w:right w:val="single" w:color="auto" w:sz="4" w:space="0"/>
            </w:tcBorders>
            <w:vAlign w:val="center"/>
            <w:hideMark/>
          </w:tcPr>
          <w:p w:rsidRPr="00E92EE3" w:rsidR="0031433B" w:rsidP="00AF40D7" w:rsidRDefault="0031433B">
            <w:pPr>
              <w:jc w:val="center"/>
              <w:rPr>
                <w:lang w:eastAsia="en-US"/>
              </w:rPr>
            </w:pPr>
            <w:r w:rsidRPr="00E92EE3">
              <w:rPr>
                <w:sz w:val="22"/>
                <w:szCs w:val="22"/>
                <w:lang w:eastAsia="en-US"/>
              </w:rPr>
              <w:t>Atzinuma sniedzēja uzturētais iebildums, ja tas atšķiras no atzinumā norādītā iebilduma pamatojuma</w:t>
            </w:r>
          </w:p>
        </w:tc>
        <w:tc>
          <w:tcPr>
            <w:tcW w:w="924" w:type="pct"/>
            <w:tcBorders>
              <w:top w:val="single" w:color="auto" w:sz="4" w:space="0"/>
              <w:left w:val="single" w:color="auto" w:sz="4" w:space="0"/>
              <w:bottom w:val="single" w:color="auto" w:sz="4" w:space="0"/>
              <w:right w:val="single" w:color="auto" w:sz="4" w:space="0"/>
            </w:tcBorders>
            <w:vAlign w:val="center"/>
            <w:hideMark/>
          </w:tcPr>
          <w:p w:rsidRPr="00E92EE3" w:rsidR="0031433B" w:rsidP="00AF40D7" w:rsidRDefault="0031433B">
            <w:pPr>
              <w:jc w:val="center"/>
              <w:rPr>
                <w:lang w:eastAsia="en-US"/>
              </w:rPr>
            </w:pPr>
            <w:r w:rsidRPr="00E92EE3">
              <w:rPr>
                <w:sz w:val="22"/>
                <w:szCs w:val="22"/>
                <w:lang w:eastAsia="en-US"/>
              </w:rPr>
              <w:t>Projekta attiecīgā punkta (panta) galīgā redakcija</w:t>
            </w:r>
          </w:p>
        </w:tc>
      </w:tr>
      <w:tr w:rsidRPr="006C10D7" w:rsidR="0031433B" w:rsidTr="00AF40D7">
        <w:tc>
          <w:tcPr>
            <w:tcW w:w="192" w:type="pct"/>
            <w:tcBorders>
              <w:top w:val="single" w:color="000000" w:sz="6" w:space="0"/>
              <w:left w:val="single" w:color="000000" w:sz="6" w:space="0"/>
              <w:bottom w:val="single" w:color="000000" w:sz="6" w:space="0"/>
              <w:right w:val="single" w:color="000000" w:sz="6" w:space="0"/>
            </w:tcBorders>
            <w:hideMark/>
          </w:tcPr>
          <w:p w:rsidRPr="006C10D7" w:rsidR="0031433B" w:rsidP="00AF40D7" w:rsidRDefault="0031433B">
            <w:pPr>
              <w:pStyle w:val="naisc"/>
              <w:spacing w:before="0" w:after="0"/>
              <w:rPr>
                <w:lang w:eastAsia="en-US"/>
              </w:rPr>
            </w:pPr>
            <w:r w:rsidRPr="006C10D7">
              <w:rPr>
                <w:sz w:val="22"/>
                <w:szCs w:val="22"/>
                <w:lang w:eastAsia="en-US"/>
              </w:rPr>
              <w:t>1</w:t>
            </w:r>
          </w:p>
        </w:tc>
        <w:tc>
          <w:tcPr>
            <w:tcW w:w="839" w:type="pct"/>
            <w:tcBorders>
              <w:top w:val="single" w:color="000000" w:sz="6" w:space="0"/>
              <w:left w:val="single" w:color="000000" w:sz="6" w:space="0"/>
              <w:bottom w:val="single" w:color="000000" w:sz="6" w:space="0"/>
              <w:right w:val="single" w:color="000000" w:sz="6" w:space="0"/>
            </w:tcBorders>
            <w:hideMark/>
          </w:tcPr>
          <w:p w:rsidRPr="006C10D7" w:rsidR="0031433B" w:rsidP="00AF40D7" w:rsidRDefault="0031433B">
            <w:pPr>
              <w:pStyle w:val="naisc"/>
              <w:spacing w:before="0" w:after="0"/>
              <w:ind w:hanging="11"/>
              <w:rPr>
                <w:lang w:eastAsia="en-US"/>
              </w:rPr>
            </w:pPr>
            <w:r w:rsidRPr="006C10D7">
              <w:rPr>
                <w:sz w:val="22"/>
                <w:szCs w:val="22"/>
                <w:lang w:eastAsia="en-US"/>
              </w:rPr>
              <w:t>2</w:t>
            </w:r>
          </w:p>
        </w:tc>
        <w:tc>
          <w:tcPr>
            <w:tcW w:w="1042" w:type="pct"/>
            <w:tcBorders>
              <w:top w:val="single" w:color="000000" w:sz="6" w:space="0"/>
              <w:left w:val="single" w:color="000000" w:sz="6" w:space="0"/>
              <w:bottom w:val="single" w:color="000000" w:sz="6" w:space="0"/>
              <w:right w:val="single" w:color="000000" w:sz="6" w:space="0"/>
            </w:tcBorders>
            <w:hideMark/>
          </w:tcPr>
          <w:p w:rsidRPr="006C10D7" w:rsidR="0031433B" w:rsidP="00AF40D7" w:rsidRDefault="0031433B">
            <w:pPr>
              <w:pStyle w:val="naisc"/>
              <w:spacing w:before="0" w:after="0"/>
              <w:rPr>
                <w:lang w:eastAsia="en-US"/>
              </w:rPr>
            </w:pPr>
            <w:r w:rsidRPr="006C10D7">
              <w:rPr>
                <w:sz w:val="22"/>
                <w:szCs w:val="22"/>
                <w:lang w:eastAsia="en-US"/>
              </w:rPr>
              <w:t>3</w:t>
            </w:r>
          </w:p>
        </w:tc>
        <w:tc>
          <w:tcPr>
            <w:tcW w:w="1092" w:type="pct"/>
            <w:tcBorders>
              <w:top w:val="single" w:color="000000" w:sz="6" w:space="0"/>
              <w:left w:val="single" w:color="000000" w:sz="6" w:space="0"/>
              <w:bottom w:val="single" w:color="000000" w:sz="6" w:space="0"/>
              <w:right w:val="single" w:color="000000" w:sz="6" w:space="0"/>
            </w:tcBorders>
            <w:hideMark/>
          </w:tcPr>
          <w:p w:rsidRPr="008E3DAB" w:rsidR="0031433B" w:rsidP="00AF40D7" w:rsidRDefault="0031433B">
            <w:pPr>
              <w:pStyle w:val="naisc"/>
              <w:spacing w:before="0" w:after="0"/>
              <w:rPr>
                <w:lang w:eastAsia="en-US"/>
              </w:rPr>
            </w:pPr>
            <w:r w:rsidRPr="008E3DAB">
              <w:rPr>
                <w:sz w:val="22"/>
                <w:szCs w:val="22"/>
                <w:lang w:eastAsia="en-US"/>
              </w:rPr>
              <w:t>4</w:t>
            </w:r>
          </w:p>
        </w:tc>
        <w:tc>
          <w:tcPr>
            <w:tcW w:w="911" w:type="pct"/>
            <w:tcBorders>
              <w:top w:val="single" w:color="auto" w:sz="4" w:space="0"/>
              <w:left w:val="single" w:color="auto" w:sz="4" w:space="0"/>
              <w:bottom w:val="single" w:color="auto" w:sz="4" w:space="0"/>
              <w:right w:val="single" w:color="auto" w:sz="4" w:space="0"/>
            </w:tcBorders>
            <w:hideMark/>
          </w:tcPr>
          <w:p w:rsidRPr="006C10D7" w:rsidR="0031433B" w:rsidP="00AF40D7" w:rsidRDefault="0031433B">
            <w:pPr>
              <w:jc w:val="center"/>
              <w:rPr>
                <w:lang w:eastAsia="en-US"/>
              </w:rPr>
            </w:pPr>
            <w:r w:rsidRPr="006C10D7">
              <w:rPr>
                <w:sz w:val="22"/>
                <w:szCs w:val="22"/>
                <w:lang w:eastAsia="en-US"/>
              </w:rPr>
              <w:t>5</w:t>
            </w:r>
          </w:p>
        </w:tc>
        <w:tc>
          <w:tcPr>
            <w:tcW w:w="924" w:type="pct"/>
            <w:tcBorders>
              <w:top w:val="single" w:color="auto" w:sz="4" w:space="0"/>
              <w:left w:val="single" w:color="auto" w:sz="4" w:space="0"/>
              <w:bottom w:val="single" w:color="auto" w:sz="4" w:space="0"/>
              <w:right w:val="single" w:color="auto" w:sz="4" w:space="0"/>
            </w:tcBorders>
            <w:hideMark/>
          </w:tcPr>
          <w:p w:rsidRPr="006C10D7" w:rsidR="0031433B" w:rsidP="00AF40D7" w:rsidRDefault="0031433B">
            <w:pPr>
              <w:jc w:val="center"/>
              <w:rPr>
                <w:lang w:eastAsia="en-US"/>
              </w:rPr>
            </w:pPr>
            <w:r w:rsidRPr="006C10D7">
              <w:rPr>
                <w:sz w:val="22"/>
                <w:szCs w:val="22"/>
                <w:lang w:eastAsia="en-US"/>
              </w:rPr>
              <w:t>6</w:t>
            </w:r>
          </w:p>
        </w:tc>
      </w:tr>
      <w:tr w:rsidRPr="004C72D6" w:rsidR="0031433B" w:rsidTr="00F32285">
        <w:trPr>
          <w:trHeight w:val="210"/>
        </w:trPr>
        <w:tc>
          <w:tcPr>
            <w:tcW w:w="192" w:type="pct"/>
            <w:tcBorders>
              <w:top w:val="single" w:color="000000" w:sz="6" w:space="0"/>
              <w:left w:val="single" w:color="000000" w:sz="6" w:space="0"/>
              <w:bottom w:val="single" w:color="000000" w:sz="6" w:space="0"/>
              <w:right w:val="single" w:color="000000" w:sz="6" w:space="0"/>
            </w:tcBorders>
          </w:tcPr>
          <w:p w:rsidR="0031433B" w:rsidP="00AF40D7" w:rsidRDefault="0031433B">
            <w:pPr>
              <w:pStyle w:val="naisc"/>
              <w:spacing w:before="0" w:after="0"/>
              <w:rPr>
                <w:lang w:eastAsia="en-US"/>
              </w:rPr>
            </w:pPr>
          </w:p>
        </w:tc>
        <w:tc>
          <w:tcPr>
            <w:tcW w:w="839" w:type="pct"/>
            <w:tcBorders>
              <w:top w:val="single" w:color="000000" w:sz="6" w:space="0"/>
              <w:left w:val="single" w:color="000000" w:sz="6" w:space="0"/>
              <w:bottom w:val="single" w:color="000000" w:sz="6" w:space="0"/>
              <w:right w:val="single" w:color="000000" w:sz="6" w:space="0"/>
            </w:tcBorders>
          </w:tcPr>
          <w:p w:rsidRPr="00C869FE" w:rsidR="0031433B" w:rsidP="00AF40D7" w:rsidRDefault="0031433B">
            <w:pPr>
              <w:jc w:val="both"/>
              <w:rPr>
                <w:sz w:val="28"/>
                <w:szCs w:val="28"/>
              </w:rPr>
            </w:pPr>
          </w:p>
        </w:tc>
        <w:tc>
          <w:tcPr>
            <w:tcW w:w="1042" w:type="pct"/>
            <w:tcBorders>
              <w:top w:val="single" w:color="000000" w:sz="6" w:space="0"/>
              <w:left w:val="single" w:color="000000" w:sz="6" w:space="0"/>
              <w:bottom w:val="single" w:color="000000" w:sz="6" w:space="0"/>
              <w:right w:val="single" w:color="000000" w:sz="6" w:space="0"/>
            </w:tcBorders>
          </w:tcPr>
          <w:p w:rsidRPr="00C869FE" w:rsidR="0031433B" w:rsidP="00AF40D7" w:rsidRDefault="0031433B">
            <w:pPr>
              <w:pStyle w:val="naisc"/>
              <w:spacing w:before="0" w:after="0"/>
              <w:ind w:right="31"/>
              <w:jc w:val="both"/>
              <w:rPr>
                <w:lang w:eastAsia="en-US"/>
              </w:rPr>
            </w:pPr>
          </w:p>
        </w:tc>
        <w:tc>
          <w:tcPr>
            <w:tcW w:w="1092" w:type="pct"/>
            <w:tcBorders>
              <w:top w:val="single" w:color="000000" w:sz="6" w:space="0"/>
              <w:left w:val="single" w:color="000000" w:sz="6" w:space="0"/>
              <w:bottom w:val="single" w:color="000000" w:sz="6" w:space="0"/>
              <w:right w:val="single" w:color="000000" w:sz="6" w:space="0"/>
            </w:tcBorders>
          </w:tcPr>
          <w:p w:rsidRPr="00C869FE" w:rsidR="0031433B" w:rsidP="00AF40D7" w:rsidRDefault="0031433B">
            <w:pPr>
              <w:jc w:val="both"/>
              <w:rPr>
                <w:lang w:eastAsia="en-US"/>
              </w:rPr>
            </w:pPr>
          </w:p>
        </w:tc>
        <w:tc>
          <w:tcPr>
            <w:tcW w:w="911" w:type="pct"/>
            <w:tcBorders>
              <w:top w:val="single" w:color="auto" w:sz="4" w:space="0"/>
              <w:left w:val="single" w:color="auto" w:sz="4" w:space="0"/>
              <w:bottom w:val="single" w:color="auto" w:sz="4" w:space="0"/>
              <w:right w:val="single" w:color="auto" w:sz="4" w:space="0"/>
            </w:tcBorders>
          </w:tcPr>
          <w:p w:rsidRPr="00C869FE" w:rsidR="0031433B" w:rsidP="00AF40D7" w:rsidRDefault="0031433B">
            <w:pPr>
              <w:autoSpaceDE w:val="0"/>
              <w:autoSpaceDN w:val="0"/>
              <w:adjustRightInd w:val="0"/>
              <w:contextualSpacing/>
              <w:jc w:val="both"/>
            </w:pPr>
          </w:p>
        </w:tc>
        <w:tc>
          <w:tcPr>
            <w:tcW w:w="924" w:type="pct"/>
            <w:tcBorders>
              <w:top w:val="single" w:color="auto" w:sz="4" w:space="0"/>
              <w:left w:val="single" w:color="auto" w:sz="4" w:space="0"/>
              <w:bottom w:val="single" w:color="auto" w:sz="4" w:space="0"/>
              <w:right w:val="single" w:color="auto" w:sz="4" w:space="0"/>
            </w:tcBorders>
          </w:tcPr>
          <w:p w:rsidRPr="004C72D6" w:rsidR="0031433B" w:rsidP="00AF40D7" w:rsidRDefault="0031433B">
            <w:pPr>
              <w:pStyle w:val="naisc"/>
              <w:spacing w:before="0" w:after="0"/>
              <w:jc w:val="both"/>
            </w:pPr>
          </w:p>
        </w:tc>
      </w:tr>
    </w:tbl>
    <w:p w:rsidRPr="0060464C" w:rsidR="0031433B" w:rsidP="0031433B" w:rsidRDefault="0031433B">
      <w:pPr>
        <w:ind w:left="57" w:right="57"/>
        <w:contextualSpacing/>
        <w:mirrorIndents/>
        <w:rPr>
          <w:bCs/>
          <w:sz w:val="22"/>
          <w:szCs w:val="22"/>
        </w:rPr>
      </w:pPr>
    </w:p>
    <w:p w:rsidRPr="004C72D6" w:rsidR="0031433B" w:rsidP="0031433B" w:rsidRDefault="0031433B">
      <w:pPr>
        <w:ind w:left="57" w:right="57"/>
        <w:contextualSpacing/>
        <w:mirrorIndents/>
        <w:rPr>
          <w:sz w:val="22"/>
          <w:szCs w:val="22"/>
        </w:rPr>
      </w:pPr>
      <w:r w:rsidRPr="004C72D6">
        <w:rPr>
          <w:b/>
          <w:bCs/>
          <w:sz w:val="22"/>
          <w:szCs w:val="22"/>
        </w:rPr>
        <w:t>Informācija par starpministriju (starpinstitūciju) sanāksmi vai elektronisko saskaņošanu</w:t>
      </w:r>
      <w:r w:rsidRPr="004C72D6">
        <w:rPr>
          <w:sz w:val="22"/>
          <w:szCs w:val="22"/>
        </w:rPr>
        <w:t> </w:t>
      </w:r>
    </w:p>
    <w:p w:rsidRPr="004C72D6" w:rsidR="0031433B" w:rsidP="0031433B" w:rsidRDefault="0031433B">
      <w:pPr>
        <w:ind w:left="57" w:right="57"/>
        <w:contextualSpacing/>
        <w:mirrorIndents/>
        <w:rPr>
          <w:sz w:val="22"/>
          <w:szCs w:val="22"/>
        </w:rPr>
      </w:pPr>
    </w:p>
    <w:tbl>
      <w:tblPr>
        <w:tblW w:w="14207" w:type="dxa"/>
        <w:tblLook w:val="00A0"/>
      </w:tblPr>
      <w:tblGrid>
        <w:gridCol w:w="14207"/>
      </w:tblGrid>
      <w:tr w:rsidRPr="004C72D6" w:rsidR="0031433B" w:rsidTr="00AF40D7">
        <w:tc>
          <w:tcPr>
            <w:tcW w:w="14207" w:type="dxa"/>
            <w:hideMark/>
          </w:tcPr>
          <w:tbl>
            <w:tblPr>
              <w:tblW w:w="13707" w:type="dxa"/>
              <w:tblLook w:val="00A0"/>
            </w:tblPr>
            <w:tblGrid>
              <w:gridCol w:w="6487"/>
              <w:gridCol w:w="1651"/>
              <w:gridCol w:w="5569"/>
            </w:tblGrid>
            <w:tr w:rsidRPr="004C72D6" w:rsidR="0031433B" w:rsidTr="00AF40D7">
              <w:tc>
                <w:tcPr>
                  <w:tcW w:w="6487" w:type="dxa"/>
                  <w:hideMark/>
                </w:tcPr>
                <w:p w:rsidRPr="004C72D6" w:rsidR="0031433B" w:rsidP="00AF40D7" w:rsidRDefault="0031433B">
                  <w:pPr>
                    <w:pStyle w:val="naisf"/>
                    <w:spacing w:before="0" w:after="0"/>
                    <w:ind w:firstLine="0"/>
                    <w:rPr>
                      <w:lang w:eastAsia="en-US"/>
                    </w:rPr>
                  </w:pPr>
                  <w:r w:rsidRPr="004C72D6">
                    <w:rPr>
                      <w:sz w:val="22"/>
                      <w:szCs w:val="22"/>
                      <w:lang w:eastAsia="en-US"/>
                    </w:rPr>
                    <w:t>Datums</w:t>
                  </w:r>
                </w:p>
              </w:tc>
              <w:tc>
                <w:tcPr>
                  <w:tcW w:w="7220" w:type="dxa"/>
                  <w:gridSpan w:val="2"/>
                  <w:tcBorders>
                    <w:top w:val="nil"/>
                    <w:left w:val="nil"/>
                    <w:bottom w:val="single" w:color="auto" w:sz="4" w:space="0"/>
                    <w:right w:val="nil"/>
                  </w:tcBorders>
                  <w:hideMark/>
                </w:tcPr>
                <w:p w:rsidRPr="004C72D6" w:rsidR="0031433B" w:rsidP="00BF6D44" w:rsidRDefault="0031433B">
                  <w:pPr>
                    <w:pStyle w:val="ParastaisWeb"/>
                    <w:spacing w:before="0" w:beforeAutospacing="0" w:after="0" w:afterAutospacing="0"/>
                    <w:rPr>
                      <w:lang w:eastAsia="en-US"/>
                    </w:rPr>
                  </w:pPr>
                  <w:r>
                    <w:rPr>
                      <w:sz w:val="22"/>
                      <w:szCs w:val="22"/>
                      <w:lang w:eastAsia="en-US"/>
                    </w:rPr>
                    <w:t>2020</w:t>
                  </w:r>
                  <w:r w:rsidRPr="004C72D6">
                    <w:rPr>
                      <w:sz w:val="22"/>
                      <w:szCs w:val="22"/>
                      <w:lang w:eastAsia="en-US"/>
                    </w:rPr>
                    <w:t xml:space="preserve">.gada </w:t>
                  </w:r>
                  <w:r w:rsidR="00BF6D44">
                    <w:rPr>
                      <w:sz w:val="22"/>
                      <w:szCs w:val="22"/>
                      <w:lang w:eastAsia="en-US"/>
                    </w:rPr>
                    <w:t>1</w:t>
                  </w:r>
                  <w:r w:rsidR="00087D02">
                    <w:rPr>
                      <w:sz w:val="22"/>
                      <w:szCs w:val="22"/>
                      <w:lang w:eastAsia="en-US"/>
                    </w:rPr>
                    <w:t>9</w:t>
                  </w:r>
                  <w:r w:rsidR="00BF6D44">
                    <w:rPr>
                      <w:sz w:val="22"/>
                      <w:szCs w:val="22"/>
                      <w:lang w:eastAsia="en-US"/>
                    </w:rPr>
                    <w:t>.m</w:t>
                  </w:r>
                  <w:r w:rsidR="00AF40D7">
                    <w:rPr>
                      <w:sz w:val="22"/>
                      <w:szCs w:val="22"/>
                      <w:lang w:eastAsia="en-US"/>
                    </w:rPr>
                    <w:t>aijā</w:t>
                  </w:r>
                  <w:r w:rsidR="00201895">
                    <w:rPr>
                      <w:sz w:val="22"/>
                      <w:szCs w:val="22"/>
                      <w:lang w:eastAsia="en-US"/>
                    </w:rPr>
                    <w:t>, 2020.gada 18</w:t>
                  </w:r>
                  <w:r w:rsidR="00087D02">
                    <w:rPr>
                      <w:sz w:val="22"/>
                      <w:szCs w:val="22"/>
                      <w:lang w:eastAsia="en-US"/>
                    </w:rPr>
                    <w:t>.jūnijā</w:t>
                  </w:r>
                </w:p>
              </w:tc>
            </w:tr>
            <w:tr w:rsidRPr="004C72D6" w:rsidR="0031433B" w:rsidTr="00AF40D7">
              <w:tc>
                <w:tcPr>
                  <w:tcW w:w="6487" w:type="dxa"/>
                </w:tcPr>
                <w:p w:rsidRPr="004C72D6" w:rsidR="0031433B" w:rsidP="00AF40D7" w:rsidRDefault="0031433B">
                  <w:pPr>
                    <w:pStyle w:val="naisf"/>
                    <w:spacing w:before="0" w:after="0"/>
                    <w:rPr>
                      <w:lang w:eastAsia="en-US"/>
                    </w:rPr>
                  </w:pPr>
                </w:p>
              </w:tc>
              <w:tc>
                <w:tcPr>
                  <w:tcW w:w="7220" w:type="dxa"/>
                  <w:gridSpan w:val="2"/>
                  <w:tcBorders>
                    <w:top w:val="single" w:color="auto" w:sz="4" w:space="0"/>
                    <w:left w:val="nil"/>
                    <w:bottom w:val="nil"/>
                    <w:right w:val="nil"/>
                  </w:tcBorders>
                </w:tcPr>
                <w:p w:rsidRPr="004C72D6" w:rsidR="0031433B" w:rsidP="00AF40D7" w:rsidRDefault="0031433B">
                  <w:pPr>
                    <w:pStyle w:val="ParastaisWeb"/>
                    <w:spacing w:before="0" w:beforeAutospacing="0" w:after="0" w:afterAutospacing="0"/>
                    <w:ind w:firstLine="720"/>
                    <w:rPr>
                      <w:lang w:eastAsia="en-US"/>
                    </w:rPr>
                  </w:pPr>
                </w:p>
              </w:tc>
            </w:tr>
            <w:tr w:rsidRPr="004C72D6" w:rsidR="0031433B" w:rsidTr="00AF40D7">
              <w:tc>
                <w:tcPr>
                  <w:tcW w:w="6487" w:type="dxa"/>
                  <w:hideMark/>
                </w:tcPr>
                <w:p w:rsidRPr="004C72D6" w:rsidR="0031433B" w:rsidP="00AF40D7" w:rsidRDefault="0031433B">
                  <w:pPr>
                    <w:pStyle w:val="naiskr"/>
                    <w:spacing w:before="0" w:after="0"/>
                    <w:rPr>
                      <w:lang w:eastAsia="en-US"/>
                    </w:rPr>
                  </w:pPr>
                  <w:r w:rsidRPr="004C72D6">
                    <w:rPr>
                      <w:sz w:val="22"/>
                      <w:szCs w:val="22"/>
                      <w:lang w:eastAsia="en-US"/>
                    </w:rPr>
                    <w:t>Saskaņošanas dalībnieki</w:t>
                  </w:r>
                </w:p>
              </w:tc>
              <w:tc>
                <w:tcPr>
                  <w:tcW w:w="7220" w:type="dxa"/>
                  <w:gridSpan w:val="2"/>
                  <w:tcBorders>
                    <w:top w:val="nil"/>
                    <w:left w:val="nil"/>
                    <w:bottom w:val="single" w:color="auto" w:sz="4" w:space="0"/>
                    <w:right w:val="nil"/>
                  </w:tcBorders>
                  <w:hideMark/>
                </w:tcPr>
                <w:p w:rsidRPr="004C72D6" w:rsidR="0031433B" w:rsidP="0031433B" w:rsidRDefault="0031433B">
                  <w:pPr>
                    <w:pStyle w:val="ParastaisWeb"/>
                    <w:spacing w:before="0" w:beforeAutospacing="0" w:after="0" w:afterAutospacing="0"/>
                    <w:jc w:val="both"/>
                    <w:rPr>
                      <w:lang w:eastAsia="en-US"/>
                    </w:rPr>
                  </w:pPr>
                  <w:r w:rsidRPr="004C72D6">
                    <w:rPr>
                      <w:sz w:val="22"/>
                      <w:szCs w:val="22"/>
                      <w:lang w:eastAsia="en-US"/>
                    </w:rPr>
                    <w:t xml:space="preserve">Tieslietu ministrija, Finanšu ministrija, </w:t>
                  </w:r>
                  <w:r>
                    <w:rPr>
                      <w:sz w:val="22"/>
                      <w:szCs w:val="22"/>
                      <w:lang w:eastAsia="en-US"/>
                    </w:rPr>
                    <w:t>Latvijas Brīvo arodbiedrību savienība</w:t>
                  </w:r>
                </w:p>
              </w:tc>
            </w:tr>
            <w:tr w:rsidRPr="004C72D6" w:rsidR="0031433B" w:rsidTr="00AF40D7">
              <w:trPr>
                <w:trHeight w:val="208"/>
              </w:trPr>
              <w:tc>
                <w:tcPr>
                  <w:tcW w:w="6487" w:type="dxa"/>
                </w:tcPr>
                <w:p w:rsidRPr="004C72D6" w:rsidR="0031433B" w:rsidP="00AF40D7" w:rsidRDefault="0031433B">
                  <w:pPr>
                    <w:pStyle w:val="naiskr"/>
                    <w:spacing w:before="0" w:after="0"/>
                    <w:rPr>
                      <w:lang w:eastAsia="en-US"/>
                    </w:rPr>
                  </w:pPr>
                </w:p>
              </w:tc>
              <w:tc>
                <w:tcPr>
                  <w:tcW w:w="1651" w:type="dxa"/>
                </w:tcPr>
                <w:p w:rsidRPr="004C72D6" w:rsidR="0031433B" w:rsidP="00AF40D7" w:rsidRDefault="0031433B">
                  <w:pPr>
                    <w:pStyle w:val="naiskr"/>
                    <w:spacing w:before="0" w:after="0"/>
                    <w:ind w:firstLine="720"/>
                    <w:rPr>
                      <w:lang w:eastAsia="en-US"/>
                    </w:rPr>
                  </w:pPr>
                </w:p>
              </w:tc>
              <w:tc>
                <w:tcPr>
                  <w:tcW w:w="5569" w:type="dxa"/>
                </w:tcPr>
                <w:p w:rsidRPr="004C72D6" w:rsidR="0031433B" w:rsidP="00AF40D7" w:rsidRDefault="0031433B">
                  <w:pPr>
                    <w:pStyle w:val="naiskr"/>
                    <w:spacing w:before="0" w:after="0"/>
                    <w:ind w:firstLine="12"/>
                    <w:rPr>
                      <w:lang w:eastAsia="en-US"/>
                    </w:rPr>
                  </w:pPr>
                </w:p>
              </w:tc>
            </w:tr>
            <w:tr w:rsidRPr="004C72D6" w:rsidR="0031433B" w:rsidTr="00AF40D7">
              <w:trPr>
                <w:trHeight w:val="461"/>
              </w:trPr>
              <w:tc>
                <w:tcPr>
                  <w:tcW w:w="6487" w:type="dxa"/>
                  <w:hideMark/>
                </w:tcPr>
                <w:p w:rsidRPr="004C72D6" w:rsidR="0031433B" w:rsidP="00AF40D7" w:rsidRDefault="0031433B">
                  <w:pPr>
                    <w:pStyle w:val="naiskr"/>
                    <w:spacing w:before="0" w:after="0"/>
                    <w:ind w:right="500"/>
                    <w:rPr>
                      <w:lang w:eastAsia="en-US"/>
                    </w:rPr>
                  </w:pPr>
                  <w:r w:rsidRPr="004C72D6">
                    <w:rPr>
                      <w:sz w:val="22"/>
                      <w:szCs w:val="22"/>
                      <w:lang w:eastAsia="en-US"/>
                    </w:rPr>
                    <w:t>Saskaņošanas dalībnieki izskatīja šādu ministriju (citu institūciju) iebildumus</w:t>
                  </w:r>
                </w:p>
              </w:tc>
              <w:tc>
                <w:tcPr>
                  <w:tcW w:w="7220" w:type="dxa"/>
                  <w:gridSpan w:val="2"/>
                  <w:tcBorders>
                    <w:top w:val="nil"/>
                    <w:left w:val="nil"/>
                    <w:bottom w:val="single" w:color="auto" w:sz="4" w:space="0"/>
                    <w:right w:val="nil"/>
                  </w:tcBorders>
                  <w:hideMark/>
                </w:tcPr>
                <w:p w:rsidR="0031433B" w:rsidP="0031433B" w:rsidRDefault="0031433B">
                  <w:pPr>
                    <w:pStyle w:val="naiskr"/>
                    <w:tabs>
                      <w:tab w:val="left" w:pos="7004"/>
                    </w:tabs>
                    <w:spacing w:before="0" w:after="0"/>
                    <w:ind w:right="-9"/>
                    <w:jc w:val="both"/>
                    <w:rPr>
                      <w:lang w:eastAsia="en-US"/>
                    </w:rPr>
                  </w:pPr>
                </w:p>
                <w:p w:rsidRPr="004C72D6" w:rsidR="0031433B" w:rsidP="0031433B" w:rsidRDefault="0031433B">
                  <w:pPr>
                    <w:pStyle w:val="naiskr"/>
                    <w:tabs>
                      <w:tab w:val="left" w:pos="7004"/>
                    </w:tabs>
                    <w:spacing w:before="0" w:after="0"/>
                    <w:ind w:right="-9"/>
                    <w:jc w:val="both"/>
                    <w:rPr>
                      <w:lang w:eastAsia="en-US"/>
                    </w:rPr>
                  </w:pPr>
                  <w:r w:rsidRPr="004C72D6">
                    <w:rPr>
                      <w:sz w:val="22"/>
                      <w:szCs w:val="22"/>
                      <w:lang w:eastAsia="en-US"/>
                    </w:rPr>
                    <w:t>Tieslietu ministrija</w:t>
                  </w:r>
                </w:p>
              </w:tc>
            </w:tr>
            <w:tr w:rsidRPr="004C72D6" w:rsidR="0031433B" w:rsidTr="00AF40D7">
              <w:trPr>
                <w:trHeight w:val="224"/>
              </w:trPr>
              <w:tc>
                <w:tcPr>
                  <w:tcW w:w="13707" w:type="dxa"/>
                  <w:gridSpan w:val="3"/>
                </w:tcPr>
                <w:p w:rsidRPr="004C72D6" w:rsidR="0031433B" w:rsidP="00AF40D7" w:rsidRDefault="0031433B">
                  <w:pPr>
                    <w:pStyle w:val="naisc"/>
                    <w:spacing w:before="0" w:after="0"/>
                    <w:ind w:right="500"/>
                    <w:rPr>
                      <w:lang w:eastAsia="en-US"/>
                    </w:rPr>
                  </w:pPr>
                </w:p>
              </w:tc>
            </w:tr>
            <w:tr w:rsidRPr="004C72D6" w:rsidR="0031433B" w:rsidTr="00AF40D7">
              <w:tc>
                <w:tcPr>
                  <w:tcW w:w="6487" w:type="dxa"/>
                  <w:hideMark/>
                </w:tcPr>
                <w:p w:rsidRPr="004C72D6" w:rsidR="0031433B" w:rsidP="00AF40D7" w:rsidRDefault="0031433B">
                  <w:pPr>
                    <w:pStyle w:val="naiskr"/>
                    <w:spacing w:before="0" w:after="0"/>
                    <w:ind w:right="500"/>
                    <w:rPr>
                      <w:lang w:eastAsia="en-US"/>
                    </w:rPr>
                  </w:pPr>
                  <w:r w:rsidRPr="004C72D6">
                    <w:rPr>
                      <w:sz w:val="22"/>
                      <w:szCs w:val="22"/>
                      <w:lang w:eastAsia="en-US"/>
                    </w:rPr>
                    <w:t>Ministrijas (citas institūcijas), kuras nav ieradušās uz sanāksmi vai kuras nav atbildējušas uz uzaicinājumu piedalīties elektroniskajā saskaņošanā</w:t>
                  </w:r>
                </w:p>
              </w:tc>
              <w:tc>
                <w:tcPr>
                  <w:tcW w:w="7220" w:type="dxa"/>
                  <w:gridSpan w:val="2"/>
                  <w:tcBorders>
                    <w:top w:val="nil"/>
                    <w:left w:val="nil"/>
                    <w:bottom w:val="single" w:color="auto" w:sz="4" w:space="0"/>
                    <w:right w:val="nil"/>
                  </w:tcBorders>
                </w:tcPr>
                <w:p w:rsidRPr="004C72D6" w:rsidR="0031433B" w:rsidP="00AF40D7" w:rsidRDefault="0031433B">
                  <w:pPr>
                    <w:pStyle w:val="naiskr"/>
                    <w:spacing w:before="0" w:after="0"/>
                    <w:ind w:right="500" w:firstLine="720"/>
                    <w:rPr>
                      <w:lang w:eastAsia="en-US"/>
                    </w:rPr>
                  </w:pPr>
                </w:p>
              </w:tc>
            </w:tr>
          </w:tbl>
          <w:p w:rsidRPr="004C72D6" w:rsidR="0031433B" w:rsidP="00AF40D7" w:rsidRDefault="0031433B">
            <w:pPr>
              <w:pStyle w:val="naiskr"/>
              <w:spacing w:before="0" w:after="0"/>
              <w:ind w:right="500" w:firstLine="720"/>
              <w:rPr>
                <w:lang w:eastAsia="en-US"/>
              </w:rPr>
            </w:pPr>
            <w:r w:rsidRPr="004C72D6">
              <w:rPr>
                <w:sz w:val="22"/>
                <w:szCs w:val="22"/>
                <w:lang w:eastAsia="en-US"/>
              </w:rPr>
              <w:t>  </w:t>
            </w:r>
          </w:p>
        </w:tc>
      </w:tr>
    </w:tbl>
    <w:p w:rsidRPr="0031433B" w:rsidR="0031433B" w:rsidP="0031433B" w:rsidRDefault="0031433B">
      <w:pPr>
        <w:pStyle w:val="naisnod"/>
        <w:spacing w:before="0" w:after="0"/>
        <w:ind w:left="57" w:right="57"/>
        <w:contextualSpacing/>
        <w:mirrorIndents/>
        <w:jc w:val="left"/>
        <w:rPr>
          <w:b w:val="0"/>
          <w:sz w:val="22"/>
          <w:szCs w:val="22"/>
        </w:rPr>
      </w:pPr>
    </w:p>
    <w:p w:rsidRPr="0031433B" w:rsidR="0031433B" w:rsidP="0031433B" w:rsidRDefault="0031433B">
      <w:pPr>
        <w:pStyle w:val="naisnod"/>
        <w:spacing w:before="0" w:after="0"/>
        <w:ind w:left="57" w:right="57"/>
        <w:contextualSpacing/>
        <w:mirrorIndents/>
        <w:jc w:val="left"/>
        <w:rPr>
          <w:b w:val="0"/>
          <w:sz w:val="22"/>
          <w:szCs w:val="22"/>
        </w:rPr>
      </w:pPr>
    </w:p>
    <w:p w:rsidR="0031433B" w:rsidP="0031433B" w:rsidRDefault="0031433B">
      <w:pPr>
        <w:pStyle w:val="naisnod"/>
        <w:spacing w:before="0" w:after="0"/>
        <w:ind w:left="57" w:right="57"/>
        <w:contextualSpacing/>
        <w:mirrorIndents/>
        <w:jc w:val="left"/>
        <w:rPr>
          <w:b w:val="0"/>
          <w:sz w:val="22"/>
          <w:szCs w:val="22"/>
        </w:rPr>
      </w:pPr>
    </w:p>
    <w:p w:rsidR="0031433B" w:rsidP="0031433B" w:rsidRDefault="0031433B">
      <w:pPr>
        <w:pStyle w:val="naisnod"/>
        <w:spacing w:before="0" w:after="0"/>
        <w:ind w:left="57" w:right="57"/>
        <w:contextualSpacing/>
        <w:mirrorIndents/>
        <w:jc w:val="left"/>
        <w:rPr>
          <w:b w:val="0"/>
          <w:sz w:val="22"/>
          <w:szCs w:val="22"/>
        </w:rPr>
      </w:pPr>
    </w:p>
    <w:p w:rsidR="0031433B" w:rsidP="0031433B" w:rsidRDefault="0031433B">
      <w:pPr>
        <w:pStyle w:val="naisnod"/>
        <w:spacing w:before="0" w:after="0"/>
        <w:ind w:left="57" w:right="57"/>
        <w:contextualSpacing/>
        <w:mirrorIndents/>
        <w:jc w:val="left"/>
        <w:rPr>
          <w:b w:val="0"/>
          <w:sz w:val="22"/>
          <w:szCs w:val="22"/>
        </w:rPr>
      </w:pPr>
    </w:p>
    <w:p w:rsidRPr="0031433B" w:rsidR="0031433B" w:rsidP="0031433B" w:rsidRDefault="0031433B">
      <w:pPr>
        <w:pStyle w:val="naisnod"/>
        <w:spacing w:before="0" w:after="0"/>
        <w:ind w:left="57" w:right="57"/>
        <w:contextualSpacing/>
        <w:mirrorIndents/>
        <w:jc w:val="left"/>
        <w:rPr>
          <w:b w:val="0"/>
          <w:sz w:val="22"/>
          <w:szCs w:val="22"/>
        </w:rPr>
      </w:pPr>
    </w:p>
    <w:p w:rsidRPr="0031433B" w:rsidR="0031433B" w:rsidP="0031433B" w:rsidRDefault="0031433B">
      <w:pPr>
        <w:pStyle w:val="naisnod"/>
        <w:spacing w:before="0" w:after="0"/>
        <w:ind w:left="57" w:right="57"/>
        <w:contextualSpacing/>
        <w:mirrorIndents/>
        <w:jc w:val="left"/>
        <w:rPr>
          <w:b w:val="0"/>
          <w:sz w:val="22"/>
          <w:szCs w:val="22"/>
        </w:rPr>
      </w:pPr>
    </w:p>
    <w:p w:rsidRPr="00B67DAC" w:rsidR="00F64DE4" w:rsidP="00B67DAC" w:rsidRDefault="00F64DE4">
      <w:pPr>
        <w:pStyle w:val="naisnod"/>
        <w:spacing w:before="0" w:after="0"/>
        <w:ind w:left="57" w:right="57"/>
        <w:contextualSpacing/>
        <w:mirrorIndents/>
        <w:rPr>
          <w:sz w:val="22"/>
          <w:szCs w:val="22"/>
        </w:rPr>
      </w:pPr>
      <w:r w:rsidRPr="00B67DAC">
        <w:rPr>
          <w:sz w:val="22"/>
          <w:szCs w:val="22"/>
        </w:rPr>
        <w:lastRenderedPageBreak/>
        <w:t>II. Jautājumi, par kuriem saskaņošanā vienošanās ir panākta</w:t>
      </w:r>
    </w:p>
    <w:p w:rsidRPr="00B67DAC" w:rsidR="00F64DE4" w:rsidP="00B67DAC" w:rsidRDefault="00F64DE4">
      <w:pPr>
        <w:pStyle w:val="naisnod"/>
        <w:spacing w:before="0" w:after="0"/>
        <w:ind w:left="57" w:right="57"/>
        <w:contextualSpacing/>
        <w:mirrorIndents/>
        <w:jc w:val="left"/>
        <w:rPr>
          <w:b w:val="0"/>
          <w:sz w:val="22"/>
          <w:szCs w:val="22"/>
        </w:rPr>
      </w:pPr>
    </w:p>
    <w:tbl>
      <w:tblPr>
        <w:tblW w:w="5000" w:type="pct"/>
        <w:tblBorders>
          <w:top w:val="single" w:color="auto" w:sz="4" w:space="0"/>
          <w:left w:val="single" w:color="auto" w:sz="4" w:space="0"/>
          <w:bottom w:val="single" w:color="auto" w:sz="4" w:space="0"/>
          <w:right w:val="single" w:color="auto" w:sz="4" w:space="0"/>
        </w:tblBorders>
        <w:tblLook w:val="00A0"/>
      </w:tblPr>
      <w:tblGrid>
        <w:gridCol w:w="534"/>
        <w:gridCol w:w="3541"/>
        <w:gridCol w:w="3523"/>
        <w:gridCol w:w="3100"/>
        <w:gridCol w:w="3521"/>
      </w:tblGrid>
      <w:tr w:rsidRPr="00201895" w:rsidR="00F64DE4" w:rsidTr="00F32285">
        <w:tc>
          <w:tcPr>
            <w:tcW w:w="188" w:type="pct"/>
            <w:tcBorders>
              <w:top w:val="single" w:color="000000" w:sz="6" w:space="0"/>
              <w:left w:val="single" w:color="000000" w:sz="6" w:space="0"/>
              <w:bottom w:val="single" w:color="000000" w:sz="6" w:space="0"/>
              <w:right w:val="single" w:color="000000" w:sz="6" w:space="0"/>
            </w:tcBorders>
            <w:vAlign w:val="center"/>
          </w:tcPr>
          <w:p w:rsidRPr="00201895" w:rsidR="00C01E51" w:rsidP="00B67DAC" w:rsidRDefault="00C01E51">
            <w:pPr>
              <w:pStyle w:val="naisc"/>
              <w:spacing w:before="0" w:after="0"/>
              <w:rPr>
                <w:lang w:eastAsia="en-US"/>
              </w:rPr>
            </w:pPr>
          </w:p>
        </w:tc>
        <w:tc>
          <w:tcPr>
            <w:tcW w:w="1245" w:type="pct"/>
            <w:tcBorders>
              <w:top w:val="single" w:color="000000" w:sz="6" w:space="0"/>
              <w:left w:val="single" w:color="000000" w:sz="6" w:space="0"/>
              <w:bottom w:val="single" w:color="000000" w:sz="6" w:space="0"/>
              <w:right w:val="single" w:color="000000" w:sz="6" w:space="0"/>
            </w:tcBorders>
            <w:vAlign w:val="center"/>
            <w:hideMark/>
          </w:tcPr>
          <w:p w:rsidRPr="00201895" w:rsidR="00C01E51" w:rsidP="00B67DAC" w:rsidRDefault="00F64DE4">
            <w:pPr>
              <w:pStyle w:val="naisc"/>
              <w:spacing w:before="0" w:after="0"/>
              <w:ind w:firstLine="12"/>
              <w:rPr>
                <w:lang w:eastAsia="en-US"/>
              </w:rPr>
            </w:pPr>
            <w:r w:rsidRPr="00201895">
              <w:rPr>
                <w:sz w:val="22"/>
                <w:szCs w:val="22"/>
                <w:lang w:eastAsia="en-US"/>
              </w:rPr>
              <w:t>Saskaņošanai nosūtītā projekta redakcija (konkrēta punkta (panta) redakcija)</w:t>
            </w:r>
          </w:p>
        </w:tc>
        <w:tc>
          <w:tcPr>
            <w:tcW w:w="1239" w:type="pct"/>
            <w:tcBorders>
              <w:top w:val="single" w:color="000000" w:sz="6" w:space="0"/>
              <w:left w:val="single" w:color="000000" w:sz="6" w:space="0"/>
              <w:bottom w:val="single" w:color="000000" w:sz="6" w:space="0"/>
              <w:right w:val="single" w:color="000000" w:sz="6" w:space="0"/>
            </w:tcBorders>
            <w:vAlign w:val="center"/>
            <w:hideMark/>
          </w:tcPr>
          <w:p w:rsidRPr="00201895" w:rsidR="00C01E51" w:rsidP="00B67DAC" w:rsidRDefault="00F64DE4">
            <w:pPr>
              <w:pStyle w:val="naisc"/>
              <w:spacing w:before="0" w:after="0"/>
              <w:ind w:right="31"/>
              <w:rPr>
                <w:lang w:eastAsia="en-US"/>
              </w:rPr>
            </w:pPr>
            <w:r w:rsidRPr="00201895">
              <w:rPr>
                <w:sz w:val="22"/>
                <w:szCs w:val="22"/>
                <w:lang w:eastAsia="en-US"/>
              </w:rPr>
              <w:t>Atzinumā norādītais ministrijas (citas institūcijas) iebildums, kā arī saskaņošanā papildus izteiktais iebildums par projekta konkrēto punktu (pantu)</w:t>
            </w:r>
          </w:p>
        </w:tc>
        <w:tc>
          <w:tcPr>
            <w:tcW w:w="1090" w:type="pct"/>
            <w:tcBorders>
              <w:top w:val="single" w:color="000000" w:sz="6" w:space="0"/>
              <w:left w:val="single" w:color="000000" w:sz="6" w:space="0"/>
              <w:bottom w:val="single" w:color="000000" w:sz="6" w:space="0"/>
              <w:right w:val="single" w:color="000000" w:sz="6" w:space="0"/>
            </w:tcBorders>
            <w:vAlign w:val="center"/>
            <w:hideMark/>
          </w:tcPr>
          <w:p w:rsidRPr="00201895" w:rsidR="00C01E51" w:rsidP="00B67DAC" w:rsidRDefault="00F64DE4">
            <w:pPr>
              <w:pStyle w:val="naisc"/>
              <w:spacing w:before="0" w:after="0"/>
              <w:rPr>
                <w:lang w:eastAsia="en-US"/>
              </w:rPr>
            </w:pPr>
            <w:r w:rsidRPr="00201895">
              <w:rPr>
                <w:sz w:val="22"/>
                <w:szCs w:val="22"/>
                <w:lang w:eastAsia="en-US"/>
              </w:rPr>
              <w:t xml:space="preserve">Atbildīgās ministrijas norāde par to, ka </w:t>
            </w:r>
            <w:r w:rsidRPr="00201895" w:rsidR="00734AC4">
              <w:rPr>
                <w:sz w:val="22"/>
                <w:szCs w:val="22"/>
                <w:lang w:eastAsia="en-US"/>
              </w:rPr>
              <w:t>iebildums ir ņemts vērā, vai informācija par saskaņošanā panākto alternatīvo risinājumu</w:t>
            </w:r>
          </w:p>
        </w:tc>
        <w:tc>
          <w:tcPr>
            <w:tcW w:w="1238" w:type="pct"/>
            <w:tcBorders>
              <w:top w:val="single" w:color="auto" w:sz="4" w:space="0"/>
              <w:left w:val="single" w:color="auto" w:sz="4" w:space="0"/>
              <w:bottom w:val="single" w:color="auto" w:sz="4" w:space="0"/>
              <w:right w:val="single" w:color="auto" w:sz="4" w:space="0"/>
            </w:tcBorders>
            <w:vAlign w:val="center"/>
            <w:hideMark/>
          </w:tcPr>
          <w:p w:rsidRPr="00201895" w:rsidR="00C01E51" w:rsidP="00B67DAC" w:rsidRDefault="00F64DE4">
            <w:pPr>
              <w:pStyle w:val="naisc"/>
              <w:spacing w:before="0" w:after="0"/>
              <w:rPr>
                <w:lang w:eastAsia="en-US"/>
              </w:rPr>
            </w:pPr>
            <w:r w:rsidRPr="00201895">
              <w:rPr>
                <w:sz w:val="22"/>
                <w:szCs w:val="22"/>
                <w:lang w:eastAsia="en-US"/>
              </w:rPr>
              <w:t>Projekta attiecīgā punkta (panta) galīgā redakcija</w:t>
            </w:r>
          </w:p>
        </w:tc>
      </w:tr>
      <w:tr w:rsidRPr="00201895" w:rsidR="00F64DE4" w:rsidTr="00F32285">
        <w:tc>
          <w:tcPr>
            <w:tcW w:w="188" w:type="pct"/>
            <w:tcBorders>
              <w:top w:val="single" w:color="000000" w:sz="6" w:space="0"/>
              <w:left w:val="single" w:color="000000" w:sz="6" w:space="0"/>
              <w:bottom w:val="single" w:color="auto" w:sz="4" w:space="0"/>
              <w:right w:val="single" w:color="000000" w:sz="6" w:space="0"/>
            </w:tcBorders>
            <w:hideMark/>
          </w:tcPr>
          <w:p w:rsidRPr="00201895" w:rsidR="00C01E51" w:rsidP="00B67DAC" w:rsidRDefault="00F64DE4">
            <w:pPr>
              <w:pStyle w:val="naisc"/>
              <w:spacing w:before="0" w:after="0"/>
              <w:rPr>
                <w:lang w:eastAsia="en-US"/>
              </w:rPr>
            </w:pPr>
            <w:r w:rsidRPr="00201895">
              <w:rPr>
                <w:sz w:val="22"/>
                <w:szCs w:val="22"/>
                <w:lang w:eastAsia="en-US"/>
              </w:rPr>
              <w:t>1</w:t>
            </w:r>
          </w:p>
        </w:tc>
        <w:tc>
          <w:tcPr>
            <w:tcW w:w="1245" w:type="pct"/>
            <w:tcBorders>
              <w:top w:val="single" w:color="000000" w:sz="6" w:space="0"/>
              <w:left w:val="single" w:color="000000" w:sz="6" w:space="0"/>
              <w:bottom w:val="single" w:color="auto" w:sz="4" w:space="0"/>
              <w:right w:val="single" w:color="000000" w:sz="6" w:space="0"/>
            </w:tcBorders>
            <w:hideMark/>
          </w:tcPr>
          <w:p w:rsidRPr="00201895" w:rsidR="00C01E51" w:rsidP="00B67DAC" w:rsidRDefault="00F64DE4">
            <w:pPr>
              <w:pStyle w:val="naisc"/>
              <w:spacing w:before="0" w:after="0"/>
              <w:ind w:firstLine="12"/>
              <w:rPr>
                <w:lang w:eastAsia="en-US"/>
              </w:rPr>
            </w:pPr>
            <w:r w:rsidRPr="00201895">
              <w:rPr>
                <w:sz w:val="22"/>
                <w:szCs w:val="22"/>
                <w:lang w:eastAsia="en-US"/>
              </w:rPr>
              <w:t>2</w:t>
            </w:r>
          </w:p>
        </w:tc>
        <w:tc>
          <w:tcPr>
            <w:tcW w:w="1239" w:type="pct"/>
            <w:tcBorders>
              <w:top w:val="single" w:color="000000" w:sz="6" w:space="0"/>
              <w:left w:val="single" w:color="000000" w:sz="6" w:space="0"/>
              <w:bottom w:val="single" w:color="auto" w:sz="4" w:space="0"/>
              <w:right w:val="single" w:color="000000" w:sz="6" w:space="0"/>
            </w:tcBorders>
            <w:hideMark/>
          </w:tcPr>
          <w:p w:rsidRPr="00201895" w:rsidR="00C01E51" w:rsidP="00B67DAC" w:rsidRDefault="00F64DE4">
            <w:pPr>
              <w:pStyle w:val="naisc"/>
              <w:spacing w:before="0" w:after="0"/>
              <w:ind w:right="31"/>
              <w:rPr>
                <w:lang w:eastAsia="en-US"/>
              </w:rPr>
            </w:pPr>
            <w:r w:rsidRPr="00201895">
              <w:rPr>
                <w:sz w:val="22"/>
                <w:szCs w:val="22"/>
                <w:lang w:eastAsia="en-US"/>
              </w:rPr>
              <w:t>3</w:t>
            </w:r>
          </w:p>
        </w:tc>
        <w:tc>
          <w:tcPr>
            <w:tcW w:w="1090" w:type="pct"/>
            <w:tcBorders>
              <w:top w:val="single" w:color="000000" w:sz="6" w:space="0"/>
              <w:left w:val="single" w:color="000000" w:sz="6" w:space="0"/>
              <w:bottom w:val="single" w:color="auto" w:sz="4" w:space="0"/>
              <w:right w:val="single" w:color="000000" w:sz="6" w:space="0"/>
            </w:tcBorders>
            <w:hideMark/>
          </w:tcPr>
          <w:p w:rsidRPr="00201895" w:rsidR="00C01E51" w:rsidP="00B67DAC" w:rsidRDefault="00F64DE4">
            <w:pPr>
              <w:pStyle w:val="naisc"/>
              <w:spacing w:before="0" w:after="0"/>
              <w:rPr>
                <w:lang w:eastAsia="en-US"/>
              </w:rPr>
            </w:pPr>
            <w:r w:rsidRPr="00201895">
              <w:rPr>
                <w:sz w:val="22"/>
                <w:szCs w:val="22"/>
                <w:lang w:eastAsia="en-US"/>
              </w:rPr>
              <w:t>4</w:t>
            </w:r>
          </w:p>
        </w:tc>
        <w:tc>
          <w:tcPr>
            <w:tcW w:w="1238" w:type="pct"/>
            <w:tcBorders>
              <w:top w:val="single" w:color="auto" w:sz="4" w:space="0"/>
              <w:left w:val="single" w:color="auto" w:sz="4" w:space="0"/>
              <w:bottom w:val="single" w:color="auto" w:sz="4" w:space="0"/>
              <w:right w:val="single" w:color="auto" w:sz="4" w:space="0"/>
            </w:tcBorders>
            <w:hideMark/>
          </w:tcPr>
          <w:p w:rsidRPr="00201895" w:rsidR="00C01E51" w:rsidP="00B67DAC" w:rsidRDefault="00F64DE4">
            <w:pPr>
              <w:jc w:val="center"/>
              <w:rPr>
                <w:lang w:eastAsia="en-US"/>
              </w:rPr>
            </w:pPr>
            <w:r w:rsidRPr="00201895">
              <w:rPr>
                <w:sz w:val="22"/>
                <w:szCs w:val="22"/>
                <w:lang w:eastAsia="en-US"/>
              </w:rPr>
              <w:t>5</w:t>
            </w:r>
          </w:p>
        </w:tc>
      </w:tr>
      <w:tr w:rsidRPr="00201895" w:rsidR="00BE73E9" w:rsidTr="00F32285">
        <w:tc>
          <w:tcPr>
            <w:tcW w:w="188" w:type="pct"/>
            <w:tcBorders>
              <w:top w:val="single" w:color="000000" w:sz="6" w:space="0"/>
              <w:left w:val="single" w:color="000000" w:sz="6" w:space="0"/>
              <w:bottom w:val="single" w:color="auto" w:sz="4" w:space="0"/>
              <w:right w:val="single" w:color="000000" w:sz="6" w:space="0"/>
            </w:tcBorders>
          </w:tcPr>
          <w:p w:rsidRPr="00201895" w:rsidR="00BE73E9" w:rsidP="00B67DAC" w:rsidRDefault="00BE73E9">
            <w:pPr>
              <w:pStyle w:val="naisc"/>
              <w:spacing w:before="0" w:after="0"/>
              <w:rPr>
                <w:lang w:eastAsia="en-US"/>
              </w:rPr>
            </w:pPr>
            <w:r w:rsidRPr="00201895">
              <w:rPr>
                <w:sz w:val="22"/>
                <w:szCs w:val="22"/>
                <w:lang w:eastAsia="en-US"/>
              </w:rPr>
              <w:t>1.</w:t>
            </w:r>
          </w:p>
        </w:tc>
        <w:tc>
          <w:tcPr>
            <w:tcW w:w="1245" w:type="pct"/>
            <w:tcBorders>
              <w:top w:val="single" w:color="000000" w:sz="6" w:space="0"/>
              <w:left w:val="single" w:color="000000" w:sz="6" w:space="0"/>
              <w:bottom w:val="single" w:color="auto" w:sz="4" w:space="0"/>
              <w:right w:val="single" w:color="000000" w:sz="6" w:space="0"/>
            </w:tcBorders>
          </w:tcPr>
          <w:p w:rsidRPr="00201895" w:rsidR="00427D01" w:rsidP="00B67DAC" w:rsidRDefault="00427D01">
            <w:pPr>
              <w:pStyle w:val="naisc"/>
              <w:spacing w:before="0" w:after="0"/>
              <w:ind w:firstLine="12"/>
              <w:jc w:val="both"/>
              <w:rPr>
                <w:lang w:eastAsia="en-US"/>
              </w:rPr>
            </w:pPr>
            <w:r w:rsidRPr="00201895">
              <w:rPr>
                <w:sz w:val="22"/>
                <w:szCs w:val="22"/>
                <w:lang w:eastAsia="en-US"/>
              </w:rPr>
              <w:t>Ministru kabineta noteikumu projekta 3.punkts.</w:t>
            </w:r>
          </w:p>
          <w:p w:rsidRPr="00201895" w:rsidR="00427D01" w:rsidP="00B67DAC" w:rsidRDefault="00427D01">
            <w:pPr>
              <w:pStyle w:val="naisc"/>
              <w:spacing w:before="0" w:after="0"/>
              <w:ind w:firstLine="12"/>
              <w:jc w:val="left"/>
              <w:rPr>
                <w:lang w:eastAsia="en-US"/>
              </w:rPr>
            </w:pPr>
          </w:p>
          <w:p w:rsidRPr="00201895" w:rsidR="004B2D66" w:rsidP="00B67DAC" w:rsidRDefault="00CA00DC">
            <w:pPr>
              <w:pStyle w:val="naisc"/>
              <w:spacing w:before="0" w:after="0"/>
              <w:ind w:firstLine="12"/>
              <w:jc w:val="both"/>
              <w:rPr>
                <w:lang w:eastAsia="en-US"/>
              </w:rPr>
            </w:pPr>
            <w:r w:rsidRPr="00201895">
              <w:rPr>
                <w:sz w:val="22"/>
                <w:szCs w:val="22"/>
                <w:lang w:eastAsia="en-US"/>
              </w:rPr>
              <w:t>„</w:t>
            </w:r>
            <w:r w:rsidRPr="00201895" w:rsidR="004B2D66">
              <w:rPr>
                <w:sz w:val="22"/>
                <w:szCs w:val="22"/>
                <w:lang w:eastAsia="en-US"/>
              </w:rPr>
              <w:t>3.</w:t>
            </w:r>
            <w:r w:rsidRPr="00201895" w:rsidR="00B67DAC">
              <w:rPr>
                <w:sz w:val="22"/>
                <w:szCs w:val="22"/>
                <w:lang w:eastAsia="en-US"/>
              </w:rPr>
              <w:t> </w:t>
            </w:r>
            <w:r w:rsidRPr="00201895" w:rsidR="004B2D66">
              <w:rPr>
                <w:sz w:val="22"/>
                <w:szCs w:val="22"/>
                <w:lang w:eastAsia="en-US"/>
              </w:rPr>
              <w:t>Iz</w:t>
            </w:r>
            <w:r w:rsidRPr="00201895" w:rsidR="00B67DAC">
              <w:rPr>
                <w:sz w:val="22"/>
                <w:szCs w:val="22"/>
                <w:lang w:eastAsia="en-US"/>
              </w:rPr>
              <w:t>teikt 28.punktu šādā redakcijā:</w:t>
            </w:r>
          </w:p>
          <w:p w:rsidRPr="00201895" w:rsidR="00BE73E9" w:rsidP="00B67DAC" w:rsidRDefault="00B67DAC">
            <w:pPr>
              <w:pStyle w:val="naisc"/>
              <w:spacing w:before="0" w:after="0"/>
              <w:ind w:firstLine="12"/>
              <w:jc w:val="both"/>
              <w:rPr>
                <w:lang w:eastAsia="en-US"/>
              </w:rPr>
            </w:pPr>
            <w:r w:rsidRPr="00201895">
              <w:rPr>
                <w:sz w:val="22"/>
                <w:szCs w:val="22"/>
                <w:lang w:eastAsia="en-US"/>
              </w:rPr>
              <w:t>„28. </w:t>
            </w:r>
            <w:r w:rsidRPr="00201895" w:rsidR="004B2D66">
              <w:rPr>
                <w:sz w:val="22"/>
                <w:szCs w:val="22"/>
                <w:lang w:eastAsia="en-US"/>
              </w:rPr>
              <w:t>Līdzfinansējuma līgumu centrs un projekta iesniedzējs noslēdz divu mēnešu laikā pēc šo noteikumu 26. vai 26.</w:t>
            </w:r>
            <w:r w:rsidRPr="00201895" w:rsidR="004B2D66">
              <w:rPr>
                <w:sz w:val="22"/>
                <w:szCs w:val="22"/>
                <w:vertAlign w:val="superscript"/>
                <w:lang w:eastAsia="en-US"/>
              </w:rPr>
              <w:t>1</w:t>
            </w:r>
            <w:r w:rsidRPr="00201895" w:rsidR="004B2D66">
              <w:rPr>
                <w:sz w:val="22"/>
                <w:szCs w:val="22"/>
                <w:lang w:eastAsia="en-US"/>
              </w:rPr>
              <w:t xml:space="preserve"> punktā minētā lēmuma pieņemšanas. Ja šajā termiņā līdzfinansējuma līgums nav noslēgts projekta iesniedzēja vainas dēļ, centra vadītājs atceļ lēmumu par līdzfinansējuma līguma noslēgšanu ar projekta iesniedzēju.”</w:t>
            </w:r>
            <w:r w:rsidRPr="00201895" w:rsidR="00CA00DC">
              <w:rPr>
                <w:sz w:val="22"/>
                <w:szCs w:val="22"/>
                <w:lang w:eastAsia="en-US"/>
              </w:rPr>
              <w:t>”</w:t>
            </w:r>
          </w:p>
        </w:tc>
        <w:tc>
          <w:tcPr>
            <w:tcW w:w="1239" w:type="pct"/>
            <w:tcBorders>
              <w:top w:val="single" w:color="000000" w:sz="6" w:space="0"/>
              <w:left w:val="single" w:color="000000" w:sz="6" w:space="0"/>
              <w:bottom w:val="single" w:color="auto" w:sz="4" w:space="0"/>
              <w:right w:val="single" w:color="000000" w:sz="6" w:space="0"/>
            </w:tcBorders>
          </w:tcPr>
          <w:p w:rsidRPr="00201895" w:rsidR="00BE73E9" w:rsidP="00B67DAC" w:rsidRDefault="00BE73E9">
            <w:pPr>
              <w:pStyle w:val="naisc"/>
              <w:spacing w:before="0" w:after="0"/>
              <w:ind w:right="31"/>
              <w:jc w:val="left"/>
              <w:rPr>
                <w:b/>
                <w:lang w:eastAsia="en-US"/>
              </w:rPr>
            </w:pPr>
            <w:r w:rsidRPr="00201895">
              <w:rPr>
                <w:b/>
                <w:sz w:val="22"/>
                <w:szCs w:val="22"/>
                <w:lang w:eastAsia="en-US"/>
              </w:rPr>
              <w:t>Tieslietu ministrija:</w:t>
            </w:r>
          </w:p>
          <w:p w:rsidRPr="00201895" w:rsidR="00BE73E9" w:rsidP="00B67DAC" w:rsidRDefault="00BE73E9">
            <w:pPr>
              <w:pStyle w:val="naisc"/>
              <w:spacing w:before="0" w:after="0"/>
              <w:ind w:right="31"/>
              <w:jc w:val="both"/>
              <w:rPr>
                <w:lang w:eastAsia="en-US"/>
              </w:rPr>
            </w:pPr>
            <w:r w:rsidRPr="00201895">
              <w:rPr>
                <w:bCs/>
                <w:iCs/>
                <w:sz w:val="22"/>
                <w:szCs w:val="22"/>
                <w:lang w:eastAsia="en-US"/>
              </w:rPr>
              <w:t xml:space="preserve">Lūdzam projekta anotācijas I sadaļas 2. punktā </w:t>
            </w:r>
            <w:proofErr w:type="spellStart"/>
            <w:r w:rsidRPr="00201895">
              <w:rPr>
                <w:bCs/>
                <w:iCs/>
                <w:sz w:val="22"/>
                <w:szCs w:val="22"/>
                <w:lang w:eastAsia="en-US"/>
              </w:rPr>
              <w:t>izvērstāk</w:t>
            </w:r>
            <w:proofErr w:type="spellEnd"/>
            <w:r w:rsidRPr="00201895">
              <w:rPr>
                <w:bCs/>
                <w:iCs/>
                <w:sz w:val="22"/>
                <w:szCs w:val="22"/>
                <w:lang w:eastAsia="en-US"/>
              </w:rPr>
              <w:t xml:space="preserve"> skaidrot projekta 3. punktā izteikto grozījumu būtību, skaidrojot arī, kādēļ tiek svītrota spēkā esošo noteikumu 28. punktā ietvertā norāde “un centram ir tiesības izsludin</w:t>
            </w:r>
            <w:bookmarkStart w:name="_GoBack" w:id="0"/>
            <w:bookmarkEnd w:id="0"/>
            <w:r w:rsidRPr="00201895">
              <w:rPr>
                <w:bCs/>
                <w:iCs/>
                <w:sz w:val="22"/>
                <w:szCs w:val="22"/>
                <w:lang w:eastAsia="en-US"/>
              </w:rPr>
              <w:t>āt jaunu konkursu”.</w:t>
            </w:r>
          </w:p>
        </w:tc>
        <w:tc>
          <w:tcPr>
            <w:tcW w:w="1090" w:type="pct"/>
            <w:tcBorders>
              <w:top w:val="single" w:color="000000" w:sz="6" w:space="0"/>
              <w:left w:val="single" w:color="000000" w:sz="6" w:space="0"/>
              <w:bottom w:val="single" w:color="auto" w:sz="4" w:space="0"/>
              <w:right w:val="single" w:color="000000" w:sz="6" w:space="0"/>
            </w:tcBorders>
          </w:tcPr>
          <w:p w:rsidRPr="00201895" w:rsidR="00BE73E9" w:rsidP="00B67DAC" w:rsidRDefault="00BE73E9">
            <w:pPr>
              <w:pStyle w:val="naisc"/>
              <w:spacing w:before="0" w:after="0"/>
              <w:rPr>
                <w:b/>
                <w:lang w:eastAsia="en-US"/>
              </w:rPr>
            </w:pPr>
            <w:r w:rsidRPr="00201895">
              <w:rPr>
                <w:b/>
                <w:sz w:val="22"/>
                <w:szCs w:val="22"/>
                <w:lang w:eastAsia="en-US"/>
              </w:rPr>
              <w:t>Ņemts vērā</w:t>
            </w:r>
          </w:p>
          <w:p w:rsidRPr="00201895" w:rsidR="00427D01" w:rsidP="00F55B18" w:rsidRDefault="00427D01">
            <w:pPr>
              <w:pStyle w:val="naisc"/>
              <w:spacing w:before="0" w:after="0"/>
              <w:jc w:val="both"/>
              <w:rPr>
                <w:lang w:eastAsia="en-US"/>
              </w:rPr>
            </w:pPr>
          </w:p>
        </w:tc>
        <w:tc>
          <w:tcPr>
            <w:tcW w:w="1238" w:type="pct"/>
            <w:tcBorders>
              <w:top w:val="single" w:color="auto" w:sz="4" w:space="0"/>
              <w:left w:val="single" w:color="auto" w:sz="4" w:space="0"/>
              <w:bottom w:val="single" w:color="auto" w:sz="4" w:space="0"/>
              <w:right w:val="single" w:color="auto" w:sz="4" w:space="0"/>
            </w:tcBorders>
          </w:tcPr>
          <w:p w:rsidRPr="00201895" w:rsidR="00BE73E9" w:rsidP="00B67DAC" w:rsidRDefault="00427D01">
            <w:pPr>
              <w:jc w:val="both"/>
              <w:rPr>
                <w:lang w:eastAsia="en-US"/>
              </w:rPr>
            </w:pPr>
            <w:r w:rsidRPr="00201895">
              <w:rPr>
                <w:sz w:val="22"/>
                <w:szCs w:val="22"/>
                <w:lang w:eastAsia="en-US"/>
              </w:rPr>
              <w:t>Precizēts Minis</w:t>
            </w:r>
            <w:r w:rsidRPr="00201895" w:rsidR="00F94D02">
              <w:rPr>
                <w:sz w:val="22"/>
                <w:szCs w:val="22"/>
                <w:lang w:eastAsia="en-US"/>
              </w:rPr>
              <w:t>tru kabineta noteikumu projekta 3.punkts</w:t>
            </w:r>
            <w:r w:rsidRPr="00201895">
              <w:rPr>
                <w:sz w:val="22"/>
                <w:szCs w:val="22"/>
                <w:lang w:eastAsia="en-US"/>
              </w:rPr>
              <w:t xml:space="preserve"> šādā redakcijā:</w:t>
            </w:r>
          </w:p>
          <w:p w:rsidRPr="00201895" w:rsidR="004B2D66" w:rsidP="00B67DAC" w:rsidRDefault="004B2D66">
            <w:pPr>
              <w:jc w:val="both"/>
              <w:rPr>
                <w:lang w:eastAsia="en-US"/>
              </w:rPr>
            </w:pPr>
          </w:p>
          <w:p w:rsidRPr="00201895" w:rsidR="00427D01" w:rsidP="00B67DAC" w:rsidRDefault="00B67DAC">
            <w:pPr>
              <w:jc w:val="both"/>
              <w:rPr>
                <w:lang w:eastAsia="en-US"/>
              </w:rPr>
            </w:pPr>
            <w:r w:rsidRPr="00201895">
              <w:rPr>
                <w:sz w:val="22"/>
                <w:szCs w:val="22"/>
                <w:lang w:eastAsia="en-US"/>
              </w:rPr>
              <w:t>„</w:t>
            </w:r>
            <w:r w:rsidRPr="00201895" w:rsidR="00427D01">
              <w:rPr>
                <w:sz w:val="22"/>
                <w:szCs w:val="22"/>
                <w:lang w:eastAsia="en-US"/>
              </w:rPr>
              <w:t>3.</w:t>
            </w:r>
            <w:r w:rsidRPr="00201895">
              <w:rPr>
                <w:sz w:val="22"/>
                <w:szCs w:val="22"/>
                <w:lang w:eastAsia="en-US"/>
              </w:rPr>
              <w:t> </w:t>
            </w:r>
            <w:r w:rsidRPr="00201895" w:rsidR="00427D01">
              <w:rPr>
                <w:sz w:val="22"/>
                <w:szCs w:val="22"/>
                <w:lang w:eastAsia="en-US"/>
              </w:rPr>
              <w:t xml:space="preserve">Izteikt 28.punktu šādā redakcijā: </w:t>
            </w:r>
          </w:p>
          <w:p w:rsidRPr="00201895" w:rsidR="00427D01" w:rsidP="00B67DAC" w:rsidRDefault="00427D01">
            <w:pPr>
              <w:jc w:val="both"/>
              <w:rPr>
                <w:lang w:eastAsia="en-US"/>
              </w:rPr>
            </w:pPr>
            <w:r w:rsidRPr="00201895">
              <w:rPr>
                <w:sz w:val="22"/>
                <w:szCs w:val="22"/>
                <w:lang w:eastAsia="en-US"/>
              </w:rPr>
              <w:t>„28. Līdzfinansējuma līgumu centrs un projekta iesniedzējs noslēdz divu mēnešu laikā pēc šo noteikumu 26. vai 26.</w:t>
            </w:r>
            <w:r w:rsidRPr="00201895">
              <w:rPr>
                <w:sz w:val="22"/>
                <w:szCs w:val="22"/>
                <w:vertAlign w:val="superscript"/>
                <w:lang w:eastAsia="en-US"/>
              </w:rPr>
              <w:t>1</w:t>
            </w:r>
            <w:r w:rsidRPr="00201895">
              <w:rPr>
                <w:sz w:val="22"/>
                <w:szCs w:val="22"/>
                <w:lang w:eastAsia="en-US"/>
              </w:rPr>
              <w:t xml:space="preserve"> punktā minētā lēmuma pieņemšanas. Ja šajā termiņā līdzfinansējuma līgums nav noslēgts projekta iesniedzēja vainas dēļ, centra vadītājs atceļ lēmumu par līdzfinansējuma līguma noslēgšanu ar projekta iesniedzēju un centram ir tiesības izsludināt jaunu konkursu.”.”</w:t>
            </w:r>
          </w:p>
          <w:p w:rsidRPr="00201895" w:rsidR="00961128" w:rsidP="00B67DAC" w:rsidRDefault="00961128">
            <w:pPr>
              <w:jc w:val="both"/>
              <w:rPr>
                <w:lang w:eastAsia="en-US"/>
              </w:rPr>
            </w:pPr>
          </w:p>
          <w:p w:rsidRPr="00201895" w:rsidR="00961128" w:rsidP="00961128" w:rsidRDefault="00961128">
            <w:pPr>
              <w:jc w:val="both"/>
              <w:rPr>
                <w:lang w:eastAsia="en-US"/>
              </w:rPr>
            </w:pPr>
            <w:r w:rsidRPr="00201895">
              <w:rPr>
                <w:sz w:val="22"/>
                <w:szCs w:val="22"/>
                <w:lang w:eastAsia="en-US"/>
              </w:rPr>
              <w:t>Precizēts Ministru kabineta noteikumu projekta sākotnējās ietekmes novērtējuma ziņojuma (anotācijas) I sadaļas 2.punkts šādā redakcijā:</w:t>
            </w:r>
          </w:p>
          <w:p w:rsidRPr="00201895" w:rsidR="00961128" w:rsidP="00B67DAC" w:rsidRDefault="00961128">
            <w:pPr>
              <w:jc w:val="both"/>
              <w:rPr>
                <w:lang w:eastAsia="en-US"/>
              </w:rPr>
            </w:pPr>
          </w:p>
          <w:p w:rsidRPr="00201895" w:rsidR="00961128" w:rsidP="00692C4D" w:rsidRDefault="00692C4D">
            <w:pPr>
              <w:jc w:val="both"/>
              <w:rPr>
                <w:lang w:eastAsia="en-US"/>
              </w:rPr>
            </w:pPr>
            <w:r w:rsidRPr="00201895">
              <w:rPr>
                <w:sz w:val="22"/>
                <w:szCs w:val="22"/>
                <w:lang w:eastAsia="en-US"/>
              </w:rPr>
              <w:t>„[..] Projekta 3.punkts ir saistīts ar Projekta 2.punktu, līdz ar to nepieciešams MK noteikumu Nr.163 28.punktu papildināt ar atsauci uz 26.</w:t>
            </w:r>
            <w:r w:rsidRPr="00201895">
              <w:rPr>
                <w:sz w:val="22"/>
                <w:szCs w:val="22"/>
                <w:vertAlign w:val="superscript"/>
                <w:lang w:eastAsia="en-US"/>
              </w:rPr>
              <w:t>1</w:t>
            </w:r>
            <w:r w:rsidRPr="00201895">
              <w:rPr>
                <w:sz w:val="22"/>
                <w:szCs w:val="22"/>
                <w:lang w:eastAsia="en-US"/>
              </w:rPr>
              <w:t xml:space="preserve"> punktu, lai būtu nepārprotami </w:t>
            </w:r>
            <w:r w:rsidRPr="00201895">
              <w:rPr>
                <w:sz w:val="22"/>
                <w:szCs w:val="22"/>
                <w:lang w:eastAsia="en-US"/>
              </w:rPr>
              <w:lastRenderedPageBreak/>
              <w:t>skaidrs, ka arī 26.</w:t>
            </w:r>
            <w:r w:rsidRPr="00201895">
              <w:rPr>
                <w:sz w:val="22"/>
                <w:szCs w:val="22"/>
                <w:vertAlign w:val="superscript"/>
                <w:lang w:eastAsia="en-US"/>
              </w:rPr>
              <w:t>1</w:t>
            </w:r>
            <w:r w:rsidRPr="00201895">
              <w:rPr>
                <w:sz w:val="22"/>
                <w:szCs w:val="22"/>
                <w:lang w:eastAsia="en-US"/>
              </w:rPr>
              <w:t xml:space="preserve"> punktā minētajos gadījum</w:t>
            </w:r>
            <w:r w:rsidRPr="00201895" w:rsidR="00CA00DC">
              <w:rPr>
                <w:sz w:val="22"/>
                <w:szCs w:val="22"/>
                <w:lang w:eastAsia="en-US"/>
              </w:rPr>
              <w:t>o</w:t>
            </w:r>
            <w:r w:rsidRPr="00201895">
              <w:rPr>
                <w:sz w:val="22"/>
                <w:szCs w:val="22"/>
                <w:lang w:eastAsia="en-US"/>
              </w:rPr>
              <w:t xml:space="preserve">s līdzfinansējuma līgums noslēdzams divu mēnešu laikā pēc </w:t>
            </w:r>
            <w:r w:rsidRPr="00201895" w:rsidR="00BC29D9">
              <w:rPr>
                <w:sz w:val="22"/>
                <w:szCs w:val="22"/>
                <w:lang w:eastAsia="en-US"/>
              </w:rPr>
              <w:t xml:space="preserve">Nacionālā kino </w:t>
            </w:r>
            <w:r w:rsidRPr="00201895">
              <w:rPr>
                <w:sz w:val="22"/>
                <w:szCs w:val="22"/>
                <w:lang w:eastAsia="en-US"/>
              </w:rPr>
              <w:t>centra vadītāja lēmuma par līdzfinansējuma līguma noslēgšanu par projektu iesniegumu rezerves sarakstā iekļautā projekta līdzfinansēšanu projektu iesniegumu rezerves sarakstā noteiktajā secībā pieņemšanas. Projekta 2.punktā paredzētajā 26.</w:t>
            </w:r>
            <w:r w:rsidRPr="00201895">
              <w:rPr>
                <w:sz w:val="22"/>
                <w:szCs w:val="22"/>
                <w:vertAlign w:val="superscript"/>
                <w:lang w:eastAsia="en-US"/>
              </w:rPr>
              <w:t>1</w:t>
            </w:r>
            <w:r w:rsidRPr="00201895">
              <w:rPr>
                <w:sz w:val="22"/>
                <w:szCs w:val="22"/>
                <w:lang w:eastAsia="en-US"/>
              </w:rPr>
              <w:t xml:space="preserve"> punktā minētajos gadījum</w:t>
            </w:r>
            <w:r w:rsidRPr="00201895" w:rsidR="00CA00DC">
              <w:rPr>
                <w:sz w:val="22"/>
                <w:szCs w:val="22"/>
                <w:lang w:eastAsia="en-US"/>
              </w:rPr>
              <w:t>o</w:t>
            </w:r>
            <w:r w:rsidRPr="00201895">
              <w:rPr>
                <w:sz w:val="22"/>
                <w:szCs w:val="22"/>
                <w:lang w:eastAsia="en-US"/>
              </w:rPr>
              <w:t xml:space="preserve">s </w:t>
            </w:r>
            <w:r w:rsidRPr="00201895" w:rsidR="00BC29D9">
              <w:rPr>
                <w:sz w:val="22"/>
                <w:szCs w:val="22"/>
                <w:lang w:eastAsia="en-US"/>
              </w:rPr>
              <w:t xml:space="preserve">Nacionālā kino </w:t>
            </w:r>
            <w:r w:rsidRPr="00201895">
              <w:rPr>
                <w:sz w:val="22"/>
                <w:szCs w:val="22"/>
                <w:lang w:eastAsia="en-US"/>
              </w:rPr>
              <w:t>centra vadītāja lēmums par līdzfinansējuma līguma noslēgšanu par projektu iesniegumu rezerves sarakstā iekļautā projekta līdzfinansēšanu projektu iesniegumu rezerves sarakstā noteiktajā secībā tiks pieņemts mēneša laikā pēc attiecīgā finansējuma pieejamības dienas. [..]”</w:t>
            </w:r>
          </w:p>
        </w:tc>
      </w:tr>
      <w:tr w:rsidRPr="00201895" w:rsidR="004B2D66" w:rsidTr="00F32285">
        <w:tc>
          <w:tcPr>
            <w:tcW w:w="188" w:type="pct"/>
            <w:tcBorders>
              <w:top w:val="single" w:color="000000" w:sz="6" w:space="0"/>
              <w:left w:val="single" w:color="000000" w:sz="6" w:space="0"/>
              <w:bottom w:val="single" w:color="auto" w:sz="4" w:space="0"/>
              <w:right w:val="single" w:color="000000" w:sz="6" w:space="0"/>
            </w:tcBorders>
          </w:tcPr>
          <w:p w:rsidRPr="00201895" w:rsidR="004B2D66" w:rsidP="00B67DAC" w:rsidRDefault="004B2D66">
            <w:pPr>
              <w:pStyle w:val="naisc"/>
              <w:spacing w:before="0" w:after="0"/>
              <w:rPr>
                <w:lang w:eastAsia="en-US"/>
              </w:rPr>
            </w:pPr>
            <w:r w:rsidRPr="00201895">
              <w:rPr>
                <w:sz w:val="22"/>
                <w:szCs w:val="22"/>
                <w:lang w:eastAsia="en-US"/>
              </w:rPr>
              <w:lastRenderedPageBreak/>
              <w:t>2.</w:t>
            </w:r>
          </w:p>
        </w:tc>
        <w:tc>
          <w:tcPr>
            <w:tcW w:w="1245" w:type="pct"/>
            <w:tcBorders>
              <w:top w:val="single" w:color="000000" w:sz="6" w:space="0"/>
              <w:left w:val="single" w:color="000000" w:sz="6" w:space="0"/>
              <w:bottom w:val="single" w:color="auto" w:sz="4" w:space="0"/>
              <w:right w:val="single" w:color="000000" w:sz="6" w:space="0"/>
            </w:tcBorders>
          </w:tcPr>
          <w:p w:rsidRPr="00201895" w:rsidR="004B2D66" w:rsidP="00B67DAC" w:rsidRDefault="004B2D66">
            <w:pPr>
              <w:pStyle w:val="naisc"/>
              <w:spacing w:before="0" w:after="0"/>
              <w:ind w:firstLine="12"/>
              <w:jc w:val="both"/>
              <w:rPr>
                <w:lang w:eastAsia="en-US"/>
              </w:rPr>
            </w:pPr>
            <w:r w:rsidRPr="00201895">
              <w:rPr>
                <w:sz w:val="22"/>
                <w:szCs w:val="22"/>
                <w:lang w:eastAsia="en-US"/>
              </w:rPr>
              <w:t>Ministru kabineta noteikumu projekta 4.punkts.</w:t>
            </w:r>
          </w:p>
          <w:p w:rsidRPr="00201895" w:rsidR="008F36F7" w:rsidP="00B67DAC" w:rsidRDefault="008F36F7">
            <w:pPr>
              <w:pStyle w:val="naisc"/>
              <w:spacing w:before="0" w:after="0"/>
              <w:ind w:firstLine="12"/>
              <w:jc w:val="both"/>
              <w:rPr>
                <w:lang w:eastAsia="en-US"/>
              </w:rPr>
            </w:pPr>
          </w:p>
          <w:p w:rsidRPr="00201895" w:rsidR="004B2D66" w:rsidP="00B67DAC" w:rsidRDefault="00CA00DC">
            <w:pPr>
              <w:pStyle w:val="naisc"/>
              <w:spacing w:before="0" w:after="0"/>
              <w:ind w:firstLine="12"/>
              <w:jc w:val="both"/>
              <w:rPr>
                <w:lang w:eastAsia="en-US"/>
              </w:rPr>
            </w:pPr>
            <w:r w:rsidRPr="00201895">
              <w:rPr>
                <w:sz w:val="22"/>
                <w:szCs w:val="22"/>
                <w:lang w:eastAsia="en-US"/>
              </w:rPr>
              <w:t>„</w:t>
            </w:r>
            <w:r w:rsidRPr="00201895" w:rsidR="00B67DAC">
              <w:rPr>
                <w:sz w:val="22"/>
                <w:szCs w:val="22"/>
                <w:lang w:eastAsia="en-US"/>
              </w:rPr>
              <w:t>4. </w:t>
            </w:r>
            <w:r w:rsidRPr="00201895" w:rsidR="004B2D66">
              <w:rPr>
                <w:sz w:val="22"/>
                <w:szCs w:val="22"/>
                <w:lang w:eastAsia="en-US"/>
              </w:rPr>
              <w:t>Izteikt 36.punktu šādā redakcijā:</w:t>
            </w:r>
          </w:p>
          <w:p w:rsidRPr="00201895" w:rsidR="004B2D66" w:rsidP="00B67DAC" w:rsidRDefault="004B2D66">
            <w:pPr>
              <w:pStyle w:val="naisc"/>
              <w:spacing w:before="0" w:after="0"/>
              <w:ind w:firstLine="12"/>
              <w:jc w:val="both"/>
              <w:rPr>
                <w:lang w:eastAsia="en-US"/>
              </w:rPr>
            </w:pPr>
            <w:r w:rsidRPr="00201895">
              <w:rPr>
                <w:sz w:val="22"/>
                <w:szCs w:val="22"/>
                <w:lang w:eastAsia="en-US"/>
              </w:rPr>
              <w:t xml:space="preserve">„36. Līdzfinansējuma apmērs ir 20 % no līdzfinansējuma līgumā norādīto attiecināmo izdevumu kopsummas. Pamatojoties uz projekta iesniedzēja prognozētajiem nodokļu ieņēmumiem valsts budžetā, gadījumos, ja tie pārsniedz 20 % no līdzfinansējuma līgumā norādīto attiecināmo izdevumu kopsummas, tad līdzfinansējuma apmēru var palielināt līdz 30 % no līdzfinansējuma līgumā norādīto </w:t>
            </w:r>
            <w:r w:rsidRPr="00201895">
              <w:rPr>
                <w:sz w:val="22"/>
                <w:szCs w:val="22"/>
                <w:lang w:eastAsia="en-US"/>
              </w:rPr>
              <w:lastRenderedPageBreak/>
              <w:t>attiecināmo izdevumu kopsummas, atbilstoši iesniedzēja prognozētajiem nodokļu ieņēmumiem valsts budžetā. Centra piešķirtais līdzfinansējums nevar pārsniegt konkursā prasīto līdzfinansējuma apmēru.”</w:t>
            </w:r>
            <w:r w:rsidRPr="00201895" w:rsidR="00CA00DC">
              <w:rPr>
                <w:sz w:val="22"/>
                <w:szCs w:val="22"/>
                <w:lang w:eastAsia="en-US"/>
              </w:rPr>
              <w:t>”</w:t>
            </w:r>
          </w:p>
        </w:tc>
        <w:tc>
          <w:tcPr>
            <w:tcW w:w="1239" w:type="pct"/>
            <w:tcBorders>
              <w:top w:val="single" w:color="000000" w:sz="6" w:space="0"/>
              <w:left w:val="single" w:color="000000" w:sz="6" w:space="0"/>
              <w:bottom w:val="single" w:color="auto" w:sz="4" w:space="0"/>
              <w:right w:val="single" w:color="000000" w:sz="6" w:space="0"/>
            </w:tcBorders>
          </w:tcPr>
          <w:p w:rsidRPr="00201895" w:rsidR="004B2D66" w:rsidP="00B67DAC" w:rsidRDefault="004B2D66">
            <w:pPr>
              <w:pStyle w:val="naisc"/>
              <w:spacing w:before="0" w:after="0"/>
              <w:ind w:right="31"/>
              <w:jc w:val="left"/>
              <w:rPr>
                <w:b/>
                <w:lang w:eastAsia="en-US"/>
              </w:rPr>
            </w:pPr>
            <w:r w:rsidRPr="00201895">
              <w:rPr>
                <w:b/>
                <w:sz w:val="22"/>
                <w:szCs w:val="22"/>
                <w:lang w:eastAsia="en-US"/>
              </w:rPr>
              <w:lastRenderedPageBreak/>
              <w:t>Tieslietu ministrija:</w:t>
            </w:r>
          </w:p>
          <w:p w:rsidRPr="00201895" w:rsidR="004B2D66" w:rsidP="00B67DAC" w:rsidRDefault="004B2D66">
            <w:pPr>
              <w:pStyle w:val="naisc"/>
              <w:spacing w:before="0" w:after="0"/>
              <w:ind w:right="31"/>
              <w:jc w:val="both"/>
              <w:rPr>
                <w:b/>
                <w:lang w:eastAsia="en-US"/>
              </w:rPr>
            </w:pPr>
            <w:r w:rsidRPr="00201895">
              <w:rPr>
                <w:rFonts w:eastAsia="Calibri"/>
                <w:sz w:val="22"/>
                <w:szCs w:val="22"/>
                <w:lang w:eastAsia="en-US"/>
              </w:rPr>
              <w:t>Lūdzam izvērtēt projekta 4. punktā izteiktā 36. punkta nosacījumu, proti, prasību projekta iesniedzējam prognozēt nodokļu ieņēmumus valsts budžetā, pamatotību un atbilstību spēkā esošo noteikumu prasībām. Vēršam uzmanību, ka projekta iesniedzējs atbilstoši spēkā esošo noteikumu 3. punktam ir komersants, tādēļ tam nevarētu noteikt pienākumu prognozēt nodokļu ieņēmumus valsts budžetā</w:t>
            </w:r>
            <w:r w:rsidRPr="00201895" w:rsidR="00CA1752">
              <w:rPr>
                <w:rFonts w:eastAsia="Calibri"/>
                <w:sz w:val="22"/>
                <w:szCs w:val="22"/>
                <w:lang w:eastAsia="en-US"/>
              </w:rPr>
              <w:t>.</w:t>
            </w:r>
          </w:p>
        </w:tc>
        <w:tc>
          <w:tcPr>
            <w:tcW w:w="1090" w:type="pct"/>
            <w:tcBorders>
              <w:top w:val="single" w:color="000000" w:sz="6" w:space="0"/>
              <w:left w:val="single" w:color="000000" w:sz="6" w:space="0"/>
              <w:bottom w:val="single" w:color="auto" w:sz="4" w:space="0"/>
              <w:right w:val="single" w:color="000000" w:sz="6" w:space="0"/>
            </w:tcBorders>
          </w:tcPr>
          <w:p w:rsidRPr="00201895" w:rsidR="004B2D66" w:rsidP="00B67DAC" w:rsidRDefault="004B2D66">
            <w:pPr>
              <w:pStyle w:val="naisc"/>
              <w:spacing w:before="0" w:after="0"/>
              <w:rPr>
                <w:b/>
                <w:lang w:eastAsia="en-US"/>
              </w:rPr>
            </w:pPr>
            <w:r w:rsidRPr="00201895">
              <w:rPr>
                <w:b/>
                <w:sz w:val="22"/>
                <w:szCs w:val="22"/>
                <w:lang w:eastAsia="en-US"/>
              </w:rPr>
              <w:t>Ņemts vērā</w:t>
            </w:r>
          </w:p>
        </w:tc>
        <w:tc>
          <w:tcPr>
            <w:tcW w:w="1238" w:type="pct"/>
            <w:tcBorders>
              <w:top w:val="single" w:color="auto" w:sz="4" w:space="0"/>
              <w:left w:val="single" w:color="auto" w:sz="4" w:space="0"/>
              <w:bottom w:val="single" w:color="auto" w:sz="4" w:space="0"/>
              <w:right w:val="single" w:color="auto" w:sz="4" w:space="0"/>
            </w:tcBorders>
          </w:tcPr>
          <w:p w:rsidRPr="00201895" w:rsidR="004B2D66" w:rsidP="00B67DAC" w:rsidRDefault="004B2D66">
            <w:pPr>
              <w:jc w:val="both"/>
              <w:rPr>
                <w:lang w:eastAsia="en-US"/>
              </w:rPr>
            </w:pPr>
            <w:r w:rsidRPr="00201895">
              <w:rPr>
                <w:sz w:val="22"/>
                <w:szCs w:val="22"/>
                <w:lang w:eastAsia="en-US"/>
              </w:rPr>
              <w:t>Precizēts Minis</w:t>
            </w:r>
            <w:r w:rsidRPr="00201895" w:rsidR="005638AA">
              <w:rPr>
                <w:sz w:val="22"/>
                <w:szCs w:val="22"/>
                <w:lang w:eastAsia="en-US"/>
              </w:rPr>
              <w:t>tru kabineta noteikumu projekta</w:t>
            </w:r>
            <w:r w:rsidRPr="00201895">
              <w:rPr>
                <w:sz w:val="22"/>
                <w:szCs w:val="22"/>
                <w:lang w:eastAsia="en-US"/>
              </w:rPr>
              <w:t xml:space="preserve"> 4.punktu šādā redakcijā:</w:t>
            </w:r>
          </w:p>
          <w:p w:rsidRPr="00201895" w:rsidR="002401C5" w:rsidP="00B67DAC" w:rsidRDefault="002401C5">
            <w:pPr>
              <w:jc w:val="both"/>
              <w:rPr>
                <w:lang w:eastAsia="en-US"/>
              </w:rPr>
            </w:pPr>
          </w:p>
          <w:p w:rsidRPr="00201895" w:rsidR="004B2D66" w:rsidP="00B67DAC" w:rsidRDefault="00B67DAC">
            <w:pPr>
              <w:jc w:val="both"/>
              <w:rPr>
                <w:lang w:eastAsia="en-US"/>
              </w:rPr>
            </w:pPr>
            <w:r w:rsidRPr="00201895">
              <w:rPr>
                <w:sz w:val="22"/>
                <w:szCs w:val="22"/>
                <w:lang w:eastAsia="en-US"/>
              </w:rPr>
              <w:t>„</w:t>
            </w:r>
            <w:r w:rsidRPr="00201895" w:rsidR="004B2D66">
              <w:rPr>
                <w:sz w:val="22"/>
                <w:szCs w:val="22"/>
                <w:lang w:eastAsia="en-US"/>
              </w:rPr>
              <w:t>4.</w:t>
            </w:r>
            <w:r w:rsidRPr="00201895">
              <w:rPr>
                <w:sz w:val="22"/>
                <w:szCs w:val="22"/>
                <w:lang w:eastAsia="en-US"/>
              </w:rPr>
              <w:t> </w:t>
            </w:r>
            <w:r w:rsidRPr="00201895" w:rsidR="004B2D66">
              <w:rPr>
                <w:sz w:val="22"/>
                <w:szCs w:val="22"/>
                <w:lang w:eastAsia="en-US"/>
              </w:rPr>
              <w:t>Izteikt 36.punktu šādā redakcijā:</w:t>
            </w:r>
          </w:p>
          <w:p w:rsidRPr="00201895" w:rsidR="004B2D66" w:rsidP="00B67DAC" w:rsidRDefault="004B2D66">
            <w:pPr>
              <w:jc w:val="both"/>
              <w:rPr>
                <w:lang w:eastAsia="en-US"/>
              </w:rPr>
            </w:pPr>
            <w:r w:rsidRPr="00201895">
              <w:rPr>
                <w:sz w:val="22"/>
                <w:szCs w:val="22"/>
                <w:lang w:eastAsia="en-US"/>
              </w:rPr>
              <w:t xml:space="preserve">„36. Līdzfinansējuma apmērs ir 20 % no līdzfinansējuma līgumā norādīto attiecināmo izdevumu kopsummas. Projektiem, kuru īstenošanas rezultātā tiek prognozēts nodokļu ieņēmumu palielinājums valsts budžetā virs 20% no līdzfinansējuma līgumā norādīto attiecināmo izdevumu kopsummas un projekta iesniedzējs iesniegtajā projektā to ir pamatojis un uzrādījis, tad </w:t>
            </w:r>
            <w:r w:rsidRPr="00201895">
              <w:rPr>
                <w:sz w:val="22"/>
                <w:szCs w:val="22"/>
                <w:lang w:eastAsia="en-US"/>
              </w:rPr>
              <w:lastRenderedPageBreak/>
              <w:t>līdzfinansējuma apmēru var palielināt līdz 30% no līdzfinansējuma līgumā norādīto attiecināmo izdevumu kopsummas, atbilstoši prognozētajam nodokļu ieņēmumu palielinājumam valsts budžetā. Centra piešķirtais līdzfinansējums nevar pārsniegt konkursā prasīto līdzfinansējuma apmēru.”.”</w:t>
            </w:r>
          </w:p>
        </w:tc>
      </w:tr>
      <w:tr w:rsidRPr="00201895" w:rsidR="004B2D66" w:rsidTr="00F32285">
        <w:tc>
          <w:tcPr>
            <w:tcW w:w="188" w:type="pct"/>
            <w:tcBorders>
              <w:top w:val="single" w:color="000000" w:sz="6" w:space="0"/>
              <w:left w:val="single" w:color="000000" w:sz="6" w:space="0"/>
              <w:bottom w:val="single" w:color="auto" w:sz="4" w:space="0"/>
              <w:right w:val="single" w:color="000000" w:sz="6" w:space="0"/>
            </w:tcBorders>
          </w:tcPr>
          <w:p w:rsidRPr="00201895" w:rsidR="004B2D66" w:rsidP="00B67DAC" w:rsidRDefault="004B2D66">
            <w:pPr>
              <w:pStyle w:val="naisc"/>
              <w:spacing w:before="0" w:after="0"/>
              <w:rPr>
                <w:lang w:eastAsia="en-US"/>
              </w:rPr>
            </w:pPr>
            <w:r w:rsidRPr="00201895">
              <w:rPr>
                <w:sz w:val="22"/>
                <w:szCs w:val="22"/>
                <w:lang w:eastAsia="en-US"/>
              </w:rPr>
              <w:lastRenderedPageBreak/>
              <w:t>3.</w:t>
            </w:r>
          </w:p>
        </w:tc>
        <w:tc>
          <w:tcPr>
            <w:tcW w:w="1245" w:type="pct"/>
            <w:tcBorders>
              <w:top w:val="single" w:color="000000" w:sz="6" w:space="0"/>
              <w:left w:val="single" w:color="000000" w:sz="6" w:space="0"/>
              <w:bottom w:val="single" w:color="auto" w:sz="4" w:space="0"/>
              <w:right w:val="single" w:color="000000" w:sz="6" w:space="0"/>
            </w:tcBorders>
          </w:tcPr>
          <w:p w:rsidRPr="00201895" w:rsidR="004B2D66" w:rsidP="00B67DAC" w:rsidRDefault="004B2D66">
            <w:pPr>
              <w:pStyle w:val="naisc"/>
              <w:spacing w:before="0" w:after="0"/>
              <w:ind w:firstLine="12"/>
              <w:jc w:val="both"/>
              <w:rPr>
                <w:lang w:eastAsia="en-US"/>
              </w:rPr>
            </w:pPr>
            <w:r w:rsidRPr="00201895">
              <w:rPr>
                <w:sz w:val="22"/>
                <w:szCs w:val="22"/>
                <w:lang w:eastAsia="en-US"/>
              </w:rPr>
              <w:t>Ministru kabineta noteikumu projekta 5.punkts.</w:t>
            </w:r>
          </w:p>
          <w:p w:rsidRPr="00201895" w:rsidR="004B2D66" w:rsidP="00B67DAC" w:rsidRDefault="004B2D66">
            <w:pPr>
              <w:pStyle w:val="naisc"/>
              <w:spacing w:before="0" w:after="0"/>
              <w:ind w:firstLine="12"/>
              <w:jc w:val="both"/>
              <w:rPr>
                <w:lang w:eastAsia="en-US"/>
              </w:rPr>
            </w:pPr>
          </w:p>
          <w:p w:rsidRPr="00201895" w:rsidR="00B67DAC" w:rsidP="00B67DAC" w:rsidRDefault="00CA00DC">
            <w:pPr>
              <w:pStyle w:val="naisc"/>
              <w:spacing w:before="0" w:after="0"/>
              <w:ind w:firstLine="12"/>
              <w:jc w:val="both"/>
              <w:rPr>
                <w:lang w:eastAsia="en-US"/>
              </w:rPr>
            </w:pPr>
            <w:r w:rsidRPr="00201895">
              <w:rPr>
                <w:sz w:val="22"/>
                <w:szCs w:val="22"/>
                <w:lang w:eastAsia="en-US"/>
              </w:rPr>
              <w:t>„</w:t>
            </w:r>
            <w:r w:rsidRPr="00201895" w:rsidR="00B67DAC">
              <w:rPr>
                <w:sz w:val="22"/>
                <w:szCs w:val="22"/>
                <w:lang w:eastAsia="en-US"/>
              </w:rPr>
              <w:t>5. Papildināt noteikumus ar 39.</w:t>
            </w:r>
            <w:r w:rsidRPr="00201895" w:rsidR="00B67DAC">
              <w:rPr>
                <w:sz w:val="22"/>
                <w:szCs w:val="22"/>
                <w:vertAlign w:val="superscript"/>
                <w:lang w:eastAsia="en-US"/>
              </w:rPr>
              <w:t>1 </w:t>
            </w:r>
            <w:r w:rsidRPr="00201895" w:rsidR="00B67DAC">
              <w:rPr>
                <w:sz w:val="22"/>
                <w:szCs w:val="22"/>
                <w:lang w:eastAsia="en-US"/>
              </w:rPr>
              <w:t>punktu šādā redakcijā:</w:t>
            </w:r>
          </w:p>
          <w:p w:rsidRPr="00201895" w:rsidR="004B2D66" w:rsidP="00B67DAC" w:rsidRDefault="004B2D66">
            <w:pPr>
              <w:pStyle w:val="naisc"/>
              <w:spacing w:before="0" w:after="0"/>
              <w:ind w:firstLine="12"/>
              <w:jc w:val="both"/>
              <w:rPr>
                <w:lang w:eastAsia="en-US"/>
              </w:rPr>
            </w:pPr>
            <w:r w:rsidRPr="00201895">
              <w:rPr>
                <w:sz w:val="22"/>
                <w:szCs w:val="22"/>
                <w:lang w:eastAsia="en-US"/>
              </w:rPr>
              <w:t>„39.</w:t>
            </w:r>
            <w:r w:rsidRPr="00201895">
              <w:rPr>
                <w:sz w:val="22"/>
                <w:szCs w:val="22"/>
                <w:vertAlign w:val="superscript"/>
                <w:lang w:eastAsia="en-US"/>
              </w:rPr>
              <w:t>1</w:t>
            </w:r>
            <w:r w:rsidRPr="00201895" w:rsidR="00B67DAC">
              <w:rPr>
                <w:sz w:val="22"/>
                <w:szCs w:val="22"/>
                <w:lang w:eastAsia="en-US"/>
              </w:rPr>
              <w:t> </w:t>
            </w:r>
            <w:r w:rsidRPr="00201895">
              <w:rPr>
                <w:sz w:val="22"/>
                <w:szCs w:val="22"/>
                <w:lang w:eastAsia="en-US"/>
              </w:rPr>
              <w:t xml:space="preserve">Ja centrs konstatē, ka komercdarbības atbalsts ir piešķirts, pārkāpjot Komisijas regulas Nr.651/2014 prasības, līdzfinansējuma saņēmējam ir pienākums iemaksāt centram visu šo noteikumu ietvaros saņemto komercdarbības atbalstu kopā ar procentiem, ko publicē Eiropas Komisija saskaņā ar Komisijas 2004.gada 21.aprīļa regulas (EK) Nr.794/2004, ar ko īsteno Padomes Regulu (ES) 2015/1589, ar ko nosaka sīki izstrādātus noteikumus Līguma par Eiropas Savienības darbību 108.panta piemērošanai, 10.pantu, tiem pieskaitot 100 bāzes punktus, no dienas, kad komercdarbības atbalsts tika nodots līdzfinansējuma saņēmēja rīcībā līdz tā atgūšanas dienai, ievērojot Komisijas 2004.gada </w:t>
            </w:r>
            <w:r w:rsidRPr="00201895">
              <w:rPr>
                <w:sz w:val="22"/>
                <w:szCs w:val="22"/>
                <w:lang w:eastAsia="en-US"/>
              </w:rPr>
              <w:lastRenderedPageBreak/>
              <w:t>21.aprīļa regulas (EK) Nr.794/2004, ar ko īsteno Padomes Regulu (ES) 2015/1589, ar ko nosaka sīki izstrādātus noteikumus Līguma par Eiropas Savienības darbību 108.panta piemērošanai, 11.pantā noteikto procentu likmes piemērošanas metodi. Par šajā punktā noteiktā pienākuma izpildes nodrošināšanu ir atbildīgs līdzfinansējuma saņēmējs.”</w:t>
            </w:r>
          </w:p>
        </w:tc>
        <w:tc>
          <w:tcPr>
            <w:tcW w:w="1239" w:type="pct"/>
            <w:tcBorders>
              <w:top w:val="single" w:color="000000" w:sz="6" w:space="0"/>
              <w:left w:val="single" w:color="000000" w:sz="6" w:space="0"/>
              <w:bottom w:val="single" w:color="auto" w:sz="4" w:space="0"/>
              <w:right w:val="single" w:color="000000" w:sz="6" w:space="0"/>
            </w:tcBorders>
          </w:tcPr>
          <w:p w:rsidRPr="00201895" w:rsidR="004B2D66" w:rsidP="00B67DAC" w:rsidRDefault="004B2D66">
            <w:pPr>
              <w:pStyle w:val="naisc"/>
              <w:spacing w:before="0" w:after="0"/>
              <w:ind w:right="31"/>
              <w:jc w:val="left"/>
              <w:rPr>
                <w:b/>
                <w:lang w:eastAsia="en-US"/>
              </w:rPr>
            </w:pPr>
            <w:r w:rsidRPr="00201895">
              <w:rPr>
                <w:b/>
                <w:sz w:val="22"/>
                <w:szCs w:val="22"/>
                <w:lang w:eastAsia="en-US"/>
              </w:rPr>
              <w:lastRenderedPageBreak/>
              <w:t>Tieslietu ministrija:</w:t>
            </w:r>
          </w:p>
          <w:p w:rsidRPr="00201895" w:rsidR="004B2D66" w:rsidP="00B67DAC" w:rsidRDefault="004B2D66">
            <w:pPr>
              <w:pStyle w:val="naisc"/>
              <w:spacing w:before="0" w:after="0"/>
              <w:ind w:right="31"/>
              <w:jc w:val="both"/>
              <w:rPr>
                <w:lang w:eastAsia="en-US"/>
              </w:rPr>
            </w:pPr>
            <w:r w:rsidRPr="00201895">
              <w:rPr>
                <w:sz w:val="22"/>
                <w:szCs w:val="22"/>
                <w:lang w:eastAsia="en-US"/>
              </w:rPr>
              <w:t xml:space="preserve">Lūdzam projekta anotācijas I sadaļas 2. punktā </w:t>
            </w:r>
            <w:proofErr w:type="spellStart"/>
            <w:r w:rsidRPr="00201895">
              <w:rPr>
                <w:sz w:val="22"/>
                <w:szCs w:val="22"/>
                <w:lang w:eastAsia="en-US"/>
              </w:rPr>
              <w:t>izvērstāk</w:t>
            </w:r>
            <w:proofErr w:type="spellEnd"/>
            <w:r w:rsidRPr="00201895">
              <w:rPr>
                <w:sz w:val="22"/>
                <w:szCs w:val="22"/>
                <w:lang w:eastAsia="en-US"/>
              </w:rPr>
              <w:t xml:space="preserve"> skaidrot projekta 5. punktā izteiktā 39.</w:t>
            </w:r>
            <w:r w:rsidRPr="00201895">
              <w:rPr>
                <w:sz w:val="22"/>
                <w:szCs w:val="22"/>
                <w:vertAlign w:val="superscript"/>
                <w:lang w:eastAsia="en-US"/>
              </w:rPr>
              <w:t>1</w:t>
            </w:r>
            <w:r w:rsidRPr="00201895">
              <w:rPr>
                <w:sz w:val="22"/>
                <w:szCs w:val="22"/>
                <w:lang w:eastAsia="en-US"/>
              </w:rPr>
              <w:t xml:space="preserve"> punkta nepieciešamību un pamatotību, vienlaikus arī </w:t>
            </w:r>
            <w:proofErr w:type="spellStart"/>
            <w:r w:rsidRPr="00201895">
              <w:rPr>
                <w:sz w:val="22"/>
                <w:szCs w:val="22"/>
                <w:lang w:eastAsia="en-US"/>
              </w:rPr>
              <w:t>izvērstāk</w:t>
            </w:r>
            <w:proofErr w:type="spellEnd"/>
            <w:r w:rsidRPr="00201895">
              <w:rPr>
                <w:sz w:val="22"/>
                <w:szCs w:val="22"/>
                <w:lang w:eastAsia="en-US"/>
              </w:rPr>
              <w:t xml:space="preserve"> skaidrojot anotācijā minētās Eiropas Savienības Tiesas sprieduma būtību un saistību ar projekta 5. punktā izteikto grozījumu</w:t>
            </w:r>
            <w:r w:rsidRPr="00201895" w:rsidR="00A87C17">
              <w:rPr>
                <w:sz w:val="22"/>
                <w:szCs w:val="22"/>
                <w:lang w:eastAsia="en-US"/>
              </w:rPr>
              <w:t>.</w:t>
            </w:r>
          </w:p>
        </w:tc>
        <w:tc>
          <w:tcPr>
            <w:tcW w:w="1090" w:type="pct"/>
            <w:tcBorders>
              <w:top w:val="single" w:color="000000" w:sz="6" w:space="0"/>
              <w:left w:val="single" w:color="000000" w:sz="6" w:space="0"/>
              <w:bottom w:val="single" w:color="auto" w:sz="4" w:space="0"/>
              <w:right w:val="single" w:color="000000" w:sz="6" w:space="0"/>
            </w:tcBorders>
          </w:tcPr>
          <w:p w:rsidRPr="00201895" w:rsidR="004B2D66" w:rsidP="00B67DAC" w:rsidRDefault="004B2D66">
            <w:pPr>
              <w:pStyle w:val="naisc"/>
              <w:spacing w:before="0" w:after="0"/>
              <w:rPr>
                <w:b/>
                <w:lang w:eastAsia="en-US"/>
              </w:rPr>
            </w:pPr>
            <w:r w:rsidRPr="00201895">
              <w:rPr>
                <w:b/>
                <w:sz w:val="22"/>
                <w:szCs w:val="22"/>
                <w:lang w:eastAsia="en-US"/>
              </w:rPr>
              <w:t>Ņemts vērā</w:t>
            </w:r>
          </w:p>
        </w:tc>
        <w:tc>
          <w:tcPr>
            <w:tcW w:w="1238" w:type="pct"/>
            <w:tcBorders>
              <w:top w:val="single" w:color="auto" w:sz="4" w:space="0"/>
              <w:left w:val="single" w:color="auto" w:sz="4" w:space="0"/>
              <w:bottom w:val="single" w:color="auto" w:sz="4" w:space="0"/>
              <w:right w:val="single" w:color="auto" w:sz="4" w:space="0"/>
            </w:tcBorders>
          </w:tcPr>
          <w:p w:rsidRPr="00201895" w:rsidR="004B2D66" w:rsidP="0030745F" w:rsidRDefault="0030745F">
            <w:pPr>
              <w:jc w:val="both"/>
              <w:rPr>
                <w:lang w:eastAsia="en-US"/>
              </w:rPr>
            </w:pPr>
            <w:r w:rsidRPr="00201895">
              <w:rPr>
                <w:sz w:val="22"/>
                <w:szCs w:val="22"/>
                <w:lang w:eastAsia="en-US"/>
              </w:rPr>
              <w:t>Precizēts</w:t>
            </w:r>
            <w:r w:rsidRPr="00201895" w:rsidR="004B2D66">
              <w:rPr>
                <w:sz w:val="22"/>
                <w:szCs w:val="22"/>
                <w:lang w:eastAsia="en-US"/>
              </w:rPr>
              <w:t xml:space="preserve"> Ministru kabineta noteikumu projekta sākotnējās ietekmes novērtējuma ziņojuma (anotācijas) I sadaļas 2.punkts </w:t>
            </w:r>
            <w:r w:rsidRPr="00201895">
              <w:rPr>
                <w:sz w:val="22"/>
                <w:szCs w:val="22"/>
                <w:lang w:eastAsia="en-US"/>
              </w:rPr>
              <w:t>šādā redakcijā:</w:t>
            </w:r>
          </w:p>
          <w:p w:rsidRPr="00201895" w:rsidR="0030745F" w:rsidP="0030745F" w:rsidRDefault="0030745F">
            <w:pPr>
              <w:jc w:val="both"/>
              <w:rPr>
                <w:lang w:eastAsia="en-US"/>
              </w:rPr>
            </w:pPr>
          </w:p>
          <w:p w:rsidRPr="00201895" w:rsidR="0030745F" w:rsidP="00995199" w:rsidRDefault="00995199">
            <w:pPr>
              <w:jc w:val="both"/>
              <w:rPr>
                <w:lang w:eastAsia="en-US"/>
              </w:rPr>
            </w:pPr>
            <w:r w:rsidRPr="00201895">
              <w:rPr>
                <w:sz w:val="22"/>
                <w:szCs w:val="22"/>
                <w:lang w:eastAsia="en-US"/>
              </w:rPr>
              <w:t>„[..]</w:t>
            </w:r>
            <w:r w:rsidRPr="00201895" w:rsidR="00453AF9">
              <w:rPr>
                <w:sz w:val="22"/>
                <w:szCs w:val="22"/>
                <w:lang w:eastAsia="en-US"/>
              </w:rPr>
              <w:t> </w:t>
            </w:r>
            <w:r w:rsidRPr="00201895" w:rsidR="00A669D8">
              <w:rPr>
                <w:sz w:val="22"/>
                <w:szCs w:val="22"/>
                <w:lang w:eastAsia="en-US"/>
              </w:rPr>
              <w:t>Projekta 5.punkts paredz MK</w:t>
            </w:r>
            <w:r w:rsidRPr="00201895">
              <w:rPr>
                <w:sz w:val="22"/>
                <w:szCs w:val="22"/>
                <w:lang w:eastAsia="en-US"/>
              </w:rPr>
              <w:t> </w:t>
            </w:r>
            <w:r w:rsidRPr="00201895" w:rsidR="00A669D8">
              <w:rPr>
                <w:sz w:val="22"/>
                <w:szCs w:val="22"/>
                <w:lang w:eastAsia="en-US"/>
              </w:rPr>
              <w:t>noteikumus Nr.163 papildināt ar 39.</w:t>
            </w:r>
            <w:r w:rsidRPr="00201895" w:rsidR="00A669D8">
              <w:rPr>
                <w:sz w:val="22"/>
                <w:szCs w:val="22"/>
                <w:vertAlign w:val="superscript"/>
                <w:lang w:eastAsia="en-US"/>
              </w:rPr>
              <w:t>1</w:t>
            </w:r>
            <w:r w:rsidRPr="00201895">
              <w:rPr>
                <w:sz w:val="22"/>
                <w:szCs w:val="22"/>
                <w:lang w:eastAsia="en-US"/>
              </w:rPr>
              <w:t> </w:t>
            </w:r>
            <w:r w:rsidRPr="00201895" w:rsidR="00A669D8">
              <w:rPr>
                <w:sz w:val="22"/>
                <w:szCs w:val="22"/>
                <w:lang w:eastAsia="en-US"/>
              </w:rPr>
              <w:t>punktu, kas paredz kārtību komercdarbības atbalsta atgūšanas procesam kopā ar procentiem, ja komercdarbības atbalsta saņēmējs ir pārkāpis Komisijas regulas Nr.651/2014 prasības, kā to paredz aktuālā Eiropas Savienības tiesas judikatūra (Eiropas Savienības tiesas 2019.gada 5.ma</w:t>
            </w:r>
            <w:r w:rsidRPr="00201895">
              <w:rPr>
                <w:sz w:val="22"/>
                <w:szCs w:val="22"/>
                <w:lang w:eastAsia="en-US"/>
              </w:rPr>
              <w:t xml:space="preserve">rta spriedums lietā </w:t>
            </w:r>
            <w:proofErr w:type="spellStart"/>
            <w:r w:rsidRPr="00201895">
              <w:rPr>
                <w:sz w:val="22"/>
                <w:szCs w:val="22"/>
                <w:lang w:eastAsia="en-US"/>
              </w:rPr>
              <w:t>Nr.C-349</w:t>
            </w:r>
            <w:proofErr w:type="spellEnd"/>
            <w:r w:rsidRPr="00201895">
              <w:rPr>
                <w:sz w:val="22"/>
                <w:szCs w:val="22"/>
                <w:lang w:eastAsia="en-US"/>
              </w:rPr>
              <w:t>/1</w:t>
            </w:r>
            <w:r w:rsidRPr="00201895" w:rsidR="00CA00DC">
              <w:rPr>
                <w:sz w:val="22"/>
                <w:szCs w:val="22"/>
                <w:lang w:eastAsia="en-US"/>
              </w:rPr>
              <w:t xml:space="preserve">7 </w:t>
            </w:r>
            <w:r w:rsidRPr="00201895" w:rsidR="00A669D8">
              <w:rPr>
                <w:sz w:val="22"/>
                <w:szCs w:val="22"/>
                <w:lang w:eastAsia="en-US"/>
              </w:rPr>
              <w:t xml:space="preserve">(ECLI:EU:C:2019:172)). No minētā Eiropas Savienības tiesas sprieduma galvenokārt izriet, ka arī gadījumos, kad Eiropas Komisija nav pieņēmusi lēmumu par komercdarbības atbalsta atgūšanu par dalībvalsts iestādes (atbalsta sniedzēja) piešķirto komercdarbības atbalstu, kas tika </w:t>
            </w:r>
            <w:r w:rsidRPr="00201895" w:rsidR="00A669D8">
              <w:rPr>
                <w:sz w:val="22"/>
                <w:szCs w:val="22"/>
                <w:lang w:eastAsia="en-US"/>
              </w:rPr>
              <w:lastRenderedPageBreak/>
              <w:t>piešķirts, neievērojot Līguma par Eiropas Savienības darbību 108.panta 3.punktā noteikto paziņošanas pienākumu, un kuru piešķirot netika izpildīti komercdarbības atbalsta regulējuma (tai skaitā, Komisijas regulas Nr.651/2014) nosacījumi, dalībvalsts iestādei (atbalsta sniedzējam) ir pienākums pašai pēc savas iniciatīvas atgūt šādu komercdarbības atbalstu. Projektā 5.punktā ietvertais regulējums nepieciešams, lai būtu skaidri noteikts, kā rīkoties situācijā, ja līdzfinansējuma saņēmējs ir nelikumīgi ieguvis finansējumu.</w:t>
            </w:r>
            <w:r w:rsidRPr="00201895">
              <w:rPr>
                <w:sz w:val="22"/>
                <w:szCs w:val="22"/>
                <w:lang w:eastAsia="en-US"/>
              </w:rPr>
              <w:t>”</w:t>
            </w:r>
          </w:p>
        </w:tc>
      </w:tr>
      <w:tr w:rsidRPr="00201895" w:rsidR="00F92A23" w:rsidTr="004C406A">
        <w:tc>
          <w:tcPr>
            <w:tcW w:w="188" w:type="pct"/>
            <w:tcBorders>
              <w:top w:val="single" w:color="000000" w:sz="6" w:space="0"/>
              <w:left w:val="single" w:color="000000" w:sz="6" w:space="0"/>
              <w:bottom w:val="single" w:color="auto" w:sz="4" w:space="0"/>
              <w:right w:val="single" w:color="000000" w:sz="6" w:space="0"/>
            </w:tcBorders>
          </w:tcPr>
          <w:p w:rsidRPr="00201895" w:rsidR="001637D3" w:rsidP="00435B39" w:rsidRDefault="00435B39">
            <w:pPr>
              <w:pStyle w:val="naisc"/>
              <w:spacing w:before="0" w:after="0"/>
              <w:rPr>
                <w:lang w:eastAsia="en-US"/>
              </w:rPr>
            </w:pPr>
            <w:r w:rsidRPr="00201895">
              <w:rPr>
                <w:sz w:val="22"/>
                <w:szCs w:val="22"/>
                <w:lang w:eastAsia="en-US"/>
              </w:rPr>
              <w:lastRenderedPageBreak/>
              <w:t>4</w:t>
            </w:r>
            <w:r w:rsidRPr="00201895" w:rsidR="001637D3">
              <w:rPr>
                <w:sz w:val="22"/>
                <w:szCs w:val="22"/>
                <w:lang w:eastAsia="en-US"/>
              </w:rPr>
              <w:t>.</w:t>
            </w:r>
          </w:p>
        </w:tc>
        <w:tc>
          <w:tcPr>
            <w:tcW w:w="1245" w:type="pct"/>
            <w:tcBorders>
              <w:top w:val="single" w:color="000000" w:sz="6" w:space="0"/>
              <w:left w:val="single" w:color="000000" w:sz="6" w:space="0"/>
              <w:bottom w:val="single" w:color="auto" w:sz="4" w:space="0"/>
              <w:right w:val="single" w:color="000000" w:sz="6" w:space="0"/>
            </w:tcBorders>
          </w:tcPr>
          <w:p w:rsidRPr="00201895" w:rsidR="001637D3" w:rsidP="00435B39" w:rsidRDefault="00F67BC5">
            <w:pPr>
              <w:pStyle w:val="naisc"/>
              <w:spacing w:before="0" w:after="0"/>
              <w:ind w:firstLine="12"/>
              <w:jc w:val="both"/>
              <w:rPr>
                <w:lang w:eastAsia="en-US"/>
              </w:rPr>
            </w:pPr>
            <w:r w:rsidRPr="00201895">
              <w:rPr>
                <w:sz w:val="22"/>
                <w:szCs w:val="22"/>
                <w:lang w:eastAsia="en-US"/>
              </w:rPr>
              <w:t>Ministru kabineta noteikumu projekta sākotnējās ietekmes novērtējuma ziņojuma (anotācijas) I sadaļas 2.punkts</w:t>
            </w:r>
            <w:r w:rsidRPr="00201895" w:rsidR="008531D7">
              <w:rPr>
                <w:sz w:val="22"/>
                <w:szCs w:val="22"/>
                <w:lang w:eastAsia="en-US"/>
              </w:rPr>
              <w:t>.</w:t>
            </w:r>
          </w:p>
        </w:tc>
        <w:tc>
          <w:tcPr>
            <w:tcW w:w="1239" w:type="pct"/>
            <w:tcBorders>
              <w:top w:val="single" w:color="000000" w:sz="6" w:space="0"/>
              <w:left w:val="single" w:color="000000" w:sz="6" w:space="0"/>
              <w:bottom w:val="single" w:color="auto" w:sz="4" w:space="0"/>
              <w:right w:val="single" w:color="000000" w:sz="6" w:space="0"/>
            </w:tcBorders>
          </w:tcPr>
          <w:p w:rsidRPr="00201895" w:rsidR="001637D3" w:rsidP="00435B39" w:rsidRDefault="001637D3">
            <w:pPr>
              <w:pStyle w:val="naisc"/>
              <w:spacing w:before="0" w:after="0"/>
              <w:ind w:right="31"/>
              <w:jc w:val="left"/>
              <w:rPr>
                <w:b/>
                <w:lang w:eastAsia="en-US"/>
              </w:rPr>
            </w:pPr>
            <w:r w:rsidRPr="00201895">
              <w:rPr>
                <w:b/>
                <w:sz w:val="22"/>
                <w:szCs w:val="22"/>
                <w:lang w:eastAsia="en-US"/>
              </w:rPr>
              <w:t>Tieslietu ministrija:</w:t>
            </w:r>
          </w:p>
          <w:p w:rsidRPr="00201895" w:rsidR="00435B39" w:rsidP="00435B39" w:rsidRDefault="00435B39">
            <w:pPr>
              <w:jc w:val="both"/>
            </w:pPr>
            <w:r w:rsidRPr="00201895">
              <w:rPr>
                <w:sz w:val="22"/>
                <w:szCs w:val="22"/>
              </w:rPr>
              <w:t>Lūdzam skaidrot projekta 4. punktā izteiktajā 36. punktā norādi "</w:t>
            </w:r>
            <w:r w:rsidRPr="00201895">
              <w:rPr>
                <w:sz w:val="22"/>
                <w:szCs w:val="22"/>
                <w:u w:val="single"/>
              </w:rPr>
              <w:t>un projekta iesniedzējs iesniegtajā projektā to ir pamatojis un uzrādījis</w:t>
            </w:r>
            <w:r w:rsidRPr="00201895">
              <w:rPr>
                <w:sz w:val="22"/>
                <w:szCs w:val="22"/>
              </w:rPr>
              <w:t>", skaidrojot šīs norādes saturu un pamatojot šādas norādes nepieciešamību, ņemot vērā, ka uz projekta iesniedzēju nevarētu attiecināt pienākumu prognozēt nodokļu ieņēmumu palielinājumu valsts budžetā.</w:t>
            </w:r>
          </w:p>
          <w:p w:rsidRPr="00201895" w:rsidR="001637D3" w:rsidP="00435B39" w:rsidRDefault="00435B39">
            <w:pPr>
              <w:jc w:val="both"/>
              <w:rPr>
                <w:lang w:eastAsia="en-US"/>
              </w:rPr>
            </w:pPr>
            <w:r w:rsidRPr="00201895">
              <w:rPr>
                <w:sz w:val="22"/>
                <w:szCs w:val="22"/>
              </w:rPr>
              <w:t xml:space="preserve">Projekta anotācijas I sadaļas 2.punktā arī cita starpā norādīts: "Projekta iesniedzējs, iesniedzot projektu, </w:t>
            </w:r>
            <w:r w:rsidRPr="00201895">
              <w:rPr>
                <w:sz w:val="22"/>
                <w:szCs w:val="22"/>
                <w:u w:val="single"/>
              </w:rPr>
              <w:t>norāda, kāds būs prognozējamais nodokļu ieņēmumu palielinājums,</w:t>
            </w:r>
            <w:r w:rsidRPr="00201895">
              <w:rPr>
                <w:sz w:val="22"/>
                <w:szCs w:val="22"/>
              </w:rPr>
              <w:t xml:space="preserve"> attiecīgi norādot nepieciešamo līdzfinansējuma summu, uz kuru </w:t>
            </w:r>
            <w:r w:rsidRPr="00201895">
              <w:rPr>
                <w:sz w:val="22"/>
                <w:szCs w:val="22"/>
              </w:rPr>
              <w:lastRenderedPageBreak/>
              <w:t>pretendē no Nacionālā kino centra." Lūdzam atkāroti izvērtēt šādas norādes atbilstību projektā paredzētajam, kā arī šādas norādes pamatojumu un nepieciešamību, skaidrojot arī, vai projekta iesniedzējam ir tiesisks pienākums un nepieciešamā kvalifikācija norādīt, kāds būs prognozējamais nodokļu ieņēmumu palielinājums.</w:t>
            </w:r>
          </w:p>
        </w:tc>
        <w:tc>
          <w:tcPr>
            <w:tcW w:w="1090" w:type="pct"/>
            <w:tcBorders>
              <w:top w:val="single" w:color="000000" w:sz="6" w:space="0"/>
              <w:left w:val="single" w:color="000000" w:sz="6" w:space="0"/>
              <w:bottom w:val="single" w:color="auto" w:sz="4" w:space="0"/>
              <w:right w:val="single" w:color="000000" w:sz="6" w:space="0"/>
            </w:tcBorders>
          </w:tcPr>
          <w:p w:rsidRPr="00201895" w:rsidR="001637D3" w:rsidP="00435B39" w:rsidRDefault="001637D3">
            <w:pPr>
              <w:pStyle w:val="naisc"/>
              <w:spacing w:before="0" w:after="0"/>
              <w:rPr>
                <w:b/>
                <w:lang w:eastAsia="en-US"/>
              </w:rPr>
            </w:pPr>
            <w:r w:rsidRPr="00201895">
              <w:rPr>
                <w:b/>
                <w:sz w:val="22"/>
                <w:szCs w:val="22"/>
                <w:lang w:eastAsia="en-US"/>
              </w:rPr>
              <w:lastRenderedPageBreak/>
              <w:t>Ņemts vērā</w:t>
            </w:r>
          </w:p>
        </w:tc>
        <w:tc>
          <w:tcPr>
            <w:tcW w:w="1238" w:type="pct"/>
            <w:tcBorders>
              <w:top w:val="single" w:color="auto" w:sz="4" w:space="0"/>
              <w:left w:val="single" w:color="auto" w:sz="4" w:space="0"/>
              <w:bottom w:val="single" w:color="auto" w:sz="4" w:space="0"/>
              <w:right w:val="single" w:color="auto" w:sz="4" w:space="0"/>
            </w:tcBorders>
          </w:tcPr>
          <w:p w:rsidRPr="00201895" w:rsidR="001637D3" w:rsidP="00435B39" w:rsidRDefault="001637D3">
            <w:pPr>
              <w:jc w:val="both"/>
              <w:rPr>
                <w:lang w:eastAsia="en-US"/>
              </w:rPr>
            </w:pPr>
            <w:r w:rsidRPr="00201895">
              <w:rPr>
                <w:sz w:val="22"/>
                <w:szCs w:val="22"/>
                <w:lang w:eastAsia="en-US"/>
              </w:rPr>
              <w:t>Precizēts Ministru kabineta noteikumu projekta sākotnējās ietekmes novērtējuma ziņojuma (anotācijas) I sadaļas 2.punkts šādā redakcijā:</w:t>
            </w:r>
          </w:p>
          <w:p w:rsidRPr="00201895" w:rsidR="001637D3" w:rsidP="00435B39" w:rsidRDefault="001637D3">
            <w:pPr>
              <w:jc w:val="both"/>
              <w:rPr>
                <w:lang w:eastAsia="en-US"/>
              </w:rPr>
            </w:pPr>
          </w:p>
          <w:p w:rsidRPr="00201895" w:rsidR="001637D3" w:rsidP="00F92A23" w:rsidRDefault="00D74077">
            <w:pPr>
              <w:pStyle w:val="ParastaisWeb"/>
              <w:spacing w:before="0" w:beforeAutospacing="0" w:after="0" w:afterAutospacing="0"/>
              <w:jc w:val="both"/>
              <w:rPr>
                <w:lang w:eastAsia="en-US"/>
              </w:rPr>
            </w:pPr>
            <w:r>
              <w:rPr>
                <w:sz w:val="22"/>
                <w:szCs w:val="22"/>
                <w:lang w:eastAsia="en-US"/>
              </w:rPr>
              <w:t>„[..] </w:t>
            </w:r>
            <w:r w:rsidRPr="00201895" w:rsidR="00F92A23">
              <w:rPr>
                <w:sz w:val="22"/>
                <w:szCs w:val="22"/>
              </w:rPr>
              <w:t xml:space="preserve">Lai uzlabotu Latvijas filmu producentu iespējas konkurēt ar ārvalstu producentiem, Projekta 4.punkts paredz palielināt pieejamā līdzfinansējuma procentuālo apmēru, nosakot, ka visiem atbalstu guvušajiem līdzfinansējuma projektiem pieejamais līdzfinansējuma apmērs ir 20 % no līdzfinansējuma līgumā norādīto attiecināmo izdevumu kopsummas, kā arī projektiem, kuru īstenošanas rezultātā tiek prognozēts nodokļu </w:t>
            </w:r>
            <w:r w:rsidRPr="00201895" w:rsidR="00F92A23">
              <w:rPr>
                <w:sz w:val="22"/>
                <w:szCs w:val="22"/>
              </w:rPr>
              <w:lastRenderedPageBreak/>
              <w:t>ieņēmumu palielinājums valsts budžetā un projekta iesniedzējs iesniegtajā projektā to ir pamatojis, līdzfinansējuma apmērs var tikt palielināts līdz 30 % no attiecināmo izdevumu kopsummas. Projekta iesniedzējs, iesniedzot projektu, norāda, kāds ir prognozējamais nodokļu ieņēmumu palielinājums un attiecīgi norāda nepieciešamo līdzfinansējuma summu, uz kuru pretendē no Nacionālā kino centra. Projekta iesniedzējs konkrētā projekta nodokļu ieņēmumu palielinājumu valsts budžetā prognozē pamatojoties uz filmas plānotā budžeta izlietojuma pozīcijām Latvijas teritorijā. Projekta iesniedzējs, iesniedzot projekta pieteikumu, plāno konkrētu pakalpojumu vai preču iegādi, kas nepieciešama projekta īstenošanai, apzina katras filmas tāmē norādītās izdevumu pozīcijas lielumu un iespējamo izvedumu veidu, attiecīgi spējot noteikt un plānot visu izmaksu nodokļu daļu. Projekta pieteikumā projekta iesniedzējs norāda plānoto izmaksu nodokļu daļu. [..]</w:t>
            </w:r>
            <w:r w:rsidRPr="00201895" w:rsidR="001637D3">
              <w:rPr>
                <w:sz w:val="22"/>
                <w:szCs w:val="22"/>
                <w:lang w:eastAsia="en-US"/>
              </w:rPr>
              <w:t>”</w:t>
            </w:r>
          </w:p>
        </w:tc>
      </w:tr>
      <w:tr w:rsidRPr="00201895" w:rsidR="00F67BC5" w:rsidTr="004C406A">
        <w:tc>
          <w:tcPr>
            <w:tcW w:w="188" w:type="pct"/>
            <w:tcBorders>
              <w:top w:val="single" w:color="000000" w:sz="6" w:space="0"/>
              <w:left w:val="single" w:color="000000" w:sz="6" w:space="0"/>
              <w:bottom w:val="single" w:color="auto" w:sz="4" w:space="0"/>
              <w:right w:val="single" w:color="000000" w:sz="6" w:space="0"/>
            </w:tcBorders>
          </w:tcPr>
          <w:p w:rsidRPr="00201895" w:rsidR="00F67BC5" w:rsidP="004C406A" w:rsidRDefault="006D4C38">
            <w:pPr>
              <w:pStyle w:val="naisc"/>
              <w:spacing w:before="0" w:after="0"/>
              <w:rPr>
                <w:lang w:eastAsia="en-US"/>
              </w:rPr>
            </w:pPr>
            <w:r w:rsidRPr="00201895">
              <w:rPr>
                <w:sz w:val="22"/>
                <w:szCs w:val="22"/>
                <w:lang w:eastAsia="en-US"/>
              </w:rPr>
              <w:lastRenderedPageBreak/>
              <w:t>5</w:t>
            </w:r>
            <w:r w:rsidRPr="00201895" w:rsidR="00F67BC5">
              <w:rPr>
                <w:sz w:val="22"/>
                <w:szCs w:val="22"/>
                <w:lang w:eastAsia="en-US"/>
              </w:rPr>
              <w:t>.</w:t>
            </w:r>
          </w:p>
        </w:tc>
        <w:tc>
          <w:tcPr>
            <w:tcW w:w="1245" w:type="pct"/>
            <w:tcBorders>
              <w:top w:val="single" w:color="000000" w:sz="6" w:space="0"/>
              <w:left w:val="single" w:color="000000" w:sz="6" w:space="0"/>
              <w:bottom w:val="single" w:color="auto" w:sz="4" w:space="0"/>
              <w:right w:val="single" w:color="000000" w:sz="6" w:space="0"/>
            </w:tcBorders>
          </w:tcPr>
          <w:p w:rsidRPr="00201895" w:rsidR="00F67BC5" w:rsidP="004C406A" w:rsidRDefault="00F67BC5">
            <w:pPr>
              <w:pStyle w:val="naisc"/>
              <w:spacing w:before="0" w:after="0"/>
              <w:ind w:firstLine="12"/>
              <w:jc w:val="both"/>
              <w:rPr>
                <w:lang w:eastAsia="en-US"/>
              </w:rPr>
            </w:pPr>
            <w:r w:rsidRPr="00201895">
              <w:rPr>
                <w:sz w:val="22"/>
                <w:szCs w:val="22"/>
                <w:lang w:eastAsia="en-US"/>
              </w:rPr>
              <w:t>Ministru kabineta noteikumu projekta sākotnējās ietekmes novērtējuma ziņojuma (anotācijas) V sadaļas 1.punkts un 1.tabula.</w:t>
            </w:r>
          </w:p>
        </w:tc>
        <w:tc>
          <w:tcPr>
            <w:tcW w:w="1239" w:type="pct"/>
            <w:tcBorders>
              <w:top w:val="single" w:color="000000" w:sz="6" w:space="0"/>
              <w:left w:val="single" w:color="000000" w:sz="6" w:space="0"/>
              <w:bottom w:val="single" w:color="auto" w:sz="4" w:space="0"/>
              <w:right w:val="single" w:color="000000" w:sz="6" w:space="0"/>
            </w:tcBorders>
          </w:tcPr>
          <w:p w:rsidRPr="00201895" w:rsidR="00F67BC5" w:rsidP="004C406A" w:rsidRDefault="00F67BC5">
            <w:pPr>
              <w:pStyle w:val="naisc"/>
              <w:spacing w:before="0" w:after="0"/>
              <w:ind w:right="31"/>
              <w:jc w:val="left"/>
              <w:rPr>
                <w:rFonts w:eastAsia="Calibri"/>
                <w:b/>
                <w:lang w:eastAsia="en-US"/>
              </w:rPr>
            </w:pPr>
            <w:r w:rsidRPr="00201895">
              <w:rPr>
                <w:rFonts w:eastAsia="Calibri"/>
                <w:b/>
                <w:sz w:val="22"/>
                <w:szCs w:val="22"/>
                <w:lang w:eastAsia="en-US"/>
              </w:rPr>
              <w:t>Tieslietu ministrija:</w:t>
            </w:r>
          </w:p>
          <w:p w:rsidRPr="00201895" w:rsidR="00F67BC5" w:rsidP="004C406A" w:rsidRDefault="00F67BC5">
            <w:pPr>
              <w:pStyle w:val="naisc"/>
              <w:spacing w:before="0" w:after="0"/>
              <w:ind w:right="31"/>
              <w:jc w:val="both"/>
              <w:rPr>
                <w:b/>
                <w:lang w:eastAsia="en-US"/>
              </w:rPr>
            </w:pPr>
            <w:r w:rsidRPr="00201895">
              <w:rPr>
                <w:rFonts w:eastAsia="Calibri"/>
                <w:sz w:val="22"/>
                <w:szCs w:val="22"/>
                <w:lang w:eastAsia="en-US"/>
              </w:rPr>
              <w:t xml:space="preserve">Ņemot vērā, ka projektā ieviestas Eiropas Savienības regulu normas, lūdzam aizpildīt projekta anotācijas V sadaļas 1. punktu un 1. tabulu atbilstoši </w:t>
            </w:r>
            <w:r w:rsidRPr="00201895">
              <w:rPr>
                <w:rFonts w:eastAsia="Calibri"/>
                <w:bCs/>
                <w:iCs/>
                <w:sz w:val="22"/>
                <w:szCs w:val="22"/>
                <w:lang w:eastAsia="en-US"/>
              </w:rPr>
              <w:t xml:space="preserve">Ministru kabineta 2009. gada 15. decembra instrukcijas </w:t>
            </w:r>
            <w:r w:rsidRPr="00201895">
              <w:rPr>
                <w:rFonts w:eastAsia="Calibri"/>
                <w:bCs/>
                <w:iCs/>
                <w:sz w:val="22"/>
                <w:szCs w:val="22"/>
                <w:lang w:eastAsia="en-US"/>
              </w:rPr>
              <w:lastRenderedPageBreak/>
              <w:t>“Tiesību akta projekta sākotnējās ietekmes izvērtēšanas kārtība” (turpmāk - instrukcija) 55. un 56. punktam.</w:t>
            </w:r>
          </w:p>
        </w:tc>
        <w:tc>
          <w:tcPr>
            <w:tcW w:w="1090" w:type="pct"/>
            <w:tcBorders>
              <w:top w:val="single" w:color="000000" w:sz="6" w:space="0"/>
              <w:left w:val="single" w:color="000000" w:sz="6" w:space="0"/>
              <w:bottom w:val="single" w:color="auto" w:sz="4" w:space="0"/>
              <w:right w:val="single" w:color="000000" w:sz="6" w:space="0"/>
            </w:tcBorders>
          </w:tcPr>
          <w:p w:rsidRPr="00201895" w:rsidR="00F67BC5" w:rsidP="004C406A" w:rsidRDefault="00F67BC5">
            <w:pPr>
              <w:pStyle w:val="naisc"/>
              <w:spacing w:before="0" w:after="0"/>
              <w:rPr>
                <w:b/>
                <w:lang w:eastAsia="en-US"/>
              </w:rPr>
            </w:pPr>
            <w:r w:rsidRPr="00201895">
              <w:rPr>
                <w:b/>
                <w:sz w:val="22"/>
                <w:szCs w:val="22"/>
                <w:lang w:eastAsia="en-US"/>
              </w:rPr>
              <w:lastRenderedPageBreak/>
              <w:t>Ņemts vērā</w:t>
            </w:r>
          </w:p>
        </w:tc>
        <w:tc>
          <w:tcPr>
            <w:tcW w:w="1238" w:type="pct"/>
            <w:tcBorders>
              <w:top w:val="single" w:color="auto" w:sz="4" w:space="0"/>
              <w:left w:val="single" w:color="auto" w:sz="4" w:space="0"/>
              <w:bottom w:val="single" w:color="auto" w:sz="4" w:space="0"/>
              <w:right w:val="single" w:color="auto" w:sz="4" w:space="0"/>
            </w:tcBorders>
          </w:tcPr>
          <w:p w:rsidRPr="00201895" w:rsidR="00F67BC5" w:rsidP="004C406A" w:rsidRDefault="00F67BC5">
            <w:pPr>
              <w:jc w:val="both"/>
              <w:rPr>
                <w:highlight w:val="yellow"/>
                <w:lang w:eastAsia="en-US"/>
              </w:rPr>
            </w:pPr>
            <w:r w:rsidRPr="00201895">
              <w:rPr>
                <w:sz w:val="22"/>
                <w:szCs w:val="22"/>
                <w:lang w:eastAsia="en-US"/>
              </w:rPr>
              <w:t>Precizēts Ministru kabineta noteikumu projekta sākotnējās ietekmes novērtējuma ziņojuma (anotācijas) V sadaļas 1.punkts un 1.tabula.</w:t>
            </w:r>
          </w:p>
        </w:tc>
      </w:tr>
      <w:tr w:rsidRPr="00201895" w:rsidR="00C345E4" w:rsidTr="004C406A">
        <w:tc>
          <w:tcPr>
            <w:tcW w:w="188" w:type="pct"/>
            <w:tcBorders>
              <w:top w:val="single" w:color="000000" w:sz="6" w:space="0"/>
              <w:left w:val="single" w:color="000000" w:sz="6" w:space="0"/>
              <w:bottom w:val="single" w:color="auto" w:sz="4" w:space="0"/>
              <w:right w:val="single" w:color="000000" w:sz="6" w:space="0"/>
            </w:tcBorders>
          </w:tcPr>
          <w:p w:rsidRPr="00201895" w:rsidR="00C345E4" w:rsidP="004C406A" w:rsidRDefault="00C345E4">
            <w:pPr>
              <w:pStyle w:val="naisc"/>
              <w:spacing w:before="0" w:after="0"/>
              <w:rPr>
                <w:lang w:eastAsia="en-US"/>
              </w:rPr>
            </w:pPr>
            <w:r w:rsidRPr="00201895">
              <w:rPr>
                <w:sz w:val="22"/>
                <w:szCs w:val="22"/>
                <w:lang w:eastAsia="en-US"/>
              </w:rPr>
              <w:lastRenderedPageBreak/>
              <w:t>6.</w:t>
            </w:r>
          </w:p>
        </w:tc>
        <w:tc>
          <w:tcPr>
            <w:tcW w:w="1245" w:type="pct"/>
            <w:tcBorders>
              <w:top w:val="single" w:color="000000" w:sz="6" w:space="0"/>
              <w:left w:val="single" w:color="000000" w:sz="6" w:space="0"/>
              <w:bottom w:val="single" w:color="auto" w:sz="4" w:space="0"/>
              <w:right w:val="single" w:color="000000" w:sz="6" w:space="0"/>
            </w:tcBorders>
          </w:tcPr>
          <w:p w:rsidRPr="00201895" w:rsidR="00C345E4" w:rsidP="004C406A" w:rsidRDefault="00C345E4">
            <w:pPr>
              <w:pStyle w:val="naisc"/>
              <w:spacing w:before="0" w:after="0"/>
              <w:ind w:firstLine="12"/>
              <w:jc w:val="both"/>
              <w:rPr>
                <w:lang w:eastAsia="en-US"/>
              </w:rPr>
            </w:pPr>
            <w:r w:rsidRPr="00201895">
              <w:rPr>
                <w:sz w:val="22"/>
                <w:szCs w:val="22"/>
                <w:lang w:eastAsia="en-US"/>
              </w:rPr>
              <w:t>Ministru kabineta noteikumu projekta sākotnējās ietekmes novērtējuma ziņojuma (anotācijas) V sadaļas 1.punkts un 1.tabula.</w:t>
            </w:r>
          </w:p>
        </w:tc>
        <w:tc>
          <w:tcPr>
            <w:tcW w:w="1239" w:type="pct"/>
            <w:tcBorders>
              <w:top w:val="single" w:color="000000" w:sz="6" w:space="0"/>
              <w:left w:val="single" w:color="000000" w:sz="6" w:space="0"/>
              <w:bottom w:val="single" w:color="auto" w:sz="4" w:space="0"/>
              <w:right w:val="single" w:color="000000" w:sz="6" w:space="0"/>
            </w:tcBorders>
          </w:tcPr>
          <w:p w:rsidRPr="00201895" w:rsidR="00C345E4" w:rsidP="004C406A" w:rsidRDefault="00C345E4">
            <w:pPr>
              <w:pStyle w:val="naisc"/>
              <w:spacing w:before="0" w:after="0"/>
              <w:ind w:right="31"/>
              <w:jc w:val="left"/>
              <w:rPr>
                <w:rFonts w:eastAsia="Calibri"/>
                <w:b/>
                <w:lang w:eastAsia="en-US"/>
              </w:rPr>
            </w:pPr>
            <w:r w:rsidRPr="00201895">
              <w:rPr>
                <w:rFonts w:eastAsia="Calibri"/>
                <w:b/>
                <w:sz w:val="22"/>
                <w:szCs w:val="22"/>
                <w:lang w:eastAsia="en-US"/>
              </w:rPr>
              <w:t>Tieslietu ministrija:</w:t>
            </w:r>
          </w:p>
          <w:p w:rsidRPr="00201895" w:rsidR="00C345E4" w:rsidP="000E3235" w:rsidRDefault="000E3235">
            <w:pPr>
              <w:jc w:val="both"/>
              <w:rPr>
                <w:b/>
                <w:lang w:eastAsia="en-US"/>
              </w:rPr>
            </w:pPr>
            <w:r w:rsidRPr="00201895">
              <w:rPr>
                <w:sz w:val="22"/>
                <w:szCs w:val="22"/>
              </w:rPr>
              <w:t>Vienlaikus aicinām projekta anotācijas V sadaļas 1. punktā un 1. tabulā attiecībā uz regulas ieviešanu aizstāt norādes, ka regulu nepieciešams pārņemt vai regula tiek pārņemta, ar norādēm, ka regulu nepieciešams ieviest vai regula tiek ieviesta.</w:t>
            </w:r>
          </w:p>
        </w:tc>
        <w:tc>
          <w:tcPr>
            <w:tcW w:w="1090" w:type="pct"/>
            <w:tcBorders>
              <w:top w:val="single" w:color="000000" w:sz="6" w:space="0"/>
              <w:left w:val="single" w:color="000000" w:sz="6" w:space="0"/>
              <w:bottom w:val="single" w:color="auto" w:sz="4" w:space="0"/>
              <w:right w:val="single" w:color="000000" w:sz="6" w:space="0"/>
            </w:tcBorders>
          </w:tcPr>
          <w:p w:rsidRPr="00201895" w:rsidR="00C345E4" w:rsidP="004C406A" w:rsidRDefault="00C345E4">
            <w:pPr>
              <w:pStyle w:val="naisc"/>
              <w:spacing w:before="0" w:after="0"/>
              <w:rPr>
                <w:b/>
                <w:lang w:eastAsia="en-US"/>
              </w:rPr>
            </w:pPr>
            <w:r w:rsidRPr="00201895">
              <w:rPr>
                <w:b/>
                <w:sz w:val="22"/>
                <w:szCs w:val="22"/>
                <w:lang w:eastAsia="en-US"/>
              </w:rPr>
              <w:t>Ņemts vērā</w:t>
            </w:r>
          </w:p>
        </w:tc>
        <w:tc>
          <w:tcPr>
            <w:tcW w:w="1238" w:type="pct"/>
            <w:tcBorders>
              <w:top w:val="single" w:color="auto" w:sz="4" w:space="0"/>
              <w:left w:val="single" w:color="auto" w:sz="4" w:space="0"/>
              <w:bottom w:val="single" w:color="auto" w:sz="4" w:space="0"/>
              <w:right w:val="single" w:color="auto" w:sz="4" w:space="0"/>
            </w:tcBorders>
          </w:tcPr>
          <w:p w:rsidRPr="00201895" w:rsidR="00C345E4" w:rsidP="004C406A" w:rsidRDefault="00C345E4">
            <w:pPr>
              <w:jc w:val="both"/>
              <w:rPr>
                <w:highlight w:val="yellow"/>
                <w:lang w:eastAsia="en-US"/>
              </w:rPr>
            </w:pPr>
            <w:r w:rsidRPr="00201895">
              <w:rPr>
                <w:sz w:val="22"/>
                <w:szCs w:val="22"/>
                <w:lang w:eastAsia="en-US"/>
              </w:rPr>
              <w:t>Precizēts Ministru kabineta noteikumu projekta sākotnējās ietekmes novērtējuma ziņojuma (anotācijas) V sadaļas 1.punkts un 1.tabula.</w:t>
            </w:r>
          </w:p>
        </w:tc>
      </w:tr>
    </w:tbl>
    <w:p w:rsidR="00F84DC6" w:rsidP="00B577B9" w:rsidRDefault="00F84DC6">
      <w:pPr>
        <w:outlineLvl w:val="0"/>
        <w:rPr>
          <w:sz w:val="20"/>
          <w:szCs w:val="20"/>
        </w:rPr>
      </w:pPr>
    </w:p>
    <w:p w:rsidR="00995199" w:rsidP="00B577B9" w:rsidRDefault="00995199">
      <w:pPr>
        <w:outlineLvl w:val="0"/>
        <w:rPr>
          <w:sz w:val="20"/>
          <w:szCs w:val="20"/>
        </w:rPr>
      </w:pPr>
    </w:p>
    <w:p w:rsidR="00B33CDD" w:rsidP="00B577B9" w:rsidRDefault="00B33CDD">
      <w:pPr>
        <w:outlineLvl w:val="0"/>
        <w:rPr>
          <w:sz w:val="20"/>
          <w:szCs w:val="20"/>
        </w:rPr>
      </w:pPr>
    </w:p>
    <w:p w:rsidRPr="00355C5A" w:rsidR="001F5D33" w:rsidP="00B577B9" w:rsidRDefault="00877E05">
      <w:pPr>
        <w:outlineLvl w:val="0"/>
        <w:rPr>
          <w:sz w:val="20"/>
          <w:szCs w:val="20"/>
        </w:rPr>
      </w:pPr>
      <w:r w:rsidRPr="00355C5A">
        <w:rPr>
          <w:sz w:val="20"/>
          <w:szCs w:val="20"/>
        </w:rPr>
        <w:t>E</w:t>
      </w:r>
      <w:r w:rsidR="00FD4E18">
        <w:rPr>
          <w:sz w:val="20"/>
          <w:szCs w:val="20"/>
        </w:rPr>
        <w:t xml:space="preserve">dgars </w:t>
      </w:r>
      <w:r w:rsidRPr="00355C5A">
        <w:rPr>
          <w:sz w:val="20"/>
          <w:szCs w:val="20"/>
        </w:rPr>
        <w:t>Mednis</w:t>
      </w:r>
    </w:p>
    <w:p w:rsidRPr="00F32285" w:rsidR="00877E05" w:rsidP="00B11120" w:rsidRDefault="00877E05">
      <w:pPr>
        <w:rPr>
          <w:iCs/>
          <w:sz w:val="20"/>
          <w:szCs w:val="20"/>
        </w:rPr>
      </w:pPr>
      <w:r w:rsidRPr="00355C5A">
        <w:rPr>
          <w:iCs/>
          <w:sz w:val="20"/>
          <w:szCs w:val="20"/>
        </w:rPr>
        <w:t xml:space="preserve">Nacionālā </w:t>
      </w:r>
      <w:r w:rsidR="00B11120">
        <w:rPr>
          <w:iCs/>
          <w:sz w:val="20"/>
          <w:szCs w:val="20"/>
        </w:rPr>
        <w:t>k</w:t>
      </w:r>
      <w:r w:rsidRPr="00355C5A">
        <w:rPr>
          <w:iCs/>
          <w:sz w:val="20"/>
          <w:szCs w:val="20"/>
        </w:rPr>
        <w:t>ino centra</w:t>
      </w:r>
      <w:r w:rsidR="00F32285">
        <w:rPr>
          <w:iCs/>
          <w:sz w:val="20"/>
          <w:szCs w:val="20"/>
        </w:rPr>
        <w:t xml:space="preserve"> </w:t>
      </w:r>
      <w:r w:rsidRPr="00355C5A">
        <w:rPr>
          <w:sz w:val="20"/>
          <w:szCs w:val="20"/>
        </w:rPr>
        <w:t>juriskonsults</w:t>
      </w:r>
    </w:p>
    <w:p w:rsidRPr="00355C5A" w:rsidR="009453B4" w:rsidP="00B577B9" w:rsidRDefault="00877E05">
      <w:pPr>
        <w:tabs>
          <w:tab w:val="left" w:pos="6804"/>
        </w:tabs>
        <w:rPr>
          <w:sz w:val="20"/>
          <w:szCs w:val="20"/>
        </w:rPr>
      </w:pPr>
      <w:r w:rsidRPr="00355C5A">
        <w:rPr>
          <w:sz w:val="20"/>
          <w:szCs w:val="20"/>
        </w:rPr>
        <w:t>Tālr. 67</w:t>
      </w:r>
      <w:r w:rsidRPr="00355C5A" w:rsidR="00DB0408">
        <w:rPr>
          <w:sz w:val="20"/>
          <w:szCs w:val="20"/>
        </w:rPr>
        <w:t>358859</w:t>
      </w:r>
      <w:r w:rsidR="00F32285">
        <w:rPr>
          <w:sz w:val="20"/>
          <w:szCs w:val="20"/>
        </w:rPr>
        <w:t xml:space="preserve">; </w:t>
      </w:r>
      <w:hyperlink w:history="1" r:id="rId7">
        <w:r w:rsidRPr="00355C5A" w:rsidR="005D5793">
          <w:rPr>
            <w:rStyle w:val="Hipersaite"/>
            <w:sz w:val="20"/>
            <w:szCs w:val="20"/>
          </w:rPr>
          <w:t>Edgars.Mednis@nkc.gov.lv</w:t>
        </w:r>
      </w:hyperlink>
      <w:r w:rsidRPr="00355C5A" w:rsidR="001C7492">
        <w:rPr>
          <w:sz w:val="20"/>
          <w:szCs w:val="20"/>
        </w:rPr>
        <w:t xml:space="preserve"> </w:t>
      </w:r>
    </w:p>
    <w:sectPr w:rsidRPr="00355C5A" w:rsidR="009453B4" w:rsidSect="00D259D7">
      <w:headerReference w:type="default" r:id="rId8"/>
      <w:footerReference w:type="default" r:id="rId9"/>
      <w:footerReference w:type="first" r:id="rId10"/>
      <w:pgSz w:w="16838" w:h="11906" w:orient="landscape"/>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0D2" w:rsidRDefault="00BE40D2" w:rsidP="00F64DE4">
      <w:r>
        <w:separator/>
      </w:r>
    </w:p>
  </w:endnote>
  <w:endnote w:type="continuationSeparator" w:id="0">
    <w:p w:rsidR="00BE40D2" w:rsidRDefault="00BE40D2" w:rsidP="00F64D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0D7" w:rsidRPr="00877E05" w:rsidRDefault="00AF40D7" w:rsidP="00877E05">
    <w:pPr>
      <w:pStyle w:val="Kjene"/>
    </w:pPr>
    <w:r>
      <w:rPr>
        <w:sz w:val="20"/>
        <w:szCs w:val="20"/>
      </w:rPr>
      <w:t>KMIzz_</w:t>
    </w:r>
    <w:r w:rsidR="005F7686">
      <w:rPr>
        <w:sz w:val="20"/>
        <w:szCs w:val="20"/>
      </w:rPr>
      <w:t>02</w:t>
    </w:r>
    <w:r>
      <w:rPr>
        <w:sz w:val="20"/>
        <w:szCs w:val="20"/>
      </w:rPr>
      <w:t>0</w:t>
    </w:r>
    <w:r w:rsidR="005F7686">
      <w:rPr>
        <w:sz w:val="20"/>
        <w:szCs w:val="20"/>
      </w:rPr>
      <w:t>7</w:t>
    </w:r>
    <w:r>
      <w:rPr>
        <w:sz w:val="20"/>
        <w:szCs w:val="20"/>
      </w:rPr>
      <w:t>20_groz_163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0D7" w:rsidRPr="00877E05" w:rsidRDefault="00AF40D7" w:rsidP="00877E05">
    <w:pPr>
      <w:pStyle w:val="Kjene"/>
      <w:rPr>
        <w:sz w:val="20"/>
        <w:szCs w:val="20"/>
      </w:rPr>
    </w:pPr>
    <w:r>
      <w:rPr>
        <w:sz w:val="20"/>
        <w:szCs w:val="20"/>
      </w:rPr>
      <w:t>KMIzz_</w:t>
    </w:r>
    <w:r w:rsidR="005F7686">
      <w:rPr>
        <w:sz w:val="20"/>
        <w:szCs w:val="20"/>
      </w:rPr>
      <w:t>02</w:t>
    </w:r>
    <w:r>
      <w:rPr>
        <w:sz w:val="20"/>
        <w:szCs w:val="20"/>
      </w:rPr>
      <w:t>0</w:t>
    </w:r>
    <w:r w:rsidR="005F7686">
      <w:rPr>
        <w:sz w:val="20"/>
        <w:szCs w:val="20"/>
      </w:rPr>
      <w:t>7</w:t>
    </w:r>
    <w:r>
      <w:rPr>
        <w:sz w:val="20"/>
        <w:szCs w:val="20"/>
      </w:rPr>
      <w:t>20_groz_163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0D2" w:rsidRDefault="00BE40D2" w:rsidP="00F64DE4">
      <w:r>
        <w:separator/>
      </w:r>
    </w:p>
  </w:footnote>
  <w:footnote w:type="continuationSeparator" w:id="0">
    <w:p w:rsidR="00BE40D2" w:rsidRDefault="00BE40D2" w:rsidP="00F64D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51310"/>
      <w:docPartObj>
        <w:docPartGallery w:val="Page Numbers (Top of Page)"/>
        <w:docPartUnique/>
      </w:docPartObj>
    </w:sdtPr>
    <w:sdtContent>
      <w:p w:rsidR="00AF40D7" w:rsidRDefault="00AE4476">
        <w:pPr>
          <w:pStyle w:val="Galvene"/>
          <w:jc w:val="center"/>
        </w:pPr>
        <w:r w:rsidRPr="00196278">
          <w:rPr>
            <w:sz w:val="22"/>
            <w:szCs w:val="22"/>
          </w:rPr>
          <w:fldChar w:fldCharType="begin"/>
        </w:r>
        <w:r w:rsidRPr="00196278" w:rsidR="00AF40D7">
          <w:rPr>
            <w:sz w:val="22"/>
            <w:szCs w:val="22"/>
          </w:rPr>
          <w:instrText xml:space="preserve"> PAGE   \* MERGEFORMAT </w:instrText>
        </w:r>
        <w:r w:rsidRPr="00196278">
          <w:rPr>
            <w:sz w:val="22"/>
            <w:szCs w:val="22"/>
          </w:rPr>
          <w:fldChar w:fldCharType="separate"/>
        </w:r>
        <w:r w:rsidR="00955A53">
          <w:rPr>
            <w:noProof/>
            <w:sz w:val="22"/>
            <w:szCs w:val="22"/>
          </w:rPr>
          <w:t>7</w:t>
        </w:r>
        <w:r w:rsidRPr="00196278">
          <w:rPr>
            <w:sz w:val="22"/>
            <w:szCs w:val="22"/>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E1B5C"/>
    <w:multiLevelType w:val="hybridMultilevel"/>
    <w:tmpl w:val="98DE033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14F3426"/>
    <w:multiLevelType w:val="hybridMultilevel"/>
    <w:tmpl w:val="901E7396"/>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2">
    <w:nsid w:val="126276A8"/>
    <w:multiLevelType w:val="hybridMultilevel"/>
    <w:tmpl w:val="723E2762"/>
    <w:lvl w:ilvl="0" w:tplc="854E7D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1D0E5984"/>
    <w:multiLevelType w:val="hybridMultilevel"/>
    <w:tmpl w:val="D5A6ECB8"/>
    <w:lvl w:ilvl="0" w:tplc="01E63CF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F384D9E"/>
    <w:multiLevelType w:val="hybridMultilevel"/>
    <w:tmpl w:val="D5A6ECB8"/>
    <w:lvl w:ilvl="0" w:tplc="01E63CF6">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nsid w:val="1F8447E3"/>
    <w:multiLevelType w:val="hybridMultilevel"/>
    <w:tmpl w:val="51B2A1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3940B21"/>
    <w:multiLevelType w:val="hybridMultilevel"/>
    <w:tmpl w:val="D5A6ECB8"/>
    <w:lvl w:ilvl="0" w:tplc="01E63CF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9A66E3F"/>
    <w:multiLevelType w:val="hybridMultilevel"/>
    <w:tmpl w:val="C68699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B051536"/>
    <w:multiLevelType w:val="hybridMultilevel"/>
    <w:tmpl w:val="D5A6ECB8"/>
    <w:lvl w:ilvl="0" w:tplc="01E63CF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D1416BF"/>
    <w:multiLevelType w:val="hybridMultilevel"/>
    <w:tmpl w:val="56625AAE"/>
    <w:lvl w:ilvl="0" w:tplc="0426000F">
      <w:start w:val="1"/>
      <w:numFmt w:val="decimal"/>
      <w:lvlText w:val="%1."/>
      <w:lvlJc w:val="left"/>
      <w:pPr>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nsid w:val="32BE6D8F"/>
    <w:multiLevelType w:val="hybridMultilevel"/>
    <w:tmpl w:val="D5A6ECB8"/>
    <w:lvl w:ilvl="0" w:tplc="01E63CF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48929FB"/>
    <w:multiLevelType w:val="hybridMultilevel"/>
    <w:tmpl w:val="D5A6ECB8"/>
    <w:lvl w:ilvl="0" w:tplc="01E63CF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6D71650"/>
    <w:multiLevelType w:val="hybridMultilevel"/>
    <w:tmpl w:val="3D901E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9582FBB"/>
    <w:multiLevelType w:val="hybridMultilevel"/>
    <w:tmpl w:val="271A75CC"/>
    <w:lvl w:ilvl="0" w:tplc="11DA51B0">
      <w:start w:val="1"/>
      <w:numFmt w:val="decimal"/>
      <w:lvlText w:val="%1."/>
      <w:lvlJc w:val="left"/>
      <w:pPr>
        <w:ind w:left="1080" w:hanging="360"/>
      </w:pPr>
      <w:rPr>
        <w:color w:val="00000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4">
    <w:nsid w:val="3A1C03C7"/>
    <w:multiLevelType w:val="hybridMultilevel"/>
    <w:tmpl w:val="449A5E76"/>
    <w:lvl w:ilvl="0" w:tplc="E96A0F8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nsid w:val="43DB6A66"/>
    <w:multiLevelType w:val="hybridMultilevel"/>
    <w:tmpl w:val="2C225FA4"/>
    <w:lvl w:ilvl="0" w:tplc="FAECD46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63754486"/>
    <w:multiLevelType w:val="hybridMultilevel"/>
    <w:tmpl w:val="4A6EF4C2"/>
    <w:lvl w:ilvl="0" w:tplc="733091EA">
      <w:start w:val="1"/>
      <w:numFmt w:val="upperRoman"/>
      <w:lvlText w:val="%1."/>
      <w:lvlJc w:val="left"/>
      <w:pPr>
        <w:ind w:left="1080" w:hanging="72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7">
    <w:nsid w:val="668B4181"/>
    <w:multiLevelType w:val="hybridMultilevel"/>
    <w:tmpl w:val="DE2E18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4094AB2"/>
    <w:multiLevelType w:val="multilevel"/>
    <w:tmpl w:val="C7D6EDE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nsid w:val="78B336D3"/>
    <w:multiLevelType w:val="hybridMultilevel"/>
    <w:tmpl w:val="7C4040D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8D7226F"/>
    <w:multiLevelType w:val="hybridMultilevel"/>
    <w:tmpl w:val="F5B0E884"/>
    <w:lvl w:ilvl="0" w:tplc="D10C4268">
      <w:start w:val="1"/>
      <w:numFmt w:val="decimal"/>
      <w:lvlText w:val="%1."/>
      <w:lvlJc w:val="left"/>
      <w:pPr>
        <w:ind w:left="720" w:hanging="360"/>
      </w:pPr>
      <w:rPr>
        <w:rFonts w:eastAsia="Calibri"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12"/>
  </w:num>
  <w:num w:numId="7">
    <w:abstractNumId w:val="1"/>
  </w:num>
  <w:num w:numId="8">
    <w:abstractNumId w:val="2"/>
  </w:num>
  <w:num w:numId="9">
    <w:abstractNumId w:val="17"/>
  </w:num>
  <w:num w:numId="10">
    <w:abstractNumId w:val="0"/>
  </w:num>
  <w:num w:numId="11">
    <w:abstractNumId w:val="19"/>
  </w:num>
  <w:num w:numId="12">
    <w:abstractNumId w:val="4"/>
  </w:num>
  <w:num w:numId="13">
    <w:abstractNumId w:val="20"/>
  </w:num>
  <w:num w:numId="14">
    <w:abstractNumId w:val="15"/>
  </w:num>
  <w:num w:numId="15">
    <w:abstractNumId w:val="14"/>
  </w:num>
  <w:num w:numId="16">
    <w:abstractNumId w:val="18"/>
  </w:num>
  <w:num w:numId="17">
    <w:abstractNumId w:val="6"/>
  </w:num>
  <w:num w:numId="18">
    <w:abstractNumId w:val="11"/>
  </w:num>
  <w:num w:numId="19">
    <w:abstractNumId w:val="8"/>
  </w:num>
  <w:num w:numId="20">
    <w:abstractNumId w:val="10"/>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80897"/>
  </w:hdrShapeDefaults>
  <w:footnotePr>
    <w:footnote w:id="-1"/>
    <w:footnote w:id="0"/>
  </w:footnotePr>
  <w:endnotePr>
    <w:endnote w:id="-1"/>
    <w:endnote w:id="0"/>
  </w:endnotePr>
  <w:compat/>
  <w:rsids>
    <w:rsidRoot w:val="00F64DE4"/>
    <w:rsid w:val="00004A68"/>
    <w:rsid w:val="00005E79"/>
    <w:rsid w:val="0001528C"/>
    <w:rsid w:val="00024C1D"/>
    <w:rsid w:val="00025346"/>
    <w:rsid w:val="00027058"/>
    <w:rsid w:val="00030646"/>
    <w:rsid w:val="0003189E"/>
    <w:rsid w:val="00032061"/>
    <w:rsid w:val="00034775"/>
    <w:rsid w:val="00047BED"/>
    <w:rsid w:val="00050F96"/>
    <w:rsid w:val="0005107F"/>
    <w:rsid w:val="00053EB0"/>
    <w:rsid w:val="00054FBD"/>
    <w:rsid w:val="00055E21"/>
    <w:rsid w:val="00055EA4"/>
    <w:rsid w:val="00060EC5"/>
    <w:rsid w:val="000630D0"/>
    <w:rsid w:val="00064B74"/>
    <w:rsid w:val="0007173E"/>
    <w:rsid w:val="00074151"/>
    <w:rsid w:val="00077CF7"/>
    <w:rsid w:val="00087937"/>
    <w:rsid w:val="00087D02"/>
    <w:rsid w:val="00090D9A"/>
    <w:rsid w:val="00092DDE"/>
    <w:rsid w:val="00095260"/>
    <w:rsid w:val="00095CB8"/>
    <w:rsid w:val="00097A72"/>
    <w:rsid w:val="000A1B66"/>
    <w:rsid w:val="000A4D2F"/>
    <w:rsid w:val="000B483A"/>
    <w:rsid w:val="000C4509"/>
    <w:rsid w:val="000C76D1"/>
    <w:rsid w:val="000C7D3F"/>
    <w:rsid w:val="000D049A"/>
    <w:rsid w:val="000D0BDC"/>
    <w:rsid w:val="000D2036"/>
    <w:rsid w:val="000E3235"/>
    <w:rsid w:val="000E36DA"/>
    <w:rsid w:val="001047CE"/>
    <w:rsid w:val="001115C3"/>
    <w:rsid w:val="00122329"/>
    <w:rsid w:val="001229CC"/>
    <w:rsid w:val="0012645F"/>
    <w:rsid w:val="001264B1"/>
    <w:rsid w:val="0013421B"/>
    <w:rsid w:val="00134AA7"/>
    <w:rsid w:val="00152474"/>
    <w:rsid w:val="00153256"/>
    <w:rsid w:val="001637D3"/>
    <w:rsid w:val="00166C41"/>
    <w:rsid w:val="00171955"/>
    <w:rsid w:val="00174AE2"/>
    <w:rsid w:val="00175E86"/>
    <w:rsid w:val="001828A0"/>
    <w:rsid w:val="00196278"/>
    <w:rsid w:val="00196F55"/>
    <w:rsid w:val="001A1819"/>
    <w:rsid w:val="001A3051"/>
    <w:rsid w:val="001A4FBD"/>
    <w:rsid w:val="001B30B1"/>
    <w:rsid w:val="001B5E30"/>
    <w:rsid w:val="001C3499"/>
    <w:rsid w:val="001C36D1"/>
    <w:rsid w:val="001C7492"/>
    <w:rsid w:val="001E1123"/>
    <w:rsid w:val="001E63E0"/>
    <w:rsid w:val="001F4197"/>
    <w:rsid w:val="001F5A51"/>
    <w:rsid w:val="001F5D33"/>
    <w:rsid w:val="001F7F8E"/>
    <w:rsid w:val="00200404"/>
    <w:rsid w:val="00201895"/>
    <w:rsid w:val="002061EB"/>
    <w:rsid w:val="002064FE"/>
    <w:rsid w:val="00215122"/>
    <w:rsid w:val="00222E72"/>
    <w:rsid w:val="00230670"/>
    <w:rsid w:val="00235A84"/>
    <w:rsid w:val="00235EE6"/>
    <w:rsid w:val="002401C5"/>
    <w:rsid w:val="00242BD3"/>
    <w:rsid w:val="0024507F"/>
    <w:rsid w:val="00245DED"/>
    <w:rsid w:val="002559F7"/>
    <w:rsid w:val="00256676"/>
    <w:rsid w:val="00261471"/>
    <w:rsid w:val="00270A2C"/>
    <w:rsid w:val="00274C6F"/>
    <w:rsid w:val="002768BD"/>
    <w:rsid w:val="00280DCC"/>
    <w:rsid w:val="00283C7F"/>
    <w:rsid w:val="0028497B"/>
    <w:rsid w:val="002A1965"/>
    <w:rsid w:val="002A1E32"/>
    <w:rsid w:val="002A22D4"/>
    <w:rsid w:val="002A287C"/>
    <w:rsid w:val="002C4DE0"/>
    <w:rsid w:val="002C6678"/>
    <w:rsid w:val="002D06E5"/>
    <w:rsid w:val="002D22BE"/>
    <w:rsid w:val="002D3637"/>
    <w:rsid w:val="002D690C"/>
    <w:rsid w:val="002D6A77"/>
    <w:rsid w:val="002E176D"/>
    <w:rsid w:val="002E718B"/>
    <w:rsid w:val="002F1E09"/>
    <w:rsid w:val="0030186E"/>
    <w:rsid w:val="00303B8A"/>
    <w:rsid w:val="00305685"/>
    <w:rsid w:val="0030686D"/>
    <w:rsid w:val="0030745F"/>
    <w:rsid w:val="00311F30"/>
    <w:rsid w:val="0031433B"/>
    <w:rsid w:val="0031589E"/>
    <w:rsid w:val="00321215"/>
    <w:rsid w:val="00336797"/>
    <w:rsid w:val="00337A8E"/>
    <w:rsid w:val="00347D3F"/>
    <w:rsid w:val="00353E95"/>
    <w:rsid w:val="00355C5A"/>
    <w:rsid w:val="003606FE"/>
    <w:rsid w:val="00366E2F"/>
    <w:rsid w:val="00370C12"/>
    <w:rsid w:val="00370D54"/>
    <w:rsid w:val="00371DF2"/>
    <w:rsid w:val="003767AD"/>
    <w:rsid w:val="00382D4F"/>
    <w:rsid w:val="003A6AD4"/>
    <w:rsid w:val="003B2277"/>
    <w:rsid w:val="003B293D"/>
    <w:rsid w:val="003D78CD"/>
    <w:rsid w:val="003D7B3A"/>
    <w:rsid w:val="003F5387"/>
    <w:rsid w:val="003F6EF8"/>
    <w:rsid w:val="00417351"/>
    <w:rsid w:val="00424EE1"/>
    <w:rsid w:val="00427D01"/>
    <w:rsid w:val="00430478"/>
    <w:rsid w:val="00435B39"/>
    <w:rsid w:val="00437FB5"/>
    <w:rsid w:val="004405A0"/>
    <w:rsid w:val="004411C9"/>
    <w:rsid w:val="00443649"/>
    <w:rsid w:val="00444997"/>
    <w:rsid w:val="00446920"/>
    <w:rsid w:val="004520D3"/>
    <w:rsid w:val="00453676"/>
    <w:rsid w:val="00453A4E"/>
    <w:rsid w:val="00453AF9"/>
    <w:rsid w:val="00465448"/>
    <w:rsid w:val="0046692F"/>
    <w:rsid w:val="004702C9"/>
    <w:rsid w:val="00474A56"/>
    <w:rsid w:val="00497B7D"/>
    <w:rsid w:val="004A058F"/>
    <w:rsid w:val="004A2E50"/>
    <w:rsid w:val="004A357D"/>
    <w:rsid w:val="004A5C5A"/>
    <w:rsid w:val="004B2D66"/>
    <w:rsid w:val="004B661D"/>
    <w:rsid w:val="004C47B2"/>
    <w:rsid w:val="004C4E81"/>
    <w:rsid w:val="004D2EB1"/>
    <w:rsid w:val="004D5FE3"/>
    <w:rsid w:val="004D6056"/>
    <w:rsid w:val="004D779D"/>
    <w:rsid w:val="004D7ECF"/>
    <w:rsid w:val="004D7F46"/>
    <w:rsid w:val="004E7039"/>
    <w:rsid w:val="004E7AF6"/>
    <w:rsid w:val="004E7EA8"/>
    <w:rsid w:val="00506C49"/>
    <w:rsid w:val="005134D4"/>
    <w:rsid w:val="00514089"/>
    <w:rsid w:val="00516F87"/>
    <w:rsid w:val="00520FA9"/>
    <w:rsid w:val="00521BA5"/>
    <w:rsid w:val="00527709"/>
    <w:rsid w:val="005338D6"/>
    <w:rsid w:val="00533C68"/>
    <w:rsid w:val="00542CEE"/>
    <w:rsid w:val="00550273"/>
    <w:rsid w:val="00550844"/>
    <w:rsid w:val="00553F03"/>
    <w:rsid w:val="00562E1F"/>
    <w:rsid w:val="005638AA"/>
    <w:rsid w:val="00563B6F"/>
    <w:rsid w:val="00566D88"/>
    <w:rsid w:val="00575829"/>
    <w:rsid w:val="00576E37"/>
    <w:rsid w:val="00580C6B"/>
    <w:rsid w:val="00581BF8"/>
    <w:rsid w:val="00595131"/>
    <w:rsid w:val="005A05EF"/>
    <w:rsid w:val="005B29EE"/>
    <w:rsid w:val="005C3D87"/>
    <w:rsid w:val="005C5B44"/>
    <w:rsid w:val="005D3A7F"/>
    <w:rsid w:val="005D5793"/>
    <w:rsid w:val="005D7099"/>
    <w:rsid w:val="005D7B08"/>
    <w:rsid w:val="005E0039"/>
    <w:rsid w:val="005E41FA"/>
    <w:rsid w:val="005E44DF"/>
    <w:rsid w:val="005E761E"/>
    <w:rsid w:val="005F7686"/>
    <w:rsid w:val="00602B6B"/>
    <w:rsid w:val="006053EE"/>
    <w:rsid w:val="0061147F"/>
    <w:rsid w:val="0062324C"/>
    <w:rsid w:val="00643BB3"/>
    <w:rsid w:val="00645C4C"/>
    <w:rsid w:val="006476B8"/>
    <w:rsid w:val="006507FB"/>
    <w:rsid w:val="00651E82"/>
    <w:rsid w:val="00653821"/>
    <w:rsid w:val="006706A5"/>
    <w:rsid w:val="006926D6"/>
    <w:rsid w:val="00692C4D"/>
    <w:rsid w:val="00693662"/>
    <w:rsid w:val="00695531"/>
    <w:rsid w:val="006A0739"/>
    <w:rsid w:val="006A0D55"/>
    <w:rsid w:val="006A2194"/>
    <w:rsid w:val="006A28BC"/>
    <w:rsid w:val="006A2ED1"/>
    <w:rsid w:val="006B231C"/>
    <w:rsid w:val="006B41DF"/>
    <w:rsid w:val="006C1FCB"/>
    <w:rsid w:val="006C7BD1"/>
    <w:rsid w:val="006D4C38"/>
    <w:rsid w:val="006D5E89"/>
    <w:rsid w:val="006E535D"/>
    <w:rsid w:val="006E5EE4"/>
    <w:rsid w:val="006E6AFD"/>
    <w:rsid w:val="006E780A"/>
    <w:rsid w:val="006F39B6"/>
    <w:rsid w:val="00704E63"/>
    <w:rsid w:val="00705A1C"/>
    <w:rsid w:val="00711BEA"/>
    <w:rsid w:val="00715E4D"/>
    <w:rsid w:val="00720BC3"/>
    <w:rsid w:val="00730AFF"/>
    <w:rsid w:val="007330DA"/>
    <w:rsid w:val="00733ABB"/>
    <w:rsid w:val="00734AC4"/>
    <w:rsid w:val="00735D2D"/>
    <w:rsid w:val="00743B9E"/>
    <w:rsid w:val="00744402"/>
    <w:rsid w:val="007471ED"/>
    <w:rsid w:val="0075028F"/>
    <w:rsid w:val="007503AD"/>
    <w:rsid w:val="007523D1"/>
    <w:rsid w:val="00771A85"/>
    <w:rsid w:val="007763C5"/>
    <w:rsid w:val="00777AC9"/>
    <w:rsid w:val="0078499B"/>
    <w:rsid w:val="0078653A"/>
    <w:rsid w:val="00787777"/>
    <w:rsid w:val="007923EB"/>
    <w:rsid w:val="0079590F"/>
    <w:rsid w:val="007A0EF1"/>
    <w:rsid w:val="007A5F03"/>
    <w:rsid w:val="007B2B89"/>
    <w:rsid w:val="007B41BB"/>
    <w:rsid w:val="007C4117"/>
    <w:rsid w:val="007C6DB7"/>
    <w:rsid w:val="007D1E9B"/>
    <w:rsid w:val="007D2629"/>
    <w:rsid w:val="007D33CD"/>
    <w:rsid w:val="007E09A2"/>
    <w:rsid w:val="007E4CFF"/>
    <w:rsid w:val="007E744C"/>
    <w:rsid w:val="008040F7"/>
    <w:rsid w:val="00805435"/>
    <w:rsid w:val="008137F3"/>
    <w:rsid w:val="0081557B"/>
    <w:rsid w:val="00816154"/>
    <w:rsid w:val="00821905"/>
    <w:rsid w:val="00824A6F"/>
    <w:rsid w:val="008320CF"/>
    <w:rsid w:val="00832EF7"/>
    <w:rsid w:val="00833B6E"/>
    <w:rsid w:val="00846A05"/>
    <w:rsid w:val="008531D7"/>
    <w:rsid w:val="00854E1E"/>
    <w:rsid w:val="0085746B"/>
    <w:rsid w:val="008623F0"/>
    <w:rsid w:val="00870549"/>
    <w:rsid w:val="008715F4"/>
    <w:rsid w:val="008719CE"/>
    <w:rsid w:val="00877E05"/>
    <w:rsid w:val="00890B1A"/>
    <w:rsid w:val="008A1505"/>
    <w:rsid w:val="008A60D7"/>
    <w:rsid w:val="008A62CB"/>
    <w:rsid w:val="008A7137"/>
    <w:rsid w:val="008A7ECA"/>
    <w:rsid w:val="008B1DE6"/>
    <w:rsid w:val="008C1D3D"/>
    <w:rsid w:val="008C25A2"/>
    <w:rsid w:val="008C2D41"/>
    <w:rsid w:val="008C36CA"/>
    <w:rsid w:val="008C5301"/>
    <w:rsid w:val="008C673C"/>
    <w:rsid w:val="008D08C2"/>
    <w:rsid w:val="008D5DDA"/>
    <w:rsid w:val="008D6FEA"/>
    <w:rsid w:val="008E2ADF"/>
    <w:rsid w:val="008E59E5"/>
    <w:rsid w:val="008F36F7"/>
    <w:rsid w:val="008F3D5E"/>
    <w:rsid w:val="0090071B"/>
    <w:rsid w:val="00901536"/>
    <w:rsid w:val="00904C23"/>
    <w:rsid w:val="00924F1C"/>
    <w:rsid w:val="0092618E"/>
    <w:rsid w:val="0092695A"/>
    <w:rsid w:val="009335F4"/>
    <w:rsid w:val="00940DEB"/>
    <w:rsid w:val="009412A8"/>
    <w:rsid w:val="009453B4"/>
    <w:rsid w:val="0095096E"/>
    <w:rsid w:val="009544D0"/>
    <w:rsid w:val="00955A53"/>
    <w:rsid w:val="00960156"/>
    <w:rsid w:val="00961128"/>
    <w:rsid w:val="00966016"/>
    <w:rsid w:val="009875F3"/>
    <w:rsid w:val="00991C1B"/>
    <w:rsid w:val="00994A52"/>
    <w:rsid w:val="00994FB9"/>
    <w:rsid w:val="00995199"/>
    <w:rsid w:val="00995A90"/>
    <w:rsid w:val="009A35B9"/>
    <w:rsid w:val="009A523C"/>
    <w:rsid w:val="009A77F5"/>
    <w:rsid w:val="009A7AEA"/>
    <w:rsid w:val="009B15B3"/>
    <w:rsid w:val="009C51EE"/>
    <w:rsid w:val="009C7835"/>
    <w:rsid w:val="009D07BD"/>
    <w:rsid w:val="009D0F02"/>
    <w:rsid w:val="009D6BE0"/>
    <w:rsid w:val="009E1C50"/>
    <w:rsid w:val="009E6611"/>
    <w:rsid w:val="009F0AFA"/>
    <w:rsid w:val="009F4B26"/>
    <w:rsid w:val="009F7548"/>
    <w:rsid w:val="00A006FA"/>
    <w:rsid w:val="00A008F7"/>
    <w:rsid w:val="00A01B2D"/>
    <w:rsid w:val="00A01FA3"/>
    <w:rsid w:val="00A0215C"/>
    <w:rsid w:val="00A026EE"/>
    <w:rsid w:val="00A03239"/>
    <w:rsid w:val="00A03D9D"/>
    <w:rsid w:val="00A0417F"/>
    <w:rsid w:val="00A12A80"/>
    <w:rsid w:val="00A14BD3"/>
    <w:rsid w:val="00A15EA3"/>
    <w:rsid w:val="00A258F4"/>
    <w:rsid w:val="00A33C72"/>
    <w:rsid w:val="00A418DA"/>
    <w:rsid w:val="00A44206"/>
    <w:rsid w:val="00A4667C"/>
    <w:rsid w:val="00A47B3E"/>
    <w:rsid w:val="00A52B54"/>
    <w:rsid w:val="00A561AF"/>
    <w:rsid w:val="00A60C84"/>
    <w:rsid w:val="00A616F9"/>
    <w:rsid w:val="00A64F39"/>
    <w:rsid w:val="00A66861"/>
    <w:rsid w:val="00A669D8"/>
    <w:rsid w:val="00A710C2"/>
    <w:rsid w:val="00A87C17"/>
    <w:rsid w:val="00A87EFA"/>
    <w:rsid w:val="00A91017"/>
    <w:rsid w:val="00A95627"/>
    <w:rsid w:val="00AA5B7A"/>
    <w:rsid w:val="00AB0473"/>
    <w:rsid w:val="00AB0573"/>
    <w:rsid w:val="00AC0EE3"/>
    <w:rsid w:val="00AD41A6"/>
    <w:rsid w:val="00AE0DF8"/>
    <w:rsid w:val="00AE4476"/>
    <w:rsid w:val="00AE45BB"/>
    <w:rsid w:val="00AF05E5"/>
    <w:rsid w:val="00AF40D7"/>
    <w:rsid w:val="00B05D89"/>
    <w:rsid w:val="00B11120"/>
    <w:rsid w:val="00B11C2E"/>
    <w:rsid w:val="00B1626E"/>
    <w:rsid w:val="00B1673B"/>
    <w:rsid w:val="00B17FAA"/>
    <w:rsid w:val="00B33CDD"/>
    <w:rsid w:val="00B34C2C"/>
    <w:rsid w:val="00B3601D"/>
    <w:rsid w:val="00B530FB"/>
    <w:rsid w:val="00B53181"/>
    <w:rsid w:val="00B56D48"/>
    <w:rsid w:val="00B577B9"/>
    <w:rsid w:val="00B668FA"/>
    <w:rsid w:val="00B6784A"/>
    <w:rsid w:val="00B67DAC"/>
    <w:rsid w:val="00B805B2"/>
    <w:rsid w:val="00B844E2"/>
    <w:rsid w:val="00B9545D"/>
    <w:rsid w:val="00BA4076"/>
    <w:rsid w:val="00BA4B01"/>
    <w:rsid w:val="00BA5925"/>
    <w:rsid w:val="00BA5EC3"/>
    <w:rsid w:val="00BA7FFE"/>
    <w:rsid w:val="00BB1E5B"/>
    <w:rsid w:val="00BB7BBA"/>
    <w:rsid w:val="00BC290B"/>
    <w:rsid w:val="00BC29D9"/>
    <w:rsid w:val="00BC3144"/>
    <w:rsid w:val="00BC501F"/>
    <w:rsid w:val="00BD03DC"/>
    <w:rsid w:val="00BD0AE7"/>
    <w:rsid w:val="00BD2285"/>
    <w:rsid w:val="00BD251A"/>
    <w:rsid w:val="00BD2A4B"/>
    <w:rsid w:val="00BE40D2"/>
    <w:rsid w:val="00BE42FE"/>
    <w:rsid w:val="00BE73E9"/>
    <w:rsid w:val="00BF021B"/>
    <w:rsid w:val="00BF6D44"/>
    <w:rsid w:val="00C01E51"/>
    <w:rsid w:val="00C04221"/>
    <w:rsid w:val="00C064CA"/>
    <w:rsid w:val="00C07BDA"/>
    <w:rsid w:val="00C345E4"/>
    <w:rsid w:val="00C34D0A"/>
    <w:rsid w:val="00C374A6"/>
    <w:rsid w:val="00C4153E"/>
    <w:rsid w:val="00C426BD"/>
    <w:rsid w:val="00C46689"/>
    <w:rsid w:val="00C61BAA"/>
    <w:rsid w:val="00C83B07"/>
    <w:rsid w:val="00C91086"/>
    <w:rsid w:val="00C93CDF"/>
    <w:rsid w:val="00C97142"/>
    <w:rsid w:val="00CA00DC"/>
    <w:rsid w:val="00CA1752"/>
    <w:rsid w:val="00CA2D57"/>
    <w:rsid w:val="00CB1877"/>
    <w:rsid w:val="00CB1F43"/>
    <w:rsid w:val="00CB3735"/>
    <w:rsid w:val="00CB5925"/>
    <w:rsid w:val="00CC195A"/>
    <w:rsid w:val="00CC2990"/>
    <w:rsid w:val="00CC779F"/>
    <w:rsid w:val="00CE1281"/>
    <w:rsid w:val="00CE25B9"/>
    <w:rsid w:val="00CE745B"/>
    <w:rsid w:val="00CF09B4"/>
    <w:rsid w:val="00CF54E8"/>
    <w:rsid w:val="00CF56F4"/>
    <w:rsid w:val="00D02A09"/>
    <w:rsid w:val="00D02AD3"/>
    <w:rsid w:val="00D02BC5"/>
    <w:rsid w:val="00D129E7"/>
    <w:rsid w:val="00D16F15"/>
    <w:rsid w:val="00D2025E"/>
    <w:rsid w:val="00D259D7"/>
    <w:rsid w:val="00D27DEC"/>
    <w:rsid w:val="00D337A2"/>
    <w:rsid w:val="00D351FC"/>
    <w:rsid w:val="00D379B5"/>
    <w:rsid w:val="00D40692"/>
    <w:rsid w:val="00D47074"/>
    <w:rsid w:val="00D526EA"/>
    <w:rsid w:val="00D71C04"/>
    <w:rsid w:val="00D724E9"/>
    <w:rsid w:val="00D725FE"/>
    <w:rsid w:val="00D74077"/>
    <w:rsid w:val="00D74EA9"/>
    <w:rsid w:val="00D8743F"/>
    <w:rsid w:val="00D940C1"/>
    <w:rsid w:val="00DA3299"/>
    <w:rsid w:val="00DA49A2"/>
    <w:rsid w:val="00DA5C6F"/>
    <w:rsid w:val="00DB0408"/>
    <w:rsid w:val="00DB450A"/>
    <w:rsid w:val="00DB46A1"/>
    <w:rsid w:val="00DC21B5"/>
    <w:rsid w:val="00DC56BA"/>
    <w:rsid w:val="00DC755C"/>
    <w:rsid w:val="00DD1E9F"/>
    <w:rsid w:val="00DE0E42"/>
    <w:rsid w:val="00DE339E"/>
    <w:rsid w:val="00DE3D01"/>
    <w:rsid w:val="00DE7D8E"/>
    <w:rsid w:val="00DE7DCC"/>
    <w:rsid w:val="00DF169A"/>
    <w:rsid w:val="00DF5FF1"/>
    <w:rsid w:val="00DF7896"/>
    <w:rsid w:val="00E0339E"/>
    <w:rsid w:val="00E041E7"/>
    <w:rsid w:val="00E12BFD"/>
    <w:rsid w:val="00E17718"/>
    <w:rsid w:val="00E25193"/>
    <w:rsid w:val="00E3227E"/>
    <w:rsid w:val="00E40341"/>
    <w:rsid w:val="00E41AC9"/>
    <w:rsid w:val="00E43AAA"/>
    <w:rsid w:val="00E57239"/>
    <w:rsid w:val="00E714E6"/>
    <w:rsid w:val="00E716CB"/>
    <w:rsid w:val="00E72633"/>
    <w:rsid w:val="00E77BE8"/>
    <w:rsid w:val="00E83B48"/>
    <w:rsid w:val="00E90D74"/>
    <w:rsid w:val="00E9321A"/>
    <w:rsid w:val="00E96298"/>
    <w:rsid w:val="00EB2C62"/>
    <w:rsid w:val="00EB3346"/>
    <w:rsid w:val="00EB6BFB"/>
    <w:rsid w:val="00ED57D6"/>
    <w:rsid w:val="00EE1938"/>
    <w:rsid w:val="00EE5022"/>
    <w:rsid w:val="00EE5F83"/>
    <w:rsid w:val="00EF6829"/>
    <w:rsid w:val="00EF6961"/>
    <w:rsid w:val="00F0292E"/>
    <w:rsid w:val="00F02ADE"/>
    <w:rsid w:val="00F066CB"/>
    <w:rsid w:val="00F07336"/>
    <w:rsid w:val="00F075C0"/>
    <w:rsid w:val="00F10AFD"/>
    <w:rsid w:val="00F13297"/>
    <w:rsid w:val="00F22580"/>
    <w:rsid w:val="00F26C63"/>
    <w:rsid w:val="00F26F4A"/>
    <w:rsid w:val="00F30B6A"/>
    <w:rsid w:val="00F32285"/>
    <w:rsid w:val="00F332EC"/>
    <w:rsid w:val="00F344E1"/>
    <w:rsid w:val="00F42B8D"/>
    <w:rsid w:val="00F4453B"/>
    <w:rsid w:val="00F5343E"/>
    <w:rsid w:val="00F53AAE"/>
    <w:rsid w:val="00F55B18"/>
    <w:rsid w:val="00F64DE4"/>
    <w:rsid w:val="00F67BC5"/>
    <w:rsid w:val="00F67D33"/>
    <w:rsid w:val="00F719CD"/>
    <w:rsid w:val="00F75368"/>
    <w:rsid w:val="00F84DC6"/>
    <w:rsid w:val="00F929D9"/>
    <w:rsid w:val="00F92A23"/>
    <w:rsid w:val="00F94D02"/>
    <w:rsid w:val="00FA007C"/>
    <w:rsid w:val="00FA440D"/>
    <w:rsid w:val="00FA44B6"/>
    <w:rsid w:val="00FB0374"/>
    <w:rsid w:val="00FB2C3F"/>
    <w:rsid w:val="00FC0B12"/>
    <w:rsid w:val="00FD1E14"/>
    <w:rsid w:val="00FD4E18"/>
    <w:rsid w:val="00FD5E42"/>
    <w:rsid w:val="00FD6411"/>
    <w:rsid w:val="00FD7434"/>
    <w:rsid w:val="00FE0A2C"/>
    <w:rsid w:val="00FE334F"/>
    <w:rsid w:val="00FE3B53"/>
    <w:rsid w:val="00FE5367"/>
    <w:rsid w:val="00FE58F3"/>
    <w:rsid w:val="00FE641F"/>
    <w:rsid w:val="00FE714D"/>
    <w:rsid w:val="00FF4922"/>
    <w:rsid w:val="00FF796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4B2D6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nhideWhenUsed/>
    <w:rsid w:val="00F64DE4"/>
    <w:rPr>
      <w:color w:val="0000FF"/>
      <w:u w:val="single"/>
    </w:rPr>
  </w:style>
  <w:style w:type="paragraph" w:styleId="ParastaisWeb">
    <w:name w:val="Normal (Web)"/>
    <w:basedOn w:val="Parastais"/>
    <w:uiPriority w:val="99"/>
    <w:unhideWhenUsed/>
    <w:rsid w:val="00F64DE4"/>
    <w:pPr>
      <w:spacing w:before="100" w:beforeAutospacing="1" w:after="100" w:afterAutospacing="1"/>
    </w:pPr>
  </w:style>
  <w:style w:type="paragraph" w:styleId="Komentrateksts">
    <w:name w:val="annotation text"/>
    <w:basedOn w:val="Parastais"/>
    <w:link w:val="KomentratekstsRakstz"/>
    <w:unhideWhenUsed/>
    <w:rsid w:val="00F64DE4"/>
    <w:rPr>
      <w:sz w:val="20"/>
      <w:szCs w:val="20"/>
    </w:rPr>
  </w:style>
  <w:style w:type="character" w:customStyle="1" w:styleId="KomentratekstsRakstz">
    <w:name w:val="Komentāra teksts Rakstz."/>
    <w:basedOn w:val="Noklusjumarindkopasfonts"/>
    <w:link w:val="Komentrateksts"/>
    <w:rsid w:val="00F64DE4"/>
    <w:rPr>
      <w:rFonts w:ascii="Times New Roman" w:eastAsia="Times New Roman" w:hAnsi="Times New Roman" w:cs="Times New Roman"/>
      <w:sz w:val="20"/>
      <w:szCs w:val="20"/>
      <w:lang w:eastAsia="lv-LV"/>
    </w:rPr>
  </w:style>
  <w:style w:type="paragraph" w:styleId="Galvene">
    <w:name w:val="header"/>
    <w:basedOn w:val="Parastais"/>
    <w:link w:val="GalveneRakstz"/>
    <w:uiPriority w:val="99"/>
    <w:unhideWhenUsed/>
    <w:rsid w:val="00F64DE4"/>
    <w:pPr>
      <w:widowControl w:val="0"/>
      <w:tabs>
        <w:tab w:val="center" w:pos="4153"/>
        <w:tab w:val="right" w:pos="8306"/>
      </w:tabs>
    </w:pPr>
    <w:rPr>
      <w:sz w:val="28"/>
      <w:szCs w:val="20"/>
      <w:lang w:eastAsia="en-US"/>
    </w:rPr>
  </w:style>
  <w:style w:type="character" w:customStyle="1" w:styleId="GalveneRakstz">
    <w:name w:val="Galvene Rakstz."/>
    <w:basedOn w:val="Noklusjumarindkopasfonts"/>
    <w:link w:val="Galvene"/>
    <w:uiPriority w:val="99"/>
    <w:rsid w:val="00F64DE4"/>
    <w:rPr>
      <w:rFonts w:ascii="Times New Roman" w:eastAsia="Times New Roman" w:hAnsi="Times New Roman" w:cs="Times New Roman"/>
      <w:sz w:val="28"/>
      <w:szCs w:val="20"/>
    </w:rPr>
  </w:style>
  <w:style w:type="paragraph" w:styleId="Kjene">
    <w:name w:val="footer"/>
    <w:basedOn w:val="Parastais"/>
    <w:link w:val="KjeneRakstz"/>
    <w:uiPriority w:val="99"/>
    <w:unhideWhenUsed/>
    <w:rsid w:val="00F64DE4"/>
    <w:pPr>
      <w:tabs>
        <w:tab w:val="center" w:pos="4153"/>
        <w:tab w:val="right" w:pos="8306"/>
      </w:tabs>
    </w:pPr>
  </w:style>
  <w:style w:type="character" w:customStyle="1" w:styleId="KjeneRakstz">
    <w:name w:val="Kājene Rakstz."/>
    <w:basedOn w:val="Noklusjumarindkopasfonts"/>
    <w:link w:val="Kjene"/>
    <w:uiPriority w:val="99"/>
    <w:rsid w:val="00F64DE4"/>
    <w:rPr>
      <w:rFonts w:ascii="Times New Roman" w:eastAsia="Times New Roman" w:hAnsi="Times New Roman" w:cs="Times New Roman"/>
      <w:sz w:val="24"/>
      <w:szCs w:val="24"/>
      <w:lang w:eastAsia="lv-LV"/>
    </w:rPr>
  </w:style>
  <w:style w:type="paragraph" w:styleId="Bezatstarpm">
    <w:name w:val="No Spacing"/>
    <w:uiPriority w:val="1"/>
    <w:qFormat/>
    <w:rsid w:val="00F64DE4"/>
    <w:pPr>
      <w:spacing w:after="0" w:line="240" w:lineRule="auto"/>
    </w:pPr>
    <w:rPr>
      <w:rFonts w:ascii="Calibri" w:eastAsia="Calibri" w:hAnsi="Calibri" w:cs="Times New Roman"/>
    </w:rPr>
  </w:style>
  <w:style w:type="paragraph" w:styleId="Sarakstarindkopa">
    <w:name w:val="List Paragraph"/>
    <w:aliases w:val="Colorful List - Accent 12,Akapit z listą BS"/>
    <w:basedOn w:val="Parastais"/>
    <w:link w:val="SarakstarindkopaRakstz"/>
    <w:uiPriority w:val="34"/>
    <w:qFormat/>
    <w:rsid w:val="00F64DE4"/>
    <w:pPr>
      <w:ind w:left="720"/>
      <w:contextualSpacing/>
    </w:pPr>
    <w:rPr>
      <w:rFonts w:ascii="Calibri" w:eastAsia="Calibri" w:hAnsi="Calibri"/>
      <w:sz w:val="22"/>
      <w:szCs w:val="22"/>
      <w:lang w:eastAsia="en-US"/>
    </w:rPr>
  </w:style>
  <w:style w:type="paragraph" w:customStyle="1" w:styleId="naisf">
    <w:name w:val="naisf"/>
    <w:basedOn w:val="Parastais"/>
    <w:uiPriority w:val="99"/>
    <w:rsid w:val="00F64DE4"/>
    <w:pPr>
      <w:spacing w:before="75" w:after="75"/>
      <w:ind w:firstLine="375"/>
      <w:jc w:val="both"/>
    </w:pPr>
  </w:style>
  <w:style w:type="paragraph" w:customStyle="1" w:styleId="naisnod">
    <w:name w:val="naisnod"/>
    <w:basedOn w:val="Parastais"/>
    <w:uiPriority w:val="99"/>
    <w:rsid w:val="00F64DE4"/>
    <w:pPr>
      <w:spacing w:before="150" w:after="150"/>
      <w:jc w:val="center"/>
    </w:pPr>
    <w:rPr>
      <w:b/>
      <w:bCs/>
    </w:rPr>
  </w:style>
  <w:style w:type="paragraph" w:customStyle="1" w:styleId="naiskr">
    <w:name w:val="naiskr"/>
    <w:basedOn w:val="Parastais"/>
    <w:uiPriority w:val="99"/>
    <w:rsid w:val="00F64DE4"/>
    <w:pPr>
      <w:spacing w:before="75" w:after="75"/>
    </w:pPr>
  </w:style>
  <w:style w:type="paragraph" w:customStyle="1" w:styleId="naisc">
    <w:name w:val="naisc"/>
    <w:basedOn w:val="Parastais"/>
    <w:rsid w:val="00F64DE4"/>
    <w:pPr>
      <w:spacing w:before="75" w:after="75"/>
      <w:jc w:val="center"/>
    </w:pPr>
  </w:style>
  <w:style w:type="paragraph" w:styleId="Balonteksts">
    <w:name w:val="Balloon Text"/>
    <w:basedOn w:val="Parastais"/>
    <w:link w:val="BalontekstsRakstz"/>
    <w:uiPriority w:val="99"/>
    <w:semiHidden/>
    <w:unhideWhenUsed/>
    <w:rsid w:val="00F64DE4"/>
    <w:pPr>
      <w:widowControl w:val="0"/>
    </w:pPr>
    <w:rPr>
      <w:rFonts w:ascii="Tahoma" w:eastAsia="Calibri" w:hAnsi="Tahoma" w:cs="Tahoma"/>
      <w:sz w:val="16"/>
      <w:szCs w:val="16"/>
      <w:lang w:val="en-US" w:eastAsia="en-US"/>
    </w:rPr>
  </w:style>
  <w:style w:type="character" w:customStyle="1" w:styleId="BalontekstsRakstz">
    <w:name w:val="Balonteksts Rakstz."/>
    <w:basedOn w:val="Noklusjumarindkopasfonts"/>
    <w:link w:val="Balonteksts"/>
    <w:uiPriority w:val="99"/>
    <w:semiHidden/>
    <w:rsid w:val="00F64DE4"/>
    <w:rPr>
      <w:rFonts w:ascii="Tahoma" w:eastAsia="Calibri" w:hAnsi="Tahoma" w:cs="Tahoma"/>
      <w:sz w:val="16"/>
      <w:szCs w:val="16"/>
      <w:lang w:val="en-US"/>
    </w:rPr>
  </w:style>
  <w:style w:type="paragraph" w:customStyle="1" w:styleId="Paraststmeklis1">
    <w:name w:val="Parasts (tīmeklis)1"/>
    <w:basedOn w:val="Parastais"/>
    <w:rsid w:val="00B844E2"/>
    <w:pPr>
      <w:spacing w:before="100" w:beforeAutospacing="1" w:after="100" w:afterAutospacing="1"/>
    </w:pPr>
    <w:rPr>
      <w:rFonts w:ascii="Helvetica" w:hAnsi="Helvetica"/>
      <w:color w:val="000000"/>
      <w:sz w:val="20"/>
      <w:szCs w:val="20"/>
    </w:rPr>
  </w:style>
  <w:style w:type="paragraph" w:customStyle="1" w:styleId="Default">
    <w:name w:val="Default"/>
    <w:rsid w:val="00032061"/>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rsid w:val="00025346"/>
    <w:rPr>
      <w:vertAlign w:val="superscript"/>
    </w:rPr>
  </w:style>
  <w:style w:type="paragraph" w:customStyle="1" w:styleId="CharCharCharChar">
    <w:name w:val="Char Char Char Char"/>
    <w:aliases w:val="Char2"/>
    <w:basedOn w:val="Parastais"/>
    <w:next w:val="Parastais"/>
    <w:link w:val="Vresatsauce"/>
    <w:uiPriority w:val="99"/>
    <w:rsid w:val="00025346"/>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ais"/>
    <w:link w:val="VrestekstsRakstz"/>
    <w:rsid w:val="00025346"/>
    <w:rPr>
      <w:sz w:val="20"/>
      <w:szCs w:val="20"/>
      <w:lang w:val="en-AU"/>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basedOn w:val="Noklusjumarindkopasfonts"/>
    <w:link w:val="Vresteksts"/>
    <w:rsid w:val="00025346"/>
    <w:rPr>
      <w:rFonts w:ascii="Times New Roman" w:eastAsia="Times New Roman" w:hAnsi="Times New Roman" w:cs="Times New Roman"/>
      <w:sz w:val="20"/>
      <w:szCs w:val="20"/>
      <w:lang w:val="en-AU" w:eastAsia="lv-LV"/>
    </w:rPr>
  </w:style>
  <w:style w:type="paragraph" w:customStyle="1" w:styleId="tv2132">
    <w:name w:val="tv2132"/>
    <w:basedOn w:val="Parastais"/>
    <w:rsid w:val="00720BC3"/>
    <w:pPr>
      <w:spacing w:line="360" w:lineRule="auto"/>
      <w:ind w:firstLine="272"/>
    </w:pPr>
    <w:rPr>
      <w:color w:val="414142"/>
      <w:sz w:val="18"/>
      <w:szCs w:val="18"/>
    </w:rPr>
  </w:style>
  <w:style w:type="paragraph" w:customStyle="1" w:styleId="thr">
    <w:name w:val="thr"/>
    <w:basedOn w:val="Parastais"/>
    <w:uiPriority w:val="99"/>
    <w:rsid w:val="00720BC3"/>
    <w:pPr>
      <w:spacing w:before="100" w:beforeAutospacing="1" w:after="100" w:afterAutospacing="1"/>
      <w:jc w:val="right"/>
    </w:pPr>
  </w:style>
  <w:style w:type="character" w:styleId="Komentraatsauce">
    <w:name w:val="annotation reference"/>
    <w:basedOn w:val="Noklusjumarindkopasfonts"/>
    <w:uiPriority w:val="99"/>
    <w:semiHidden/>
    <w:unhideWhenUsed/>
    <w:rsid w:val="00371DF2"/>
    <w:rPr>
      <w:sz w:val="16"/>
      <w:szCs w:val="16"/>
    </w:rPr>
  </w:style>
  <w:style w:type="paragraph" w:styleId="Komentratma">
    <w:name w:val="annotation subject"/>
    <w:basedOn w:val="Komentrateksts"/>
    <w:next w:val="Komentrateksts"/>
    <w:link w:val="KomentratmaRakstz"/>
    <w:uiPriority w:val="99"/>
    <w:semiHidden/>
    <w:unhideWhenUsed/>
    <w:rsid w:val="00371DF2"/>
    <w:rPr>
      <w:b/>
      <w:bCs/>
    </w:rPr>
  </w:style>
  <w:style w:type="character" w:customStyle="1" w:styleId="KomentratmaRakstz">
    <w:name w:val="Komentāra tēma Rakstz."/>
    <w:basedOn w:val="KomentratekstsRakstz"/>
    <w:link w:val="Komentratma"/>
    <w:uiPriority w:val="99"/>
    <w:semiHidden/>
    <w:rsid w:val="00371DF2"/>
    <w:rPr>
      <w:rFonts w:ascii="Times New Roman" w:eastAsia="Times New Roman" w:hAnsi="Times New Roman" w:cs="Times New Roman"/>
      <w:b/>
      <w:bCs/>
      <w:sz w:val="20"/>
      <w:szCs w:val="20"/>
      <w:lang w:eastAsia="lv-LV"/>
    </w:rPr>
  </w:style>
  <w:style w:type="paragraph" w:styleId="Prskatjums">
    <w:name w:val="Revision"/>
    <w:hidden/>
    <w:uiPriority w:val="99"/>
    <w:semiHidden/>
    <w:rsid w:val="00B05D89"/>
    <w:pPr>
      <w:spacing w:after="0" w:line="240" w:lineRule="auto"/>
    </w:pPr>
    <w:rPr>
      <w:rFonts w:ascii="Times New Roman" w:eastAsia="Times New Roman" w:hAnsi="Times New Roman" w:cs="Times New Roman"/>
      <w:sz w:val="24"/>
      <w:szCs w:val="24"/>
      <w:lang w:eastAsia="lv-LV"/>
    </w:rPr>
  </w:style>
  <w:style w:type="paragraph" w:styleId="Pamatteksts">
    <w:name w:val="Body Text"/>
    <w:basedOn w:val="Parastais"/>
    <w:link w:val="PamattekstsRakstz"/>
    <w:uiPriority w:val="99"/>
    <w:unhideWhenUsed/>
    <w:rsid w:val="00D379B5"/>
    <w:pPr>
      <w:spacing w:after="120"/>
    </w:pPr>
  </w:style>
  <w:style w:type="character" w:customStyle="1" w:styleId="PamattekstsRakstz">
    <w:name w:val="Pamatteksts Rakstz."/>
    <w:basedOn w:val="Noklusjumarindkopasfonts"/>
    <w:link w:val="Pamatteksts"/>
    <w:uiPriority w:val="99"/>
    <w:rsid w:val="00D379B5"/>
    <w:rPr>
      <w:rFonts w:ascii="Times New Roman" w:eastAsia="Times New Roman" w:hAnsi="Times New Roman" w:cs="Times New Roman"/>
      <w:sz w:val="24"/>
      <w:szCs w:val="24"/>
      <w:lang w:eastAsia="lv-LV"/>
    </w:rPr>
  </w:style>
  <w:style w:type="character" w:customStyle="1" w:styleId="ListParagraphChar">
    <w:name w:val="List Paragraph Char"/>
    <w:aliases w:val="2 Char,H&amp;P List Paragraph Char,Strip Char,Normal bullet 2 Char,Bullet list Char,List Paragraph1 Char"/>
    <w:basedOn w:val="Noklusjumarindkopasfonts"/>
    <w:link w:val="Sarakstarindkopa1"/>
    <w:uiPriority w:val="34"/>
    <w:locked/>
    <w:rsid w:val="009A7AEA"/>
    <w:rPr>
      <w:rFonts w:ascii="Calibri" w:hAnsi="Calibri"/>
    </w:rPr>
  </w:style>
  <w:style w:type="paragraph" w:customStyle="1" w:styleId="Sarakstarindkopa1">
    <w:name w:val="Saraksta rindkopa1"/>
    <w:aliases w:val="2,H&amp;P List Paragraph,Strip,Normal bullet 2,Bullet list,List Paragraph1"/>
    <w:basedOn w:val="Parastais"/>
    <w:link w:val="ListParagraphChar"/>
    <w:uiPriority w:val="34"/>
    <w:rsid w:val="009A7AEA"/>
    <w:pPr>
      <w:ind w:left="720"/>
      <w:contextualSpacing/>
      <w:jc w:val="both"/>
    </w:pPr>
    <w:rPr>
      <w:rFonts w:ascii="Calibri" w:eastAsiaTheme="minorHAnsi" w:hAnsi="Calibri" w:cstheme="minorBidi"/>
      <w:sz w:val="22"/>
      <w:szCs w:val="22"/>
      <w:lang w:eastAsia="en-US"/>
    </w:rPr>
  </w:style>
  <w:style w:type="character" w:customStyle="1" w:styleId="SarakstarindkopaRakstz">
    <w:name w:val="Saraksta rindkopa Rakstz."/>
    <w:aliases w:val="Colorful List - Accent 12 Rakstz.,Akapit z listą BS Rakstz."/>
    <w:link w:val="Sarakstarindkopa"/>
    <w:uiPriority w:val="34"/>
    <w:rsid w:val="000D049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32163469">
      <w:bodyDiv w:val="1"/>
      <w:marLeft w:val="0"/>
      <w:marRight w:val="0"/>
      <w:marTop w:val="0"/>
      <w:marBottom w:val="0"/>
      <w:divBdr>
        <w:top w:val="none" w:sz="0" w:space="0" w:color="auto"/>
        <w:left w:val="none" w:sz="0" w:space="0" w:color="auto"/>
        <w:bottom w:val="none" w:sz="0" w:space="0" w:color="auto"/>
        <w:right w:val="none" w:sz="0" w:space="0" w:color="auto"/>
      </w:divBdr>
    </w:div>
    <w:div w:id="655107495">
      <w:bodyDiv w:val="1"/>
      <w:marLeft w:val="0"/>
      <w:marRight w:val="0"/>
      <w:marTop w:val="0"/>
      <w:marBottom w:val="0"/>
      <w:divBdr>
        <w:top w:val="none" w:sz="0" w:space="0" w:color="auto"/>
        <w:left w:val="none" w:sz="0" w:space="0" w:color="auto"/>
        <w:bottom w:val="none" w:sz="0" w:space="0" w:color="auto"/>
        <w:right w:val="none" w:sz="0" w:space="0" w:color="auto"/>
      </w:divBdr>
    </w:div>
    <w:div w:id="681934078">
      <w:bodyDiv w:val="1"/>
      <w:marLeft w:val="0"/>
      <w:marRight w:val="0"/>
      <w:marTop w:val="0"/>
      <w:marBottom w:val="0"/>
      <w:divBdr>
        <w:top w:val="none" w:sz="0" w:space="0" w:color="auto"/>
        <w:left w:val="none" w:sz="0" w:space="0" w:color="auto"/>
        <w:bottom w:val="none" w:sz="0" w:space="0" w:color="auto"/>
        <w:right w:val="none" w:sz="0" w:space="0" w:color="auto"/>
      </w:divBdr>
    </w:div>
    <w:div w:id="910043561">
      <w:bodyDiv w:val="1"/>
      <w:marLeft w:val="0"/>
      <w:marRight w:val="0"/>
      <w:marTop w:val="0"/>
      <w:marBottom w:val="0"/>
      <w:divBdr>
        <w:top w:val="none" w:sz="0" w:space="0" w:color="auto"/>
        <w:left w:val="none" w:sz="0" w:space="0" w:color="auto"/>
        <w:bottom w:val="none" w:sz="0" w:space="0" w:color="auto"/>
        <w:right w:val="none" w:sz="0" w:space="0" w:color="auto"/>
      </w:divBdr>
      <w:divsChild>
        <w:div w:id="1134717564">
          <w:marLeft w:val="0"/>
          <w:marRight w:val="0"/>
          <w:marTop w:val="0"/>
          <w:marBottom w:val="0"/>
          <w:divBdr>
            <w:top w:val="none" w:sz="0" w:space="0" w:color="auto"/>
            <w:left w:val="none" w:sz="0" w:space="0" w:color="auto"/>
            <w:bottom w:val="none" w:sz="0" w:space="0" w:color="auto"/>
            <w:right w:val="none" w:sz="0" w:space="0" w:color="auto"/>
          </w:divBdr>
          <w:divsChild>
            <w:div w:id="354035977">
              <w:marLeft w:val="0"/>
              <w:marRight w:val="0"/>
              <w:marTop w:val="0"/>
              <w:marBottom w:val="0"/>
              <w:divBdr>
                <w:top w:val="none" w:sz="0" w:space="0" w:color="auto"/>
                <w:left w:val="none" w:sz="0" w:space="0" w:color="auto"/>
                <w:bottom w:val="none" w:sz="0" w:space="0" w:color="auto"/>
                <w:right w:val="none" w:sz="0" w:space="0" w:color="auto"/>
              </w:divBdr>
              <w:divsChild>
                <w:div w:id="578709255">
                  <w:marLeft w:val="0"/>
                  <w:marRight w:val="0"/>
                  <w:marTop w:val="0"/>
                  <w:marBottom w:val="0"/>
                  <w:divBdr>
                    <w:top w:val="none" w:sz="0" w:space="0" w:color="auto"/>
                    <w:left w:val="none" w:sz="0" w:space="0" w:color="auto"/>
                    <w:bottom w:val="none" w:sz="0" w:space="0" w:color="auto"/>
                    <w:right w:val="none" w:sz="0" w:space="0" w:color="auto"/>
                  </w:divBdr>
                  <w:divsChild>
                    <w:div w:id="608243040">
                      <w:marLeft w:val="0"/>
                      <w:marRight w:val="0"/>
                      <w:marTop w:val="0"/>
                      <w:marBottom w:val="0"/>
                      <w:divBdr>
                        <w:top w:val="none" w:sz="0" w:space="0" w:color="auto"/>
                        <w:left w:val="none" w:sz="0" w:space="0" w:color="auto"/>
                        <w:bottom w:val="none" w:sz="0" w:space="0" w:color="auto"/>
                        <w:right w:val="none" w:sz="0" w:space="0" w:color="auto"/>
                      </w:divBdr>
                      <w:divsChild>
                        <w:div w:id="1547837700">
                          <w:marLeft w:val="0"/>
                          <w:marRight w:val="0"/>
                          <w:marTop w:val="0"/>
                          <w:marBottom w:val="0"/>
                          <w:divBdr>
                            <w:top w:val="none" w:sz="0" w:space="0" w:color="auto"/>
                            <w:left w:val="none" w:sz="0" w:space="0" w:color="auto"/>
                            <w:bottom w:val="none" w:sz="0" w:space="0" w:color="auto"/>
                            <w:right w:val="none" w:sz="0" w:space="0" w:color="auto"/>
                          </w:divBdr>
                          <w:divsChild>
                            <w:div w:id="18497072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530998">
      <w:bodyDiv w:val="1"/>
      <w:marLeft w:val="0"/>
      <w:marRight w:val="0"/>
      <w:marTop w:val="0"/>
      <w:marBottom w:val="0"/>
      <w:divBdr>
        <w:top w:val="none" w:sz="0" w:space="0" w:color="auto"/>
        <w:left w:val="none" w:sz="0" w:space="0" w:color="auto"/>
        <w:bottom w:val="none" w:sz="0" w:space="0" w:color="auto"/>
        <w:right w:val="none" w:sz="0" w:space="0" w:color="auto"/>
      </w:divBdr>
    </w:div>
    <w:div w:id="1268733968">
      <w:bodyDiv w:val="1"/>
      <w:marLeft w:val="0"/>
      <w:marRight w:val="0"/>
      <w:marTop w:val="0"/>
      <w:marBottom w:val="0"/>
      <w:divBdr>
        <w:top w:val="none" w:sz="0" w:space="0" w:color="auto"/>
        <w:left w:val="none" w:sz="0" w:space="0" w:color="auto"/>
        <w:bottom w:val="none" w:sz="0" w:space="0" w:color="auto"/>
        <w:right w:val="none" w:sz="0" w:space="0" w:color="auto"/>
      </w:divBdr>
    </w:div>
    <w:div w:id="1359156629">
      <w:bodyDiv w:val="1"/>
      <w:marLeft w:val="0"/>
      <w:marRight w:val="0"/>
      <w:marTop w:val="0"/>
      <w:marBottom w:val="0"/>
      <w:divBdr>
        <w:top w:val="none" w:sz="0" w:space="0" w:color="auto"/>
        <w:left w:val="none" w:sz="0" w:space="0" w:color="auto"/>
        <w:bottom w:val="none" w:sz="0" w:space="0" w:color="auto"/>
        <w:right w:val="none" w:sz="0" w:space="0" w:color="auto"/>
      </w:divBdr>
    </w:div>
    <w:div w:id="1502964920">
      <w:bodyDiv w:val="1"/>
      <w:marLeft w:val="0"/>
      <w:marRight w:val="0"/>
      <w:marTop w:val="0"/>
      <w:marBottom w:val="0"/>
      <w:divBdr>
        <w:top w:val="none" w:sz="0" w:space="0" w:color="auto"/>
        <w:left w:val="none" w:sz="0" w:space="0" w:color="auto"/>
        <w:bottom w:val="none" w:sz="0" w:space="0" w:color="auto"/>
        <w:right w:val="none" w:sz="0" w:space="0" w:color="auto"/>
      </w:divBdr>
      <w:divsChild>
        <w:div w:id="1478306591">
          <w:marLeft w:val="0"/>
          <w:marRight w:val="0"/>
          <w:marTop w:val="0"/>
          <w:marBottom w:val="0"/>
          <w:divBdr>
            <w:top w:val="none" w:sz="0" w:space="0" w:color="auto"/>
            <w:left w:val="none" w:sz="0" w:space="0" w:color="auto"/>
            <w:bottom w:val="none" w:sz="0" w:space="0" w:color="auto"/>
            <w:right w:val="none" w:sz="0" w:space="0" w:color="auto"/>
          </w:divBdr>
          <w:divsChild>
            <w:div w:id="1616868155">
              <w:marLeft w:val="0"/>
              <w:marRight w:val="0"/>
              <w:marTop w:val="0"/>
              <w:marBottom w:val="0"/>
              <w:divBdr>
                <w:top w:val="none" w:sz="0" w:space="0" w:color="auto"/>
                <w:left w:val="none" w:sz="0" w:space="0" w:color="auto"/>
                <w:bottom w:val="none" w:sz="0" w:space="0" w:color="auto"/>
                <w:right w:val="none" w:sz="0" w:space="0" w:color="auto"/>
              </w:divBdr>
              <w:divsChild>
                <w:div w:id="63377471">
                  <w:marLeft w:val="0"/>
                  <w:marRight w:val="0"/>
                  <w:marTop w:val="0"/>
                  <w:marBottom w:val="0"/>
                  <w:divBdr>
                    <w:top w:val="none" w:sz="0" w:space="0" w:color="auto"/>
                    <w:left w:val="none" w:sz="0" w:space="0" w:color="auto"/>
                    <w:bottom w:val="none" w:sz="0" w:space="0" w:color="auto"/>
                    <w:right w:val="none" w:sz="0" w:space="0" w:color="auto"/>
                  </w:divBdr>
                  <w:divsChild>
                    <w:div w:id="1743137044">
                      <w:marLeft w:val="0"/>
                      <w:marRight w:val="0"/>
                      <w:marTop w:val="0"/>
                      <w:marBottom w:val="0"/>
                      <w:divBdr>
                        <w:top w:val="none" w:sz="0" w:space="0" w:color="auto"/>
                        <w:left w:val="none" w:sz="0" w:space="0" w:color="auto"/>
                        <w:bottom w:val="none" w:sz="0" w:space="0" w:color="auto"/>
                        <w:right w:val="none" w:sz="0" w:space="0" w:color="auto"/>
                      </w:divBdr>
                      <w:divsChild>
                        <w:div w:id="1708748764">
                          <w:marLeft w:val="0"/>
                          <w:marRight w:val="0"/>
                          <w:marTop w:val="0"/>
                          <w:marBottom w:val="0"/>
                          <w:divBdr>
                            <w:top w:val="none" w:sz="0" w:space="0" w:color="auto"/>
                            <w:left w:val="none" w:sz="0" w:space="0" w:color="auto"/>
                            <w:bottom w:val="none" w:sz="0" w:space="0" w:color="auto"/>
                            <w:right w:val="none" w:sz="0" w:space="0" w:color="auto"/>
                          </w:divBdr>
                          <w:divsChild>
                            <w:div w:id="16136303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901994">
      <w:bodyDiv w:val="1"/>
      <w:marLeft w:val="0"/>
      <w:marRight w:val="0"/>
      <w:marTop w:val="0"/>
      <w:marBottom w:val="0"/>
      <w:divBdr>
        <w:top w:val="none" w:sz="0" w:space="0" w:color="auto"/>
        <w:left w:val="none" w:sz="0" w:space="0" w:color="auto"/>
        <w:bottom w:val="none" w:sz="0" w:space="0" w:color="auto"/>
        <w:right w:val="none" w:sz="0" w:space="0" w:color="auto"/>
      </w:divBdr>
    </w:div>
    <w:div w:id="192518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dgars.Mednis@nkc.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7873</Words>
  <Characters>4489</Characters>
  <Application>Microsoft Office Word</Application>
  <DocSecurity>0</DocSecurity>
  <Lines>37</Lines>
  <Paragraphs>24</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12338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Puisāne</dc:creator>
  <cp:lastModifiedBy>inesed</cp:lastModifiedBy>
  <cp:revision>4</cp:revision>
  <cp:lastPrinted>2018-03-05T07:30:00Z</cp:lastPrinted>
  <dcterms:created xsi:type="dcterms:W3CDTF">2020-07-01T13:35:00Z</dcterms:created>
  <dcterms:modified xsi:type="dcterms:W3CDTF">2020-07-02T14:09:00Z</dcterms:modified>
</cp:coreProperties>
</file>