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12" w:rsidRDefault="00837612" w:rsidP="00837612"/>
    <w:tbl>
      <w:tblPr>
        <w:tblW w:w="5000" w:type="pct"/>
        <w:jc w:val="center"/>
        <w:tblLook w:val="00A0" w:firstRow="1" w:lastRow="0" w:firstColumn="1" w:lastColumn="0" w:noHBand="0" w:noVBand="0"/>
      </w:tblPr>
      <w:tblGrid>
        <w:gridCol w:w="14264"/>
      </w:tblGrid>
      <w:tr w:rsidR="00837612" w:rsidRPr="00002879" w:rsidTr="0085497D">
        <w:trPr>
          <w:jc w:val="center"/>
        </w:trPr>
        <w:tc>
          <w:tcPr>
            <w:tcW w:w="5000" w:type="pct"/>
            <w:tcBorders>
              <w:bottom w:val="single" w:sz="6" w:space="0" w:color="000000"/>
            </w:tcBorders>
          </w:tcPr>
          <w:p w:rsidR="00837612" w:rsidRPr="00002879" w:rsidRDefault="00837612" w:rsidP="0085497D">
            <w:pPr>
              <w:pStyle w:val="Footer"/>
              <w:jc w:val="center"/>
              <w:rPr>
                <w:b/>
              </w:rPr>
            </w:pPr>
            <w:r w:rsidRPr="00002879">
              <w:rPr>
                <w:b/>
                <w:bCs/>
              </w:rPr>
              <w:t>Izziņa par atzinumos sniegtajiem iebildumiem l</w:t>
            </w:r>
            <w:r w:rsidRPr="00002879">
              <w:rPr>
                <w:b/>
                <w:lang w:eastAsia="ar-SA"/>
              </w:rPr>
              <w:t xml:space="preserve">ikumprojektam </w:t>
            </w:r>
            <w:r w:rsidRPr="00607EF1">
              <w:rPr>
                <w:b/>
              </w:rPr>
              <w:t>"</w:t>
            </w:r>
            <w:r w:rsidRPr="00607EF1">
              <w:rPr>
                <w:b/>
                <w:iCs/>
                <w:noProof/>
              </w:rPr>
              <w:t>Grozījumi Militārpersonu izdienas pensiju likumā</w:t>
            </w:r>
            <w:r w:rsidRPr="00607EF1">
              <w:rPr>
                <w:b/>
              </w:rPr>
              <w:t>"</w:t>
            </w:r>
          </w:p>
        </w:tc>
      </w:tr>
    </w:tbl>
    <w:p w:rsidR="00837612" w:rsidRPr="00002879" w:rsidRDefault="00837612" w:rsidP="00837612">
      <w:pPr>
        <w:pStyle w:val="naisc"/>
        <w:spacing w:before="0" w:after="0"/>
        <w:ind w:firstLine="1080"/>
      </w:pPr>
      <w:r w:rsidRPr="00002879">
        <w:t>(dokumenta veids un nosaukums)</w:t>
      </w:r>
    </w:p>
    <w:p w:rsidR="00837612" w:rsidRDefault="00837612" w:rsidP="00837612">
      <w:pPr>
        <w:pStyle w:val="naisc"/>
        <w:spacing w:before="0" w:after="0"/>
        <w:ind w:firstLine="1080"/>
      </w:pPr>
    </w:p>
    <w:p w:rsidR="00837612" w:rsidRPr="00AC62C9" w:rsidRDefault="00837612" w:rsidP="00837612">
      <w:pPr>
        <w:pStyle w:val="naisc"/>
        <w:spacing w:before="0" w:after="0"/>
        <w:ind w:firstLine="1080"/>
        <w:rPr>
          <w:b/>
          <w:bCs/>
        </w:rPr>
      </w:pPr>
      <w:r w:rsidRPr="00AC62C9">
        <w:rPr>
          <w:b/>
          <w:bCs/>
        </w:rPr>
        <w:t xml:space="preserve"> </w:t>
      </w:r>
    </w:p>
    <w:p w:rsidR="00837612" w:rsidRPr="00AC62C9" w:rsidRDefault="00837612" w:rsidP="00837612">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837612"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837612" w:rsidRPr="00AC62C9" w:rsidRDefault="00837612" w:rsidP="0085497D">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837612" w:rsidRPr="00AC62C9" w:rsidRDefault="00837612" w:rsidP="0085497D">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837612" w:rsidRPr="00AC62C9" w:rsidRDefault="00837612" w:rsidP="0085497D">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837612" w:rsidRPr="00AC62C9" w:rsidRDefault="00837612" w:rsidP="0085497D">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837612" w:rsidRPr="00AC62C9" w:rsidRDefault="00837612" w:rsidP="0085497D">
            <w:pPr>
              <w:jc w:val="center"/>
            </w:pPr>
            <w:r w:rsidRPr="00AC62C9">
              <w:t>Projekta attiecīgā punkta (panta) galīgā redakcija</w:t>
            </w:r>
          </w:p>
        </w:tc>
      </w:tr>
      <w:tr w:rsidR="00837612"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837612" w:rsidRPr="00AC62C9" w:rsidRDefault="00837612" w:rsidP="0085497D">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837612" w:rsidRPr="00AC62C9" w:rsidRDefault="00837612" w:rsidP="0085497D">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837612" w:rsidRPr="00AC62C9" w:rsidRDefault="00837612" w:rsidP="0085497D">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837612" w:rsidRPr="00AC62C9" w:rsidRDefault="00837612" w:rsidP="0085497D">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837612" w:rsidRPr="00AC62C9" w:rsidRDefault="00837612" w:rsidP="0085497D">
            <w:pPr>
              <w:jc w:val="center"/>
            </w:pPr>
            <w:r w:rsidRPr="00AC62C9">
              <w:t>5</w:t>
            </w:r>
          </w:p>
        </w:tc>
      </w:tr>
      <w:tr w:rsidR="00837612" w:rsidRPr="00AC62C9" w:rsidTr="0085497D">
        <w:trPr>
          <w:gridAfter w:val="1"/>
          <w:wAfter w:w="165" w:type="pct"/>
        </w:trPr>
        <w:tc>
          <w:tcPr>
            <w:tcW w:w="4835" w:type="pct"/>
            <w:gridSpan w:val="7"/>
            <w:tcBorders>
              <w:left w:val="single" w:sz="6" w:space="0" w:color="000000"/>
              <w:bottom w:val="single" w:sz="4" w:space="0" w:color="auto"/>
            </w:tcBorders>
          </w:tcPr>
          <w:p w:rsidR="00837612" w:rsidRDefault="00837612" w:rsidP="0085497D">
            <w:pPr>
              <w:pStyle w:val="tv213"/>
              <w:spacing w:before="0" w:beforeAutospacing="0" w:after="0" w:afterAutospacing="0"/>
              <w:jc w:val="center"/>
              <w:rPr>
                <w:b/>
                <w:bCs/>
              </w:rPr>
            </w:pPr>
          </w:p>
          <w:p w:rsidR="00837612" w:rsidRPr="00AC62C9" w:rsidRDefault="00837612" w:rsidP="0085497D">
            <w:pPr>
              <w:pStyle w:val="tv213"/>
              <w:spacing w:before="0" w:beforeAutospacing="0" w:after="0" w:afterAutospacing="0"/>
              <w:jc w:val="center"/>
              <w:rPr>
                <w:b/>
                <w:bCs/>
              </w:rPr>
            </w:pPr>
            <w:r>
              <w:rPr>
                <w:b/>
                <w:bCs/>
              </w:rPr>
              <w:t>Tieslietu ministrija</w:t>
            </w:r>
          </w:p>
        </w:tc>
      </w:tr>
      <w:tr w:rsidR="00837612"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837612" w:rsidRPr="00EB1668" w:rsidRDefault="00837612" w:rsidP="0085497D">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837612" w:rsidRPr="00176870" w:rsidRDefault="00837612" w:rsidP="0085497D">
            <w:r w:rsidRPr="006D399A">
              <w:t>Skat. anotācijas I sadaļas 2.punktu.</w:t>
            </w:r>
          </w:p>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Pr="00176870" w:rsidRDefault="00837612" w:rsidP="0085497D"/>
          <w:p w:rsidR="00837612" w:rsidRDefault="00837612" w:rsidP="0085497D"/>
          <w:p w:rsidR="00837612" w:rsidRPr="002E4757" w:rsidRDefault="00837612" w:rsidP="0085497D"/>
          <w:p w:rsidR="00837612" w:rsidRPr="002E4757" w:rsidRDefault="00837612" w:rsidP="0085497D"/>
          <w:p w:rsidR="00837612" w:rsidRPr="002E4757" w:rsidRDefault="00837612" w:rsidP="0085497D">
            <w:pPr>
              <w:jc w:val="center"/>
            </w:pPr>
          </w:p>
          <w:p w:rsidR="00837612" w:rsidRPr="002E4757" w:rsidRDefault="00837612" w:rsidP="0085497D"/>
        </w:tc>
        <w:tc>
          <w:tcPr>
            <w:tcW w:w="1546" w:type="pct"/>
            <w:gridSpan w:val="2"/>
            <w:tcBorders>
              <w:top w:val="single" w:sz="6" w:space="0" w:color="000000"/>
              <w:left w:val="single" w:sz="6" w:space="0" w:color="000000"/>
              <w:bottom w:val="single" w:sz="6" w:space="0" w:color="000000"/>
              <w:right w:val="single" w:sz="6" w:space="0" w:color="000000"/>
            </w:tcBorders>
          </w:tcPr>
          <w:p w:rsidR="00607EF1" w:rsidRPr="00607EF1" w:rsidRDefault="00607EF1" w:rsidP="00607EF1">
            <w:pPr>
              <w:pStyle w:val="NormalWeb"/>
              <w:tabs>
                <w:tab w:val="left" w:pos="993"/>
              </w:tabs>
              <w:spacing w:before="0" w:after="0"/>
              <w:ind w:right="12"/>
              <w:jc w:val="both"/>
              <w:rPr>
                <w:color w:val="000000"/>
                <w:sz w:val="22"/>
                <w:szCs w:val="22"/>
              </w:rPr>
            </w:pPr>
            <w:r w:rsidRPr="00607EF1">
              <w:rPr>
                <w:color w:val="000000"/>
                <w:sz w:val="22"/>
                <w:szCs w:val="22"/>
              </w:rPr>
              <w:lastRenderedPageBreak/>
              <w:t xml:space="preserve">Lūdzam papildināt projekta anotāciju ar informāciju par projektā ietvertā regulējuma </w:t>
            </w:r>
            <w:proofErr w:type="spellStart"/>
            <w:r w:rsidRPr="00607EF1">
              <w:rPr>
                <w:color w:val="000000"/>
                <w:sz w:val="22"/>
                <w:szCs w:val="22"/>
              </w:rPr>
              <w:t>satversmību</w:t>
            </w:r>
            <w:proofErr w:type="spellEnd"/>
            <w:r w:rsidRPr="00607EF1">
              <w:rPr>
                <w:color w:val="000000"/>
                <w:sz w:val="22"/>
                <w:szCs w:val="22"/>
              </w:rPr>
              <w:t>, konkrēti, atbilstību tiesiskās paļāvības principam.</w:t>
            </w:r>
          </w:p>
          <w:p w:rsidR="00607EF1" w:rsidRPr="00607EF1" w:rsidRDefault="00607EF1" w:rsidP="00607EF1">
            <w:pPr>
              <w:pStyle w:val="NormalWeb"/>
              <w:spacing w:before="0" w:after="0"/>
              <w:ind w:right="12" w:firstLine="709"/>
              <w:jc w:val="both"/>
              <w:rPr>
                <w:color w:val="000000"/>
                <w:sz w:val="22"/>
                <w:szCs w:val="22"/>
              </w:rPr>
            </w:pPr>
            <w:r w:rsidRPr="00607EF1">
              <w:rPr>
                <w:color w:val="000000"/>
                <w:sz w:val="22"/>
                <w:szCs w:val="22"/>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607EF1">
              <w:rPr>
                <w:color w:val="000000"/>
                <w:sz w:val="22"/>
                <w:szCs w:val="22"/>
              </w:rPr>
              <w:t>pamattiesībām</w:t>
            </w:r>
            <w:proofErr w:type="spellEnd"/>
            <w:r w:rsidRPr="00607EF1">
              <w:rPr>
                <w:color w:val="000000"/>
                <w:sz w:val="22"/>
                <w:szCs w:val="22"/>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607EF1">
              <w:rPr>
                <w:i/>
                <w:iCs/>
                <w:color w:val="000000"/>
                <w:sz w:val="22"/>
                <w:szCs w:val="22"/>
              </w:rPr>
              <w:t>Satversmes tiesas 2001. gada 13. marta sprieduma lietā Nr. 2000-08-0109 secinājumu daļas pirmo rindkopu</w:t>
            </w:r>
            <w:r w:rsidRPr="00607EF1">
              <w:rPr>
                <w:color w:val="000000"/>
                <w:sz w:val="22"/>
                <w:szCs w:val="22"/>
              </w:rPr>
              <w:t>). Satversmes 109. pants</w:t>
            </w:r>
            <w:r w:rsidRPr="00607EF1">
              <w:rPr>
                <w:rStyle w:val="FootnoteReference"/>
                <w:color w:val="000000"/>
                <w:sz w:val="22"/>
                <w:szCs w:val="22"/>
              </w:rPr>
              <w:footnoteReference w:id="1"/>
            </w:r>
            <w:r w:rsidRPr="00607EF1">
              <w:rPr>
                <w:color w:val="000000"/>
                <w:sz w:val="22"/>
                <w:szCs w:val="22"/>
              </w:rPr>
              <w:t xml:space="preserve"> negarantē personām tiesības uz konkrētiem pensijas </w:t>
            </w:r>
            <w:r w:rsidRPr="00607EF1">
              <w:rPr>
                <w:color w:val="000000"/>
                <w:sz w:val="22"/>
                <w:szCs w:val="22"/>
              </w:rPr>
              <w:lastRenderedPageBreak/>
              <w:t xml:space="preserve">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607EF1">
              <w:rPr>
                <w:i/>
                <w:iCs/>
                <w:color w:val="000000"/>
                <w:sz w:val="22"/>
                <w:szCs w:val="22"/>
              </w:rPr>
              <w:t>Satversmes tiesas 2010. gada 31. marta sprieduma lietā Nr. 2009-76-01 5.5. punktu</w:t>
            </w:r>
            <w:r w:rsidRPr="00607EF1">
              <w:rPr>
                <w:color w:val="000000"/>
                <w:sz w:val="22"/>
                <w:szCs w:val="22"/>
              </w:rPr>
              <w:t>)</w:t>
            </w:r>
            <w:r w:rsidRPr="00607EF1">
              <w:rPr>
                <w:rStyle w:val="FootnoteReference"/>
                <w:color w:val="000000"/>
                <w:sz w:val="22"/>
                <w:szCs w:val="22"/>
              </w:rPr>
              <w:footnoteReference w:id="2"/>
            </w:r>
            <w:r w:rsidRPr="00607EF1">
              <w:rPr>
                <w:color w:val="000000"/>
                <w:sz w:val="22"/>
                <w:szCs w:val="22"/>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607EF1">
              <w:rPr>
                <w:i/>
                <w:iCs/>
                <w:color w:val="000000"/>
                <w:sz w:val="22"/>
                <w:szCs w:val="22"/>
              </w:rPr>
              <w:t>Satversmes tiesas 2002. gada 19. marta sprieduma lietā Nr. 2001-12-01 secinājumu daļas 2. punktu un 2009. gada 26. novembra sprieduma lietā Nr. 2009-08-01 15. punktu</w:t>
            </w:r>
            <w:r w:rsidRPr="00607EF1">
              <w:rPr>
                <w:color w:val="000000"/>
                <w:sz w:val="22"/>
                <w:szCs w:val="22"/>
              </w:rPr>
              <w:t>).</w:t>
            </w:r>
          </w:p>
          <w:p w:rsidR="00607EF1" w:rsidRPr="00607EF1" w:rsidRDefault="00607EF1" w:rsidP="00607EF1">
            <w:pPr>
              <w:pStyle w:val="NormalWeb"/>
              <w:spacing w:before="0" w:after="0"/>
              <w:ind w:right="12" w:firstLine="709"/>
              <w:jc w:val="both"/>
              <w:rPr>
                <w:color w:val="000000"/>
                <w:sz w:val="22"/>
                <w:szCs w:val="22"/>
              </w:rPr>
            </w:pPr>
            <w:r w:rsidRPr="00607EF1">
              <w:rPr>
                <w:color w:val="000000"/>
                <w:sz w:val="22"/>
                <w:szCs w:val="22"/>
              </w:rPr>
              <w:t xml:space="preserve">Attiecīgi lūdzam izvērtēt un projekta anotāciju papildināt ar detalizētu skaidrojumu, vai ar projektu tiek ievērots Satversmes 1. un 109. pants un netiek nesamērīgi aizskarta to personu tiesiskā paļāvība, kurām pensija saskaņā ar likumu "Par valsts pensijām" tiks piešķirta pēc 2022. gada 31. decembra un kuras veikušas iemaksas </w:t>
            </w:r>
            <w:proofErr w:type="spellStart"/>
            <w:r w:rsidRPr="00607EF1">
              <w:rPr>
                <w:color w:val="000000"/>
                <w:sz w:val="22"/>
                <w:szCs w:val="22"/>
              </w:rPr>
              <w:t>fondēto</w:t>
            </w:r>
            <w:proofErr w:type="spellEnd"/>
            <w:r w:rsidRPr="00607EF1">
              <w:rPr>
                <w:color w:val="000000"/>
                <w:sz w:val="22"/>
                <w:szCs w:val="22"/>
              </w:rPr>
              <w:t xml:space="preserve"> pensiju shēmā saskaņā ar Valsts </w:t>
            </w:r>
            <w:proofErr w:type="spellStart"/>
            <w:r w:rsidRPr="00607EF1">
              <w:rPr>
                <w:color w:val="000000"/>
                <w:sz w:val="22"/>
                <w:szCs w:val="22"/>
              </w:rPr>
              <w:t>fondēto</w:t>
            </w:r>
            <w:proofErr w:type="spellEnd"/>
            <w:r w:rsidRPr="00607EF1">
              <w:rPr>
                <w:color w:val="000000"/>
                <w:sz w:val="22"/>
                <w:szCs w:val="22"/>
              </w:rPr>
              <w:t xml:space="preserve"> pensiju likuma 4. pantu. Norādām, ka tiesiskās paļāvības princips pra</w:t>
            </w:r>
            <w:bookmarkStart w:id="0" w:name="_GoBack"/>
            <w:bookmarkEnd w:id="0"/>
            <w:r w:rsidRPr="00607EF1">
              <w:rPr>
                <w:color w:val="000000"/>
                <w:sz w:val="22"/>
                <w:szCs w:val="22"/>
              </w:rPr>
              <w:t xml:space="preserve">sa, lai valsts, mainot normatīvo regulējumu, ievērotu saprātīgu līdzsvaru starp personas paļāvību un tām interesēm, kuru nodrošināšanas labad regulējums tiek mainīts. </w:t>
            </w:r>
            <w:r w:rsidRPr="00607EF1">
              <w:rPr>
                <w:color w:val="000000"/>
                <w:sz w:val="22"/>
                <w:szCs w:val="22"/>
              </w:rPr>
              <w:lastRenderedPageBreak/>
              <w:t>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607EF1">
              <w:rPr>
                <w:rStyle w:val="FootnoteReference"/>
                <w:color w:val="000000"/>
                <w:sz w:val="22"/>
                <w:szCs w:val="22"/>
              </w:rPr>
              <w:footnoteReference w:id="3"/>
            </w:r>
            <w:r w:rsidRPr="00607EF1">
              <w:rPr>
                <w:color w:val="000000"/>
                <w:sz w:val="22"/>
                <w:szCs w:val="22"/>
              </w:rPr>
              <w:t>; 2) ir ievērots saprātīgs līdzsvars starp personas tiesiskās paļāvības aizsardzību un sabiedrības interešu nodrošināšanu (sk.</w:t>
            </w:r>
            <w:r w:rsidRPr="00607EF1">
              <w:rPr>
                <w:i/>
                <w:iCs/>
                <w:color w:val="000000"/>
                <w:sz w:val="22"/>
                <w:szCs w:val="22"/>
              </w:rPr>
              <w:t xml:space="preserve"> Satversmes tiesas 2009. gada 26. novembra sprieduma lietā Nr. 2009-08-01 23. punktu</w:t>
            </w:r>
            <w:r w:rsidRPr="00607EF1">
              <w:rPr>
                <w:color w:val="000000"/>
                <w:sz w:val="22"/>
                <w:szCs w:val="22"/>
              </w:rPr>
              <w:t>)</w:t>
            </w:r>
            <w:r w:rsidRPr="00607EF1">
              <w:rPr>
                <w:i/>
                <w:iCs/>
                <w:color w:val="000000"/>
                <w:sz w:val="22"/>
                <w:szCs w:val="22"/>
              </w:rPr>
              <w:t>.</w:t>
            </w:r>
            <w:r w:rsidRPr="00607EF1">
              <w:rPr>
                <w:color w:val="000000"/>
                <w:sz w:val="22"/>
                <w:szCs w:val="22"/>
              </w:rPr>
              <w:t xml:space="preserve"> </w:t>
            </w:r>
          </w:p>
          <w:p w:rsidR="00607EF1" w:rsidRPr="00607EF1" w:rsidRDefault="00607EF1" w:rsidP="00607EF1">
            <w:pPr>
              <w:ind w:right="12" w:firstLine="709"/>
              <w:jc w:val="both"/>
              <w:rPr>
                <w:sz w:val="22"/>
                <w:szCs w:val="22"/>
              </w:rPr>
            </w:pPr>
            <w:r w:rsidRPr="00607EF1">
              <w:rPr>
                <w:color w:val="000000"/>
                <w:sz w:val="22"/>
                <w:szCs w:val="22"/>
              </w:rPr>
              <w:t xml:space="preserve">Tai skaitā vēršam uzmanību, ka daļai personu daļas </w:t>
            </w:r>
            <w:r w:rsidRPr="00607EF1">
              <w:rPr>
                <w:sz w:val="22"/>
                <w:szCs w:val="22"/>
              </w:rPr>
              <w:t xml:space="preserve">no </w:t>
            </w:r>
            <w:r w:rsidRPr="00607EF1">
              <w:rPr>
                <w:color w:val="000000"/>
                <w:sz w:val="22"/>
                <w:szCs w:val="22"/>
              </w:rPr>
              <w:t xml:space="preserve">faktiski veiktajām iemaksām valsts pensiju apdrošināšanai novirzīšana </w:t>
            </w:r>
            <w:proofErr w:type="spellStart"/>
            <w:r w:rsidRPr="00607EF1">
              <w:rPr>
                <w:color w:val="000000"/>
                <w:sz w:val="22"/>
                <w:szCs w:val="22"/>
              </w:rPr>
              <w:t>fondēto</w:t>
            </w:r>
            <w:proofErr w:type="spellEnd"/>
            <w:r w:rsidRPr="00607EF1">
              <w:rPr>
                <w:color w:val="000000"/>
                <w:sz w:val="22"/>
                <w:szCs w:val="22"/>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vietnē manapensija.lv, “</w:t>
            </w:r>
            <w:r w:rsidRPr="00607EF1">
              <w:rPr>
                <w:i/>
                <w:iCs/>
                <w:color w:val="000000"/>
                <w:sz w:val="22"/>
                <w:szCs w:val="22"/>
              </w:rPr>
              <w:t xml:space="preserve">pensiju 2. līmenis ietver valsts </w:t>
            </w:r>
            <w:proofErr w:type="spellStart"/>
            <w:r w:rsidRPr="00607EF1">
              <w:rPr>
                <w:i/>
                <w:iCs/>
                <w:color w:val="000000"/>
                <w:sz w:val="22"/>
                <w:szCs w:val="22"/>
              </w:rPr>
              <w:t>fondēto</w:t>
            </w:r>
            <w:proofErr w:type="spellEnd"/>
            <w:r w:rsidRPr="00607EF1">
              <w:rPr>
                <w:i/>
                <w:iCs/>
                <w:color w:val="000000"/>
                <w:sz w:val="22"/>
                <w:szCs w:val="22"/>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607EF1">
              <w:rPr>
                <w:color w:val="000000"/>
                <w:sz w:val="22"/>
                <w:szCs w:val="22"/>
              </w:rPr>
              <w:t xml:space="preserve">”. Līdz ar to arī personas, kurām vecuma pensija (tai skaitā minimālā pensija) tiks piešķirta pēc 2022. gada 31. decembra un kuru pensiju apmēru ietekmēs projektā ietvertais regulējums, varēja rēķināties ar iespēju saskaņā ar Valsts </w:t>
            </w:r>
            <w:proofErr w:type="spellStart"/>
            <w:r w:rsidRPr="00607EF1">
              <w:rPr>
                <w:color w:val="000000"/>
                <w:sz w:val="22"/>
                <w:szCs w:val="22"/>
              </w:rPr>
              <w:t>fondēto</w:t>
            </w:r>
            <w:proofErr w:type="spellEnd"/>
            <w:r w:rsidRPr="00607EF1">
              <w:rPr>
                <w:color w:val="000000"/>
                <w:sz w:val="22"/>
                <w:szCs w:val="22"/>
              </w:rPr>
              <w:t xml:space="preserve"> pensiju </w:t>
            </w:r>
            <w:r w:rsidRPr="00607EF1">
              <w:rPr>
                <w:color w:val="000000"/>
                <w:sz w:val="22"/>
                <w:szCs w:val="22"/>
              </w:rPr>
              <w:lastRenderedPageBreak/>
              <w:t>likuma 7. pantu izvēlēties sev izdevīgāko fondētā pensijas kapitāla izmantošanas iespēju. Uzsveram, ja projektā paredzētie grozījumi likumā negatīvi un bez būtiska pamatojuma ietekmē personu jau iegūtās tiesības, Tieslietu ministrija nevar atbalstīt projekta tālāku virzību.</w:t>
            </w:r>
          </w:p>
          <w:p w:rsidR="00837612" w:rsidRPr="00607EF1" w:rsidRDefault="00837612" w:rsidP="0085497D">
            <w:pPr>
              <w:jc w:val="both"/>
              <w:rPr>
                <w:sz w:val="22"/>
                <w:szCs w:val="22"/>
              </w:rPr>
            </w:pPr>
          </w:p>
        </w:tc>
        <w:tc>
          <w:tcPr>
            <w:tcW w:w="1080" w:type="pct"/>
            <w:tcBorders>
              <w:top w:val="single" w:sz="6" w:space="0" w:color="000000"/>
              <w:left w:val="single" w:sz="6" w:space="0" w:color="000000"/>
              <w:bottom w:val="single" w:sz="6" w:space="0" w:color="000000"/>
              <w:right w:val="single" w:sz="6" w:space="0" w:color="000000"/>
            </w:tcBorders>
          </w:tcPr>
          <w:p w:rsidR="00837612" w:rsidRPr="00B61B0C" w:rsidRDefault="00837612" w:rsidP="0085497D">
            <w:pPr>
              <w:rPr>
                <w:b/>
              </w:rPr>
            </w:pPr>
            <w:r w:rsidRPr="00B61B0C">
              <w:rPr>
                <w:b/>
              </w:rPr>
              <w:lastRenderedPageBreak/>
              <w:t>Iebildums ņemts vērā.</w:t>
            </w:r>
          </w:p>
          <w:p w:rsidR="00837612" w:rsidRPr="00EB1668" w:rsidRDefault="00837612" w:rsidP="0085497D"/>
        </w:tc>
        <w:tc>
          <w:tcPr>
            <w:tcW w:w="969" w:type="pct"/>
            <w:tcBorders>
              <w:top w:val="single" w:sz="4" w:space="0" w:color="auto"/>
              <w:left w:val="single" w:sz="4" w:space="0" w:color="auto"/>
              <w:bottom w:val="single" w:sz="4" w:space="0" w:color="auto"/>
            </w:tcBorders>
          </w:tcPr>
          <w:p w:rsidR="00837612" w:rsidRPr="00EB1668" w:rsidRDefault="00837612" w:rsidP="0085497D">
            <w:r w:rsidRPr="006D399A">
              <w:t>Skat. anotācijas I sadaļas 2.punktu.</w:t>
            </w:r>
          </w:p>
        </w:tc>
      </w:tr>
      <w:tr w:rsidR="00837612"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837612" w:rsidRPr="00EB1668" w:rsidRDefault="00837612" w:rsidP="0085497D">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837612" w:rsidRDefault="00837612"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607EF1" w:rsidRPr="00607EF1" w:rsidRDefault="00607EF1" w:rsidP="00607EF1">
            <w:pPr>
              <w:pStyle w:val="NormalWeb"/>
              <w:spacing w:before="0" w:after="0"/>
              <w:ind w:right="11" w:firstLine="709"/>
              <w:jc w:val="both"/>
              <w:rPr>
                <w:color w:val="000000"/>
              </w:rPr>
            </w:pPr>
            <w:bookmarkStart w:id="1" w:name="_Hlk41577724"/>
            <w:r w:rsidRPr="00607EF1">
              <w:rPr>
                <w:color w:val="000000"/>
              </w:rPr>
              <w:t xml:space="preserve">Projektā lietots termins “mūža pensijas mēneša apmērs”, kas noteikts atbilstoši dzīvības apdrošināšanas (mūža pensijas) līgumam par valsts </w:t>
            </w:r>
            <w:proofErr w:type="spellStart"/>
            <w:r w:rsidRPr="00607EF1">
              <w:rPr>
                <w:color w:val="000000"/>
              </w:rPr>
              <w:t>fondēto</w:t>
            </w:r>
            <w:proofErr w:type="spellEnd"/>
            <w:r w:rsidRPr="00607EF1">
              <w:rPr>
                <w:color w:val="000000"/>
              </w:rPr>
              <w:t xml:space="preserve"> pensiju shēmā uzkrātā </w:t>
            </w:r>
            <w:proofErr w:type="spellStart"/>
            <w:r w:rsidRPr="00607EF1">
              <w:rPr>
                <w:color w:val="000000"/>
              </w:rPr>
              <w:t>fondētās</w:t>
            </w:r>
            <w:proofErr w:type="spellEnd"/>
            <w:r w:rsidRPr="00607EF1">
              <w:rPr>
                <w:color w:val="000000"/>
              </w:rPr>
              <w:t xml:space="preserve"> pensijas kapitāla izmantošanu. Minētais termins tiek ieviests ar saistīto likumprojektu “Grozījumi Valsts </w:t>
            </w:r>
            <w:proofErr w:type="spellStart"/>
            <w:r w:rsidRPr="00607EF1">
              <w:rPr>
                <w:color w:val="000000"/>
              </w:rPr>
              <w:t>fondēto</w:t>
            </w:r>
            <w:proofErr w:type="spellEnd"/>
            <w:r w:rsidRPr="00607EF1">
              <w:rPr>
                <w:color w:val="000000"/>
              </w:rPr>
              <w:t xml:space="preserve"> pensiju likumā”, kurā ietvertie papildinājumi 7. panta </w:t>
            </w:r>
            <w:r w:rsidRPr="00607EF1">
              <w:t xml:space="preserve">papildināt pirmās daļas </w:t>
            </w:r>
            <w:r w:rsidRPr="00607EF1">
              <w:rPr>
                <w:color w:val="000000"/>
              </w:rPr>
              <w:t xml:space="preserve">2. punktā paredz, ka “dzīvības apdrošināšanas (mūža pensijas) līgumā tiek noteikts mūža pensijas mēneša apmērs, kas tiek izmaksāts visā mūža pensijas izmaksas periodā (..).”. </w:t>
            </w:r>
          </w:p>
          <w:p w:rsidR="00607EF1" w:rsidRPr="00607EF1" w:rsidRDefault="00607EF1" w:rsidP="00607EF1">
            <w:pPr>
              <w:pStyle w:val="NormalWeb"/>
              <w:spacing w:before="0" w:after="0"/>
              <w:ind w:right="11" w:firstLine="709"/>
              <w:jc w:val="both"/>
              <w:rPr>
                <w:color w:val="000000"/>
              </w:rPr>
            </w:pPr>
            <w:r w:rsidRPr="00607EF1">
              <w:rPr>
                <w:color w:val="000000"/>
              </w:rPr>
              <w:t xml:space="preserve">Vēršam uzmanību, ka minētā mūza pensijas mēneša apmēra aprēķināšana nav skaidra. Saskaņā ar Ministru kabineta 2003. gada 27. maija noteikumu Nr. 272 "Noteikumi par valsts </w:t>
            </w:r>
            <w:proofErr w:type="spellStart"/>
            <w:r w:rsidRPr="00607EF1">
              <w:rPr>
                <w:color w:val="000000"/>
              </w:rPr>
              <w:t>fondēto</w:t>
            </w:r>
            <w:proofErr w:type="spellEnd"/>
            <w:r w:rsidRPr="00607EF1">
              <w:rPr>
                <w:color w:val="000000"/>
              </w:rPr>
              <w:t xml:space="preserve"> pensiju shēmas darbību" (turpmāk – noteikumi Nr. 272) 73.</w:t>
            </w:r>
            <w:r w:rsidRPr="00607EF1">
              <w:rPr>
                <w:color w:val="000000"/>
                <w:vertAlign w:val="superscript"/>
              </w:rPr>
              <w:t>5</w:t>
            </w:r>
            <w:r w:rsidRPr="00607EF1">
              <w:rPr>
                <w:color w:val="000000"/>
              </w:rPr>
              <w:t> punktu, pamatojoties uz mūža pensijas apdrošināšanas līgumu, apdrošinātajai personai līdz nāvei tiek garantēta mūža pensija līgumā noteiktajā apmērā. Savukārt no noteikumu Nr. 272 73.</w:t>
            </w:r>
            <w:r w:rsidRPr="00607EF1">
              <w:rPr>
                <w:color w:val="000000"/>
                <w:vertAlign w:val="superscript"/>
              </w:rPr>
              <w:t>6</w:t>
            </w:r>
            <w:r w:rsidRPr="00607EF1">
              <w:rPr>
                <w:color w:val="000000"/>
              </w:rPr>
              <w:t xml:space="preserve"> punkta izriet, ka mūža pensijas var izmaksāt periodiski – reizi mēnesī, reizi </w:t>
            </w:r>
            <w:r w:rsidRPr="00607EF1">
              <w:rPr>
                <w:color w:val="000000"/>
              </w:rPr>
              <w:lastRenderedPageBreak/>
              <w:t xml:space="preserve">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607EF1">
              <w:rPr>
                <w:color w:val="000000"/>
              </w:rPr>
              <w:t>pirmšķietami</w:t>
            </w:r>
            <w:proofErr w:type="spellEnd"/>
            <w:r w:rsidRPr="00607EF1">
              <w:rPr>
                <w:color w:val="000000"/>
              </w:rPr>
              <w:t xml:space="preserve"> neizriet, ka mūža pensijas </w:t>
            </w:r>
            <w:r w:rsidRPr="00607EF1">
              <w:rPr>
                <w:color w:val="000000"/>
                <w:u w:val="single"/>
              </w:rPr>
              <w:t>mēneša</w:t>
            </w:r>
            <w:r w:rsidRPr="00607EF1">
              <w:rPr>
                <w:color w:val="000000"/>
              </w:rPr>
              <w:t xml:space="preserve"> apmēram jābūt obligāti atrunātam dzīvības apdrošināšanas (mūža pensijas) līgumā, turklāt mēneša apmērs var būt noteikts atšķirīgi vairāku mūža pensijas izmaksu posmos.</w:t>
            </w:r>
          </w:p>
          <w:p w:rsidR="00607EF1" w:rsidRPr="00607EF1" w:rsidRDefault="00607EF1" w:rsidP="00607EF1">
            <w:pPr>
              <w:pStyle w:val="NormalWeb"/>
              <w:spacing w:before="0" w:after="0"/>
              <w:ind w:right="11" w:firstLine="709"/>
              <w:jc w:val="both"/>
              <w:rPr>
                <w:color w:val="000000"/>
              </w:rPr>
            </w:pPr>
            <w:r w:rsidRPr="00607EF1">
              <w:rPr>
                <w:color w:val="000000"/>
              </w:rPr>
              <w:t>Norādām, ka no projekta anotācijas IV sadaļas neizriet, ka tiktu paredzēti grozījumi noteikumi Nr. 272.</w:t>
            </w:r>
          </w:p>
          <w:p w:rsidR="00607EF1" w:rsidRPr="00607EF1" w:rsidRDefault="00607EF1" w:rsidP="00607EF1">
            <w:pPr>
              <w:pStyle w:val="NormalWeb"/>
              <w:spacing w:before="0" w:after="0"/>
              <w:ind w:right="11" w:firstLine="709"/>
              <w:jc w:val="both"/>
              <w:rPr>
                <w:color w:val="000000"/>
              </w:rPr>
            </w:pPr>
            <w:r w:rsidRPr="00607EF1">
              <w:rPr>
                <w:color w:val="000000"/>
              </w:rPr>
              <w:t xml:space="preserve">Ievērojot minēto, lūdzam izvērtēt nepieciešamību skaidrot terminu “ mūža pensijas mēneša apmērs” projektā vai ar to saistītajā likumprojektā “Grozījumi Valsts </w:t>
            </w:r>
            <w:proofErr w:type="spellStart"/>
            <w:r w:rsidRPr="00607EF1">
              <w:rPr>
                <w:color w:val="000000"/>
              </w:rPr>
              <w:t>fondēto</w:t>
            </w:r>
            <w:proofErr w:type="spellEnd"/>
            <w:r w:rsidRPr="00607EF1">
              <w:rPr>
                <w:color w:val="000000"/>
              </w:rPr>
              <w:t xml:space="preserve"> pensiju likumā”, kā arī projekta anotācijā. </w:t>
            </w:r>
          </w:p>
          <w:p w:rsidR="00607EF1" w:rsidRPr="00607EF1" w:rsidRDefault="00607EF1" w:rsidP="00607EF1">
            <w:pPr>
              <w:ind w:right="11" w:firstLine="709"/>
              <w:jc w:val="both"/>
            </w:pPr>
            <w:r w:rsidRPr="00607EF1">
              <w:rPr>
                <w:color w:val="000000"/>
              </w:rPr>
              <w:t>Tāpat nepieciešamības gadījumā lūdzam projekta anotācijas IV sadaļā norādīt, ka saistībā ar projektā ietverto regulējumu nepieciešami grozījumi noteikumos Nr. 272.</w:t>
            </w:r>
            <w:bookmarkEnd w:id="1"/>
          </w:p>
          <w:p w:rsidR="00837612" w:rsidRPr="00607EF1" w:rsidRDefault="00837612" w:rsidP="0085497D">
            <w:pPr>
              <w:jc w:val="both"/>
            </w:pPr>
          </w:p>
        </w:tc>
        <w:tc>
          <w:tcPr>
            <w:tcW w:w="1080" w:type="pct"/>
            <w:tcBorders>
              <w:top w:val="single" w:sz="6" w:space="0" w:color="000000"/>
              <w:left w:val="single" w:sz="6" w:space="0" w:color="000000"/>
              <w:bottom w:val="single" w:sz="6" w:space="0" w:color="000000"/>
              <w:right w:val="single" w:sz="6" w:space="0" w:color="000000"/>
            </w:tcBorders>
          </w:tcPr>
          <w:p w:rsidR="00837612" w:rsidRPr="00B61B0C" w:rsidRDefault="00837612" w:rsidP="0085497D">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837612" w:rsidRDefault="00837612"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837612"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837612" w:rsidRPr="00EB1668" w:rsidRDefault="00607EF1" w:rsidP="0085497D">
            <w:pPr>
              <w:jc w:val="center"/>
            </w:pPr>
            <w:r>
              <w:t>3</w:t>
            </w:r>
            <w:r w:rsidR="00837612">
              <w:t>.</w:t>
            </w:r>
          </w:p>
        </w:tc>
        <w:tc>
          <w:tcPr>
            <w:tcW w:w="1007" w:type="pct"/>
            <w:tcBorders>
              <w:top w:val="single" w:sz="6" w:space="0" w:color="000000"/>
              <w:left w:val="single" w:sz="6" w:space="0" w:color="000000"/>
              <w:bottom w:val="single" w:sz="6" w:space="0" w:color="000000"/>
              <w:right w:val="single" w:sz="6" w:space="0" w:color="000000"/>
            </w:tcBorders>
          </w:tcPr>
          <w:p w:rsidR="00837612" w:rsidRDefault="00837612"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rsidR="00A32431">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837612" w:rsidRPr="00607EF1" w:rsidRDefault="00607EF1" w:rsidP="0085497D">
            <w:pPr>
              <w:jc w:val="both"/>
            </w:pPr>
            <w:r w:rsidRPr="00607EF1">
              <w:rPr>
                <w:color w:val="000000"/>
              </w:rPr>
              <w:t xml:space="preserve">Lūdzam precizēt projekta anotācijas IV sadaļas 1. punktu, atbilstoši Ministru kabineta 2009. gada 15. decembra instrukcijas “Tiesību akta projekta sākotnējās ietekmes izvērtēšanas kārtība” </w:t>
            </w:r>
            <w:r w:rsidRPr="00607EF1">
              <w:rPr>
                <w:color w:val="000000"/>
              </w:rPr>
              <w:lastRenderedPageBreak/>
              <w:t>54.2. apakšpunktam skaidrojot grozījumu nepieciešamību minētās IV sadaļas 1. punktā norādītajos likumprojektos.</w:t>
            </w:r>
          </w:p>
        </w:tc>
        <w:tc>
          <w:tcPr>
            <w:tcW w:w="1080" w:type="pct"/>
            <w:tcBorders>
              <w:top w:val="single" w:sz="6" w:space="0" w:color="000000"/>
              <w:left w:val="single" w:sz="6" w:space="0" w:color="000000"/>
              <w:bottom w:val="single" w:sz="6" w:space="0" w:color="000000"/>
              <w:right w:val="single" w:sz="6" w:space="0" w:color="000000"/>
            </w:tcBorders>
          </w:tcPr>
          <w:p w:rsidR="00837612" w:rsidRPr="00B61B0C" w:rsidRDefault="00837612" w:rsidP="0085497D">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837612" w:rsidRDefault="00837612"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rsidR="00A32431">
              <w:t>as 1.punktu</w:t>
            </w:r>
            <w:r w:rsidRPr="005F435B">
              <w:t>.</w:t>
            </w:r>
          </w:p>
        </w:tc>
      </w:tr>
      <w:tr w:rsidR="00837612"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837612" w:rsidRDefault="00837612" w:rsidP="0085497D">
            <w:pPr>
              <w:ind w:left="360"/>
              <w:rPr>
                <w:sz w:val="16"/>
                <w:szCs w:val="16"/>
              </w:rPr>
            </w:pPr>
          </w:p>
          <w:p w:rsidR="00837612" w:rsidRDefault="00837612" w:rsidP="0085497D">
            <w:pPr>
              <w:ind w:left="360"/>
              <w:rPr>
                <w:sz w:val="16"/>
                <w:szCs w:val="16"/>
              </w:rPr>
            </w:pPr>
          </w:p>
          <w:p w:rsidR="00837612" w:rsidRPr="008126E9" w:rsidRDefault="00837612" w:rsidP="0085497D">
            <w:pPr>
              <w:ind w:firstLine="720"/>
              <w:rPr>
                <w:sz w:val="16"/>
                <w:szCs w:val="16"/>
              </w:rPr>
            </w:pPr>
          </w:p>
          <w:p w:rsidR="00837612" w:rsidRDefault="00837612" w:rsidP="0085497D">
            <w:pPr>
              <w:ind w:left="360"/>
            </w:pPr>
          </w:p>
          <w:p w:rsidR="00837612" w:rsidRPr="00AC62C9" w:rsidRDefault="00837612" w:rsidP="0085497D">
            <w:pPr>
              <w:ind w:left="360"/>
            </w:pPr>
            <w:r w:rsidRPr="00AC62C9">
              <w:t>Atbildīgā amatpersona</w:t>
            </w:r>
          </w:p>
        </w:tc>
        <w:tc>
          <w:tcPr>
            <w:tcW w:w="3291" w:type="pct"/>
            <w:gridSpan w:val="4"/>
          </w:tcPr>
          <w:p w:rsidR="00837612" w:rsidRPr="00AC62C9" w:rsidRDefault="00837612" w:rsidP="0085497D">
            <w:pPr>
              <w:ind w:firstLine="720"/>
            </w:pPr>
            <w:r w:rsidRPr="00AC62C9">
              <w:t>  </w:t>
            </w:r>
          </w:p>
          <w:p w:rsidR="00837612" w:rsidRPr="00AC62C9" w:rsidRDefault="00837612" w:rsidP="0085497D">
            <w:pPr>
              <w:ind w:firstLine="720"/>
              <w:jc w:val="center"/>
            </w:pPr>
          </w:p>
          <w:p w:rsidR="00837612" w:rsidRPr="00AC62C9" w:rsidRDefault="00837612" w:rsidP="0085497D">
            <w:pPr>
              <w:ind w:firstLine="720"/>
              <w:jc w:val="center"/>
            </w:pPr>
            <w:r w:rsidRPr="00AC62C9">
              <w:t xml:space="preserve">                                                                                    </w:t>
            </w:r>
            <w:r>
              <w:t xml:space="preserve">                        Dace </w:t>
            </w:r>
            <w:proofErr w:type="spellStart"/>
            <w:r>
              <w:t>Trušinska</w:t>
            </w:r>
            <w:proofErr w:type="spellEnd"/>
          </w:p>
        </w:tc>
      </w:tr>
      <w:tr w:rsidR="00837612"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837612" w:rsidRPr="00AC62C9" w:rsidRDefault="00837612" w:rsidP="0085497D">
            <w:pPr>
              <w:ind w:left="360"/>
            </w:pPr>
          </w:p>
        </w:tc>
        <w:tc>
          <w:tcPr>
            <w:tcW w:w="3291" w:type="pct"/>
            <w:gridSpan w:val="4"/>
            <w:tcBorders>
              <w:top w:val="single" w:sz="6" w:space="0" w:color="000000"/>
            </w:tcBorders>
          </w:tcPr>
          <w:p w:rsidR="00837612" w:rsidRPr="00AC62C9" w:rsidRDefault="00837612" w:rsidP="0085497D">
            <w:pPr>
              <w:ind w:firstLine="720"/>
              <w:jc w:val="right"/>
            </w:pPr>
            <w:r>
              <w:t xml:space="preserve">                     </w:t>
            </w:r>
            <w:r w:rsidRPr="00AC62C9">
              <w:t>(vārds un uzvārds)</w:t>
            </w:r>
          </w:p>
        </w:tc>
      </w:tr>
    </w:tbl>
    <w:p w:rsidR="00837612" w:rsidRDefault="00837612" w:rsidP="00837612">
      <w:pPr>
        <w:rPr>
          <w:sz w:val="20"/>
          <w:szCs w:val="20"/>
        </w:rPr>
      </w:pPr>
    </w:p>
    <w:p w:rsidR="00837612" w:rsidRDefault="00837612" w:rsidP="00837612">
      <w:pPr>
        <w:rPr>
          <w:sz w:val="20"/>
          <w:szCs w:val="20"/>
        </w:rPr>
      </w:pPr>
    </w:p>
    <w:p w:rsidR="00837612" w:rsidRDefault="00837612" w:rsidP="00837612">
      <w:pPr>
        <w:rPr>
          <w:sz w:val="20"/>
          <w:szCs w:val="20"/>
        </w:rPr>
      </w:pPr>
    </w:p>
    <w:p w:rsidR="00837612" w:rsidRDefault="00837612" w:rsidP="00837612">
      <w:pPr>
        <w:rPr>
          <w:sz w:val="20"/>
          <w:szCs w:val="20"/>
        </w:rPr>
      </w:pPr>
    </w:p>
    <w:p w:rsidR="00837612" w:rsidRDefault="00837612" w:rsidP="00837612">
      <w:pPr>
        <w:rPr>
          <w:sz w:val="20"/>
          <w:szCs w:val="20"/>
        </w:rPr>
      </w:pPr>
    </w:p>
    <w:p w:rsidR="00837612" w:rsidRPr="0019557A" w:rsidRDefault="00837612" w:rsidP="00837612">
      <w:pPr>
        <w:jc w:val="both"/>
        <w:rPr>
          <w:sz w:val="20"/>
          <w:szCs w:val="20"/>
        </w:rPr>
      </w:pPr>
      <w:r>
        <w:rPr>
          <w:sz w:val="20"/>
          <w:szCs w:val="20"/>
        </w:rPr>
        <w:t xml:space="preserve">Dace </w:t>
      </w:r>
      <w:proofErr w:type="spellStart"/>
      <w:r>
        <w:rPr>
          <w:sz w:val="20"/>
          <w:szCs w:val="20"/>
        </w:rPr>
        <w:t>Trušinska</w:t>
      </w:r>
      <w:proofErr w:type="spellEnd"/>
    </w:p>
    <w:p w:rsidR="00837612" w:rsidRDefault="00837612" w:rsidP="00837612">
      <w:pPr>
        <w:rPr>
          <w:sz w:val="20"/>
          <w:szCs w:val="20"/>
        </w:rPr>
      </w:pPr>
      <w:r w:rsidRPr="0019557A">
        <w:rPr>
          <w:sz w:val="20"/>
          <w:szCs w:val="20"/>
        </w:rPr>
        <w:t xml:space="preserve">Labklājības ministrijas </w:t>
      </w:r>
    </w:p>
    <w:p w:rsidR="00837612" w:rsidRDefault="00837612" w:rsidP="00837612">
      <w:pPr>
        <w:rPr>
          <w:sz w:val="20"/>
          <w:szCs w:val="20"/>
        </w:rPr>
      </w:pPr>
      <w:r w:rsidRPr="0019557A">
        <w:rPr>
          <w:sz w:val="20"/>
          <w:szCs w:val="20"/>
        </w:rPr>
        <w:t>Sociālās apdrošināšanas departamenta vecākā eksperte</w:t>
      </w:r>
    </w:p>
    <w:p w:rsidR="00837612" w:rsidRDefault="00837612" w:rsidP="00837612">
      <w:pPr>
        <w:rPr>
          <w:sz w:val="20"/>
          <w:szCs w:val="20"/>
        </w:rPr>
      </w:pPr>
      <w:r>
        <w:rPr>
          <w:sz w:val="20"/>
          <w:szCs w:val="20"/>
        </w:rPr>
        <w:t>Tālr.</w:t>
      </w:r>
      <w:r w:rsidRPr="0019557A">
        <w:rPr>
          <w:sz w:val="20"/>
          <w:szCs w:val="20"/>
        </w:rPr>
        <w:t>67021</w:t>
      </w:r>
      <w:r>
        <w:rPr>
          <w:sz w:val="20"/>
          <w:szCs w:val="20"/>
        </w:rPr>
        <w:t>553</w:t>
      </w:r>
    </w:p>
    <w:p w:rsidR="00837612" w:rsidRPr="00180A31" w:rsidRDefault="003B0D28" w:rsidP="00837612">
      <w:pPr>
        <w:rPr>
          <w:sz w:val="20"/>
          <w:szCs w:val="20"/>
        </w:rPr>
      </w:pPr>
      <w:hyperlink r:id="rId7" w:history="1">
        <w:r w:rsidR="00837612" w:rsidRPr="00E74AEA">
          <w:rPr>
            <w:rStyle w:val="Hyperlink"/>
            <w:sz w:val="20"/>
            <w:szCs w:val="20"/>
          </w:rPr>
          <w:t>Dace.Trusinska@lm.gov.lv</w:t>
        </w:r>
      </w:hyperlink>
    </w:p>
    <w:p w:rsidR="00837612" w:rsidRDefault="00837612" w:rsidP="00837612"/>
    <w:p w:rsidR="00837612" w:rsidRDefault="00837612" w:rsidP="00837612"/>
    <w:p w:rsidR="00F7306B" w:rsidRDefault="00F7306B"/>
    <w:sectPr w:rsidR="00F7306B" w:rsidSect="00A9677B">
      <w:headerReference w:type="default" r:id="rId8"/>
      <w:footerReference w:type="default" r:id="rId9"/>
      <w:headerReference w:type="first" r:id="rId10"/>
      <w:footerReference w:type="first" r:id="rId11"/>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D28" w:rsidRDefault="003B0D28" w:rsidP="00837612">
      <w:r>
        <w:separator/>
      </w:r>
    </w:p>
  </w:endnote>
  <w:endnote w:type="continuationSeparator" w:id="0">
    <w:p w:rsidR="003B0D28" w:rsidRDefault="003B0D28" w:rsidP="0083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C23A2D" w:rsidP="002E4757">
    <w:pPr>
      <w:pStyle w:val="Footer"/>
    </w:pPr>
    <w:r w:rsidRPr="00554B40">
      <w:rPr>
        <w:sz w:val="20"/>
        <w:szCs w:val="20"/>
      </w:rPr>
      <w:t>LMizz_</w:t>
    </w:r>
    <w:r>
      <w:rPr>
        <w:sz w:val="20"/>
        <w:szCs w:val="20"/>
      </w:rPr>
      <w:t>1</w:t>
    </w:r>
    <w:r w:rsidR="00620454">
      <w:rPr>
        <w:sz w:val="20"/>
        <w:szCs w:val="20"/>
      </w:rPr>
      <w:t>307</w:t>
    </w:r>
    <w:r>
      <w:rPr>
        <w:sz w:val="20"/>
        <w:szCs w:val="20"/>
      </w:rPr>
      <w:t>20</w:t>
    </w:r>
    <w:r w:rsidRPr="00554B40">
      <w:rPr>
        <w:sz w:val="20"/>
        <w:szCs w:val="20"/>
      </w:rPr>
      <w:t>_</w:t>
    </w:r>
    <w:r w:rsidR="00607EF1">
      <w:rPr>
        <w:sz w:val="20"/>
        <w:szCs w:val="20"/>
      </w:rPr>
      <w:t>AiM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C23A2D" w:rsidP="00166F75">
    <w:pPr>
      <w:pStyle w:val="Footer"/>
    </w:pPr>
    <w:r w:rsidRPr="00554B40">
      <w:rPr>
        <w:sz w:val="20"/>
        <w:szCs w:val="20"/>
      </w:rPr>
      <w:t>LMizz_</w:t>
    </w:r>
    <w:r>
      <w:rPr>
        <w:sz w:val="20"/>
        <w:szCs w:val="20"/>
      </w:rPr>
      <w:t>1</w:t>
    </w:r>
    <w:r w:rsidR="00620454">
      <w:rPr>
        <w:sz w:val="20"/>
        <w:szCs w:val="20"/>
      </w:rPr>
      <w:t>307</w:t>
    </w:r>
    <w:r>
      <w:rPr>
        <w:sz w:val="20"/>
        <w:szCs w:val="20"/>
      </w:rPr>
      <w:t>20</w:t>
    </w:r>
    <w:r w:rsidRPr="00554B40">
      <w:rPr>
        <w:sz w:val="20"/>
        <w:szCs w:val="20"/>
      </w:rPr>
      <w:t>_</w:t>
    </w:r>
    <w:r w:rsidR="00607EF1">
      <w:rPr>
        <w:sz w:val="20"/>
        <w:szCs w:val="20"/>
      </w:rPr>
      <w:t>AiM</w:t>
    </w:r>
  </w:p>
  <w:p w:rsidR="009D06F9" w:rsidRPr="00765842" w:rsidRDefault="003B0D28"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D28" w:rsidRDefault="003B0D28" w:rsidP="00837612">
      <w:r>
        <w:separator/>
      </w:r>
    </w:p>
  </w:footnote>
  <w:footnote w:type="continuationSeparator" w:id="0">
    <w:p w:rsidR="003B0D28" w:rsidRDefault="003B0D28" w:rsidP="00837612">
      <w:r>
        <w:continuationSeparator/>
      </w:r>
    </w:p>
  </w:footnote>
  <w:footnote w:id="1">
    <w:p w:rsidR="00607EF1" w:rsidRPr="002575D9" w:rsidRDefault="00607EF1" w:rsidP="00607EF1">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607EF1" w:rsidRPr="002575D9" w:rsidRDefault="00607EF1" w:rsidP="00607EF1">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607EF1" w:rsidRDefault="00607EF1" w:rsidP="00607EF1">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C23A2D">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3B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3B0D28">
    <w:pPr>
      <w:pStyle w:val="Header"/>
      <w:jc w:val="center"/>
    </w:pPr>
  </w:p>
  <w:p w:rsidR="00EA144E" w:rsidRDefault="003B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12"/>
    <w:rsid w:val="003B0D28"/>
    <w:rsid w:val="00607EF1"/>
    <w:rsid w:val="00620454"/>
    <w:rsid w:val="00837612"/>
    <w:rsid w:val="00993F9E"/>
    <w:rsid w:val="00A32431"/>
    <w:rsid w:val="00C23A2D"/>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BFF6"/>
  <w15:chartTrackingRefBased/>
  <w15:docId w15:val="{D511E23A-CD4C-4E29-BAAC-2831F91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6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837612"/>
    <w:pPr>
      <w:spacing w:before="75" w:after="75"/>
      <w:ind w:firstLine="375"/>
      <w:jc w:val="both"/>
    </w:pPr>
  </w:style>
  <w:style w:type="paragraph" w:customStyle="1" w:styleId="naisc">
    <w:name w:val="naisc"/>
    <w:basedOn w:val="Normal"/>
    <w:rsid w:val="00837612"/>
    <w:pPr>
      <w:spacing w:before="75" w:after="75"/>
      <w:jc w:val="center"/>
    </w:pPr>
  </w:style>
  <w:style w:type="paragraph" w:styleId="Header">
    <w:name w:val="header"/>
    <w:basedOn w:val="Normal"/>
    <w:link w:val="HeaderChar"/>
    <w:uiPriority w:val="99"/>
    <w:rsid w:val="00837612"/>
    <w:pPr>
      <w:tabs>
        <w:tab w:val="center" w:pos="4153"/>
        <w:tab w:val="right" w:pos="8306"/>
      </w:tabs>
    </w:pPr>
  </w:style>
  <w:style w:type="character" w:customStyle="1" w:styleId="HeaderChar">
    <w:name w:val="Header Char"/>
    <w:basedOn w:val="DefaultParagraphFont"/>
    <w:link w:val="Header"/>
    <w:uiPriority w:val="99"/>
    <w:rsid w:val="00837612"/>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837612"/>
    <w:pPr>
      <w:tabs>
        <w:tab w:val="center" w:pos="4153"/>
        <w:tab w:val="right" w:pos="8306"/>
      </w:tabs>
    </w:pPr>
  </w:style>
  <w:style w:type="character" w:customStyle="1" w:styleId="FooterChar">
    <w:name w:val="Footer Char"/>
    <w:basedOn w:val="DefaultParagraphFont"/>
    <w:link w:val="Footer"/>
    <w:uiPriority w:val="99"/>
    <w:rsid w:val="00837612"/>
    <w:rPr>
      <w:rFonts w:ascii="Times New Roman" w:eastAsia="Times New Roman" w:hAnsi="Times New Roman" w:cs="Times New Roman"/>
      <w:sz w:val="24"/>
      <w:szCs w:val="24"/>
      <w:lang w:eastAsia="lv-LV"/>
    </w:rPr>
  </w:style>
  <w:style w:type="paragraph" w:customStyle="1" w:styleId="tv213">
    <w:name w:val="tv213"/>
    <w:basedOn w:val="Normal"/>
    <w:uiPriority w:val="99"/>
    <w:rsid w:val="00837612"/>
    <w:pPr>
      <w:spacing w:before="100" w:beforeAutospacing="1" w:after="100" w:afterAutospacing="1"/>
    </w:pPr>
  </w:style>
  <w:style w:type="character" w:styleId="Hyperlink">
    <w:name w:val="Hyperlink"/>
    <w:basedOn w:val="DefaultParagraphFont"/>
    <w:uiPriority w:val="99"/>
    <w:unhideWhenUsed/>
    <w:rsid w:val="00837612"/>
    <w:rPr>
      <w:color w:val="0563C1" w:themeColor="hyperlink"/>
      <w:u w:val="single"/>
    </w:rPr>
  </w:style>
  <w:style w:type="paragraph" w:styleId="FootnoteText">
    <w:name w:val="footnote text"/>
    <w:basedOn w:val="Normal"/>
    <w:link w:val="FootnoteTextChar"/>
    <w:uiPriority w:val="99"/>
    <w:semiHidden/>
    <w:unhideWhenUsed/>
    <w:rsid w:val="00837612"/>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837612"/>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37612"/>
    <w:rPr>
      <w:vertAlign w:val="superscript"/>
    </w:rPr>
  </w:style>
  <w:style w:type="paragraph" w:styleId="NormalWeb">
    <w:name w:val="Normal (Web)"/>
    <w:aliases w:val="sākums"/>
    <w:basedOn w:val="Normal"/>
    <w:uiPriority w:val="99"/>
    <w:rsid w:val="00837612"/>
    <w:pPr>
      <w:spacing w:before="75" w:after="75"/>
    </w:pPr>
  </w:style>
  <w:style w:type="paragraph" w:styleId="ListParagraph">
    <w:name w:val="List Paragraph"/>
    <w:basedOn w:val="Normal"/>
    <w:uiPriority w:val="34"/>
    <w:qFormat/>
    <w:rsid w:val="00837612"/>
    <w:pPr>
      <w:spacing w:after="200" w:line="276" w:lineRule="auto"/>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4975</Words>
  <Characters>2837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Militārpersonu izdienas pensiju likumā</dc:title>
  <dc:subject>izziņa par atzinumos izteikatajiem iebildumiem</dc:subject>
  <dc:creator>Dace Trusinska</dc:creator>
  <cp:keywords/>
  <dc:description>D.Trušinska, 67021553
Dace.Trusinska@lm.gov.lv</dc:description>
  <cp:lastModifiedBy>Dace Trusinska</cp:lastModifiedBy>
  <cp:revision>4</cp:revision>
  <dcterms:created xsi:type="dcterms:W3CDTF">2020-06-12T07:46:00Z</dcterms:created>
  <dcterms:modified xsi:type="dcterms:W3CDTF">2020-07-08T09:17:00Z</dcterms:modified>
</cp:coreProperties>
</file>