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7A4" w:rsidRDefault="004B67A4" w:rsidP="004B67A4"/>
    <w:tbl>
      <w:tblPr>
        <w:tblW w:w="5000" w:type="pct"/>
        <w:jc w:val="center"/>
        <w:tblLook w:val="00A0" w:firstRow="1" w:lastRow="0" w:firstColumn="1" w:lastColumn="0" w:noHBand="0" w:noVBand="0"/>
      </w:tblPr>
      <w:tblGrid>
        <w:gridCol w:w="14264"/>
      </w:tblGrid>
      <w:tr w:rsidR="004B67A4" w:rsidRPr="00547F59" w:rsidTr="006E5BD4">
        <w:trPr>
          <w:jc w:val="center"/>
        </w:trPr>
        <w:tc>
          <w:tcPr>
            <w:tcW w:w="5000" w:type="pct"/>
            <w:tcBorders>
              <w:bottom w:val="single" w:sz="6" w:space="0" w:color="000000"/>
            </w:tcBorders>
          </w:tcPr>
          <w:p w:rsidR="004B67A4" w:rsidRPr="00547F59" w:rsidRDefault="004B67A4" w:rsidP="006E5BD4">
            <w:pPr>
              <w:pStyle w:val="Footer"/>
              <w:jc w:val="center"/>
              <w:rPr>
                <w:b/>
              </w:rPr>
            </w:pPr>
            <w:r w:rsidRPr="00547F59">
              <w:rPr>
                <w:b/>
                <w:bCs/>
              </w:rPr>
              <w:t>Izziņa par atzinumos sniegtajiem iebildumiem l</w:t>
            </w:r>
            <w:r w:rsidRPr="00547F59">
              <w:rPr>
                <w:b/>
                <w:lang w:eastAsia="ar-SA"/>
              </w:rPr>
              <w:t xml:space="preserve">ikumprojektam </w:t>
            </w:r>
            <w:r w:rsidRPr="00547F59">
              <w:rPr>
                <w:b/>
                <w:iCs/>
                <w:noProof/>
              </w:rPr>
              <w:t xml:space="preserve">“Grozījumi </w:t>
            </w:r>
            <w:hyperlink r:id="rId7" w:tgtFrame="_blank" w:history="1">
              <w:r>
                <w:rPr>
                  <w:b/>
                </w:rPr>
                <w:t xml:space="preserve">Tiesnešu </w:t>
              </w:r>
              <w:r w:rsidRPr="00547F59">
                <w:rPr>
                  <w:b/>
                </w:rPr>
                <w:t>izdienas pensiju likumā</w:t>
              </w:r>
            </w:hyperlink>
            <w:r w:rsidRPr="00547F59">
              <w:rPr>
                <w:b/>
              </w:rPr>
              <w:t>”</w:t>
            </w:r>
          </w:p>
        </w:tc>
      </w:tr>
    </w:tbl>
    <w:p w:rsidR="004B67A4" w:rsidRPr="00002879" w:rsidRDefault="004B67A4" w:rsidP="004B67A4">
      <w:pPr>
        <w:pStyle w:val="naisc"/>
        <w:spacing w:before="0" w:after="0"/>
        <w:ind w:firstLine="1080"/>
      </w:pPr>
      <w:r w:rsidRPr="00002879">
        <w:t>(dokumenta veids un nosaukums)</w:t>
      </w:r>
    </w:p>
    <w:p w:rsidR="004B67A4" w:rsidRDefault="004B67A4" w:rsidP="004B67A4">
      <w:pPr>
        <w:pStyle w:val="naisc"/>
        <w:spacing w:before="0" w:after="0"/>
        <w:ind w:firstLine="1080"/>
      </w:pPr>
    </w:p>
    <w:p w:rsidR="004B67A4" w:rsidRPr="00AC62C9" w:rsidRDefault="004B67A4" w:rsidP="004B67A4">
      <w:pPr>
        <w:pStyle w:val="naisc"/>
        <w:spacing w:before="0" w:after="0"/>
        <w:ind w:firstLine="1080"/>
        <w:rPr>
          <w:b/>
          <w:bCs/>
        </w:rPr>
      </w:pPr>
      <w:r w:rsidRPr="00AC62C9">
        <w:rPr>
          <w:b/>
          <w:bCs/>
        </w:rPr>
        <w:t xml:space="preserve"> </w:t>
      </w:r>
    </w:p>
    <w:p w:rsidR="004B67A4" w:rsidRPr="00AC62C9" w:rsidRDefault="004B67A4" w:rsidP="004B67A4">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4B67A4" w:rsidRPr="00AC62C9" w:rsidTr="006E5BD4">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4B67A4" w:rsidRPr="00AC62C9" w:rsidRDefault="004B67A4" w:rsidP="006E5BD4">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4B67A4" w:rsidRPr="00AC62C9" w:rsidRDefault="004B67A4" w:rsidP="006E5BD4">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4B67A4" w:rsidRPr="00AC62C9" w:rsidRDefault="004B67A4" w:rsidP="006E5BD4">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4B67A4" w:rsidRPr="00AC62C9" w:rsidRDefault="004B67A4" w:rsidP="006E5BD4">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4B67A4" w:rsidRPr="00AC62C9" w:rsidRDefault="004B67A4" w:rsidP="006E5BD4">
            <w:pPr>
              <w:jc w:val="center"/>
            </w:pPr>
            <w:r w:rsidRPr="00AC62C9">
              <w:t>Projekta attiecīgā punkta (panta) galīgā redakcija</w:t>
            </w:r>
          </w:p>
        </w:tc>
      </w:tr>
      <w:tr w:rsidR="004B67A4" w:rsidRPr="00AC62C9" w:rsidTr="006E5BD4">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4B67A4" w:rsidRPr="00AC62C9" w:rsidRDefault="004B67A4" w:rsidP="006E5BD4">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4B67A4" w:rsidRPr="00AC62C9" w:rsidRDefault="004B67A4" w:rsidP="006E5BD4">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4B67A4" w:rsidRPr="00AC62C9" w:rsidRDefault="004B67A4" w:rsidP="006E5BD4">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4B67A4" w:rsidRPr="00AC62C9" w:rsidRDefault="004B67A4" w:rsidP="006E5BD4">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4B67A4" w:rsidRPr="00AC62C9" w:rsidRDefault="004B67A4" w:rsidP="006E5BD4">
            <w:pPr>
              <w:jc w:val="center"/>
            </w:pPr>
            <w:r w:rsidRPr="00AC62C9">
              <w:t>5</w:t>
            </w:r>
          </w:p>
        </w:tc>
      </w:tr>
      <w:tr w:rsidR="004B67A4" w:rsidRPr="00AC62C9" w:rsidTr="006E5BD4">
        <w:trPr>
          <w:gridAfter w:val="1"/>
          <w:wAfter w:w="165" w:type="pct"/>
        </w:trPr>
        <w:tc>
          <w:tcPr>
            <w:tcW w:w="4835" w:type="pct"/>
            <w:gridSpan w:val="7"/>
            <w:tcBorders>
              <w:left w:val="single" w:sz="6" w:space="0" w:color="000000"/>
              <w:bottom w:val="single" w:sz="4" w:space="0" w:color="auto"/>
            </w:tcBorders>
          </w:tcPr>
          <w:p w:rsidR="004B67A4" w:rsidRDefault="004B67A4" w:rsidP="006E5BD4">
            <w:pPr>
              <w:pStyle w:val="tv213"/>
              <w:spacing w:before="0" w:beforeAutospacing="0" w:after="0" w:afterAutospacing="0"/>
              <w:jc w:val="center"/>
              <w:rPr>
                <w:b/>
                <w:bCs/>
              </w:rPr>
            </w:pPr>
          </w:p>
          <w:p w:rsidR="004B67A4" w:rsidRPr="00AC62C9" w:rsidRDefault="004B67A4" w:rsidP="006E5BD4">
            <w:pPr>
              <w:pStyle w:val="tv213"/>
              <w:spacing w:before="0" w:beforeAutospacing="0" w:after="0" w:afterAutospacing="0"/>
              <w:jc w:val="center"/>
              <w:rPr>
                <w:b/>
                <w:bCs/>
              </w:rPr>
            </w:pPr>
            <w:r>
              <w:rPr>
                <w:b/>
                <w:bCs/>
              </w:rPr>
              <w:t>Tieslietu ministrija</w:t>
            </w:r>
          </w:p>
        </w:tc>
      </w:tr>
      <w:tr w:rsidR="004B67A4"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4B67A4" w:rsidRPr="00EB1668" w:rsidRDefault="004B67A4" w:rsidP="006E5BD4">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4B67A4" w:rsidRPr="00176870" w:rsidRDefault="004B67A4" w:rsidP="006E5BD4">
            <w:r w:rsidRPr="006D399A">
              <w:t>Skat. anotācijas I sadaļas 2.punktu.</w:t>
            </w:r>
          </w:p>
          <w:p w:rsidR="004B67A4" w:rsidRPr="00176870" w:rsidRDefault="004B67A4" w:rsidP="006E5BD4"/>
          <w:p w:rsidR="004B67A4" w:rsidRPr="00176870" w:rsidRDefault="004B67A4" w:rsidP="006E5BD4"/>
          <w:p w:rsidR="004B67A4" w:rsidRPr="00176870" w:rsidRDefault="004B67A4" w:rsidP="006E5BD4"/>
          <w:p w:rsidR="004B67A4" w:rsidRPr="00176870" w:rsidRDefault="004B67A4" w:rsidP="006E5BD4"/>
          <w:p w:rsidR="004B67A4" w:rsidRPr="00176870" w:rsidRDefault="004B67A4" w:rsidP="006E5BD4"/>
          <w:p w:rsidR="004B67A4" w:rsidRPr="00176870" w:rsidRDefault="004B67A4" w:rsidP="006E5BD4"/>
          <w:p w:rsidR="004B67A4" w:rsidRPr="00176870" w:rsidRDefault="004B67A4" w:rsidP="006E5BD4"/>
          <w:p w:rsidR="004B67A4" w:rsidRPr="00176870" w:rsidRDefault="004B67A4" w:rsidP="006E5BD4"/>
          <w:p w:rsidR="004B67A4" w:rsidRPr="00176870" w:rsidRDefault="004B67A4" w:rsidP="006E5BD4"/>
          <w:p w:rsidR="004B67A4" w:rsidRPr="00176870" w:rsidRDefault="004B67A4" w:rsidP="006E5BD4"/>
          <w:p w:rsidR="004B67A4" w:rsidRPr="00176870" w:rsidRDefault="004B67A4" w:rsidP="006E5BD4"/>
          <w:p w:rsidR="004B67A4" w:rsidRPr="00176870" w:rsidRDefault="004B67A4" w:rsidP="006E5BD4"/>
          <w:p w:rsidR="004B67A4" w:rsidRPr="00176870" w:rsidRDefault="004B67A4" w:rsidP="006E5BD4"/>
          <w:p w:rsidR="004B67A4" w:rsidRDefault="004B67A4" w:rsidP="006E5BD4"/>
          <w:p w:rsidR="004B67A4" w:rsidRPr="002E4757" w:rsidRDefault="004B67A4" w:rsidP="006E5BD4"/>
          <w:p w:rsidR="004B67A4" w:rsidRPr="002E4757" w:rsidRDefault="004B67A4" w:rsidP="006E5BD4"/>
          <w:p w:rsidR="004B67A4" w:rsidRPr="002E4757" w:rsidRDefault="004B67A4" w:rsidP="006E5BD4">
            <w:pPr>
              <w:tabs>
                <w:tab w:val="left" w:pos="375"/>
              </w:tabs>
            </w:pPr>
            <w:r>
              <w:tab/>
            </w:r>
          </w:p>
          <w:p w:rsidR="004B67A4" w:rsidRPr="002E4757" w:rsidRDefault="004B67A4" w:rsidP="00F37040"/>
        </w:tc>
        <w:tc>
          <w:tcPr>
            <w:tcW w:w="1546" w:type="pct"/>
            <w:gridSpan w:val="2"/>
            <w:tcBorders>
              <w:top w:val="single" w:sz="6" w:space="0" w:color="000000"/>
              <w:left w:val="single" w:sz="6" w:space="0" w:color="000000"/>
              <w:bottom w:val="single" w:sz="6" w:space="0" w:color="000000"/>
              <w:right w:val="single" w:sz="6" w:space="0" w:color="000000"/>
            </w:tcBorders>
          </w:tcPr>
          <w:p w:rsidR="004B67A4" w:rsidRPr="004B67A4" w:rsidRDefault="004B67A4" w:rsidP="004B67A4">
            <w:pPr>
              <w:ind w:right="12" w:firstLine="567"/>
              <w:jc w:val="both"/>
              <w:rPr>
                <w:sz w:val="22"/>
                <w:szCs w:val="22"/>
              </w:rPr>
            </w:pPr>
            <w:r w:rsidRPr="004B67A4">
              <w:rPr>
                <w:sz w:val="22"/>
                <w:szCs w:val="22"/>
              </w:rPr>
              <w:t xml:space="preserve">Ar likumprojektu paredzēts samazināt tiesnešu izdienas pensijas (turpmāk – izdienas pensija) izmaksājamo apmēru personām par cita starpā piešķirto mūža pensijas mēneša apmēru (šobrīd izdienas pensijas apmēru samazina par piešķirtās vecuma pensijas apmēru), kas noteikts atbilstoši dzīvības apdrošināšanas (mūža pensijas) līgumam par valsts </w:t>
            </w:r>
            <w:proofErr w:type="spellStart"/>
            <w:r w:rsidRPr="004B67A4">
              <w:rPr>
                <w:sz w:val="22"/>
                <w:szCs w:val="22"/>
              </w:rPr>
              <w:t>fondēto</w:t>
            </w:r>
            <w:proofErr w:type="spellEnd"/>
            <w:r w:rsidRPr="004B67A4">
              <w:rPr>
                <w:sz w:val="22"/>
                <w:szCs w:val="22"/>
              </w:rPr>
              <w:t xml:space="preserve"> pensiju shēmā uzkrātās </w:t>
            </w:r>
            <w:proofErr w:type="spellStart"/>
            <w:r w:rsidRPr="004B67A4">
              <w:rPr>
                <w:sz w:val="22"/>
                <w:szCs w:val="22"/>
              </w:rPr>
              <w:t>fondētās</w:t>
            </w:r>
            <w:proofErr w:type="spellEnd"/>
            <w:r w:rsidRPr="004B67A4">
              <w:rPr>
                <w:sz w:val="22"/>
                <w:szCs w:val="22"/>
              </w:rPr>
              <w:t xml:space="preserve"> pensijas kapitāla izmantošanu (ja šāds līgums noslēgts) apstākļos, kas paredzēti Tiesnešu izdienas pensiju likuma 4. panta sestajā daļā un 4. panta septītajā daļā, t.i. attiecīgi, ja tiek piešķirta vecuma pensija un iepriekš tikusi piešķirta izdienas pensija (likumprojekta 1. pants) vai ja tiek piešķirta izdienas pensija un iepriekš tikusi piešķirta vecuma pensija (likumprojekta 2. pants). Savukārt likumprojekta 3. pants noteic, ka, izmaksājot izdienas pensiju saskaņā ar šā likuma 4. panta sesto un septīto daļu, mūža pensijas mēneša apmērs, kas noteikts atbilstoši </w:t>
            </w:r>
            <w:r w:rsidRPr="004B67A4">
              <w:rPr>
                <w:sz w:val="22"/>
                <w:szCs w:val="22"/>
              </w:rPr>
              <w:lastRenderedPageBreak/>
              <w:t xml:space="preserve">dzīvības apdrošināšanas (mūža pensijas) līgumam par valsts </w:t>
            </w:r>
            <w:proofErr w:type="spellStart"/>
            <w:r w:rsidRPr="004B67A4">
              <w:rPr>
                <w:sz w:val="22"/>
                <w:szCs w:val="22"/>
              </w:rPr>
              <w:t>fondēto</w:t>
            </w:r>
            <w:proofErr w:type="spellEnd"/>
            <w:r w:rsidRPr="004B67A4">
              <w:rPr>
                <w:sz w:val="22"/>
                <w:szCs w:val="22"/>
              </w:rPr>
              <w:t xml:space="preserve"> pensiju shēmā uzkrātā </w:t>
            </w:r>
            <w:proofErr w:type="spellStart"/>
            <w:r w:rsidRPr="004B67A4">
              <w:rPr>
                <w:sz w:val="22"/>
                <w:szCs w:val="22"/>
              </w:rPr>
              <w:t>fondētās</w:t>
            </w:r>
            <w:proofErr w:type="spellEnd"/>
            <w:r w:rsidRPr="004B67A4">
              <w:rPr>
                <w:sz w:val="22"/>
                <w:szCs w:val="22"/>
              </w:rPr>
              <w:t xml:space="preserve"> pensijas kapitāla izmantošanu (ja šāds līgums noslēgts), netiek ņemts vērā personām, kurām vecuma pensija saskaņā ar likumu "Par valsts pensijām" piešķirta līdz 2022. gada 31. decembrim.</w:t>
            </w:r>
          </w:p>
          <w:p w:rsidR="004B67A4" w:rsidRPr="004B67A4" w:rsidRDefault="004B67A4" w:rsidP="004B67A4">
            <w:pPr>
              <w:ind w:right="12" w:firstLine="567"/>
              <w:jc w:val="both"/>
              <w:rPr>
                <w:sz w:val="22"/>
                <w:szCs w:val="22"/>
              </w:rPr>
            </w:pPr>
            <w:r w:rsidRPr="004B67A4">
              <w:rPr>
                <w:sz w:val="22"/>
                <w:szCs w:val="22"/>
              </w:rPr>
              <w:t xml:space="preserve">Vēršam uzmanību, ka jautājumi, kas saistīti ar izdienas pensiju izmaksāšanas apmēru, tai skaitā, šī apmēra ierobežošanu vērtējami kopsakarā ar Latvijas Republikas Satversmes 109. pantā paredzētajām </w:t>
            </w:r>
            <w:proofErr w:type="spellStart"/>
            <w:r w:rsidRPr="004B67A4">
              <w:rPr>
                <w:sz w:val="22"/>
                <w:szCs w:val="22"/>
              </w:rPr>
              <w:t>pamattiesībām</w:t>
            </w:r>
            <w:proofErr w:type="spellEnd"/>
            <w:r w:rsidRPr="004B67A4">
              <w:rPr>
                <w:sz w:val="22"/>
                <w:szCs w:val="22"/>
              </w:rPr>
              <w:t xml:space="preserve"> uz sociālo nodrošinājumu. Kā atzinusi Satversmes tiesa, tā kā tiesības uz sociālo nodrošinājumu pieder pie sociālajām tiesībām, valstij ir rīcības brīvība to metožu un mehānismu izvēlē, ar kādiem šīs tiesības īstenojamas (sk., piem., </w:t>
            </w:r>
            <w:r w:rsidRPr="004B67A4">
              <w:rPr>
                <w:i/>
                <w:sz w:val="22"/>
                <w:szCs w:val="22"/>
              </w:rPr>
              <w:t>Satversmes tiesas 2001. gada 13. marta sprieduma lietā Nr. 2000-08-0109 secinājumu daļas pirmo rindkopu</w:t>
            </w:r>
            <w:r w:rsidRPr="004B67A4">
              <w:rPr>
                <w:sz w:val="22"/>
                <w:szCs w:val="22"/>
              </w:rPr>
              <w:t>). Latvijas Republikas Satversmes 109. pants</w:t>
            </w:r>
            <w:r w:rsidRPr="004B67A4">
              <w:rPr>
                <w:rStyle w:val="FootnoteReference"/>
                <w:sz w:val="22"/>
                <w:szCs w:val="22"/>
              </w:rPr>
              <w:footnoteReference w:id="1"/>
            </w:r>
            <w:r w:rsidRPr="004B67A4">
              <w:rPr>
                <w:sz w:val="22"/>
                <w:szCs w:val="22"/>
              </w:rPr>
              <w:t xml:space="preserve"> negarantē personām tiesības uz konkrētiem pensijas veidiem, tostarp uz izdienas pensiju, kas aprēķināta pēc noteiktiem kritērijiem vai noteiktā apmērā. Taču, ja valsts konkrēta veida pensiju ir paredzējusi likumā, tad Latvijas Republikas Satversmes 109. pants prasa, lai</w:t>
            </w:r>
            <w:bookmarkStart w:id="0" w:name="_GoBack"/>
            <w:bookmarkEnd w:id="0"/>
            <w:r w:rsidRPr="004B67A4">
              <w:rPr>
                <w:sz w:val="22"/>
                <w:szCs w:val="22"/>
              </w:rPr>
              <w:t xml:space="preserve"> valsts turpmākā rīcība attiecībā uz šo pensiju atbilstu tiesiskas valsts principiem, tostarp tiesiskās paļāvības principam un samērīguma principam (sk. </w:t>
            </w:r>
            <w:r w:rsidRPr="004B67A4">
              <w:rPr>
                <w:i/>
                <w:sz w:val="22"/>
                <w:szCs w:val="22"/>
              </w:rPr>
              <w:t>Satversmes tiesas 2010. gada 31. marta sprieduma lietā Nr. 2009-76-01 5.5. punktu</w:t>
            </w:r>
            <w:r w:rsidRPr="004B67A4">
              <w:rPr>
                <w:sz w:val="22"/>
                <w:szCs w:val="22"/>
              </w:rPr>
              <w:t>)</w:t>
            </w:r>
            <w:r w:rsidRPr="004B67A4">
              <w:rPr>
                <w:rStyle w:val="FootnoteReference"/>
                <w:sz w:val="22"/>
                <w:szCs w:val="22"/>
              </w:rPr>
              <w:footnoteReference w:id="2"/>
            </w:r>
            <w:r w:rsidRPr="004B67A4">
              <w:rPr>
                <w:sz w:val="22"/>
                <w:szCs w:val="22"/>
              </w:rPr>
              <w:t xml:space="preserve">. Turklāt tad, ja likumdevējs </w:t>
            </w:r>
            <w:r w:rsidRPr="004B67A4">
              <w:rPr>
                <w:sz w:val="22"/>
                <w:szCs w:val="22"/>
              </w:rPr>
              <w:lastRenderedPageBreak/>
              <w:t xml:space="preserve">ir izšķīries par noteikta sociālā nodrošinājuma kopuma garantēšanu likumā, persona uz to iegūst subjektīvas tiesības. Šādu tiesību realizāciju persona var prasīt no valsts, kā arī var aizstāvēt šīs savas tiesības tiesā (sk., piem., </w:t>
            </w:r>
            <w:r w:rsidRPr="004B67A4">
              <w:rPr>
                <w:i/>
                <w:sz w:val="22"/>
                <w:szCs w:val="22"/>
              </w:rPr>
              <w:t>Satversmes tiesas 2002. gada 19. marta sprieduma lietā Nr. 2001-12-01 secinājumu daļas 2. punktu un 2009. gada 26. novembra sprieduma lietā Nr. 2009-08-01 15. punktu</w:t>
            </w:r>
            <w:r w:rsidRPr="004B67A4">
              <w:rPr>
                <w:sz w:val="22"/>
                <w:szCs w:val="22"/>
              </w:rPr>
              <w:t>).</w:t>
            </w:r>
          </w:p>
          <w:p w:rsidR="004B67A4" w:rsidRPr="004B67A4" w:rsidRDefault="004B67A4" w:rsidP="004B67A4">
            <w:pPr>
              <w:ind w:right="12" w:firstLine="567"/>
              <w:jc w:val="both"/>
              <w:rPr>
                <w:sz w:val="22"/>
                <w:szCs w:val="22"/>
              </w:rPr>
            </w:pPr>
            <w:r w:rsidRPr="004B67A4">
              <w:rPr>
                <w:sz w:val="22"/>
                <w:szCs w:val="22"/>
              </w:rPr>
              <w:t xml:space="preserve">Attiecīgi lūdzam izvērtēt un likumprojekta anotāciju papildināt ar detalizētu skaidrojumu, vai ar likumprojektu tiek ievērots Latvijas Republikas Satversmes 1. un 109. pants un netiek nesamērīgi aizskarta to personu tiesiskā paļāvība, kurām vecuma pensija saskaņā ar likumu "Par valsts pensijām" tiks piešķirta pēc 2022. gada 31. decembra un kuras veikušas iemaksas </w:t>
            </w:r>
            <w:proofErr w:type="spellStart"/>
            <w:r w:rsidRPr="004B67A4">
              <w:rPr>
                <w:sz w:val="22"/>
                <w:szCs w:val="22"/>
              </w:rPr>
              <w:t>fondēto</w:t>
            </w:r>
            <w:proofErr w:type="spellEnd"/>
            <w:r w:rsidRPr="004B67A4">
              <w:rPr>
                <w:sz w:val="22"/>
                <w:szCs w:val="22"/>
              </w:rPr>
              <w:t xml:space="preserve"> pensiju shēmā saskaņā ar Valsts </w:t>
            </w:r>
            <w:proofErr w:type="spellStart"/>
            <w:r w:rsidRPr="004B67A4">
              <w:rPr>
                <w:sz w:val="22"/>
                <w:szCs w:val="22"/>
              </w:rPr>
              <w:t>fondēto</w:t>
            </w:r>
            <w:proofErr w:type="spellEnd"/>
            <w:r w:rsidRPr="004B67A4">
              <w:rPr>
                <w:sz w:val="22"/>
                <w:szCs w:val="22"/>
              </w:rPr>
              <w:t xml:space="preserve"> pensiju likuma 4. pantu. Norādām, ka tiesiskās paļāvības princips prasa, lai valsts, mainot normatīvo regulējumu, ievērotu saprātīgu līdzsvaru starp personas paļāvību un tām interesēm, kuru nodrošināšanas labad regulējums tiek mainīts. Tādējādi, lai izvērtētu, vai tiesību normas, kas paredz atkāpšanos no personai piešķirtām tiesībām, atbilst tiesiskās paļāvības principam, jānoskaidro, vai: 1) personai ir radusies tiesiskā paļāvība uz konkrētu tiesību saglabāšanu vai īstenošanu</w:t>
            </w:r>
            <w:r w:rsidRPr="004B67A4">
              <w:rPr>
                <w:rStyle w:val="FootnoteReference"/>
                <w:iCs/>
                <w:sz w:val="22"/>
                <w:szCs w:val="22"/>
              </w:rPr>
              <w:footnoteReference w:id="3"/>
            </w:r>
            <w:r w:rsidRPr="004B67A4">
              <w:rPr>
                <w:sz w:val="22"/>
                <w:szCs w:val="22"/>
              </w:rPr>
              <w:t xml:space="preserve">; 2) ir ievērots saprātīgs līdzsvars starp personas tiesiskās paļāvības aizsardzību </w:t>
            </w:r>
            <w:r w:rsidRPr="004B67A4">
              <w:rPr>
                <w:sz w:val="22"/>
                <w:szCs w:val="22"/>
              </w:rPr>
              <w:lastRenderedPageBreak/>
              <w:t xml:space="preserve">un sabiedrības interešu nodrošināšanu </w:t>
            </w:r>
            <w:r w:rsidRPr="004B67A4">
              <w:rPr>
                <w:iCs/>
                <w:sz w:val="22"/>
                <w:szCs w:val="22"/>
              </w:rPr>
              <w:t>(sk.</w:t>
            </w:r>
            <w:r w:rsidRPr="004B67A4">
              <w:rPr>
                <w:i/>
                <w:iCs/>
                <w:sz w:val="22"/>
                <w:szCs w:val="22"/>
              </w:rPr>
              <w:t xml:space="preserve"> Satversmes tiesas 2009. gada 26. novembra sprieduma lietā Nr. 2009-08-01 23. punktu</w:t>
            </w:r>
            <w:r w:rsidRPr="004B67A4">
              <w:rPr>
                <w:iCs/>
                <w:sz w:val="22"/>
                <w:szCs w:val="22"/>
              </w:rPr>
              <w:t>)</w:t>
            </w:r>
            <w:r w:rsidRPr="004B67A4">
              <w:rPr>
                <w:i/>
                <w:iCs/>
                <w:sz w:val="22"/>
                <w:szCs w:val="22"/>
              </w:rPr>
              <w:t>.</w:t>
            </w:r>
            <w:r w:rsidRPr="004B67A4">
              <w:rPr>
                <w:sz w:val="22"/>
                <w:szCs w:val="22"/>
              </w:rPr>
              <w:t xml:space="preserve"> Uzsveram, ja likumprojektā paredzētie grozījumi Tiesnešu izdienas pensiju likumā negatīvi un bez būtiska pamatojuma ietekmē personu jau iegūtās tiesības, Tieslietu ministrija nevar atbalstīt likumprojekta tālāku virzību.</w:t>
            </w:r>
          </w:p>
          <w:p w:rsidR="004B67A4" w:rsidRPr="004B67A4" w:rsidRDefault="004B67A4" w:rsidP="004B67A4">
            <w:pPr>
              <w:jc w:val="both"/>
              <w:rPr>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4B67A4" w:rsidRPr="00B61B0C" w:rsidRDefault="004B67A4" w:rsidP="006E5BD4">
            <w:pPr>
              <w:rPr>
                <w:b/>
              </w:rPr>
            </w:pPr>
            <w:r w:rsidRPr="00B61B0C">
              <w:rPr>
                <w:b/>
              </w:rPr>
              <w:lastRenderedPageBreak/>
              <w:t>Iebildums ņemts vērā.</w:t>
            </w:r>
          </w:p>
          <w:p w:rsidR="004B67A4" w:rsidRPr="00EB1668" w:rsidRDefault="004B67A4" w:rsidP="006E5BD4"/>
        </w:tc>
        <w:tc>
          <w:tcPr>
            <w:tcW w:w="969" w:type="pct"/>
            <w:tcBorders>
              <w:top w:val="single" w:sz="4" w:space="0" w:color="auto"/>
              <w:left w:val="single" w:sz="4" w:space="0" w:color="auto"/>
              <w:bottom w:val="single" w:sz="4" w:space="0" w:color="auto"/>
            </w:tcBorders>
          </w:tcPr>
          <w:p w:rsidR="004B67A4" w:rsidRPr="00EB1668" w:rsidRDefault="004B67A4" w:rsidP="006E5BD4">
            <w:r w:rsidRPr="006D399A">
              <w:t>Skat. anotācijas I sadaļas 2.punktu.</w:t>
            </w:r>
          </w:p>
        </w:tc>
      </w:tr>
      <w:tr w:rsidR="004B67A4"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4B67A4" w:rsidRPr="00EB1668" w:rsidRDefault="004B67A4" w:rsidP="006E5BD4">
            <w:pPr>
              <w:jc w:val="center"/>
            </w:pPr>
            <w:r>
              <w:lastRenderedPageBreak/>
              <w:t>2.</w:t>
            </w:r>
          </w:p>
        </w:tc>
        <w:tc>
          <w:tcPr>
            <w:tcW w:w="1007" w:type="pct"/>
            <w:tcBorders>
              <w:top w:val="single" w:sz="6" w:space="0" w:color="000000"/>
              <w:left w:val="single" w:sz="6" w:space="0" w:color="000000"/>
              <w:bottom w:val="single" w:sz="6" w:space="0" w:color="000000"/>
              <w:right w:val="single" w:sz="6" w:space="0" w:color="000000"/>
            </w:tcBorders>
          </w:tcPr>
          <w:p w:rsidR="004B67A4" w:rsidRDefault="004B67A4" w:rsidP="006E5BD4">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c>
          <w:tcPr>
            <w:tcW w:w="1546" w:type="pct"/>
            <w:gridSpan w:val="2"/>
            <w:tcBorders>
              <w:top w:val="single" w:sz="6" w:space="0" w:color="000000"/>
              <w:left w:val="single" w:sz="6" w:space="0" w:color="000000"/>
              <w:bottom w:val="single" w:sz="6" w:space="0" w:color="000000"/>
              <w:right w:val="single" w:sz="6" w:space="0" w:color="000000"/>
            </w:tcBorders>
          </w:tcPr>
          <w:p w:rsidR="004B67A4" w:rsidRPr="004B67A4" w:rsidRDefault="004B67A4" w:rsidP="004B67A4">
            <w:pPr>
              <w:ind w:right="12" w:firstLine="567"/>
              <w:jc w:val="both"/>
            </w:pPr>
            <w:r w:rsidRPr="004B67A4">
              <w:t xml:space="preserve">Vēršam uzmanību, ka no likumprojekta skaidri un viennozīmīgi neizriet, kas saprotams ar tajā lietoto terminu – </w:t>
            </w:r>
            <w:r w:rsidRPr="004B67A4">
              <w:rPr>
                <w:u w:val="single"/>
              </w:rPr>
              <w:t>mūža pensijas mēneša apmērs</w:t>
            </w:r>
            <w:r w:rsidRPr="004B67A4">
              <w:t xml:space="preserve">, kas noteikts atbilstoši dzīvības apdrošināšanas (mūža pensijas) līgumam par valsts </w:t>
            </w:r>
            <w:proofErr w:type="spellStart"/>
            <w:r w:rsidRPr="004B67A4">
              <w:t>fondēto</w:t>
            </w:r>
            <w:proofErr w:type="spellEnd"/>
            <w:r w:rsidRPr="004B67A4">
              <w:t xml:space="preserve"> pensiju shēmā uzkrātā </w:t>
            </w:r>
            <w:proofErr w:type="spellStart"/>
            <w:r w:rsidRPr="004B67A4">
              <w:t>fondētās</w:t>
            </w:r>
            <w:proofErr w:type="spellEnd"/>
            <w:r w:rsidRPr="004B67A4">
              <w:t xml:space="preserve"> pensijas kapitāla izmantošanu, un kā attiecīgo apmēru nosaka. Norādām, ka saskaņā ar Ministru kabineta 2003. gada 27. maija noteikumu Nr. 272 "Noteikumi par valsts </w:t>
            </w:r>
            <w:proofErr w:type="spellStart"/>
            <w:r w:rsidRPr="004B67A4">
              <w:t>fondēto</w:t>
            </w:r>
            <w:proofErr w:type="spellEnd"/>
            <w:r w:rsidRPr="004B67A4">
              <w:t xml:space="preserve"> pensiju shēmas darbību" (turpmāk – noteikumi Nr. 272) 73.</w:t>
            </w:r>
            <w:r w:rsidRPr="004B67A4">
              <w:rPr>
                <w:vertAlign w:val="superscript"/>
              </w:rPr>
              <w:t>5</w:t>
            </w:r>
            <w:r w:rsidRPr="004B67A4">
              <w:t> punktu, pamatojoties uz mūža pensijas apdrošināšanas līgumu, apdrošinātajai personai līdz nāvei tiek garantēta mūža pensija līgumā noteiktajā apmērā. Savukārt no noteikumu Nr. 272 73.</w:t>
            </w:r>
            <w:r w:rsidRPr="004B67A4">
              <w:rPr>
                <w:vertAlign w:val="superscript"/>
              </w:rPr>
              <w:t>6</w:t>
            </w:r>
            <w:r w:rsidRPr="004B67A4">
              <w:t xml:space="preserve"> punkta izriet, ka mūža pensijas var izmaksāt periodiski – reizi mēnesī, reizi ceturksnī, reizi pusgadā vai reizi gadā, tāpat paredzēta iespēja vienoties par vairāku mūža pensijas izmaksu posmu, bet ne vairāk par trim, noteikšanu, kuru laikā nosaka dažādu izmaksājamās mūža pensijas apmēru, kā arī paredzēt uz laiku atlikt mūža pensijas </w:t>
            </w:r>
            <w:r w:rsidRPr="004B67A4">
              <w:lastRenderedPageBreak/>
              <w:t xml:space="preserve">izmaksu uzsākšanu (atliktais periods). Tātad no noteikumu Nr. 272 normām </w:t>
            </w:r>
            <w:proofErr w:type="spellStart"/>
            <w:r w:rsidRPr="004B67A4">
              <w:t>pirmšķietami</w:t>
            </w:r>
            <w:proofErr w:type="spellEnd"/>
            <w:r w:rsidRPr="004B67A4">
              <w:t xml:space="preserve"> neizriet, ka mūža pensijas mēneša apmēram jābūt obligāti atrunātam dzīvības apdrošināšanas (mūža pensijas) līgumā, turklāt mēneša apmērs var būt noteikts atšķirīgi vairāku mūža pensijas izmaksu posmos.</w:t>
            </w:r>
          </w:p>
          <w:p w:rsidR="004B67A4" w:rsidRPr="004B67A4" w:rsidRDefault="004B67A4" w:rsidP="004B67A4">
            <w:pPr>
              <w:ind w:right="12" w:firstLine="567"/>
              <w:jc w:val="both"/>
            </w:pPr>
            <w:r w:rsidRPr="004B67A4">
              <w:t>Ievērojot minēto, lūdzam izvērtēt un atbilstoši precizēt likumprojektu, nodrošinot termina – mūža pensijas mēneša apmērs – nepārprotamu izpratni un korektu piemērošanu praksē (nepieciešamības gadījumā skaidrojumu par šī termina izpratni var sniegt likumprojekta anotācijā). Norādām, ka atbilstoši juridiskās tehnikas prasībām tiesību normai ir jābūt skaidrai, lai tās lietotājs un piemērotājs gūtu nepārprotamu priekšstatu par saviem pienākumiem un tiesībām.</w:t>
            </w:r>
          </w:p>
          <w:p w:rsidR="004B67A4" w:rsidRPr="004B67A4" w:rsidRDefault="004B67A4" w:rsidP="004B67A4">
            <w:pPr>
              <w:jc w:val="both"/>
            </w:pPr>
          </w:p>
        </w:tc>
        <w:tc>
          <w:tcPr>
            <w:tcW w:w="1080" w:type="pct"/>
            <w:tcBorders>
              <w:top w:val="single" w:sz="6" w:space="0" w:color="000000"/>
              <w:left w:val="single" w:sz="6" w:space="0" w:color="000000"/>
              <w:bottom w:val="single" w:sz="6" w:space="0" w:color="000000"/>
              <w:right w:val="single" w:sz="6" w:space="0" w:color="000000"/>
            </w:tcBorders>
          </w:tcPr>
          <w:p w:rsidR="004B67A4" w:rsidRPr="00B61B0C" w:rsidRDefault="004B67A4" w:rsidP="006E5BD4">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4B67A4" w:rsidRDefault="004B67A4" w:rsidP="006E5BD4">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r>
      <w:tr w:rsidR="004B67A4"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4B67A4" w:rsidRDefault="004B67A4" w:rsidP="006E5BD4">
            <w:pPr>
              <w:jc w:val="center"/>
            </w:pPr>
            <w:r>
              <w:t>3.</w:t>
            </w:r>
          </w:p>
        </w:tc>
        <w:tc>
          <w:tcPr>
            <w:tcW w:w="1007" w:type="pct"/>
            <w:tcBorders>
              <w:top w:val="single" w:sz="6" w:space="0" w:color="000000"/>
              <w:left w:val="single" w:sz="6" w:space="0" w:color="000000"/>
              <w:bottom w:val="single" w:sz="6" w:space="0" w:color="000000"/>
              <w:right w:val="single" w:sz="6" w:space="0" w:color="000000"/>
            </w:tcBorders>
          </w:tcPr>
          <w:p w:rsidR="004B67A4" w:rsidRPr="006D399A" w:rsidRDefault="004B67A4" w:rsidP="006E5BD4">
            <w:pPr>
              <w:tabs>
                <w:tab w:val="left" w:pos="429"/>
                <w:tab w:val="left" w:pos="684"/>
                <w:tab w:val="left" w:pos="720"/>
                <w:tab w:val="left" w:pos="1959"/>
              </w:tabs>
              <w:autoSpaceDE w:val="0"/>
              <w:autoSpaceDN w:val="0"/>
              <w:adjustRightInd w:val="0"/>
              <w:ind w:firstLine="32"/>
            </w:pPr>
            <w:r w:rsidRPr="006D399A">
              <w:t>Skat. anotācijas I sadaļas 2.punktu</w:t>
            </w:r>
            <w:r>
              <w:t>.</w:t>
            </w:r>
          </w:p>
        </w:tc>
        <w:tc>
          <w:tcPr>
            <w:tcW w:w="1546" w:type="pct"/>
            <w:gridSpan w:val="2"/>
            <w:tcBorders>
              <w:top w:val="single" w:sz="6" w:space="0" w:color="000000"/>
              <w:left w:val="single" w:sz="6" w:space="0" w:color="000000"/>
              <w:bottom w:val="single" w:sz="6" w:space="0" w:color="000000"/>
              <w:right w:val="single" w:sz="6" w:space="0" w:color="000000"/>
            </w:tcBorders>
          </w:tcPr>
          <w:p w:rsidR="004B67A4" w:rsidRPr="004B67A4" w:rsidRDefault="004B67A4" w:rsidP="004B67A4">
            <w:pPr>
              <w:ind w:right="12" w:firstLine="567"/>
              <w:jc w:val="both"/>
            </w:pPr>
            <w:r w:rsidRPr="004B67A4">
              <w:t>Lūdzam likumprojekta anotāciju papildināt atbilstoši Ministru kabineta 2009. gada 15. decembra instrukcijas Nr. 19 "Tiesību akta projekta sākotnējās ietekmes izvērtēšanas kārtība" (turpmāk – instrukcija Nr. 19) 14. punktam. Proti:</w:t>
            </w:r>
          </w:p>
          <w:p w:rsidR="004B67A4" w:rsidRPr="004B67A4" w:rsidRDefault="004B67A4" w:rsidP="004B67A4">
            <w:pPr>
              <w:ind w:right="12" w:firstLine="567"/>
              <w:jc w:val="both"/>
            </w:pPr>
            <w:r w:rsidRPr="004B67A4">
              <w:t>pirmkārt, lūdzam likumprojekta anotācijā skaidrojumu sniegt ne vien par likumprojekta 1. un 3. panta (sk. I sadaļas 2. punkts), bet arī par likumprojekta 2. panta nepieciešamību un mērķi (likumprojekta anotācijā ietverta kļūdaina atsauce uz likumprojekta 2. pantu);</w:t>
            </w:r>
          </w:p>
          <w:p w:rsidR="004B67A4" w:rsidRPr="004B67A4" w:rsidRDefault="004B67A4" w:rsidP="004B67A4">
            <w:pPr>
              <w:ind w:right="12" w:firstLine="567"/>
              <w:jc w:val="both"/>
            </w:pPr>
            <w:r w:rsidRPr="004B67A4">
              <w:lastRenderedPageBreak/>
              <w:t xml:space="preserve">otrkārt, lūdzam sniegt detalizētu skaidrojumu par to, kādēļ jau iepriekš (sākotnēji) Tiesnešu izdienas pensiju likumā netika paredzēts, izmaksājot izdienas pensiju saskaņā ar Tiesnešu izdienas pensiju likuma 4. panta sesto un septīto daļu, ņemt vērā mūža pensijas mēneša apmēru, kas noteikts atbilstoši dzīvības apdrošināšanas (mūža pensijas) līgumam par valsts </w:t>
            </w:r>
            <w:proofErr w:type="spellStart"/>
            <w:r w:rsidRPr="004B67A4">
              <w:t>fondēto</w:t>
            </w:r>
            <w:proofErr w:type="spellEnd"/>
            <w:r w:rsidRPr="004B67A4">
              <w:t xml:space="preserve"> pensiju shēmā uzkrātā </w:t>
            </w:r>
            <w:proofErr w:type="spellStart"/>
            <w:r w:rsidRPr="004B67A4">
              <w:t>fondētās</w:t>
            </w:r>
            <w:proofErr w:type="spellEnd"/>
            <w:r w:rsidRPr="004B67A4">
              <w:t xml:space="preserve"> pensijas kapitāla izmantošanu (ja šāds līgums noslēgts), un mērķi, kādēļ attiecīgais nosacījums ir nepieciešams šobrīd un atzīstams par efektīvāko.</w:t>
            </w:r>
          </w:p>
          <w:p w:rsidR="004B67A4" w:rsidRPr="004B67A4" w:rsidRDefault="004B67A4" w:rsidP="004B67A4">
            <w:pPr>
              <w:ind w:right="12" w:firstLine="567"/>
              <w:jc w:val="both"/>
            </w:pPr>
          </w:p>
        </w:tc>
        <w:tc>
          <w:tcPr>
            <w:tcW w:w="1080" w:type="pct"/>
            <w:tcBorders>
              <w:top w:val="single" w:sz="6" w:space="0" w:color="000000"/>
              <w:left w:val="single" w:sz="6" w:space="0" w:color="000000"/>
              <w:bottom w:val="single" w:sz="6" w:space="0" w:color="000000"/>
              <w:right w:val="single" w:sz="6" w:space="0" w:color="000000"/>
            </w:tcBorders>
          </w:tcPr>
          <w:p w:rsidR="004B67A4" w:rsidRPr="00B61B0C" w:rsidRDefault="004B67A4" w:rsidP="006E5BD4">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4B67A4" w:rsidRPr="006D399A" w:rsidRDefault="004B67A4" w:rsidP="006E5BD4">
            <w:pPr>
              <w:tabs>
                <w:tab w:val="left" w:pos="429"/>
                <w:tab w:val="left" w:pos="684"/>
                <w:tab w:val="left" w:pos="720"/>
                <w:tab w:val="left" w:pos="1959"/>
              </w:tabs>
              <w:autoSpaceDE w:val="0"/>
              <w:autoSpaceDN w:val="0"/>
              <w:adjustRightInd w:val="0"/>
              <w:ind w:firstLine="32"/>
            </w:pPr>
            <w:r w:rsidRPr="006D399A">
              <w:t>Skat. anotācijas I sadaļas 2.punktu</w:t>
            </w:r>
            <w:r>
              <w:t>.</w:t>
            </w:r>
          </w:p>
        </w:tc>
      </w:tr>
      <w:tr w:rsidR="004B67A4"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4B67A4" w:rsidRPr="00EB1668" w:rsidRDefault="004B67A4" w:rsidP="006E5BD4">
            <w:pPr>
              <w:jc w:val="center"/>
            </w:pPr>
            <w:r>
              <w:t>4.</w:t>
            </w:r>
          </w:p>
        </w:tc>
        <w:tc>
          <w:tcPr>
            <w:tcW w:w="1007" w:type="pct"/>
            <w:tcBorders>
              <w:top w:val="single" w:sz="6" w:space="0" w:color="000000"/>
              <w:left w:val="single" w:sz="6" w:space="0" w:color="000000"/>
              <w:bottom w:val="single" w:sz="6" w:space="0" w:color="000000"/>
              <w:right w:val="single" w:sz="6" w:space="0" w:color="000000"/>
            </w:tcBorders>
          </w:tcPr>
          <w:p w:rsidR="004B67A4" w:rsidRDefault="004B67A4" w:rsidP="006E5BD4">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c>
          <w:tcPr>
            <w:tcW w:w="1546" w:type="pct"/>
            <w:gridSpan w:val="2"/>
            <w:tcBorders>
              <w:top w:val="single" w:sz="6" w:space="0" w:color="000000"/>
              <w:left w:val="single" w:sz="6" w:space="0" w:color="000000"/>
              <w:bottom w:val="single" w:sz="6" w:space="0" w:color="000000"/>
              <w:right w:val="single" w:sz="6" w:space="0" w:color="000000"/>
            </w:tcBorders>
          </w:tcPr>
          <w:p w:rsidR="004B67A4" w:rsidRPr="004B67A4" w:rsidRDefault="004B67A4" w:rsidP="004B67A4">
            <w:pPr>
              <w:ind w:right="12" w:firstLine="567"/>
              <w:jc w:val="both"/>
            </w:pPr>
            <w:r w:rsidRPr="004B67A4">
              <w:t xml:space="preserve">Lūdzam precizēt likumprojekta anotācijas IV sadaļas 1. punktu, papildinot to ar konkrētu skaidrojumu par šajā sadaļā minēto plānoto grozījumu cita starpā </w:t>
            </w:r>
            <w:r w:rsidRPr="004B67A4">
              <w:rPr>
                <w:bCs/>
              </w:rPr>
              <w:t>likumā "Par obligāto sociālo apdrošināšanu pret nelaimes gadījumiem darbā un arodslimībām",</w:t>
            </w:r>
            <w:r w:rsidRPr="004B67A4">
              <w:t xml:space="preserve"> "Militārpersonu izdienu pensiju likumā", likumā "Par izdienas pensijām </w:t>
            </w:r>
            <w:proofErr w:type="spellStart"/>
            <w:r w:rsidRPr="004B67A4">
              <w:t>Iekšlietu</w:t>
            </w:r>
            <w:proofErr w:type="spellEnd"/>
            <w:r w:rsidRPr="004B67A4">
              <w:t xml:space="preserve"> ministrijas sistēmas darbiniekiem ar speciālajām dienesta pakāpēm" u.c. būtību un nepieciešamību. Norādām, ka saskaņā ar instrukcijas Nr. 19 54.2. apakšpunktu anotācijas IV sadaļas 1. punktā ("Nepieciešamie saistītie tiesību aktu projekti") norāda citus spēkā esošus (vai jau apstiprinātus) tiesību aktus, kuros jāizdara grozījumi vai kuri jāatzīst par spēku zaudējušiem (atceltiem) saistībā ar </w:t>
            </w:r>
            <w:r w:rsidRPr="004B67A4">
              <w:lastRenderedPageBreak/>
              <w:t>projektu, kā arī skaidro šādu izmaiņu nepieciešamību.</w:t>
            </w:r>
          </w:p>
          <w:p w:rsidR="004B67A4" w:rsidRPr="004B67A4" w:rsidRDefault="004B67A4" w:rsidP="004B67A4">
            <w:pPr>
              <w:jc w:val="both"/>
            </w:pPr>
          </w:p>
        </w:tc>
        <w:tc>
          <w:tcPr>
            <w:tcW w:w="1080" w:type="pct"/>
            <w:tcBorders>
              <w:top w:val="single" w:sz="6" w:space="0" w:color="000000"/>
              <w:left w:val="single" w:sz="6" w:space="0" w:color="000000"/>
              <w:bottom w:val="single" w:sz="6" w:space="0" w:color="000000"/>
              <w:right w:val="single" w:sz="6" w:space="0" w:color="000000"/>
            </w:tcBorders>
          </w:tcPr>
          <w:p w:rsidR="004B67A4" w:rsidRPr="00B61B0C" w:rsidRDefault="004B67A4" w:rsidP="006E5BD4">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4B67A4" w:rsidRDefault="004B67A4" w:rsidP="006E5BD4">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r>
      <w:tr w:rsidR="004B67A4" w:rsidRPr="00AC62C9" w:rsidTr="006E5BD4">
        <w:tblPrEx>
          <w:tblBorders>
            <w:top w:val="none" w:sz="0" w:space="0" w:color="auto"/>
            <w:left w:val="none" w:sz="0" w:space="0" w:color="auto"/>
            <w:bottom w:val="none" w:sz="0" w:space="0" w:color="auto"/>
            <w:right w:val="none" w:sz="0" w:space="0" w:color="auto"/>
          </w:tblBorders>
        </w:tblPrEx>
        <w:tc>
          <w:tcPr>
            <w:tcW w:w="1709" w:type="pct"/>
            <w:gridSpan w:val="4"/>
          </w:tcPr>
          <w:p w:rsidR="004B67A4" w:rsidRDefault="004B67A4" w:rsidP="006E5BD4">
            <w:pPr>
              <w:ind w:left="360"/>
              <w:rPr>
                <w:sz w:val="16"/>
                <w:szCs w:val="16"/>
              </w:rPr>
            </w:pPr>
          </w:p>
          <w:p w:rsidR="004B67A4" w:rsidRDefault="004B67A4" w:rsidP="006E5BD4">
            <w:pPr>
              <w:ind w:left="360"/>
              <w:rPr>
                <w:sz w:val="16"/>
                <w:szCs w:val="16"/>
              </w:rPr>
            </w:pPr>
          </w:p>
          <w:p w:rsidR="004B67A4" w:rsidRPr="008126E9" w:rsidRDefault="004B67A4" w:rsidP="006E5BD4">
            <w:pPr>
              <w:ind w:firstLine="720"/>
              <w:rPr>
                <w:sz w:val="16"/>
                <w:szCs w:val="16"/>
              </w:rPr>
            </w:pPr>
          </w:p>
          <w:p w:rsidR="004B67A4" w:rsidRDefault="004B67A4" w:rsidP="006E5BD4">
            <w:pPr>
              <w:ind w:left="360"/>
            </w:pPr>
          </w:p>
          <w:p w:rsidR="004B67A4" w:rsidRPr="00AC62C9" w:rsidRDefault="004B67A4" w:rsidP="006E5BD4">
            <w:pPr>
              <w:ind w:left="360"/>
            </w:pPr>
            <w:r w:rsidRPr="00AC62C9">
              <w:t>Atbildīgā amatpersona</w:t>
            </w:r>
          </w:p>
        </w:tc>
        <w:tc>
          <w:tcPr>
            <w:tcW w:w="3291" w:type="pct"/>
            <w:gridSpan w:val="4"/>
          </w:tcPr>
          <w:p w:rsidR="004B67A4" w:rsidRPr="00AC62C9" w:rsidRDefault="004B67A4" w:rsidP="006E5BD4">
            <w:pPr>
              <w:ind w:firstLine="720"/>
            </w:pPr>
            <w:r w:rsidRPr="00AC62C9">
              <w:t>  </w:t>
            </w:r>
          </w:p>
          <w:p w:rsidR="004B67A4" w:rsidRPr="00AC62C9" w:rsidRDefault="004B67A4" w:rsidP="006E5BD4">
            <w:pPr>
              <w:ind w:firstLine="720"/>
              <w:jc w:val="center"/>
            </w:pPr>
          </w:p>
          <w:p w:rsidR="004B67A4" w:rsidRPr="00AC62C9" w:rsidRDefault="004B67A4" w:rsidP="006E5BD4">
            <w:pPr>
              <w:ind w:firstLine="720"/>
              <w:jc w:val="center"/>
            </w:pPr>
            <w:r w:rsidRPr="00AC62C9">
              <w:t xml:space="preserve">                                                                                    </w:t>
            </w:r>
            <w:r>
              <w:t xml:space="preserve">                        Dace </w:t>
            </w:r>
            <w:proofErr w:type="spellStart"/>
            <w:r>
              <w:t>Trušinska</w:t>
            </w:r>
            <w:proofErr w:type="spellEnd"/>
          </w:p>
        </w:tc>
      </w:tr>
      <w:tr w:rsidR="004B67A4" w:rsidRPr="00AC62C9" w:rsidTr="006E5BD4">
        <w:tblPrEx>
          <w:tblBorders>
            <w:top w:val="none" w:sz="0" w:space="0" w:color="auto"/>
            <w:left w:val="none" w:sz="0" w:space="0" w:color="auto"/>
            <w:bottom w:val="none" w:sz="0" w:space="0" w:color="auto"/>
            <w:right w:val="none" w:sz="0" w:space="0" w:color="auto"/>
          </w:tblBorders>
        </w:tblPrEx>
        <w:tc>
          <w:tcPr>
            <w:tcW w:w="1709" w:type="pct"/>
            <w:gridSpan w:val="4"/>
          </w:tcPr>
          <w:p w:rsidR="004B67A4" w:rsidRPr="00AC62C9" w:rsidRDefault="004B67A4" w:rsidP="006E5BD4">
            <w:pPr>
              <w:ind w:left="360"/>
            </w:pPr>
          </w:p>
        </w:tc>
        <w:tc>
          <w:tcPr>
            <w:tcW w:w="3291" w:type="pct"/>
            <w:gridSpan w:val="4"/>
            <w:tcBorders>
              <w:top w:val="single" w:sz="6" w:space="0" w:color="000000"/>
            </w:tcBorders>
          </w:tcPr>
          <w:p w:rsidR="004B67A4" w:rsidRPr="00AC62C9" w:rsidRDefault="004B67A4" w:rsidP="006E5BD4">
            <w:pPr>
              <w:ind w:firstLine="720"/>
              <w:jc w:val="right"/>
            </w:pPr>
            <w:r>
              <w:t xml:space="preserve">                     </w:t>
            </w:r>
            <w:r w:rsidRPr="00AC62C9">
              <w:t>(vārds un uzvārds)</w:t>
            </w:r>
          </w:p>
        </w:tc>
      </w:tr>
    </w:tbl>
    <w:p w:rsidR="004B67A4" w:rsidRDefault="004B67A4" w:rsidP="004B67A4">
      <w:pPr>
        <w:rPr>
          <w:sz w:val="20"/>
          <w:szCs w:val="20"/>
        </w:rPr>
      </w:pPr>
    </w:p>
    <w:p w:rsidR="004B67A4" w:rsidRDefault="004B67A4" w:rsidP="004B67A4">
      <w:pPr>
        <w:rPr>
          <w:sz w:val="20"/>
          <w:szCs w:val="20"/>
        </w:rPr>
      </w:pPr>
    </w:p>
    <w:p w:rsidR="004B67A4" w:rsidRDefault="004B67A4" w:rsidP="004B67A4">
      <w:pPr>
        <w:rPr>
          <w:sz w:val="20"/>
          <w:szCs w:val="20"/>
        </w:rPr>
      </w:pPr>
    </w:p>
    <w:p w:rsidR="004B67A4" w:rsidRDefault="004B67A4" w:rsidP="004B67A4">
      <w:pPr>
        <w:rPr>
          <w:sz w:val="20"/>
          <w:szCs w:val="20"/>
        </w:rPr>
      </w:pPr>
    </w:p>
    <w:p w:rsidR="004B67A4" w:rsidRDefault="004B67A4" w:rsidP="004B67A4">
      <w:pPr>
        <w:rPr>
          <w:sz w:val="20"/>
          <w:szCs w:val="20"/>
        </w:rPr>
      </w:pPr>
    </w:p>
    <w:p w:rsidR="004B67A4" w:rsidRPr="0019557A" w:rsidRDefault="004B67A4" w:rsidP="004B67A4">
      <w:pPr>
        <w:jc w:val="both"/>
        <w:rPr>
          <w:sz w:val="20"/>
          <w:szCs w:val="20"/>
        </w:rPr>
      </w:pPr>
      <w:r>
        <w:rPr>
          <w:sz w:val="20"/>
          <w:szCs w:val="20"/>
        </w:rPr>
        <w:t xml:space="preserve">Dace </w:t>
      </w:r>
      <w:proofErr w:type="spellStart"/>
      <w:r>
        <w:rPr>
          <w:sz w:val="20"/>
          <w:szCs w:val="20"/>
        </w:rPr>
        <w:t>Trušinska</w:t>
      </w:r>
      <w:proofErr w:type="spellEnd"/>
    </w:p>
    <w:p w:rsidR="004B67A4" w:rsidRDefault="004B67A4" w:rsidP="004B67A4">
      <w:pPr>
        <w:rPr>
          <w:sz w:val="20"/>
          <w:szCs w:val="20"/>
        </w:rPr>
      </w:pPr>
      <w:r w:rsidRPr="0019557A">
        <w:rPr>
          <w:sz w:val="20"/>
          <w:szCs w:val="20"/>
        </w:rPr>
        <w:t xml:space="preserve">Labklājības ministrijas </w:t>
      </w:r>
    </w:p>
    <w:p w:rsidR="004B67A4" w:rsidRDefault="004B67A4" w:rsidP="004B67A4">
      <w:pPr>
        <w:rPr>
          <w:sz w:val="20"/>
          <w:szCs w:val="20"/>
        </w:rPr>
      </w:pPr>
      <w:r w:rsidRPr="0019557A">
        <w:rPr>
          <w:sz w:val="20"/>
          <w:szCs w:val="20"/>
        </w:rPr>
        <w:t>Sociālās apdrošināšanas departamenta vecākā eksperte</w:t>
      </w:r>
    </w:p>
    <w:p w:rsidR="004B67A4" w:rsidRDefault="004B67A4" w:rsidP="004B67A4">
      <w:pPr>
        <w:rPr>
          <w:sz w:val="20"/>
          <w:szCs w:val="20"/>
        </w:rPr>
      </w:pPr>
      <w:r>
        <w:rPr>
          <w:sz w:val="20"/>
          <w:szCs w:val="20"/>
        </w:rPr>
        <w:t>Tālr.</w:t>
      </w:r>
      <w:r w:rsidRPr="0019557A">
        <w:rPr>
          <w:sz w:val="20"/>
          <w:szCs w:val="20"/>
        </w:rPr>
        <w:t>67021</w:t>
      </w:r>
      <w:r>
        <w:rPr>
          <w:sz w:val="20"/>
          <w:szCs w:val="20"/>
        </w:rPr>
        <w:t>553</w:t>
      </w:r>
    </w:p>
    <w:p w:rsidR="004B67A4" w:rsidRPr="00180A31" w:rsidRDefault="00051862" w:rsidP="004B67A4">
      <w:pPr>
        <w:rPr>
          <w:sz w:val="20"/>
          <w:szCs w:val="20"/>
        </w:rPr>
      </w:pPr>
      <w:hyperlink r:id="rId8" w:history="1">
        <w:r w:rsidR="004B67A4" w:rsidRPr="00E74AEA">
          <w:rPr>
            <w:rStyle w:val="Hyperlink"/>
            <w:sz w:val="20"/>
            <w:szCs w:val="20"/>
          </w:rPr>
          <w:t>Dace.Trusinska@lm.gov.lv</w:t>
        </w:r>
      </w:hyperlink>
    </w:p>
    <w:p w:rsidR="004B67A4" w:rsidRDefault="004B67A4" w:rsidP="004B67A4"/>
    <w:p w:rsidR="004B67A4" w:rsidRDefault="004B67A4" w:rsidP="004B67A4"/>
    <w:p w:rsidR="004B67A4" w:rsidRDefault="004B67A4" w:rsidP="004B67A4"/>
    <w:p w:rsidR="004B67A4" w:rsidRDefault="004B67A4" w:rsidP="004B67A4"/>
    <w:p w:rsidR="004B67A4" w:rsidRDefault="004B67A4" w:rsidP="004B67A4"/>
    <w:p w:rsidR="00F7306B" w:rsidRDefault="00F7306B"/>
    <w:sectPr w:rsidR="00F7306B" w:rsidSect="00A9677B">
      <w:headerReference w:type="default" r:id="rId9"/>
      <w:footerReference w:type="default" r:id="rId10"/>
      <w:headerReference w:type="first" r:id="rId11"/>
      <w:footerReference w:type="first" r:id="rId12"/>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862" w:rsidRDefault="00051862" w:rsidP="004B67A4">
      <w:r>
        <w:separator/>
      </w:r>
    </w:p>
  </w:endnote>
  <w:endnote w:type="continuationSeparator" w:id="0">
    <w:p w:rsidR="00051862" w:rsidRDefault="00051862" w:rsidP="004B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2E4757" w:rsidRDefault="00341FC3" w:rsidP="002E4757">
    <w:pPr>
      <w:pStyle w:val="Footer"/>
    </w:pPr>
    <w:r w:rsidRPr="00554B40">
      <w:rPr>
        <w:sz w:val="20"/>
        <w:szCs w:val="20"/>
      </w:rPr>
      <w:t>LMizz_</w:t>
    </w:r>
    <w:r>
      <w:rPr>
        <w:sz w:val="20"/>
        <w:szCs w:val="20"/>
      </w:rPr>
      <w:t>1</w:t>
    </w:r>
    <w:r w:rsidR="00F37040">
      <w:rPr>
        <w:sz w:val="20"/>
        <w:szCs w:val="20"/>
      </w:rPr>
      <w:t>307</w:t>
    </w:r>
    <w:r>
      <w:rPr>
        <w:sz w:val="20"/>
        <w:szCs w:val="20"/>
      </w:rPr>
      <w:t>20</w:t>
    </w:r>
    <w:r w:rsidRPr="00554B40">
      <w:rPr>
        <w:sz w:val="20"/>
        <w:szCs w:val="20"/>
      </w:rPr>
      <w:t>_</w:t>
    </w:r>
    <w:r w:rsidR="004B67A4">
      <w:rPr>
        <w:sz w:val="20"/>
        <w:szCs w:val="20"/>
      </w:rPr>
      <w:t>tiesnesi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341FC3" w:rsidP="00166F75">
    <w:pPr>
      <w:pStyle w:val="Footer"/>
    </w:pPr>
    <w:r w:rsidRPr="00554B40">
      <w:rPr>
        <w:sz w:val="20"/>
        <w:szCs w:val="20"/>
      </w:rPr>
      <w:t>LMizz_</w:t>
    </w:r>
    <w:r>
      <w:rPr>
        <w:sz w:val="20"/>
        <w:szCs w:val="20"/>
      </w:rPr>
      <w:t>1</w:t>
    </w:r>
    <w:r w:rsidR="00F37040">
      <w:rPr>
        <w:sz w:val="20"/>
        <w:szCs w:val="20"/>
      </w:rPr>
      <w:t>307</w:t>
    </w:r>
    <w:r>
      <w:rPr>
        <w:sz w:val="20"/>
        <w:szCs w:val="20"/>
      </w:rPr>
      <w:t>20</w:t>
    </w:r>
    <w:r w:rsidRPr="00554B40">
      <w:rPr>
        <w:sz w:val="20"/>
        <w:szCs w:val="20"/>
      </w:rPr>
      <w:t>_</w:t>
    </w:r>
    <w:r w:rsidR="004B67A4">
      <w:rPr>
        <w:sz w:val="20"/>
        <w:szCs w:val="20"/>
      </w:rPr>
      <w:t>tiesnesi</w:t>
    </w:r>
  </w:p>
  <w:p w:rsidR="009D06F9" w:rsidRPr="00765842" w:rsidRDefault="00051862"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862" w:rsidRDefault="00051862" w:rsidP="004B67A4">
      <w:r>
        <w:separator/>
      </w:r>
    </w:p>
  </w:footnote>
  <w:footnote w:type="continuationSeparator" w:id="0">
    <w:p w:rsidR="00051862" w:rsidRDefault="00051862" w:rsidP="004B67A4">
      <w:r>
        <w:continuationSeparator/>
      </w:r>
    </w:p>
  </w:footnote>
  <w:footnote w:id="1">
    <w:p w:rsidR="004B67A4" w:rsidRPr="00BC2109" w:rsidRDefault="004B67A4" w:rsidP="004B67A4">
      <w:pPr>
        <w:pStyle w:val="FootnoteText"/>
        <w:rPr>
          <w:lang w:val="en-GB"/>
        </w:rPr>
      </w:pPr>
      <w:r>
        <w:rPr>
          <w:rStyle w:val="FootnoteReference"/>
        </w:rPr>
        <w:footnoteRef/>
      </w:r>
      <w:r>
        <w:t xml:space="preserve"> Ikvienam ir tiesības uz sociālo nodrošinājumu vecuma, darbnespējas, bezdarba un citos likumā noteiktajos gadījumos.</w:t>
      </w:r>
    </w:p>
  </w:footnote>
  <w:footnote w:id="2">
    <w:p w:rsidR="004B67A4" w:rsidRPr="000C7D4F" w:rsidRDefault="004B67A4" w:rsidP="004B67A4">
      <w:pPr>
        <w:pStyle w:val="FootnoteText"/>
      </w:pPr>
      <w:r>
        <w:rPr>
          <w:rStyle w:val="FootnoteReference"/>
        </w:rPr>
        <w:footnoteRef/>
      </w:r>
      <w:r>
        <w:t xml:space="preserve"> Satversmes tiesa</w:t>
      </w:r>
      <w:r w:rsidRPr="00ED767C">
        <w:t xml:space="preserve"> praksē </w:t>
      </w:r>
      <w:r>
        <w:t>atzinusi</w:t>
      </w:r>
      <w:r w:rsidRPr="00ED767C">
        <w:t>, ka likumdevējs ir tiesīgs grozīt pastāvošo regulējumu sociālo tiesību jomā, ievērojot tiesiskās paļāvības princi</w:t>
      </w:r>
      <w:r>
        <w:t xml:space="preserve">pu (sk. </w:t>
      </w:r>
      <w:r w:rsidRPr="00ED767C">
        <w:rPr>
          <w:i/>
        </w:rPr>
        <w:t>Satversmes tiesas 2010. gada 29. oktobra sprieduma lietā Nr. 2010-17-01</w:t>
      </w:r>
      <w:r>
        <w:t xml:space="preserve"> 12. </w:t>
      </w:r>
      <w:r w:rsidRPr="00ED767C">
        <w:t>punktu).</w:t>
      </w:r>
    </w:p>
  </w:footnote>
  <w:footnote w:id="3">
    <w:p w:rsidR="004B67A4" w:rsidRPr="005C408C" w:rsidRDefault="004B67A4" w:rsidP="004B67A4">
      <w:pPr>
        <w:rPr>
          <w:sz w:val="20"/>
          <w:szCs w:val="20"/>
        </w:rPr>
      </w:pPr>
      <w:r>
        <w:rPr>
          <w:rStyle w:val="FootnoteReference"/>
        </w:rPr>
        <w:footnoteRef/>
      </w:r>
      <w:r>
        <w:t xml:space="preserve"> </w:t>
      </w:r>
      <w:r>
        <w:rPr>
          <w:sz w:val="20"/>
          <w:szCs w:val="20"/>
        </w:rPr>
        <w:t xml:space="preserve">Satversmes tiesa arī </w:t>
      </w:r>
      <w:r w:rsidRPr="005C408C">
        <w:rPr>
          <w:sz w:val="20"/>
          <w:szCs w:val="20"/>
        </w:rPr>
        <w:t>norādījusi, ka tiesību norma, kas vēl nav piemērota, var radīt aizsargājamu tiesisko paļāvību, ja nosaka sagaidāmas tiesības. Proti, tiesības normatīvajā aktā ir paredzētas, bet vēl nav iestājušies visi to īstenošanas priekšnoteikumi. Jo sevišķi šāda paļāvība rodas tad, ja tiesību norma attiecas uz jau ievadītām tiesiskajām attiecībām</w:t>
      </w:r>
      <w:r>
        <w:rPr>
          <w:sz w:val="20"/>
          <w:szCs w:val="20"/>
        </w:rPr>
        <w:t xml:space="preserve">. </w:t>
      </w:r>
      <w:r w:rsidRPr="005C408C">
        <w:rPr>
          <w:sz w:val="20"/>
          <w:szCs w:val="20"/>
        </w:rPr>
        <w:t xml:space="preserve">(sk. </w:t>
      </w:r>
      <w:r w:rsidRPr="00CD3352">
        <w:rPr>
          <w:i/>
          <w:sz w:val="20"/>
          <w:szCs w:val="20"/>
        </w:rPr>
        <w:t>Satversmes tiesas 2009. gada 26. novembra sprieduma lietā Nr. 2009-08-01 25. punktu</w:t>
      </w:r>
      <w:r w:rsidRPr="005C408C">
        <w:rPr>
          <w:sz w:val="20"/>
          <w:szCs w:val="20"/>
        </w:rPr>
        <w:t>).</w:t>
      </w:r>
    </w:p>
    <w:p w:rsidR="004B67A4" w:rsidRDefault="004B67A4" w:rsidP="004B67A4">
      <w:pPr>
        <w:ind w:right="12" w:firstLine="567"/>
        <w:rPr>
          <w:sz w:val="28"/>
          <w:szCs w:val="28"/>
        </w:rPr>
      </w:pPr>
    </w:p>
    <w:p w:rsidR="004B67A4" w:rsidRPr="00CD3352" w:rsidRDefault="004B67A4" w:rsidP="004B67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341FC3">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57047" w:rsidRDefault="00051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051862">
    <w:pPr>
      <w:pStyle w:val="Header"/>
      <w:jc w:val="center"/>
    </w:pPr>
  </w:p>
  <w:p w:rsidR="00EA144E" w:rsidRDefault="00051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D0B"/>
    <w:multiLevelType w:val="hybridMultilevel"/>
    <w:tmpl w:val="D4AC6E10"/>
    <w:lvl w:ilvl="0" w:tplc="99F271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A4"/>
    <w:rsid w:val="00051862"/>
    <w:rsid w:val="00170090"/>
    <w:rsid w:val="00341FC3"/>
    <w:rsid w:val="004B67A4"/>
    <w:rsid w:val="00F349E5"/>
    <w:rsid w:val="00F37040"/>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3C65"/>
  <w15:chartTrackingRefBased/>
  <w15:docId w15:val="{B689CF25-7787-438F-AE8B-48214F4D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7A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4B67A4"/>
    <w:pPr>
      <w:spacing w:before="75" w:after="75"/>
      <w:ind w:firstLine="375"/>
      <w:jc w:val="both"/>
    </w:pPr>
  </w:style>
  <w:style w:type="paragraph" w:customStyle="1" w:styleId="naisc">
    <w:name w:val="naisc"/>
    <w:basedOn w:val="Normal"/>
    <w:rsid w:val="004B67A4"/>
    <w:pPr>
      <w:spacing w:before="75" w:after="75"/>
      <w:jc w:val="center"/>
    </w:pPr>
  </w:style>
  <w:style w:type="paragraph" w:styleId="Header">
    <w:name w:val="header"/>
    <w:basedOn w:val="Normal"/>
    <w:link w:val="HeaderChar"/>
    <w:uiPriority w:val="99"/>
    <w:rsid w:val="004B67A4"/>
    <w:pPr>
      <w:tabs>
        <w:tab w:val="center" w:pos="4153"/>
        <w:tab w:val="right" w:pos="8306"/>
      </w:tabs>
    </w:pPr>
  </w:style>
  <w:style w:type="character" w:customStyle="1" w:styleId="HeaderChar">
    <w:name w:val="Header Char"/>
    <w:basedOn w:val="DefaultParagraphFont"/>
    <w:link w:val="Header"/>
    <w:uiPriority w:val="99"/>
    <w:rsid w:val="004B67A4"/>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4B67A4"/>
    <w:pPr>
      <w:tabs>
        <w:tab w:val="center" w:pos="4153"/>
        <w:tab w:val="right" w:pos="8306"/>
      </w:tabs>
    </w:pPr>
  </w:style>
  <w:style w:type="character" w:customStyle="1" w:styleId="FooterChar">
    <w:name w:val="Footer Char"/>
    <w:basedOn w:val="DefaultParagraphFont"/>
    <w:link w:val="Footer"/>
    <w:uiPriority w:val="99"/>
    <w:rsid w:val="004B67A4"/>
    <w:rPr>
      <w:rFonts w:ascii="Times New Roman" w:eastAsia="Times New Roman" w:hAnsi="Times New Roman" w:cs="Times New Roman"/>
      <w:sz w:val="24"/>
      <w:szCs w:val="24"/>
      <w:lang w:eastAsia="lv-LV"/>
    </w:rPr>
  </w:style>
  <w:style w:type="paragraph" w:customStyle="1" w:styleId="tv213">
    <w:name w:val="tv213"/>
    <w:basedOn w:val="Normal"/>
    <w:uiPriority w:val="99"/>
    <w:rsid w:val="004B67A4"/>
    <w:pPr>
      <w:spacing w:before="100" w:beforeAutospacing="1" w:after="100" w:afterAutospacing="1"/>
    </w:pPr>
  </w:style>
  <w:style w:type="character" w:styleId="Hyperlink">
    <w:name w:val="Hyperlink"/>
    <w:basedOn w:val="DefaultParagraphFont"/>
    <w:uiPriority w:val="99"/>
    <w:unhideWhenUsed/>
    <w:rsid w:val="004B67A4"/>
    <w:rPr>
      <w:color w:val="0563C1" w:themeColor="hyperlink"/>
      <w:u w:val="single"/>
    </w:rPr>
  </w:style>
  <w:style w:type="paragraph" w:styleId="FootnoteText">
    <w:name w:val="footnote text"/>
    <w:basedOn w:val="Normal"/>
    <w:link w:val="FootnoteTextChar"/>
    <w:uiPriority w:val="99"/>
    <w:semiHidden/>
    <w:unhideWhenUsed/>
    <w:rsid w:val="004B67A4"/>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4B67A4"/>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B67A4"/>
    <w:rPr>
      <w:vertAlign w:val="superscript"/>
    </w:rPr>
  </w:style>
  <w:style w:type="paragraph" w:styleId="NormalWeb">
    <w:name w:val="Normal (Web)"/>
    <w:aliases w:val="sākums"/>
    <w:basedOn w:val="Normal"/>
    <w:uiPriority w:val="99"/>
    <w:rsid w:val="004B67A4"/>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rusinska@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90806-valsts-un-pasvaldibu-profesionalo-orkestru-koru-koncertorganizaciju-teatru-un-cirka-makslinieku-izdienas-pensiju-un-baleta-mak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5974</Words>
  <Characters>3406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Tiesnešu izdienas pensiju likumā</dc:title>
  <dc:subject>izziņa par atzinumos izteiktajiem iebildumiem</dc:subject>
  <dc:creator>Dace Trusinska</dc:creator>
  <cp:keywords/>
  <dc:description>D.Trušinska, 67021553
Dace.Trusinska@lm.gov.lv</dc:description>
  <cp:lastModifiedBy>Dace Trusinska</cp:lastModifiedBy>
  <cp:revision>3</cp:revision>
  <dcterms:created xsi:type="dcterms:W3CDTF">2020-06-13T07:16:00Z</dcterms:created>
  <dcterms:modified xsi:type="dcterms:W3CDTF">2020-07-08T07:05:00Z</dcterms:modified>
</cp:coreProperties>
</file>