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2330" w14:textId="77777777" w:rsidR="005865CF" w:rsidRPr="00CE1053" w:rsidRDefault="0031438D" w:rsidP="00C57E86">
      <w:pPr>
        <w:jc w:val="center"/>
        <w:rPr>
          <w:b/>
          <w:bCs/>
          <w:color w:val="0D0D0D" w:themeColor="text1" w:themeTint="F2"/>
        </w:rPr>
      </w:pPr>
      <w:r w:rsidRPr="00CE1053">
        <w:rPr>
          <w:b/>
          <w:bCs/>
          <w:color w:val="0D0D0D" w:themeColor="text1" w:themeTint="F2"/>
        </w:rPr>
        <w:t>Likumprojekta „</w:t>
      </w:r>
      <w:r w:rsidRPr="00CE1053">
        <w:rPr>
          <w:b/>
          <w:color w:val="0D0D0D" w:themeColor="text1" w:themeTint="F2"/>
        </w:rPr>
        <w:t xml:space="preserve">Grozījumi </w:t>
      </w:r>
      <w:r w:rsidR="006C2881" w:rsidRPr="00CE1053">
        <w:rPr>
          <w:b/>
          <w:color w:val="0D0D0D" w:themeColor="text1" w:themeTint="F2"/>
        </w:rPr>
        <w:t>Pasta</w:t>
      </w:r>
      <w:r w:rsidRPr="00CE1053">
        <w:rPr>
          <w:b/>
          <w:color w:val="0D0D0D" w:themeColor="text1" w:themeTint="F2"/>
        </w:rPr>
        <w:t xml:space="preserve"> likumā</w:t>
      </w:r>
      <w:r w:rsidRPr="00CE1053">
        <w:rPr>
          <w:b/>
          <w:bCs/>
          <w:color w:val="0D0D0D" w:themeColor="text1" w:themeTint="F2"/>
        </w:rPr>
        <w:t xml:space="preserve">” </w:t>
      </w:r>
    </w:p>
    <w:p w14:paraId="7230DBC0" w14:textId="77777777" w:rsidR="0031438D" w:rsidRPr="00CE1053" w:rsidRDefault="00B07CD8" w:rsidP="00C57E86">
      <w:pPr>
        <w:jc w:val="center"/>
        <w:rPr>
          <w:b/>
          <w:color w:val="0D0D0D" w:themeColor="text1" w:themeTint="F2"/>
        </w:rPr>
      </w:pPr>
      <w:r w:rsidRPr="00CE1053">
        <w:rPr>
          <w:b/>
          <w:bCs/>
          <w:color w:val="0D0D0D" w:themeColor="text1" w:themeTint="F2"/>
        </w:rPr>
        <w:t xml:space="preserve">sākotnējās </w:t>
      </w:r>
      <w:r w:rsidR="0031438D" w:rsidRPr="00CE1053">
        <w:rPr>
          <w:b/>
          <w:bCs/>
          <w:color w:val="0D0D0D" w:themeColor="text1" w:themeTint="F2"/>
        </w:rPr>
        <w:t>ietekmes novērtējuma ziņojums (anotācija)</w:t>
      </w:r>
    </w:p>
    <w:p w14:paraId="576B4391" w14:textId="77777777" w:rsidR="00BD5588" w:rsidRPr="00CE1053" w:rsidRDefault="00BD5588"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009D2D72" w:rsidRPr="00CE1053" w14:paraId="6D114DB0" w14:textId="77777777" w:rsidTr="00E30361">
        <w:trPr>
          <w:cantSplit/>
        </w:trPr>
        <w:tc>
          <w:tcPr>
            <w:tcW w:w="9351" w:type="dxa"/>
            <w:gridSpan w:val="2"/>
            <w:shd w:val="clear" w:color="auto" w:fill="auto"/>
            <w:vAlign w:val="center"/>
            <w:hideMark/>
          </w:tcPr>
          <w:p w14:paraId="490C0464" w14:textId="77777777" w:rsidR="00BD5588" w:rsidRPr="00CE1053" w:rsidRDefault="006E2E27" w:rsidP="00C57E86">
            <w:pPr>
              <w:jc w:val="center"/>
              <w:rPr>
                <w:b/>
                <w:iCs/>
                <w:color w:val="0D0D0D" w:themeColor="text1" w:themeTint="F2"/>
                <w:lang w:eastAsia="en-US"/>
              </w:rPr>
            </w:pPr>
            <w:r w:rsidRPr="00CE1053">
              <w:rPr>
                <w:b/>
                <w:iCs/>
                <w:color w:val="0D0D0D" w:themeColor="text1" w:themeTint="F2"/>
                <w:lang w:eastAsia="en-US"/>
              </w:rPr>
              <w:t>Tiesību akta projekta anotācijas kopsavilkums</w:t>
            </w:r>
          </w:p>
        </w:tc>
      </w:tr>
      <w:tr w:rsidR="009D2D72" w:rsidRPr="00CE1053" w14:paraId="39EBDFD7" w14:textId="77777777" w:rsidTr="00E30361">
        <w:trPr>
          <w:cantSplit/>
        </w:trPr>
        <w:tc>
          <w:tcPr>
            <w:tcW w:w="3247" w:type="dxa"/>
            <w:shd w:val="clear" w:color="auto" w:fill="auto"/>
            <w:hideMark/>
          </w:tcPr>
          <w:p w14:paraId="4BDE3F37" w14:textId="77777777" w:rsidR="00BD5588" w:rsidRPr="00CE1053" w:rsidRDefault="006E2E27" w:rsidP="00C57E86">
            <w:pPr>
              <w:rPr>
                <w:iCs/>
                <w:color w:val="0D0D0D" w:themeColor="text1" w:themeTint="F2"/>
                <w:lang w:eastAsia="en-US"/>
              </w:rPr>
            </w:pPr>
            <w:r w:rsidRPr="00CE1053">
              <w:rPr>
                <w:iCs/>
                <w:color w:val="0D0D0D" w:themeColor="text1" w:themeTint="F2"/>
                <w:lang w:eastAsia="en-US"/>
              </w:rPr>
              <w:t>Mērķis, risinājums un projekta spēkā stāšanās laiks (500 zīmes bez atstarpēm)</w:t>
            </w:r>
          </w:p>
        </w:tc>
        <w:tc>
          <w:tcPr>
            <w:tcW w:w="6104" w:type="dxa"/>
            <w:shd w:val="clear" w:color="auto" w:fill="auto"/>
            <w:hideMark/>
          </w:tcPr>
          <w:p w14:paraId="3E784759" w14:textId="77777777" w:rsidR="005865CF" w:rsidRDefault="008E26A0" w:rsidP="002F13F2">
            <w:pPr>
              <w:widowControl w:val="0"/>
              <w:tabs>
                <w:tab w:val="left" w:pos="560"/>
              </w:tabs>
              <w:ind w:right="115" w:firstLine="118"/>
              <w:jc w:val="both"/>
              <w:outlineLvl w:val="2"/>
              <w:rPr>
                <w:color w:val="0D0D0D" w:themeColor="text1" w:themeTint="F2"/>
              </w:rPr>
            </w:pPr>
            <w:r w:rsidRPr="00CE1053">
              <w:rPr>
                <w:color w:val="0D0D0D" w:themeColor="text1" w:themeTint="F2"/>
              </w:rPr>
              <w:t xml:space="preserve">Likumprojekts </w:t>
            </w:r>
            <w:r w:rsidR="002F13F2">
              <w:rPr>
                <w:color w:val="0D0D0D" w:themeColor="text1" w:themeTint="F2"/>
              </w:rPr>
              <w:t xml:space="preserve">“Grozījumi Pasta likumā” (turpmāk – likumprojekts) </w:t>
            </w:r>
            <w:r w:rsidRPr="00CE1053">
              <w:rPr>
                <w:color w:val="0D0D0D" w:themeColor="text1" w:themeTint="F2"/>
              </w:rPr>
              <w:t xml:space="preserve">paredz </w:t>
            </w:r>
            <w:r w:rsidR="001C78BC" w:rsidRPr="00CE1053">
              <w:rPr>
                <w:color w:val="0D0D0D" w:themeColor="text1" w:themeTint="F2"/>
              </w:rPr>
              <w:t>uz vienu gadu</w:t>
            </w:r>
            <w:r w:rsidR="004A36D5">
              <w:rPr>
                <w:color w:val="0D0D0D" w:themeColor="text1" w:themeTint="F2"/>
              </w:rPr>
              <w:t xml:space="preserve"> (līdz 2021.gada 31.decembrim)</w:t>
            </w:r>
            <w:r w:rsidR="001C78BC" w:rsidRPr="00CE1053">
              <w:rPr>
                <w:color w:val="0D0D0D" w:themeColor="text1" w:themeTint="F2"/>
              </w:rPr>
              <w:t xml:space="preserve"> pagarināt šobrīd </w:t>
            </w:r>
            <w:r w:rsidR="00B515C5">
              <w:rPr>
                <w:color w:val="0D0D0D" w:themeColor="text1" w:themeTint="F2"/>
              </w:rPr>
              <w:t>spēkā esošo</w:t>
            </w:r>
            <w:r w:rsidR="001C78BC" w:rsidRPr="00CE1053">
              <w:rPr>
                <w:color w:val="0D0D0D" w:themeColor="text1" w:themeTint="F2"/>
              </w:rPr>
              <w:t xml:space="preserve"> regulējumu attiecībā uz abonēto preses izdevumu piegādes pakalpojum</w:t>
            </w:r>
            <w:r w:rsidR="00B515C5">
              <w:rPr>
                <w:color w:val="0D0D0D" w:themeColor="text1" w:themeTint="F2"/>
              </w:rPr>
              <w:t>a</w:t>
            </w:r>
            <w:r w:rsidR="001C78BC" w:rsidRPr="00CE1053">
              <w:rPr>
                <w:color w:val="0D0D0D" w:themeColor="text1" w:themeTint="F2"/>
              </w:rPr>
              <w:t xml:space="preserve"> </w:t>
            </w:r>
            <w:r w:rsidR="00B02C01" w:rsidRPr="00CE1053">
              <w:rPr>
                <w:color w:val="0D0D0D" w:themeColor="text1" w:themeTint="F2"/>
              </w:rPr>
              <w:t xml:space="preserve">(turpmāk - preses piegāde) </w:t>
            </w:r>
            <w:r w:rsidR="001C78BC" w:rsidRPr="00CE1053">
              <w:rPr>
                <w:color w:val="0D0D0D" w:themeColor="text1" w:themeTint="F2"/>
              </w:rPr>
              <w:t xml:space="preserve">nodrošināšanu un </w:t>
            </w:r>
            <w:r w:rsidR="00FF46B4">
              <w:rPr>
                <w:color w:val="0D0D0D" w:themeColor="text1" w:themeTint="F2"/>
              </w:rPr>
              <w:t>ar pakalpojuma sniegšanu</w:t>
            </w:r>
            <w:r w:rsidR="00FF46B4" w:rsidRPr="00CE1053">
              <w:rPr>
                <w:color w:val="0D0D0D" w:themeColor="text1" w:themeTint="F2"/>
              </w:rPr>
              <w:t xml:space="preserve"> </w:t>
            </w:r>
            <w:r w:rsidR="001C78BC" w:rsidRPr="00CE1053">
              <w:rPr>
                <w:color w:val="0D0D0D" w:themeColor="text1" w:themeTint="F2"/>
              </w:rPr>
              <w:t>radīto zaudējumu kompensēšanu</w:t>
            </w:r>
            <w:r w:rsidRPr="00CE1053">
              <w:rPr>
                <w:color w:val="0D0D0D" w:themeColor="text1" w:themeTint="F2"/>
              </w:rPr>
              <w:t xml:space="preserve">. </w:t>
            </w:r>
          </w:p>
          <w:p w14:paraId="282BF893" w14:textId="4767C35F" w:rsidR="002F13F2" w:rsidRPr="00CE1053" w:rsidRDefault="002F13F2" w:rsidP="002F13F2">
            <w:pPr>
              <w:widowControl w:val="0"/>
              <w:tabs>
                <w:tab w:val="left" w:pos="560"/>
              </w:tabs>
              <w:ind w:right="115" w:firstLine="118"/>
              <w:jc w:val="both"/>
              <w:outlineLvl w:val="2"/>
              <w:rPr>
                <w:color w:val="0D0D0D" w:themeColor="text1" w:themeTint="F2"/>
              </w:rPr>
            </w:pPr>
            <w:r w:rsidRPr="00CE1053">
              <w:t xml:space="preserve">Likumprojekta spēkā stāšanās </w:t>
            </w:r>
            <w:r>
              <w:t>paredzēt</w:t>
            </w:r>
            <w:r w:rsidR="001952D5">
              <w:t>a</w:t>
            </w:r>
            <w:r>
              <w:t xml:space="preserve"> </w:t>
            </w:r>
            <w:r w:rsidRPr="008314DA">
              <w:t>nākamajā dienā pēc tā izsludināšanas</w:t>
            </w:r>
            <w:r w:rsidR="00F76373">
              <w:t>.</w:t>
            </w:r>
            <w:r>
              <w:t xml:space="preserve"> </w:t>
            </w:r>
          </w:p>
        </w:tc>
      </w:tr>
    </w:tbl>
    <w:p w14:paraId="2B21CB9F" w14:textId="77777777" w:rsidR="00CD35DF" w:rsidRPr="00CE1053" w:rsidRDefault="00CD35DF"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B058A3A" w14:textId="77777777" w:rsidTr="00E30361">
        <w:trPr>
          <w:cantSplit/>
        </w:trPr>
        <w:tc>
          <w:tcPr>
            <w:tcW w:w="5000" w:type="pct"/>
            <w:gridSpan w:val="3"/>
            <w:vAlign w:val="center"/>
            <w:hideMark/>
          </w:tcPr>
          <w:p w14:paraId="4A8D5513" w14:textId="77777777" w:rsidR="00BD5588" w:rsidRPr="00CE1053" w:rsidRDefault="006E2E27" w:rsidP="00C57E86">
            <w:pPr>
              <w:jc w:val="center"/>
              <w:rPr>
                <w:b/>
                <w:bCs/>
                <w:color w:val="0D0D0D" w:themeColor="text1" w:themeTint="F2"/>
              </w:rPr>
            </w:pPr>
            <w:r w:rsidRPr="00CE1053">
              <w:rPr>
                <w:b/>
                <w:bCs/>
                <w:color w:val="0D0D0D" w:themeColor="text1" w:themeTint="F2"/>
              </w:rPr>
              <w:t>I. Tiesību akta projekta izstrādes nepieciešamība</w:t>
            </w:r>
          </w:p>
        </w:tc>
      </w:tr>
      <w:tr w:rsidR="009D2D72" w:rsidRPr="00CE1053" w14:paraId="00CDD61E" w14:textId="77777777" w:rsidTr="00E30361">
        <w:tc>
          <w:tcPr>
            <w:tcW w:w="302" w:type="pct"/>
            <w:hideMark/>
          </w:tcPr>
          <w:p w14:paraId="0E94A21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771C4AF0" w14:textId="77777777" w:rsidR="00BD5588" w:rsidRPr="00CE1053" w:rsidRDefault="006E2E27" w:rsidP="00C57E86">
            <w:pPr>
              <w:rPr>
                <w:color w:val="0D0D0D" w:themeColor="text1" w:themeTint="F2"/>
              </w:rPr>
            </w:pPr>
            <w:r w:rsidRPr="00CE1053">
              <w:rPr>
                <w:color w:val="0D0D0D" w:themeColor="text1" w:themeTint="F2"/>
              </w:rPr>
              <w:t>Pamatojums</w:t>
            </w:r>
          </w:p>
        </w:tc>
        <w:tc>
          <w:tcPr>
            <w:tcW w:w="3265" w:type="pct"/>
            <w:hideMark/>
          </w:tcPr>
          <w:p w14:paraId="2D8274F6" w14:textId="1AB15CF9" w:rsidR="004E5314" w:rsidRPr="00CE1053" w:rsidRDefault="00A8328E" w:rsidP="00B550E9">
            <w:pPr>
              <w:pStyle w:val="Standard"/>
              <w:ind w:right="100"/>
              <w:jc w:val="both"/>
              <w:rPr>
                <w:rFonts w:cs="Times New Roman"/>
                <w:color w:val="0D0D0D" w:themeColor="text1" w:themeTint="F2"/>
              </w:rPr>
            </w:pPr>
            <w:r w:rsidRPr="00C631CE">
              <w:rPr>
                <w:rFonts w:cs="Times New Roman"/>
                <w:bCs/>
                <w:color w:val="0D0D0D" w:themeColor="text1" w:themeTint="F2"/>
              </w:rPr>
              <w:t>Ministru kabineta 20</w:t>
            </w:r>
            <w:r w:rsidR="00520C75" w:rsidRPr="00C631CE">
              <w:rPr>
                <w:rFonts w:cs="Times New Roman"/>
                <w:bCs/>
                <w:color w:val="0D0D0D" w:themeColor="text1" w:themeTint="F2"/>
              </w:rPr>
              <w:t>20</w:t>
            </w:r>
            <w:r w:rsidRPr="00C631CE">
              <w:rPr>
                <w:rFonts w:cs="Times New Roman"/>
                <w:bCs/>
                <w:color w:val="0D0D0D" w:themeColor="text1" w:themeTint="F2"/>
              </w:rPr>
              <w:t xml:space="preserve">.gada </w:t>
            </w:r>
            <w:r w:rsidR="004A36D5">
              <w:rPr>
                <w:rFonts w:cs="Times New Roman"/>
                <w:bCs/>
                <w:color w:val="0D0D0D" w:themeColor="text1" w:themeTint="F2"/>
              </w:rPr>
              <w:t>17.jūlija rīkojums Nr.397 “Par konceptuālo ziņojumu “Abonētās preses izdevumu piegādes nodrošināšanas un drukāto mediju atbalsta pilnveides iespējas””</w:t>
            </w:r>
            <w:r w:rsidR="00687940">
              <w:rPr>
                <w:rFonts w:cs="Times New Roman"/>
                <w:bCs/>
                <w:color w:val="0D0D0D" w:themeColor="text1" w:themeTint="F2"/>
              </w:rPr>
              <w:t xml:space="preserve"> (turpmāk – Rīkojums Nr.397) </w:t>
            </w:r>
            <w:r w:rsidRPr="00C631CE">
              <w:rPr>
                <w:rFonts w:cs="Times New Roman"/>
                <w:bCs/>
                <w:color w:val="0D0D0D" w:themeColor="text1" w:themeTint="F2"/>
              </w:rPr>
              <w:t xml:space="preserve"> </w:t>
            </w:r>
            <w:r w:rsidR="00520C75" w:rsidRPr="00C631CE">
              <w:rPr>
                <w:rFonts w:cs="Times New Roman"/>
                <w:bCs/>
                <w:color w:val="0D0D0D" w:themeColor="text1" w:themeTint="F2"/>
              </w:rPr>
              <w:t>3.punkts</w:t>
            </w:r>
            <w:r w:rsidR="004A36D5">
              <w:rPr>
                <w:rFonts w:cs="Times New Roman"/>
                <w:bCs/>
                <w:color w:val="0D0D0D" w:themeColor="text1" w:themeTint="F2"/>
              </w:rPr>
              <w:t>.</w:t>
            </w:r>
          </w:p>
        </w:tc>
      </w:tr>
      <w:tr w:rsidR="005865CF" w:rsidRPr="00CE1053" w14:paraId="61C1EED5" w14:textId="77777777" w:rsidTr="00E30361">
        <w:tc>
          <w:tcPr>
            <w:tcW w:w="302" w:type="pct"/>
            <w:hideMark/>
          </w:tcPr>
          <w:p w14:paraId="739BDAB8" w14:textId="77777777" w:rsidR="005865CF" w:rsidRPr="00CE1053" w:rsidRDefault="005865CF" w:rsidP="005865CF">
            <w:pPr>
              <w:jc w:val="center"/>
              <w:rPr>
                <w:color w:val="0D0D0D" w:themeColor="text1" w:themeTint="F2"/>
              </w:rPr>
            </w:pPr>
            <w:r w:rsidRPr="00CE1053">
              <w:rPr>
                <w:color w:val="0D0D0D" w:themeColor="text1" w:themeTint="F2"/>
              </w:rPr>
              <w:t>2.</w:t>
            </w:r>
          </w:p>
        </w:tc>
        <w:tc>
          <w:tcPr>
            <w:tcW w:w="1433" w:type="pct"/>
            <w:hideMark/>
          </w:tcPr>
          <w:p w14:paraId="3D22A9EC" w14:textId="77777777" w:rsidR="005865CF" w:rsidRPr="00CE1053" w:rsidRDefault="005865CF" w:rsidP="005865CF">
            <w:pPr>
              <w:rPr>
                <w:color w:val="0D0D0D" w:themeColor="text1" w:themeTint="F2"/>
              </w:rPr>
            </w:pPr>
            <w:r w:rsidRPr="00CE1053">
              <w:rPr>
                <w:color w:val="0D0D0D" w:themeColor="text1" w:themeTint="F2"/>
              </w:rPr>
              <w:t>Pašreizējā situācija un problēmas, kuru risināšanai tiesību akta projekts izstrādāts, tiesiskā regulējuma mērķis un būtība</w:t>
            </w:r>
          </w:p>
          <w:p w14:paraId="75DDA975" w14:textId="77777777" w:rsidR="005865CF" w:rsidRPr="00CE1053" w:rsidRDefault="005865CF" w:rsidP="005865CF">
            <w:pPr>
              <w:rPr>
                <w:color w:val="0D0D0D" w:themeColor="text1" w:themeTint="F2"/>
              </w:rPr>
            </w:pPr>
          </w:p>
          <w:p w14:paraId="53BAEED4" w14:textId="77777777" w:rsidR="005865CF" w:rsidRPr="00CE1053" w:rsidRDefault="005865CF" w:rsidP="005865CF">
            <w:pPr>
              <w:rPr>
                <w:color w:val="0D0D0D" w:themeColor="text1" w:themeTint="F2"/>
              </w:rPr>
            </w:pPr>
          </w:p>
          <w:p w14:paraId="456928A3" w14:textId="77777777" w:rsidR="005865CF" w:rsidRPr="00CE1053" w:rsidRDefault="005865CF" w:rsidP="005865CF">
            <w:pPr>
              <w:rPr>
                <w:color w:val="0D0D0D" w:themeColor="text1" w:themeTint="F2"/>
              </w:rPr>
            </w:pPr>
          </w:p>
          <w:p w14:paraId="6E48C516" w14:textId="77777777" w:rsidR="005865CF" w:rsidRPr="00CE1053" w:rsidRDefault="005865CF" w:rsidP="005865CF">
            <w:pPr>
              <w:rPr>
                <w:color w:val="0D0D0D" w:themeColor="text1" w:themeTint="F2"/>
              </w:rPr>
            </w:pPr>
          </w:p>
          <w:p w14:paraId="78BDCEF4" w14:textId="77777777" w:rsidR="005865CF" w:rsidRPr="00CE1053" w:rsidRDefault="005865CF" w:rsidP="005865CF">
            <w:pPr>
              <w:rPr>
                <w:color w:val="0D0D0D" w:themeColor="text1" w:themeTint="F2"/>
              </w:rPr>
            </w:pPr>
          </w:p>
          <w:p w14:paraId="24B9717C" w14:textId="77777777" w:rsidR="005865CF" w:rsidRPr="00CE1053" w:rsidRDefault="005865CF" w:rsidP="005865CF">
            <w:pPr>
              <w:rPr>
                <w:color w:val="0D0D0D" w:themeColor="text1" w:themeTint="F2"/>
              </w:rPr>
            </w:pPr>
          </w:p>
          <w:p w14:paraId="79436BD9" w14:textId="77777777" w:rsidR="005865CF" w:rsidRPr="00CE1053" w:rsidRDefault="005865CF" w:rsidP="005865CF">
            <w:pPr>
              <w:rPr>
                <w:color w:val="0D0D0D" w:themeColor="text1" w:themeTint="F2"/>
              </w:rPr>
            </w:pPr>
          </w:p>
          <w:p w14:paraId="2A8D60D0" w14:textId="77777777" w:rsidR="005865CF" w:rsidRPr="00CE1053" w:rsidRDefault="005865CF" w:rsidP="005865CF">
            <w:pPr>
              <w:rPr>
                <w:color w:val="0D0D0D" w:themeColor="text1" w:themeTint="F2"/>
              </w:rPr>
            </w:pPr>
          </w:p>
          <w:p w14:paraId="0CC7E481" w14:textId="77777777" w:rsidR="005865CF" w:rsidRPr="00CE1053" w:rsidRDefault="005865CF" w:rsidP="005865CF">
            <w:pPr>
              <w:rPr>
                <w:color w:val="0D0D0D" w:themeColor="text1" w:themeTint="F2"/>
              </w:rPr>
            </w:pPr>
          </w:p>
          <w:p w14:paraId="6B95F3A4" w14:textId="77777777" w:rsidR="005865CF" w:rsidRPr="00CE1053" w:rsidRDefault="005865CF" w:rsidP="005865CF">
            <w:pPr>
              <w:rPr>
                <w:color w:val="0D0D0D" w:themeColor="text1" w:themeTint="F2"/>
              </w:rPr>
            </w:pPr>
          </w:p>
          <w:p w14:paraId="72B0BF0E" w14:textId="77777777" w:rsidR="005865CF" w:rsidRPr="00CE1053" w:rsidRDefault="005865CF" w:rsidP="005865CF">
            <w:pPr>
              <w:rPr>
                <w:color w:val="0D0D0D" w:themeColor="text1" w:themeTint="F2"/>
              </w:rPr>
            </w:pPr>
          </w:p>
          <w:p w14:paraId="019E6C42" w14:textId="77777777" w:rsidR="005865CF" w:rsidRPr="00CE1053" w:rsidRDefault="005865CF" w:rsidP="005865CF">
            <w:pPr>
              <w:rPr>
                <w:color w:val="0D0D0D" w:themeColor="text1" w:themeTint="F2"/>
              </w:rPr>
            </w:pPr>
          </w:p>
          <w:p w14:paraId="35ABD04E" w14:textId="77777777" w:rsidR="005865CF" w:rsidRPr="00CE1053" w:rsidRDefault="005865CF" w:rsidP="005865CF">
            <w:pPr>
              <w:rPr>
                <w:color w:val="0D0D0D" w:themeColor="text1" w:themeTint="F2"/>
              </w:rPr>
            </w:pPr>
          </w:p>
          <w:p w14:paraId="1B63203F" w14:textId="77777777" w:rsidR="005865CF" w:rsidRPr="00CE1053" w:rsidRDefault="005865CF" w:rsidP="005865CF">
            <w:pPr>
              <w:rPr>
                <w:color w:val="0D0D0D" w:themeColor="text1" w:themeTint="F2"/>
              </w:rPr>
            </w:pPr>
          </w:p>
          <w:p w14:paraId="44D8E302" w14:textId="77777777" w:rsidR="005865CF" w:rsidRPr="00CE1053" w:rsidRDefault="005865CF" w:rsidP="005865CF">
            <w:pPr>
              <w:rPr>
                <w:color w:val="0D0D0D" w:themeColor="text1" w:themeTint="F2"/>
              </w:rPr>
            </w:pPr>
          </w:p>
          <w:p w14:paraId="4F89A090" w14:textId="77777777" w:rsidR="005865CF" w:rsidRPr="00CE1053" w:rsidRDefault="005865CF" w:rsidP="005865CF">
            <w:pPr>
              <w:rPr>
                <w:color w:val="0D0D0D" w:themeColor="text1" w:themeTint="F2"/>
              </w:rPr>
            </w:pPr>
          </w:p>
          <w:p w14:paraId="6DE1902C" w14:textId="77777777" w:rsidR="005865CF" w:rsidRPr="00CE1053" w:rsidRDefault="005865CF" w:rsidP="005865CF">
            <w:pPr>
              <w:rPr>
                <w:color w:val="0D0D0D" w:themeColor="text1" w:themeTint="F2"/>
              </w:rPr>
            </w:pPr>
          </w:p>
          <w:p w14:paraId="0164DC5A" w14:textId="77777777" w:rsidR="005865CF" w:rsidRPr="00CE1053" w:rsidRDefault="005865CF" w:rsidP="005865CF">
            <w:pPr>
              <w:rPr>
                <w:color w:val="0D0D0D" w:themeColor="text1" w:themeTint="F2"/>
              </w:rPr>
            </w:pPr>
          </w:p>
          <w:p w14:paraId="15661F9F" w14:textId="77777777" w:rsidR="005865CF" w:rsidRPr="00CE1053" w:rsidRDefault="005865CF" w:rsidP="005865CF">
            <w:pPr>
              <w:rPr>
                <w:color w:val="0D0D0D" w:themeColor="text1" w:themeTint="F2"/>
              </w:rPr>
            </w:pPr>
          </w:p>
          <w:p w14:paraId="09D7CFB6" w14:textId="77777777" w:rsidR="005865CF" w:rsidRPr="00CE1053" w:rsidRDefault="005865CF" w:rsidP="005865CF">
            <w:pPr>
              <w:rPr>
                <w:color w:val="0D0D0D" w:themeColor="text1" w:themeTint="F2"/>
              </w:rPr>
            </w:pPr>
          </w:p>
          <w:p w14:paraId="374839E5" w14:textId="77777777" w:rsidR="005865CF" w:rsidRPr="00CE1053" w:rsidRDefault="005865CF" w:rsidP="005865CF">
            <w:pPr>
              <w:rPr>
                <w:color w:val="0D0D0D" w:themeColor="text1" w:themeTint="F2"/>
              </w:rPr>
            </w:pPr>
          </w:p>
          <w:p w14:paraId="68E1CDEF" w14:textId="77777777" w:rsidR="005865CF" w:rsidRPr="00CE1053" w:rsidRDefault="005865CF" w:rsidP="005865CF">
            <w:pPr>
              <w:rPr>
                <w:color w:val="0D0D0D" w:themeColor="text1" w:themeTint="F2"/>
              </w:rPr>
            </w:pPr>
          </w:p>
          <w:p w14:paraId="39A633C6" w14:textId="77777777" w:rsidR="005865CF" w:rsidRPr="00CE1053" w:rsidRDefault="005865CF" w:rsidP="005865CF">
            <w:pPr>
              <w:rPr>
                <w:color w:val="0D0D0D" w:themeColor="text1" w:themeTint="F2"/>
              </w:rPr>
            </w:pPr>
          </w:p>
          <w:p w14:paraId="381D06A0" w14:textId="77777777" w:rsidR="005865CF" w:rsidRPr="00CE1053" w:rsidRDefault="005865CF" w:rsidP="005865CF">
            <w:pPr>
              <w:rPr>
                <w:color w:val="0D0D0D" w:themeColor="text1" w:themeTint="F2"/>
              </w:rPr>
            </w:pPr>
          </w:p>
          <w:p w14:paraId="4C93FDD8" w14:textId="77777777" w:rsidR="005865CF" w:rsidRPr="00CE1053" w:rsidRDefault="005865CF" w:rsidP="005865CF">
            <w:pPr>
              <w:rPr>
                <w:color w:val="0D0D0D" w:themeColor="text1" w:themeTint="F2"/>
              </w:rPr>
            </w:pPr>
          </w:p>
          <w:p w14:paraId="647E1983" w14:textId="77777777" w:rsidR="005865CF" w:rsidRPr="00CE1053" w:rsidRDefault="005865CF" w:rsidP="005865CF">
            <w:pPr>
              <w:rPr>
                <w:color w:val="0D0D0D" w:themeColor="text1" w:themeTint="F2"/>
              </w:rPr>
            </w:pPr>
          </w:p>
          <w:p w14:paraId="54A5B2D2" w14:textId="77777777" w:rsidR="005865CF" w:rsidRPr="00CE1053" w:rsidRDefault="005865CF" w:rsidP="005865CF">
            <w:pPr>
              <w:rPr>
                <w:color w:val="0D0D0D" w:themeColor="text1" w:themeTint="F2"/>
              </w:rPr>
            </w:pPr>
          </w:p>
          <w:p w14:paraId="73CA0245" w14:textId="77777777" w:rsidR="005865CF" w:rsidRPr="00CE1053" w:rsidRDefault="005865CF" w:rsidP="005865CF">
            <w:pPr>
              <w:jc w:val="center"/>
              <w:rPr>
                <w:color w:val="0D0D0D" w:themeColor="text1" w:themeTint="F2"/>
              </w:rPr>
            </w:pPr>
          </w:p>
        </w:tc>
        <w:tc>
          <w:tcPr>
            <w:tcW w:w="3265" w:type="pct"/>
            <w:tcBorders>
              <w:top w:val="single" w:sz="4" w:space="0" w:color="auto"/>
              <w:left w:val="single" w:sz="4" w:space="0" w:color="auto"/>
              <w:bottom w:val="single" w:sz="4" w:space="0" w:color="auto"/>
              <w:right w:val="single" w:sz="4" w:space="0" w:color="auto"/>
            </w:tcBorders>
          </w:tcPr>
          <w:p w14:paraId="27C6050F" w14:textId="29294977" w:rsidR="008D7CC9" w:rsidRPr="00CE1053" w:rsidRDefault="008D7CC9" w:rsidP="00CD35DF">
            <w:pPr>
              <w:ind w:left="122" w:right="112" w:firstLine="253"/>
              <w:jc w:val="both"/>
            </w:pPr>
            <w:r w:rsidRPr="00CE1053">
              <w:t>Pasta likum</w:t>
            </w:r>
            <w:r w:rsidR="00FF46B4">
              <w:t>a</w:t>
            </w:r>
            <w:r w:rsidRPr="00CE1053">
              <w:t xml:space="preserve"> </w:t>
            </w:r>
            <w:r w:rsidR="00C42A05" w:rsidRPr="00CE1053">
              <w:t xml:space="preserve">27., </w:t>
            </w:r>
            <w:r w:rsidR="00C42A05" w:rsidRPr="00CE1053">
              <w:rPr>
                <w:bCs/>
                <w:color w:val="0D0D0D" w:themeColor="text1" w:themeTint="F2"/>
              </w:rPr>
              <w:t>27.</w:t>
            </w:r>
            <w:r w:rsidR="00C42A05" w:rsidRPr="00CE1053">
              <w:rPr>
                <w:bCs/>
                <w:color w:val="0D0D0D" w:themeColor="text1" w:themeTint="F2"/>
                <w:vertAlign w:val="superscript"/>
              </w:rPr>
              <w:t>1</w:t>
            </w:r>
            <w:r w:rsidR="00C42A05" w:rsidRPr="00CE1053">
              <w:rPr>
                <w:bCs/>
                <w:color w:val="0D0D0D" w:themeColor="text1" w:themeTint="F2"/>
              </w:rPr>
              <w:t xml:space="preserve"> un 27.</w:t>
            </w:r>
            <w:r w:rsidR="00C42A05" w:rsidRPr="00CE1053">
              <w:rPr>
                <w:bCs/>
                <w:color w:val="0D0D0D" w:themeColor="text1" w:themeTint="F2"/>
                <w:vertAlign w:val="superscript"/>
              </w:rPr>
              <w:t>2</w:t>
            </w:r>
            <w:r w:rsidR="00C42A05" w:rsidRPr="00CE1053">
              <w:rPr>
                <w:bCs/>
                <w:color w:val="0D0D0D" w:themeColor="text1" w:themeTint="F2"/>
              </w:rPr>
              <w:t xml:space="preserve"> pantā </w:t>
            </w:r>
            <w:r w:rsidRPr="00CE1053">
              <w:t>no</w:t>
            </w:r>
            <w:r w:rsidR="00FF46B4">
              <w:t>teikts</w:t>
            </w:r>
            <w:r w:rsidRPr="00CE1053">
              <w:t xml:space="preserve"> regulējum</w:t>
            </w:r>
            <w:r w:rsidR="00FF46B4">
              <w:t>s</w:t>
            </w:r>
            <w:r w:rsidRPr="00CE1053">
              <w:t xml:space="preserve"> attiecībā uz </w:t>
            </w:r>
            <w:r w:rsidR="008314DA">
              <w:t>universālā pasta pakalpojuma (turpmāk - UP)</w:t>
            </w:r>
            <w:r w:rsidRPr="00CE1053">
              <w:t xml:space="preserve"> nepārtrauktu nodrošināšanu visā Latvijas teritorijā, tostarp prasību </w:t>
            </w:r>
            <w:r w:rsidR="0072684F" w:rsidRPr="00CE1053">
              <w:t>konkursa procedūrā izraudzīties UP sniedzēju</w:t>
            </w:r>
            <w:r w:rsidR="00157649" w:rsidRPr="00CE1053">
              <w:t xml:space="preserve"> un noteikt tam UP saistības</w:t>
            </w:r>
            <w:r w:rsidR="0072684F" w:rsidRPr="00CE1053">
              <w:t xml:space="preserve">. </w:t>
            </w:r>
          </w:p>
          <w:p w14:paraId="72BCCAD1" w14:textId="2FF430B3" w:rsidR="00E351C9" w:rsidRPr="00CE1053" w:rsidRDefault="00A72DB2" w:rsidP="00CD35DF">
            <w:pPr>
              <w:ind w:left="122" w:right="112" w:firstLine="253"/>
              <w:jc w:val="both"/>
            </w:pPr>
            <w:r w:rsidRPr="00CE1053">
              <w:t xml:space="preserve">Saskaņā ar </w:t>
            </w:r>
            <w:r w:rsidR="00157649" w:rsidRPr="00CE1053">
              <w:t xml:space="preserve">Pasta likuma 27.panta pirmo daļu UP sastāvā ietilpst arī preses piegāde, </w:t>
            </w:r>
            <w:r w:rsidR="00CD6A01" w:rsidRPr="00CE1053">
              <w:t xml:space="preserve">taču </w:t>
            </w:r>
            <w:r w:rsidR="00157649" w:rsidRPr="00CE1053">
              <w:t>a</w:t>
            </w:r>
            <w:r w:rsidR="00E351C9" w:rsidRPr="00CE1053">
              <w:t xml:space="preserve">tbilstoši Pasta likuma pārejas noteikumu </w:t>
            </w:r>
            <w:r w:rsidR="00FD250E">
              <w:t>21</w:t>
            </w:r>
            <w:r w:rsidR="00E351C9" w:rsidRPr="00CE1053">
              <w:t>.punktam līdz 20</w:t>
            </w:r>
            <w:r w:rsidR="00FD250E">
              <w:t>20</w:t>
            </w:r>
            <w:r w:rsidR="00E351C9" w:rsidRPr="00CE1053">
              <w:t>.gada 31.decembrim ir spēkā regulējums, kas nosaka īpašu kārtību attiecībā uz preses piegādi un š</w:t>
            </w:r>
            <w:r w:rsidR="00B02C01" w:rsidRPr="00CE1053">
              <w:t>ī</w:t>
            </w:r>
            <w:r w:rsidR="00E351C9" w:rsidRPr="00CE1053">
              <w:t xml:space="preserve"> pakalpojum</w:t>
            </w:r>
            <w:r w:rsidR="00B02C01" w:rsidRPr="00CE1053">
              <w:t>a</w:t>
            </w:r>
            <w:r w:rsidR="00E351C9" w:rsidRPr="00CE1053">
              <w:t xml:space="preserve"> rezultātā radīto zaudējumu kompensēšanas mehānismu</w:t>
            </w:r>
            <w:r w:rsidR="00157649" w:rsidRPr="00CE1053">
              <w:t>, neattiecinot uz šo pakalpojumu UP saistības. P</w:t>
            </w:r>
            <w:r w:rsidR="00E351C9" w:rsidRPr="00CE1053">
              <w:t xml:space="preserve">roti, no valsts budžeta pilnā apmērā kompensē zaudējumus, ko veido starpība starp preses piegādes faktiskajām izmaksām un maksājumiem, ko veic preses izdevēji, ievērojot </w:t>
            </w:r>
            <w:r w:rsidR="007A5816" w:rsidRPr="00CE1053">
              <w:rPr>
                <w:bCs/>
                <w:color w:val="0D0D0D" w:themeColor="text1" w:themeTint="F2"/>
              </w:rPr>
              <w:t>Ministru kabineta 2013.gada 28.maija noteikumos Nr.292 “Noteikumi par abonēto preses izdevumu piegādes pakalpojumu cenām” (turpmāk -Noteikumi Nr.292)</w:t>
            </w:r>
            <w:r w:rsidR="00E351C9" w:rsidRPr="00CE1053">
              <w:t xml:space="preserve"> noteikto cenu. Vienlai</w:t>
            </w:r>
            <w:r w:rsidR="00FF46B4">
              <w:t>kus</w:t>
            </w:r>
            <w:r w:rsidR="00E351C9" w:rsidRPr="00CE1053">
              <w:t xml:space="preserve"> </w:t>
            </w:r>
            <w:r w:rsidR="00CD6A01" w:rsidRPr="00CE1053">
              <w:t>ir</w:t>
            </w:r>
            <w:r w:rsidR="00E351C9" w:rsidRPr="00CE1053">
              <w:t xml:space="preserve"> noteikts, ka preses piegādi līdz 20</w:t>
            </w:r>
            <w:r w:rsidR="00FD250E">
              <w:t>20</w:t>
            </w:r>
            <w:r w:rsidR="00E351C9" w:rsidRPr="00CE1053">
              <w:t xml:space="preserve">.gada 31.decembrim nodrošina UP sniedzējs, kam </w:t>
            </w:r>
            <w:r w:rsidR="00FD250E">
              <w:t xml:space="preserve">bija </w:t>
            </w:r>
            <w:r w:rsidR="00E351C9" w:rsidRPr="00CE1053">
              <w:t>noteiktas UP saistības līdz 2019.gada 31.decembrim</w:t>
            </w:r>
            <w:r w:rsidR="007A5816" w:rsidRPr="00CE1053">
              <w:t xml:space="preserve">. </w:t>
            </w:r>
          </w:p>
          <w:p w14:paraId="54B7C9A0" w14:textId="03772138" w:rsidR="00CD35DF" w:rsidRDefault="00FD250E" w:rsidP="0077163C">
            <w:pPr>
              <w:ind w:left="122" w:right="112" w:firstLine="253"/>
              <w:jc w:val="both"/>
            </w:pPr>
            <w:r>
              <w:rPr>
                <w:bCs/>
                <w:color w:val="0D0D0D" w:themeColor="text1" w:themeTint="F2"/>
              </w:rPr>
              <w:t>A</w:t>
            </w:r>
            <w:r w:rsidR="008D7CC9" w:rsidRPr="00CE1053">
              <w:rPr>
                <w:bCs/>
                <w:color w:val="0D0D0D" w:themeColor="text1" w:themeTint="F2"/>
              </w:rPr>
              <w:t>tbilstoši Pasta likuma 27.</w:t>
            </w:r>
            <w:r w:rsidR="008D7CC9" w:rsidRPr="00CE1053">
              <w:rPr>
                <w:bCs/>
                <w:color w:val="0D0D0D" w:themeColor="text1" w:themeTint="F2"/>
                <w:vertAlign w:val="superscript"/>
              </w:rPr>
              <w:t>1</w:t>
            </w:r>
            <w:r w:rsidR="008D7CC9" w:rsidRPr="00CE1053">
              <w:rPr>
                <w:bCs/>
                <w:color w:val="0D0D0D" w:themeColor="text1" w:themeTint="F2"/>
              </w:rPr>
              <w:t xml:space="preserve"> un 27.</w:t>
            </w:r>
            <w:r w:rsidR="008D7CC9" w:rsidRPr="00CE1053">
              <w:rPr>
                <w:bCs/>
                <w:color w:val="0D0D0D" w:themeColor="text1" w:themeTint="F2"/>
                <w:vertAlign w:val="superscript"/>
              </w:rPr>
              <w:t>2</w:t>
            </w:r>
            <w:r w:rsidR="008D7CC9" w:rsidRPr="00CE1053">
              <w:rPr>
                <w:bCs/>
                <w:color w:val="0D0D0D" w:themeColor="text1" w:themeTint="F2"/>
              </w:rPr>
              <w:t xml:space="preserve"> pantam </w:t>
            </w:r>
            <w:r w:rsidR="00F143E9" w:rsidRPr="00F143E9">
              <w:rPr>
                <w:bCs/>
                <w:color w:val="0D0D0D" w:themeColor="text1" w:themeTint="F2"/>
              </w:rPr>
              <w:t>Sabiedrisko pakalpojumu regulēšanas komisija (turpmāk — Regulators)</w:t>
            </w:r>
            <w:r w:rsidR="008D7CC9" w:rsidRPr="00CE1053">
              <w:rPr>
                <w:bCs/>
                <w:color w:val="0D0D0D" w:themeColor="text1" w:themeTint="F2"/>
              </w:rPr>
              <w:t xml:space="preserve"> </w:t>
            </w:r>
            <w:r w:rsidR="00B42D0A" w:rsidRPr="00CE1053">
              <w:t xml:space="preserve">2019.gada 13.maijā </w:t>
            </w:r>
            <w:r w:rsidR="00CD6A01" w:rsidRPr="00CE1053">
              <w:t xml:space="preserve">ir </w:t>
            </w:r>
            <w:r w:rsidR="008E591D" w:rsidRPr="00CE1053">
              <w:t>izsludinā</w:t>
            </w:r>
            <w:r w:rsidR="008E591D">
              <w:t>jusi</w:t>
            </w:r>
            <w:r w:rsidR="008E591D" w:rsidRPr="00CE1053">
              <w:t xml:space="preserve"> </w:t>
            </w:r>
            <w:r w:rsidR="00B42D0A" w:rsidRPr="00CE1053">
              <w:t>konkurs</w:t>
            </w:r>
            <w:r w:rsidR="008E591D">
              <w:t>u</w:t>
            </w:r>
            <w:r w:rsidR="00B42D0A" w:rsidRPr="00CE1053">
              <w:t xml:space="preserve"> UP sniedzēja izvēlei</w:t>
            </w:r>
            <w:r w:rsidRPr="00CE1053">
              <w:rPr>
                <w:bCs/>
                <w:color w:val="0D0D0D" w:themeColor="text1" w:themeTint="F2"/>
              </w:rPr>
              <w:t xml:space="preserve"> un saistību noteikšanai uz pieciem gadiem UP sniegšanai no 2020.gada 1.janvāra (turpmāk -</w:t>
            </w:r>
            <w:r>
              <w:rPr>
                <w:bCs/>
                <w:color w:val="0D0D0D" w:themeColor="text1" w:themeTint="F2"/>
              </w:rPr>
              <w:t xml:space="preserve"> </w:t>
            </w:r>
            <w:r w:rsidRPr="00CE1053">
              <w:rPr>
                <w:bCs/>
                <w:color w:val="0D0D0D" w:themeColor="text1" w:themeTint="F2"/>
              </w:rPr>
              <w:t>konkurss).</w:t>
            </w:r>
            <w:r w:rsidR="00B42D0A" w:rsidRPr="00CE1053">
              <w:t xml:space="preserve"> </w:t>
            </w:r>
          </w:p>
          <w:p w14:paraId="01FF98B4" w14:textId="00C5F31D" w:rsidR="00FD250E" w:rsidRDefault="00FD250E" w:rsidP="00212338">
            <w:pPr>
              <w:ind w:left="122" w:right="112" w:firstLine="253"/>
              <w:jc w:val="both"/>
            </w:pPr>
            <w:r>
              <w:t xml:space="preserve">Ņemot vērā, ka konkurss </w:t>
            </w:r>
            <w:r w:rsidR="00212338">
              <w:t xml:space="preserve">ir </w:t>
            </w:r>
            <w:r w:rsidR="00212338" w:rsidRPr="00212338">
              <w:t>noslēdzies</w:t>
            </w:r>
            <w:r w:rsidR="00212338">
              <w:t xml:space="preserve"> </w:t>
            </w:r>
            <w:r>
              <w:t>bez rezultāt</w:t>
            </w:r>
            <w:r w:rsidR="00B515C5">
              <w:t>a</w:t>
            </w:r>
            <w:r>
              <w:t>, Regulators</w:t>
            </w:r>
            <w:r w:rsidR="00212338">
              <w:t>,</w:t>
            </w:r>
            <w:r>
              <w:t xml:space="preserve"> </w:t>
            </w:r>
            <w:r w:rsidR="00212338">
              <w:t>pamatojoties uz Pasta likuma 27.</w:t>
            </w:r>
            <w:r w:rsidR="00212338" w:rsidRPr="00212338">
              <w:rPr>
                <w:vertAlign w:val="superscript"/>
              </w:rPr>
              <w:t>2</w:t>
            </w:r>
            <w:r w:rsidR="00212338">
              <w:t xml:space="preserve"> panta ceturtās daļas 2.punktu, </w:t>
            </w:r>
            <w:r w:rsidRPr="00FD250E">
              <w:t xml:space="preserve">2019.gada </w:t>
            </w:r>
            <w:r>
              <w:t>28.augustā</w:t>
            </w:r>
            <w:r w:rsidRPr="00FD250E">
              <w:t xml:space="preserve"> pieņēm</w:t>
            </w:r>
            <w:r>
              <w:t>is</w:t>
            </w:r>
            <w:r w:rsidRPr="00FD250E">
              <w:t xml:space="preserve"> lēmumu Nr.1</w:t>
            </w:r>
            <w:r>
              <w:t>40</w:t>
            </w:r>
            <w:r w:rsidRPr="00FD250E">
              <w:t xml:space="preserve"> “Par universālā pasta pakalpojuma saistību noteikšanu”</w:t>
            </w:r>
            <w:r w:rsidR="005C294B">
              <w:t>,</w:t>
            </w:r>
            <w:r w:rsidR="00212338">
              <w:t xml:space="preserve"> pagarin</w:t>
            </w:r>
            <w:r w:rsidR="008E591D">
              <w:t>o</w:t>
            </w:r>
            <w:r w:rsidR="00212338">
              <w:t>t VAS “Latvijas Pasts” noteikt</w:t>
            </w:r>
            <w:r w:rsidR="008E591D">
              <w:t>o</w:t>
            </w:r>
            <w:r w:rsidR="00212338">
              <w:t xml:space="preserve"> </w:t>
            </w:r>
            <w:r w:rsidR="00611993">
              <w:t>UP</w:t>
            </w:r>
            <w:r w:rsidR="00212338">
              <w:t xml:space="preserve"> saistību izpildes termiņ</w:t>
            </w:r>
            <w:r w:rsidR="008E591D">
              <w:t>u</w:t>
            </w:r>
            <w:r w:rsidR="00212338">
              <w:t xml:space="preserve"> uz diviem gadiem no 2020.gada 1.janvāra līdz 2021.gada 31.decembrim.</w:t>
            </w:r>
          </w:p>
          <w:p w14:paraId="5C27CFBB" w14:textId="51F8E60E" w:rsidR="00FD250E" w:rsidRPr="00F76373" w:rsidRDefault="00F76373" w:rsidP="00FD250E">
            <w:pPr>
              <w:ind w:left="122" w:right="112" w:firstLine="253"/>
              <w:jc w:val="both"/>
            </w:pPr>
            <w:r>
              <w:lastRenderedPageBreak/>
              <w:t>I</w:t>
            </w:r>
            <w:r w:rsidR="008E591D">
              <w:t>evērojot, ka 2019.gada 21.septembrī stājās spēkā likums “Grozījumi Pasta likumā”, nosakot, ka līdz 2020.gada 31.decembrim uz preses piegād</w:t>
            </w:r>
            <w:r w:rsidR="008314DA">
              <w:t>i</w:t>
            </w:r>
            <w:r w:rsidR="008E591D">
              <w:t xml:space="preserve"> neattiecina </w:t>
            </w:r>
            <w:r w:rsidR="00611993">
              <w:t>UP</w:t>
            </w:r>
            <w:r w:rsidR="008E591D">
              <w:t xml:space="preserve"> saistības, un ka Pasta likuma 32.</w:t>
            </w:r>
            <w:r w:rsidR="008E591D" w:rsidRPr="008E591D">
              <w:rPr>
                <w:vertAlign w:val="superscript"/>
              </w:rPr>
              <w:t>2</w:t>
            </w:r>
            <w:r w:rsidR="008E591D">
              <w:t xml:space="preserve"> pants par preses piegādes cenām ir spēkā līdz 2020.gada 31.decembrim, </w:t>
            </w:r>
            <w:r w:rsidR="00FD250E">
              <w:t>Regulator</w:t>
            </w:r>
            <w:r w:rsidR="00B515C5">
              <w:t>a padome</w:t>
            </w:r>
            <w:r w:rsidR="00FD250E">
              <w:t xml:space="preserve"> 2019.gada 3.oktobrī pieņēmusi lēmumu Nr.154 </w:t>
            </w:r>
            <w:r w:rsidR="00FD250E" w:rsidRPr="00F76373">
              <w:t>“</w:t>
            </w:r>
            <w:r w:rsidR="00C0590D" w:rsidRPr="00F76373">
              <w:t>Par universālā pasta pakalpojuma saistībām</w:t>
            </w:r>
            <w:r w:rsidR="00FD250E" w:rsidRPr="00F76373">
              <w:t>”</w:t>
            </w:r>
            <w:r w:rsidR="008E591D" w:rsidRPr="00F76373">
              <w:t>, nosakot, ka</w:t>
            </w:r>
            <w:r w:rsidR="00FD250E" w:rsidRPr="00F76373">
              <w:t>:</w:t>
            </w:r>
          </w:p>
          <w:p w14:paraId="4BD2992B" w14:textId="76D7C248" w:rsidR="00FD250E" w:rsidRDefault="00FD250E" w:rsidP="00FD250E">
            <w:pPr>
              <w:ind w:left="122" w:right="112" w:firstLine="253"/>
              <w:jc w:val="both"/>
            </w:pPr>
            <w:r>
              <w:t xml:space="preserve">- no 2021.gada 1.janvāra līdz 2021.gada 31.decembrim VAS “Latvijas Pasts” </w:t>
            </w:r>
            <w:r w:rsidR="008E591D">
              <w:t xml:space="preserve">ir </w:t>
            </w:r>
            <w:r>
              <w:t>pienākum</w:t>
            </w:r>
            <w:r w:rsidR="008E591D">
              <w:t>s</w:t>
            </w:r>
            <w:r>
              <w:t xml:space="preserve"> ekonomiski izdevīgākajā veidā nodrošināt preses piegādi par vienotu tarifu visā Latvijas Republikas teritorijā;</w:t>
            </w:r>
          </w:p>
          <w:p w14:paraId="3E62375D" w14:textId="6F08CCBA" w:rsidR="00FD250E" w:rsidRDefault="00FD250E" w:rsidP="00FD250E">
            <w:pPr>
              <w:ind w:left="122" w:right="112" w:firstLine="253"/>
              <w:jc w:val="both"/>
            </w:pPr>
            <w:r>
              <w:t xml:space="preserve">- </w:t>
            </w:r>
            <w:r w:rsidR="008E591D">
              <w:t>V</w:t>
            </w:r>
            <w:r>
              <w:t xml:space="preserve">AS “Latvijas Pasts” </w:t>
            </w:r>
            <w:r w:rsidR="008E591D">
              <w:t xml:space="preserve">ir </w:t>
            </w:r>
            <w:r>
              <w:t>pienākum</w:t>
            </w:r>
            <w:r w:rsidR="008E591D">
              <w:t>s</w:t>
            </w:r>
            <w:r>
              <w:t xml:space="preserve"> līdz 2020.gada 3.aprīlim Regulatoram izskatīšanai iesniegt saskaņā ar </w:t>
            </w:r>
            <w:r w:rsidR="002F1910">
              <w:t>Regulatora padomes</w:t>
            </w:r>
            <w:r>
              <w:t xml:space="preserve"> 2013.gada 11.oktobra lēmumu Nr.1/28 “Universālā pasta pakalpojuma tarifu aprēķināšanas metodika” aprēķināto preses piegādes tarifu projektu kopā ar tarifu aprēķina projektā minēto tarifus veidojošo izmaksu pamatojumu.</w:t>
            </w:r>
          </w:p>
          <w:p w14:paraId="0DABBD3A" w14:textId="465C12C9" w:rsidR="00FD250E" w:rsidRDefault="00FD250E" w:rsidP="00FD250E">
            <w:pPr>
              <w:ind w:left="122" w:right="112" w:firstLine="253"/>
              <w:jc w:val="both"/>
            </w:pPr>
            <w:r>
              <w:t xml:space="preserve">Izpildot minētajā lēmumā noteikto uzdevumu, VAS Latvijas Pasts” iesniegusi Regulatoram izskatīšanai preses piegādes tarifu projektu, un šobrīd Regulators normatīvajos aktos noteiktā kārtībā veic iesniegtā tarifu projekta izvērtēšanu. </w:t>
            </w:r>
            <w:r w:rsidR="00B515C5">
              <w:t>Saskaņā ar spēkā esošo regulējumu un Regulatora padomes lēmumiem, p</w:t>
            </w:r>
            <w:r>
              <w:t>ēc tarifu apstiprināšanas tie būtu piemērojami no 2021.gada 1.janvāra.</w:t>
            </w:r>
          </w:p>
          <w:p w14:paraId="108704EF" w14:textId="1D04BC37" w:rsidR="00FD250E" w:rsidRDefault="00FD250E" w:rsidP="00FD250E">
            <w:pPr>
              <w:ind w:left="122" w:right="112" w:firstLine="253"/>
              <w:jc w:val="both"/>
            </w:pPr>
            <w:r>
              <w:t xml:space="preserve">Savukārt </w:t>
            </w:r>
            <w:r w:rsidR="00B515C5" w:rsidRPr="00B515C5">
              <w:t>R</w:t>
            </w:r>
            <w:r w:rsidRPr="00B515C5">
              <w:t>īkojum</w:t>
            </w:r>
            <w:r w:rsidR="002F13F2">
              <w:t>a Nr.397 1.punkts</w:t>
            </w:r>
            <w:r w:rsidRPr="00B515C5">
              <w:t xml:space="preserve"> </w:t>
            </w:r>
            <w:r w:rsidR="00FF46B4">
              <w:t>atbalsta risinājumu</w:t>
            </w:r>
            <w:r w:rsidR="002F13F2">
              <w:t>, kas</w:t>
            </w:r>
            <w:r w:rsidR="00FF46B4">
              <w:t xml:space="preserve"> </w:t>
            </w:r>
            <w:r>
              <w:t xml:space="preserve">paredz </w:t>
            </w:r>
            <w:r w:rsidR="00FF46B4">
              <w:t xml:space="preserve">uzdevumu sagatavot grozījumus Pasta likumā, </w:t>
            </w:r>
            <w:r w:rsidR="00B515C5">
              <w:t xml:space="preserve">uz gadu </w:t>
            </w:r>
            <w:r>
              <w:t>pagarin</w:t>
            </w:r>
            <w:r w:rsidR="00FF46B4">
              <w:t>o</w:t>
            </w:r>
            <w:r>
              <w:t xml:space="preserve">t spēkā esošo kārtību, </w:t>
            </w:r>
            <w:r w:rsidR="002F13F2">
              <w:t>tostarp</w:t>
            </w:r>
            <w:r>
              <w:t xml:space="preserve"> arī </w:t>
            </w:r>
            <w:r w:rsidR="00B515C5" w:rsidRPr="00CE1053">
              <w:rPr>
                <w:bCs/>
                <w:color w:val="0D0D0D" w:themeColor="text1" w:themeTint="F2"/>
              </w:rPr>
              <w:t>Noteikum</w:t>
            </w:r>
            <w:r w:rsidR="00B515C5">
              <w:rPr>
                <w:bCs/>
                <w:color w:val="0D0D0D" w:themeColor="text1" w:themeTint="F2"/>
              </w:rPr>
              <w:t>os</w:t>
            </w:r>
            <w:r w:rsidR="00B515C5" w:rsidRPr="00CE1053">
              <w:rPr>
                <w:bCs/>
                <w:color w:val="0D0D0D" w:themeColor="text1" w:themeTint="F2"/>
              </w:rPr>
              <w:t xml:space="preserve"> Nr.292</w:t>
            </w:r>
            <w:r w:rsidR="00B515C5">
              <w:t xml:space="preserve"> </w:t>
            </w:r>
            <w:r>
              <w:t>noteikto cenu piemērošanu līdz 2021.gada 31.decembrim.</w:t>
            </w:r>
          </w:p>
          <w:p w14:paraId="031AE04C" w14:textId="649E3A63" w:rsidR="008314DA" w:rsidRPr="00CE1053" w:rsidRDefault="008314DA" w:rsidP="008314DA">
            <w:pPr>
              <w:ind w:left="122" w:right="112" w:firstLine="253"/>
              <w:jc w:val="both"/>
              <w:rPr>
                <w:rFonts w:eastAsia="Calibri"/>
              </w:rPr>
            </w:pPr>
            <w:r>
              <w:t>Ievērojot minēto, pastāv risks</w:t>
            </w:r>
            <w:r w:rsidR="00F76373">
              <w:t xml:space="preserve"> </w:t>
            </w:r>
            <w:r>
              <w:t>vienlai</w:t>
            </w:r>
            <w:r w:rsidR="00FF46B4">
              <w:t>kus</w:t>
            </w:r>
            <w:r>
              <w:t xml:space="preserve"> darbo</w:t>
            </w:r>
            <w:r w:rsidR="00F76373">
              <w:t>t</w:t>
            </w:r>
            <w:r>
              <w:t>ies divi</w:t>
            </w:r>
            <w:r w:rsidR="00F76373">
              <w:t>em</w:t>
            </w:r>
            <w:r>
              <w:t xml:space="preserve"> atšķirīgi</w:t>
            </w:r>
            <w:r w:rsidR="00F76373">
              <w:t>em</w:t>
            </w:r>
            <w:r>
              <w:t xml:space="preserve"> </w:t>
            </w:r>
            <w:r w:rsidR="00B515C5">
              <w:t>regulējumi</w:t>
            </w:r>
            <w:r w:rsidR="00F76373">
              <w:t>em</w:t>
            </w:r>
            <w:r>
              <w:t xml:space="preserve"> attiecībā uz preses piegādes cenu piemērošanas termiņiem</w:t>
            </w:r>
            <w:r w:rsidR="002F13F2">
              <w:t>, tādēļ likumprojekta virzība jānodrošina iespējami ātrāk.</w:t>
            </w:r>
          </w:p>
          <w:p w14:paraId="56DBF5E6" w14:textId="77777777" w:rsidR="00E30361" w:rsidRDefault="00E30361" w:rsidP="0007259E">
            <w:pPr>
              <w:ind w:left="122" w:right="112" w:firstLine="406"/>
              <w:jc w:val="both"/>
              <w:rPr>
                <w:rFonts w:eastAsia="Calibri"/>
              </w:rPr>
            </w:pPr>
          </w:p>
          <w:p w14:paraId="33E806D6" w14:textId="33D2019F" w:rsidR="0007259E" w:rsidRDefault="0007259E" w:rsidP="0007259E">
            <w:pPr>
              <w:ind w:left="122" w:right="112" w:firstLine="406"/>
              <w:jc w:val="both"/>
            </w:pPr>
            <w:r w:rsidRPr="00CE1053">
              <w:rPr>
                <w:rFonts w:eastAsia="Calibri"/>
              </w:rPr>
              <w:t xml:space="preserve">Izpildot </w:t>
            </w:r>
            <w:r w:rsidR="00B515C5" w:rsidRPr="00B515C5">
              <w:rPr>
                <w:rFonts w:eastAsia="Calibri"/>
              </w:rPr>
              <w:t>R</w:t>
            </w:r>
            <w:r w:rsidRPr="00B515C5">
              <w:rPr>
                <w:rFonts w:eastAsia="Calibri"/>
              </w:rPr>
              <w:t xml:space="preserve">īkojumā </w:t>
            </w:r>
            <w:r w:rsidRPr="00CE1053">
              <w:rPr>
                <w:rFonts w:eastAsia="Calibri"/>
              </w:rPr>
              <w:t xml:space="preserve">noteikto </w:t>
            </w:r>
            <w:r>
              <w:rPr>
                <w:rFonts w:eastAsia="Calibri"/>
              </w:rPr>
              <w:t>uzdevumu,</w:t>
            </w:r>
            <w:r w:rsidRPr="00CE1053">
              <w:rPr>
                <w:rFonts w:eastAsia="Calibri"/>
              </w:rPr>
              <w:t xml:space="preserve"> </w:t>
            </w:r>
            <w:r>
              <w:rPr>
                <w:rFonts w:eastAsia="Calibri"/>
              </w:rPr>
              <w:t xml:space="preserve">Satiksmes ministrija </w:t>
            </w:r>
            <w:r w:rsidR="00B515C5">
              <w:rPr>
                <w:rFonts w:eastAsia="Calibri"/>
              </w:rPr>
              <w:t>sagatavoja</w:t>
            </w:r>
            <w:r w:rsidRPr="00CE1053">
              <w:rPr>
                <w:rFonts w:eastAsia="Calibri"/>
              </w:rPr>
              <w:t xml:space="preserve"> likumprojekt</w:t>
            </w:r>
            <w:r>
              <w:rPr>
                <w:rFonts w:eastAsia="Calibri"/>
              </w:rPr>
              <w:t xml:space="preserve">u, kas </w:t>
            </w:r>
            <w:r>
              <w:t>p</w:t>
            </w:r>
            <w:r w:rsidRPr="00CE1053">
              <w:t xml:space="preserve">aredz </w:t>
            </w:r>
            <w:r>
              <w:t xml:space="preserve">veikt šādus grozījumus Pasta likuma </w:t>
            </w:r>
            <w:r w:rsidRPr="00CE1053">
              <w:t>pārejas noteikum</w:t>
            </w:r>
            <w:r>
              <w:t>os:</w:t>
            </w:r>
          </w:p>
          <w:p w14:paraId="1E1F2458" w14:textId="77777777" w:rsidR="0007259E" w:rsidRDefault="0007259E" w:rsidP="00FD250E">
            <w:pPr>
              <w:ind w:left="122" w:right="112" w:firstLine="253"/>
              <w:jc w:val="both"/>
            </w:pPr>
            <w:r>
              <w:t>-</w:t>
            </w:r>
            <w:r w:rsidRPr="00CE1053">
              <w:t xml:space="preserve"> 15.punkt</w:t>
            </w:r>
            <w:r>
              <w:t xml:space="preserve">ā pagarināt </w:t>
            </w:r>
            <w:r w:rsidRPr="00CE1053">
              <w:t>Pasta likuma 32.</w:t>
            </w:r>
            <w:r w:rsidRPr="00CE1053">
              <w:rPr>
                <w:vertAlign w:val="superscript"/>
              </w:rPr>
              <w:t>2</w:t>
            </w:r>
            <w:r w:rsidRPr="00CE1053">
              <w:t xml:space="preserve"> pantā noteikt</w:t>
            </w:r>
            <w:r>
              <w:t>o</w:t>
            </w:r>
            <w:r w:rsidRPr="00CE1053">
              <w:t xml:space="preserve"> preses piegādes cen</w:t>
            </w:r>
            <w:r>
              <w:t xml:space="preserve">u piemērošanas termiņu </w:t>
            </w:r>
            <w:r w:rsidRPr="00CE1053">
              <w:t>līdz 20</w:t>
            </w:r>
            <w:r>
              <w:t>21</w:t>
            </w:r>
            <w:r w:rsidRPr="00CE1053">
              <w:t>.</w:t>
            </w:r>
            <w:r>
              <w:t xml:space="preserve"> </w:t>
            </w:r>
            <w:r w:rsidRPr="00CE1053">
              <w:t>gada 31.</w:t>
            </w:r>
            <w:r>
              <w:t xml:space="preserve"> </w:t>
            </w:r>
            <w:r w:rsidRPr="00CE1053">
              <w:t>decembrim</w:t>
            </w:r>
            <w:r>
              <w:t>;</w:t>
            </w:r>
          </w:p>
          <w:p w14:paraId="58E96BAF" w14:textId="3C2F9556" w:rsidR="0007259E" w:rsidRDefault="0007259E" w:rsidP="00FD250E">
            <w:pPr>
              <w:ind w:left="122" w:right="112" w:firstLine="253"/>
              <w:jc w:val="both"/>
            </w:pPr>
            <w:r>
              <w:t xml:space="preserve">-21.punktā </w:t>
            </w:r>
            <w:r w:rsidRPr="0007259E">
              <w:t xml:space="preserve">pagarināt preses piegādes </w:t>
            </w:r>
            <w:r>
              <w:t xml:space="preserve">sniegšanas nodrošināšanas un to radīto zaudējumu kompensēšanas kārtību </w:t>
            </w:r>
            <w:r w:rsidRPr="0007259E">
              <w:t>līdz 2021. gada 31. decembrim</w:t>
            </w:r>
            <w:r>
              <w:t xml:space="preserve">. </w:t>
            </w:r>
          </w:p>
          <w:p w14:paraId="631A877F" w14:textId="77777777" w:rsidR="00E30361" w:rsidRDefault="00E30361" w:rsidP="00FD250E">
            <w:pPr>
              <w:ind w:left="122" w:right="112" w:firstLine="253"/>
              <w:jc w:val="both"/>
            </w:pPr>
          </w:p>
          <w:p w14:paraId="3625C34B" w14:textId="6DE0BBC7" w:rsidR="00CD35DF" w:rsidRPr="00CE1053" w:rsidRDefault="0007259E" w:rsidP="002F13F2">
            <w:pPr>
              <w:ind w:left="122" w:right="112" w:firstLine="253"/>
              <w:jc w:val="both"/>
              <w:rPr>
                <w:rFonts w:eastAsia="SimSun"/>
                <w:color w:val="0D0D0D" w:themeColor="text1" w:themeTint="F2"/>
                <w:kern w:val="3"/>
                <w:lang w:eastAsia="zh-CN" w:bidi="hi-IN"/>
              </w:rPr>
            </w:pPr>
            <w:r>
              <w:t>L</w:t>
            </w:r>
            <w:r w:rsidR="008314DA">
              <w:t xml:space="preserve">ai </w:t>
            </w:r>
            <w:r w:rsidR="00B515C5">
              <w:t>veiktu</w:t>
            </w:r>
            <w:r w:rsidR="00FD250E">
              <w:t xml:space="preserve"> preses piegādi 2021.gadā</w:t>
            </w:r>
            <w:r w:rsidR="008314DA">
              <w:t>,</w:t>
            </w:r>
            <w:r w:rsidR="00FD250E">
              <w:t xml:space="preserve"> </w:t>
            </w:r>
            <w:r w:rsidR="008314DA">
              <w:t xml:space="preserve">preses </w:t>
            </w:r>
            <w:r w:rsidR="00FD250E">
              <w:t>piegādes cena jānosaka pirms līgumu slēgšanas starp izdevējiem un VAS “Latvijas Pasts”, proti, līdz 2020.gada septembrim nepieciešams nodrošināt juridisku noteiktību par preses piegāde</w:t>
            </w:r>
            <w:r w:rsidR="008314DA">
              <w:t>i</w:t>
            </w:r>
            <w:r w:rsidR="00FD250E">
              <w:t xml:space="preserve"> piemērojamām cenām no 2021.gada 1.janvāra. </w:t>
            </w:r>
            <w:r w:rsidR="00B515C5">
              <w:t>Līdz ar to l</w:t>
            </w:r>
            <w:r w:rsidR="00FD250E">
              <w:t>ikumprojektam pievienots Ministru kabineta</w:t>
            </w:r>
            <w:r w:rsidR="00B515C5">
              <w:t xml:space="preserve"> sēdes</w:t>
            </w:r>
            <w:r w:rsidR="00FD250E">
              <w:t xml:space="preserve"> </w:t>
            </w:r>
            <w:r w:rsidR="00FD250E">
              <w:lastRenderedPageBreak/>
              <w:t>protokollēmum</w:t>
            </w:r>
            <w:r w:rsidR="00B515C5">
              <w:t>a projekts</w:t>
            </w:r>
            <w:r w:rsidR="00FD250E">
              <w:t>, paredzot lūgt Saeimu atzīt likumprojektu par steidzamu.</w:t>
            </w:r>
          </w:p>
        </w:tc>
      </w:tr>
      <w:tr w:rsidR="005865CF" w:rsidRPr="00CE1053" w14:paraId="167AF25A" w14:textId="77777777" w:rsidTr="00E30361">
        <w:tc>
          <w:tcPr>
            <w:tcW w:w="302" w:type="pct"/>
            <w:hideMark/>
          </w:tcPr>
          <w:p w14:paraId="67F4525E" w14:textId="77777777" w:rsidR="005865CF" w:rsidRPr="00CE1053" w:rsidRDefault="005865CF" w:rsidP="005865CF">
            <w:pPr>
              <w:jc w:val="center"/>
              <w:rPr>
                <w:color w:val="0D0D0D" w:themeColor="text1" w:themeTint="F2"/>
              </w:rPr>
            </w:pPr>
            <w:r w:rsidRPr="00CE1053">
              <w:rPr>
                <w:color w:val="0D0D0D" w:themeColor="text1" w:themeTint="F2"/>
              </w:rPr>
              <w:lastRenderedPageBreak/>
              <w:t>3.</w:t>
            </w:r>
          </w:p>
        </w:tc>
        <w:tc>
          <w:tcPr>
            <w:tcW w:w="1433" w:type="pct"/>
            <w:hideMark/>
          </w:tcPr>
          <w:p w14:paraId="2308DD0E" w14:textId="77777777" w:rsidR="005865CF" w:rsidRPr="00CE1053" w:rsidRDefault="005865CF" w:rsidP="005865CF">
            <w:pPr>
              <w:rPr>
                <w:color w:val="0D0D0D" w:themeColor="text1" w:themeTint="F2"/>
              </w:rPr>
            </w:pPr>
            <w:r w:rsidRPr="00CE1053">
              <w:rPr>
                <w:color w:val="0D0D0D" w:themeColor="text1" w:themeTint="F2"/>
              </w:rPr>
              <w:t>Projekta izstrādē iesaistītās institūcijas un publiskas personas kapitālsabiedrības</w:t>
            </w:r>
          </w:p>
        </w:tc>
        <w:tc>
          <w:tcPr>
            <w:tcW w:w="3265" w:type="pct"/>
          </w:tcPr>
          <w:p w14:paraId="2615340F" w14:textId="7553F0A6" w:rsidR="005865CF" w:rsidRPr="00CE1053" w:rsidRDefault="005865CF" w:rsidP="005865CF">
            <w:pPr>
              <w:jc w:val="both"/>
              <w:rPr>
                <w:color w:val="0D0D0D" w:themeColor="text1" w:themeTint="F2"/>
              </w:rPr>
            </w:pPr>
            <w:r w:rsidRPr="00CE1053">
              <w:rPr>
                <w:color w:val="0D0D0D" w:themeColor="text1" w:themeTint="F2"/>
              </w:rPr>
              <w:t>Satiksmes ministrija</w:t>
            </w:r>
            <w:r w:rsidR="00167090">
              <w:rPr>
                <w:color w:val="0D0D0D" w:themeColor="text1" w:themeTint="F2"/>
              </w:rPr>
              <w:t>.</w:t>
            </w:r>
          </w:p>
        </w:tc>
      </w:tr>
      <w:tr w:rsidR="005865CF" w:rsidRPr="00CE1053" w14:paraId="23513DBC" w14:textId="77777777" w:rsidTr="00E30361">
        <w:tc>
          <w:tcPr>
            <w:tcW w:w="302" w:type="pct"/>
            <w:hideMark/>
          </w:tcPr>
          <w:p w14:paraId="05B02471" w14:textId="77777777" w:rsidR="005865CF" w:rsidRPr="00CE1053" w:rsidRDefault="005865CF" w:rsidP="005865CF">
            <w:pPr>
              <w:jc w:val="center"/>
              <w:rPr>
                <w:color w:val="0D0D0D" w:themeColor="text1" w:themeTint="F2"/>
              </w:rPr>
            </w:pPr>
            <w:r w:rsidRPr="00CE1053">
              <w:rPr>
                <w:color w:val="0D0D0D" w:themeColor="text1" w:themeTint="F2"/>
              </w:rPr>
              <w:t>4.</w:t>
            </w:r>
          </w:p>
        </w:tc>
        <w:tc>
          <w:tcPr>
            <w:tcW w:w="1433" w:type="pct"/>
            <w:hideMark/>
          </w:tcPr>
          <w:p w14:paraId="5172A9F0" w14:textId="77777777" w:rsidR="005865CF" w:rsidRPr="00CE1053" w:rsidRDefault="005865CF" w:rsidP="005865CF">
            <w:pPr>
              <w:rPr>
                <w:color w:val="0D0D0D" w:themeColor="text1" w:themeTint="F2"/>
              </w:rPr>
            </w:pPr>
            <w:r w:rsidRPr="00CE1053">
              <w:rPr>
                <w:color w:val="0D0D0D" w:themeColor="text1" w:themeTint="F2"/>
              </w:rPr>
              <w:t>Cita informācija</w:t>
            </w:r>
          </w:p>
        </w:tc>
        <w:tc>
          <w:tcPr>
            <w:tcW w:w="3265" w:type="pct"/>
          </w:tcPr>
          <w:p w14:paraId="0D0F698F" w14:textId="1F319946" w:rsidR="005865CF" w:rsidRPr="00CE1053" w:rsidRDefault="00167090" w:rsidP="002117C7">
            <w:pPr>
              <w:ind w:left="-23" w:firstLine="425"/>
              <w:jc w:val="both"/>
              <w:rPr>
                <w:color w:val="0D0D0D" w:themeColor="text1" w:themeTint="F2"/>
              </w:rPr>
            </w:pPr>
            <w:r>
              <w:rPr>
                <w:color w:val="0D0D0D" w:themeColor="text1" w:themeTint="F2"/>
              </w:rPr>
              <w:t>Nav.</w:t>
            </w:r>
          </w:p>
        </w:tc>
      </w:tr>
    </w:tbl>
    <w:p w14:paraId="460E5624" w14:textId="77777777" w:rsidR="00CD35DF" w:rsidRDefault="00CD35DF" w:rsidP="002B378B">
      <w:pPr>
        <w:pStyle w:val="Title"/>
        <w:tabs>
          <w:tab w:val="left" w:pos="851"/>
        </w:tabs>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65761" w:rsidRPr="00CE1053" w14:paraId="6445F1C0" w14:textId="77777777" w:rsidTr="00E30361">
        <w:trPr>
          <w:cantSplit/>
        </w:trPr>
        <w:tc>
          <w:tcPr>
            <w:tcW w:w="5000" w:type="pct"/>
            <w:gridSpan w:val="3"/>
            <w:vAlign w:val="center"/>
            <w:hideMark/>
          </w:tcPr>
          <w:p w14:paraId="2F0B6C49" w14:textId="77777777" w:rsidR="00865761" w:rsidRPr="00CE1053" w:rsidRDefault="00865761" w:rsidP="00C57E86">
            <w:pPr>
              <w:jc w:val="center"/>
              <w:rPr>
                <w:b/>
                <w:bCs/>
                <w:color w:val="0D0D0D" w:themeColor="text1" w:themeTint="F2"/>
              </w:rPr>
            </w:pPr>
            <w:r w:rsidRPr="00CE1053">
              <w:rPr>
                <w:b/>
                <w:bCs/>
                <w:color w:val="0D0D0D" w:themeColor="text1" w:themeTint="F2"/>
              </w:rPr>
              <w:t>II. Tiesību akta projekta ietekme uz sabiedrību, tautsaimniecības attīstību un administratīvo slogu</w:t>
            </w:r>
          </w:p>
        </w:tc>
      </w:tr>
      <w:tr w:rsidR="00865761" w:rsidRPr="00CE1053" w14:paraId="24C72956" w14:textId="77777777" w:rsidTr="00E30361">
        <w:tc>
          <w:tcPr>
            <w:tcW w:w="302" w:type="pct"/>
            <w:hideMark/>
          </w:tcPr>
          <w:p w14:paraId="6A584CA8" w14:textId="77777777" w:rsidR="00865761" w:rsidRPr="00CE1053" w:rsidRDefault="00865761" w:rsidP="00C57E86">
            <w:pPr>
              <w:jc w:val="center"/>
              <w:rPr>
                <w:color w:val="0D0D0D" w:themeColor="text1" w:themeTint="F2"/>
              </w:rPr>
            </w:pPr>
            <w:r w:rsidRPr="00CE1053">
              <w:rPr>
                <w:color w:val="0D0D0D" w:themeColor="text1" w:themeTint="F2"/>
              </w:rPr>
              <w:t>1.</w:t>
            </w:r>
          </w:p>
        </w:tc>
        <w:tc>
          <w:tcPr>
            <w:tcW w:w="1433" w:type="pct"/>
            <w:hideMark/>
          </w:tcPr>
          <w:p w14:paraId="5881B72D" w14:textId="77777777" w:rsidR="00865761" w:rsidRPr="00CE1053" w:rsidRDefault="00865761" w:rsidP="00C57E86">
            <w:pPr>
              <w:rPr>
                <w:color w:val="0D0D0D" w:themeColor="text1" w:themeTint="F2"/>
              </w:rPr>
            </w:pPr>
            <w:r w:rsidRPr="00CE1053">
              <w:rPr>
                <w:color w:val="0D0D0D" w:themeColor="text1" w:themeTint="F2"/>
              </w:rPr>
              <w:t>Sabiedrības mērķgrupas, kuras tiesiskais regulējums ietekmē vai varētu ietekmēt</w:t>
            </w:r>
          </w:p>
        </w:tc>
        <w:tc>
          <w:tcPr>
            <w:tcW w:w="3265" w:type="pct"/>
          </w:tcPr>
          <w:p w14:paraId="035D13A4" w14:textId="146D5A15" w:rsidR="00865761" w:rsidRPr="00CE1053" w:rsidRDefault="00F72920" w:rsidP="00B93AE6">
            <w:pPr>
              <w:ind w:left="118" w:right="100"/>
              <w:jc w:val="both"/>
              <w:rPr>
                <w:color w:val="0D0D0D" w:themeColor="text1" w:themeTint="F2"/>
              </w:rPr>
            </w:pPr>
            <w:r>
              <w:rPr>
                <w:color w:val="0D0D0D" w:themeColor="text1" w:themeTint="F2"/>
              </w:rPr>
              <w:t>VAS “</w:t>
            </w:r>
            <w:r w:rsidR="0026204A" w:rsidRPr="00CE1053">
              <w:rPr>
                <w:color w:val="0D0D0D" w:themeColor="text1" w:themeTint="F2"/>
              </w:rPr>
              <w:t>Latvijas Pasts</w:t>
            </w:r>
            <w:r>
              <w:rPr>
                <w:color w:val="0D0D0D" w:themeColor="text1" w:themeTint="F2"/>
              </w:rPr>
              <w:t>”</w:t>
            </w:r>
            <w:r w:rsidR="00001750" w:rsidRPr="00CE1053">
              <w:rPr>
                <w:color w:val="0D0D0D" w:themeColor="text1" w:themeTint="F2"/>
              </w:rPr>
              <w:t xml:space="preserve">, </w:t>
            </w:r>
            <w:r w:rsidR="00167090">
              <w:rPr>
                <w:color w:val="0D0D0D" w:themeColor="text1" w:themeTint="F2"/>
              </w:rPr>
              <w:t>personas</w:t>
            </w:r>
            <w:r w:rsidR="00001750" w:rsidRPr="00CE1053">
              <w:rPr>
                <w:color w:val="0D0D0D" w:themeColor="text1" w:themeTint="F2"/>
              </w:rPr>
              <w:t>, kur</w:t>
            </w:r>
            <w:r w:rsidR="00167090">
              <w:rPr>
                <w:color w:val="0D0D0D" w:themeColor="text1" w:themeTint="F2"/>
              </w:rPr>
              <w:t>as</w:t>
            </w:r>
            <w:r w:rsidR="00001750" w:rsidRPr="00CE1053">
              <w:rPr>
                <w:color w:val="0D0D0D" w:themeColor="text1" w:themeTint="F2"/>
              </w:rPr>
              <w:t xml:space="preserve"> </w:t>
            </w:r>
            <w:r w:rsidR="00167090">
              <w:rPr>
                <w:color w:val="0D0D0D" w:themeColor="text1" w:themeTint="F2"/>
              </w:rPr>
              <w:t>abonē preses izdevumus, preses izdevēji.</w:t>
            </w:r>
          </w:p>
        </w:tc>
      </w:tr>
      <w:tr w:rsidR="00865761" w:rsidRPr="00CE1053" w14:paraId="41A389E2" w14:textId="77777777" w:rsidTr="00E30361">
        <w:tc>
          <w:tcPr>
            <w:tcW w:w="302" w:type="pct"/>
            <w:hideMark/>
          </w:tcPr>
          <w:p w14:paraId="078988E9" w14:textId="77777777" w:rsidR="00865761" w:rsidRPr="00CE1053" w:rsidRDefault="00865761" w:rsidP="00C57E86">
            <w:pPr>
              <w:jc w:val="center"/>
              <w:rPr>
                <w:color w:val="0D0D0D" w:themeColor="text1" w:themeTint="F2"/>
              </w:rPr>
            </w:pPr>
            <w:r w:rsidRPr="00CE1053">
              <w:rPr>
                <w:color w:val="0D0D0D" w:themeColor="text1" w:themeTint="F2"/>
              </w:rPr>
              <w:t>2.</w:t>
            </w:r>
          </w:p>
        </w:tc>
        <w:tc>
          <w:tcPr>
            <w:tcW w:w="1433" w:type="pct"/>
            <w:hideMark/>
          </w:tcPr>
          <w:p w14:paraId="4255FCC1" w14:textId="77777777" w:rsidR="00865761" w:rsidRPr="00CE1053" w:rsidRDefault="00865761" w:rsidP="00C57E86">
            <w:pPr>
              <w:rPr>
                <w:color w:val="0D0D0D" w:themeColor="text1" w:themeTint="F2"/>
              </w:rPr>
            </w:pPr>
            <w:r w:rsidRPr="00CE1053">
              <w:rPr>
                <w:color w:val="0D0D0D" w:themeColor="text1" w:themeTint="F2"/>
              </w:rPr>
              <w:t>Tiesiskā regulējuma ietekme uz tautsaimniecību un administratīvo slogu</w:t>
            </w:r>
          </w:p>
        </w:tc>
        <w:tc>
          <w:tcPr>
            <w:tcW w:w="3265" w:type="pct"/>
          </w:tcPr>
          <w:p w14:paraId="77CE5519" w14:textId="77777777" w:rsidR="00865761" w:rsidRPr="00CE1053" w:rsidRDefault="0026204A" w:rsidP="0026204A">
            <w:pPr>
              <w:ind w:left="118" w:right="100"/>
              <w:jc w:val="both"/>
              <w:rPr>
                <w:color w:val="0D0D0D" w:themeColor="text1" w:themeTint="F2"/>
              </w:rPr>
            </w:pPr>
            <w:r w:rsidRPr="00CE1053">
              <w:rPr>
                <w:color w:val="0D0D0D" w:themeColor="text1" w:themeTint="F2"/>
              </w:rPr>
              <w:t>Projekts šo jomu neskar.</w:t>
            </w:r>
          </w:p>
        </w:tc>
      </w:tr>
      <w:tr w:rsidR="00865761" w:rsidRPr="00CE1053" w14:paraId="542BFDF7" w14:textId="77777777" w:rsidTr="00E30361">
        <w:tc>
          <w:tcPr>
            <w:tcW w:w="302" w:type="pct"/>
            <w:hideMark/>
          </w:tcPr>
          <w:p w14:paraId="39ED68DC" w14:textId="77777777" w:rsidR="00865761" w:rsidRPr="00CE1053" w:rsidRDefault="00865761" w:rsidP="00C57E86">
            <w:pPr>
              <w:jc w:val="center"/>
              <w:rPr>
                <w:color w:val="0D0D0D" w:themeColor="text1" w:themeTint="F2"/>
              </w:rPr>
            </w:pPr>
            <w:r w:rsidRPr="00CE1053">
              <w:rPr>
                <w:color w:val="0D0D0D" w:themeColor="text1" w:themeTint="F2"/>
              </w:rPr>
              <w:t>3.</w:t>
            </w:r>
          </w:p>
        </w:tc>
        <w:tc>
          <w:tcPr>
            <w:tcW w:w="1433" w:type="pct"/>
            <w:hideMark/>
          </w:tcPr>
          <w:p w14:paraId="63DC9DE1" w14:textId="77777777" w:rsidR="00865761" w:rsidRPr="00CE1053" w:rsidRDefault="00865761" w:rsidP="00C57E86">
            <w:pPr>
              <w:rPr>
                <w:color w:val="0D0D0D" w:themeColor="text1" w:themeTint="F2"/>
              </w:rPr>
            </w:pPr>
            <w:r w:rsidRPr="00CE1053">
              <w:rPr>
                <w:color w:val="0D0D0D" w:themeColor="text1" w:themeTint="F2"/>
              </w:rPr>
              <w:t>Administratīvo izmaksu monetārs novērtējums</w:t>
            </w:r>
          </w:p>
        </w:tc>
        <w:tc>
          <w:tcPr>
            <w:tcW w:w="3265" w:type="pct"/>
          </w:tcPr>
          <w:p w14:paraId="21A1B867"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6110C4C8" w14:textId="77777777" w:rsidTr="00E30361">
        <w:tc>
          <w:tcPr>
            <w:tcW w:w="302" w:type="pct"/>
            <w:hideMark/>
          </w:tcPr>
          <w:p w14:paraId="36BACF90" w14:textId="77777777" w:rsidR="00865761" w:rsidRPr="00CE1053" w:rsidRDefault="00865761" w:rsidP="00C57E86">
            <w:pPr>
              <w:jc w:val="center"/>
              <w:rPr>
                <w:color w:val="0D0D0D" w:themeColor="text1" w:themeTint="F2"/>
              </w:rPr>
            </w:pPr>
            <w:r w:rsidRPr="00CE1053">
              <w:rPr>
                <w:color w:val="0D0D0D" w:themeColor="text1" w:themeTint="F2"/>
              </w:rPr>
              <w:t>4.</w:t>
            </w:r>
          </w:p>
        </w:tc>
        <w:tc>
          <w:tcPr>
            <w:tcW w:w="1433" w:type="pct"/>
            <w:hideMark/>
          </w:tcPr>
          <w:p w14:paraId="37B99131" w14:textId="77777777" w:rsidR="00865761" w:rsidRPr="00CE1053" w:rsidRDefault="00865761" w:rsidP="00C57E86">
            <w:pPr>
              <w:rPr>
                <w:color w:val="0D0D0D" w:themeColor="text1" w:themeTint="F2"/>
              </w:rPr>
            </w:pPr>
            <w:r w:rsidRPr="00CE1053">
              <w:rPr>
                <w:color w:val="0D0D0D" w:themeColor="text1" w:themeTint="F2"/>
              </w:rPr>
              <w:t>Atbilstības izmaksu monetārs novērtējums</w:t>
            </w:r>
          </w:p>
        </w:tc>
        <w:tc>
          <w:tcPr>
            <w:tcW w:w="3265" w:type="pct"/>
          </w:tcPr>
          <w:p w14:paraId="6503E262" w14:textId="77777777" w:rsidR="00865761" w:rsidRPr="00CE1053" w:rsidRDefault="00865761" w:rsidP="00B93AE6">
            <w:pPr>
              <w:ind w:left="118" w:right="100"/>
              <w:jc w:val="both"/>
              <w:rPr>
                <w:color w:val="0D0D0D" w:themeColor="text1" w:themeTint="F2"/>
              </w:rPr>
            </w:pPr>
            <w:r w:rsidRPr="00CE1053">
              <w:rPr>
                <w:color w:val="0D0D0D" w:themeColor="text1" w:themeTint="F2"/>
              </w:rPr>
              <w:t>Projekts šo jomu neskar.</w:t>
            </w:r>
          </w:p>
        </w:tc>
      </w:tr>
      <w:tr w:rsidR="00865761" w:rsidRPr="00CE1053" w14:paraId="54E29427" w14:textId="77777777" w:rsidTr="00E30361">
        <w:tc>
          <w:tcPr>
            <w:tcW w:w="302" w:type="pct"/>
            <w:hideMark/>
          </w:tcPr>
          <w:p w14:paraId="5B5A1E2C" w14:textId="77777777" w:rsidR="00865761" w:rsidRPr="00CE1053" w:rsidRDefault="00865761" w:rsidP="00C57E86">
            <w:pPr>
              <w:jc w:val="center"/>
              <w:rPr>
                <w:color w:val="0D0D0D" w:themeColor="text1" w:themeTint="F2"/>
              </w:rPr>
            </w:pPr>
            <w:r w:rsidRPr="00CE1053">
              <w:rPr>
                <w:color w:val="0D0D0D" w:themeColor="text1" w:themeTint="F2"/>
              </w:rPr>
              <w:t>5.</w:t>
            </w:r>
          </w:p>
        </w:tc>
        <w:tc>
          <w:tcPr>
            <w:tcW w:w="1433" w:type="pct"/>
            <w:hideMark/>
          </w:tcPr>
          <w:p w14:paraId="2B445EF1" w14:textId="77777777" w:rsidR="00865761" w:rsidRPr="00CE1053" w:rsidRDefault="00865761" w:rsidP="00C57E86">
            <w:pPr>
              <w:rPr>
                <w:color w:val="0D0D0D" w:themeColor="text1" w:themeTint="F2"/>
              </w:rPr>
            </w:pPr>
            <w:r w:rsidRPr="00CE1053">
              <w:rPr>
                <w:color w:val="0D0D0D" w:themeColor="text1" w:themeTint="F2"/>
              </w:rPr>
              <w:t>Cita informācija</w:t>
            </w:r>
          </w:p>
        </w:tc>
        <w:tc>
          <w:tcPr>
            <w:tcW w:w="3265" w:type="pct"/>
            <w:hideMark/>
          </w:tcPr>
          <w:p w14:paraId="78FB1F09" w14:textId="77777777" w:rsidR="00865761" w:rsidRPr="00CE1053" w:rsidRDefault="00865761" w:rsidP="00B93AE6">
            <w:pPr>
              <w:ind w:left="118" w:right="100"/>
              <w:jc w:val="both"/>
              <w:rPr>
                <w:color w:val="0D0D0D" w:themeColor="text1" w:themeTint="F2"/>
              </w:rPr>
            </w:pPr>
            <w:r w:rsidRPr="00CE1053">
              <w:rPr>
                <w:color w:val="0D0D0D" w:themeColor="text1" w:themeTint="F2"/>
              </w:rPr>
              <w:t>Nav.</w:t>
            </w:r>
          </w:p>
        </w:tc>
      </w:tr>
    </w:tbl>
    <w:p w14:paraId="1405D304" w14:textId="77777777" w:rsidR="00CD35DF" w:rsidRPr="00CE1053" w:rsidRDefault="00CD35DF" w:rsidP="00C57E86">
      <w:pPr>
        <w:rPr>
          <w:color w:val="0D0D0D" w:themeColor="text1" w:themeTint="F2"/>
        </w:rPr>
      </w:pPr>
    </w:p>
    <w:tbl>
      <w:tblPr>
        <w:tblStyle w:val="TableGrid"/>
        <w:tblW w:w="9351" w:type="dxa"/>
        <w:tblLayout w:type="fixed"/>
        <w:tblLook w:val="04A0" w:firstRow="1" w:lastRow="0" w:firstColumn="1" w:lastColumn="0" w:noHBand="0" w:noVBand="1"/>
      </w:tblPr>
      <w:tblGrid>
        <w:gridCol w:w="1413"/>
        <w:gridCol w:w="1176"/>
        <w:gridCol w:w="951"/>
        <w:gridCol w:w="1176"/>
        <w:gridCol w:w="1375"/>
        <w:gridCol w:w="963"/>
        <w:gridCol w:w="1312"/>
        <w:gridCol w:w="985"/>
      </w:tblGrid>
      <w:tr w:rsidR="00163CCF" w:rsidRPr="00CE1053" w14:paraId="5E2D5A86" w14:textId="77777777" w:rsidTr="00E30361">
        <w:tc>
          <w:tcPr>
            <w:tcW w:w="9351" w:type="dxa"/>
            <w:gridSpan w:val="8"/>
          </w:tcPr>
          <w:p w14:paraId="3E7D0B75" w14:textId="77777777" w:rsidR="00163CCF" w:rsidRPr="00CE1053" w:rsidRDefault="00163CCF" w:rsidP="00C57E86">
            <w:r w:rsidRPr="00CE1053">
              <w:rPr>
                <w:b/>
                <w:bCs/>
                <w:iCs/>
              </w:rPr>
              <w:t>III. Tiesību akta projekta ietekme uz valsts budžetu un pašvaldību budžetiem</w:t>
            </w:r>
          </w:p>
        </w:tc>
      </w:tr>
      <w:tr w:rsidR="00163CCF" w:rsidRPr="00CE1053" w14:paraId="2D6D3554" w14:textId="77777777" w:rsidTr="00E30361">
        <w:tc>
          <w:tcPr>
            <w:tcW w:w="1413" w:type="dxa"/>
            <w:vMerge w:val="restart"/>
          </w:tcPr>
          <w:p w14:paraId="0CF6AA6A" w14:textId="77777777" w:rsidR="00163CCF" w:rsidRPr="00CE1053" w:rsidRDefault="00163CCF" w:rsidP="00163CCF">
            <w:pPr>
              <w:rPr>
                <w:iCs/>
                <w:color w:val="414142"/>
              </w:rPr>
            </w:pPr>
          </w:p>
          <w:p w14:paraId="6DF44EEA" w14:textId="77777777" w:rsidR="00163CCF" w:rsidRPr="00CE1053" w:rsidRDefault="00163CCF" w:rsidP="00163CCF">
            <w:pPr>
              <w:rPr>
                <w:iCs/>
                <w:color w:val="414142"/>
              </w:rPr>
            </w:pPr>
          </w:p>
          <w:p w14:paraId="50845FDE" w14:textId="77777777" w:rsidR="00163CCF" w:rsidRPr="00CE1053" w:rsidRDefault="00163CCF" w:rsidP="00163CCF">
            <w:pPr>
              <w:rPr>
                <w:color w:val="0D0D0D" w:themeColor="text1" w:themeTint="F2"/>
              </w:rPr>
            </w:pPr>
            <w:r w:rsidRPr="00CE1053">
              <w:rPr>
                <w:iCs/>
                <w:color w:val="414142"/>
              </w:rPr>
              <w:t>Rādītāji</w:t>
            </w:r>
          </w:p>
        </w:tc>
        <w:tc>
          <w:tcPr>
            <w:tcW w:w="2127" w:type="dxa"/>
            <w:gridSpan w:val="2"/>
            <w:vMerge w:val="restart"/>
          </w:tcPr>
          <w:p w14:paraId="015EA10B" w14:textId="77777777" w:rsidR="00163CCF" w:rsidRPr="00CE1053" w:rsidRDefault="00163CCF" w:rsidP="00C57E86">
            <w:pPr>
              <w:rPr>
                <w:iCs/>
              </w:rPr>
            </w:pPr>
          </w:p>
          <w:p w14:paraId="2654CADC" w14:textId="0E4C099F" w:rsidR="00163CCF" w:rsidRPr="00CE1053" w:rsidRDefault="00163CCF" w:rsidP="00C57E86">
            <w:r w:rsidRPr="00CE1053">
              <w:rPr>
                <w:iCs/>
              </w:rPr>
              <w:t>20</w:t>
            </w:r>
            <w:r w:rsidR="004A62AE">
              <w:rPr>
                <w:iCs/>
              </w:rPr>
              <w:t>20</w:t>
            </w:r>
            <w:r w:rsidRPr="00CE1053">
              <w:rPr>
                <w:iCs/>
              </w:rPr>
              <w:t>. gads</w:t>
            </w:r>
          </w:p>
        </w:tc>
        <w:tc>
          <w:tcPr>
            <w:tcW w:w="5811" w:type="dxa"/>
            <w:gridSpan w:val="5"/>
          </w:tcPr>
          <w:p w14:paraId="1DF725AE" w14:textId="77777777" w:rsidR="00163CCF" w:rsidRPr="00CE1053" w:rsidRDefault="00163CCF" w:rsidP="00C57E86">
            <w:r w:rsidRPr="00CE1053">
              <w:rPr>
                <w:iCs/>
              </w:rPr>
              <w:t>Turpmākie trīs gadi (</w:t>
            </w:r>
            <w:r w:rsidRPr="00CE1053">
              <w:rPr>
                <w:i/>
                <w:iCs/>
              </w:rPr>
              <w:t>euro</w:t>
            </w:r>
            <w:r w:rsidRPr="00CE1053">
              <w:rPr>
                <w:iCs/>
              </w:rPr>
              <w:t>)</w:t>
            </w:r>
          </w:p>
        </w:tc>
      </w:tr>
      <w:tr w:rsidR="00163CCF" w:rsidRPr="00CE1053" w14:paraId="5056DC15" w14:textId="77777777" w:rsidTr="00E30361">
        <w:tc>
          <w:tcPr>
            <w:tcW w:w="1413" w:type="dxa"/>
            <w:vMerge/>
          </w:tcPr>
          <w:p w14:paraId="51A3A0AF" w14:textId="77777777" w:rsidR="00163CCF" w:rsidRPr="00CE1053" w:rsidRDefault="00163CCF" w:rsidP="00163CCF">
            <w:pPr>
              <w:rPr>
                <w:color w:val="0D0D0D" w:themeColor="text1" w:themeTint="F2"/>
              </w:rPr>
            </w:pPr>
          </w:p>
        </w:tc>
        <w:tc>
          <w:tcPr>
            <w:tcW w:w="2127" w:type="dxa"/>
            <w:gridSpan w:val="2"/>
            <w:vMerge/>
          </w:tcPr>
          <w:p w14:paraId="0D582E82" w14:textId="77777777" w:rsidR="00163CCF" w:rsidRPr="00CE1053" w:rsidRDefault="00163CCF" w:rsidP="00C57E86"/>
        </w:tc>
        <w:tc>
          <w:tcPr>
            <w:tcW w:w="2551" w:type="dxa"/>
            <w:gridSpan w:val="2"/>
          </w:tcPr>
          <w:p w14:paraId="0AFCF39E" w14:textId="78B9DAF0" w:rsidR="00163CCF" w:rsidRPr="00CE1053" w:rsidRDefault="00163CCF" w:rsidP="00C57E86">
            <w:r w:rsidRPr="00CE1053">
              <w:rPr>
                <w:iCs/>
              </w:rPr>
              <w:t>202</w:t>
            </w:r>
            <w:r w:rsidR="004A62AE">
              <w:rPr>
                <w:iCs/>
              </w:rPr>
              <w:t>1</w:t>
            </w:r>
            <w:r w:rsidRPr="00CE1053">
              <w:rPr>
                <w:iCs/>
              </w:rPr>
              <w:t>. gads</w:t>
            </w:r>
          </w:p>
        </w:tc>
        <w:tc>
          <w:tcPr>
            <w:tcW w:w="2275" w:type="dxa"/>
            <w:gridSpan w:val="2"/>
          </w:tcPr>
          <w:p w14:paraId="251AA554" w14:textId="664854D4" w:rsidR="00163CCF" w:rsidRPr="00CE1053" w:rsidRDefault="00163CCF" w:rsidP="00C57E86">
            <w:r w:rsidRPr="00CE1053">
              <w:rPr>
                <w:iCs/>
              </w:rPr>
              <w:t>202</w:t>
            </w:r>
            <w:r w:rsidR="004A62AE">
              <w:rPr>
                <w:iCs/>
              </w:rPr>
              <w:t>2</w:t>
            </w:r>
            <w:r w:rsidRPr="00CE1053">
              <w:rPr>
                <w:iCs/>
              </w:rPr>
              <w:t>. gads</w:t>
            </w:r>
          </w:p>
        </w:tc>
        <w:tc>
          <w:tcPr>
            <w:tcW w:w="985" w:type="dxa"/>
          </w:tcPr>
          <w:p w14:paraId="0A455273" w14:textId="7EF1EBB2" w:rsidR="00A7097D" w:rsidRPr="00CE1053" w:rsidRDefault="00163CCF" w:rsidP="00A7097D">
            <w:pPr>
              <w:rPr>
                <w:iCs/>
              </w:rPr>
            </w:pPr>
            <w:r w:rsidRPr="00CE1053">
              <w:rPr>
                <w:iCs/>
              </w:rPr>
              <w:t>202</w:t>
            </w:r>
            <w:r w:rsidR="004A62AE">
              <w:rPr>
                <w:iCs/>
              </w:rPr>
              <w:t>3</w:t>
            </w:r>
            <w:r w:rsidRPr="00CE1053">
              <w:rPr>
                <w:iCs/>
              </w:rPr>
              <w:t>.</w:t>
            </w:r>
          </w:p>
          <w:p w14:paraId="2078AB78" w14:textId="77777777" w:rsidR="00163CCF" w:rsidRPr="00CE1053" w:rsidRDefault="00163CCF" w:rsidP="00A7097D">
            <w:r w:rsidRPr="00CE1053">
              <w:rPr>
                <w:iCs/>
              </w:rPr>
              <w:t>gads</w:t>
            </w:r>
          </w:p>
        </w:tc>
      </w:tr>
      <w:tr w:rsidR="00163CCF" w:rsidRPr="00CE1053" w14:paraId="156EC905" w14:textId="77777777" w:rsidTr="00E30361">
        <w:tc>
          <w:tcPr>
            <w:tcW w:w="1413" w:type="dxa"/>
            <w:vMerge/>
          </w:tcPr>
          <w:p w14:paraId="2F45E207" w14:textId="77777777" w:rsidR="00163CCF" w:rsidRPr="00CE1053" w:rsidRDefault="00163CCF" w:rsidP="00163CCF">
            <w:pPr>
              <w:rPr>
                <w:color w:val="0D0D0D" w:themeColor="text1" w:themeTint="F2"/>
              </w:rPr>
            </w:pPr>
          </w:p>
        </w:tc>
        <w:tc>
          <w:tcPr>
            <w:tcW w:w="1176" w:type="dxa"/>
          </w:tcPr>
          <w:p w14:paraId="26FCFC90" w14:textId="77777777" w:rsidR="00163CCF" w:rsidRPr="00CE1053" w:rsidRDefault="00163CCF" w:rsidP="00163CCF">
            <w:r w:rsidRPr="00CE1053">
              <w:rPr>
                <w:iCs/>
              </w:rPr>
              <w:t>saskaņā ar valsts budžetu kārtējam gadam</w:t>
            </w:r>
          </w:p>
        </w:tc>
        <w:tc>
          <w:tcPr>
            <w:tcW w:w="951" w:type="dxa"/>
          </w:tcPr>
          <w:p w14:paraId="5271E7DE" w14:textId="77777777" w:rsidR="00163CCF" w:rsidRPr="00CE1053" w:rsidRDefault="00163CCF" w:rsidP="00163CCF">
            <w:r w:rsidRPr="00CE1053">
              <w:rPr>
                <w:iCs/>
              </w:rPr>
              <w:t>izmaiņas kārtējā gadā, salīdzinot ar valsts budžetu kārtējam gadam</w:t>
            </w:r>
          </w:p>
        </w:tc>
        <w:tc>
          <w:tcPr>
            <w:tcW w:w="1176" w:type="dxa"/>
          </w:tcPr>
          <w:p w14:paraId="76D91B64" w14:textId="77777777" w:rsidR="00163CCF" w:rsidRPr="00CE1053" w:rsidRDefault="00163CCF" w:rsidP="00163CCF">
            <w:r w:rsidRPr="00CE1053">
              <w:rPr>
                <w:iCs/>
              </w:rPr>
              <w:t>saskaņā ar vidēja termiņa budžeta ietvaru</w:t>
            </w:r>
          </w:p>
        </w:tc>
        <w:tc>
          <w:tcPr>
            <w:tcW w:w="1375" w:type="dxa"/>
          </w:tcPr>
          <w:p w14:paraId="01FCD32D" w14:textId="1F68A790" w:rsidR="00163CCF" w:rsidRPr="00CE1053" w:rsidRDefault="00163CCF" w:rsidP="00163CCF">
            <w:r w:rsidRPr="00CE1053">
              <w:rPr>
                <w:iCs/>
              </w:rPr>
              <w:t xml:space="preserve">izmaiņas, salīdzinot ar vidēja termiņa budžeta ietvaru </w:t>
            </w:r>
            <w:r w:rsidR="0054706B" w:rsidRPr="00CE1053">
              <w:rPr>
                <w:iCs/>
              </w:rPr>
              <w:t>202</w:t>
            </w:r>
            <w:r w:rsidR="008D5571">
              <w:rPr>
                <w:iCs/>
              </w:rPr>
              <w:t>1</w:t>
            </w:r>
            <w:r w:rsidR="0054706B" w:rsidRPr="00CE1053">
              <w:rPr>
                <w:iCs/>
              </w:rPr>
              <w:t>.</w:t>
            </w:r>
            <w:r w:rsidRPr="00CE1053">
              <w:rPr>
                <w:iCs/>
              </w:rPr>
              <w:t>gadam</w:t>
            </w:r>
          </w:p>
        </w:tc>
        <w:tc>
          <w:tcPr>
            <w:tcW w:w="963" w:type="dxa"/>
            <w:vAlign w:val="center"/>
          </w:tcPr>
          <w:p w14:paraId="5B3E24F6" w14:textId="77777777" w:rsidR="00163CCF" w:rsidRPr="00CE1053" w:rsidRDefault="00163CCF" w:rsidP="00163CCF">
            <w:r w:rsidRPr="00CE1053">
              <w:rPr>
                <w:iCs/>
              </w:rPr>
              <w:t>saskaņā ar vidēja termiņa budžeta ietvaru</w:t>
            </w:r>
          </w:p>
        </w:tc>
        <w:tc>
          <w:tcPr>
            <w:tcW w:w="1312" w:type="dxa"/>
          </w:tcPr>
          <w:p w14:paraId="7A1CD35F" w14:textId="122EF19A" w:rsidR="00163CCF" w:rsidRPr="00CE1053" w:rsidRDefault="00163CCF" w:rsidP="00163CCF">
            <w:r w:rsidRPr="00CE1053">
              <w:rPr>
                <w:iCs/>
              </w:rPr>
              <w:t xml:space="preserve">izmaiņas, salīdzinot ar vidēja termiņa budžeta ietvaru </w:t>
            </w:r>
            <w:r w:rsidR="0054706B" w:rsidRPr="00CE1053">
              <w:rPr>
                <w:iCs/>
              </w:rPr>
              <w:t>202</w:t>
            </w:r>
            <w:r w:rsidR="008D5571">
              <w:rPr>
                <w:iCs/>
              </w:rPr>
              <w:t>2</w:t>
            </w:r>
            <w:r w:rsidR="0054706B" w:rsidRPr="00CE1053">
              <w:rPr>
                <w:iCs/>
              </w:rPr>
              <w:t>.</w:t>
            </w:r>
            <w:r w:rsidRPr="00CE1053">
              <w:rPr>
                <w:iCs/>
              </w:rPr>
              <w:t xml:space="preserve"> gadam</w:t>
            </w:r>
          </w:p>
        </w:tc>
        <w:tc>
          <w:tcPr>
            <w:tcW w:w="985" w:type="dxa"/>
          </w:tcPr>
          <w:p w14:paraId="3EE5EAD5" w14:textId="2D687227" w:rsidR="00163CCF" w:rsidRPr="00CE1053" w:rsidRDefault="00163CCF" w:rsidP="00163CCF">
            <w:r w:rsidRPr="00CE1053">
              <w:rPr>
                <w:iCs/>
              </w:rPr>
              <w:t xml:space="preserve">izmaiņas, salīdzinot ar vidēja termiņa budžeta ietvaru </w:t>
            </w:r>
            <w:r w:rsidR="0054706B" w:rsidRPr="00CE1053">
              <w:rPr>
                <w:iCs/>
              </w:rPr>
              <w:t>202</w:t>
            </w:r>
            <w:r w:rsidR="001D2B08">
              <w:rPr>
                <w:iCs/>
              </w:rPr>
              <w:t>2</w:t>
            </w:r>
            <w:r w:rsidR="0054706B" w:rsidRPr="00CE1053">
              <w:rPr>
                <w:iCs/>
              </w:rPr>
              <w:t>.</w:t>
            </w:r>
            <w:r w:rsidRPr="00CE1053">
              <w:rPr>
                <w:iCs/>
              </w:rPr>
              <w:t xml:space="preserve"> gadam</w:t>
            </w:r>
          </w:p>
        </w:tc>
      </w:tr>
      <w:tr w:rsidR="00163CCF" w:rsidRPr="00CE1053" w14:paraId="1CB29174" w14:textId="77777777" w:rsidTr="00E30361">
        <w:tc>
          <w:tcPr>
            <w:tcW w:w="1413" w:type="dxa"/>
          </w:tcPr>
          <w:p w14:paraId="56227DE9" w14:textId="77777777" w:rsidR="00163CCF" w:rsidRPr="00CE1053" w:rsidRDefault="00163CCF" w:rsidP="00163CCF">
            <w:pPr>
              <w:rPr>
                <w:color w:val="0D0D0D" w:themeColor="text1" w:themeTint="F2"/>
              </w:rPr>
            </w:pPr>
            <w:r w:rsidRPr="00CE1053">
              <w:t>1</w:t>
            </w:r>
          </w:p>
        </w:tc>
        <w:tc>
          <w:tcPr>
            <w:tcW w:w="1176" w:type="dxa"/>
          </w:tcPr>
          <w:p w14:paraId="04453D39" w14:textId="77777777" w:rsidR="00163CCF" w:rsidRPr="00CE1053" w:rsidRDefault="00163CCF" w:rsidP="00163CCF">
            <w:r w:rsidRPr="00CE1053">
              <w:t>2</w:t>
            </w:r>
          </w:p>
        </w:tc>
        <w:tc>
          <w:tcPr>
            <w:tcW w:w="951" w:type="dxa"/>
          </w:tcPr>
          <w:p w14:paraId="6F4A648F" w14:textId="77777777" w:rsidR="00163CCF" w:rsidRPr="00CE1053" w:rsidRDefault="00163CCF" w:rsidP="00163CCF">
            <w:r w:rsidRPr="00CE1053">
              <w:t>3</w:t>
            </w:r>
          </w:p>
        </w:tc>
        <w:tc>
          <w:tcPr>
            <w:tcW w:w="1176" w:type="dxa"/>
          </w:tcPr>
          <w:p w14:paraId="1400AC47" w14:textId="77777777" w:rsidR="00163CCF" w:rsidRPr="00CE1053" w:rsidRDefault="00163CCF" w:rsidP="00163CCF">
            <w:r w:rsidRPr="00CE1053">
              <w:t>4</w:t>
            </w:r>
          </w:p>
        </w:tc>
        <w:tc>
          <w:tcPr>
            <w:tcW w:w="1375" w:type="dxa"/>
          </w:tcPr>
          <w:p w14:paraId="78DDC9AD" w14:textId="77777777" w:rsidR="00163CCF" w:rsidRPr="00CE1053" w:rsidRDefault="00163CCF" w:rsidP="00163CCF">
            <w:r w:rsidRPr="00CE1053">
              <w:t>5</w:t>
            </w:r>
          </w:p>
        </w:tc>
        <w:tc>
          <w:tcPr>
            <w:tcW w:w="963" w:type="dxa"/>
          </w:tcPr>
          <w:p w14:paraId="6F8EE04A" w14:textId="77777777" w:rsidR="00163CCF" w:rsidRPr="00CE1053" w:rsidRDefault="00163CCF" w:rsidP="00163CCF">
            <w:r w:rsidRPr="00CE1053">
              <w:t>6</w:t>
            </w:r>
          </w:p>
        </w:tc>
        <w:tc>
          <w:tcPr>
            <w:tcW w:w="1312" w:type="dxa"/>
          </w:tcPr>
          <w:p w14:paraId="573F6D32" w14:textId="77777777" w:rsidR="00163CCF" w:rsidRPr="00CE1053" w:rsidRDefault="00163CCF" w:rsidP="00163CCF">
            <w:r w:rsidRPr="00CE1053">
              <w:t>7</w:t>
            </w:r>
          </w:p>
        </w:tc>
        <w:tc>
          <w:tcPr>
            <w:tcW w:w="985" w:type="dxa"/>
          </w:tcPr>
          <w:p w14:paraId="374CE9D0" w14:textId="77777777" w:rsidR="00163CCF" w:rsidRPr="00CE1053" w:rsidRDefault="00163CCF" w:rsidP="00163CCF">
            <w:r w:rsidRPr="00CE1053">
              <w:t>8</w:t>
            </w:r>
          </w:p>
        </w:tc>
      </w:tr>
      <w:tr w:rsidR="00FB6A1B" w:rsidRPr="00CE1053" w14:paraId="70E68B06" w14:textId="77777777" w:rsidTr="00E30361">
        <w:tc>
          <w:tcPr>
            <w:tcW w:w="1413" w:type="dxa"/>
          </w:tcPr>
          <w:p w14:paraId="0982CE29" w14:textId="77777777" w:rsidR="00FB6A1B" w:rsidRPr="00CE1053" w:rsidRDefault="00FB6A1B" w:rsidP="00FB6A1B">
            <w:r w:rsidRPr="00CE1053">
              <w:t>1. Budžeta ieņēmumi</w:t>
            </w:r>
          </w:p>
        </w:tc>
        <w:tc>
          <w:tcPr>
            <w:tcW w:w="1176" w:type="dxa"/>
            <w:tcBorders>
              <w:top w:val="outset" w:sz="6" w:space="0" w:color="000000"/>
              <w:left w:val="outset" w:sz="6" w:space="0" w:color="000000"/>
              <w:bottom w:val="outset" w:sz="6" w:space="0" w:color="000000"/>
              <w:right w:val="outset" w:sz="6" w:space="0" w:color="000000"/>
            </w:tcBorders>
          </w:tcPr>
          <w:p w14:paraId="7A2BA527" w14:textId="208B48F7" w:rsidR="00FB6A1B" w:rsidRPr="00CE1053" w:rsidRDefault="008D5571" w:rsidP="00FB6A1B">
            <w:r>
              <w:t>5</w:t>
            </w:r>
            <w:r w:rsidR="00FB6A1B" w:rsidRPr="00CE1053">
              <w:t> </w:t>
            </w:r>
            <w:r>
              <w:t>762</w:t>
            </w:r>
            <w:r w:rsidR="00FB6A1B" w:rsidRPr="00CE1053">
              <w:t> </w:t>
            </w:r>
            <w:r>
              <w:t>761</w:t>
            </w:r>
          </w:p>
        </w:tc>
        <w:tc>
          <w:tcPr>
            <w:tcW w:w="951" w:type="dxa"/>
            <w:tcBorders>
              <w:top w:val="outset" w:sz="6" w:space="0" w:color="000000"/>
              <w:left w:val="outset" w:sz="6" w:space="0" w:color="000000"/>
              <w:bottom w:val="outset" w:sz="6" w:space="0" w:color="000000"/>
              <w:right w:val="outset" w:sz="6" w:space="0" w:color="000000"/>
            </w:tcBorders>
          </w:tcPr>
          <w:p w14:paraId="776BB416"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79E8B7FC" w14:textId="3326B746" w:rsidR="00FB6A1B" w:rsidRPr="00CE1053" w:rsidRDefault="008D5571" w:rsidP="00FB6A1B">
            <w:r>
              <w:t>0</w:t>
            </w:r>
          </w:p>
        </w:tc>
        <w:tc>
          <w:tcPr>
            <w:tcW w:w="1375" w:type="dxa"/>
            <w:tcBorders>
              <w:top w:val="outset" w:sz="6" w:space="0" w:color="000000"/>
              <w:left w:val="outset" w:sz="6" w:space="0" w:color="000000"/>
              <w:bottom w:val="outset" w:sz="6" w:space="0" w:color="000000"/>
              <w:right w:val="outset" w:sz="6" w:space="0" w:color="000000"/>
            </w:tcBorders>
          </w:tcPr>
          <w:p w14:paraId="6FE73275" w14:textId="77777777" w:rsidR="00FB6A1B" w:rsidRPr="00CE1053" w:rsidRDefault="0054706B" w:rsidP="00FB6A1B">
            <w:r w:rsidRPr="00CE1053">
              <w:rPr>
                <w:lang w:eastAsia="ar-SA"/>
              </w:rPr>
              <w:t>0</w:t>
            </w:r>
          </w:p>
        </w:tc>
        <w:tc>
          <w:tcPr>
            <w:tcW w:w="963" w:type="dxa"/>
            <w:tcBorders>
              <w:top w:val="outset" w:sz="6" w:space="0" w:color="000000"/>
              <w:left w:val="outset" w:sz="6" w:space="0" w:color="000000"/>
              <w:bottom w:val="outset" w:sz="6" w:space="0" w:color="000000"/>
              <w:right w:val="outset" w:sz="6" w:space="0" w:color="000000"/>
            </w:tcBorders>
          </w:tcPr>
          <w:p w14:paraId="1387B2B6" w14:textId="77777777" w:rsidR="00FB6A1B" w:rsidRPr="00CE1053" w:rsidRDefault="00FB6A1B" w:rsidP="00FB6A1B">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7DF9B80" w14:textId="77777777" w:rsidR="00FB6A1B" w:rsidRPr="00CE1053" w:rsidRDefault="0054706B" w:rsidP="00FB6A1B">
            <w:r w:rsidRPr="00CE1053">
              <w:t>0</w:t>
            </w:r>
          </w:p>
        </w:tc>
        <w:tc>
          <w:tcPr>
            <w:tcW w:w="985" w:type="dxa"/>
          </w:tcPr>
          <w:p w14:paraId="385D5DDC" w14:textId="77777777" w:rsidR="00FB6A1B" w:rsidRPr="00CE1053" w:rsidRDefault="00FB6A1B" w:rsidP="00FB6A1B">
            <w:r w:rsidRPr="00CE1053">
              <w:t>0</w:t>
            </w:r>
          </w:p>
        </w:tc>
      </w:tr>
      <w:tr w:rsidR="00FB6A1B" w:rsidRPr="00CE1053" w14:paraId="73EEF20D" w14:textId="77777777" w:rsidTr="00E30361">
        <w:tc>
          <w:tcPr>
            <w:tcW w:w="1413" w:type="dxa"/>
          </w:tcPr>
          <w:p w14:paraId="577057AB" w14:textId="77777777" w:rsidR="00FB6A1B" w:rsidRPr="00CE1053" w:rsidRDefault="00FB6A1B" w:rsidP="00FB6A1B">
            <w:r w:rsidRPr="00CE1053">
              <w:t xml:space="preserve">1.1. valsts pamatbudžets, tai skaitā ieņēmumi no maksas pakalpojumiem un citi </w:t>
            </w:r>
            <w:r w:rsidRPr="00CE1053">
              <w:lastRenderedPageBreak/>
              <w:t>pašu ieņēmumi</w:t>
            </w:r>
          </w:p>
        </w:tc>
        <w:tc>
          <w:tcPr>
            <w:tcW w:w="1176" w:type="dxa"/>
            <w:tcBorders>
              <w:top w:val="outset" w:sz="6" w:space="0" w:color="000000"/>
              <w:left w:val="outset" w:sz="6" w:space="0" w:color="000000"/>
              <w:bottom w:val="outset" w:sz="6" w:space="0" w:color="000000"/>
              <w:right w:val="outset" w:sz="6" w:space="0" w:color="000000"/>
            </w:tcBorders>
          </w:tcPr>
          <w:p w14:paraId="0BE029F2" w14:textId="692AD937" w:rsidR="00FB6A1B" w:rsidRPr="00CE1053" w:rsidRDefault="008D5571" w:rsidP="00FB6A1B">
            <w:r>
              <w:lastRenderedPageBreak/>
              <w:t>5</w:t>
            </w:r>
            <w:r w:rsidR="00FB6A1B" w:rsidRPr="00CE1053">
              <w:t> </w:t>
            </w:r>
            <w:r>
              <w:t>762</w:t>
            </w:r>
            <w:r w:rsidR="00FB6A1B" w:rsidRPr="00CE1053">
              <w:t> </w:t>
            </w:r>
            <w:r>
              <w:t>761</w:t>
            </w:r>
          </w:p>
        </w:tc>
        <w:tc>
          <w:tcPr>
            <w:tcW w:w="951" w:type="dxa"/>
            <w:tcBorders>
              <w:top w:val="outset" w:sz="6" w:space="0" w:color="000000"/>
              <w:left w:val="outset" w:sz="6" w:space="0" w:color="000000"/>
              <w:bottom w:val="outset" w:sz="6" w:space="0" w:color="000000"/>
              <w:right w:val="outset" w:sz="6" w:space="0" w:color="000000"/>
            </w:tcBorders>
          </w:tcPr>
          <w:p w14:paraId="31B5CED4" w14:textId="77777777" w:rsidR="00FB6A1B" w:rsidRPr="00CE1053" w:rsidRDefault="00FB6A1B" w:rsidP="00FB6A1B">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26CC7169" w14:textId="323004E7" w:rsidR="00FB6A1B" w:rsidRPr="00CE1053" w:rsidRDefault="008D5571" w:rsidP="00FB6A1B">
            <w:r>
              <w:t>0</w:t>
            </w:r>
          </w:p>
        </w:tc>
        <w:tc>
          <w:tcPr>
            <w:tcW w:w="1375" w:type="dxa"/>
            <w:tcBorders>
              <w:top w:val="outset" w:sz="6" w:space="0" w:color="000000"/>
              <w:left w:val="outset" w:sz="6" w:space="0" w:color="000000"/>
              <w:bottom w:val="outset" w:sz="6" w:space="0" w:color="000000"/>
              <w:right w:val="outset" w:sz="6" w:space="0" w:color="000000"/>
            </w:tcBorders>
          </w:tcPr>
          <w:p w14:paraId="0C278D2F" w14:textId="77777777" w:rsidR="00FB6A1B" w:rsidRPr="00CE1053" w:rsidRDefault="0054706B" w:rsidP="00FB6A1B">
            <w:r w:rsidRPr="00CE1053">
              <w:rPr>
                <w:lang w:eastAsia="ar-SA"/>
              </w:rPr>
              <w:t>0</w:t>
            </w:r>
          </w:p>
        </w:tc>
        <w:tc>
          <w:tcPr>
            <w:tcW w:w="963" w:type="dxa"/>
            <w:tcBorders>
              <w:top w:val="outset" w:sz="6" w:space="0" w:color="000000"/>
              <w:left w:val="outset" w:sz="6" w:space="0" w:color="000000"/>
              <w:bottom w:val="outset" w:sz="6" w:space="0" w:color="000000"/>
              <w:right w:val="outset" w:sz="6" w:space="0" w:color="000000"/>
            </w:tcBorders>
          </w:tcPr>
          <w:p w14:paraId="645FF4DA" w14:textId="77777777" w:rsidR="00FB6A1B" w:rsidRPr="00CE1053" w:rsidRDefault="00FB6A1B" w:rsidP="00FB6A1B">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041328D" w14:textId="77777777" w:rsidR="00FB6A1B" w:rsidRPr="00CE1053" w:rsidRDefault="0054706B" w:rsidP="00FB6A1B">
            <w:r w:rsidRPr="00CE1053">
              <w:t>0</w:t>
            </w:r>
          </w:p>
        </w:tc>
        <w:tc>
          <w:tcPr>
            <w:tcW w:w="985" w:type="dxa"/>
          </w:tcPr>
          <w:p w14:paraId="703D1F84" w14:textId="77777777" w:rsidR="00FB6A1B" w:rsidRPr="00CE1053" w:rsidRDefault="00FB6A1B" w:rsidP="00FB6A1B">
            <w:r w:rsidRPr="00CE1053">
              <w:t>0</w:t>
            </w:r>
          </w:p>
        </w:tc>
      </w:tr>
      <w:tr w:rsidR="00163CCF" w:rsidRPr="00CE1053" w14:paraId="579DA0DE" w14:textId="77777777" w:rsidTr="00E30361">
        <w:tc>
          <w:tcPr>
            <w:tcW w:w="1413" w:type="dxa"/>
          </w:tcPr>
          <w:p w14:paraId="30C8DA87" w14:textId="77777777" w:rsidR="00163CCF" w:rsidRPr="00CE1053" w:rsidRDefault="00163CCF" w:rsidP="00163CCF">
            <w:r w:rsidRPr="00CE1053">
              <w:t>1.2. valsts speciālais budžets</w:t>
            </w:r>
          </w:p>
        </w:tc>
        <w:tc>
          <w:tcPr>
            <w:tcW w:w="1176" w:type="dxa"/>
          </w:tcPr>
          <w:p w14:paraId="247445FC" w14:textId="77777777" w:rsidR="00163CCF" w:rsidRPr="00CE1053" w:rsidRDefault="00FB6A1B" w:rsidP="00163CCF">
            <w:r w:rsidRPr="00CE1053">
              <w:t>0</w:t>
            </w:r>
          </w:p>
        </w:tc>
        <w:tc>
          <w:tcPr>
            <w:tcW w:w="951" w:type="dxa"/>
          </w:tcPr>
          <w:p w14:paraId="1BAD9F54" w14:textId="77777777" w:rsidR="00163CCF" w:rsidRPr="00CE1053" w:rsidRDefault="00FB6A1B" w:rsidP="00163CCF">
            <w:r w:rsidRPr="00CE1053">
              <w:t>0</w:t>
            </w:r>
          </w:p>
        </w:tc>
        <w:tc>
          <w:tcPr>
            <w:tcW w:w="1176" w:type="dxa"/>
          </w:tcPr>
          <w:p w14:paraId="6EC617A1" w14:textId="77777777" w:rsidR="00163CCF" w:rsidRPr="00CE1053" w:rsidRDefault="00FB6A1B" w:rsidP="00163CCF">
            <w:r w:rsidRPr="00CE1053">
              <w:t>0</w:t>
            </w:r>
          </w:p>
        </w:tc>
        <w:tc>
          <w:tcPr>
            <w:tcW w:w="1375" w:type="dxa"/>
          </w:tcPr>
          <w:p w14:paraId="40856B95" w14:textId="77777777" w:rsidR="00163CCF" w:rsidRPr="00CE1053" w:rsidRDefault="00FB6A1B" w:rsidP="00163CCF">
            <w:r w:rsidRPr="00CE1053">
              <w:t>0</w:t>
            </w:r>
          </w:p>
        </w:tc>
        <w:tc>
          <w:tcPr>
            <w:tcW w:w="963" w:type="dxa"/>
          </w:tcPr>
          <w:p w14:paraId="597D02C7" w14:textId="77777777" w:rsidR="00163CCF" w:rsidRPr="00CE1053" w:rsidRDefault="00FB6A1B" w:rsidP="00163CCF">
            <w:r w:rsidRPr="00CE1053">
              <w:t>0</w:t>
            </w:r>
          </w:p>
        </w:tc>
        <w:tc>
          <w:tcPr>
            <w:tcW w:w="1312" w:type="dxa"/>
          </w:tcPr>
          <w:p w14:paraId="2BE0695B" w14:textId="77777777" w:rsidR="00163CCF" w:rsidRPr="00CE1053" w:rsidRDefault="00FB6A1B" w:rsidP="00163CCF">
            <w:r w:rsidRPr="00CE1053">
              <w:t>0</w:t>
            </w:r>
          </w:p>
        </w:tc>
        <w:tc>
          <w:tcPr>
            <w:tcW w:w="985" w:type="dxa"/>
          </w:tcPr>
          <w:p w14:paraId="5B369276" w14:textId="77777777" w:rsidR="00163CCF" w:rsidRPr="00CE1053" w:rsidRDefault="00FB6A1B" w:rsidP="00163CCF">
            <w:r w:rsidRPr="00CE1053">
              <w:t>0</w:t>
            </w:r>
          </w:p>
        </w:tc>
      </w:tr>
      <w:tr w:rsidR="00163CCF" w:rsidRPr="00CE1053" w14:paraId="20F764E9" w14:textId="77777777" w:rsidTr="00E30361">
        <w:tc>
          <w:tcPr>
            <w:tcW w:w="1413" w:type="dxa"/>
          </w:tcPr>
          <w:p w14:paraId="553142FB" w14:textId="77777777" w:rsidR="00163CCF" w:rsidRPr="00CE1053" w:rsidRDefault="00163CCF" w:rsidP="00163CCF">
            <w:r w:rsidRPr="00CE1053">
              <w:t>1.3. pašvaldību budžets</w:t>
            </w:r>
          </w:p>
        </w:tc>
        <w:tc>
          <w:tcPr>
            <w:tcW w:w="1176" w:type="dxa"/>
          </w:tcPr>
          <w:p w14:paraId="5DE38B52" w14:textId="77777777" w:rsidR="00163CCF" w:rsidRPr="00CE1053" w:rsidRDefault="00FB6A1B" w:rsidP="00163CCF">
            <w:r w:rsidRPr="00CE1053">
              <w:t>0</w:t>
            </w:r>
          </w:p>
        </w:tc>
        <w:tc>
          <w:tcPr>
            <w:tcW w:w="951" w:type="dxa"/>
          </w:tcPr>
          <w:p w14:paraId="7D64B774" w14:textId="77777777" w:rsidR="00163CCF" w:rsidRPr="00CE1053" w:rsidRDefault="00FB6A1B" w:rsidP="00163CCF">
            <w:r w:rsidRPr="00CE1053">
              <w:t>0</w:t>
            </w:r>
          </w:p>
        </w:tc>
        <w:tc>
          <w:tcPr>
            <w:tcW w:w="1176" w:type="dxa"/>
          </w:tcPr>
          <w:p w14:paraId="1BDEE836" w14:textId="77777777" w:rsidR="00163CCF" w:rsidRPr="00CE1053" w:rsidRDefault="00FB6A1B" w:rsidP="00163CCF">
            <w:r w:rsidRPr="00CE1053">
              <w:t>0</w:t>
            </w:r>
          </w:p>
        </w:tc>
        <w:tc>
          <w:tcPr>
            <w:tcW w:w="1375" w:type="dxa"/>
          </w:tcPr>
          <w:p w14:paraId="517F17E3" w14:textId="77777777" w:rsidR="00163CCF" w:rsidRPr="00CE1053" w:rsidRDefault="00FB6A1B" w:rsidP="00163CCF">
            <w:r w:rsidRPr="00CE1053">
              <w:t>0</w:t>
            </w:r>
          </w:p>
        </w:tc>
        <w:tc>
          <w:tcPr>
            <w:tcW w:w="963" w:type="dxa"/>
          </w:tcPr>
          <w:p w14:paraId="13C4491E" w14:textId="77777777" w:rsidR="00163CCF" w:rsidRPr="00CE1053" w:rsidRDefault="00FB6A1B" w:rsidP="00163CCF">
            <w:r w:rsidRPr="00CE1053">
              <w:t>0</w:t>
            </w:r>
          </w:p>
        </w:tc>
        <w:tc>
          <w:tcPr>
            <w:tcW w:w="1312" w:type="dxa"/>
          </w:tcPr>
          <w:p w14:paraId="6C35BBB8" w14:textId="77777777" w:rsidR="00163CCF" w:rsidRPr="00CE1053" w:rsidRDefault="00FB6A1B" w:rsidP="00163CCF">
            <w:r w:rsidRPr="00CE1053">
              <w:t>0</w:t>
            </w:r>
          </w:p>
        </w:tc>
        <w:tc>
          <w:tcPr>
            <w:tcW w:w="985" w:type="dxa"/>
          </w:tcPr>
          <w:p w14:paraId="646F680B" w14:textId="77777777" w:rsidR="00163CCF" w:rsidRPr="00CE1053" w:rsidRDefault="00FB6A1B" w:rsidP="00163CCF">
            <w:r w:rsidRPr="00CE1053">
              <w:t>0</w:t>
            </w:r>
          </w:p>
        </w:tc>
      </w:tr>
      <w:tr w:rsidR="00CF5D46" w:rsidRPr="00CE1053" w14:paraId="0F5760A1" w14:textId="77777777" w:rsidTr="00E30361">
        <w:tc>
          <w:tcPr>
            <w:tcW w:w="1413" w:type="dxa"/>
          </w:tcPr>
          <w:p w14:paraId="4DE6FC3C" w14:textId="77777777" w:rsidR="00CF5D46" w:rsidRPr="00CE1053" w:rsidRDefault="00CF5D46" w:rsidP="00CF5D46">
            <w:r w:rsidRPr="00CE1053">
              <w:t>2. Budžeta izdevumi</w:t>
            </w:r>
          </w:p>
        </w:tc>
        <w:tc>
          <w:tcPr>
            <w:tcW w:w="1176" w:type="dxa"/>
            <w:tcBorders>
              <w:top w:val="outset" w:sz="6" w:space="0" w:color="000000"/>
              <w:left w:val="outset" w:sz="6" w:space="0" w:color="000000"/>
              <w:bottom w:val="outset" w:sz="6" w:space="0" w:color="000000"/>
              <w:right w:val="outset" w:sz="6" w:space="0" w:color="000000"/>
            </w:tcBorders>
          </w:tcPr>
          <w:p w14:paraId="31676F7A" w14:textId="38769214" w:rsidR="00CF5D46" w:rsidRPr="00CE1053" w:rsidRDefault="008D5571" w:rsidP="00CF5D46">
            <w:r>
              <w:t>5</w:t>
            </w:r>
            <w:r w:rsidRPr="00CE1053">
              <w:t> </w:t>
            </w:r>
            <w:r>
              <w:t>762</w:t>
            </w:r>
            <w:r w:rsidRPr="00CE1053">
              <w:t> </w:t>
            </w:r>
            <w:r>
              <w:t>761</w:t>
            </w:r>
          </w:p>
        </w:tc>
        <w:tc>
          <w:tcPr>
            <w:tcW w:w="951" w:type="dxa"/>
            <w:tcBorders>
              <w:top w:val="outset" w:sz="6" w:space="0" w:color="000000"/>
              <w:left w:val="outset" w:sz="6" w:space="0" w:color="000000"/>
              <w:bottom w:val="outset" w:sz="6" w:space="0" w:color="000000"/>
              <w:right w:val="outset" w:sz="6" w:space="0" w:color="000000"/>
            </w:tcBorders>
          </w:tcPr>
          <w:p w14:paraId="682C6173"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09A37995" w14:textId="7F901C28" w:rsidR="00CF5D46" w:rsidRPr="00CE1053" w:rsidRDefault="008D5571" w:rsidP="00CF5D46">
            <w:r>
              <w:t>0</w:t>
            </w:r>
          </w:p>
        </w:tc>
        <w:tc>
          <w:tcPr>
            <w:tcW w:w="1375" w:type="dxa"/>
            <w:tcBorders>
              <w:top w:val="outset" w:sz="6" w:space="0" w:color="000000"/>
              <w:left w:val="outset" w:sz="6" w:space="0" w:color="000000"/>
              <w:bottom w:val="outset" w:sz="6" w:space="0" w:color="000000"/>
              <w:right w:val="outset" w:sz="6" w:space="0" w:color="000000"/>
            </w:tcBorders>
          </w:tcPr>
          <w:p w14:paraId="5F7C05D2" w14:textId="0F64D5D6" w:rsidR="00CF5D46" w:rsidRPr="00CE1053" w:rsidRDefault="00CC5329" w:rsidP="00CF5D46">
            <w:r w:rsidRPr="00CC5329">
              <w:rPr>
                <w:lang w:eastAsia="ar-SA"/>
              </w:rPr>
              <w:t>2</w:t>
            </w:r>
            <w:r>
              <w:rPr>
                <w:lang w:eastAsia="ar-SA"/>
              </w:rPr>
              <w:t> </w:t>
            </w:r>
            <w:r w:rsidRPr="00CC5329">
              <w:rPr>
                <w:lang w:eastAsia="ar-SA"/>
              </w:rPr>
              <w:t>875</w:t>
            </w:r>
            <w:r>
              <w:rPr>
                <w:lang w:eastAsia="ar-SA"/>
              </w:rPr>
              <w:t xml:space="preserve"> </w:t>
            </w:r>
            <w:r w:rsidRPr="00CC5329">
              <w:rPr>
                <w:lang w:eastAsia="ar-SA"/>
              </w:rPr>
              <w:t>000</w:t>
            </w:r>
          </w:p>
        </w:tc>
        <w:tc>
          <w:tcPr>
            <w:tcW w:w="963" w:type="dxa"/>
            <w:tcBorders>
              <w:top w:val="outset" w:sz="6" w:space="0" w:color="000000"/>
              <w:left w:val="outset" w:sz="6" w:space="0" w:color="000000"/>
              <w:bottom w:val="outset" w:sz="6" w:space="0" w:color="000000"/>
              <w:right w:val="outset" w:sz="6" w:space="0" w:color="000000"/>
            </w:tcBorders>
          </w:tcPr>
          <w:p w14:paraId="33F82813" w14:textId="77777777" w:rsidR="00CF5D46" w:rsidRPr="00CE1053" w:rsidRDefault="00CF5D46" w:rsidP="00CF5D46">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52263220" w14:textId="0EF7110F" w:rsidR="00CF5D46" w:rsidRPr="00CE1053" w:rsidRDefault="00CC5329" w:rsidP="00CF5D46">
            <w:r w:rsidRPr="00CC5329">
              <w:rPr>
                <w:lang w:eastAsia="ar-SA"/>
              </w:rPr>
              <w:t>2</w:t>
            </w:r>
            <w:r>
              <w:rPr>
                <w:lang w:eastAsia="ar-SA"/>
              </w:rPr>
              <w:t> </w:t>
            </w:r>
            <w:r w:rsidRPr="00CC5329">
              <w:rPr>
                <w:lang w:eastAsia="ar-SA"/>
              </w:rPr>
              <w:t>875</w:t>
            </w:r>
            <w:r>
              <w:rPr>
                <w:lang w:eastAsia="ar-SA"/>
              </w:rPr>
              <w:t xml:space="preserve"> </w:t>
            </w:r>
            <w:r w:rsidRPr="00CC5329">
              <w:rPr>
                <w:lang w:eastAsia="ar-SA"/>
              </w:rPr>
              <w:t>000</w:t>
            </w:r>
          </w:p>
        </w:tc>
        <w:tc>
          <w:tcPr>
            <w:tcW w:w="985" w:type="dxa"/>
          </w:tcPr>
          <w:p w14:paraId="1E5DCB92" w14:textId="77777777" w:rsidR="00CF5D46" w:rsidRPr="00CE1053" w:rsidRDefault="00CF5D46" w:rsidP="00CF5D46">
            <w:r w:rsidRPr="00CE1053">
              <w:t>0</w:t>
            </w:r>
          </w:p>
        </w:tc>
      </w:tr>
      <w:tr w:rsidR="00CF5D46" w:rsidRPr="00CE1053" w14:paraId="26454354" w14:textId="77777777" w:rsidTr="00E30361">
        <w:tc>
          <w:tcPr>
            <w:tcW w:w="1413" w:type="dxa"/>
          </w:tcPr>
          <w:p w14:paraId="2622C9FF" w14:textId="77777777" w:rsidR="00CF5D46" w:rsidRPr="00CE1053" w:rsidRDefault="00CF5D46" w:rsidP="00CF5D46">
            <w:r w:rsidRPr="00CE1053">
              <w:t>2.1. valsts pamatbudžets</w:t>
            </w:r>
          </w:p>
        </w:tc>
        <w:tc>
          <w:tcPr>
            <w:tcW w:w="1176" w:type="dxa"/>
            <w:tcBorders>
              <w:top w:val="outset" w:sz="6" w:space="0" w:color="000000"/>
              <w:left w:val="outset" w:sz="6" w:space="0" w:color="000000"/>
              <w:bottom w:val="outset" w:sz="6" w:space="0" w:color="000000"/>
              <w:right w:val="outset" w:sz="6" w:space="0" w:color="000000"/>
            </w:tcBorders>
          </w:tcPr>
          <w:p w14:paraId="1FABF662" w14:textId="12FD41BF" w:rsidR="00CF5D46" w:rsidRPr="00CE1053" w:rsidRDefault="008D5571" w:rsidP="00CF5D46">
            <w:r>
              <w:t>5</w:t>
            </w:r>
            <w:r w:rsidRPr="00CE1053">
              <w:t> </w:t>
            </w:r>
            <w:r>
              <w:t>762</w:t>
            </w:r>
            <w:r w:rsidRPr="00CE1053">
              <w:t> </w:t>
            </w:r>
            <w:r>
              <w:t>761</w:t>
            </w:r>
          </w:p>
        </w:tc>
        <w:tc>
          <w:tcPr>
            <w:tcW w:w="951" w:type="dxa"/>
            <w:tcBorders>
              <w:top w:val="outset" w:sz="6" w:space="0" w:color="000000"/>
              <w:left w:val="outset" w:sz="6" w:space="0" w:color="000000"/>
              <w:bottom w:val="outset" w:sz="6" w:space="0" w:color="000000"/>
              <w:right w:val="outset" w:sz="6" w:space="0" w:color="000000"/>
            </w:tcBorders>
          </w:tcPr>
          <w:p w14:paraId="2317D0AA" w14:textId="77777777" w:rsidR="00CF5D46" w:rsidRPr="00CE1053" w:rsidRDefault="00CF5D46" w:rsidP="00CF5D46">
            <w:r w:rsidRPr="00CE1053">
              <w:t>0</w:t>
            </w:r>
          </w:p>
        </w:tc>
        <w:tc>
          <w:tcPr>
            <w:tcW w:w="1176" w:type="dxa"/>
            <w:tcBorders>
              <w:top w:val="outset" w:sz="6" w:space="0" w:color="000000"/>
              <w:left w:val="outset" w:sz="6" w:space="0" w:color="000000"/>
              <w:bottom w:val="outset" w:sz="6" w:space="0" w:color="000000"/>
              <w:right w:val="outset" w:sz="6" w:space="0" w:color="000000"/>
            </w:tcBorders>
          </w:tcPr>
          <w:p w14:paraId="63ACD309" w14:textId="32368FD3" w:rsidR="00CF5D46" w:rsidRPr="00CE1053" w:rsidRDefault="008D5571" w:rsidP="00CF5D46">
            <w:r>
              <w:t>0</w:t>
            </w:r>
          </w:p>
        </w:tc>
        <w:tc>
          <w:tcPr>
            <w:tcW w:w="1375" w:type="dxa"/>
            <w:tcBorders>
              <w:top w:val="outset" w:sz="6" w:space="0" w:color="000000"/>
              <w:left w:val="outset" w:sz="6" w:space="0" w:color="000000"/>
              <w:bottom w:val="outset" w:sz="6" w:space="0" w:color="000000"/>
              <w:right w:val="outset" w:sz="6" w:space="0" w:color="000000"/>
            </w:tcBorders>
          </w:tcPr>
          <w:p w14:paraId="7828F2D5" w14:textId="520772A3" w:rsidR="00CF5D46" w:rsidRPr="00CE1053" w:rsidRDefault="00CC5329" w:rsidP="00CF5D46">
            <w:r w:rsidRPr="00CC5329">
              <w:rPr>
                <w:lang w:eastAsia="ar-SA"/>
              </w:rPr>
              <w:t>2</w:t>
            </w:r>
            <w:r>
              <w:rPr>
                <w:lang w:eastAsia="ar-SA"/>
              </w:rPr>
              <w:t> </w:t>
            </w:r>
            <w:r w:rsidRPr="00CC5329">
              <w:rPr>
                <w:lang w:eastAsia="ar-SA"/>
              </w:rPr>
              <w:t>875</w:t>
            </w:r>
            <w:r>
              <w:rPr>
                <w:lang w:eastAsia="ar-SA"/>
              </w:rPr>
              <w:t xml:space="preserve"> </w:t>
            </w:r>
            <w:r w:rsidRPr="00CC5329">
              <w:rPr>
                <w:lang w:eastAsia="ar-SA"/>
              </w:rPr>
              <w:t>000</w:t>
            </w:r>
          </w:p>
        </w:tc>
        <w:tc>
          <w:tcPr>
            <w:tcW w:w="963" w:type="dxa"/>
            <w:tcBorders>
              <w:top w:val="outset" w:sz="6" w:space="0" w:color="000000"/>
              <w:left w:val="outset" w:sz="6" w:space="0" w:color="000000"/>
              <w:bottom w:val="outset" w:sz="6" w:space="0" w:color="000000"/>
              <w:right w:val="outset" w:sz="6" w:space="0" w:color="000000"/>
            </w:tcBorders>
          </w:tcPr>
          <w:p w14:paraId="55F8CB2A" w14:textId="77777777" w:rsidR="00CF5D46" w:rsidRPr="00CE1053" w:rsidRDefault="00CF5D46" w:rsidP="00CF5D46">
            <w:r w:rsidRPr="00CE1053">
              <w:t>0</w:t>
            </w:r>
          </w:p>
        </w:tc>
        <w:tc>
          <w:tcPr>
            <w:tcW w:w="1312" w:type="dxa"/>
            <w:tcBorders>
              <w:top w:val="outset" w:sz="6" w:space="0" w:color="000000"/>
              <w:left w:val="outset" w:sz="6" w:space="0" w:color="000000"/>
              <w:bottom w:val="outset" w:sz="6" w:space="0" w:color="000000"/>
              <w:right w:val="outset" w:sz="6" w:space="0" w:color="000000"/>
            </w:tcBorders>
          </w:tcPr>
          <w:p w14:paraId="4496F8C7" w14:textId="7CF1C826" w:rsidR="00CF5D46" w:rsidRPr="00CE1053" w:rsidRDefault="00CC5329" w:rsidP="00CF5D46">
            <w:r w:rsidRPr="00CC5329">
              <w:rPr>
                <w:lang w:eastAsia="ar-SA"/>
              </w:rPr>
              <w:t>2</w:t>
            </w:r>
            <w:r>
              <w:rPr>
                <w:lang w:eastAsia="ar-SA"/>
              </w:rPr>
              <w:t> </w:t>
            </w:r>
            <w:r w:rsidRPr="00CC5329">
              <w:rPr>
                <w:lang w:eastAsia="ar-SA"/>
              </w:rPr>
              <w:t>875</w:t>
            </w:r>
            <w:r>
              <w:rPr>
                <w:lang w:eastAsia="ar-SA"/>
              </w:rPr>
              <w:t xml:space="preserve"> </w:t>
            </w:r>
            <w:r w:rsidRPr="00CC5329">
              <w:rPr>
                <w:lang w:eastAsia="ar-SA"/>
              </w:rPr>
              <w:t>000</w:t>
            </w:r>
          </w:p>
        </w:tc>
        <w:tc>
          <w:tcPr>
            <w:tcW w:w="985" w:type="dxa"/>
          </w:tcPr>
          <w:p w14:paraId="6ED2C10F" w14:textId="77777777" w:rsidR="00CF5D46" w:rsidRPr="00CE1053" w:rsidRDefault="00CF5D46" w:rsidP="00CF5D46">
            <w:r w:rsidRPr="00CE1053">
              <w:t>0</w:t>
            </w:r>
          </w:p>
        </w:tc>
      </w:tr>
      <w:tr w:rsidR="00163CCF" w:rsidRPr="00CE1053" w14:paraId="7495A753" w14:textId="77777777" w:rsidTr="00E30361">
        <w:tc>
          <w:tcPr>
            <w:tcW w:w="1413" w:type="dxa"/>
          </w:tcPr>
          <w:p w14:paraId="4A34B020" w14:textId="77777777" w:rsidR="00163CCF" w:rsidRPr="00CE1053" w:rsidRDefault="00163CCF" w:rsidP="00163CCF">
            <w:r w:rsidRPr="00CE1053">
              <w:t>2.2. valsts speciālais budžets</w:t>
            </w:r>
          </w:p>
        </w:tc>
        <w:tc>
          <w:tcPr>
            <w:tcW w:w="1176" w:type="dxa"/>
          </w:tcPr>
          <w:p w14:paraId="6255A7D2" w14:textId="77777777" w:rsidR="00163CCF" w:rsidRPr="00CE1053" w:rsidRDefault="00CF5D46" w:rsidP="00163CCF">
            <w:r w:rsidRPr="00CE1053">
              <w:t>0</w:t>
            </w:r>
          </w:p>
        </w:tc>
        <w:tc>
          <w:tcPr>
            <w:tcW w:w="951" w:type="dxa"/>
          </w:tcPr>
          <w:p w14:paraId="0B140839" w14:textId="77777777" w:rsidR="00163CCF" w:rsidRPr="00CE1053" w:rsidRDefault="00CF5D46" w:rsidP="00163CCF">
            <w:r w:rsidRPr="00CE1053">
              <w:t>0</w:t>
            </w:r>
          </w:p>
        </w:tc>
        <w:tc>
          <w:tcPr>
            <w:tcW w:w="1176" w:type="dxa"/>
          </w:tcPr>
          <w:p w14:paraId="1A8C1986" w14:textId="77777777" w:rsidR="00163CCF" w:rsidRPr="00CE1053" w:rsidRDefault="00CF5D46" w:rsidP="00163CCF">
            <w:r w:rsidRPr="00CE1053">
              <w:t>0</w:t>
            </w:r>
          </w:p>
        </w:tc>
        <w:tc>
          <w:tcPr>
            <w:tcW w:w="1375" w:type="dxa"/>
          </w:tcPr>
          <w:p w14:paraId="0BBBE09B" w14:textId="77777777" w:rsidR="00163CCF" w:rsidRPr="00CE1053" w:rsidRDefault="00CF5D46" w:rsidP="00163CCF">
            <w:r w:rsidRPr="00CE1053">
              <w:t>0</w:t>
            </w:r>
          </w:p>
        </w:tc>
        <w:tc>
          <w:tcPr>
            <w:tcW w:w="963" w:type="dxa"/>
          </w:tcPr>
          <w:p w14:paraId="41A45341" w14:textId="77777777" w:rsidR="00163CCF" w:rsidRPr="00CE1053" w:rsidRDefault="00CF5D46" w:rsidP="00163CCF">
            <w:r w:rsidRPr="00CE1053">
              <w:t>0</w:t>
            </w:r>
          </w:p>
        </w:tc>
        <w:tc>
          <w:tcPr>
            <w:tcW w:w="1312" w:type="dxa"/>
          </w:tcPr>
          <w:p w14:paraId="581AC040" w14:textId="77777777" w:rsidR="00163CCF" w:rsidRPr="00CE1053" w:rsidRDefault="00CF5D46" w:rsidP="00163CCF">
            <w:r w:rsidRPr="00CE1053">
              <w:t>0</w:t>
            </w:r>
          </w:p>
        </w:tc>
        <w:tc>
          <w:tcPr>
            <w:tcW w:w="985" w:type="dxa"/>
          </w:tcPr>
          <w:p w14:paraId="154E36B6" w14:textId="77777777" w:rsidR="00163CCF" w:rsidRPr="00CE1053" w:rsidRDefault="00CF5D46" w:rsidP="00163CCF">
            <w:r w:rsidRPr="00CE1053">
              <w:t>0</w:t>
            </w:r>
          </w:p>
        </w:tc>
      </w:tr>
      <w:tr w:rsidR="00163CCF" w:rsidRPr="00CE1053" w14:paraId="65071578" w14:textId="77777777" w:rsidTr="00E30361">
        <w:tc>
          <w:tcPr>
            <w:tcW w:w="1413" w:type="dxa"/>
          </w:tcPr>
          <w:p w14:paraId="2C4118BC" w14:textId="77777777" w:rsidR="00163CCF" w:rsidRPr="00CE1053" w:rsidRDefault="00163CCF" w:rsidP="00163CCF">
            <w:r w:rsidRPr="00CE1053">
              <w:t>2.3. pašvaldību budžets</w:t>
            </w:r>
          </w:p>
        </w:tc>
        <w:tc>
          <w:tcPr>
            <w:tcW w:w="1176" w:type="dxa"/>
          </w:tcPr>
          <w:p w14:paraId="585EA841" w14:textId="77777777" w:rsidR="00163CCF" w:rsidRPr="00CE1053" w:rsidRDefault="00CF5D46" w:rsidP="00163CCF">
            <w:r w:rsidRPr="00CE1053">
              <w:t>0</w:t>
            </w:r>
          </w:p>
        </w:tc>
        <w:tc>
          <w:tcPr>
            <w:tcW w:w="951" w:type="dxa"/>
          </w:tcPr>
          <w:p w14:paraId="4269BC26" w14:textId="77777777" w:rsidR="00163CCF" w:rsidRPr="00CE1053" w:rsidRDefault="00CF5D46" w:rsidP="00163CCF">
            <w:r w:rsidRPr="00CE1053">
              <w:t>0</w:t>
            </w:r>
          </w:p>
        </w:tc>
        <w:tc>
          <w:tcPr>
            <w:tcW w:w="1176" w:type="dxa"/>
          </w:tcPr>
          <w:p w14:paraId="6D63E547" w14:textId="77777777" w:rsidR="00163CCF" w:rsidRPr="00CE1053" w:rsidRDefault="00CF5D46" w:rsidP="00163CCF">
            <w:r w:rsidRPr="00CE1053">
              <w:t>0</w:t>
            </w:r>
          </w:p>
        </w:tc>
        <w:tc>
          <w:tcPr>
            <w:tcW w:w="1375" w:type="dxa"/>
          </w:tcPr>
          <w:p w14:paraId="2C5FCF14" w14:textId="77777777" w:rsidR="00163CCF" w:rsidRPr="00CE1053" w:rsidRDefault="00CF5D46" w:rsidP="00163CCF">
            <w:r w:rsidRPr="00CE1053">
              <w:t>0</w:t>
            </w:r>
          </w:p>
        </w:tc>
        <w:tc>
          <w:tcPr>
            <w:tcW w:w="963" w:type="dxa"/>
          </w:tcPr>
          <w:p w14:paraId="7297F686" w14:textId="77777777" w:rsidR="00163CCF" w:rsidRPr="00CE1053" w:rsidRDefault="00CF5D46" w:rsidP="00163CCF">
            <w:r w:rsidRPr="00CE1053">
              <w:t>0</w:t>
            </w:r>
          </w:p>
        </w:tc>
        <w:tc>
          <w:tcPr>
            <w:tcW w:w="1312" w:type="dxa"/>
          </w:tcPr>
          <w:p w14:paraId="4AD95EBA" w14:textId="77777777" w:rsidR="00163CCF" w:rsidRPr="00CE1053" w:rsidRDefault="00CF5D46" w:rsidP="00163CCF">
            <w:r w:rsidRPr="00CE1053">
              <w:t>0</w:t>
            </w:r>
          </w:p>
        </w:tc>
        <w:tc>
          <w:tcPr>
            <w:tcW w:w="985" w:type="dxa"/>
          </w:tcPr>
          <w:p w14:paraId="1013DCB7" w14:textId="77777777" w:rsidR="00163CCF" w:rsidRPr="00CE1053" w:rsidRDefault="00CF5D46" w:rsidP="00163CCF">
            <w:r w:rsidRPr="00CE1053">
              <w:t>0</w:t>
            </w:r>
          </w:p>
        </w:tc>
      </w:tr>
      <w:tr w:rsidR="00163CCF" w:rsidRPr="00CE1053" w14:paraId="03FA13B0" w14:textId="77777777" w:rsidTr="00E30361">
        <w:tc>
          <w:tcPr>
            <w:tcW w:w="1413" w:type="dxa"/>
          </w:tcPr>
          <w:p w14:paraId="5BCF9740" w14:textId="77777777" w:rsidR="00163CCF" w:rsidRPr="00CE1053" w:rsidRDefault="00163CCF" w:rsidP="00163CCF">
            <w:bookmarkStart w:id="0" w:name="_Hlk6990539"/>
            <w:r w:rsidRPr="00CE1053">
              <w:t>3. Finansiālā ietekme</w:t>
            </w:r>
          </w:p>
        </w:tc>
        <w:tc>
          <w:tcPr>
            <w:tcW w:w="1176" w:type="dxa"/>
          </w:tcPr>
          <w:p w14:paraId="45EA595A" w14:textId="77777777" w:rsidR="00163CCF" w:rsidRPr="00CE1053" w:rsidRDefault="00F74B98" w:rsidP="00163CCF">
            <w:r w:rsidRPr="00CE1053">
              <w:t>0</w:t>
            </w:r>
          </w:p>
        </w:tc>
        <w:tc>
          <w:tcPr>
            <w:tcW w:w="951" w:type="dxa"/>
          </w:tcPr>
          <w:p w14:paraId="4A72A923" w14:textId="77777777" w:rsidR="00163CCF" w:rsidRPr="00CE1053" w:rsidRDefault="00F74B98" w:rsidP="00163CCF">
            <w:r w:rsidRPr="00CE1053">
              <w:t>0</w:t>
            </w:r>
          </w:p>
        </w:tc>
        <w:tc>
          <w:tcPr>
            <w:tcW w:w="1176" w:type="dxa"/>
          </w:tcPr>
          <w:p w14:paraId="2BCF7C95" w14:textId="77777777" w:rsidR="00163CCF" w:rsidRPr="00CE1053" w:rsidRDefault="00F74B98" w:rsidP="00163CCF">
            <w:r w:rsidRPr="00CE1053">
              <w:t>0</w:t>
            </w:r>
          </w:p>
        </w:tc>
        <w:tc>
          <w:tcPr>
            <w:tcW w:w="1375" w:type="dxa"/>
          </w:tcPr>
          <w:p w14:paraId="51EB23F0" w14:textId="513894B1" w:rsidR="00163CCF" w:rsidRPr="00CE1053" w:rsidRDefault="0054706B" w:rsidP="00163CCF">
            <w:r w:rsidRPr="00CE1053">
              <w:rPr>
                <w:lang w:eastAsia="ar-SA"/>
              </w:rPr>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63" w:type="dxa"/>
          </w:tcPr>
          <w:p w14:paraId="44CE96CA" w14:textId="77777777" w:rsidR="00163CCF" w:rsidRPr="00CE1053" w:rsidRDefault="00F74B98" w:rsidP="00163CCF">
            <w:r w:rsidRPr="00CE1053">
              <w:t>0</w:t>
            </w:r>
          </w:p>
        </w:tc>
        <w:tc>
          <w:tcPr>
            <w:tcW w:w="1312" w:type="dxa"/>
          </w:tcPr>
          <w:p w14:paraId="447B8CBD" w14:textId="276F8FCE" w:rsidR="00163CCF" w:rsidRPr="00CE1053" w:rsidRDefault="0054706B" w:rsidP="00163CCF">
            <w:r w:rsidRPr="00CE1053">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85" w:type="dxa"/>
          </w:tcPr>
          <w:p w14:paraId="52D301D4" w14:textId="77777777" w:rsidR="00163CCF" w:rsidRPr="00CE1053" w:rsidRDefault="00163CCF" w:rsidP="00163CCF"/>
        </w:tc>
      </w:tr>
      <w:tr w:rsidR="00163CCF" w:rsidRPr="00CE1053" w14:paraId="116F1589" w14:textId="77777777" w:rsidTr="00E30361">
        <w:tc>
          <w:tcPr>
            <w:tcW w:w="1413" w:type="dxa"/>
          </w:tcPr>
          <w:p w14:paraId="2BD1E91B" w14:textId="77777777" w:rsidR="00163CCF" w:rsidRPr="00CE1053" w:rsidRDefault="00163CCF" w:rsidP="00163CCF">
            <w:r w:rsidRPr="00CE1053">
              <w:t>3.1. valsts pamatbudžets</w:t>
            </w:r>
          </w:p>
        </w:tc>
        <w:tc>
          <w:tcPr>
            <w:tcW w:w="1176" w:type="dxa"/>
          </w:tcPr>
          <w:p w14:paraId="2EE8840E" w14:textId="77777777" w:rsidR="00163CCF" w:rsidRPr="00CE1053" w:rsidRDefault="00CF5D46" w:rsidP="00163CCF">
            <w:r w:rsidRPr="00CE1053">
              <w:t>0</w:t>
            </w:r>
          </w:p>
        </w:tc>
        <w:tc>
          <w:tcPr>
            <w:tcW w:w="951" w:type="dxa"/>
          </w:tcPr>
          <w:p w14:paraId="291EDF5C" w14:textId="77777777" w:rsidR="00163CCF" w:rsidRPr="00CE1053" w:rsidRDefault="00CF5D46" w:rsidP="00163CCF">
            <w:r w:rsidRPr="00CE1053">
              <w:t>0</w:t>
            </w:r>
          </w:p>
        </w:tc>
        <w:tc>
          <w:tcPr>
            <w:tcW w:w="1176" w:type="dxa"/>
          </w:tcPr>
          <w:p w14:paraId="206B90D5" w14:textId="77777777" w:rsidR="00163CCF" w:rsidRPr="00CE1053" w:rsidRDefault="00CF5D46" w:rsidP="00163CCF">
            <w:r w:rsidRPr="00CE1053">
              <w:t>0</w:t>
            </w:r>
          </w:p>
        </w:tc>
        <w:tc>
          <w:tcPr>
            <w:tcW w:w="1375" w:type="dxa"/>
          </w:tcPr>
          <w:p w14:paraId="59A00EFF" w14:textId="46E5EF89" w:rsidR="00163CCF" w:rsidRPr="00CE1053" w:rsidRDefault="0054706B" w:rsidP="00163CCF">
            <w:r w:rsidRPr="00CE1053">
              <w:rPr>
                <w:lang w:eastAsia="ar-SA"/>
              </w:rPr>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63" w:type="dxa"/>
          </w:tcPr>
          <w:p w14:paraId="6C6C41BF" w14:textId="77777777" w:rsidR="00163CCF" w:rsidRPr="00CE1053" w:rsidRDefault="00CF5D46" w:rsidP="00163CCF">
            <w:r w:rsidRPr="00CE1053">
              <w:t>0</w:t>
            </w:r>
          </w:p>
        </w:tc>
        <w:tc>
          <w:tcPr>
            <w:tcW w:w="1312" w:type="dxa"/>
          </w:tcPr>
          <w:p w14:paraId="102338EC" w14:textId="7A57EAF7" w:rsidR="00163CCF" w:rsidRPr="00CE1053" w:rsidRDefault="0054706B" w:rsidP="00163CCF">
            <w:r w:rsidRPr="00CE1053">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85" w:type="dxa"/>
          </w:tcPr>
          <w:p w14:paraId="324B6504" w14:textId="77777777" w:rsidR="00163CCF" w:rsidRPr="00CE1053" w:rsidRDefault="00CF5D46" w:rsidP="00163CCF">
            <w:r w:rsidRPr="00CE1053">
              <w:t>0</w:t>
            </w:r>
          </w:p>
        </w:tc>
      </w:tr>
      <w:bookmarkEnd w:id="0"/>
      <w:tr w:rsidR="00163CCF" w:rsidRPr="00CE1053" w14:paraId="11443BCB" w14:textId="77777777" w:rsidTr="00E30361">
        <w:tc>
          <w:tcPr>
            <w:tcW w:w="1413" w:type="dxa"/>
          </w:tcPr>
          <w:p w14:paraId="6D99DC65" w14:textId="77777777" w:rsidR="00163CCF" w:rsidRPr="00CE1053" w:rsidRDefault="00163CCF" w:rsidP="00163CCF">
            <w:r w:rsidRPr="00CE1053">
              <w:t>3.2. speciālais budžets</w:t>
            </w:r>
          </w:p>
        </w:tc>
        <w:tc>
          <w:tcPr>
            <w:tcW w:w="1176" w:type="dxa"/>
          </w:tcPr>
          <w:p w14:paraId="42A8EE4D" w14:textId="77777777" w:rsidR="00163CCF" w:rsidRPr="00CE1053" w:rsidRDefault="00CF5D46" w:rsidP="00163CCF">
            <w:r w:rsidRPr="00CE1053">
              <w:t>0</w:t>
            </w:r>
          </w:p>
        </w:tc>
        <w:tc>
          <w:tcPr>
            <w:tcW w:w="951" w:type="dxa"/>
          </w:tcPr>
          <w:p w14:paraId="65CAD11E" w14:textId="77777777" w:rsidR="00163CCF" w:rsidRPr="00CE1053" w:rsidRDefault="00CF5D46" w:rsidP="00163CCF">
            <w:r w:rsidRPr="00CE1053">
              <w:t>0</w:t>
            </w:r>
          </w:p>
        </w:tc>
        <w:tc>
          <w:tcPr>
            <w:tcW w:w="1176" w:type="dxa"/>
          </w:tcPr>
          <w:p w14:paraId="30C5613D" w14:textId="77777777" w:rsidR="00163CCF" w:rsidRPr="00CE1053" w:rsidRDefault="00CF5D46" w:rsidP="00163CCF">
            <w:r w:rsidRPr="00CE1053">
              <w:t>0</w:t>
            </w:r>
          </w:p>
        </w:tc>
        <w:tc>
          <w:tcPr>
            <w:tcW w:w="1375" w:type="dxa"/>
          </w:tcPr>
          <w:p w14:paraId="1F3025DF" w14:textId="77777777" w:rsidR="00163CCF" w:rsidRPr="00CE1053" w:rsidRDefault="00CF5D46" w:rsidP="00163CCF">
            <w:r w:rsidRPr="00CE1053">
              <w:t>0</w:t>
            </w:r>
          </w:p>
        </w:tc>
        <w:tc>
          <w:tcPr>
            <w:tcW w:w="963" w:type="dxa"/>
          </w:tcPr>
          <w:p w14:paraId="1529A525" w14:textId="77777777" w:rsidR="00163CCF" w:rsidRPr="00CE1053" w:rsidRDefault="00CF5D46" w:rsidP="00163CCF">
            <w:r w:rsidRPr="00CE1053">
              <w:t>0</w:t>
            </w:r>
          </w:p>
        </w:tc>
        <w:tc>
          <w:tcPr>
            <w:tcW w:w="1312" w:type="dxa"/>
          </w:tcPr>
          <w:p w14:paraId="79B13AB4" w14:textId="77777777" w:rsidR="00163CCF" w:rsidRPr="00CE1053" w:rsidRDefault="00CF5D46" w:rsidP="00163CCF">
            <w:r w:rsidRPr="00CE1053">
              <w:t>0</w:t>
            </w:r>
          </w:p>
        </w:tc>
        <w:tc>
          <w:tcPr>
            <w:tcW w:w="985" w:type="dxa"/>
          </w:tcPr>
          <w:p w14:paraId="1F26096C" w14:textId="77777777" w:rsidR="00163CCF" w:rsidRPr="00CE1053" w:rsidRDefault="00CF5D46" w:rsidP="00163CCF">
            <w:r w:rsidRPr="00CE1053">
              <w:t>0</w:t>
            </w:r>
          </w:p>
        </w:tc>
      </w:tr>
      <w:tr w:rsidR="00163CCF" w:rsidRPr="00CE1053" w14:paraId="7754646E" w14:textId="77777777" w:rsidTr="00E30361">
        <w:tc>
          <w:tcPr>
            <w:tcW w:w="1413" w:type="dxa"/>
          </w:tcPr>
          <w:p w14:paraId="01B6A022" w14:textId="77777777" w:rsidR="00163CCF" w:rsidRPr="00CE1053" w:rsidRDefault="00163CCF" w:rsidP="00163CCF">
            <w:r w:rsidRPr="00CE1053">
              <w:t>3.3. pašvaldību budžets</w:t>
            </w:r>
          </w:p>
        </w:tc>
        <w:tc>
          <w:tcPr>
            <w:tcW w:w="1176" w:type="dxa"/>
          </w:tcPr>
          <w:p w14:paraId="5629F378" w14:textId="77777777" w:rsidR="00163CCF" w:rsidRPr="00CE1053" w:rsidRDefault="00CF5D46" w:rsidP="00163CCF">
            <w:r w:rsidRPr="00CE1053">
              <w:t>0</w:t>
            </w:r>
          </w:p>
        </w:tc>
        <w:tc>
          <w:tcPr>
            <w:tcW w:w="951" w:type="dxa"/>
          </w:tcPr>
          <w:p w14:paraId="226E2880" w14:textId="77777777" w:rsidR="00163CCF" w:rsidRPr="00CE1053" w:rsidRDefault="00CF5D46" w:rsidP="00163CCF">
            <w:r w:rsidRPr="00CE1053">
              <w:t>0</w:t>
            </w:r>
          </w:p>
        </w:tc>
        <w:tc>
          <w:tcPr>
            <w:tcW w:w="1176" w:type="dxa"/>
          </w:tcPr>
          <w:p w14:paraId="7714822D" w14:textId="77777777" w:rsidR="00163CCF" w:rsidRPr="00CE1053" w:rsidRDefault="00CF5D46" w:rsidP="00163CCF">
            <w:r w:rsidRPr="00CE1053">
              <w:t>0</w:t>
            </w:r>
          </w:p>
        </w:tc>
        <w:tc>
          <w:tcPr>
            <w:tcW w:w="1375" w:type="dxa"/>
          </w:tcPr>
          <w:p w14:paraId="68D2E3B8" w14:textId="77777777" w:rsidR="00163CCF" w:rsidRPr="00CE1053" w:rsidRDefault="00CF5D46" w:rsidP="00163CCF">
            <w:r w:rsidRPr="00CE1053">
              <w:t>0</w:t>
            </w:r>
          </w:p>
        </w:tc>
        <w:tc>
          <w:tcPr>
            <w:tcW w:w="963" w:type="dxa"/>
          </w:tcPr>
          <w:p w14:paraId="7D76EEEB" w14:textId="77777777" w:rsidR="00163CCF" w:rsidRPr="00CE1053" w:rsidRDefault="00CF5D46" w:rsidP="00163CCF">
            <w:r w:rsidRPr="00CE1053">
              <w:t>0</w:t>
            </w:r>
          </w:p>
        </w:tc>
        <w:tc>
          <w:tcPr>
            <w:tcW w:w="1312" w:type="dxa"/>
          </w:tcPr>
          <w:p w14:paraId="56B8AED9" w14:textId="77777777" w:rsidR="00163CCF" w:rsidRPr="00CE1053" w:rsidRDefault="00CF5D46" w:rsidP="00163CCF">
            <w:r w:rsidRPr="00CE1053">
              <w:t>0</w:t>
            </w:r>
          </w:p>
        </w:tc>
        <w:tc>
          <w:tcPr>
            <w:tcW w:w="985" w:type="dxa"/>
          </w:tcPr>
          <w:p w14:paraId="06188FE1" w14:textId="77777777" w:rsidR="00163CCF" w:rsidRPr="00CE1053" w:rsidRDefault="00CF5D46" w:rsidP="00163CCF">
            <w:r w:rsidRPr="00CE1053">
              <w:t>0</w:t>
            </w:r>
          </w:p>
        </w:tc>
      </w:tr>
      <w:tr w:rsidR="00163CCF" w:rsidRPr="00CE1053" w14:paraId="2DABF8FA" w14:textId="77777777" w:rsidTr="00E30361">
        <w:tc>
          <w:tcPr>
            <w:tcW w:w="1413" w:type="dxa"/>
          </w:tcPr>
          <w:p w14:paraId="7B9DCAEA" w14:textId="77777777" w:rsidR="00163CCF" w:rsidRPr="00CE1053" w:rsidRDefault="00163CCF" w:rsidP="00163CCF">
            <w:r w:rsidRPr="00CE1053">
              <w:t>4. Finanšu līdzekļi papildu izdevumu finansēšanai (kompensējošu izdevumu samazinājumu norāda ar "+" zīmi)</w:t>
            </w:r>
          </w:p>
        </w:tc>
        <w:tc>
          <w:tcPr>
            <w:tcW w:w="1176" w:type="dxa"/>
          </w:tcPr>
          <w:p w14:paraId="6F7E760E" w14:textId="77777777" w:rsidR="00163CCF" w:rsidRPr="00CE1053" w:rsidRDefault="00A7097D" w:rsidP="00163CCF">
            <w:r w:rsidRPr="00CE1053">
              <w:t>0</w:t>
            </w:r>
          </w:p>
        </w:tc>
        <w:tc>
          <w:tcPr>
            <w:tcW w:w="951" w:type="dxa"/>
          </w:tcPr>
          <w:p w14:paraId="6183EB73" w14:textId="77777777" w:rsidR="00163CCF" w:rsidRPr="00CE1053" w:rsidRDefault="00CF5D46" w:rsidP="00163CCF">
            <w:r w:rsidRPr="00CE1053">
              <w:t>0</w:t>
            </w:r>
          </w:p>
        </w:tc>
        <w:tc>
          <w:tcPr>
            <w:tcW w:w="1176" w:type="dxa"/>
          </w:tcPr>
          <w:p w14:paraId="1CEC7811" w14:textId="77777777" w:rsidR="00163CCF" w:rsidRPr="00CE1053" w:rsidRDefault="00A7097D" w:rsidP="00163CCF">
            <w:r w:rsidRPr="00CE1053">
              <w:t>0</w:t>
            </w:r>
          </w:p>
        </w:tc>
        <w:tc>
          <w:tcPr>
            <w:tcW w:w="1375" w:type="dxa"/>
          </w:tcPr>
          <w:p w14:paraId="36C6DD1F" w14:textId="77777777" w:rsidR="00163CCF" w:rsidRPr="00CE1053" w:rsidRDefault="00CF5D46" w:rsidP="00163CCF">
            <w:r w:rsidRPr="00CE1053">
              <w:t>0</w:t>
            </w:r>
          </w:p>
        </w:tc>
        <w:tc>
          <w:tcPr>
            <w:tcW w:w="963" w:type="dxa"/>
          </w:tcPr>
          <w:p w14:paraId="061DC9E7" w14:textId="77777777" w:rsidR="00163CCF" w:rsidRPr="00CE1053" w:rsidRDefault="00A7097D" w:rsidP="00163CCF">
            <w:r w:rsidRPr="00CE1053">
              <w:t>0</w:t>
            </w:r>
          </w:p>
        </w:tc>
        <w:tc>
          <w:tcPr>
            <w:tcW w:w="1312" w:type="dxa"/>
          </w:tcPr>
          <w:p w14:paraId="3FD75C03" w14:textId="77777777" w:rsidR="00163CCF" w:rsidRPr="00CE1053" w:rsidRDefault="00BC69A1" w:rsidP="00163CCF">
            <w:r w:rsidRPr="00CE1053">
              <w:t>0</w:t>
            </w:r>
          </w:p>
        </w:tc>
        <w:tc>
          <w:tcPr>
            <w:tcW w:w="985" w:type="dxa"/>
          </w:tcPr>
          <w:p w14:paraId="43F1C8AA" w14:textId="77777777" w:rsidR="00163CCF" w:rsidRPr="00CE1053" w:rsidRDefault="00CF5D46" w:rsidP="00163CCF">
            <w:r w:rsidRPr="00CE1053">
              <w:t>0</w:t>
            </w:r>
          </w:p>
        </w:tc>
      </w:tr>
      <w:tr w:rsidR="00992718" w:rsidRPr="00CE1053" w14:paraId="44C111BE" w14:textId="77777777" w:rsidTr="00E30361">
        <w:tc>
          <w:tcPr>
            <w:tcW w:w="1413" w:type="dxa"/>
          </w:tcPr>
          <w:p w14:paraId="397B52C8" w14:textId="77777777" w:rsidR="00992718" w:rsidRPr="00CE1053" w:rsidRDefault="00992718" w:rsidP="00992718">
            <w:r w:rsidRPr="00CE1053">
              <w:t>5. Precizēta finansiālā ietekme</w:t>
            </w:r>
          </w:p>
        </w:tc>
        <w:tc>
          <w:tcPr>
            <w:tcW w:w="1176" w:type="dxa"/>
            <w:vMerge w:val="restart"/>
          </w:tcPr>
          <w:p w14:paraId="4B2392D4" w14:textId="77777777" w:rsidR="00992718" w:rsidRPr="00CE1053" w:rsidRDefault="00992718" w:rsidP="00992718">
            <w:r w:rsidRPr="00CE1053">
              <w:t>X</w:t>
            </w:r>
          </w:p>
        </w:tc>
        <w:tc>
          <w:tcPr>
            <w:tcW w:w="951" w:type="dxa"/>
          </w:tcPr>
          <w:p w14:paraId="2EC4B67E" w14:textId="77777777" w:rsidR="00992718" w:rsidRPr="00CE1053" w:rsidRDefault="00992718" w:rsidP="00992718">
            <w:r w:rsidRPr="00CE1053">
              <w:t>0</w:t>
            </w:r>
          </w:p>
        </w:tc>
        <w:tc>
          <w:tcPr>
            <w:tcW w:w="1176" w:type="dxa"/>
            <w:vMerge w:val="restart"/>
          </w:tcPr>
          <w:p w14:paraId="4B99D3B1" w14:textId="77777777" w:rsidR="00992718" w:rsidRPr="00CE1053" w:rsidRDefault="00992718" w:rsidP="00992718">
            <w:r w:rsidRPr="00CE1053">
              <w:t>X</w:t>
            </w:r>
          </w:p>
        </w:tc>
        <w:tc>
          <w:tcPr>
            <w:tcW w:w="1375" w:type="dxa"/>
          </w:tcPr>
          <w:p w14:paraId="675B17EC" w14:textId="7687E8B4" w:rsidR="00992718" w:rsidRPr="00CE1053" w:rsidRDefault="00BB2A34" w:rsidP="00992718">
            <w:r w:rsidRPr="00CE1053">
              <w:rPr>
                <w:lang w:eastAsia="ar-SA"/>
              </w:rPr>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63" w:type="dxa"/>
            <w:vMerge w:val="restart"/>
          </w:tcPr>
          <w:p w14:paraId="2CB1A4C8" w14:textId="77777777" w:rsidR="00992718" w:rsidRPr="00CE1053" w:rsidRDefault="00992718" w:rsidP="00992718">
            <w:r w:rsidRPr="00CE1053">
              <w:t>X</w:t>
            </w:r>
          </w:p>
        </w:tc>
        <w:tc>
          <w:tcPr>
            <w:tcW w:w="1312" w:type="dxa"/>
          </w:tcPr>
          <w:p w14:paraId="360B63A6" w14:textId="3870968F" w:rsidR="00992718" w:rsidRPr="00CE1053" w:rsidRDefault="00BB2A34" w:rsidP="00992718">
            <w:r w:rsidRPr="00CE1053">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85" w:type="dxa"/>
          </w:tcPr>
          <w:p w14:paraId="6DFAACB8" w14:textId="77777777" w:rsidR="00992718" w:rsidRPr="00CE1053" w:rsidRDefault="00992718" w:rsidP="00992718">
            <w:r w:rsidRPr="00CE1053">
              <w:t>0</w:t>
            </w:r>
          </w:p>
        </w:tc>
      </w:tr>
      <w:tr w:rsidR="00992718" w:rsidRPr="00CE1053" w14:paraId="1F1B7473" w14:textId="77777777" w:rsidTr="00E30361">
        <w:tc>
          <w:tcPr>
            <w:tcW w:w="1413" w:type="dxa"/>
          </w:tcPr>
          <w:p w14:paraId="3DD28C73" w14:textId="77777777" w:rsidR="00992718" w:rsidRPr="00CE1053" w:rsidRDefault="00992718" w:rsidP="00992718">
            <w:r w:rsidRPr="00CE1053">
              <w:t>5.1. valsts pamatbudžets</w:t>
            </w:r>
          </w:p>
        </w:tc>
        <w:tc>
          <w:tcPr>
            <w:tcW w:w="1176" w:type="dxa"/>
            <w:vMerge/>
          </w:tcPr>
          <w:p w14:paraId="5162FD3B" w14:textId="77777777" w:rsidR="00992718" w:rsidRPr="00CE1053" w:rsidRDefault="00992718" w:rsidP="00992718"/>
        </w:tc>
        <w:tc>
          <w:tcPr>
            <w:tcW w:w="951" w:type="dxa"/>
          </w:tcPr>
          <w:p w14:paraId="5D999806" w14:textId="77777777" w:rsidR="00992718" w:rsidRPr="00CE1053" w:rsidRDefault="00992718" w:rsidP="00992718">
            <w:r w:rsidRPr="00CE1053">
              <w:t>0</w:t>
            </w:r>
          </w:p>
        </w:tc>
        <w:tc>
          <w:tcPr>
            <w:tcW w:w="1176" w:type="dxa"/>
            <w:vMerge/>
          </w:tcPr>
          <w:p w14:paraId="686A04FB" w14:textId="77777777" w:rsidR="00992718" w:rsidRPr="00CE1053" w:rsidRDefault="00992718" w:rsidP="00992718"/>
        </w:tc>
        <w:tc>
          <w:tcPr>
            <w:tcW w:w="1375" w:type="dxa"/>
          </w:tcPr>
          <w:p w14:paraId="464DF31D" w14:textId="6773CC57" w:rsidR="00992718" w:rsidRPr="00CE1053" w:rsidRDefault="00BB2A34" w:rsidP="00992718">
            <w:r w:rsidRPr="00CE1053">
              <w:rPr>
                <w:lang w:eastAsia="ar-SA"/>
              </w:rPr>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63" w:type="dxa"/>
            <w:vMerge/>
          </w:tcPr>
          <w:p w14:paraId="377488E3" w14:textId="77777777" w:rsidR="00992718" w:rsidRPr="00CE1053" w:rsidRDefault="00992718" w:rsidP="00992718"/>
        </w:tc>
        <w:tc>
          <w:tcPr>
            <w:tcW w:w="1312" w:type="dxa"/>
          </w:tcPr>
          <w:p w14:paraId="0CB42EC8" w14:textId="64F69771" w:rsidR="00992718" w:rsidRPr="00CE1053" w:rsidRDefault="00BB2A34" w:rsidP="00992718">
            <w:r w:rsidRPr="00CE1053">
              <w:t>-</w:t>
            </w:r>
            <w:r w:rsidR="00CC5329" w:rsidRPr="00CC5329">
              <w:rPr>
                <w:lang w:eastAsia="ar-SA"/>
              </w:rPr>
              <w:t>2</w:t>
            </w:r>
            <w:r w:rsidR="00CC5329">
              <w:rPr>
                <w:lang w:eastAsia="ar-SA"/>
              </w:rPr>
              <w:t> </w:t>
            </w:r>
            <w:r w:rsidR="00CC5329" w:rsidRPr="00CC5329">
              <w:rPr>
                <w:lang w:eastAsia="ar-SA"/>
              </w:rPr>
              <w:t>875</w:t>
            </w:r>
            <w:r w:rsidR="00CC5329">
              <w:rPr>
                <w:lang w:eastAsia="ar-SA"/>
              </w:rPr>
              <w:t xml:space="preserve"> </w:t>
            </w:r>
            <w:r w:rsidR="00CC5329" w:rsidRPr="00CC5329">
              <w:rPr>
                <w:lang w:eastAsia="ar-SA"/>
              </w:rPr>
              <w:t>000</w:t>
            </w:r>
          </w:p>
        </w:tc>
        <w:tc>
          <w:tcPr>
            <w:tcW w:w="985" w:type="dxa"/>
          </w:tcPr>
          <w:p w14:paraId="7773589D" w14:textId="77777777" w:rsidR="00992718" w:rsidRPr="00CE1053" w:rsidRDefault="00992718" w:rsidP="00992718">
            <w:r w:rsidRPr="00CE1053">
              <w:t>0</w:t>
            </w:r>
          </w:p>
        </w:tc>
      </w:tr>
      <w:tr w:rsidR="008633B7" w:rsidRPr="00CE1053" w14:paraId="0F5A0F1D" w14:textId="77777777" w:rsidTr="00E30361">
        <w:tc>
          <w:tcPr>
            <w:tcW w:w="1413" w:type="dxa"/>
          </w:tcPr>
          <w:p w14:paraId="7B4F2B87" w14:textId="77777777" w:rsidR="008633B7" w:rsidRPr="00CE1053" w:rsidRDefault="008633B7" w:rsidP="00163CCF">
            <w:r w:rsidRPr="00CE1053">
              <w:t>5.2. speciālais budžets</w:t>
            </w:r>
          </w:p>
        </w:tc>
        <w:tc>
          <w:tcPr>
            <w:tcW w:w="1176" w:type="dxa"/>
            <w:vMerge/>
          </w:tcPr>
          <w:p w14:paraId="2745CC63" w14:textId="77777777" w:rsidR="008633B7" w:rsidRPr="00CE1053" w:rsidRDefault="008633B7" w:rsidP="00163CCF"/>
        </w:tc>
        <w:tc>
          <w:tcPr>
            <w:tcW w:w="951" w:type="dxa"/>
          </w:tcPr>
          <w:p w14:paraId="3BBEACA2" w14:textId="77777777" w:rsidR="008633B7" w:rsidRPr="00CE1053" w:rsidRDefault="00CF5D46" w:rsidP="00163CCF">
            <w:r w:rsidRPr="00CE1053">
              <w:t>0</w:t>
            </w:r>
          </w:p>
        </w:tc>
        <w:tc>
          <w:tcPr>
            <w:tcW w:w="1176" w:type="dxa"/>
            <w:vMerge/>
          </w:tcPr>
          <w:p w14:paraId="1CF1A54F" w14:textId="77777777" w:rsidR="008633B7" w:rsidRPr="00CE1053" w:rsidRDefault="008633B7" w:rsidP="00163CCF"/>
        </w:tc>
        <w:tc>
          <w:tcPr>
            <w:tcW w:w="1375" w:type="dxa"/>
          </w:tcPr>
          <w:p w14:paraId="7D5F9519" w14:textId="77777777" w:rsidR="008633B7" w:rsidRPr="00CE1053" w:rsidRDefault="00CF5D46" w:rsidP="00163CCF">
            <w:r w:rsidRPr="00CE1053">
              <w:t>0</w:t>
            </w:r>
          </w:p>
        </w:tc>
        <w:tc>
          <w:tcPr>
            <w:tcW w:w="963" w:type="dxa"/>
            <w:vMerge/>
          </w:tcPr>
          <w:p w14:paraId="56E7D246" w14:textId="77777777" w:rsidR="008633B7" w:rsidRPr="00CE1053" w:rsidRDefault="008633B7" w:rsidP="00163CCF"/>
        </w:tc>
        <w:tc>
          <w:tcPr>
            <w:tcW w:w="1312" w:type="dxa"/>
          </w:tcPr>
          <w:p w14:paraId="167A9A61" w14:textId="77777777" w:rsidR="008633B7" w:rsidRPr="00CE1053" w:rsidRDefault="00CF5D46" w:rsidP="00163CCF">
            <w:r w:rsidRPr="00CE1053">
              <w:t>0</w:t>
            </w:r>
          </w:p>
        </w:tc>
        <w:tc>
          <w:tcPr>
            <w:tcW w:w="985" w:type="dxa"/>
          </w:tcPr>
          <w:p w14:paraId="788131A2" w14:textId="77777777" w:rsidR="008633B7" w:rsidRPr="00CE1053" w:rsidRDefault="00CF5D46" w:rsidP="00163CCF">
            <w:r w:rsidRPr="00CE1053">
              <w:t>0</w:t>
            </w:r>
          </w:p>
        </w:tc>
      </w:tr>
      <w:tr w:rsidR="008633B7" w:rsidRPr="00CE1053" w14:paraId="07D17DCF" w14:textId="77777777" w:rsidTr="00E30361">
        <w:tc>
          <w:tcPr>
            <w:tcW w:w="1413" w:type="dxa"/>
          </w:tcPr>
          <w:p w14:paraId="0D02775F" w14:textId="77777777" w:rsidR="008633B7" w:rsidRPr="00CE1053" w:rsidRDefault="008633B7" w:rsidP="00163CCF">
            <w:r w:rsidRPr="00CE1053">
              <w:lastRenderedPageBreak/>
              <w:t>5.3. pašvaldību budžets</w:t>
            </w:r>
          </w:p>
        </w:tc>
        <w:tc>
          <w:tcPr>
            <w:tcW w:w="1176" w:type="dxa"/>
            <w:vMerge/>
          </w:tcPr>
          <w:p w14:paraId="32AA34F4" w14:textId="77777777" w:rsidR="008633B7" w:rsidRPr="00CE1053" w:rsidRDefault="008633B7" w:rsidP="00163CCF"/>
        </w:tc>
        <w:tc>
          <w:tcPr>
            <w:tcW w:w="951" w:type="dxa"/>
          </w:tcPr>
          <w:p w14:paraId="46BE4C62" w14:textId="77777777" w:rsidR="008633B7" w:rsidRPr="00CE1053" w:rsidRDefault="00CF5D46" w:rsidP="00163CCF">
            <w:r w:rsidRPr="00CE1053">
              <w:t>0</w:t>
            </w:r>
          </w:p>
        </w:tc>
        <w:tc>
          <w:tcPr>
            <w:tcW w:w="1176" w:type="dxa"/>
            <w:vMerge/>
          </w:tcPr>
          <w:p w14:paraId="0D8519FB" w14:textId="77777777" w:rsidR="008633B7" w:rsidRPr="00CE1053" w:rsidRDefault="008633B7" w:rsidP="00163CCF"/>
        </w:tc>
        <w:tc>
          <w:tcPr>
            <w:tcW w:w="1375" w:type="dxa"/>
          </w:tcPr>
          <w:p w14:paraId="46426582" w14:textId="77777777" w:rsidR="008633B7" w:rsidRPr="00CE1053" w:rsidRDefault="00CF5D46" w:rsidP="00163CCF">
            <w:r w:rsidRPr="00CE1053">
              <w:t>0</w:t>
            </w:r>
          </w:p>
        </w:tc>
        <w:tc>
          <w:tcPr>
            <w:tcW w:w="963" w:type="dxa"/>
            <w:vMerge/>
          </w:tcPr>
          <w:p w14:paraId="7C3D1652" w14:textId="77777777" w:rsidR="008633B7" w:rsidRPr="00CE1053" w:rsidRDefault="008633B7" w:rsidP="00163CCF"/>
        </w:tc>
        <w:tc>
          <w:tcPr>
            <w:tcW w:w="1312" w:type="dxa"/>
          </w:tcPr>
          <w:p w14:paraId="4E8E4FC9" w14:textId="77777777" w:rsidR="008633B7" w:rsidRPr="00CE1053" w:rsidRDefault="00CF5D46" w:rsidP="00163CCF">
            <w:r w:rsidRPr="00CE1053">
              <w:t>0</w:t>
            </w:r>
          </w:p>
        </w:tc>
        <w:tc>
          <w:tcPr>
            <w:tcW w:w="985" w:type="dxa"/>
          </w:tcPr>
          <w:p w14:paraId="44979F92" w14:textId="77777777" w:rsidR="008633B7" w:rsidRPr="00CE1053" w:rsidRDefault="00CF5D46" w:rsidP="00163CCF">
            <w:r w:rsidRPr="00CE1053">
              <w:t>0</w:t>
            </w:r>
          </w:p>
        </w:tc>
      </w:tr>
      <w:tr w:rsidR="008633B7" w:rsidRPr="00CE1053" w14:paraId="3581325B" w14:textId="77777777" w:rsidTr="00E30361">
        <w:tc>
          <w:tcPr>
            <w:tcW w:w="1413" w:type="dxa"/>
          </w:tcPr>
          <w:p w14:paraId="0AD4128B" w14:textId="77777777" w:rsidR="008633B7" w:rsidRPr="00CE1053" w:rsidRDefault="008633B7" w:rsidP="00163CCF">
            <w:r w:rsidRPr="00CE1053">
              <w:t>6. Detalizēts ieņēmumu un izdevumu aprēķins (ja nepieciešams, detalizētu ieņēmumu un izdevumu aprēķinu var pievienot anotācijas pielikumā)</w:t>
            </w:r>
          </w:p>
        </w:tc>
        <w:tc>
          <w:tcPr>
            <w:tcW w:w="7938" w:type="dxa"/>
            <w:gridSpan w:val="7"/>
            <w:vMerge w:val="restart"/>
          </w:tcPr>
          <w:p w14:paraId="5D074040" w14:textId="5E489B57" w:rsidR="00A9510E" w:rsidRDefault="00A9510E" w:rsidP="00A9510E">
            <w:pPr>
              <w:jc w:val="both"/>
            </w:pPr>
            <w:r>
              <w:t xml:space="preserve">Pagarinot esošo kārtību (Pasta likuma pārejas noteikumu 15. un 21.punkta darbības termiņu) uz gadu līdz 2021.gada 31.decembrim, 2021.gadā, sniedzot preses piegādes pakalpojumus par </w:t>
            </w:r>
            <w:r w:rsidR="00FF46B4">
              <w:t>N</w:t>
            </w:r>
            <w:r>
              <w:t>oteikumos Nr.292 noteikto cenu, VAS “Latvijas Pasts” radīsies zaudējumi, kurus būs jākompensē no valsts budžeta.</w:t>
            </w:r>
          </w:p>
          <w:p w14:paraId="1E5ED79C" w14:textId="752E5C25" w:rsidR="00A9510E" w:rsidRPr="00F76373" w:rsidRDefault="00A9510E" w:rsidP="00A9510E">
            <w:pPr>
              <w:jc w:val="both"/>
            </w:pPr>
            <w:r w:rsidRPr="00A9510E">
              <w:t>Vid</w:t>
            </w:r>
            <w:r w:rsidR="00CC5329">
              <w:t>ē</w:t>
            </w:r>
            <w:r w:rsidRPr="00A9510E">
              <w:t xml:space="preserve">ja termiņa budžeta ietvarā </w:t>
            </w:r>
            <w:r w:rsidR="00687940">
              <w:t>S</w:t>
            </w:r>
            <w:r w:rsidR="00AB3253">
              <w:t xml:space="preserve">atiksmes ministrija </w:t>
            </w:r>
            <w:r w:rsidRPr="00A9510E">
              <w:t xml:space="preserve">2021. un 2022.gada budžetā ir paredzēts finansējums “nulle”, tādēļ, lai kompensētu zaudējumus par 2021.gadu, </w:t>
            </w:r>
            <w:r w:rsidRPr="00CE1053">
              <w:t xml:space="preserve"> nodrošin</w:t>
            </w:r>
            <w:r>
              <w:t>ot</w:t>
            </w:r>
            <w:r w:rsidRPr="00CE1053">
              <w:t xml:space="preserve"> likumprojektā noteikto normu izpildi, </w:t>
            </w:r>
            <w:r w:rsidR="00CC5329">
              <w:t>norādīts</w:t>
            </w:r>
            <w:r w:rsidRPr="00CE1053">
              <w:t xml:space="preserve"> nepieciešamā finansējuma </w:t>
            </w:r>
            <w:r w:rsidR="00CC5329">
              <w:t>apjoms</w:t>
            </w:r>
            <w:r w:rsidRPr="00CE1053">
              <w:t xml:space="preserve">, </w:t>
            </w:r>
            <w:r w:rsidRPr="00F76373">
              <w:t xml:space="preserve">kas </w:t>
            </w:r>
            <w:r w:rsidR="00CC5329" w:rsidRPr="00F76373">
              <w:t>izriet no Ministru kabineta 2020.gada 30.jūnija sēdē izskatītā un atbalstītā konceptuālā ziņojuma “Abonētās preses izdevumu piegādes nodrošināšana un drukāto mediju atbalsta pilnveides iespējas”</w:t>
            </w:r>
            <w:r w:rsidR="00B227D5" w:rsidRPr="00F76373">
              <w:t xml:space="preserve"> (turpmāk – Konceptuālais ziņojums)</w:t>
            </w:r>
            <w:r w:rsidR="00CC5329" w:rsidRPr="00F76373">
              <w:t>, ar kuru tika prognozēts, ka 2021.gadā</w:t>
            </w:r>
            <w:r w:rsidR="00B227D5" w:rsidRPr="00F76373">
              <w:t>,</w:t>
            </w:r>
            <w:r w:rsidR="00CC5329" w:rsidRPr="00F76373">
              <w:t xml:space="preserve"> turpinot līdzšinējā atbalsta sniegšanu abonētās preses izdevumu piegādēm, zaudējumu apmērs vienam gadam būs 5 750 000 </w:t>
            </w:r>
            <w:r w:rsidR="00CC5329" w:rsidRPr="00F76373">
              <w:rPr>
                <w:i/>
              </w:rPr>
              <w:t>euro,</w:t>
            </w:r>
            <w:r w:rsidR="00CC5329" w:rsidRPr="00F76373">
              <w:rPr>
                <w:iCs/>
              </w:rPr>
              <w:t xml:space="preserve"> kas</w:t>
            </w:r>
            <w:r w:rsidR="00CC5329" w:rsidRPr="00F76373">
              <w:rPr>
                <w:i/>
              </w:rPr>
              <w:t xml:space="preserve"> </w:t>
            </w:r>
            <w:r w:rsidR="00CC5329" w:rsidRPr="00F76373">
              <w:rPr>
                <w:iCs/>
              </w:rPr>
              <w:t xml:space="preserve">attiecīgi </w:t>
            </w:r>
            <w:r w:rsidR="00B227D5" w:rsidRPr="00F76373">
              <w:t xml:space="preserve">papildus </w:t>
            </w:r>
            <w:r w:rsidRPr="00F76373">
              <w:t>nepieciešams Satiksmes ministrijas bāzes izdevumos valsts budžeta programmā 02.00.00 „Kompensācijas par abonētās preses piegādi un saistību izpildi” paredzētajiem līdzekļiem (EKK 3261 „Valsts un pašvaldību budžeta dotācija valsts un pašvaldību komersantiem”).</w:t>
            </w:r>
          </w:p>
          <w:p w14:paraId="5EF89400" w14:textId="77777777" w:rsidR="00A9510E" w:rsidRPr="00F76373" w:rsidRDefault="00A9510E" w:rsidP="00A9510E">
            <w:pPr>
              <w:suppressAutoHyphens/>
              <w:jc w:val="both"/>
              <w:rPr>
                <w:color w:val="000000"/>
                <w:lang w:eastAsia="ar-SA"/>
              </w:rPr>
            </w:pPr>
          </w:p>
          <w:p w14:paraId="771B0B3C" w14:textId="77777777" w:rsidR="00B227D5" w:rsidRPr="00F76373" w:rsidRDefault="00B227D5" w:rsidP="00B227D5">
            <w:pPr>
              <w:suppressAutoHyphens/>
              <w:jc w:val="both"/>
              <w:rPr>
                <w:color w:val="000000"/>
                <w:lang w:eastAsia="ar-SA"/>
              </w:rPr>
            </w:pPr>
            <w:r w:rsidRPr="00F76373">
              <w:rPr>
                <w:color w:val="000000"/>
                <w:lang w:eastAsia="ar-SA"/>
              </w:rPr>
              <w:t>Zaudējumu kompensēšanai nepieciešamo papildu līdzekļu aprēķins saskaņā ar Konceptuālo ziņojumu:</w:t>
            </w:r>
          </w:p>
          <w:p w14:paraId="638AF08F" w14:textId="77777777" w:rsidR="00B227D5" w:rsidRPr="00F76373" w:rsidRDefault="00B227D5" w:rsidP="00B227D5">
            <w:pPr>
              <w:suppressAutoHyphens/>
              <w:jc w:val="both"/>
              <w:rPr>
                <w:color w:val="000000"/>
                <w:lang w:eastAsia="ar-SA"/>
              </w:rPr>
            </w:pPr>
            <w:r w:rsidRPr="00F76373">
              <w:rPr>
                <w:color w:val="000000"/>
                <w:lang w:eastAsia="ar-SA"/>
              </w:rPr>
              <w:t xml:space="preserve">2021.gadā nepieciešami finanšu līdzekļi kompensācijai 2 875 000 </w:t>
            </w:r>
            <w:r w:rsidRPr="00F76373">
              <w:rPr>
                <w:i/>
                <w:iCs/>
                <w:color w:val="000000"/>
                <w:lang w:eastAsia="ar-SA"/>
              </w:rPr>
              <w:t>euro</w:t>
            </w:r>
            <w:r w:rsidRPr="00F76373">
              <w:rPr>
                <w:color w:val="000000"/>
                <w:lang w:eastAsia="ar-SA"/>
              </w:rPr>
              <w:t xml:space="preserve"> apmērā (par zaudējumiem 2021.gada I pusgadā, balstoties uz operatīvajiem datiem);</w:t>
            </w:r>
          </w:p>
          <w:p w14:paraId="643B9037" w14:textId="460A2C8E" w:rsidR="00B227D5" w:rsidRPr="00F76373" w:rsidRDefault="00B227D5" w:rsidP="00B227D5">
            <w:pPr>
              <w:suppressAutoHyphens/>
              <w:jc w:val="both"/>
              <w:rPr>
                <w:color w:val="000000"/>
                <w:lang w:eastAsia="ar-SA"/>
              </w:rPr>
            </w:pPr>
            <w:r w:rsidRPr="00F76373">
              <w:rPr>
                <w:color w:val="000000"/>
                <w:lang w:eastAsia="ar-SA"/>
              </w:rPr>
              <w:t xml:space="preserve">2022.gadā nepieciešami finanšu līdzekļi 2 875 000 </w:t>
            </w:r>
            <w:r w:rsidRPr="00F76373">
              <w:rPr>
                <w:i/>
                <w:iCs/>
                <w:color w:val="000000"/>
                <w:lang w:eastAsia="ar-SA"/>
              </w:rPr>
              <w:t>euro</w:t>
            </w:r>
            <w:r w:rsidRPr="00F76373">
              <w:rPr>
                <w:color w:val="000000"/>
                <w:lang w:eastAsia="ar-SA"/>
              </w:rPr>
              <w:t xml:space="preserve"> apmērā (zaudējumu kompensācijai  2021.gada II pusgadā, balstoties uz auditēto ziņojumu).</w:t>
            </w:r>
          </w:p>
          <w:p w14:paraId="279884A6" w14:textId="77777777" w:rsidR="00B227D5" w:rsidRPr="00F76373" w:rsidRDefault="00B227D5" w:rsidP="00B227D5">
            <w:pPr>
              <w:suppressAutoHyphens/>
              <w:jc w:val="both"/>
              <w:rPr>
                <w:color w:val="000000"/>
                <w:lang w:eastAsia="ar-SA"/>
              </w:rPr>
            </w:pPr>
          </w:p>
          <w:p w14:paraId="135B6D6A" w14:textId="75B2A49C" w:rsidR="001D2B08" w:rsidRPr="0038239F" w:rsidRDefault="00B227D5" w:rsidP="002F13F2">
            <w:pPr>
              <w:jc w:val="both"/>
              <w:rPr>
                <w:u w:val="single"/>
              </w:rPr>
            </w:pPr>
            <w:r w:rsidRPr="00F76373">
              <w:rPr>
                <w:color w:val="000000"/>
                <w:lang w:eastAsia="ar-SA"/>
              </w:rPr>
              <w:t xml:space="preserve">Vienlaikus vēršam uzmanību, ka </w:t>
            </w:r>
            <w:r w:rsidR="002F13F2" w:rsidRPr="00F76373">
              <w:rPr>
                <w:color w:val="000000"/>
                <w:lang w:eastAsia="ar-SA"/>
              </w:rPr>
              <w:t xml:space="preserve">atbilstoši </w:t>
            </w:r>
            <w:r w:rsidRPr="00F76373">
              <w:rPr>
                <w:color w:val="000000"/>
                <w:lang w:eastAsia="ar-SA"/>
              </w:rPr>
              <w:t>aktuāl</w:t>
            </w:r>
            <w:r w:rsidR="002F13F2" w:rsidRPr="00F76373">
              <w:rPr>
                <w:color w:val="000000"/>
                <w:lang w:eastAsia="ar-SA"/>
              </w:rPr>
              <w:t>ajiem</w:t>
            </w:r>
            <w:r w:rsidRPr="00F76373">
              <w:rPr>
                <w:color w:val="000000"/>
                <w:lang w:eastAsia="ar-SA"/>
              </w:rPr>
              <w:t xml:space="preserve"> VAS “Latvijas Pasts”  aprēķin</w:t>
            </w:r>
            <w:r w:rsidR="002F13F2" w:rsidRPr="00F76373">
              <w:rPr>
                <w:color w:val="000000"/>
                <w:lang w:eastAsia="ar-SA"/>
              </w:rPr>
              <w:t>iem</w:t>
            </w:r>
            <w:r w:rsidRPr="00F76373">
              <w:rPr>
                <w:color w:val="000000"/>
                <w:lang w:eastAsia="ar-SA"/>
              </w:rPr>
              <w:t xml:space="preserve"> abonēto preses izdevumu piegādes pakalpojumu sniegšanas prognozēt</w:t>
            </w:r>
            <w:r w:rsidR="002F13F2" w:rsidRPr="00F76373">
              <w:rPr>
                <w:color w:val="000000"/>
                <w:lang w:eastAsia="ar-SA"/>
              </w:rPr>
              <w:t>ie</w:t>
            </w:r>
            <w:r w:rsidRPr="00F76373">
              <w:rPr>
                <w:color w:val="000000"/>
                <w:lang w:eastAsia="ar-SA"/>
              </w:rPr>
              <w:t xml:space="preserve"> zaudējum</w:t>
            </w:r>
            <w:r w:rsidR="002F13F2" w:rsidRPr="00F76373">
              <w:rPr>
                <w:color w:val="000000"/>
                <w:lang w:eastAsia="ar-SA"/>
              </w:rPr>
              <w:t>i</w:t>
            </w:r>
            <w:r w:rsidRPr="00F76373">
              <w:rPr>
                <w:color w:val="000000"/>
                <w:lang w:eastAsia="ar-SA"/>
              </w:rPr>
              <w:t xml:space="preserve">  2021.gadā </w:t>
            </w:r>
            <w:r w:rsidR="00AB3253">
              <w:rPr>
                <w:color w:val="000000"/>
                <w:lang w:eastAsia="ar-SA"/>
              </w:rPr>
              <w:t>varētu sasniegt</w:t>
            </w:r>
            <w:r w:rsidR="002F13F2" w:rsidRPr="00F76373">
              <w:rPr>
                <w:color w:val="000000"/>
                <w:lang w:eastAsia="ar-SA"/>
              </w:rPr>
              <w:t xml:space="preserve"> </w:t>
            </w:r>
            <w:r w:rsidRPr="00F76373">
              <w:rPr>
                <w:color w:val="000000"/>
                <w:lang w:eastAsia="ar-SA"/>
              </w:rPr>
              <w:t xml:space="preserve">6 980 247 </w:t>
            </w:r>
            <w:r w:rsidRPr="00F76373">
              <w:rPr>
                <w:i/>
                <w:iCs/>
                <w:color w:val="000000"/>
                <w:lang w:eastAsia="ar-SA"/>
              </w:rPr>
              <w:t>euro</w:t>
            </w:r>
            <w:r w:rsidRPr="00F76373">
              <w:rPr>
                <w:color w:val="000000"/>
                <w:lang w:eastAsia="ar-SA"/>
              </w:rPr>
              <w:t>, kas ir par 1</w:t>
            </w:r>
            <w:r w:rsidR="00687940">
              <w:rPr>
                <w:color w:val="000000"/>
                <w:lang w:eastAsia="ar-SA"/>
              </w:rPr>
              <w:t> </w:t>
            </w:r>
            <w:r w:rsidRPr="00F76373">
              <w:rPr>
                <w:color w:val="000000"/>
                <w:lang w:eastAsia="ar-SA"/>
              </w:rPr>
              <w:t>230</w:t>
            </w:r>
            <w:r w:rsidR="00687940">
              <w:rPr>
                <w:color w:val="000000"/>
                <w:lang w:eastAsia="ar-SA"/>
              </w:rPr>
              <w:t> </w:t>
            </w:r>
            <w:r w:rsidRPr="00F76373">
              <w:rPr>
                <w:color w:val="000000"/>
                <w:lang w:eastAsia="ar-SA"/>
              </w:rPr>
              <w:t>247</w:t>
            </w:r>
            <w:r w:rsidR="00687940">
              <w:rPr>
                <w:color w:val="000000"/>
                <w:lang w:eastAsia="ar-SA"/>
              </w:rPr>
              <w:t xml:space="preserve"> </w:t>
            </w:r>
            <w:r w:rsidRPr="00F76373">
              <w:rPr>
                <w:i/>
                <w:iCs/>
                <w:color w:val="000000"/>
                <w:lang w:eastAsia="ar-SA"/>
              </w:rPr>
              <w:t xml:space="preserve">euro </w:t>
            </w:r>
            <w:r w:rsidRPr="00F76373">
              <w:rPr>
                <w:color w:val="000000"/>
                <w:lang w:eastAsia="ar-SA"/>
              </w:rPr>
              <w:t>vairāk kā norādīts Konceptuālajā ziņojumā. Saskaņā ar VAS "Latvijas Pasts" sniegto informāciju, prognozes palielinājumā ņemta vērā publiski izskanējusī ziņa par iespējamo minimālās algas paaugstināšanu</w:t>
            </w:r>
            <w:r w:rsidR="00687940">
              <w:rPr>
                <w:color w:val="000000"/>
                <w:lang w:eastAsia="ar-SA"/>
              </w:rPr>
              <w:t>,</w:t>
            </w:r>
            <w:r w:rsidRPr="00F76373">
              <w:rPr>
                <w:color w:val="000000"/>
                <w:lang w:eastAsia="ar-SA"/>
              </w:rPr>
              <w:t xml:space="preserve"> sākot ar 2021.gadu, kas </w:t>
            </w:r>
            <w:r w:rsidRPr="00F76373">
              <w:rPr>
                <w:szCs w:val="28"/>
              </w:rPr>
              <w:t>ne</w:t>
            </w:r>
            <w:r w:rsidR="00AB3253">
              <w:rPr>
                <w:szCs w:val="28"/>
              </w:rPr>
              <w:t>tika ņemts vērā</w:t>
            </w:r>
            <w:r w:rsidRPr="00F76373">
              <w:rPr>
                <w:szCs w:val="28"/>
              </w:rPr>
              <w:t xml:space="preserve"> Konceptuālā ziņojuma izstrādes lai</w:t>
            </w:r>
            <w:r w:rsidR="0038239F" w:rsidRPr="00F76373">
              <w:rPr>
                <w:szCs w:val="28"/>
              </w:rPr>
              <w:t>k</w:t>
            </w:r>
            <w:r w:rsidRPr="00F76373">
              <w:rPr>
                <w:szCs w:val="28"/>
              </w:rPr>
              <w:t>ā.</w:t>
            </w:r>
          </w:p>
        </w:tc>
      </w:tr>
      <w:tr w:rsidR="008633B7" w:rsidRPr="00CE1053" w14:paraId="6C861FA5" w14:textId="77777777" w:rsidTr="00E30361">
        <w:tc>
          <w:tcPr>
            <w:tcW w:w="1413" w:type="dxa"/>
          </w:tcPr>
          <w:p w14:paraId="3875A566" w14:textId="77777777" w:rsidR="008633B7" w:rsidRPr="00CE1053" w:rsidRDefault="008633B7" w:rsidP="00163CCF">
            <w:r w:rsidRPr="00CE1053">
              <w:t>6.1. detalizēts ieņēmumu aprēķins</w:t>
            </w:r>
          </w:p>
        </w:tc>
        <w:tc>
          <w:tcPr>
            <w:tcW w:w="7938" w:type="dxa"/>
            <w:gridSpan w:val="7"/>
            <w:vMerge/>
          </w:tcPr>
          <w:p w14:paraId="145719D1" w14:textId="77777777" w:rsidR="008633B7" w:rsidRPr="00CE1053" w:rsidRDefault="008633B7" w:rsidP="00163CCF"/>
        </w:tc>
      </w:tr>
      <w:tr w:rsidR="008633B7" w:rsidRPr="00CE1053" w14:paraId="372F25E2" w14:textId="77777777" w:rsidTr="00E30361">
        <w:tc>
          <w:tcPr>
            <w:tcW w:w="1413" w:type="dxa"/>
          </w:tcPr>
          <w:p w14:paraId="7078EA09" w14:textId="77777777" w:rsidR="008633B7" w:rsidRPr="00CE1053" w:rsidRDefault="008633B7" w:rsidP="00163CCF">
            <w:r w:rsidRPr="00CE1053">
              <w:t>6.2. detalizēts izdevumu aprēķins</w:t>
            </w:r>
          </w:p>
        </w:tc>
        <w:tc>
          <w:tcPr>
            <w:tcW w:w="7938" w:type="dxa"/>
            <w:gridSpan w:val="7"/>
            <w:vMerge/>
          </w:tcPr>
          <w:p w14:paraId="69B74717" w14:textId="77777777" w:rsidR="008633B7" w:rsidRPr="00CE1053" w:rsidRDefault="008633B7" w:rsidP="00163CCF"/>
        </w:tc>
      </w:tr>
      <w:tr w:rsidR="008633B7" w:rsidRPr="00CE1053" w14:paraId="30DB2752" w14:textId="77777777" w:rsidTr="00E30361">
        <w:tc>
          <w:tcPr>
            <w:tcW w:w="1413" w:type="dxa"/>
          </w:tcPr>
          <w:p w14:paraId="26CD117D" w14:textId="77777777" w:rsidR="008633B7" w:rsidRPr="00CE1053" w:rsidRDefault="008633B7" w:rsidP="00163CCF">
            <w:r w:rsidRPr="00CE1053">
              <w:t>7. Amata vietu skaita izmaiņas</w:t>
            </w:r>
          </w:p>
        </w:tc>
        <w:tc>
          <w:tcPr>
            <w:tcW w:w="7938" w:type="dxa"/>
            <w:gridSpan w:val="7"/>
          </w:tcPr>
          <w:p w14:paraId="2424BFB4" w14:textId="77777777" w:rsidR="008633B7" w:rsidRPr="00CE1053" w:rsidRDefault="00B26262" w:rsidP="00163CCF">
            <w:r w:rsidRPr="00CE1053">
              <w:rPr>
                <w:color w:val="0D0D0D" w:themeColor="text1" w:themeTint="F2"/>
              </w:rPr>
              <w:t>Projekts šo jomu neskar.</w:t>
            </w:r>
          </w:p>
        </w:tc>
      </w:tr>
      <w:tr w:rsidR="008633B7" w:rsidRPr="00CE1053" w14:paraId="7F1A2F1A" w14:textId="77777777" w:rsidTr="00E30361">
        <w:tc>
          <w:tcPr>
            <w:tcW w:w="1413" w:type="dxa"/>
          </w:tcPr>
          <w:p w14:paraId="628040D7" w14:textId="77777777" w:rsidR="008633B7" w:rsidRPr="00CE1053" w:rsidRDefault="008633B7" w:rsidP="00163CCF">
            <w:r w:rsidRPr="00CE1053">
              <w:t>8. Cita informācija</w:t>
            </w:r>
          </w:p>
        </w:tc>
        <w:tc>
          <w:tcPr>
            <w:tcW w:w="7938" w:type="dxa"/>
            <w:gridSpan w:val="7"/>
          </w:tcPr>
          <w:p w14:paraId="5D3FB3A2" w14:textId="072419E1" w:rsidR="001D2B08" w:rsidRDefault="001D2B08" w:rsidP="001D2B08">
            <w:pPr>
              <w:jc w:val="both"/>
            </w:pPr>
            <w:r>
              <w:t xml:space="preserve">Saskaņā ar </w:t>
            </w:r>
            <w:r w:rsidR="00167090" w:rsidRPr="00167090">
              <w:t>R</w:t>
            </w:r>
            <w:r w:rsidRPr="00167090">
              <w:t>īkojum</w:t>
            </w:r>
            <w:r w:rsidR="00167090" w:rsidRPr="00167090">
              <w:t>a</w:t>
            </w:r>
            <w:r w:rsidRPr="00167090">
              <w:t xml:space="preserve"> </w:t>
            </w:r>
            <w:r w:rsidR="009554CE">
              <w:t xml:space="preserve">Nr.397 </w:t>
            </w:r>
            <w:r w:rsidRPr="00167090">
              <w:t>4.</w:t>
            </w:r>
            <w:r>
              <w:t xml:space="preserve"> punktu atbalstīts finanšu ministra ierosinājums jautājumu par nepieciešamo papildu valsts budžeta finansējumu </w:t>
            </w:r>
            <w:r w:rsidR="00687940">
              <w:t>K</w:t>
            </w:r>
            <w:r>
              <w:t>onceptuālā ziņojuma risinājuma 1.varianta īstenošanai noteikt kā valsts prioritāti</w:t>
            </w:r>
            <w:r w:rsidR="009554CE">
              <w:t>, vienlaikus paredzot</w:t>
            </w:r>
            <w:r>
              <w:t xml:space="preserve"> uzdevum</w:t>
            </w:r>
            <w:r w:rsidR="009554CE">
              <w:t>u</w:t>
            </w:r>
            <w:r>
              <w:t xml:space="preserve"> Satiksmes ministrijai sadarbībā ar Kultūras ministriju saskaņā ar budžeta sagatavošanas grafiku iesniegt vienotu prioritārā pasākuma pieteikumu</w:t>
            </w:r>
            <w:r w:rsidR="009554CE">
              <w:t>.</w:t>
            </w:r>
          </w:p>
          <w:p w14:paraId="23BF5B31" w14:textId="46C7E680" w:rsidR="00A9510E" w:rsidRPr="00CE1053" w:rsidRDefault="001D2B08" w:rsidP="002B378B">
            <w:pPr>
              <w:jc w:val="both"/>
            </w:pPr>
            <w:r>
              <w:t xml:space="preserve">Saskaņā ar </w:t>
            </w:r>
            <w:r w:rsidR="009554CE">
              <w:t>R</w:t>
            </w:r>
            <w:r>
              <w:t>īkojuma</w:t>
            </w:r>
            <w:r w:rsidR="009554CE">
              <w:t xml:space="preserve"> Nr.397</w:t>
            </w:r>
            <w:r>
              <w:t xml:space="preserve"> 5.punktu jautājumu par nepieciešamā papildu finansējuma piešķiršanu Satiksmes ministrijai 2021., 2022., 2023.gadam  un turpmākajiem gadiem ir jāizskata Ministru kabinetā likumprojekta „Par valsts budžetu 2021.gadam” un likumprojekta „Par vidēja termiņa budžeta ietvaru 2021., 2022. un 2023.gadam” sagatavošanas un izskatīšanas procesā kopā ar visu ministriju un centrālo valsts iestāžu iesniegtajiem prioritāro pasākumu pieteikumiem.</w:t>
            </w:r>
          </w:p>
        </w:tc>
      </w:tr>
    </w:tbl>
    <w:p w14:paraId="5CF017C4" w14:textId="77777777" w:rsidR="004A15F9" w:rsidRPr="00CE1053" w:rsidRDefault="004A15F9" w:rsidP="00C57E86">
      <w:pPr>
        <w:rPr>
          <w:color w:val="0D0D0D" w:themeColor="text1" w:themeTint="F2"/>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1"/>
      </w:tblGrid>
      <w:tr w:rsidR="009D2D72" w:rsidRPr="00CE1053" w14:paraId="479B4F5B" w14:textId="77777777" w:rsidTr="00FF46B4">
        <w:tc>
          <w:tcPr>
            <w:tcW w:w="9351" w:type="dxa"/>
            <w:vAlign w:val="center"/>
            <w:hideMark/>
          </w:tcPr>
          <w:p w14:paraId="2529973A" w14:textId="77777777" w:rsidR="00BD5588" w:rsidRPr="00CE1053" w:rsidRDefault="006E2E27" w:rsidP="00C57E86">
            <w:pPr>
              <w:jc w:val="center"/>
              <w:rPr>
                <w:b/>
                <w:bCs/>
                <w:color w:val="0D0D0D" w:themeColor="text1" w:themeTint="F2"/>
              </w:rPr>
            </w:pPr>
            <w:r w:rsidRPr="00CE1053">
              <w:rPr>
                <w:b/>
                <w:bCs/>
                <w:color w:val="0D0D0D" w:themeColor="text1" w:themeTint="F2"/>
              </w:rPr>
              <w:lastRenderedPageBreak/>
              <w:t>IV. Tiesību akta projekta ietekme uz spēkā esošo tiesību normu sistēmu</w:t>
            </w:r>
          </w:p>
        </w:tc>
      </w:tr>
      <w:tr w:rsidR="00FF46B4" w:rsidRPr="00CE1053" w14:paraId="639252A7" w14:textId="77777777" w:rsidTr="00FF46B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00" w:firstRow="0" w:lastRow="0" w:firstColumn="0" w:lastColumn="0" w:noHBand="0" w:noVBand="0"/>
        </w:tblPrEx>
        <w:tc>
          <w:tcPr>
            <w:tcW w:w="9348" w:type="dxa"/>
            <w:tcBorders>
              <w:top w:val="outset" w:sz="6" w:space="0" w:color="000000"/>
              <w:left w:val="outset" w:sz="6" w:space="0" w:color="000000"/>
              <w:bottom w:val="outset" w:sz="6" w:space="0" w:color="000000"/>
              <w:right w:val="outset" w:sz="6" w:space="0" w:color="000000"/>
            </w:tcBorders>
          </w:tcPr>
          <w:p w14:paraId="45157766" w14:textId="77777777" w:rsidR="00FF46B4" w:rsidRPr="00CE1053" w:rsidRDefault="00FF46B4" w:rsidP="003751DC">
            <w:pPr>
              <w:ind w:left="15" w:right="112"/>
              <w:jc w:val="center"/>
              <w:rPr>
                <w:lang w:eastAsia="en-US"/>
              </w:rPr>
            </w:pPr>
            <w:r w:rsidRPr="00CE1053">
              <w:rPr>
                <w:lang w:eastAsia="en-US"/>
              </w:rPr>
              <w:t>Projekts šo jomu neskar.</w:t>
            </w:r>
          </w:p>
        </w:tc>
      </w:tr>
    </w:tbl>
    <w:p w14:paraId="6ED2C924" w14:textId="77777777" w:rsidR="00CD35DF" w:rsidRPr="00CE1053" w:rsidRDefault="00CD35DF" w:rsidP="00C063C0">
      <w:pPr>
        <w:rPr>
          <w:b/>
          <w:bCs/>
          <w:color w:val="000000"/>
          <w:lang w:eastAsia="en-US"/>
        </w:rPr>
      </w:pPr>
    </w:p>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48"/>
      </w:tblGrid>
      <w:tr w:rsidR="00C063C0" w:rsidRPr="00CE1053" w14:paraId="40003380" w14:textId="77777777" w:rsidTr="00E30361">
        <w:tc>
          <w:tcPr>
            <w:tcW w:w="5000" w:type="pct"/>
            <w:tcBorders>
              <w:top w:val="single" w:sz="6" w:space="0" w:color="auto"/>
              <w:left w:val="single" w:sz="6" w:space="0" w:color="auto"/>
              <w:bottom w:val="outset" w:sz="6" w:space="0" w:color="000000"/>
              <w:right w:val="single" w:sz="6" w:space="0" w:color="auto"/>
            </w:tcBorders>
          </w:tcPr>
          <w:p w14:paraId="277B4B30" w14:textId="77777777" w:rsidR="00C063C0" w:rsidRPr="00CE1053" w:rsidRDefault="00C063C0" w:rsidP="00C063C0">
            <w:pPr>
              <w:jc w:val="center"/>
              <w:rPr>
                <w:b/>
                <w:bCs/>
                <w:color w:val="000000"/>
                <w:lang w:eastAsia="en-US"/>
              </w:rPr>
            </w:pPr>
            <w:r w:rsidRPr="00CE1053">
              <w:rPr>
                <w:b/>
                <w:bCs/>
                <w:color w:val="000000"/>
                <w:lang w:eastAsia="en-US"/>
              </w:rPr>
              <w:t>V. Tiesību akta projekta atbilstība Latvijas Republikas starptautiskajām saistībām</w:t>
            </w:r>
          </w:p>
        </w:tc>
      </w:tr>
      <w:tr w:rsidR="00D81B0A" w:rsidRPr="00CE1053" w14:paraId="27408ADC" w14:textId="77777777" w:rsidTr="00E30361">
        <w:tc>
          <w:tcPr>
            <w:tcW w:w="5000" w:type="pct"/>
            <w:tcBorders>
              <w:top w:val="outset" w:sz="6" w:space="0" w:color="000000"/>
              <w:left w:val="outset" w:sz="6" w:space="0" w:color="000000"/>
              <w:bottom w:val="outset" w:sz="6" w:space="0" w:color="000000"/>
              <w:right w:val="outset" w:sz="6" w:space="0" w:color="000000"/>
            </w:tcBorders>
          </w:tcPr>
          <w:p w14:paraId="62C47EC7" w14:textId="77777777" w:rsidR="00D81B0A" w:rsidRPr="00CE1053" w:rsidRDefault="00D81B0A" w:rsidP="00D81B0A">
            <w:pPr>
              <w:ind w:left="15" w:right="112"/>
              <w:jc w:val="center"/>
              <w:rPr>
                <w:lang w:eastAsia="en-US"/>
              </w:rPr>
            </w:pPr>
            <w:r w:rsidRPr="00CE1053">
              <w:rPr>
                <w:lang w:eastAsia="en-US"/>
              </w:rPr>
              <w:t>Projekts šo jomu neskar.</w:t>
            </w:r>
          </w:p>
        </w:tc>
      </w:tr>
    </w:tbl>
    <w:p w14:paraId="33D3C37D" w14:textId="77777777" w:rsidR="00CD35DF" w:rsidRPr="00CE1053" w:rsidRDefault="00CD35DF" w:rsidP="00C57E86">
      <w:pPr>
        <w:pStyle w:val="Title"/>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2A75AA19" w14:textId="77777777" w:rsidTr="00E30361">
        <w:trPr>
          <w:cantSplit/>
        </w:trPr>
        <w:tc>
          <w:tcPr>
            <w:tcW w:w="5000" w:type="pct"/>
            <w:gridSpan w:val="3"/>
            <w:vAlign w:val="center"/>
            <w:hideMark/>
          </w:tcPr>
          <w:p w14:paraId="5DFF6940" w14:textId="77777777" w:rsidR="00BD5588" w:rsidRPr="00CE1053" w:rsidRDefault="006E2E27" w:rsidP="00C57E86">
            <w:pPr>
              <w:jc w:val="center"/>
              <w:rPr>
                <w:b/>
                <w:bCs/>
                <w:color w:val="0D0D0D" w:themeColor="text1" w:themeTint="F2"/>
              </w:rPr>
            </w:pPr>
            <w:r w:rsidRPr="00CE1053">
              <w:rPr>
                <w:b/>
                <w:bCs/>
                <w:color w:val="0D0D0D" w:themeColor="text1" w:themeTint="F2"/>
              </w:rPr>
              <w:t>VI. Sabiedrības līdzdalība un komunikācijas aktivitātes</w:t>
            </w:r>
          </w:p>
        </w:tc>
      </w:tr>
      <w:tr w:rsidR="00160FEF" w:rsidRPr="00CE1053" w14:paraId="79D7B812" w14:textId="77777777" w:rsidTr="00E30361">
        <w:trPr>
          <w:cantSplit/>
        </w:trPr>
        <w:tc>
          <w:tcPr>
            <w:tcW w:w="302" w:type="pct"/>
            <w:hideMark/>
          </w:tcPr>
          <w:p w14:paraId="7F0B3F7E" w14:textId="77777777" w:rsidR="00160FEF" w:rsidRPr="00CE1053" w:rsidRDefault="00160FEF" w:rsidP="00160FEF">
            <w:pPr>
              <w:jc w:val="center"/>
              <w:rPr>
                <w:color w:val="0D0D0D" w:themeColor="text1" w:themeTint="F2"/>
              </w:rPr>
            </w:pPr>
            <w:r w:rsidRPr="00CE1053">
              <w:rPr>
                <w:color w:val="0D0D0D" w:themeColor="text1" w:themeTint="F2"/>
              </w:rPr>
              <w:t>1.</w:t>
            </w:r>
          </w:p>
        </w:tc>
        <w:tc>
          <w:tcPr>
            <w:tcW w:w="1433" w:type="pct"/>
            <w:hideMark/>
          </w:tcPr>
          <w:p w14:paraId="6D8FD0BD" w14:textId="77777777" w:rsidR="00160FEF" w:rsidRPr="00CE1053" w:rsidRDefault="00160FEF" w:rsidP="00160FEF">
            <w:pPr>
              <w:rPr>
                <w:color w:val="0D0D0D" w:themeColor="text1" w:themeTint="F2"/>
              </w:rPr>
            </w:pPr>
            <w:r w:rsidRPr="00CE1053">
              <w:rPr>
                <w:color w:val="0D0D0D" w:themeColor="text1" w:themeTint="F2"/>
              </w:rPr>
              <w:t>Plānotās sabiedrības līdzdalības un komunikācijas aktivitātes saistībā ar projektu</w:t>
            </w:r>
          </w:p>
        </w:tc>
        <w:tc>
          <w:tcPr>
            <w:tcW w:w="3265" w:type="pct"/>
          </w:tcPr>
          <w:p w14:paraId="4147C830" w14:textId="4F35ED0F" w:rsidR="00160FEF" w:rsidRPr="00D5705A" w:rsidRDefault="009554CE" w:rsidP="00520C75">
            <w:pPr>
              <w:ind w:left="118" w:right="100"/>
              <w:jc w:val="both"/>
              <w:rPr>
                <w:color w:val="0D0D0D" w:themeColor="text1" w:themeTint="F2"/>
                <w:highlight w:val="yellow"/>
              </w:rPr>
            </w:pPr>
            <w:r>
              <w:t xml:space="preserve">Ar </w:t>
            </w:r>
            <w:r w:rsidR="00015CDF" w:rsidRPr="00015CDF">
              <w:t>Ministru kabinet</w:t>
            </w:r>
            <w:r>
              <w:t>a</w:t>
            </w:r>
            <w:r w:rsidR="00015CDF" w:rsidRPr="00015CDF">
              <w:t xml:space="preserve"> </w:t>
            </w:r>
            <w:r>
              <w:t xml:space="preserve">Rīkojumu Nr.397 3.punktu </w:t>
            </w:r>
            <w:r w:rsidR="00015CDF" w:rsidRPr="00015CDF">
              <w:t xml:space="preserve">ir </w:t>
            </w:r>
            <w:r>
              <w:t>noteikts uzdevums</w:t>
            </w:r>
            <w:r w:rsidR="00520C75">
              <w:t xml:space="preserve"> </w:t>
            </w:r>
            <w:r w:rsidR="00015CDF" w:rsidRPr="00015CDF">
              <w:t>virzīt grozījumus Pasta likumā,</w:t>
            </w:r>
            <w:r w:rsidR="00015CDF">
              <w:t xml:space="preserve"> </w:t>
            </w:r>
            <w:r>
              <w:t xml:space="preserve">pagarinot </w:t>
            </w:r>
            <w:r w:rsidR="00015CDF">
              <w:t>Pasta likuma pārejas noteikumu 15. un 21.punkt</w:t>
            </w:r>
            <w:r w:rsidR="00E30361">
              <w:t xml:space="preserve">ā noteiktās kārtības darbības </w:t>
            </w:r>
            <w:r w:rsidR="00015CDF">
              <w:t>termiņ</w:t>
            </w:r>
            <w:r>
              <w:t>u</w:t>
            </w:r>
            <w:r w:rsidR="00015CDF">
              <w:t xml:space="preserve"> uz vienu gadu, kā arī</w:t>
            </w:r>
            <w:r w:rsidR="00015CDF" w:rsidRPr="00015CDF">
              <w:t xml:space="preserve"> </w:t>
            </w:r>
            <w:r>
              <w:t xml:space="preserve">4. un 5.punktā </w:t>
            </w:r>
            <w:r w:rsidR="00015CDF">
              <w:t xml:space="preserve">nosakot uzdevumus, kas </w:t>
            </w:r>
            <w:r w:rsidR="00015CDF" w:rsidRPr="00015CDF">
              <w:t>tiešā veidā saistīt</w:t>
            </w:r>
            <w:r w:rsidR="00520C75">
              <w:t>i</w:t>
            </w:r>
            <w:r w:rsidR="00015CDF" w:rsidRPr="00015CDF">
              <w:t xml:space="preserve"> ar vidēja termiņa budžeta ietvara likumprojekta un likumprojekta “Par valsts budžetu 2021.gadam” sagatavošanas procesu atbilstoši noteiktajam grafikam</w:t>
            </w:r>
            <w:r w:rsidR="00E30361">
              <w:t>.</w:t>
            </w:r>
            <w:r w:rsidR="00520C75">
              <w:t xml:space="preserve"> </w:t>
            </w:r>
            <w:r w:rsidR="00E30361" w:rsidRPr="00015CDF">
              <w:t>Ievērojot</w:t>
            </w:r>
            <w:r w:rsidR="00E30361">
              <w:t xml:space="preserve"> minēto un to, ka </w:t>
            </w:r>
            <w:r>
              <w:t>likum</w:t>
            </w:r>
            <w:r w:rsidR="00E30361">
              <w:t xml:space="preserve">projekts pēc </w:t>
            </w:r>
            <w:r w:rsidR="00E30361" w:rsidRPr="00E30361">
              <w:t>būt</w:t>
            </w:r>
            <w:r w:rsidR="00E30361">
              <w:t>ības ne</w:t>
            </w:r>
            <w:r w:rsidR="00E30361" w:rsidRPr="00E30361">
              <w:t>maina esošo regulējumu</w:t>
            </w:r>
            <w:r w:rsidR="00E30361">
              <w:t>, bet pagarina tā piemērošanas termiņu,</w:t>
            </w:r>
            <w:r w:rsidR="00E30361" w:rsidRPr="00E30361">
              <w:t xml:space="preserve"> </w:t>
            </w:r>
            <w:r w:rsidR="00015CDF" w:rsidRPr="00015CDF">
              <w:t>sabiedrības līdzdalība netiek plānota.</w:t>
            </w:r>
            <w:r>
              <w:t xml:space="preserve"> Papildus vēršam uzmanību, ka Rīkojuma Nr.397 3.punktā noteiktais likumprojekta </w:t>
            </w:r>
            <w:r w:rsidR="00015CDF" w:rsidRPr="00015CDF">
              <w:t xml:space="preserve"> </w:t>
            </w:r>
            <w:r>
              <w:t>iesniegšanas termiņš Ministru kabinetā ir 2020.gada 1.augusts.</w:t>
            </w:r>
          </w:p>
        </w:tc>
      </w:tr>
      <w:tr w:rsidR="00160FEF" w:rsidRPr="00CE1053" w14:paraId="13262BE6" w14:textId="77777777" w:rsidTr="00E30361">
        <w:trPr>
          <w:cantSplit/>
        </w:trPr>
        <w:tc>
          <w:tcPr>
            <w:tcW w:w="302" w:type="pct"/>
            <w:hideMark/>
          </w:tcPr>
          <w:p w14:paraId="63BD7430" w14:textId="77777777" w:rsidR="00160FEF" w:rsidRPr="00CE1053" w:rsidRDefault="00160FEF" w:rsidP="00160FEF">
            <w:pPr>
              <w:jc w:val="center"/>
              <w:rPr>
                <w:color w:val="0D0D0D" w:themeColor="text1" w:themeTint="F2"/>
              </w:rPr>
            </w:pPr>
            <w:r w:rsidRPr="00CE1053">
              <w:rPr>
                <w:color w:val="0D0D0D" w:themeColor="text1" w:themeTint="F2"/>
              </w:rPr>
              <w:t>2.</w:t>
            </w:r>
          </w:p>
        </w:tc>
        <w:tc>
          <w:tcPr>
            <w:tcW w:w="1433" w:type="pct"/>
            <w:hideMark/>
          </w:tcPr>
          <w:p w14:paraId="761F33C5" w14:textId="77777777" w:rsidR="00160FEF" w:rsidRPr="00CE1053" w:rsidRDefault="00160FEF" w:rsidP="00160FEF">
            <w:pPr>
              <w:rPr>
                <w:color w:val="0D0D0D" w:themeColor="text1" w:themeTint="F2"/>
              </w:rPr>
            </w:pPr>
            <w:r w:rsidRPr="00CE1053">
              <w:rPr>
                <w:color w:val="0D0D0D" w:themeColor="text1" w:themeTint="F2"/>
              </w:rPr>
              <w:t>Sabiedrības līdzdalība projekta izstrādē</w:t>
            </w:r>
          </w:p>
        </w:tc>
        <w:tc>
          <w:tcPr>
            <w:tcW w:w="3265" w:type="pct"/>
          </w:tcPr>
          <w:p w14:paraId="261200B5" w14:textId="227C4ED8" w:rsidR="00F72920" w:rsidRPr="00520C75" w:rsidRDefault="00FF46B4" w:rsidP="00160FEF">
            <w:pPr>
              <w:ind w:left="118" w:right="100"/>
              <w:jc w:val="both"/>
            </w:pPr>
            <w:r>
              <w:t>Projekts šo jomu neskar</w:t>
            </w:r>
            <w:r w:rsidR="00015CDF" w:rsidRPr="00520C75">
              <w:t>.</w:t>
            </w:r>
          </w:p>
          <w:p w14:paraId="1BB1E836" w14:textId="245F3F4D" w:rsidR="00160FEF" w:rsidRPr="00520C75" w:rsidRDefault="00160FEF" w:rsidP="00160FEF">
            <w:pPr>
              <w:ind w:left="118" w:right="100"/>
              <w:jc w:val="both"/>
              <w:rPr>
                <w:color w:val="0D0D0D" w:themeColor="text1" w:themeTint="F2"/>
              </w:rPr>
            </w:pPr>
          </w:p>
        </w:tc>
      </w:tr>
      <w:tr w:rsidR="00001750" w:rsidRPr="00CE1053" w14:paraId="550F046E" w14:textId="77777777" w:rsidTr="00E30361">
        <w:trPr>
          <w:cantSplit/>
        </w:trPr>
        <w:tc>
          <w:tcPr>
            <w:tcW w:w="302" w:type="pct"/>
            <w:hideMark/>
          </w:tcPr>
          <w:p w14:paraId="3A6EC696" w14:textId="77777777" w:rsidR="00001750" w:rsidRPr="00CE1053" w:rsidRDefault="00001750" w:rsidP="00001750">
            <w:pPr>
              <w:jc w:val="center"/>
              <w:rPr>
                <w:color w:val="0D0D0D" w:themeColor="text1" w:themeTint="F2"/>
              </w:rPr>
            </w:pPr>
            <w:r w:rsidRPr="00CE1053">
              <w:rPr>
                <w:color w:val="0D0D0D" w:themeColor="text1" w:themeTint="F2"/>
              </w:rPr>
              <w:t>3.</w:t>
            </w:r>
          </w:p>
        </w:tc>
        <w:tc>
          <w:tcPr>
            <w:tcW w:w="1433" w:type="pct"/>
            <w:hideMark/>
          </w:tcPr>
          <w:p w14:paraId="46C52C87" w14:textId="77777777" w:rsidR="00001750" w:rsidRPr="00CE1053" w:rsidRDefault="00001750" w:rsidP="00001750">
            <w:pPr>
              <w:rPr>
                <w:color w:val="0D0D0D" w:themeColor="text1" w:themeTint="F2"/>
              </w:rPr>
            </w:pPr>
            <w:r w:rsidRPr="00CE1053">
              <w:rPr>
                <w:color w:val="0D0D0D" w:themeColor="text1" w:themeTint="F2"/>
              </w:rPr>
              <w:t>Sabiedrības līdzdalības rezultāti</w:t>
            </w:r>
          </w:p>
        </w:tc>
        <w:tc>
          <w:tcPr>
            <w:tcW w:w="3265" w:type="pct"/>
          </w:tcPr>
          <w:p w14:paraId="154A0E30" w14:textId="15E98013" w:rsidR="00001750" w:rsidRPr="00520C75" w:rsidRDefault="00FF46B4" w:rsidP="00001750">
            <w:pPr>
              <w:ind w:left="118" w:right="100"/>
              <w:rPr>
                <w:color w:val="0D0D0D" w:themeColor="text1" w:themeTint="F2"/>
              </w:rPr>
            </w:pPr>
            <w:r>
              <w:t>Projekts šo jomu neskar</w:t>
            </w:r>
            <w:r w:rsidR="00015CDF" w:rsidRPr="00520C75">
              <w:t>.</w:t>
            </w:r>
          </w:p>
        </w:tc>
      </w:tr>
      <w:tr w:rsidR="0031438D" w:rsidRPr="00CE1053" w14:paraId="248E259A" w14:textId="77777777" w:rsidTr="00E30361">
        <w:trPr>
          <w:cantSplit/>
        </w:trPr>
        <w:tc>
          <w:tcPr>
            <w:tcW w:w="302" w:type="pct"/>
            <w:hideMark/>
          </w:tcPr>
          <w:p w14:paraId="3C29C441" w14:textId="77777777" w:rsidR="0031438D" w:rsidRPr="00CE1053" w:rsidRDefault="0031438D" w:rsidP="00C57E86">
            <w:pPr>
              <w:jc w:val="center"/>
              <w:rPr>
                <w:color w:val="0D0D0D" w:themeColor="text1" w:themeTint="F2"/>
              </w:rPr>
            </w:pPr>
            <w:r w:rsidRPr="00CE1053">
              <w:rPr>
                <w:color w:val="0D0D0D" w:themeColor="text1" w:themeTint="F2"/>
              </w:rPr>
              <w:t>4.</w:t>
            </w:r>
          </w:p>
        </w:tc>
        <w:tc>
          <w:tcPr>
            <w:tcW w:w="1433" w:type="pct"/>
            <w:hideMark/>
          </w:tcPr>
          <w:p w14:paraId="295AD8B7" w14:textId="77777777" w:rsidR="0031438D" w:rsidRPr="00CE1053" w:rsidRDefault="0031438D" w:rsidP="00C57E86">
            <w:pPr>
              <w:rPr>
                <w:color w:val="0D0D0D" w:themeColor="text1" w:themeTint="F2"/>
              </w:rPr>
            </w:pPr>
            <w:r w:rsidRPr="00CE1053">
              <w:rPr>
                <w:color w:val="0D0D0D" w:themeColor="text1" w:themeTint="F2"/>
              </w:rPr>
              <w:t>Cita informācija</w:t>
            </w:r>
          </w:p>
        </w:tc>
        <w:tc>
          <w:tcPr>
            <w:tcW w:w="3265" w:type="pct"/>
            <w:hideMark/>
          </w:tcPr>
          <w:p w14:paraId="1D38BBED" w14:textId="77777777" w:rsidR="0031438D" w:rsidRPr="00CE1053" w:rsidRDefault="0031438D" w:rsidP="00B93AE6">
            <w:pPr>
              <w:ind w:left="118" w:right="100"/>
              <w:rPr>
                <w:color w:val="0D0D0D" w:themeColor="text1" w:themeTint="F2"/>
              </w:rPr>
            </w:pPr>
            <w:r w:rsidRPr="00CE1053">
              <w:rPr>
                <w:color w:val="0D0D0D" w:themeColor="text1" w:themeTint="F2"/>
              </w:rPr>
              <w:t>Nav.</w:t>
            </w:r>
          </w:p>
        </w:tc>
      </w:tr>
    </w:tbl>
    <w:p w14:paraId="7C4548C1" w14:textId="77777777" w:rsidR="006959D9" w:rsidRDefault="006959D9" w:rsidP="00C57E86">
      <w:pPr>
        <w:pStyle w:val="Title"/>
        <w:ind w:firstLine="539"/>
        <w:jc w:val="both"/>
        <w:rPr>
          <w:color w:val="0D0D0D" w:themeColor="text1" w:themeTint="F2"/>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9D2D72" w:rsidRPr="00CE1053" w14:paraId="379C01EA" w14:textId="77777777" w:rsidTr="00E30361">
        <w:trPr>
          <w:cantSplit/>
        </w:trPr>
        <w:tc>
          <w:tcPr>
            <w:tcW w:w="5000" w:type="pct"/>
            <w:gridSpan w:val="3"/>
            <w:vAlign w:val="center"/>
            <w:hideMark/>
          </w:tcPr>
          <w:p w14:paraId="1F5FC1D6" w14:textId="77777777" w:rsidR="00BD5588" w:rsidRPr="00CE1053" w:rsidRDefault="006E2E27" w:rsidP="00C57E86">
            <w:pPr>
              <w:jc w:val="center"/>
              <w:rPr>
                <w:b/>
                <w:bCs/>
                <w:color w:val="0D0D0D" w:themeColor="text1" w:themeTint="F2"/>
              </w:rPr>
            </w:pPr>
            <w:r w:rsidRPr="00CE1053">
              <w:rPr>
                <w:b/>
                <w:bCs/>
                <w:color w:val="0D0D0D" w:themeColor="text1" w:themeTint="F2"/>
              </w:rPr>
              <w:t>VII. Tiesību akta projekta izpildes nodrošināšana un tās ietekme uz institūcijām</w:t>
            </w:r>
          </w:p>
        </w:tc>
      </w:tr>
      <w:tr w:rsidR="009D2D72" w:rsidRPr="00CE1053" w14:paraId="55606380" w14:textId="77777777" w:rsidTr="00E30361">
        <w:tc>
          <w:tcPr>
            <w:tcW w:w="302" w:type="pct"/>
            <w:hideMark/>
          </w:tcPr>
          <w:p w14:paraId="7702394F" w14:textId="77777777" w:rsidR="00BD5588" w:rsidRPr="00CE1053" w:rsidRDefault="006E2E27" w:rsidP="00C57E86">
            <w:pPr>
              <w:jc w:val="center"/>
              <w:rPr>
                <w:color w:val="0D0D0D" w:themeColor="text1" w:themeTint="F2"/>
              </w:rPr>
            </w:pPr>
            <w:r w:rsidRPr="00CE1053">
              <w:rPr>
                <w:color w:val="0D0D0D" w:themeColor="text1" w:themeTint="F2"/>
              </w:rPr>
              <w:t>1.</w:t>
            </w:r>
          </w:p>
        </w:tc>
        <w:tc>
          <w:tcPr>
            <w:tcW w:w="1433" w:type="pct"/>
            <w:hideMark/>
          </w:tcPr>
          <w:p w14:paraId="2B5D7A98" w14:textId="77777777" w:rsidR="00BD5588" w:rsidRPr="00CE1053" w:rsidRDefault="006E2E27" w:rsidP="00C57E86">
            <w:pPr>
              <w:rPr>
                <w:color w:val="0D0D0D" w:themeColor="text1" w:themeTint="F2"/>
              </w:rPr>
            </w:pPr>
            <w:r w:rsidRPr="00CE1053">
              <w:rPr>
                <w:color w:val="0D0D0D" w:themeColor="text1" w:themeTint="F2"/>
              </w:rPr>
              <w:t>Projekta izpildē iesaistītās institūcijas</w:t>
            </w:r>
          </w:p>
        </w:tc>
        <w:tc>
          <w:tcPr>
            <w:tcW w:w="3265" w:type="pct"/>
          </w:tcPr>
          <w:p w14:paraId="3C34EC77" w14:textId="1CB07EDB" w:rsidR="00186C12" w:rsidRPr="00CE1053" w:rsidRDefault="00001750" w:rsidP="00B93AE6">
            <w:pPr>
              <w:ind w:left="118" w:right="100"/>
              <w:jc w:val="both"/>
              <w:rPr>
                <w:color w:val="0D0D0D" w:themeColor="text1" w:themeTint="F2"/>
              </w:rPr>
            </w:pPr>
            <w:r w:rsidRPr="00CE1053">
              <w:rPr>
                <w:color w:val="0D0D0D" w:themeColor="text1" w:themeTint="F2"/>
              </w:rPr>
              <w:t xml:space="preserve">Satiksmes ministrija, </w:t>
            </w:r>
            <w:r w:rsidR="00745521">
              <w:rPr>
                <w:color w:val="0D0D0D" w:themeColor="text1" w:themeTint="F2"/>
              </w:rPr>
              <w:t>Regulators</w:t>
            </w:r>
            <w:r w:rsidR="00F72920" w:rsidRPr="00F72920">
              <w:rPr>
                <w:color w:val="0D0D0D" w:themeColor="text1" w:themeTint="F2"/>
              </w:rPr>
              <w:t>.</w:t>
            </w:r>
          </w:p>
        </w:tc>
      </w:tr>
      <w:tr w:rsidR="009D2D72" w:rsidRPr="00CE1053" w14:paraId="42664D67" w14:textId="77777777" w:rsidTr="00E30361">
        <w:tc>
          <w:tcPr>
            <w:tcW w:w="302" w:type="pct"/>
            <w:hideMark/>
          </w:tcPr>
          <w:p w14:paraId="6DD61045" w14:textId="77777777" w:rsidR="00BD5588" w:rsidRPr="00CE1053" w:rsidRDefault="006E2E27" w:rsidP="00C57E86">
            <w:pPr>
              <w:jc w:val="center"/>
              <w:rPr>
                <w:color w:val="0D0D0D" w:themeColor="text1" w:themeTint="F2"/>
              </w:rPr>
            </w:pPr>
            <w:r w:rsidRPr="00CE1053">
              <w:rPr>
                <w:color w:val="0D0D0D" w:themeColor="text1" w:themeTint="F2"/>
              </w:rPr>
              <w:t>2.</w:t>
            </w:r>
          </w:p>
        </w:tc>
        <w:tc>
          <w:tcPr>
            <w:tcW w:w="1433" w:type="pct"/>
            <w:hideMark/>
          </w:tcPr>
          <w:p w14:paraId="483B210D" w14:textId="77777777" w:rsidR="00BD5588" w:rsidRPr="00CE1053" w:rsidRDefault="006E2E27" w:rsidP="00C57E86">
            <w:pPr>
              <w:rPr>
                <w:color w:val="0D0D0D" w:themeColor="text1" w:themeTint="F2"/>
              </w:rPr>
            </w:pPr>
            <w:r w:rsidRPr="00CE1053">
              <w:rPr>
                <w:color w:val="0D0D0D" w:themeColor="text1" w:themeTint="F2"/>
              </w:rPr>
              <w:t>Projekta izpildes ietekme uz pārvaldes funkcijām un institucionālo struktūru.</w:t>
            </w:r>
            <w:r w:rsidRPr="00CE1053">
              <w:rPr>
                <w:color w:val="0D0D0D" w:themeColor="text1" w:themeTint="F2"/>
              </w:rPr>
              <w:br/>
              <w:t>Jaunu institūciju izveide, esošu institūciju likvidācija vai reorganizācija, to ietekme uz institūcijas cilvēkresursiem</w:t>
            </w:r>
          </w:p>
        </w:tc>
        <w:tc>
          <w:tcPr>
            <w:tcW w:w="3265" w:type="pct"/>
          </w:tcPr>
          <w:p w14:paraId="1F6FBE79" w14:textId="7250E8A6" w:rsidR="00C83401" w:rsidRPr="00CE1053" w:rsidRDefault="00C83401" w:rsidP="00B93AE6">
            <w:pPr>
              <w:ind w:left="118" w:right="100"/>
              <w:jc w:val="both"/>
              <w:rPr>
                <w:color w:val="0D0D0D" w:themeColor="text1" w:themeTint="F2"/>
              </w:rPr>
            </w:pPr>
            <w:r w:rsidRPr="00CE1053">
              <w:rPr>
                <w:color w:val="0D0D0D" w:themeColor="text1" w:themeTint="F2"/>
              </w:rPr>
              <w:t xml:space="preserve">Satiksmes ministrijas un </w:t>
            </w:r>
            <w:r w:rsidR="00745521">
              <w:rPr>
                <w:color w:val="0D0D0D" w:themeColor="text1" w:themeTint="F2"/>
              </w:rPr>
              <w:t>Regulatora</w:t>
            </w:r>
            <w:r w:rsidR="00F72920">
              <w:rPr>
                <w:color w:val="0D0D0D" w:themeColor="text1" w:themeTint="F2"/>
              </w:rPr>
              <w:t xml:space="preserve"> </w:t>
            </w:r>
            <w:r w:rsidRPr="00CE1053">
              <w:rPr>
                <w:color w:val="0D0D0D" w:themeColor="text1" w:themeTint="F2"/>
              </w:rPr>
              <w:t>funkcijas un uzdevumi netiek paplašināti vai sašaurināti.</w:t>
            </w:r>
          </w:p>
          <w:p w14:paraId="1CEAFE21" w14:textId="77777777" w:rsidR="00C83401" w:rsidRPr="00CE1053" w:rsidRDefault="00C83401" w:rsidP="00C83401">
            <w:pPr>
              <w:ind w:left="118" w:right="100"/>
              <w:jc w:val="both"/>
              <w:rPr>
                <w:color w:val="0D0D0D" w:themeColor="text1" w:themeTint="F2"/>
              </w:rPr>
            </w:pPr>
            <w:r w:rsidRPr="00CE1053">
              <w:rPr>
                <w:color w:val="0D0D0D" w:themeColor="text1" w:themeTint="F2"/>
              </w:rPr>
              <w:t xml:space="preserve">Likumprojekta īstenošana tiks veikta esošo cilvēkresursu ietvaros. </w:t>
            </w:r>
          </w:p>
          <w:p w14:paraId="7E23E71D" w14:textId="77777777" w:rsidR="00D75968" w:rsidRPr="00CE1053" w:rsidRDefault="006C2881" w:rsidP="00B93AE6">
            <w:pPr>
              <w:ind w:left="118" w:right="100"/>
              <w:jc w:val="both"/>
              <w:rPr>
                <w:color w:val="0D0D0D" w:themeColor="text1" w:themeTint="F2"/>
              </w:rPr>
            </w:pPr>
            <w:r w:rsidRPr="00CE1053">
              <w:rPr>
                <w:color w:val="0D0D0D" w:themeColor="text1" w:themeTint="F2"/>
              </w:rPr>
              <w:t xml:space="preserve">Jaunu institūciju izveide, esošu institūciju likvidācija vai reorganizācija netiek </w:t>
            </w:r>
            <w:r w:rsidR="00482F35" w:rsidRPr="00CE1053">
              <w:rPr>
                <w:color w:val="0D0D0D" w:themeColor="text1" w:themeTint="F2"/>
              </w:rPr>
              <w:t>plānota</w:t>
            </w:r>
            <w:r w:rsidRPr="00CE1053">
              <w:rPr>
                <w:color w:val="0D0D0D" w:themeColor="text1" w:themeTint="F2"/>
              </w:rPr>
              <w:t>.</w:t>
            </w:r>
          </w:p>
        </w:tc>
      </w:tr>
      <w:tr w:rsidR="00477344" w:rsidRPr="00CE1053" w14:paraId="603F2D99" w14:textId="77777777" w:rsidTr="00E30361">
        <w:tc>
          <w:tcPr>
            <w:tcW w:w="302" w:type="pct"/>
            <w:hideMark/>
          </w:tcPr>
          <w:p w14:paraId="69B44AA6" w14:textId="77777777" w:rsidR="00BD5588" w:rsidRPr="00CE1053" w:rsidRDefault="006E2E27" w:rsidP="00C57E86">
            <w:pPr>
              <w:jc w:val="center"/>
              <w:rPr>
                <w:color w:val="0D0D0D" w:themeColor="text1" w:themeTint="F2"/>
              </w:rPr>
            </w:pPr>
            <w:r w:rsidRPr="00CE1053">
              <w:rPr>
                <w:color w:val="0D0D0D" w:themeColor="text1" w:themeTint="F2"/>
              </w:rPr>
              <w:t>3.</w:t>
            </w:r>
          </w:p>
        </w:tc>
        <w:tc>
          <w:tcPr>
            <w:tcW w:w="1433" w:type="pct"/>
            <w:hideMark/>
          </w:tcPr>
          <w:p w14:paraId="44A0A12A" w14:textId="77777777" w:rsidR="00BD5588" w:rsidRPr="00CE1053" w:rsidRDefault="006E2E27" w:rsidP="00C57E86">
            <w:pPr>
              <w:rPr>
                <w:color w:val="0D0D0D" w:themeColor="text1" w:themeTint="F2"/>
              </w:rPr>
            </w:pPr>
            <w:r w:rsidRPr="00CE1053">
              <w:rPr>
                <w:color w:val="0D0D0D" w:themeColor="text1" w:themeTint="F2"/>
              </w:rPr>
              <w:t>Cita informācija</w:t>
            </w:r>
          </w:p>
        </w:tc>
        <w:tc>
          <w:tcPr>
            <w:tcW w:w="3265" w:type="pct"/>
            <w:hideMark/>
          </w:tcPr>
          <w:p w14:paraId="6153A072" w14:textId="77777777" w:rsidR="00A04176" w:rsidRPr="00CE1053" w:rsidRDefault="006E2E27" w:rsidP="00C57E86">
            <w:pPr>
              <w:rPr>
                <w:color w:val="0D0D0D" w:themeColor="text1" w:themeTint="F2"/>
              </w:rPr>
            </w:pPr>
            <w:r w:rsidRPr="00CE1053">
              <w:rPr>
                <w:color w:val="0D0D0D" w:themeColor="text1" w:themeTint="F2"/>
              </w:rPr>
              <w:t>Nav.</w:t>
            </w:r>
          </w:p>
        </w:tc>
      </w:tr>
    </w:tbl>
    <w:p w14:paraId="5E4998C6" w14:textId="71214B6E" w:rsidR="006A3143" w:rsidRDefault="006A3143" w:rsidP="00B5421E">
      <w:pPr>
        <w:ind w:firstLine="709"/>
        <w:jc w:val="both"/>
        <w:rPr>
          <w:sz w:val="28"/>
          <w:szCs w:val="28"/>
        </w:rPr>
      </w:pPr>
    </w:p>
    <w:p w14:paraId="2557A343" w14:textId="77777777" w:rsidR="006A3143" w:rsidRPr="0070174F" w:rsidRDefault="006A3143" w:rsidP="00B5421E">
      <w:pPr>
        <w:ind w:firstLine="709"/>
        <w:jc w:val="both"/>
        <w:rPr>
          <w:sz w:val="28"/>
          <w:szCs w:val="28"/>
        </w:rPr>
      </w:pPr>
    </w:p>
    <w:p w14:paraId="4876DC6A" w14:textId="77777777" w:rsidR="006A3143" w:rsidRPr="0070174F" w:rsidRDefault="006A3143" w:rsidP="00B5421E">
      <w:pPr>
        <w:ind w:firstLine="709"/>
        <w:jc w:val="both"/>
        <w:rPr>
          <w:sz w:val="28"/>
          <w:szCs w:val="28"/>
        </w:rPr>
      </w:pPr>
    </w:p>
    <w:p w14:paraId="12F2AB59" w14:textId="77777777" w:rsidR="006A3143" w:rsidRPr="0070174F" w:rsidRDefault="006A3143" w:rsidP="00B5421E">
      <w:pPr>
        <w:tabs>
          <w:tab w:val="left" w:pos="6521"/>
        </w:tabs>
        <w:ind w:firstLine="709"/>
        <w:rPr>
          <w:sz w:val="28"/>
          <w:szCs w:val="28"/>
        </w:rPr>
      </w:pPr>
      <w:r w:rsidRPr="0070174F">
        <w:rPr>
          <w:sz w:val="28"/>
          <w:szCs w:val="28"/>
        </w:rPr>
        <w:t>Satiksmes ministrs</w:t>
      </w:r>
      <w:r w:rsidRPr="0070174F">
        <w:rPr>
          <w:sz w:val="28"/>
          <w:szCs w:val="28"/>
        </w:rPr>
        <w:tab/>
        <w:t>T.</w:t>
      </w:r>
      <w:r>
        <w:rPr>
          <w:sz w:val="28"/>
          <w:szCs w:val="28"/>
        </w:rPr>
        <w:t> </w:t>
      </w:r>
      <w:r w:rsidRPr="0070174F">
        <w:rPr>
          <w:sz w:val="28"/>
          <w:szCs w:val="28"/>
        </w:rPr>
        <w:t>Linkaits</w:t>
      </w:r>
    </w:p>
    <w:p w14:paraId="404D69E3" w14:textId="20FA5034" w:rsidR="00256CE8" w:rsidRDefault="00256CE8"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74372633" w14:textId="73D01BDD" w:rsidR="00FF46B4" w:rsidRDefault="00FF46B4"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11C9EDB7" w14:textId="77777777" w:rsidR="006A3143" w:rsidRDefault="006A3143" w:rsidP="004A15F9">
      <w:pPr>
        <w:pStyle w:val="Body"/>
        <w:tabs>
          <w:tab w:val="left" w:pos="6237"/>
        </w:tabs>
        <w:spacing w:after="0" w:line="240" w:lineRule="auto"/>
        <w:ind w:firstLine="709"/>
        <w:jc w:val="both"/>
        <w:rPr>
          <w:rFonts w:ascii="Times New Roman" w:hAnsi="Times New Roman"/>
          <w:color w:val="auto"/>
          <w:sz w:val="24"/>
          <w:szCs w:val="24"/>
          <w:lang w:val="de-DE"/>
        </w:rPr>
      </w:pPr>
    </w:p>
    <w:p w14:paraId="2CACA1E8" w14:textId="4DD14A6E" w:rsidR="006A3143" w:rsidRDefault="006A3143" w:rsidP="006A3143">
      <w:pPr>
        <w:rPr>
          <w:sz w:val="16"/>
          <w:szCs w:val="16"/>
        </w:rPr>
      </w:pP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1681</w:t>
      </w:r>
      <w:r w:rsidRPr="008709C1">
        <w:rPr>
          <w:sz w:val="16"/>
          <w:szCs w:val="16"/>
        </w:rPr>
        <w:fldChar w:fldCharType="end"/>
      </w:r>
    </w:p>
    <w:sectPr w:rsidR="006A3143" w:rsidSect="009E01C8">
      <w:headerReference w:type="default" r:id="rId8"/>
      <w:footerReference w:type="default" r:id="rId9"/>
      <w:headerReference w:type="first" r:id="rId10"/>
      <w:footerReference w:type="first" r:id="rId11"/>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3545A" w14:textId="77777777" w:rsidR="002B08C1" w:rsidRDefault="002B08C1">
      <w:r>
        <w:separator/>
      </w:r>
    </w:p>
  </w:endnote>
  <w:endnote w:type="continuationSeparator" w:id="0">
    <w:p w14:paraId="0F2C165D" w14:textId="77777777" w:rsidR="002B08C1" w:rsidRDefault="002B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7E99" w14:textId="77777777" w:rsidR="006A3143" w:rsidRPr="00724AEF" w:rsidRDefault="006A3143" w:rsidP="006A3143">
    <w:pPr>
      <w:pStyle w:val="Footer"/>
      <w:rPr>
        <w:sz w:val="20"/>
        <w:szCs w:val="20"/>
      </w:rPr>
    </w:pPr>
    <w:r>
      <w:rPr>
        <w:sz w:val="20"/>
        <w:szCs w:val="20"/>
      </w:rPr>
      <w:t>SMAnot_230720_PLpagar  (TA-1424)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787AC79B" w:rsidR="00520C75" w:rsidRPr="00724AEF" w:rsidRDefault="00520C75">
    <w:pPr>
      <w:pStyle w:val="Footer"/>
      <w:rPr>
        <w:sz w:val="20"/>
        <w:szCs w:val="20"/>
      </w:rPr>
    </w:pPr>
    <w:r>
      <w:rPr>
        <w:sz w:val="20"/>
        <w:szCs w:val="20"/>
      </w:rPr>
      <w:t>SMAnot_</w:t>
    </w:r>
    <w:r w:rsidR="008105EC">
      <w:rPr>
        <w:sz w:val="20"/>
        <w:szCs w:val="20"/>
      </w:rPr>
      <w:t>23</w:t>
    </w:r>
    <w:r>
      <w:rPr>
        <w:sz w:val="20"/>
        <w:szCs w:val="20"/>
      </w:rPr>
      <w:t>0720_PLpagar</w:t>
    </w:r>
    <w:r w:rsidR="006A3143">
      <w:rPr>
        <w:sz w:val="20"/>
        <w:szCs w:val="20"/>
      </w:rPr>
      <w:t xml:space="preserve">  (TA-1424)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B62" w14:textId="77777777" w:rsidR="002B08C1" w:rsidRDefault="002B08C1">
      <w:r>
        <w:separator/>
      </w:r>
    </w:p>
  </w:footnote>
  <w:footnote w:type="continuationSeparator" w:id="0">
    <w:p w14:paraId="76FA97AA" w14:textId="77777777" w:rsidR="002B08C1" w:rsidRDefault="002B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14:paraId="5B087C35" w14:textId="0D733019" w:rsidR="00520C75" w:rsidRDefault="00520C75">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6F91E95F" w14:textId="77777777" w:rsidR="00520C75" w:rsidRDefault="0052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B1C" w14:textId="77777777" w:rsidR="00520C75" w:rsidRDefault="00520C75">
    <w:pPr>
      <w:pStyle w:val="Header"/>
      <w:jc w:val="center"/>
    </w:pPr>
  </w:p>
  <w:p w14:paraId="13B61BCE" w14:textId="77777777" w:rsidR="00520C75" w:rsidRDefault="0052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13013"/>
    <w:rsid w:val="00013DFF"/>
    <w:rsid w:val="00015CDF"/>
    <w:rsid w:val="00016532"/>
    <w:rsid w:val="00016C8A"/>
    <w:rsid w:val="000327DA"/>
    <w:rsid w:val="0005046D"/>
    <w:rsid w:val="00050F6B"/>
    <w:rsid w:val="00061A2B"/>
    <w:rsid w:val="000627C8"/>
    <w:rsid w:val="00064101"/>
    <w:rsid w:val="00064E15"/>
    <w:rsid w:val="000716F8"/>
    <w:rsid w:val="0007259E"/>
    <w:rsid w:val="0007285D"/>
    <w:rsid w:val="00073B5D"/>
    <w:rsid w:val="000750CA"/>
    <w:rsid w:val="00076770"/>
    <w:rsid w:val="00080B22"/>
    <w:rsid w:val="000827E1"/>
    <w:rsid w:val="00083D2F"/>
    <w:rsid w:val="00087FF0"/>
    <w:rsid w:val="00091E78"/>
    <w:rsid w:val="000941F9"/>
    <w:rsid w:val="00095D84"/>
    <w:rsid w:val="0009692F"/>
    <w:rsid w:val="000A1276"/>
    <w:rsid w:val="000A3BA3"/>
    <w:rsid w:val="000B4ECF"/>
    <w:rsid w:val="000C0750"/>
    <w:rsid w:val="000C3A62"/>
    <w:rsid w:val="000C3CF0"/>
    <w:rsid w:val="000D1A8E"/>
    <w:rsid w:val="000D1C35"/>
    <w:rsid w:val="000D2A18"/>
    <w:rsid w:val="000D4F08"/>
    <w:rsid w:val="000E0E0F"/>
    <w:rsid w:val="000E1CF9"/>
    <w:rsid w:val="000E2382"/>
    <w:rsid w:val="000E3638"/>
    <w:rsid w:val="000E544A"/>
    <w:rsid w:val="000E5552"/>
    <w:rsid w:val="000E66A2"/>
    <w:rsid w:val="000E7319"/>
    <w:rsid w:val="000F6ECD"/>
    <w:rsid w:val="0010414C"/>
    <w:rsid w:val="00107009"/>
    <w:rsid w:val="00107A3C"/>
    <w:rsid w:val="001134FF"/>
    <w:rsid w:val="001210B3"/>
    <w:rsid w:val="001212C7"/>
    <w:rsid w:val="0012499A"/>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090"/>
    <w:rsid w:val="0016772E"/>
    <w:rsid w:val="00180FFD"/>
    <w:rsid w:val="001838FA"/>
    <w:rsid w:val="00185238"/>
    <w:rsid w:val="00186C12"/>
    <w:rsid w:val="00190134"/>
    <w:rsid w:val="001918E5"/>
    <w:rsid w:val="001924B0"/>
    <w:rsid w:val="00194508"/>
    <w:rsid w:val="00194622"/>
    <w:rsid w:val="00195125"/>
    <w:rsid w:val="001952D5"/>
    <w:rsid w:val="001968CC"/>
    <w:rsid w:val="00197437"/>
    <w:rsid w:val="001A44A7"/>
    <w:rsid w:val="001C2F9F"/>
    <w:rsid w:val="001C6B11"/>
    <w:rsid w:val="001C7039"/>
    <w:rsid w:val="001C78BC"/>
    <w:rsid w:val="001D2B08"/>
    <w:rsid w:val="001E5E7A"/>
    <w:rsid w:val="001F25E9"/>
    <w:rsid w:val="001F417F"/>
    <w:rsid w:val="001F4915"/>
    <w:rsid w:val="001F4937"/>
    <w:rsid w:val="002117C7"/>
    <w:rsid w:val="00212338"/>
    <w:rsid w:val="00215AD2"/>
    <w:rsid w:val="00222910"/>
    <w:rsid w:val="00233C77"/>
    <w:rsid w:val="00234AEC"/>
    <w:rsid w:val="00242006"/>
    <w:rsid w:val="00242AF5"/>
    <w:rsid w:val="0024432F"/>
    <w:rsid w:val="002460C3"/>
    <w:rsid w:val="00250051"/>
    <w:rsid w:val="00254DA2"/>
    <w:rsid w:val="00256CE8"/>
    <w:rsid w:val="00257ACC"/>
    <w:rsid w:val="00261E56"/>
    <w:rsid w:val="0026204A"/>
    <w:rsid w:val="002624DC"/>
    <w:rsid w:val="00276EF6"/>
    <w:rsid w:val="00277AF4"/>
    <w:rsid w:val="00281D41"/>
    <w:rsid w:val="00282F30"/>
    <w:rsid w:val="0028723B"/>
    <w:rsid w:val="002925EF"/>
    <w:rsid w:val="002973B0"/>
    <w:rsid w:val="002A1F53"/>
    <w:rsid w:val="002A524E"/>
    <w:rsid w:val="002A68F1"/>
    <w:rsid w:val="002B08C1"/>
    <w:rsid w:val="002B15D7"/>
    <w:rsid w:val="002B2526"/>
    <w:rsid w:val="002B3363"/>
    <w:rsid w:val="002B378B"/>
    <w:rsid w:val="002B4811"/>
    <w:rsid w:val="002B5130"/>
    <w:rsid w:val="002B6819"/>
    <w:rsid w:val="002C04B1"/>
    <w:rsid w:val="002C28C9"/>
    <w:rsid w:val="002C73FC"/>
    <w:rsid w:val="002D363B"/>
    <w:rsid w:val="002E0C5E"/>
    <w:rsid w:val="002E1E15"/>
    <w:rsid w:val="002E4A3E"/>
    <w:rsid w:val="002E553E"/>
    <w:rsid w:val="002F04B5"/>
    <w:rsid w:val="002F13F2"/>
    <w:rsid w:val="002F1910"/>
    <w:rsid w:val="002F4E07"/>
    <w:rsid w:val="002F5D9A"/>
    <w:rsid w:val="002F635E"/>
    <w:rsid w:val="00300AF8"/>
    <w:rsid w:val="00304F54"/>
    <w:rsid w:val="0031438D"/>
    <w:rsid w:val="00315987"/>
    <w:rsid w:val="0031736A"/>
    <w:rsid w:val="003222C8"/>
    <w:rsid w:val="00324CE0"/>
    <w:rsid w:val="0032633A"/>
    <w:rsid w:val="0032645A"/>
    <w:rsid w:val="0033169C"/>
    <w:rsid w:val="00333796"/>
    <w:rsid w:val="00340631"/>
    <w:rsid w:val="00345BBE"/>
    <w:rsid w:val="003506D4"/>
    <w:rsid w:val="00361D60"/>
    <w:rsid w:val="003647D9"/>
    <w:rsid w:val="00372469"/>
    <w:rsid w:val="00372A0D"/>
    <w:rsid w:val="00373211"/>
    <w:rsid w:val="00373B35"/>
    <w:rsid w:val="00374635"/>
    <w:rsid w:val="00382272"/>
    <w:rsid w:val="0038239F"/>
    <w:rsid w:val="00386489"/>
    <w:rsid w:val="00386BCF"/>
    <w:rsid w:val="00391EDE"/>
    <w:rsid w:val="003940D4"/>
    <w:rsid w:val="00396B49"/>
    <w:rsid w:val="00396DAD"/>
    <w:rsid w:val="003A166B"/>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34D5"/>
    <w:rsid w:val="004248D7"/>
    <w:rsid w:val="00427942"/>
    <w:rsid w:val="00430082"/>
    <w:rsid w:val="004306D5"/>
    <w:rsid w:val="00430AA0"/>
    <w:rsid w:val="0043693B"/>
    <w:rsid w:val="004421D6"/>
    <w:rsid w:val="00450C55"/>
    <w:rsid w:val="00456AE6"/>
    <w:rsid w:val="004625C2"/>
    <w:rsid w:val="00463864"/>
    <w:rsid w:val="00466239"/>
    <w:rsid w:val="0046743C"/>
    <w:rsid w:val="00471F77"/>
    <w:rsid w:val="00472796"/>
    <w:rsid w:val="004748F8"/>
    <w:rsid w:val="0047561F"/>
    <w:rsid w:val="004767B3"/>
    <w:rsid w:val="00477344"/>
    <w:rsid w:val="00482F35"/>
    <w:rsid w:val="0048395C"/>
    <w:rsid w:val="00484BB8"/>
    <w:rsid w:val="0049307D"/>
    <w:rsid w:val="00493218"/>
    <w:rsid w:val="00496A5E"/>
    <w:rsid w:val="00497FAC"/>
    <w:rsid w:val="004A06F5"/>
    <w:rsid w:val="004A15F9"/>
    <w:rsid w:val="004A177C"/>
    <w:rsid w:val="004A22E4"/>
    <w:rsid w:val="004A36D5"/>
    <w:rsid w:val="004A62AE"/>
    <w:rsid w:val="004A6C6A"/>
    <w:rsid w:val="004B2030"/>
    <w:rsid w:val="004B29D5"/>
    <w:rsid w:val="004B3D68"/>
    <w:rsid w:val="004B3F31"/>
    <w:rsid w:val="004C14EF"/>
    <w:rsid w:val="004C6231"/>
    <w:rsid w:val="004C7158"/>
    <w:rsid w:val="004C7A5A"/>
    <w:rsid w:val="004D0C3F"/>
    <w:rsid w:val="004E29E9"/>
    <w:rsid w:val="004E2B46"/>
    <w:rsid w:val="004E2E2A"/>
    <w:rsid w:val="004E5314"/>
    <w:rsid w:val="004E7635"/>
    <w:rsid w:val="004F3CA0"/>
    <w:rsid w:val="00502FC5"/>
    <w:rsid w:val="005037C0"/>
    <w:rsid w:val="0051573C"/>
    <w:rsid w:val="00520C75"/>
    <w:rsid w:val="005248D5"/>
    <w:rsid w:val="00535A32"/>
    <w:rsid w:val="005402D9"/>
    <w:rsid w:val="00541887"/>
    <w:rsid w:val="00544914"/>
    <w:rsid w:val="00544C7C"/>
    <w:rsid w:val="0054706B"/>
    <w:rsid w:val="00554BAE"/>
    <w:rsid w:val="005559D2"/>
    <w:rsid w:val="005574ED"/>
    <w:rsid w:val="00563DDE"/>
    <w:rsid w:val="00564033"/>
    <w:rsid w:val="0056500C"/>
    <w:rsid w:val="00566F01"/>
    <w:rsid w:val="00576387"/>
    <w:rsid w:val="0058405A"/>
    <w:rsid w:val="00584751"/>
    <w:rsid w:val="005865CF"/>
    <w:rsid w:val="00590D47"/>
    <w:rsid w:val="005919B9"/>
    <w:rsid w:val="00594358"/>
    <w:rsid w:val="00595B12"/>
    <w:rsid w:val="005A4EA0"/>
    <w:rsid w:val="005A78F1"/>
    <w:rsid w:val="005B28E5"/>
    <w:rsid w:val="005B61C6"/>
    <w:rsid w:val="005C294B"/>
    <w:rsid w:val="005C4F7F"/>
    <w:rsid w:val="005D28CA"/>
    <w:rsid w:val="005E1041"/>
    <w:rsid w:val="005F0472"/>
    <w:rsid w:val="005F276C"/>
    <w:rsid w:val="00611993"/>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322F"/>
    <w:rsid w:val="00664900"/>
    <w:rsid w:val="00672624"/>
    <w:rsid w:val="00674491"/>
    <w:rsid w:val="00680D02"/>
    <w:rsid w:val="006878DE"/>
    <w:rsid w:val="00687940"/>
    <w:rsid w:val="0069037C"/>
    <w:rsid w:val="00693AE3"/>
    <w:rsid w:val="006942BA"/>
    <w:rsid w:val="00694426"/>
    <w:rsid w:val="006959D9"/>
    <w:rsid w:val="006963F4"/>
    <w:rsid w:val="006A0E20"/>
    <w:rsid w:val="006A3143"/>
    <w:rsid w:val="006A4D3C"/>
    <w:rsid w:val="006A53AB"/>
    <w:rsid w:val="006B18A4"/>
    <w:rsid w:val="006B742D"/>
    <w:rsid w:val="006C21B3"/>
    <w:rsid w:val="006C25E8"/>
    <w:rsid w:val="006C2881"/>
    <w:rsid w:val="006C4C7A"/>
    <w:rsid w:val="006D2925"/>
    <w:rsid w:val="006D36C2"/>
    <w:rsid w:val="006E176F"/>
    <w:rsid w:val="006E22EB"/>
    <w:rsid w:val="006E2E27"/>
    <w:rsid w:val="006E704D"/>
    <w:rsid w:val="006F1C6A"/>
    <w:rsid w:val="006F58BA"/>
    <w:rsid w:val="006F7FBA"/>
    <w:rsid w:val="007004A5"/>
    <w:rsid w:val="00700D74"/>
    <w:rsid w:val="00720B18"/>
    <w:rsid w:val="00721FD9"/>
    <w:rsid w:val="00724AEF"/>
    <w:rsid w:val="00724C70"/>
    <w:rsid w:val="0072591A"/>
    <w:rsid w:val="0072684F"/>
    <w:rsid w:val="007325FA"/>
    <w:rsid w:val="007372DE"/>
    <w:rsid w:val="00737785"/>
    <w:rsid w:val="0074255A"/>
    <w:rsid w:val="00745521"/>
    <w:rsid w:val="00747917"/>
    <w:rsid w:val="007543DA"/>
    <w:rsid w:val="00762048"/>
    <w:rsid w:val="0077018F"/>
    <w:rsid w:val="007708F8"/>
    <w:rsid w:val="00771352"/>
    <w:rsid w:val="00771490"/>
    <w:rsid w:val="0077163C"/>
    <w:rsid w:val="00781F4E"/>
    <w:rsid w:val="0078202C"/>
    <w:rsid w:val="00784FA5"/>
    <w:rsid w:val="0078695F"/>
    <w:rsid w:val="007901E6"/>
    <w:rsid w:val="00792053"/>
    <w:rsid w:val="00792CC5"/>
    <w:rsid w:val="007A1F00"/>
    <w:rsid w:val="007A5816"/>
    <w:rsid w:val="007A6C3C"/>
    <w:rsid w:val="007B1235"/>
    <w:rsid w:val="007B2E51"/>
    <w:rsid w:val="007B377A"/>
    <w:rsid w:val="007C3875"/>
    <w:rsid w:val="007C6728"/>
    <w:rsid w:val="007D009B"/>
    <w:rsid w:val="007D0C49"/>
    <w:rsid w:val="007D41DC"/>
    <w:rsid w:val="007E5631"/>
    <w:rsid w:val="007F29CB"/>
    <w:rsid w:val="007F6FB4"/>
    <w:rsid w:val="0080008C"/>
    <w:rsid w:val="0080085A"/>
    <w:rsid w:val="00805A56"/>
    <w:rsid w:val="008105EC"/>
    <w:rsid w:val="00810E4A"/>
    <w:rsid w:val="00813A50"/>
    <w:rsid w:val="00814339"/>
    <w:rsid w:val="008148F3"/>
    <w:rsid w:val="00814D20"/>
    <w:rsid w:val="00821908"/>
    <w:rsid w:val="00824088"/>
    <w:rsid w:val="008314DA"/>
    <w:rsid w:val="0083396B"/>
    <w:rsid w:val="00841F1B"/>
    <w:rsid w:val="0084561F"/>
    <w:rsid w:val="0085601B"/>
    <w:rsid w:val="0085657B"/>
    <w:rsid w:val="008601E8"/>
    <w:rsid w:val="008633B7"/>
    <w:rsid w:val="00865761"/>
    <w:rsid w:val="008709BF"/>
    <w:rsid w:val="0088241E"/>
    <w:rsid w:val="0088686F"/>
    <w:rsid w:val="008905DF"/>
    <w:rsid w:val="00891F97"/>
    <w:rsid w:val="0089594F"/>
    <w:rsid w:val="008A0062"/>
    <w:rsid w:val="008A3252"/>
    <w:rsid w:val="008A3F1C"/>
    <w:rsid w:val="008A4554"/>
    <w:rsid w:val="008A636B"/>
    <w:rsid w:val="008A7FF6"/>
    <w:rsid w:val="008B5C00"/>
    <w:rsid w:val="008B5F92"/>
    <w:rsid w:val="008B7A0E"/>
    <w:rsid w:val="008C1B2E"/>
    <w:rsid w:val="008C78FD"/>
    <w:rsid w:val="008D44EE"/>
    <w:rsid w:val="008D5571"/>
    <w:rsid w:val="008D6E4B"/>
    <w:rsid w:val="008D7CC9"/>
    <w:rsid w:val="008E26A0"/>
    <w:rsid w:val="008E591D"/>
    <w:rsid w:val="008F0C7A"/>
    <w:rsid w:val="008F115C"/>
    <w:rsid w:val="008F1E58"/>
    <w:rsid w:val="008F3F0D"/>
    <w:rsid w:val="008F6369"/>
    <w:rsid w:val="009053F4"/>
    <w:rsid w:val="00912E12"/>
    <w:rsid w:val="0091318A"/>
    <w:rsid w:val="00914DD8"/>
    <w:rsid w:val="00915441"/>
    <w:rsid w:val="00916D31"/>
    <w:rsid w:val="0091700B"/>
    <w:rsid w:val="00920C81"/>
    <w:rsid w:val="0092396D"/>
    <w:rsid w:val="00935AFD"/>
    <w:rsid w:val="00951360"/>
    <w:rsid w:val="009554CE"/>
    <w:rsid w:val="00955805"/>
    <w:rsid w:val="009627BE"/>
    <w:rsid w:val="00966568"/>
    <w:rsid w:val="00966F2E"/>
    <w:rsid w:val="00977598"/>
    <w:rsid w:val="00984055"/>
    <w:rsid w:val="00987516"/>
    <w:rsid w:val="00987AFB"/>
    <w:rsid w:val="00992718"/>
    <w:rsid w:val="00993DB9"/>
    <w:rsid w:val="00995BD2"/>
    <w:rsid w:val="009A0F54"/>
    <w:rsid w:val="009A3ADF"/>
    <w:rsid w:val="009B0562"/>
    <w:rsid w:val="009B080D"/>
    <w:rsid w:val="009B2BDE"/>
    <w:rsid w:val="009B74E7"/>
    <w:rsid w:val="009C2A0D"/>
    <w:rsid w:val="009C5AD1"/>
    <w:rsid w:val="009D2D72"/>
    <w:rsid w:val="009D2FF8"/>
    <w:rsid w:val="009D3FA3"/>
    <w:rsid w:val="009D4818"/>
    <w:rsid w:val="009D4ECF"/>
    <w:rsid w:val="009E01C8"/>
    <w:rsid w:val="009E0DB1"/>
    <w:rsid w:val="009E0F72"/>
    <w:rsid w:val="009E44C4"/>
    <w:rsid w:val="009E53F0"/>
    <w:rsid w:val="009F141D"/>
    <w:rsid w:val="009F2977"/>
    <w:rsid w:val="009F4D79"/>
    <w:rsid w:val="00A04176"/>
    <w:rsid w:val="00A060BB"/>
    <w:rsid w:val="00A14BCC"/>
    <w:rsid w:val="00A1780E"/>
    <w:rsid w:val="00A2188A"/>
    <w:rsid w:val="00A23561"/>
    <w:rsid w:val="00A4039E"/>
    <w:rsid w:val="00A445A7"/>
    <w:rsid w:val="00A46721"/>
    <w:rsid w:val="00A5621E"/>
    <w:rsid w:val="00A633F1"/>
    <w:rsid w:val="00A63F44"/>
    <w:rsid w:val="00A64038"/>
    <w:rsid w:val="00A64970"/>
    <w:rsid w:val="00A66380"/>
    <w:rsid w:val="00A7097D"/>
    <w:rsid w:val="00A72DB2"/>
    <w:rsid w:val="00A75F63"/>
    <w:rsid w:val="00A80E88"/>
    <w:rsid w:val="00A8328E"/>
    <w:rsid w:val="00A87114"/>
    <w:rsid w:val="00A9510E"/>
    <w:rsid w:val="00AA3A28"/>
    <w:rsid w:val="00AA4FE0"/>
    <w:rsid w:val="00AB21B3"/>
    <w:rsid w:val="00AB2B5D"/>
    <w:rsid w:val="00AB3253"/>
    <w:rsid w:val="00AC149A"/>
    <w:rsid w:val="00AC1A0D"/>
    <w:rsid w:val="00AC4885"/>
    <w:rsid w:val="00AC57AE"/>
    <w:rsid w:val="00AD35EC"/>
    <w:rsid w:val="00AD454D"/>
    <w:rsid w:val="00AD7588"/>
    <w:rsid w:val="00AE5100"/>
    <w:rsid w:val="00AF1884"/>
    <w:rsid w:val="00AF1EB1"/>
    <w:rsid w:val="00B0125C"/>
    <w:rsid w:val="00B02C01"/>
    <w:rsid w:val="00B04762"/>
    <w:rsid w:val="00B06DAE"/>
    <w:rsid w:val="00B07CD8"/>
    <w:rsid w:val="00B11BF8"/>
    <w:rsid w:val="00B12951"/>
    <w:rsid w:val="00B12F1E"/>
    <w:rsid w:val="00B17784"/>
    <w:rsid w:val="00B2018E"/>
    <w:rsid w:val="00B2177B"/>
    <w:rsid w:val="00B227D5"/>
    <w:rsid w:val="00B26262"/>
    <w:rsid w:val="00B35ED8"/>
    <w:rsid w:val="00B37904"/>
    <w:rsid w:val="00B41782"/>
    <w:rsid w:val="00B42320"/>
    <w:rsid w:val="00B428E1"/>
    <w:rsid w:val="00B42D0A"/>
    <w:rsid w:val="00B44FC1"/>
    <w:rsid w:val="00B45E00"/>
    <w:rsid w:val="00B5091F"/>
    <w:rsid w:val="00B515C5"/>
    <w:rsid w:val="00B550E9"/>
    <w:rsid w:val="00B62FD5"/>
    <w:rsid w:val="00B66FE2"/>
    <w:rsid w:val="00B71158"/>
    <w:rsid w:val="00B7341B"/>
    <w:rsid w:val="00B778A2"/>
    <w:rsid w:val="00B81B95"/>
    <w:rsid w:val="00B85D03"/>
    <w:rsid w:val="00B923C1"/>
    <w:rsid w:val="00B938A7"/>
    <w:rsid w:val="00B93AE6"/>
    <w:rsid w:val="00B94112"/>
    <w:rsid w:val="00B97298"/>
    <w:rsid w:val="00BA1D2B"/>
    <w:rsid w:val="00BA6123"/>
    <w:rsid w:val="00BB22E4"/>
    <w:rsid w:val="00BB2A34"/>
    <w:rsid w:val="00BB5C95"/>
    <w:rsid w:val="00BC5306"/>
    <w:rsid w:val="00BC5565"/>
    <w:rsid w:val="00BC5B3B"/>
    <w:rsid w:val="00BC6938"/>
    <w:rsid w:val="00BC69A1"/>
    <w:rsid w:val="00BC7CDC"/>
    <w:rsid w:val="00BD5588"/>
    <w:rsid w:val="00BD65D2"/>
    <w:rsid w:val="00BD744C"/>
    <w:rsid w:val="00BE1AE8"/>
    <w:rsid w:val="00BE7A81"/>
    <w:rsid w:val="00BF4C8F"/>
    <w:rsid w:val="00C017B3"/>
    <w:rsid w:val="00C03D9F"/>
    <w:rsid w:val="00C0590D"/>
    <w:rsid w:val="00C063C0"/>
    <w:rsid w:val="00C12D77"/>
    <w:rsid w:val="00C14DCC"/>
    <w:rsid w:val="00C202AC"/>
    <w:rsid w:val="00C26900"/>
    <w:rsid w:val="00C31B4B"/>
    <w:rsid w:val="00C323E7"/>
    <w:rsid w:val="00C32A65"/>
    <w:rsid w:val="00C37830"/>
    <w:rsid w:val="00C41077"/>
    <w:rsid w:val="00C42A05"/>
    <w:rsid w:val="00C42CF1"/>
    <w:rsid w:val="00C4322A"/>
    <w:rsid w:val="00C47F50"/>
    <w:rsid w:val="00C502A6"/>
    <w:rsid w:val="00C54E7F"/>
    <w:rsid w:val="00C558FD"/>
    <w:rsid w:val="00C57E86"/>
    <w:rsid w:val="00C60491"/>
    <w:rsid w:val="00C631CE"/>
    <w:rsid w:val="00C76FB3"/>
    <w:rsid w:val="00C80BBF"/>
    <w:rsid w:val="00C81924"/>
    <w:rsid w:val="00C83401"/>
    <w:rsid w:val="00C93DE1"/>
    <w:rsid w:val="00C95191"/>
    <w:rsid w:val="00C96DE0"/>
    <w:rsid w:val="00CA36B8"/>
    <w:rsid w:val="00CA4A0B"/>
    <w:rsid w:val="00CA6888"/>
    <w:rsid w:val="00CA6F2E"/>
    <w:rsid w:val="00CB199E"/>
    <w:rsid w:val="00CB23AD"/>
    <w:rsid w:val="00CB43E7"/>
    <w:rsid w:val="00CB4820"/>
    <w:rsid w:val="00CB7065"/>
    <w:rsid w:val="00CC10DF"/>
    <w:rsid w:val="00CC2D54"/>
    <w:rsid w:val="00CC4E58"/>
    <w:rsid w:val="00CC5329"/>
    <w:rsid w:val="00CC6A6A"/>
    <w:rsid w:val="00CD35DF"/>
    <w:rsid w:val="00CD6A01"/>
    <w:rsid w:val="00CE1053"/>
    <w:rsid w:val="00CE273F"/>
    <w:rsid w:val="00CF5D46"/>
    <w:rsid w:val="00D02AC6"/>
    <w:rsid w:val="00D051B4"/>
    <w:rsid w:val="00D0727B"/>
    <w:rsid w:val="00D13269"/>
    <w:rsid w:val="00D13F72"/>
    <w:rsid w:val="00D16C38"/>
    <w:rsid w:val="00D24FC0"/>
    <w:rsid w:val="00D30F6E"/>
    <w:rsid w:val="00D3148A"/>
    <w:rsid w:val="00D45D9A"/>
    <w:rsid w:val="00D47A6B"/>
    <w:rsid w:val="00D553C2"/>
    <w:rsid w:val="00D5705A"/>
    <w:rsid w:val="00D63F04"/>
    <w:rsid w:val="00D646C6"/>
    <w:rsid w:val="00D75968"/>
    <w:rsid w:val="00D77B8C"/>
    <w:rsid w:val="00D8110F"/>
    <w:rsid w:val="00D81B0A"/>
    <w:rsid w:val="00D901A8"/>
    <w:rsid w:val="00D9523A"/>
    <w:rsid w:val="00D95D0B"/>
    <w:rsid w:val="00D976EF"/>
    <w:rsid w:val="00DA0D99"/>
    <w:rsid w:val="00DA70BA"/>
    <w:rsid w:val="00DB0214"/>
    <w:rsid w:val="00DB43F7"/>
    <w:rsid w:val="00DB6D00"/>
    <w:rsid w:val="00DC3F3C"/>
    <w:rsid w:val="00DC43FE"/>
    <w:rsid w:val="00DC4915"/>
    <w:rsid w:val="00DC4E11"/>
    <w:rsid w:val="00DC7E5F"/>
    <w:rsid w:val="00DD21E5"/>
    <w:rsid w:val="00DD46C4"/>
    <w:rsid w:val="00DD6B59"/>
    <w:rsid w:val="00DE47E4"/>
    <w:rsid w:val="00DE75CF"/>
    <w:rsid w:val="00DF2E0B"/>
    <w:rsid w:val="00DF6216"/>
    <w:rsid w:val="00E02AC0"/>
    <w:rsid w:val="00E02B81"/>
    <w:rsid w:val="00E10BB8"/>
    <w:rsid w:val="00E207B6"/>
    <w:rsid w:val="00E21798"/>
    <w:rsid w:val="00E244D2"/>
    <w:rsid w:val="00E24957"/>
    <w:rsid w:val="00E256A0"/>
    <w:rsid w:val="00E30361"/>
    <w:rsid w:val="00E351C9"/>
    <w:rsid w:val="00E37545"/>
    <w:rsid w:val="00E37F2F"/>
    <w:rsid w:val="00E41F14"/>
    <w:rsid w:val="00E434BE"/>
    <w:rsid w:val="00E44165"/>
    <w:rsid w:val="00E44472"/>
    <w:rsid w:val="00E46797"/>
    <w:rsid w:val="00E5292B"/>
    <w:rsid w:val="00E535DE"/>
    <w:rsid w:val="00E53FBF"/>
    <w:rsid w:val="00E6315A"/>
    <w:rsid w:val="00E67296"/>
    <w:rsid w:val="00E708AA"/>
    <w:rsid w:val="00E71435"/>
    <w:rsid w:val="00E71583"/>
    <w:rsid w:val="00E742BF"/>
    <w:rsid w:val="00E8039A"/>
    <w:rsid w:val="00E80DB8"/>
    <w:rsid w:val="00E81BA1"/>
    <w:rsid w:val="00E827AB"/>
    <w:rsid w:val="00E8715E"/>
    <w:rsid w:val="00E8782E"/>
    <w:rsid w:val="00E87FCE"/>
    <w:rsid w:val="00EA3C49"/>
    <w:rsid w:val="00EA4B56"/>
    <w:rsid w:val="00EB4FE7"/>
    <w:rsid w:val="00EC2D6E"/>
    <w:rsid w:val="00EC319D"/>
    <w:rsid w:val="00EC333F"/>
    <w:rsid w:val="00EC6A06"/>
    <w:rsid w:val="00EE2534"/>
    <w:rsid w:val="00EF0B15"/>
    <w:rsid w:val="00EF358B"/>
    <w:rsid w:val="00EF70A3"/>
    <w:rsid w:val="00F02938"/>
    <w:rsid w:val="00F02BF6"/>
    <w:rsid w:val="00F032EB"/>
    <w:rsid w:val="00F03F4C"/>
    <w:rsid w:val="00F1185E"/>
    <w:rsid w:val="00F143E9"/>
    <w:rsid w:val="00F15D5B"/>
    <w:rsid w:val="00F179EA"/>
    <w:rsid w:val="00F20980"/>
    <w:rsid w:val="00F22D3A"/>
    <w:rsid w:val="00F25DC9"/>
    <w:rsid w:val="00F314F0"/>
    <w:rsid w:val="00F3794A"/>
    <w:rsid w:val="00F44996"/>
    <w:rsid w:val="00F528C2"/>
    <w:rsid w:val="00F6084A"/>
    <w:rsid w:val="00F613AA"/>
    <w:rsid w:val="00F72920"/>
    <w:rsid w:val="00F749EB"/>
    <w:rsid w:val="00F74B98"/>
    <w:rsid w:val="00F76373"/>
    <w:rsid w:val="00F82333"/>
    <w:rsid w:val="00F83A8F"/>
    <w:rsid w:val="00F8667F"/>
    <w:rsid w:val="00F90E65"/>
    <w:rsid w:val="00F93812"/>
    <w:rsid w:val="00F9432B"/>
    <w:rsid w:val="00FA0E85"/>
    <w:rsid w:val="00FA22E1"/>
    <w:rsid w:val="00FA7F85"/>
    <w:rsid w:val="00FB6A1B"/>
    <w:rsid w:val="00FB7757"/>
    <w:rsid w:val="00FB7AD5"/>
    <w:rsid w:val="00FC4544"/>
    <w:rsid w:val="00FD15E9"/>
    <w:rsid w:val="00FD250E"/>
    <w:rsid w:val="00FD25E3"/>
    <w:rsid w:val="00FE2352"/>
    <w:rsid w:val="00FE3DE8"/>
    <w:rsid w:val="00FE4CDD"/>
    <w:rsid w:val="00FF082E"/>
    <w:rsid w:val="00FF3693"/>
    <w:rsid w:val="00FF46B4"/>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FF46B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D49B-2319-4815-9CD2-026875D9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8171</Words>
  <Characters>4658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Likumprojeksa "Grozījumi Pasta likumā" </vt:lpstr>
    </vt:vector>
  </TitlesOfParts>
  <Company>Satiksmes ministrija</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Likumprojeksa "Grozījumi Pasta likumā"</dc:title>
  <dc:subject>Anotācija</dc:subject>
  <dc:creator>Dace Bankoviča</dc:creator>
  <dc:description>Dace.Bankovica@sam.gov.lv_x000d_
t.67028111</dc:description>
  <cp:lastModifiedBy>Daina Āboliņa</cp:lastModifiedBy>
  <cp:revision>4</cp:revision>
  <cp:lastPrinted>2019-06-25T10:04:00Z</cp:lastPrinted>
  <dcterms:created xsi:type="dcterms:W3CDTF">2020-07-28T13:58:00Z</dcterms:created>
  <dcterms:modified xsi:type="dcterms:W3CDTF">2020-07-30T12:05:00Z</dcterms:modified>
</cp:coreProperties>
</file>