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6146" w:rsidR="00020049" w:rsidP="00020049" w:rsidRDefault="00020049" w14:paraId="7B97854C" w14:textId="77777777">
      <w:pPr>
        <w:pStyle w:val="naisc"/>
        <w:spacing w:before="0" w:after="0"/>
      </w:pPr>
      <w:r w:rsidRPr="00EF6146">
        <w:t xml:space="preserve">Ministru kabineta rīkojuma projekta </w:t>
      </w:r>
    </w:p>
    <w:p w:rsidRPr="005405FD" w:rsidR="00020049" w:rsidP="00020049" w:rsidRDefault="00020049" w14:paraId="7EE1B61C" w14:textId="77777777">
      <w:pPr>
        <w:jc w:val="center"/>
      </w:pPr>
      <w:r w:rsidRPr="005405FD">
        <w:rPr>
          <w:b/>
        </w:rPr>
        <w:t>„Par atļauju izbeigt līdzdalību un pārdot VAS “Ceļu satiksmes drošības direkcija” piederošās SIA „</w:t>
      </w:r>
      <w:proofErr w:type="spellStart"/>
      <w:r w:rsidRPr="005405FD">
        <w:rPr>
          <w:b/>
        </w:rPr>
        <w:t>Auteko</w:t>
      </w:r>
      <w:proofErr w:type="spellEnd"/>
      <w:r w:rsidRPr="005405FD">
        <w:rPr>
          <w:b/>
        </w:rPr>
        <w:t xml:space="preserve"> &amp; TÜV Latvija”,  SIA „</w:t>
      </w:r>
      <w:proofErr w:type="spellStart"/>
      <w:r w:rsidRPr="005405FD">
        <w:rPr>
          <w:b/>
        </w:rPr>
        <w:t>Scantest</w:t>
      </w:r>
      <w:proofErr w:type="spellEnd"/>
      <w:r w:rsidRPr="005405FD">
        <w:rPr>
          <w:b/>
        </w:rPr>
        <w:t>”, SIA „</w:t>
      </w:r>
      <w:proofErr w:type="spellStart"/>
      <w:r w:rsidRPr="005405FD">
        <w:rPr>
          <w:b/>
        </w:rPr>
        <w:t>Venttests</w:t>
      </w:r>
      <w:proofErr w:type="spellEnd"/>
      <w:r w:rsidRPr="005405FD">
        <w:rPr>
          <w:b/>
        </w:rPr>
        <w:t>” un SIA „</w:t>
      </w:r>
      <w:proofErr w:type="spellStart"/>
      <w:r w:rsidRPr="005405FD">
        <w:rPr>
          <w:b/>
        </w:rPr>
        <w:t>Autests</w:t>
      </w:r>
      <w:proofErr w:type="spellEnd"/>
      <w:r w:rsidRPr="005405FD">
        <w:rPr>
          <w:b/>
        </w:rPr>
        <w:t>” kapitāla daļas”</w:t>
      </w:r>
      <w:r>
        <w:rPr>
          <w:b/>
        </w:rPr>
        <w:t xml:space="preserve"> </w:t>
      </w:r>
      <w:r w:rsidRPr="00867E4F">
        <w:t>sākotnējās ietekmes novērtējuma ziņojums (anotācija)</w:t>
      </w:r>
    </w:p>
    <w:p w:rsidR="00B31106" w:rsidP="00B31106" w:rsidRDefault="00B31106" w14:paraId="0C24310F" w14:textId="566BF14A">
      <w:pPr>
        <w:keepNext/>
        <w:jc w:val="center"/>
        <w:rPr>
          <w:b/>
        </w:rPr>
      </w:pPr>
    </w:p>
    <w:tbl>
      <w:tblPr>
        <w:tblStyle w:val="TableGrid"/>
        <w:tblW w:w="9356" w:type="dxa"/>
        <w:tblInd w:w="-147" w:type="dxa"/>
        <w:tblLook w:val="04A0" w:firstRow="1" w:lastRow="0" w:firstColumn="1" w:lastColumn="0" w:noHBand="0" w:noVBand="1"/>
      </w:tblPr>
      <w:tblGrid>
        <w:gridCol w:w="2977"/>
        <w:gridCol w:w="6379"/>
      </w:tblGrid>
      <w:tr w:rsidR="00C73F2A" w:rsidTr="00C73F2A" w14:paraId="72DCFF5B" w14:textId="77777777">
        <w:tc>
          <w:tcPr>
            <w:tcW w:w="9356" w:type="dxa"/>
            <w:gridSpan w:val="2"/>
          </w:tcPr>
          <w:p w:rsidR="00C73F2A" w:rsidP="00B31106" w:rsidRDefault="00C73F2A" w14:paraId="15A84147" w14:textId="78A44618">
            <w:pPr>
              <w:keepNext/>
              <w:jc w:val="center"/>
              <w:rPr>
                <w:b/>
              </w:rPr>
            </w:pPr>
            <w:r w:rsidRPr="005E14BF">
              <w:rPr>
                <w:b/>
                <w:bCs/>
                <w:iCs/>
              </w:rPr>
              <w:t>Tiesību akta projekta anotācijas kopsavilkums</w:t>
            </w:r>
          </w:p>
        </w:tc>
      </w:tr>
      <w:tr w:rsidRPr="005E14BF" w:rsidR="00C73F2A" w:rsidTr="000F2DBB" w14:paraId="19F69FA5" w14:textId="77777777">
        <w:tc>
          <w:tcPr>
            <w:tcW w:w="2977" w:type="dxa"/>
            <w:hideMark/>
          </w:tcPr>
          <w:p w:rsidRPr="005E14BF" w:rsidR="00C73F2A" w:rsidP="00766230" w:rsidRDefault="00C73F2A" w14:paraId="1F87F88A" w14:textId="77777777">
            <w:pPr>
              <w:rPr>
                <w:iCs/>
              </w:rPr>
            </w:pPr>
            <w:r w:rsidRPr="005E14BF">
              <w:rPr>
                <w:iCs/>
              </w:rPr>
              <w:t>Mērķis, risinājums un projekta spēkā stāšanās laiks (500 zīmes bez atstarpēm)</w:t>
            </w:r>
          </w:p>
        </w:tc>
        <w:tc>
          <w:tcPr>
            <w:tcW w:w="6379" w:type="dxa"/>
          </w:tcPr>
          <w:p w:rsidR="00AE32C1" w:rsidP="00766230" w:rsidRDefault="00C73F2A" w14:paraId="3D806C46" w14:textId="67155DC6">
            <w:pPr>
              <w:jc w:val="both"/>
            </w:pPr>
            <w:r w:rsidRPr="00464918">
              <w:t xml:space="preserve">Ministru kabineta rīkojuma projekts paredz </w:t>
            </w:r>
            <w:r w:rsidRPr="00AE32C1" w:rsidR="00AE32C1">
              <w:t>izbeigt līdzdalību un pārdot VAS “Ceļu satiksmes drošības direkcija” piederošās SIA „</w:t>
            </w:r>
            <w:proofErr w:type="spellStart"/>
            <w:r w:rsidRPr="00AE32C1" w:rsidR="00AE32C1">
              <w:t>Auteko</w:t>
            </w:r>
            <w:proofErr w:type="spellEnd"/>
            <w:r w:rsidRPr="00AE32C1" w:rsidR="00AE32C1">
              <w:t xml:space="preserve"> &amp; TÜV Latvija”,  SIA „</w:t>
            </w:r>
            <w:proofErr w:type="spellStart"/>
            <w:r w:rsidRPr="00AE32C1" w:rsidR="00AE32C1">
              <w:t>Scantest</w:t>
            </w:r>
            <w:proofErr w:type="spellEnd"/>
            <w:r w:rsidRPr="00AE32C1" w:rsidR="00AE32C1">
              <w:t>”, SIA „</w:t>
            </w:r>
            <w:proofErr w:type="spellStart"/>
            <w:r w:rsidRPr="00AE32C1" w:rsidR="00AE32C1">
              <w:t>Venttests</w:t>
            </w:r>
            <w:proofErr w:type="spellEnd"/>
            <w:r w:rsidRPr="00AE32C1" w:rsidR="00AE32C1">
              <w:t>” un SIA „</w:t>
            </w:r>
            <w:proofErr w:type="spellStart"/>
            <w:r w:rsidRPr="00AE32C1" w:rsidR="00AE32C1">
              <w:t>Autests</w:t>
            </w:r>
            <w:proofErr w:type="spellEnd"/>
            <w:r w:rsidRPr="00AE32C1" w:rsidR="00AE32C1">
              <w:t>” kapitāla daļas</w:t>
            </w:r>
            <w:r w:rsidR="00AE32C1">
              <w:t>, organizējot izsoli.</w:t>
            </w:r>
            <w:r w:rsidRPr="00AE32C1" w:rsidR="00AE32C1">
              <w:t xml:space="preserve"> </w:t>
            </w:r>
          </w:p>
          <w:p w:rsidRPr="005E14BF" w:rsidR="00F13093" w:rsidP="00766230" w:rsidRDefault="00F13093" w14:paraId="3E56909D" w14:textId="76CD4FEF">
            <w:pPr>
              <w:jc w:val="both"/>
              <w:rPr>
                <w:iCs/>
              </w:rPr>
            </w:pPr>
            <w:r>
              <w:t>Rīkojums stāsies spēkā Oficiālo publikāciju un tiesiskās informācijas likuma noteiktajā kārtībā.</w:t>
            </w:r>
          </w:p>
        </w:tc>
      </w:tr>
    </w:tbl>
    <w:p w:rsidRPr="005E14BF" w:rsidR="00C73F2A" w:rsidP="00B31106" w:rsidRDefault="00C73F2A" w14:paraId="06147B67" w14:textId="77777777">
      <w:pPr>
        <w:keepNext/>
        <w:jc w:val="center"/>
        <w:rPr>
          <w:b/>
        </w:rPr>
      </w:pPr>
    </w:p>
    <w:tbl>
      <w:tblPr>
        <w:tblpPr w:leftFromText="180" w:rightFromText="180" w:vertAnchor="text" w:horzAnchor="margin" w:tblpXSpec="center" w:tblpY="149"/>
        <w:tblW w:w="523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8"/>
        <w:gridCol w:w="2543"/>
        <w:gridCol w:w="6510"/>
      </w:tblGrid>
      <w:tr w:rsidRPr="005E14BF" w:rsidR="00B31106" w:rsidTr="00F87203" w14:paraId="786C49E5" w14:textId="77777777">
        <w:trPr>
          <w:trHeight w:val="419"/>
        </w:trPr>
        <w:tc>
          <w:tcPr>
            <w:tcW w:w="5000" w:type="pct"/>
            <w:gridSpan w:val="3"/>
            <w:vAlign w:val="center"/>
          </w:tcPr>
          <w:p w:rsidRPr="005E14BF" w:rsidR="00B31106" w:rsidP="00F87203" w:rsidRDefault="00B31106" w14:paraId="637AC88A" w14:textId="77777777">
            <w:pPr>
              <w:pStyle w:val="naisnod"/>
              <w:spacing w:before="0" w:beforeAutospacing="0" w:after="0" w:afterAutospacing="0"/>
              <w:ind w:left="57" w:right="57"/>
              <w:jc w:val="center"/>
              <w:rPr>
                <w:b/>
              </w:rPr>
            </w:pPr>
            <w:r w:rsidRPr="005E14BF">
              <w:rPr>
                <w:b/>
              </w:rPr>
              <w:t>I. Tiesību akta projekta izstrādes nepieciešamība</w:t>
            </w:r>
          </w:p>
        </w:tc>
      </w:tr>
      <w:tr w:rsidRPr="005E14BF" w:rsidR="00B31106" w:rsidTr="000F2DBB" w14:paraId="40FA9D9A" w14:textId="77777777">
        <w:trPr>
          <w:trHeight w:val="974"/>
        </w:trPr>
        <w:tc>
          <w:tcPr>
            <w:tcW w:w="226" w:type="pct"/>
          </w:tcPr>
          <w:p w:rsidRPr="005E14BF" w:rsidR="00B31106" w:rsidP="00F87203" w:rsidRDefault="00B31106" w14:paraId="6D5BC861" w14:textId="77777777">
            <w:pPr>
              <w:pStyle w:val="naiskr"/>
              <w:spacing w:before="0" w:beforeAutospacing="0" w:after="0" w:afterAutospacing="0"/>
              <w:ind w:left="57" w:right="57"/>
              <w:jc w:val="center"/>
            </w:pPr>
            <w:r w:rsidRPr="005E14BF">
              <w:t>1.</w:t>
            </w:r>
          </w:p>
        </w:tc>
        <w:tc>
          <w:tcPr>
            <w:tcW w:w="1341" w:type="pct"/>
          </w:tcPr>
          <w:p w:rsidRPr="005E14BF" w:rsidR="00B31106" w:rsidP="00F87203" w:rsidRDefault="00B31106" w14:paraId="75232A8B" w14:textId="77777777">
            <w:pPr>
              <w:pStyle w:val="naiskr"/>
              <w:spacing w:before="0" w:beforeAutospacing="0" w:after="0" w:afterAutospacing="0"/>
              <w:ind w:left="57" w:right="57"/>
            </w:pPr>
            <w:r w:rsidRPr="005E14BF">
              <w:t>Pamatojums</w:t>
            </w:r>
          </w:p>
        </w:tc>
        <w:tc>
          <w:tcPr>
            <w:tcW w:w="3433" w:type="pct"/>
          </w:tcPr>
          <w:p w:rsidR="00020049" w:rsidP="00020049" w:rsidRDefault="00020049" w14:paraId="59A776C8" w14:textId="77777777">
            <w:pPr>
              <w:ind w:left="117" w:right="142"/>
              <w:jc w:val="both"/>
            </w:pPr>
            <w:r>
              <w:t>Publiskas personas kapitāla daļu un kapitālsabiedrību pārvaldības likuma (turpmāk – Pārvaldības likums) 9.panta otrā un ceturtā daļa un 118.panta otrā daļa.</w:t>
            </w:r>
          </w:p>
          <w:p w:rsidRPr="005E14BF" w:rsidR="00E34D03" w:rsidP="00020049" w:rsidRDefault="00020049" w14:paraId="612419B2" w14:textId="0884CEEB">
            <w:pPr>
              <w:ind w:left="117" w:right="142"/>
              <w:jc w:val="both"/>
            </w:pPr>
            <w:r>
              <w:t>Valsts akciju sabiedrības „Ceļu satiksmes drošības direkcija” (turpmāk – CSDD) valdes 2019.gada 6.novembra lēmums (prot.Nr.44, 4.§), ar kuru tika nolemts izbeigt CSDD līdzdalību sabiedrībā ar ierobežotu atbildību “</w:t>
            </w:r>
            <w:proofErr w:type="spellStart"/>
            <w:r>
              <w:t>Auteko</w:t>
            </w:r>
            <w:proofErr w:type="spellEnd"/>
            <w:r>
              <w:t xml:space="preserve"> &amp; TÜV Latvija”,  sabiedrībā ar ierobežotu atbildību „</w:t>
            </w:r>
            <w:proofErr w:type="spellStart"/>
            <w:r>
              <w:t>Scantest</w:t>
            </w:r>
            <w:proofErr w:type="spellEnd"/>
            <w:r>
              <w:t>”, sabiedrībā ar ierobežotu atbildību „</w:t>
            </w:r>
            <w:proofErr w:type="spellStart"/>
            <w:r>
              <w:t>Venttests</w:t>
            </w:r>
            <w:proofErr w:type="spellEnd"/>
            <w:r>
              <w:t>” un sabiedrībā ar ierobežotu atbildību „</w:t>
            </w:r>
            <w:proofErr w:type="spellStart"/>
            <w:r>
              <w:t>Autests</w:t>
            </w:r>
            <w:proofErr w:type="spellEnd"/>
            <w:r>
              <w:t>” kapitāla daļas” (turpmāk - Kapitālsabiedrības), pārdot CSDD piederošās Kapitālsabiedrību kapitāla daļas.</w:t>
            </w:r>
          </w:p>
        </w:tc>
      </w:tr>
      <w:tr w:rsidRPr="005E14BF" w:rsidR="00020049" w:rsidTr="000F2DBB" w14:paraId="4E9169A6" w14:textId="77777777">
        <w:trPr>
          <w:trHeight w:val="472"/>
        </w:trPr>
        <w:tc>
          <w:tcPr>
            <w:tcW w:w="226" w:type="pct"/>
          </w:tcPr>
          <w:p w:rsidRPr="005E14BF" w:rsidR="00020049" w:rsidP="00020049" w:rsidRDefault="00020049" w14:paraId="697CF1E9" w14:textId="77777777">
            <w:pPr>
              <w:pStyle w:val="naiskr"/>
              <w:spacing w:before="0" w:beforeAutospacing="0" w:after="0" w:afterAutospacing="0"/>
              <w:ind w:left="57" w:right="57"/>
              <w:jc w:val="center"/>
            </w:pPr>
            <w:r w:rsidRPr="005E14BF">
              <w:t>2.</w:t>
            </w:r>
          </w:p>
        </w:tc>
        <w:tc>
          <w:tcPr>
            <w:tcW w:w="1341" w:type="pct"/>
          </w:tcPr>
          <w:p w:rsidRPr="005E14BF" w:rsidR="00020049" w:rsidP="00020049" w:rsidRDefault="00020049" w14:paraId="79597718" w14:textId="77777777">
            <w:pPr>
              <w:pStyle w:val="naiskr"/>
              <w:tabs>
                <w:tab w:val="left" w:pos="170"/>
              </w:tabs>
              <w:spacing w:before="0" w:beforeAutospacing="0" w:after="0" w:afterAutospacing="0"/>
              <w:ind w:left="57" w:right="132"/>
            </w:pPr>
            <w:r w:rsidRPr="005E14BF">
              <w:t>Pašreizējā situācija un problēmas, kuru risināšanai tiesību akta projekts izstrādāts, tiesiskā regulējuma mērķis un būtība</w:t>
            </w:r>
          </w:p>
        </w:tc>
        <w:tc>
          <w:tcPr>
            <w:tcW w:w="3433" w:type="pct"/>
          </w:tcPr>
          <w:p w:rsidRPr="003E4B44" w:rsidR="00020049" w:rsidP="00020049" w:rsidRDefault="00020049" w14:paraId="149DB8B4" w14:textId="77777777">
            <w:pPr>
              <w:jc w:val="both"/>
              <w:rPr>
                <w:lang w:eastAsia="en-GB"/>
              </w:rPr>
            </w:pPr>
            <w:r w:rsidRPr="003E4B44">
              <w:rPr>
                <w:lang w:eastAsia="en-GB"/>
              </w:rPr>
              <w:t xml:space="preserve">  Ministru kabineta rīkojuma projekts „Par atļauju izbeigt līdzdalību un pārdot VAS “Ceļu satiksmes drošības direkcija” piederošās SIA „</w:t>
            </w:r>
            <w:proofErr w:type="spellStart"/>
            <w:r w:rsidRPr="003E4B44">
              <w:rPr>
                <w:lang w:eastAsia="en-GB"/>
              </w:rPr>
              <w:t>Auteko</w:t>
            </w:r>
            <w:proofErr w:type="spellEnd"/>
            <w:r w:rsidRPr="003E4B44">
              <w:rPr>
                <w:lang w:eastAsia="en-GB"/>
              </w:rPr>
              <w:t xml:space="preserve"> &amp; TÜV Latvija”,  SIA „</w:t>
            </w:r>
            <w:proofErr w:type="spellStart"/>
            <w:r w:rsidRPr="003E4B44">
              <w:rPr>
                <w:lang w:eastAsia="en-GB"/>
              </w:rPr>
              <w:t>Scantest</w:t>
            </w:r>
            <w:proofErr w:type="spellEnd"/>
            <w:r w:rsidRPr="003E4B44">
              <w:rPr>
                <w:lang w:eastAsia="en-GB"/>
              </w:rPr>
              <w:t>”, SIA „</w:t>
            </w:r>
            <w:proofErr w:type="spellStart"/>
            <w:r w:rsidRPr="003E4B44">
              <w:rPr>
                <w:lang w:eastAsia="en-GB"/>
              </w:rPr>
              <w:t>Venttests</w:t>
            </w:r>
            <w:proofErr w:type="spellEnd"/>
            <w:r w:rsidRPr="003E4B44">
              <w:rPr>
                <w:lang w:eastAsia="en-GB"/>
              </w:rPr>
              <w:t>” un SIA „</w:t>
            </w:r>
            <w:proofErr w:type="spellStart"/>
            <w:r w:rsidRPr="003E4B44">
              <w:rPr>
                <w:lang w:eastAsia="en-GB"/>
              </w:rPr>
              <w:t>Autests</w:t>
            </w:r>
            <w:proofErr w:type="spellEnd"/>
            <w:r w:rsidRPr="003E4B44">
              <w:rPr>
                <w:lang w:eastAsia="en-GB"/>
              </w:rPr>
              <w:t xml:space="preserve">” kapitāla daļas” (turpmāk - rīkojuma projekts) sagatavots, lai saskaņā ar Pārvaldības likuma 9.panta otro un ceturto daļu un 118.panta otro daļu atļautu CSDD izbeigt līdzdalību Kapitālsabiedrībās, pārdodot CSDD piederošās Kapitālsabiedrību kapitāla daļas. </w:t>
            </w:r>
          </w:p>
          <w:p w:rsidRPr="003E4B44" w:rsidR="00020049" w:rsidP="00020049" w:rsidRDefault="00020049" w14:paraId="01C37B34" w14:textId="77777777">
            <w:pPr>
              <w:pStyle w:val="NoSpacing"/>
              <w:ind w:firstLine="720"/>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Kapitālsabiedrību darbības apraksts: </w:t>
            </w:r>
          </w:p>
          <w:p w:rsidRPr="003E4B44" w:rsidR="00020049" w:rsidP="00020049" w:rsidRDefault="00020049" w14:paraId="435A3B01" w14:textId="77777777">
            <w:pPr>
              <w:pStyle w:val="NoSpacing"/>
              <w:ind w:firstLine="720"/>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Visas Kapitālsabiedrības tika dibinātas ar mērķi novērst tirgus nepilnību stratēģiski svarīgā nozarē, lai nodrošinātu tehniskās apskates staciju tīkla darbību, kā īstenotu ilgtermiņa transportlīdzekļu valsts tehniskās uzraudzības politiku, atbilstoši tajā laikā spēkā esošajam tiesiskajam regulējumam. </w:t>
            </w:r>
          </w:p>
          <w:p w:rsidRPr="003E4B44" w:rsidR="00020049" w:rsidP="00020049" w:rsidRDefault="00020049" w14:paraId="77966948" w14:textId="77777777">
            <w:pPr>
              <w:pStyle w:val="NoSpacing"/>
              <w:ind w:firstLine="720"/>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SIA “</w:t>
            </w:r>
            <w:proofErr w:type="spellStart"/>
            <w:r w:rsidRPr="003E4B44">
              <w:rPr>
                <w:rFonts w:ascii="Times New Roman" w:hAnsi="Times New Roman" w:eastAsia="Times New Roman"/>
                <w:sz w:val="24"/>
                <w:szCs w:val="24"/>
                <w:lang w:eastAsia="en-GB"/>
              </w:rPr>
              <w:t>Auteko&amp;TÜV</w:t>
            </w:r>
            <w:proofErr w:type="spellEnd"/>
            <w:r w:rsidRPr="003E4B44">
              <w:rPr>
                <w:rFonts w:ascii="Times New Roman" w:hAnsi="Times New Roman" w:eastAsia="Times New Roman"/>
                <w:sz w:val="24"/>
                <w:szCs w:val="24"/>
                <w:lang w:eastAsia="en-GB"/>
              </w:rPr>
              <w:t xml:space="preserve"> Latvija” pamatkapitāls ir 532 500.00 EUR (pieci simti </w:t>
            </w:r>
            <w:proofErr w:type="spellStart"/>
            <w:r w:rsidRPr="003E4B44">
              <w:rPr>
                <w:rFonts w:ascii="Times New Roman" w:hAnsi="Times New Roman" w:eastAsia="Times New Roman"/>
                <w:sz w:val="24"/>
                <w:szCs w:val="24"/>
                <w:lang w:eastAsia="en-GB"/>
              </w:rPr>
              <w:t>trīsdesmitdivi</w:t>
            </w:r>
            <w:proofErr w:type="spellEnd"/>
            <w:r w:rsidRPr="003E4B44">
              <w:rPr>
                <w:rFonts w:ascii="Times New Roman" w:hAnsi="Times New Roman" w:eastAsia="Times New Roman"/>
                <w:sz w:val="24"/>
                <w:szCs w:val="24"/>
                <w:lang w:eastAsia="en-GB"/>
              </w:rPr>
              <w:t xml:space="preserve"> tūkstoši pieci simti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xml:space="preserve">) kas sadalīts 1500 kapitāla daļās, ar vienas kapitāla daļas nominālvērtību 355.00  EUR (trīs simti piecdesmit pieci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SIA “</w:t>
            </w:r>
            <w:proofErr w:type="spellStart"/>
            <w:r w:rsidRPr="003E4B44">
              <w:rPr>
                <w:rFonts w:ascii="Times New Roman" w:hAnsi="Times New Roman" w:eastAsia="Times New Roman"/>
                <w:sz w:val="24"/>
                <w:szCs w:val="24"/>
                <w:lang w:eastAsia="en-GB"/>
              </w:rPr>
              <w:t>Autests</w:t>
            </w:r>
            <w:proofErr w:type="spellEnd"/>
            <w:r w:rsidRPr="003E4B44">
              <w:rPr>
                <w:rFonts w:ascii="Times New Roman" w:hAnsi="Times New Roman" w:eastAsia="Times New Roman"/>
                <w:sz w:val="24"/>
                <w:szCs w:val="24"/>
                <w:lang w:eastAsia="en-GB"/>
              </w:rPr>
              <w:t xml:space="preserve">” pamatkapitāls ir 279 030.00 EUR (divi simti septiņdesmit deviņi tūkstoši trīsdesmit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xml:space="preserve">) kas sadalīts 1965 kapitāla daļās, ar vienas kapitāla daļas nominālvērtību 142.00  EUR (viens simts </w:t>
            </w:r>
            <w:proofErr w:type="spellStart"/>
            <w:r w:rsidRPr="003E4B44">
              <w:rPr>
                <w:rFonts w:ascii="Times New Roman" w:hAnsi="Times New Roman" w:eastAsia="Times New Roman"/>
                <w:sz w:val="24"/>
                <w:szCs w:val="24"/>
                <w:lang w:eastAsia="en-GB"/>
              </w:rPr>
              <w:t>četrdesmitdivi</w:t>
            </w:r>
            <w:proofErr w:type="spellEnd"/>
            <w:r w:rsidRPr="003E4B44">
              <w:rPr>
                <w:rFonts w:ascii="Times New Roman" w:hAnsi="Times New Roman" w:eastAsia="Times New Roman"/>
                <w:sz w:val="24"/>
                <w:szCs w:val="24"/>
                <w:lang w:eastAsia="en-GB"/>
              </w:rPr>
              <w:t xml:space="preserve">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SIA “</w:t>
            </w:r>
            <w:proofErr w:type="spellStart"/>
            <w:r w:rsidRPr="003E4B44">
              <w:rPr>
                <w:rFonts w:ascii="Times New Roman" w:hAnsi="Times New Roman" w:eastAsia="Times New Roman"/>
                <w:sz w:val="24"/>
                <w:szCs w:val="24"/>
                <w:lang w:eastAsia="en-GB"/>
              </w:rPr>
              <w:t>Scantest</w:t>
            </w:r>
            <w:proofErr w:type="spellEnd"/>
            <w:r w:rsidRPr="003E4B44">
              <w:rPr>
                <w:rFonts w:ascii="Times New Roman" w:hAnsi="Times New Roman" w:eastAsia="Times New Roman"/>
                <w:sz w:val="24"/>
                <w:szCs w:val="24"/>
                <w:lang w:eastAsia="en-GB"/>
              </w:rPr>
              <w:t xml:space="preserve">” pamatkapitāls ir 177 500.00 EUR (viens simts septiņdesmit septiņi tūkstoši pieci simti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xml:space="preserve">) kas sadalīts 2500 kapitāla daļās, ar vienas kapitāla daļas nominālvērtību 71.00 EUR (septiņdesmit viens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SIA “</w:t>
            </w:r>
            <w:proofErr w:type="spellStart"/>
            <w:r w:rsidRPr="003E4B44">
              <w:rPr>
                <w:rFonts w:ascii="Times New Roman" w:hAnsi="Times New Roman" w:eastAsia="Times New Roman"/>
                <w:sz w:val="24"/>
                <w:szCs w:val="24"/>
                <w:lang w:eastAsia="en-GB"/>
              </w:rPr>
              <w:t>Venttests</w:t>
            </w:r>
            <w:proofErr w:type="spellEnd"/>
            <w:r w:rsidRPr="003E4B44">
              <w:rPr>
                <w:rFonts w:ascii="Times New Roman" w:hAnsi="Times New Roman" w:eastAsia="Times New Roman"/>
                <w:sz w:val="24"/>
                <w:szCs w:val="24"/>
                <w:lang w:eastAsia="en-GB"/>
              </w:rPr>
              <w:t xml:space="preserve">” pamatkapitāls ir 284 </w:t>
            </w:r>
            <w:r w:rsidRPr="003E4B44">
              <w:rPr>
                <w:rFonts w:ascii="Times New Roman" w:hAnsi="Times New Roman" w:eastAsia="Times New Roman"/>
                <w:sz w:val="24"/>
                <w:szCs w:val="24"/>
                <w:lang w:eastAsia="en-GB"/>
              </w:rPr>
              <w:lastRenderedPageBreak/>
              <w:t xml:space="preserve">802.00 EUR (divi simti astoņdesmit četri tūkstoši astoņi simti divi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xml:space="preserve">) kas sadalīts 284 802 kapitāla daļās, ar vienas kapitāla daļas nominālvērtību 1 EUR (viens </w:t>
            </w:r>
            <w:proofErr w:type="spellStart"/>
            <w:r w:rsidRPr="003E4B44">
              <w:rPr>
                <w:rFonts w:ascii="Times New Roman" w:hAnsi="Times New Roman" w:eastAsia="Times New Roman"/>
                <w:sz w:val="24"/>
                <w:szCs w:val="24"/>
                <w:lang w:eastAsia="en-GB"/>
              </w:rPr>
              <w:t>euro</w:t>
            </w:r>
            <w:proofErr w:type="spellEnd"/>
            <w:r w:rsidRPr="003E4B44">
              <w:rPr>
                <w:rFonts w:ascii="Times New Roman" w:hAnsi="Times New Roman" w:eastAsia="Times New Roman"/>
                <w:sz w:val="24"/>
                <w:szCs w:val="24"/>
                <w:lang w:eastAsia="en-GB"/>
              </w:rPr>
              <w:t xml:space="preserve">). </w:t>
            </w:r>
          </w:p>
          <w:p w:rsidRPr="003E4B44" w:rsidR="00020049" w:rsidP="00020049" w:rsidRDefault="00020049" w14:paraId="6051F0C8" w14:textId="77777777">
            <w:pPr>
              <w:pStyle w:val="BodyText2"/>
              <w:spacing w:after="0" w:line="240" w:lineRule="auto"/>
              <w:ind w:firstLine="401"/>
              <w:jc w:val="both"/>
              <w:rPr>
                <w:lang w:eastAsia="en-GB"/>
              </w:rPr>
            </w:pPr>
            <w:r w:rsidRPr="003E4B44">
              <w:rPr>
                <w:lang w:eastAsia="en-GB"/>
              </w:rPr>
              <w:t xml:space="preserve">Pārvaldības likuma 7.pantā noteikts, ka publiskai personai ir pienākums ne retāk kā reizi piecos gados pārvērtēt katru tās tiešo līdzdalību kapitālsabiedrībā un atbilstību šā likuma 4.panta nosacījumiem. Lai gan Pārvaldības likuma 7.pantā noteiktais pienākums pārvērtēt tiešo līdzdalību kapitālsabiedrībā ir noteikts publiskai personai, CSDD, ievērojot labas korporatīvās pārvaldības principus un ievērojot Pārvaldības likuma 4.panta nosacījumus, ir vērtējusi lietderību turpināt līdzdalību Kapitālsabiedrībās, kā arī līdzdalības izbeigšanu pārdodot CSDD piederošās Kapitālsabiedrību kapitāla daļas. </w:t>
            </w:r>
          </w:p>
          <w:p w:rsidRPr="003E4B44" w:rsidR="00020049" w:rsidP="00020049" w:rsidRDefault="00020049" w14:paraId="428F0BC9" w14:textId="77777777">
            <w:pPr>
              <w:pStyle w:val="NoSpacing"/>
              <w:ind w:firstLine="379"/>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Veicot izvērtējumu, izdarīti šādi  galvenie secinājumi:</w:t>
            </w:r>
          </w:p>
          <w:p w:rsidRPr="003E4B44" w:rsidR="00020049" w:rsidP="00020049" w:rsidRDefault="00020049" w14:paraId="04C403C7" w14:textId="77777777">
            <w:pPr>
              <w:pStyle w:val="NoSpacing"/>
              <w:numPr>
                <w:ilvl w:val="0"/>
                <w:numId w:val="16"/>
              </w:numPr>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Kapitālsabiedrību galvenais saimnieciskās darbības veids ir transportlīdzekļu tehniskā kontrole valsts </w:t>
            </w:r>
            <w:proofErr w:type="spellStart"/>
            <w:r w:rsidRPr="003E4B44">
              <w:rPr>
                <w:rFonts w:ascii="Times New Roman" w:hAnsi="Times New Roman" w:eastAsia="Times New Roman"/>
                <w:sz w:val="24"/>
                <w:szCs w:val="24"/>
                <w:lang w:eastAsia="en-GB"/>
              </w:rPr>
              <w:t>tehniksās</w:t>
            </w:r>
            <w:proofErr w:type="spellEnd"/>
            <w:r w:rsidRPr="003E4B44">
              <w:rPr>
                <w:rFonts w:ascii="Times New Roman" w:hAnsi="Times New Roman" w:eastAsia="Times New Roman"/>
                <w:sz w:val="24"/>
                <w:szCs w:val="24"/>
                <w:lang w:eastAsia="en-GB"/>
              </w:rPr>
              <w:t xml:space="preserve"> apskates ietvaros.</w:t>
            </w:r>
          </w:p>
          <w:p w:rsidRPr="003E4B44" w:rsidR="00020049" w:rsidP="00020049" w:rsidRDefault="00020049" w14:paraId="6ED19007" w14:textId="77777777">
            <w:pPr>
              <w:pStyle w:val="NoSpacing"/>
              <w:numPr>
                <w:ilvl w:val="0"/>
                <w:numId w:val="16"/>
              </w:numPr>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Kapitālsabiedrību darbība atbilst Valsts pārvaldes iekārtas likuma 88. panta pirmās daļas nosacījumiem – tās sniedz pakalpojumus, kas ir stratēģiski svarīgi ceļu satiksmes drošībai un līdz ar to arī valsts un attiecīgās pašvaldības administratīvās teritorijas attīstībai un valsts drošībai. Kapitālsabiedrības nodrošina valstij būtisku valsts pārvaldes funkcija – veic transportlīdzekļu tehnisko kontroli Latvijas Republikas teritorijā. Saskaņā ar Ministru kabineta 2013.gada 19.februāra rīkojumu „Par Koncepciju par publisko pakalpojumu sistēmas pilnveidi” atbalstītajā koncepcijā norādīto,  uzlabojot klātienes pakalpojumu sniegšanas organizāciju, tiek sasniegts ieguldījums publisko pakalpojumu sistēmas pilnveides mērķa sasniegšanā - iedzīvotāju, uzņēmēju un citu pakalpojumu saņēmēju vajadzībām atbilstošu pakalpojumu izveide un to sniegšanas organizēšana, vienlaikus samazinot administratīvo slogu, uzlabojot uzņēmējdarbības vidi, nodrošinot pakalpojumu pieejamību un veicinot efektīvāku valsts pārvaldi. </w:t>
            </w:r>
          </w:p>
          <w:p w:rsidRPr="003E4B44" w:rsidR="00020049" w:rsidP="00020049" w:rsidRDefault="00020049" w14:paraId="788F5938" w14:textId="77777777">
            <w:pPr>
              <w:pStyle w:val="NoSpacing"/>
              <w:numPr>
                <w:ilvl w:val="0"/>
                <w:numId w:val="16"/>
              </w:numPr>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CSDD līdzdalība Kapitālsabiedrībās vairāk kā 20 gadu laikā ir nodrošinājusi tirgus nepilnības novēršanu stratēģiski svarīgā nozarē un Kapitālsabiedrību darbība ir sekmējusi CSDD mērķu un attīstības prioritāšu īstenošanu, nodrošinot kvalitatīvus transportlīdzekļu tehniskā stāvokļa pārbaudes pakalpojumus. Šajā laikā izveidota kvalitatīva, efektīva tehnisko apskašu staciju un akreditēto uzņēmumu darbības uzraudzības sistēma, pilnveidota un sakārtota tehnisko apskašu veikšanas normatīvā bāze. Līdz ar to, uz šo brīdi tehniskās apskates sistēma Latvijā ir pilnveidota un šobrīd pilnībā nodrošina objektīvu un kvalitatīvu transportlīdzekļu tehniskā stāvokļa kontroli, kā arī </w:t>
            </w:r>
            <w:r w:rsidRPr="003E4B44">
              <w:rPr>
                <w:rFonts w:ascii="Times New Roman" w:hAnsi="Times New Roman" w:eastAsia="Times New Roman"/>
                <w:sz w:val="24"/>
                <w:szCs w:val="24"/>
                <w:lang w:eastAsia="en-GB"/>
              </w:rPr>
              <w:lastRenderedPageBreak/>
              <w:t xml:space="preserve">citu saistītu sabiedrībai nepieciešamu funkciju izpildi. </w:t>
            </w:r>
          </w:p>
          <w:p w:rsidRPr="003E4B44" w:rsidR="00020049" w:rsidP="00020049" w:rsidRDefault="00020049" w14:paraId="2E5EC323" w14:textId="2073D616">
            <w:pPr>
              <w:pStyle w:val="NoSpacing"/>
              <w:numPr>
                <w:ilvl w:val="0"/>
                <w:numId w:val="16"/>
              </w:numPr>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Kopš Kapitālsabiedrību dibināšanas ir mainījušies arī tiesiskie apstākļi. Eiropas Padomes un Parlamenta 2014.gada 3.aprīļa Direktīva 2014/45/ES  par mehānisko transportlīdzekļu un to piekabju periodiskajām tehniskajām apskatēm un par Direktīvas 2009/40/EK atcelšanu (turpmāk tekstā – Direktīva 2014/45/ES), paredz, ka dalībvalstis var organizēt tehniskās apskates procesu dažādi, bet jebkurā gadījumā valsts saglabā atbildību par tehniskās apskates organizēšanu pat tad, ja tā ir nodota privāto struktūru kompetencē. Tiesību normas, kas izriet Direktīvas 2014/45/ES, Latvijā ir pārņemtas ar Ministru kabineta 2017.gada 30.maija noteikumiem Nr.295 “Noteikumi par transportlīdzekļu valsts tehnisko apskati un tehnisko kontroli uz ceļa” (turpmāk tekstā – MK noteikumi nr.295), kas paredz, ka 2023.gada 1.janvāra tehnisko kontroli Latvijā veic akreditēta persona, kura izvēlēta publisko iepirkumu reglamentējošos tiesību aktos noteiktajā kārtībā. Īstenojot minētās prasības, CSDD būs jāorganizē publiskā iepirkuma procedūra, lai izvēlētos komersantus, kam piešķirt tiesības veikt transportlīdzekļu tehnisko kontroli. Bez tam, 2020.gada 1.janvārī stā</w:t>
            </w:r>
            <w:r w:rsidR="00A64EC3">
              <w:rPr>
                <w:rFonts w:ascii="Times New Roman" w:hAnsi="Times New Roman" w:eastAsia="Times New Roman"/>
                <w:sz w:val="24"/>
                <w:szCs w:val="24"/>
                <w:lang w:eastAsia="en-GB"/>
              </w:rPr>
              <w:t>j</w:t>
            </w:r>
            <w:r w:rsidRPr="003E4B44">
              <w:rPr>
                <w:rFonts w:ascii="Times New Roman" w:hAnsi="Times New Roman" w:eastAsia="Times New Roman"/>
                <w:sz w:val="24"/>
                <w:szCs w:val="24"/>
                <w:lang w:eastAsia="en-GB"/>
              </w:rPr>
              <w:t>ies spēkā Konkurences likuma 141.pants, kura pirmajā daļā noteikts ierobežojums tiešās pārvaldes un pastarpinātās pārvaldes iestādei, kā arī kapitālsabiedrībai, kurā publiskai personai ir izšķiroša ietekme, ar savu darbību kavēt, ierobežot vai deformēt konkurenci, kas var izpausties arī kā priekšrocību radīšana kapitālsabiedrībai, kurā publiskai personai ir tieša vai netieša līdzdalība. Līdz ar to CSDD līdzdalība kapitālsabiedrībās varētu radīt bažas par Konkurences likuma 141.panta pirmajā daļa noteikto ierobežojumu izpildi.</w:t>
            </w:r>
          </w:p>
          <w:p w:rsidRPr="003E4B44" w:rsidR="00020049" w:rsidP="00020049" w:rsidRDefault="00020049" w14:paraId="0470F10E" w14:textId="461CF1F3">
            <w:pPr>
              <w:pStyle w:val="NoSpacing"/>
              <w:numPr>
                <w:ilvl w:val="0"/>
                <w:numId w:val="16"/>
              </w:numPr>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Izvērtējot iepriekš minēto situācijas aprakstu un ievērojot tiesību normās ietverto regulējumu, kas stā</w:t>
            </w:r>
            <w:r w:rsidR="00A64EC3">
              <w:rPr>
                <w:rFonts w:ascii="Times New Roman" w:hAnsi="Times New Roman" w:eastAsia="Times New Roman"/>
                <w:sz w:val="24"/>
                <w:szCs w:val="24"/>
                <w:lang w:eastAsia="en-GB"/>
              </w:rPr>
              <w:t>j</w:t>
            </w:r>
            <w:r w:rsidRPr="003E4B44">
              <w:rPr>
                <w:rFonts w:ascii="Times New Roman" w:hAnsi="Times New Roman" w:eastAsia="Times New Roman"/>
                <w:sz w:val="24"/>
                <w:szCs w:val="24"/>
                <w:lang w:eastAsia="en-GB"/>
              </w:rPr>
              <w:t>ies spēkā 2020.gada 1.janvārī un</w:t>
            </w:r>
            <w:r w:rsidR="00A64EC3">
              <w:rPr>
                <w:rFonts w:ascii="Times New Roman" w:hAnsi="Times New Roman" w:eastAsia="Times New Roman"/>
                <w:sz w:val="24"/>
                <w:szCs w:val="24"/>
                <w:lang w:eastAsia="en-GB"/>
              </w:rPr>
              <w:t xml:space="preserve"> stāsies spēkā</w:t>
            </w:r>
            <w:r w:rsidRPr="003E4B44">
              <w:rPr>
                <w:rFonts w:ascii="Times New Roman" w:hAnsi="Times New Roman" w:eastAsia="Times New Roman"/>
                <w:sz w:val="24"/>
                <w:szCs w:val="24"/>
                <w:lang w:eastAsia="en-GB"/>
              </w:rPr>
              <w:t xml:space="preserve"> 2023.gada 1.janvārī, tika secināts, ka CSDD līdzdalība Kapitālsabiedrībās ir izbeidzama.</w:t>
            </w:r>
          </w:p>
          <w:p w:rsidRPr="003E4B44" w:rsidR="00020049" w:rsidP="00020049" w:rsidRDefault="00020049" w14:paraId="7BDC69AB" w14:textId="326CF517">
            <w:pPr>
              <w:pStyle w:val="NoSpacing"/>
              <w:tabs>
                <w:tab w:val="left" w:pos="0"/>
              </w:tabs>
              <w:ind w:firstLine="630"/>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Lai tehniskās apskates stacijās arī turpmāk nodrošinātu tehniskās kontroles kvalitāti, kā arī nepieļautu negodīgu rīcību, pēc CSDD līdzdalības izbeigšanas kapitālsabiedrībās, svarīgi ir nodrošināt stingru tehniskās kontroles pakalpojuma uzraudzību un kontroli. Lai to nodrošinātu CSDD ir izstrādājusi </w:t>
            </w:r>
            <w:r>
              <w:rPr>
                <w:rFonts w:ascii="Times New Roman" w:hAnsi="Times New Roman" w:eastAsia="Times New Roman"/>
                <w:sz w:val="24"/>
                <w:szCs w:val="24"/>
                <w:lang w:eastAsia="en-GB"/>
              </w:rPr>
              <w:t>t</w:t>
            </w:r>
            <w:r w:rsidRPr="003E4B44">
              <w:rPr>
                <w:rFonts w:ascii="Times New Roman" w:hAnsi="Times New Roman" w:eastAsia="Times New Roman"/>
                <w:sz w:val="24"/>
                <w:szCs w:val="24"/>
                <w:lang w:eastAsia="en-GB"/>
              </w:rPr>
              <w:t xml:space="preserve">ehniskās apskates pakalpojuma koncepciju, kas paredz jaunu darbības modeli transportlīdzekļu tehniskās apskates jomā, saskaņā ar kuru, atbilstoši Ceļu satiksmes likuma 4.panta piektajai daļai, CSDD arī turpmāk veiks transportlīdzekļu valsts tehnisko apskati, taču tehniskās kontroles pakalpojumus iepirks Publisko iepirkumu likumā noteiktā </w:t>
            </w:r>
            <w:r w:rsidRPr="003E4B44">
              <w:rPr>
                <w:rFonts w:ascii="Times New Roman" w:hAnsi="Times New Roman" w:eastAsia="Times New Roman"/>
                <w:sz w:val="24"/>
                <w:szCs w:val="24"/>
                <w:lang w:eastAsia="en-GB"/>
              </w:rPr>
              <w:lastRenderedPageBreak/>
              <w:t>kārtībā, katrā tehniskās apskates stacijā nodrošinās tehniskās apskates procesa uzraudzību, kā arī normatīvajos aktos noteikto maksājumu iekasēšanu un valsts deleģēto funkciju kontroli.</w:t>
            </w:r>
          </w:p>
          <w:p w:rsidRPr="003E4B44" w:rsidR="00020049" w:rsidP="00020049" w:rsidRDefault="00020049" w14:paraId="51CEBF2E" w14:textId="1DAAB6AF">
            <w:pPr>
              <w:pStyle w:val="NoSpacing"/>
              <w:tabs>
                <w:tab w:val="left" w:pos="0"/>
              </w:tabs>
              <w:ind w:firstLine="806"/>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Tehniskās apskates procesa uzraudzību CSDD nodrošinās, uzturot valsts transportlīdzekļu un to vadītāju reģistru, veicot kvalitātes un </w:t>
            </w:r>
            <w:r w:rsidR="00674DD5">
              <w:rPr>
                <w:rFonts w:ascii="Times New Roman" w:hAnsi="Times New Roman" w:eastAsia="Times New Roman"/>
                <w:sz w:val="24"/>
                <w:szCs w:val="24"/>
                <w:lang w:eastAsia="en-GB"/>
              </w:rPr>
              <w:t>darbības kontroles pasākumus</w:t>
            </w:r>
            <w:r w:rsidRPr="003E4B44">
              <w:rPr>
                <w:rFonts w:ascii="Times New Roman" w:hAnsi="Times New Roman" w:eastAsia="Times New Roman"/>
                <w:sz w:val="24"/>
                <w:szCs w:val="24"/>
                <w:lang w:eastAsia="en-GB"/>
              </w:rPr>
              <w:t xml:space="preserve">, uzturot videonovērošanas sistēmas, nodrošinot tehniskās kontroles inspektoru apmācību un atestāciju, pārsūdzību izskatīšanas u.c. uzraudzības procesus, kā arī veicot tehniskās kontroles uz ceļiem saskaņā Eiropas Parlamenta un Padomes Direktīvas 2014/47/ES par Savienībā izmantotu komerciālo transportlīdzekļu tehniskajām pārbaudēm uz ceļiem un par Direktīvas 2000/30/EK atcelšanu prasībām. </w:t>
            </w:r>
          </w:p>
          <w:p w:rsidRPr="003E4B44" w:rsidR="00020049" w:rsidP="00020049" w:rsidRDefault="00020049" w14:paraId="03891D82" w14:textId="77777777">
            <w:pPr>
              <w:pStyle w:val="NoSpacing"/>
              <w:tabs>
                <w:tab w:val="left" w:pos="0"/>
              </w:tabs>
              <w:ind w:firstLine="806"/>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Tāpat CSDD nodrošinās maksas iekasēšanu par tehnisko apskati visās tehniskās apskates stacijās, savukārt, no šīs naudas maksās komersantiem par tehniskās kontroles veikšanu un finansēs tehniskās apskates uzraudzības funkcijas. </w:t>
            </w:r>
          </w:p>
          <w:p w:rsidRPr="003E4B44" w:rsidR="00020049" w:rsidP="00020049" w:rsidRDefault="00020049" w14:paraId="3E3DB6E1" w14:textId="1933F618">
            <w:pPr>
              <w:pStyle w:val="NoSpacing"/>
              <w:tabs>
                <w:tab w:val="left" w:pos="0"/>
              </w:tabs>
              <w:ind w:firstLine="720"/>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Savukārt iepirkuma priekšmets būs tehniskās kontroles pakalpojums, kura pasūtītājs būs CSDD un kuru komersantam būs tiesības veikt noteiktā reģionā. Pakalpojuma sniegšana katrā reģionā iepirkumā tiks veidota kā atsevišķa </w:t>
            </w:r>
            <w:proofErr w:type="spellStart"/>
            <w:r w:rsidRPr="003E4B44">
              <w:rPr>
                <w:rFonts w:ascii="Times New Roman" w:hAnsi="Times New Roman" w:eastAsia="Times New Roman"/>
                <w:sz w:val="24"/>
                <w:szCs w:val="24"/>
                <w:lang w:eastAsia="en-GB"/>
              </w:rPr>
              <w:t>lote</w:t>
            </w:r>
            <w:proofErr w:type="spellEnd"/>
            <w:r w:rsidRPr="003E4B44">
              <w:rPr>
                <w:rFonts w:ascii="Times New Roman" w:hAnsi="Times New Roman" w:eastAsia="Times New Roman"/>
                <w:sz w:val="24"/>
                <w:szCs w:val="24"/>
                <w:lang w:eastAsia="en-GB"/>
              </w:rPr>
              <w:t xml:space="preserve">, Rīgā – ne mazāk kā divas </w:t>
            </w:r>
            <w:proofErr w:type="spellStart"/>
            <w:r w:rsidRPr="003E4B44">
              <w:rPr>
                <w:rFonts w:ascii="Times New Roman" w:hAnsi="Times New Roman" w:eastAsia="Times New Roman"/>
                <w:sz w:val="24"/>
                <w:szCs w:val="24"/>
                <w:lang w:eastAsia="en-GB"/>
              </w:rPr>
              <w:t>lotes</w:t>
            </w:r>
            <w:proofErr w:type="spellEnd"/>
            <w:r w:rsidRPr="003E4B44">
              <w:rPr>
                <w:rFonts w:ascii="Times New Roman" w:hAnsi="Times New Roman" w:eastAsia="Times New Roman"/>
                <w:sz w:val="24"/>
                <w:szCs w:val="24"/>
                <w:lang w:eastAsia="en-GB"/>
              </w:rPr>
              <w:t xml:space="preserve">. Pretendents tiesības veikt tehnisko kontroli noteiktā reģionā iegūs atklāta konkursa kārtībā. </w:t>
            </w:r>
          </w:p>
          <w:p w:rsidRPr="003E4B44" w:rsidR="00020049" w:rsidP="00020049" w:rsidRDefault="00020049" w14:paraId="609DA77C" w14:textId="77777777">
            <w:pPr>
              <w:pStyle w:val="NoSpacing"/>
              <w:tabs>
                <w:tab w:val="left" w:pos="0"/>
              </w:tabs>
              <w:ind w:firstLine="630"/>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Būtiskā</w:t>
            </w:r>
            <w:r>
              <w:rPr>
                <w:rFonts w:ascii="Times New Roman" w:hAnsi="Times New Roman" w:eastAsia="Times New Roman"/>
                <w:sz w:val="24"/>
                <w:szCs w:val="24"/>
                <w:lang w:eastAsia="en-GB"/>
              </w:rPr>
              <w:t>k</w:t>
            </w:r>
            <w:r w:rsidRPr="003E4B44">
              <w:rPr>
                <w:rFonts w:ascii="Times New Roman" w:hAnsi="Times New Roman" w:eastAsia="Times New Roman"/>
                <w:sz w:val="24"/>
                <w:szCs w:val="24"/>
                <w:lang w:eastAsia="en-GB"/>
              </w:rPr>
              <w:t>ie principi, uz kuriem tiks balstīta publiskā iepirkuma realizācija ir:</w:t>
            </w:r>
          </w:p>
          <w:p w:rsidRPr="003E4B44" w:rsidR="00020049" w:rsidP="00020049" w:rsidRDefault="00020049" w14:paraId="1B2F2068" w14:textId="77777777">
            <w:pPr>
              <w:pStyle w:val="NoSpacing"/>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ab/>
              <w:t>- tehniskās kontroles pakalpojuma pieejamība;</w:t>
            </w:r>
          </w:p>
          <w:p w:rsidRPr="003E4B44" w:rsidR="00020049" w:rsidP="00020049" w:rsidRDefault="00020049" w14:paraId="79FAFFE2" w14:textId="77777777">
            <w:pPr>
              <w:pStyle w:val="NoSpacing"/>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ab/>
              <w:t>- tehniskās kontroles kvalitāte - ceļu satiksmei un videi droši transportlīdzekļi;</w:t>
            </w:r>
          </w:p>
          <w:p w:rsidRPr="003E4B44" w:rsidR="00020049" w:rsidP="00020049" w:rsidRDefault="00020049" w14:paraId="2D377398" w14:textId="77777777">
            <w:pPr>
              <w:pStyle w:val="NoSpacing"/>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ab/>
              <w:t>- klientu apkalpošanas kvalitāte – ērta pakalpojuma saņemšana;</w:t>
            </w:r>
          </w:p>
          <w:p w:rsidRPr="003E4B44" w:rsidR="00020049" w:rsidP="00020049" w:rsidRDefault="00020049" w14:paraId="435A56AD" w14:textId="77777777">
            <w:pPr>
              <w:pStyle w:val="NoSpacing"/>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ab/>
              <w:t>- pakalpojumam atbilstoša, nediskriminējoša cena;</w:t>
            </w:r>
          </w:p>
          <w:p w:rsidRPr="003E4B44" w:rsidR="00020049" w:rsidP="00020049" w:rsidRDefault="00020049" w14:paraId="7BBBF71F" w14:textId="77777777">
            <w:pPr>
              <w:pStyle w:val="NoSpacing"/>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ab/>
              <w:t>- tehniskās kontroles pakalpojumu sniedzēju vienlīdzīga piekļuve tirgum.</w:t>
            </w:r>
          </w:p>
          <w:p w:rsidRPr="003E4B44" w:rsidR="00020049" w:rsidP="00020049" w:rsidRDefault="00020049" w14:paraId="75045D04" w14:textId="77777777">
            <w:pPr>
              <w:pStyle w:val="NoSpacing"/>
              <w:tabs>
                <w:tab w:val="left" w:pos="0"/>
              </w:tabs>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ab/>
              <w:t xml:space="preserve">Maksu par valsts tehnisko apskati, pamatojoties uz tehniskās kontroles izmaksām un tehniskās apskates procesa uzraudzības izmaksām, tāpat kā līdz šim noteiks Ministru kabinets. </w:t>
            </w:r>
          </w:p>
          <w:p w:rsidRPr="003E4B44" w:rsidR="00020049" w:rsidP="00020049" w:rsidRDefault="00020049" w14:paraId="43714CED" w14:textId="77777777">
            <w:pPr>
              <w:pStyle w:val="NoSpacing"/>
              <w:tabs>
                <w:tab w:val="left" w:pos="0"/>
              </w:tabs>
              <w:ind w:firstLine="720"/>
              <w:jc w:val="both"/>
              <w:rPr>
                <w:rFonts w:ascii="Times New Roman" w:hAnsi="Times New Roman" w:eastAsia="Times New Roman"/>
                <w:sz w:val="24"/>
                <w:szCs w:val="24"/>
                <w:lang w:eastAsia="en-GB"/>
              </w:rPr>
            </w:pPr>
            <w:r w:rsidRPr="003E4B44">
              <w:rPr>
                <w:rFonts w:ascii="Times New Roman" w:hAnsi="Times New Roman" w:eastAsia="Times New Roman"/>
                <w:sz w:val="24"/>
                <w:szCs w:val="24"/>
                <w:lang w:eastAsia="en-GB"/>
              </w:rPr>
              <w:t xml:space="preserve">Tehniskās apskates pakalpojuma koncepcijai tika veikts ārējais audits, kurā secināts, ka koncepcijā paredzētais tehniskās apskates realizācijas modelis nodrošina iespēju CSDD pilnvērtīgi un efektīvi realizēt tai deleģētos valsts pārvaldes uzdevumus un ar tiem saistīto procesu uzraudzību, līdz ar to secināms, ka CSDD līdzdalība  kapitālsabiedrībās var izbeigt. </w:t>
            </w:r>
          </w:p>
          <w:p w:rsidRPr="003E4B44" w:rsidR="00020049" w:rsidP="00020049" w:rsidRDefault="00020049" w14:paraId="6CA0FE48" w14:textId="77777777">
            <w:pPr>
              <w:ind w:firstLine="720"/>
              <w:jc w:val="both"/>
              <w:rPr>
                <w:lang w:eastAsia="en-GB"/>
              </w:rPr>
            </w:pPr>
            <w:r w:rsidRPr="003E4B44">
              <w:rPr>
                <w:lang w:eastAsia="en-GB"/>
              </w:rPr>
              <w:t xml:space="preserve">CSDD kā publiskas personas kapitālsabiedrības darbību, tai skaitā rīcību ar kapitālsabiedrības mantu un līdzdalību citās kapitālsabiedrībās regulē </w:t>
            </w:r>
            <w:hyperlink w:history="1" w:anchor="p88" r:id="rId8">
              <w:r w:rsidRPr="003E4B44">
                <w:rPr>
                  <w:lang w:eastAsia="en-GB"/>
                </w:rPr>
                <w:t>Valsts pārvaldes iekārtas likums</w:t>
              </w:r>
            </w:hyperlink>
            <w:r w:rsidRPr="003E4B44">
              <w:rPr>
                <w:lang w:eastAsia="en-GB"/>
              </w:rPr>
              <w:t xml:space="preserve"> (attiecībā uz kapitālsabiedrības komercdarbības pamatprincipiem un kārtību, kādā izvērtējama līdzdalība citās kapitālsabiedrībās), </w:t>
            </w:r>
            <w:hyperlink w:history="1" r:id="rId9">
              <w:r w:rsidRPr="003E4B44">
                <w:rPr>
                  <w:lang w:eastAsia="en-GB"/>
                </w:rPr>
                <w:t>Publiskas personas kapitāla daļu un kapitālsabiedrību pārvaldības likums</w:t>
              </w:r>
            </w:hyperlink>
            <w:r w:rsidRPr="003E4B44">
              <w:rPr>
                <w:lang w:eastAsia="en-GB"/>
              </w:rPr>
              <w:t xml:space="preserve"> (jautājumos par kapitāla daļu pārvaldību, dalības citās kapitālsabiedrībās iegūšanu, grozīšanu un izbeigšanu, u.c.), </w:t>
            </w:r>
            <w:hyperlink w:history="1" r:id="rId10">
              <w:r w:rsidRPr="003E4B44">
                <w:rPr>
                  <w:lang w:eastAsia="en-GB"/>
                </w:rPr>
                <w:t>Komerclikums</w:t>
              </w:r>
            </w:hyperlink>
            <w:r w:rsidRPr="003E4B44">
              <w:rPr>
                <w:lang w:eastAsia="en-GB"/>
              </w:rPr>
              <w:t xml:space="preserve"> (jautājumos par kapitālsabiedrības darbību, kas nav regulēti </w:t>
            </w:r>
            <w:hyperlink w:history="1" r:id="rId11">
              <w:r w:rsidRPr="003E4B44">
                <w:rPr>
                  <w:lang w:eastAsia="en-GB"/>
                </w:rPr>
                <w:t xml:space="preserve">Publiskas personas kapitāla daļu un kapitālsabiedrību </w:t>
              </w:r>
              <w:r w:rsidRPr="003E4B44">
                <w:rPr>
                  <w:lang w:eastAsia="en-GB"/>
                </w:rPr>
                <w:lastRenderedPageBreak/>
                <w:t>pārvaldības likumā</w:t>
              </w:r>
            </w:hyperlink>
            <w:r w:rsidRPr="003E4B44">
              <w:rPr>
                <w:lang w:eastAsia="en-GB"/>
              </w:rPr>
              <w:t xml:space="preserve">), un </w:t>
            </w:r>
            <w:hyperlink w:history="1" r:id="rId12">
              <w:r w:rsidRPr="003E4B44">
                <w:rPr>
                  <w:lang w:eastAsia="en-GB"/>
                </w:rPr>
                <w:t>Publiskas personas finanšu līdzekļu un mantas izšķērdēšanas novēršanas likums</w:t>
              </w:r>
            </w:hyperlink>
            <w:r w:rsidRPr="003E4B44">
              <w:rPr>
                <w:lang w:eastAsia="en-GB"/>
              </w:rPr>
              <w:t xml:space="preserve"> attiecībā uz principiem  rīcībai ar mantu.</w:t>
            </w:r>
          </w:p>
          <w:p w:rsidRPr="003E4B44" w:rsidR="00020049" w:rsidP="00020049" w:rsidRDefault="00020049" w14:paraId="7747F65B" w14:textId="77777777">
            <w:pPr>
              <w:ind w:firstLine="720"/>
              <w:jc w:val="both"/>
              <w:rPr>
                <w:lang w:eastAsia="en-GB"/>
              </w:rPr>
            </w:pPr>
            <w:r w:rsidRPr="003E4B44">
              <w:rPr>
                <w:lang w:eastAsia="en-GB"/>
              </w:rPr>
              <w:t xml:space="preserve">Atbilstoši Publiskas personas finanšu līdzekļu un mantas izšķērdēšanas novēršanas likuma 2.panta trešajai daļai publiskas personas kapitālsabiedrība savā rīcībā ar finanšu līdzekļiem un mantu ievēro Valsts pārvaldes iekārtas likumā  noteiktos publiskas personas komercdarbības pamatus, kā arī attiecībā uz minētajām kapitālsabiedrībām šajā likumā un citos normatīvajos aktos noteiktos pienākumus un ierobežojumus. Kapitālsabiedrība šā likuma izpratnē nav privātpersona. </w:t>
            </w:r>
          </w:p>
          <w:p w:rsidRPr="003E4B44" w:rsidR="00020049" w:rsidP="00020049" w:rsidRDefault="00020049" w14:paraId="1EC2F7F9" w14:textId="77777777">
            <w:pPr>
              <w:pStyle w:val="tv213"/>
              <w:shd w:val="clear" w:color="auto" w:fill="FFFFFF"/>
              <w:spacing w:before="0" w:beforeAutospacing="0" w:after="0" w:afterAutospacing="0"/>
              <w:ind w:firstLine="600"/>
              <w:jc w:val="both"/>
              <w:rPr>
                <w:lang w:eastAsia="en-GB"/>
              </w:rPr>
            </w:pPr>
            <w:r w:rsidRPr="003E4B44">
              <w:rPr>
                <w:lang w:eastAsia="en-GB"/>
              </w:rPr>
              <w:t xml:space="preserve">Atbilstoši </w:t>
            </w:r>
            <w:hyperlink w:history="1" r:id="rId13">
              <w:r w:rsidRPr="003E4B44">
                <w:rPr>
                  <w:lang w:eastAsia="en-GB"/>
                </w:rPr>
                <w:t>Publiskas personas kapitāla daļu un kapitālsabiedrību pārvaldības likuma</w:t>
              </w:r>
            </w:hyperlink>
            <w:r w:rsidRPr="003E4B44">
              <w:rPr>
                <w:lang w:eastAsia="en-GB"/>
              </w:rPr>
              <w:t xml:space="preserve"> 9.panta otrajai daļai lēmumu par atļauju publiskas personas kapitālsabiedrībai izbeigt līdzdalību citā kapitālsabiedrībā pieņem attiecīgās publiskās personas augstākā lēmējinstitūcija, kas atbilstoši šā likuma 1.panta 14.punktam ir  attiecībā uz valsts kapitālsabiedrību pārvaldību ir Ministru kabinets. Attiecīgi, pamatojoties </w:t>
            </w:r>
            <w:hyperlink w:history="1" r:id="rId14">
              <w:r w:rsidRPr="003E4B44">
                <w:rPr>
                  <w:lang w:eastAsia="en-GB"/>
                </w:rPr>
                <w:t>Publiskas personas kapitāla daļu un kapitālsabiedrību pārvaldības likuma</w:t>
              </w:r>
            </w:hyperlink>
            <w:r w:rsidRPr="003E4B44">
              <w:rPr>
                <w:lang w:eastAsia="en-GB"/>
              </w:rPr>
              <w:t xml:space="preserve"> 9.panta otro daļu un 118.panta otro daļu, CSDD līdzdalības izbeigšanai citā kapitālsabiedrībā ir nepieciešama Ministru kabineta atļauja. Bez tam, atbilstoši </w:t>
            </w:r>
            <w:hyperlink w:history="1" r:id="rId15">
              <w:r w:rsidRPr="003E4B44">
                <w:rPr>
                  <w:lang w:eastAsia="en-GB"/>
                </w:rPr>
                <w:t>Publiskas personas kapitāla daļu un kapitālsabiedrību pārvaldības likuma</w:t>
              </w:r>
            </w:hyperlink>
            <w:r w:rsidRPr="003E4B44">
              <w:rPr>
                <w:lang w:eastAsia="en-GB"/>
              </w:rPr>
              <w:t xml:space="preserve"> </w:t>
            </w:r>
            <w:hyperlink w:history="1" w:anchor="p9" r:id="rId16">
              <w:r w:rsidRPr="003E4B44">
                <w:rPr>
                  <w:lang w:eastAsia="en-GB"/>
                </w:rPr>
                <w:t>9.panta otrajai un ceturtajai daļa</w:t>
              </w:r>
            </w:hyperlink>
            <w:r w:rsidRPr="003E4B44">
              <w:rPr>
                <w:lang w:eastAsia="en-GB"/>
              </w:rPr>
              <w:t>i Ministru kabineta lēmumā par atļauju valsts kapitālsabiedrībai izbeigt līdzdalību citā kapitālsabiedrībā norāda līdzdalības izbeigšanas kārtību.</w:t>
            </w:r>
          </w:p>
          <w:p w:rsidRPr="003E4B44" w:rsidR="00020049" w:rsidP="00020049" w:rsidRDefault="00020049" w14:paraId="38AFC920" w14:textId="77777777">
            <w:pPr>
              <w:pStyle w:val="tv213"/>
              <w:shd w:val="clear" w:color="auto" w:fill="FFFFFF"/>
              <w:spacing w:before="0" w:beforeAutospacing="0" w:after="0" w:afterAutospacing="0"/>
              <w:ind w:firstLine="630"/>
              <w:jc w:val="both"/>
              <w:rPr>
                <w:lang w:eastAsia="en-GB"/>
              </w:rPr>
            </w:pPr>
            <w:r w:rsidRPr="003E4B44">
              <w:rPr>
                <w:lang w:eastAsia="en-GB"/>
              </w:rPr>
              <w:t>Tā kā CSDD nevienā no Kapitālsabiedrībām nav vienīgā dalībniece, primāri izvērtējamais līdzdalības izbeigšanas veids ir kapitāldaļu atsavināšana,  kas veicama ievērojot Kapitālsabiedrību statūtos noteiktās pārējo dalībnieku pirmpirkuma tiesības, kā arī Publiskas personas finanšu līdzekļu un mantas izšķērdēšanas novēršanas likuma 3.panta 2.punktā noteikto pienākumu lietderīgi rīkoties ar finanšu līdzekļiem un mantu, t.i. mantu atsavināt un nodot īpašumā vai lietošanā citai personai par iespējami augstāku cenu. Attiecīgi CSDD piederošās kapitāldaļas atsavināmas organizējot izsoli</w:t>
            </w:r>
            <w:r>
              <w:rPr>
                <w:lang w:eastAsia="en-GB"/>
              </w:rPr>
              <w:t xml:space="preserve">. </w:t>
            </w:r>
          </w:p>
          <w:p w:rsidR="0092696B" w:rsidP="0092696B" w:rsidRDefault="00020049" w14:paraId="77E86059" w14:textId="77777777">
            <w:pPr>
              <w:pStyle w:val="tv213"/>
              <w:shd w:val="clear" w:color="auto" w:fill="FFFFFF"/>
              <w:spacing w:before="0" w:beforeAutospacing="0" w:after="0" w:afterAutospacing="0"/>
              <w:ind w:firstLine="720"/>
              <w:jc w:val="both"/>
              <w:rPr>
                <w:lang w:eastAsia="en-GB"/>
              </w:rPr>
            </w:pPr>
            <w:r w:rsidRPr="003E4B44">
              <w:rPr>
                <w:lang w:eastAsia="en-GB"/>
              </w:rPr>
              <w:t xml:space="preserve">Kapitāla daļu pārdošanas sākotnējā vērtība, atbilstoši </w:t>
            </w:r>
            <w:hyperlink w:history="1" r:id="rId17">
              <w:r w:rsidRPr="003E4B44">
                <w:rPr>
                  <w:lang w:eastAsia="en-GB"/>
                </w:rPr>
                <w:t>Publiskas personas kapitāla daļu un kapitālsabiedrību pārvaldības likuma</w:t>
              </w:r>
            </w:hyperlink>
            <w:r w:rsidRPr="003E4B44">
              <w:rPr>
                <w:lang w:eastAsia="en-GB"/>
              </w:rPr>
              <w:t xml:space="preserve"> </w:t>
            </w:r>
            <w:hyperlink w:history="1" w:anchor="p140" r:id="rId18">
              <w:r w:rsidRPr="003E4B44">
                <w:rPr>
                  <w:lang w:eastAsia="en-GB"/>
                </w:rPr>
                <w:t>140.panta</w:t>
              </w:r>
            </w:hyperlink>
            <w:r w:rsidRPr="003E4B44">
              <w:rPr>
                <w:lang w:eastAsia="en-GB"/>
              </w:rPr>
              <w:t xml:space="preserve"> pirmās daļas trešajam punktam, jānosaka neatkarīgam sertificētam vērtētājam saskaņā ar Latvijā atzītiem vērtēšanas standartiem.</w:t>
            </w:r>
          </w:p>
          <w:p w:rsidR="0092696B" w:rsidP="0092696B" w:rsidRDefault="0092696B" w14:paraId="23BBC747" w14:textId="6D62872B">
            <w:pPr>
              <w:pStyle w:val="tv213"/>
              <w:shd w:val="clear" w:color="auto" w:fill="FFFFFF"/>
              <w:spacing w:before="0" w:beforeAutospacing="0" w:after="0" w:afterAutospacing="0"/>
              <w:ind w:firstLine="720"/>
              <w:jc w:val="both"/>
              <w:rPr>
                <w:lang w:eastAsia="en-GB"/>
              </w:rPr>
            </w:pPr>
            <w:r>
              <w:rPr>
                <w:lang w:eastAsia="en-GB"/>
              </w:rPr>
              <w:t xml:space="preserve">Finanšu ministrija 15.01.2020. atzinumā 12/A-7/213 norādījusi, ka  CSDD atbilstoši Centrālās statistikas pārvaldes izveidotajam un uzturētajam institucionālo vienību klasifikācijas sarakstam ir piederīga pie vispārējās valdības institucionālā sektora, kas nozīmē, ka šī institucionālā vienība ar savu saimnieciskās darbības rezultātu (veiktajiem kapitālieguldījumiem, nekustamā īpašuma atsavināšanu,  peļņu/zaudējumiem u.c. rādītājiem) Eiropas kontu sistēmas (turpmāk – EKS) metodoloģijas izpratnē ietekmē vispārējās valdības budžeta bilanci (neto aizdevumus/neto aizņēmumus). Savukārt vispārējās valdības sektorā veiktie norēķini tiek konsolidēti, kas nozīmē, ka CSDD iemaksas valsts budžetā vai </w:t>
            </w:r>
            <w:r>
              <w:rPr>
                <w:lang w:eastAsia="en-GB"/>
              </w:rPr>
              <w:lastRenderedPageBreak/>
              <w:t xml:space="preserve">arī budžeta pārskaitījuma CSDD nerada ietekmi uz vispārējās valdības budžeta bilanci. </w:t>
            </w:r>
          </w:p>
          <w:p w:rsidR="0092696B" w:rsidP="0092696B" w:rsidRDefault="0092696B" w14:paraId="1E27C06F" w14:textId="77777777">
            <w:pPr>
              <w:pStyle w:val="tv213"/>
              <w:shd w:val="clear" w:color="auto" w:fill="FFFFFF"/>
              <w:spacing w:before="0" w:beforeAutospacing="0" w:after="0" w:afterAutospacing="0"/>
              <w:ind w:firstLine="720"/>
              <w:jc w:val="both"/>
              <w:rPr>
                <w:lang w:eastAsia="en-GB"/>
              </w:rPr>
            </w:pPr>
            <w:r>
              <w:rPr>
                <w:lang w:eastAsia="en-GB"/>
              </w:rPr>
              <w:t>Atbilstoši EKS metodoloģijai finanšu darījumi netiek uzskaitīti kā vispārējās valdības budžeta ieņēmumi vai izdevumi, tādējādi no CSDD piederošo SIA “</w:t>
            </w:r>
            <w:proofErr w:type="spellStart"/>
            <w:r>
              <w:rPr>
                <w:lang w:eastAsia="en-GB"/>
              </w:rPr>
              <w:t>Auteko&amp;TUV</w:t>
            </w:r>
            <w:proofErr w:type="spellEnd"/>
            <w:r>
              <w:rPr>
                <w:lang w:eastAsia="en-GB"/>
              </w:rPr>
              <w:t xml:space="preserve"> Latvija”, SIA “</w:t>
            </w:r>
            <w:proofErr w:type="spellStart"/>
            <w:r>
              <w:rPr>
                <w:lang w:eastAsia="en-GB"/>
              </w:rPr>
              <w:t>Autests</w:t>
            </w:r>
            <w:proofErr w:type="spellEnd"/>
            <w:r>
              <w:rPr>
                <w:lang w:eastAsia="en-GB"/>
              </w:rPr>
              <w:t>”, SIA “</w:t>
            </w:r>
            <w:proofErr w:type="spellStart"/>
            <w:r>
              <w:rPr>
                <w:lang w:eastAsia="en-GB"/>
              </w:rPr>
              <w:t>Scantest</w:t>
            </w:r>
            <w:proofErr w:type="spellEnd"/>
            <w:r>
              <w:rPr>
                <w:lang w:eastAsia="en-GB"/>
              </w:rPr>
              <w:t>” un SIA “</w:t>
            </w:r>
            <w:proofErr w:type="spellStart"/>
            <w:r>
              <w:rPr>
                <w:lang w:eastAsia="en-GB"/>
              </w:rPr>
              <w:t>Venttest</w:t>
            </w:r>
            <w:proofErr w:type="spellEnd"/>
            <w:r>
              <w:rPr>
                <w:lang w:eastAsia="en-GB"/>
              </w:rPr>
              <w:t xml:space="preserve">” kapitāla daļu pārdošanas gūtie ieņēmumi netiks uzskaitīti kā vispārējās valdības budžeta ieņēmumi un nevarēs tikt izmantoti citu papildu izdevumu segšanai. </w:t>
            </w:r>
          </w:p>
          <w:p w:rsidRPr="003E4B44" w:rsidR="0092696B" w:rsidP="0092696B" w:rsidRDefault="0092696B" w14:paraId="24E2F2D2" w14:textId="2F710709">
            <w:pPr>
              <w:pStyle w:val="tv213"/>
              <w:shd w:val="clear" w:color="auto" w:fill="FFFFFF"/>
              <w:spacing w:before="0" w:beforeAutospacing="0" w:after="0" w:afterAutospacing="0"/>
              <w:ind w:firstLine="720"/>
              <w:jc w:val="both"/>
              <w:rPr>
                <w:lang w:eastAsia="en-GB"/>
              </w:rPr>
            </w:pPr>
            <w:r>
              <w:rPr>
                <w:lang w:eastAsia="en-GB"/>
              </w:rPr>
              <w:t>Ņemot vērā CSDD piederību vispārējās valdības sektorā CSDD no SIA “</w:t>
            </w:r>
            <w:proofErr w:type="spellStart"/>
            <w:r>
              <w:rPr>
                <w:lang w:eastAsia="en-GB"/>
              </w:rPr>
              <w:t>Auteko&amp;TUV</w:t>
            </w:r>
            <w:proofErr w:type="spellEnd"/>
            <w:r>
              <w:rPr>
                <w:lang w:eastAsia="en-GB"/>
              </w:rPr>
              <w:t xml:space="preserve"> Latvija”, SIA “</w:t>
            </w:r>
            <w:proofErr w:type="spellStart"/>
            <w:r>
              <w:rPr>
                <w:lang w:eastAsia="en-GB"/>
              </w:rPr>
              <w:t>Autests</w:t>
            </w:r>
            <w:proofErr w:type="spellEnd"/>
            <w:r>
              <w:rPr>
                <w:lang w:eastAsia="en-GB"/>
              </w:rPr>
              <w:t>”, SIA “</w:t>
            </w:r>
            <w:proofErr w:type="spellStart"/>
            <w:r>
              <w:rPr>
                <w:lang w:eastAsia="en-GB"/>
              </w:rPr>
              <w:t>Scantest</w:t>
            </w:r>
            <w:proofErr w:type="spellEnd"/>
            <w:r>
              <w:rPr>
                <w:lang w:eastAsia="en-GB"/>
              </w:rPr>
              <w:t>” un SIA “</w:t>
            </w:r>
            <w:proofErr w:type="spellStart"/>
            <w:r>
              <w:rPr>
                <w:lang w:eastAsia="en-GB"/>
              </w:rPr>
              <w:t>Venttest</w:t>
            </w:r>
            <w:proofErr w:type="spellEnd"/>
            <w:r>
              <w:rPr>
                <w:lang w:eastAsia="en-GB"/>
              </w:rPr>
              <w:t xml:space="preserve">” saņemamo dividenžu kritums (provizoriski 600 000 </w:t>
            </w:r>
            <w:proofErr w:type="spellStart"/>
            <w:r>
              <w:rPr>
                <w:lang w:eastAsia="en-GB"/>
              </w:rPr>
              <w:t>euro</w:t>
            </w:r>
            <w:proofErr w:type="spellEnd"/>
            <w:r>
              <w:rPr>
                <w:lang w:eastAsia="en-GB"/>
              </w:rPr>
              <w:t xml:space="preserve"> apmērā) negatīvi ietekmēs vispārējās valdības budžeta bilanci vidējā termiņā. Satiksmes ministrijas informatīvajā ziņojumā  par VAS “Ceļu satiksmes drošības direkcija” līdzdalības kapitālsabiedrībās pārvērtēšanu norādīts CSDD piederošo kapitāla daļu atsavināšanas plānotais laika grafiks, precizējot, ar kuru gadu un kādā apjomā sagaidāms CSDD ieņēmumu (dividenžu) kritums.</w:t>
            </w:r>
          </w:p>
          <w:p w:rsidRPr="005E14BF" w:rsidR="00020049" w:rsidP="00020049" w:rsidRDefault="00020049" w14:paraId="2ACB2684" w14:textId="4C812AA8">
            <w:pPr>
              <w:shd w:val="clear" w:color="auto" w:fill="FFFFFF"/>
              <w:spacing w:line="293" w:lineRule="atLeast"/>
              <w:ind w:left="117" w:right="142"/>
              <w:jc w:val="both"/>
            </w:pPr>
            <w:r w:rsidRPr="003E4B44">
              <w:rPr>
                <w:lang w:eastAsia="en-GB"/>
              </w:rPr>
              <w:t xml:space="preserve">Ar CSDD piederošo Kapitālsabiedrību </w:t>
            </w:r>
            <w:proofErr w:type="spellStart"/>
            <w:r w:rsidRPr="003E4B44">
              <w:rPr>
                <w:lang w:eastAsia="en-GB"/>
              </w:rPr>
              <w:t>kapitāļa</w:t>
            </w:r>
            <w:proofErr w:type="spellEnd"/>
            <w:r w:rsidRPr="003E4B44">
              <w:rPr>
                <w:lang w:eastAsia="en-GB"/>
              </w:rPr>
              <w:t xml:space="preserve"> daļu pārdošanu saistītās izmaksas – izmaksas par paziņojumu publicēšanu oficiālajā izdevumā „Latvijas Vēstnesis” un valsts nodeva par izmaiņu veikšanu komercreģistrā, tiks segtas no CSDD un kapitāldaļu ieguvēja finanšu līdzekļiem.</w:t>
            </w:r>
          </w:p>
        </w:tc>
      </w:tr>
      <w:tr w:rsidRPr="005E14BF" w:rsidR="00B31106" w:rsidTr="000F2DBB" w14:paraId="10664453" w14:textId="77777777">
        <w:trPr>
          <w:trHeight w:val="476"/>
        </w:trPr>
        <w:tc>
          <w:tcPr>
            <w:tcW w:w="226" w:type="pct"/>
          </w:tcPr>
          <w:p w:rsidRPr="005E14BF" w:rsidR="00B31106" w:rsidP="00F87203" w:rsidRDefault="00B31106" w14:paraId="3B8EDB06" w14:textId="77777777">
            <w:pPr>
              <w:pStyle w:val="naiskr"/>
              <w:spacing w:before="0" w:beforeAutospacing="0" w:after="0" w:afterAutospacing="0"/>
              <w:ind w:left="57" w:right="57"/>
              <w:jc w:val="center"/>
            </w:pPr>
            <w:r w:rsidRPr="005E14BF">
              <w:lastRenderedPageBreak/>
              <w:t>3.</w:t>
            </w:r>
          </w:p>
        </w:tc>
        <w:tc>
          <w:tcPr>
            <w:tcW w:w="1341" w:type="pct"/>
          </w:tcPr>
          <w:p w:rsidRPr="005E14BF" w:rsidR="00B31106" w:rsidP="00F87203" w:rsidRDefault="00B31106" w14:paraId="72754739" w14:textId="0C81BCC4">
            <w:pPr>
              <w:pStyle w:val="naiskr"/>
              <w:spacing w:before="0" w:beforeAutospacing="0" w:after="0" w:afterAutospacing="0"/>
              <w:ind w:left="57" w:right="57"/>
            </w:pPr>
            <w:r w:rsidRPr="005E14BF">
              <w:t>Projekta izstrādē iesaistītās institūcijas</w:t>
            </w:r>
            <w:r w:rsidR="00E34D03">
              <w:t xml:space="preserve"> un publiskas personas kapitālsabiedrības</w:t>
            </w:r>
          </w:p>
        </w:tc>
        <w:tc>
          <w:tcPr>
            <w:tcW w:w="3433" w:type="pct"/>
          </w:tcPr>
          <w:p w:rsidRPr="005E14BF" w:rsidR="00B31106" w:rsidP="00BD0691" w:rsidRDefault="00BD0691" w14:paraId="183A51F1" w14:textId="125B7913">
            <w:pPr>
              <w:ind w:left="57" w:right="57"/>
            </w:pPr>
            <w:r>
              <w:t>Satiksmes ministrija</w:t>
            </w:r>
            <w:r w:rsidR="00020049">
              <w:t xml:space="preserve"> un VAS “Ceļu satiksmes drošības direkcija” </w:t>
            </w:r>
          </w:p>
        </w:tc>
      </w:tr>
      <w:tr w:rsidRPr="005E14BF" w:rsidR="00B31106" w:rsidTr="000F2DBB" w14:paraId="3FE86E69" w14:textId="77777777">
        <w:tc>
          <w:tcPr>
            <w:tcW w:w="226" w:type="pct"/>
          </w:tcPr>
          <w:p w:rsidRPr="005E14BF" w:rsidR="00B31106" w:rsidP="00F87203" w:rsidRDefault="00B31106" w14:paraId="3E57D95A" w14:textId="77777777">
            <w:pPr>
              <w:pStyle w:val="naiskr"/>
              <w:spacing w:before="0" w:beforeAutospacing="0" w:after="0" w:afterAutospacing="0"/>
              <w:ind w:left="57" w:right="57"/>
              <w:jc w:val="center"/>
            </w:pPr>
            <w:r w:rsidRPr="005E14BF">
              <w:t>4.</w:t>
            </w:r>
          </w:p>
        </w:tc>
        <w:tc>
          <w:tcPr>
            <w:tcW w:w="1341" w:type="pct"/>
          </w:tcPr>
          <w:p w:rsidRPr="005E14BF" w:rsidR="00B31106" w:rsidP="00F87203" w:rsidRDefault="00B31106" w14:paraId="4B3A2A2F" w14:textId="77777777">
            <w:pPr>
              <w:pStyle w:val="naiskr"/>
              <w:spacing w:before="0" w:beforeAutospacing="0" w:after="0" w:afterAutospacing="0"/>
              <w:ind w:left="57" w:right="57"/>
            </w:pPr>
            <w:r w:rsidRPr="005E14BF">
              <w:t>Cita informācija</w:t>
            </w:r>
          </w:p>
        </w:tc>
        <w:tc>
          <w:tcPr>
            <w:tcW w:w="3433" w:type="pct"/>
          </w:tcPr>
          <w:p w:rsidRPr="005E14BF" w:rsidR="00B31106" w:rsidP="003506E6" w:rsidRDefault="00020049" w14:paraId="11713AC6" w14:textId="17A0C8E5">
            <w:pPr>
              <w:pStyle w:val="naiskr"/>
              <w:spacing w:before="0" w:beforeAutospacing="0" w:after="0" w:afterAutospacing="0"/>
              <w:ind w:left="57" w:right="57"/>
              <w:jc w:val="both"/>
            </w:pPr>
            <w:r>
              <w:t>Nav</w:t>
            </w:r>
          </w:p>
        </w:tc>
      </w:tr>
    </w:tbl>
    <w:p w:rsidR="00050C31" w:rsidP="00050C31" w:rsidRDefault="00050C31" w14:paraId="7C37FB32" w14:textId="6C2EB2E8">
      <w:pPr>
        <w:shd w:val="clear" w:color="auto" w:fill="FFFFFF"/>
        <w:ind w:firstLine="300"/>
      </w:pPr>
    </w:p>
    <w:p w:rsidR="006A7403" w:rsidP="00050C31" w:rsidRDefault="006A7403" w14:paraId="5692717B" w14:textId="4B18579F">
      <w:pPr>
        <w:shd w:val="clear" w:color="auto" w:fill="FFFFFF"/>
        <w:ind w:firstLine="300"/>
      </w:pPr>
    </w:p>
    <w:p w:rsidRPr="00050C31" w:rsidR="006A7403" w:rsidP="00050C31" w:rsidRDefault="006A7403" w14:paraId="7FE643BA"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050C31" w:rsidR="00050C31" w:rsidTr="00BD0691" w14:paraId="1C05722C"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50C31" w:rsidR="00050C31" w:rsidP="00050C31" w:rsidRDefault="00050C31" w14:paraId="0AACA368" w14:textId="77777777">
            <w:pPr>
              <w:jc w:val="center"/>
              <w:rPr>
                <w:b/>
                <w:bCs/>
              </w:rPr>
            </w:pPr>
            <w:r w:rsidRPr="00050C31">
              <w:rPr>
                <w:b/>
                <w:bCs/>
              </w:rPr>
              <w:t>II. Tiesību akta projekta ietekme uz sabiedrību, tautsaimniecības attīstību un administratīvo slogu</w:t>
            </w:r>
          </w:p>
        </w:tc>
      </w:tr>
      <w:tr w:rsidRPr="00050C31" w:rsidR="00050C31" w:rsidTr="00BD0691" w14:paraId="328E6936"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17F9CDF7" w14:textId="77777777">
            <w:r w:rsidRPr="00050C31">
              <w:t>1.</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55F373F" w14:textId="77777777">
            <w:r w:rsidRPr="00050C31">
              <w:t xml:space="preserve">Sabiedrības </w:t>
            </w:r>
            <w:proofErr w:type="spellStart"/>
            <w:r w:rsidRPr="00050C31">
              <w:t>mērķgrupas</w:t>
            </w:r>
            <w:proofErr w:type="spellEnd"/>
            <w:r w:rsidRPr="00050C31">
              <w:t>,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20049" w14:paraId="13D9B0B1" w14:textId="4A32F18E">
            <w:pPr>
              <w:shd w:val="clear" w:color="auto" w:fill="FFFFFF"/>
              <w:ind w:left="57" w:right="57"/>
              <w:jc w:val="both"/>
            </w:pPr>
            <w:r>
              <w:t>Transportlīdzekļu īpašnieki</w:t>
            </w:r>
            <w:r w:rsidRPr="00050C31" w:rsidR="00050C31">
              <w:t>.</w:t>
            </w:r>
          </w:p>
          <w:p w:rsidRPr="00050C31" w:rsidR="00050C31" w:rsidP="00050C31" w:rsidRDefault="00050C31" w14:paraId="10D766C6" w14:textId="0777A3F5">
            <w:pPr>
              <w:ind w:left="57"/>
              <w:jc w:val="both"/>
            </w:pPr>
          </w:p>
        </w:tc>
      </w:tr>
      <w:tr w:rsidRPr="00050C31" w:rsidR="00050C31" w:rsidTr="00BD0691" w14:paraId="1F210EA0"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1C6707B3" w14:textId="77777777">
            <w:r w:rsidRPr="00050C31">
              <w:t>2.</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79F11A7" w14:textId="77777777">
            <w:r w:rsidRPr="00050C31">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1E0FB9A" w14:textId="4C76C859">
            <w:pPr>
              <w:ind w:left="57"/>
              <w:jc w:val="both"/>
            </w:pPr>
            <w:r w:rsidRPr="00050C31">
              <w:t>Projekts šo jomu neskar.</w:t>
            </w:r>
          </w:p>
        </w:tc>
      </w:tr>
      <w:tr w:rsidRPr="00050C31" w:rsidR="00050C31" w:rsidTr="00BD0691" w14:paraId="4DD2AD0E"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523AD522" w14:textId="77777777">
            <w:r w:rsidRPr="00050C31">
              <w:t>3.</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60F5E5B" w14:textId="77777777">
            <w:r w:rsidRPr="00050C31">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06A39D35" w14:textId="4D1459F4">
            <w:pPr>
              <w:ind w:left="57"/>
              <w:jc w:val="both"/>
            </w:pPr>
            <w:r w:rsidRPr="00050C31">
              <w:t>Projekts šo jomu neskar.</w:t>
            </w:r>
          </w:p>
        </w:tc>
      </w:tr>
      <w:tr w:rsidRPr="00050C31" w:rsidR="00050C31" w:rsidTr="00BD0691" w14:paraId="4E72CF0B"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2645D1C5" w14:textId="77777777">
            <w:r w:rsidRPr="00050C31">
              <w:t>4.</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5F8D4AAE" w14:textId="77777777">
            <w:r w:rsidRPr="00050C31">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4A76E66D" w14:textId="77777777">
            <w:pPr>
              <w:ind w:left="57"/>
              <w:jc w:val="both"/>
            </w:pPr>
            <w:r w:rsidRPr="00050C31">
              <w:t>Projekts šo jomu neskar.</w:t>
            </w:r>
          </w:p>
        </w:tc>
      </w:tr>
      <w:tr w:rsidRPr="00050C31" w:rsidR="00050C31" w:rsidTr="00BD0691" w14:paraId="51DEBAD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257DC4F8" w14:textId="77777777">
            <w:r w:rsidRPr="00050C31">
              <w:t>5.</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4FA2E1E" w14:textId="77777777">
            <w:r w:rsidRPr="00050C31">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CC80E6F" w14:textId="77777777">
            <w:pPr>
              <w:ind w:left="57"/>
              <w:jc w:val="both"/>
            </w:pPr>
            <w:r w:rsidRPr="00050C31">
              <w:t>Nav.</w:t>
            </w:r>
          </w:p>
        </w:tc>
      </w:tr>
    </w:tbl>
    <w:p w:rsidR="00050C31" w:rsidP="00050C31" w:rsidRDefault="00050C31" w14:paraId="68B300DA" w14:textId="31CB1278">
      <w:pPr>
        <w:shd w:val="clear" w:color="auto" w:fill="FFFFFF"/>
        <w:ind w:firstLine="300"/>
      </w:pPr>
      <w:r w:rsidRPr="00050C31">
        <w:t> </w:t>
      </w:r>
    </w:p>
    <w:p w:rsidRPr="00050C31" w:rsidR="000F2DBB" w:rsidP="00050C31" w:rsidRDefault="000F2DBB" w14:paraId="569047D4"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98"/>
      </w:tblGrid>
      <w:tr w:rsidRPr="005E14BF" w:rsidR="00B31106" w:rsidTr="00BD0691" w14:paraId="289FD507" w14:textId="77777777">
        <w:trPr>
          <w:trHeight w:val="212"/>
        </w:trPr>
        <w:tc>
          <w:tcPr>
            <w:tcW w:w="9498" w:type="dxa"/>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413047C" w14:textId="77777777">
            <w:pPr>
              <w:jc w:val="center"/>
              <w:rPr>
                <w:b/>
                <w:bCs/>
              </w:rPr>
            </w:pPr>
            <w:r w:rsidRPr="005E14BF">
              <w:rPr>
                <w:b/>
                <w:bCs/>
              </w:rPr>
              <w:t>III. Tiesību akta projekta ietekme uz valsts budžetu un pašvaldību budžetiem</w:t>
            </w:r>
          </w:p>
        </w:tc>
      </w:tr>
      <w:tr w:rsidRPr="005E14BF" w:rsidR="00020049" w:rsidTr="002C7107" w14:paraId="3381357A" w14:textId="77777777">
        <w:trPr>
          <w:trHeight w:val="300"/>
        </w:trPr>
        <w:tc>
          <w:tcPr>
            <w:tcW w:w="949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020049" w:rsidP="00F87203" w:rsidRDefault="00020049" w14:paraId="6AA76958" w14:textId="23090663">
            <w:pPr>
              <w:jc w:val="center"/>
            </w:pPr>
            <w:r w:rsidRPr="00050C31">
              <w:t>Projekts šo jomu neskar.</w:t>
            </w:r>
          </w:p>
        </w:tc>
      </w:tr>
    </w:tbl>
    <w:p w:rsidRPr="005E14BF" w:rsidR="00B31106" w:rsidP="00B31106" w:rsidRDefault="00B31106" w14:paraId="6E7D5C16" w14:textId="77777777">
      <w:pPr>
        <w:rPr>
          <w:iCs/>
        </w:rPr>
      </w:pPr>
      <w:r w:rsidRPr="005E14BF">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FA5E8C" w:rsidTr="00FA5E8C" w14:paraId="4803BCF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tcPr>
          <w:p w:rsidRPr="005E14BF" w:rsidR="00FA5E8C" w:rsidP="00FA5E8C" w:rsidRDefault="00FA5E8C" w14:paraId="5A429966" w14:textId="33C2CA43">
            <w:pPr>
              <w:jc w:val="center"/>
              <w:rPr>
                <w:b/>
                <w:bCs/>
                <w:iCs/>
              </w:rPr>
            </w:pPr>
          </w:p>
        </w:tc>
      </w:tr>
      <w:tr w:rsidRPr="005E14BF" w:rsidR="00FA5E8C" w:rsidTr="00FA5E8C" w14:paraId="1713213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1"/>
              <w:gridCol w:w="5553"/>
            </w:tblGrid>
            <w:tr w:rsidRPr="007161B6" w:rsidR="00FA5E8C" w:rsidTr="00496C8E" w14:paraId="2AC3941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A5E8C" w:rsidR="00FA5E8C" w:rsidP="00FA5E8C" w:rsidRDefault="00FA5E8C" w14:paraId="2171EDFC" w14:textId="77777777">
                  <w:pPr>
                    <w:pStyle w:val="tvhtml"/>
                    <w:jc w:val="center"/>
                    <w:rPr>
                      <w:b/>
                      <w:bCs/>
                      <w:lang w:val="lv-LV"/>
                    </w:rPr>
                  </w:pPr>
                  <w:r w:rsidRPr="00FA5E8C">
                    <w:rPr>
                      <w:b/>
                      <w:bCs/>
                      <w:lang w:val="lv-LV"/>
                    </w:rPr>
                    <w:t>IV. Tiesību akta projekta ietekme uz spēkā esošo tiesību normu sistēmu</w:t>
                  </w:r>
                </w:p>
              </w:tc>
            </w:tr>
            <w:tr w:rsidRPr="007161B6" w:rsidR="00FA5E8C" w:rsidTr="00496C8E" w14:paraId="329CBB8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2C1440DF" w14:textId="77777777">
                  <w:pPr>
                    <w:pStyle w:val="tvhtml"/>
                    <w:jc w:val="center"/>
                  </w:pPr>
                  <w:r w:rsidRPr="007161B6">
                    <w:t>1.</w:t>
                  </w:r>
                </w:p>
              </w:tc>
              <w:tc>
                <w:tcPr>
                  <w:tcW w:w="17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200965AF" w14:textId="77777777">
                  <w:r w:rsidRPr="007161B6">
                    <w:t>Saistītie tiesību aktu projekti</w:t>
                  </w:r>
                </w:p>
              </w:tc>
              <w:tc>
                <w:tcPr>
                  <w:tcW w:w="3000" w:type="pct"/>
                  <w:tcBorders>
                    <w:top w:val="outset" w:color="auto" w:sz="6" w:space="0"/>
                    <w:left w:val="outset" w:color="auto" w:sz="6" w:space="0"/>
                    <w:bottom w:val="outset" w:color="auto" w:sz="6" w:space="0"/>
                    <w:right w:val="outset" w:color="auto" w:sz="6" w:space="0"/>
                  </w:tcBorders>
                  <w:hideMark/>
                </w:tcPr>
                <w:p w:rsidRPr="00FA5E8C" w:rsidR="00FA5E8C" w:rsidP="00527243" w:rsidRDefault="00527243" w14:paraId="3DACEAB5" w14:textId="0A61F934">
                  <w:pPr>
                    <w:tabs>
                      <w:tab w:val="left" w:pos="0"/>
                    </w:tabs>
                    <w:ind w:left="-4"/>
                    <w:jc w:val="both"/>
                    <w:rPr>
                      <w:rFonts w:eastAsia="Calibri"/>
                      <w:bCs/>
                      <w:lang w:eastAsia="en-US"/>
                    </w:rPr>
                  </w:pPr>
                  <w:r>
                    <w:rPr>
                      <w:rFonts w:eastAsia="Calibri"/>
                      <w:bCs/>
                      <w:lang w:eastAsia="en-US"/>
                    </w:rPr>
                    <w:t>MK rīkojuma projekts tiek virzīts kopā ar  i</w:t>
                  </w:r>
                  <w:r w:rsidRPr="00FA5E8C" w:rsidR="00FA5E8C">
                    <w:rPr>
                      <w:rFonts w:eastAsia="Calibri"/>
                      <w:bCs/>
                      <w:lang w:eastAsia="en-US"/>
                    </w:rPr>
                    <w:t>nformatīv</w:t>
                  </w:r>
                  <w:r>
                    <w:rPr>
                      <w:rFonts w:eastAsia="Calibri"/>
                      <w:bCs/>
                      <w:lang w:eastAsia="en-US"/>
                    </w:rPr>
                    <w:t>o</w:t>
                  </w:r>
                  <w:r w:rsidRPr="00FA5E8C" w:rsidR="00FA5E8C">
                    <w:rPr>
                      <w:rFonts w:eastAsia="Calibri"/>
                      <w:bCs/>
                      <w:lang w:eastAsia="en-US"/>
                    </w:rPr>
                    <w:t xml:space="preserve"> ziņojum</w:t>
                  </w:r>
                  <w:r>
                    <w:rPr>
                      <w:rFonts w:eastAsia="Calibri"/>
                      <w:bCs/>
                      <w:lang w:eastAsia="en-US"/>
                    </w:rPr>
                    <w:t>u</w:t>
                  </w:r>
                  <w:r w:rsidRPr="00FA5E8C" w:rsidR="00FA5E8C">
                    <w:rPr>
                      <w:rFonts w:eastAsia="Calibri"/>
                      <w:bCs/>
                      <w:lang w:eastAsia="en-US"/>
                    </w:rPr>
                    <w:t xml:space="preserve"> “Par tehniskās apskates pakalpojuma</w:t>
                  </w:r>
                  <w:r w:rsidR="00FA5E8C">
                    <w:rPr>
                      <w:rFonts w:eastAsia="Calibri"/>
                      <w:bCs/>
                      <w:lang w:eastAsia="en-US"/>
                    </w:rPr>
                    <w:t xml:space="preserve"> </w:t>
                  </w:r>
                  <w:r w:rsidRPr="00FA5E8C" w:rsidR="00FA5E8C">
                    <w:rPr>
                      <w:rFonts w:eastAsia="Calibri"/>
                      <w:bCs/>
                      <w:lang w:eastAsia="en-US"/>
                    </w:rPr>
                    <w:t>attīstību</w:t>
                  </w:r>
                  <w:r w:rsidR="00FA5E8C">
                    <w:rPr>
                      <w:rFonts w:eastAsia="Calibri"/>
                      <w:bCs/>
                      <w:lang w:eastAsia="en-US"/>
                    </w:rPr>
                    <w:t xml:space="preserve"> </w:t>
                  </w:r>
                  <w:r w:rsidRPr="00FA5E8C" w:rsidR="00FA5E8C">
                    <w:rPr>
                      <w:rFonts w:eastAsia="Calibri"/>
                      <w:bCs/>
                      <w:lang w:eastAsia="en-US"/>
                    </w:rPr>
                    <w:t>2021.</w:t>
                  </w:r>
                  <w:r w:rsidR="00FA5E8C">
                    <w:rPr>
                      <w:rFonts w:eastAsia="Calibri"/>
                      <w:bCs/>
                      <w:lang w:eastAsia="en-US"/>
                    </w:rPr>
                    <w:t xml:space="preserve"> </w:t>
                  </w:r>
                  <w:r w:rsidRPr="00FA5E8C" w:rsidR="00FA5E8C">
                    <w:rPr>
                      <w:rFonts w:eastAsia="Calibri"/>
                      <w:bCs/>
                      <w:lang w:eastAsia="en-US"/>
                    </w:rPr>
                    <w:t>-</w:t>
                  </w:r>
                  <w:r w:rsidR="00FA5E8C">
                    <w:rPr>
                      <w:rFonts w:eastAsia="Calibri"/>
                      <w:bCs/>
                      <w:lang w:eastAsia="en-US"/>
                    </w:rPr>
                    <w:t xml:space="preserve"> </w:t>
                  </w:r>
                  <w:r w:rsidRPr="00FA5E8C" w:rsidR="00FA5E8C">
                    <w:rPr>
                      <w:rFonts w:eastAsia="Calibri"/>
                      <w:bCs/>
                      <w:lang w:eastAsia="en-US"/>
                    </w:rPr>
                    <w:t>2030.gadam”</w:t>
                  </w:r>
                  <w:r>
                    <w:rPr>
                      <w:rFonts w:eastAsia="Calibri"/>
                      <w:bCs/>
                      <w:lang w:eastAsia="en-US"/>
                    </w:rPr>
                    <w:t xml:space="preserve"> un i</w:t>
                  </w:r>
                  <w:r w:rsidRPr="00527243">
                    <w:rPr>
                      <w:rFonts w:eastAsia="Calibri"/>
                      <w:bCs/>
                      <w:lang w:eastAsia="en-US"/>
                    </w:rPr>
                    <w:t>nformatīv</w:t>
                  </w:r>
                  <w:r>
                    <w:rPr>
                      <w:rFonts w:eastAsia="Calibri"/>
                      <w:bCs/>
                      <w:lang w:eastAsia="en-US"/>
                    </w:rPr>
                    <w:t>o</w:t>
                  </w:r>
                  <w:r w:rsidRPr="00527243">
                    <w:rPr>
                      <w:rFonts w:eastAsia="Calibri"/>
                      <w:bCs/>
                      <w:lang w:eastAsia="en-US"/>
                    </w:rPr>
                    <w:t xml:space="preserve"> ziņojum</w:t>
                  </w:r>
                  <w:r>
                    <w:rPr>
                      <w:rFonts w:eastAsia="Calibri"/>
                      <w:bCs/>
                      <w:lang w:eastAsia="en-US"/>
                    </w:rPr>
                    <w:t xml:space="preserve">u </w:t>
                  </w:r>
                  <w:r w:rsidRPr="00527243">
                    <w:rPr>
                      <w:rFonts w:eastAsia="Calibri"/>
                      <w:bCs/>
                      <w:lang w:eastAsia="en-US"/>
                    </w:rPr>
                    <w:t>par VAS “Ceļu satiksmes drošības direkcija”</w:t>
                  </w:r>
                  <w:r>
                    <w:rPr>
                      <w:rFonts w:eastAsia="Calibri"/>
                      <w:bCs/>
                      <w:lang w:eastAsia="en-US"/>
                    </w:rPr>
                    <w:t xml:space="preserve"> </w:t>
                  </w:r>
                  <w:r w:rsidRPr="00527243">
                    <w:rPr>
                      <w:rFonts w:eastAsia="Calibri"/>
                      <w:bCs/>
                      <w:lang w:eastAsia="en-US"/>
                    </w:rPr>
                    <w:t>līdzdalības kapitālsabiedrībās pārvērtēšanu</w:t>
                  </w:r>
                  <w:r>
                    <w:rPr>
                      <w:rFonts w:eastAsia="Calibri"/>
                      <w:bCs/>
                      <w:lang w:eastAsia="en-US"/>
                    </w:rPr>
                    <w:t>.</w:t>
                  </w:r>
                </w:p>
                <w:p w:rsidRPr="007161B6" w:rsidR="00FA5E8C" w:rsidP="00FA5E8C" w:rsidRDefault="00FA5E8C" w14:paraId="238EA6AB" w14:textId="32D86475"/>
              </w:tc>
            </w:tr>
            <w:tr w:rsidRPr="007161B6" w:rsidR="00FA5E8C" w:rsidTr="00496C8E" w14:paraId="443BE14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41D2CF82" w14:textId="77777777">
                  <w:pPr>
                    <w:pStyle w:val="tvhtml"/>
                    <w:jc w:val="center"/>
                  </w:pPr>
                  <w:r w:rsidRPr="007161B6">
                    <w:t>2.</w:t>
                  </w:r>
                </w:p>
              </w:tc>
              <w:tc>
                <w:tcPr>
                  <w:tcW w:w="17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4F6F812C" w14:textId="77777777">
                  <w:r w:rsidRPr="007161B6">
                    <w:t>Atbildīgā institūcija</w:t>
                  </w:r>
                </w:p>
              </w:tc>
              <w:tc>
                <w:tcPr>
                  <w:tcW w:w="30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03BB51C0" w14:textId="5DB3C13F">
                  <w:r w:rsidRPr="00FA5E8C">
                    <w:t>Satiksmes ministrija un VAS “Ceļu satiksmes drošības direkcija”</w:t>
                  </w:r>
                </w:p>
              </w:tc>
            </w:tr>
            <w:tr w:rsidRPr="007161B6" w:rsidR="00FA5E8C" w:rsidTr="00496C8E" w14:paraId="0DA513B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483E5947" w14:textId="77777777">
                  <w:pPr>
                    <w:pStyle w:val="tvhtml"/>
                    <w:jc w:val="center"/>
                  </w:pPr>
                  <w:r w:rsidRPr="007161B6">
                    <w:t>3.</w:t>
                  </w:r>
                </w:p>
              </w:tc>
              <w:tc>
                <w:tcPr>
                  <w:tcW w:w="17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1AF3D5A2" w14:textId="77777777">
                  <w:r w:rsidRPr="007161B6">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161B6" w:rsidR="00FA5E8C" w:rsidP="00FA5E8C" w:rsidRDefault="00FA5E8C" w14:paraId="17575D5A" w14:textId="17532EA0">
                  <w:r w:rsidRPr="007161B6">
                    <w:t>Nav</w:t>
                  </w:r>
                </w:p>
              </w:tc>
            </w:tr>
          </w:tbl>
          <w:p w:rsidRPr="005E14BF" w:rsidR="00FA5E8C" w:rsidP="00FA5E8C" w:rsidRDefault="00FA5E8C" w14:paraId="52761511" w14:textId="2477C29E">
            <w:pPr>
              <w:jc w:val="center"/>
              <w:rPr>
                <w:b/>
                <w:bCs/>
                <w:iCs/>
              </w:rPr>
            </w:pPr>
          </w:p>
        </w:tc>
      </w:tr>
    </w:tbl>
    <w:p w:rsidRPr="005E14BF" w:rsidR="00B31106" w:rsidP="00B31106" w:rsidRDefault="00B31106" w14:paraId="1433C8C0" w14:textId="481688C8">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B31106" w:rsidTr="00F87203" w14:paraId="7116181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21A925A6" w14:textId="77777777">
            <w:pPr>
              <w:jc w:val="center"/>
              <w:rPr>
                <w:b/>
                <w:bCs/>
                <w:iCs/>
              </w:rPr>
            </w:pPr>
            <w:r w:rsidRPr="005E14BF">
              <w:rPr>
                <w:b/>
                <w:bCs/>
                <w:iCs/>
              </w:rPr>
              <w:t>V. Tiesību akta projekta atbilstība Latvijas Republikas starptautiskajām saistībām</w:t>
            </w:r>
          </w:p>
        </w:tc>
      </w:tr>
      <w:tr w:rsidRPr="005E14BF" w:rsidR="00B31106" w:rsidTr="00F87203" w14:paraId="7DD4ADB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5E14BF" w:rsidR="00B31106" w:rsidP="00F87203" w:rsidRDefault="00B31106" w14:paraId="77A7DCF5" w14:textId="77777777">
            <w:pPr>
              <w:jc w:val="center"/>
              <w:rPr>
                <w:bCs/>
                <w:iCs/>
              </w:rPr>
            </w:pPr>
            <w:r w:rsidRPr="005E14BF">
              <w:rPr>
                <w:bCs/>
                <w:iCs/>
              </w:rPr>
              <w:t>Projekts šo jomu neskar.</w:t>
            </w:r>
          </w:p>
        </w:tc>
      </w:tr>
    </w:tbl>
    <w:p w:rsidRPr="005E14BF" w:rsidR="00B31106" w:rsidP="00B31106" w:rsidRDefault="00B31106" w14:paraId="631867E5" w14:textId="77777777">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A76D19" w:rsidTr="00A76D19" w14:paraId="2789F9C9"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tcPr>
          <w:p w:rsidRPr="005E14BF" w:rsidR="00A76D19" w:rsidP="00A76D19" w:rsidRDefault="00A76D19" w14:paraId="3A569B20" w14:textId="78A8AC18">
            <w:pPr>
              <w:jc w:val="center"/>
              <w:rPr>
                <w:b/>
                <w:bCs/>
                <w:iCs/>
              </w:rPr>
            </w:pPr>
          </w:p>
        </w:tc>
      </w:tr>
      <w:tr w:rsidRPr="005E14BF" w:rsidR="00A76D19" w:rsidTr="00A76D19" w14:paraId="07F1B78C"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51"/>
              <w:gridCol w:w="5553"/>
            </w:tblGrid>
            <w:tr w:rsidRPr="00FA491C" w:rsidR="00A76D19" w:rsidTr="00555B71" w14:paraId="2A04508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76D19" w:rsidR="00A76D19" w:rsidP="00A76D19" w:rsidRDefault="00A76D19" w14:paraId="36926A49" w14:textId="77777777">
                  <w:pPr>
                    <w:pStyle w:val="tvhtml"/>
                    <w:jc w:val="center"/>
                    <w:rPr>
                      <w:b/>
                      <w:bCs/>
                      <w:lang w:val="lv-LV"/>
                    </w:rPr>
                  </w:pPr>
                  <w:r w:rsidRPr="00A76D19">
                    <w:rPr>
                      <w:b/>
                      <w:bCs/>
                      <w:lang w:val="lv-LV"/>
                    </w:rPr>
                    <w:t>VI. Sabiedrības līdzdalība un komunikācijas aktivitātes</w:t>
                  </w:r>
                </w:p>
              </w:tc>
            </w:tr>
            <w:tr w:rsidRPr="00FA491C" w:rsidR="00A76D19" w:rsidTr="00555B71" w14:paraId="753EDD7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02932FDB" w14:textId="77777777">
                  <w:pPr>
                    <w:pStyle w:val="tvhtml"/>
                    <w:jc w:val="center"/>
                  </w:pPr>
                  <w:r w:rsidRPr="00FA491C">
                    <w:t>1.</w:t>
                  </w:r>
                </w:p>
              </w:tc>
              <w:tc>
                <w:tcPr>
                  <w:tcW w:w="17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639F96FC" w14:textId="77777777">
                  <w:r w:rsidRPr="00FA491C">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00A76D19" w:rsidP="00A76D19" w:rsidRDefault="00A76D19" w14:paraId="1EDD76E2" w14:textId="77777777">
                  <w:pPr>
                    <w:jc w:val="both"/>
                  </w:pPr>
                  <w:r w:rsidRPr="00A76D19">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w:t>
                  </w:r>
                </w:p>
                <w:p w:rsidRPr="00FA491C" w:rsidR="00C54AB2" w:rsidP="00A76D19" w:rsidRDefault="00C54AB2" w14:paraId="7C7024C0" w14:textId="4E9B43A1">
                  <w:pPr>
                    <w:jc w:val="both"/>
                  </w:pPr>
                  <w:r w:rsidRPr="00C54AB2">
                    <w:t xml:space="preserve">Rīkojuma projekts un tā anotācija pēc tā izsludināšanas Valsts sekretāru sanāksmē būs publiski pieejami Ministru kabineta mājas lapā - sadaļā </w:t>
                  </w:r>
                  <w:r w:rsidRPr="00C54AB2">
                    <w:rPr>
                      <w:i/>
                      <w:iCs/>
                    </w:rPr>
                    <w:t>Tiesību aktu projekti.</w:t>
                  </w:r>
                </w:p>
              </w:tc>
            </w:tr>
            <w:tr w:rsidRPr="00FA491C" w:rsidR="00A76D19" w:rsidTr="00555B71" w14:paraId="673BFF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07C35163" w14:textId="77777777">
                  <w:pPr>
                    <w:pStyle w:val="tvhtml"/>
                    <w:jc w:val="center"/>
                  </w:pPr>
                  <w:r w:rsidRPr="00FA491C">
                    <w:t>2.</w:t>
                  </w:r>
                </w:p>
              </w:tc>
              <w:tc>
                <w:tcPr>
                  <w:tcW w:w="17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6B160221" w14:textId="77777777">
                  <w:r w:rsidRPr="00FA491C">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465C8A8C" w14:textId="4A71582E">
                  <w:r w:rsidRPr="00801DFB">
                    <w:t>Projekts šo jomu neskar.</w:t>
                  </w:r>
                </w:p>
              </w:tc>
            </w:tr>
            <w:tr w:rsidRPr="00FA491C" w:rsidR="00A76D19" w:rsidTr="00555B71" w14:paraId="1BCFB01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03CCF32F" w14:textId="77777777">
                  <w:pPr>
                    <w:pStyle w:val="tvhtml"/>
                    <w:jc w:val="center"/>
                  </w:pPr>
                  <w:r w:rsidRPr="00FA491C">
                    <w:t>3.</w:t>
                  </w:r>
                </w:p>
              </w:tc>
              <w:tc>
                <w:tcPr>
                  <w:tcW w:w="17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689A094B" w14:textId="77777777">
                  <w:r w:rsidRPr="00FA491C">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78637D6D" w14:textId="1EC7F099">
                  <w:r w:rsidRPr="00801DFB">
                    <w:t>Projekts šo jomu neskar.</w:t>
                  </w:r>
                </w:p>
              </w:tc>
            </w:tr>
            <w:tr w:rsidRPr="00FA491C" w:rsidR="00A76D19" w:rsidTr="00555B71" w14:paraId="52FAFB0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09A42992" w14:textId="77777777">
                  <w:pPr>
                    <w:pStyle w:val="tvhtml"/>
                    <w:jc w:val="center"/>
                  </w:pPr>
                  <w:r w:rsidRPr="00FA491C">
                    <w:t>4.</w:t>
                  </w:r>
                </w:p>
              </w:tc>
              <w:tc>
                <w:tcPr>
                  <w:tcW w:w="17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79DB8221" w14:textId="77777777">
                  <w:r w:rsidRPr="00FA491C">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A491C" w:rsidR="00A76D19" w:rsidP="00A76D19" w:rsidRDefault="00A76D19" w14:paraId="751C1FC0" w14:textId="5AFA498F">
                  <w:pPr>
                    <w:jc w:val="both"/>
                  </w:pPr>
                  <w:r w:rsidRPr="00801DFB">
                    <w:t>Saskaņā ar Oficiālo publikāciju un tiesiskās informācijas likuma 2. panta pirmo daļu un 3. panta pirmo daļu tiesību aktus publicē oficiālajā izdevumā „Latvijas Vēstnesis”, tos publicējot elektroniski tīmekļa vietnē www.vestnesis.lv.</w:t>
                  </w:r>
                </w:p>
              </w:tc>
            </w:tr>
          </w:tbl>
          <w:p w:rsidRPr="005E14BF" w:rsidR="00A76D19" w:rsidP="00A76D19" w:rsidRDefault="00A76D19" w14:paraId="734061B8" w14:textId="726C0F43">
            <w:pPr>
              <w:tabs>
                <w:tab w:val="left" w:pos="3997"/>
              </w:tabs>
              <w:ind w:right="111"/>
              <w:jc w:val="center"/>
              <w:rPr>
                <w:iCs/>
              </w:rPr>
            </w:pPr>
          </w:p>
        </w:tc>
      </w:tr>
    </w:tbl>
    <w:p w:rsidRPr="005E14BF" w:rsidR="00B31106" w:rsidP="00B31106" w:rsidRDefault="00B31106" w14:paraId="5F1B3852" w14:textId="77777777">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5E14BF" w:rsidR="00B31106" w:rsidTr="000F2DBB" w14:paraId="3BD93988"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324C800D" w14:textId="77777777">
            <w:pPr>
              <w:jc w:val="center"/>
              <w:rPr>
                <w:b/>
                <w:bCs/>
                <w:iCs/>
              </w:rPr>
            </w:pPr>
            <w:r w:rsidRPr="005E14BF">
              <w:rPr>
                <w:b/>
                <w:bCs/>
                <w:iCs/>
              </w:rPr>
              <w:t>VII. Tiesību akta projekta izpildes nodrošināšana un tās ietekme uz institūcijām</w:t>
            </w:r>
          </w:p>
        </w:tc>
      </w:tr>
      <w:tr w:rsidRPr="005E14BF" w:rsidR="00B31106" w:rsidTr="000F2DBB" w14:paraId="30F41089"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780E2D6" w14:textId="77777777">
            <w:pPr>
              <w:rPr>
                <w:iCs/>
              </w:rPr>
            </w:pPr>
            <w:r w:rsidRPr="005E14BF">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468AE9B5" w14:textId="77777777">
            <w:pPr>
              <w:rPr>
                <w:iCs/>
              </w:rPr>
            </w:pPr>
            <w:r w:rsidRPr="005E14BF">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5E14BF" w:rsidR="00B31106" w:rsidP="00F87203" w:rsidRDefault="007D42E6" w14:paraId="5A34A6E9" w14:textId="754B228B">
            <w:pPr>
              <w:shd w:val="clear" w:color="auto" w:fill="FFFFFF"/>
              <w:jc w:val="both"/>
            </w:pPr>
            <w:r w:rsidRPr="007D42E6">
              <w:t>Par rīkojuma projekta izpildi atbildīgā ir Satiksmes ministrija kā CSDD kapitāldaļu turētāja, CSDD un Kapitālsabiedrības.</w:t>
            </w:r>
          </w:p>
        </w:tc>
      </w:tr>
      <w:tr w:rsidRPr="005E14BF" w:rsidR="00B31106" w:rsidTr="000F2DBB" w14:paraId="4C316A7D"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E2B3415" w14:textId="77777777">
            <w:pPr>
              <w:rPr>
                <w:iCs/>
              </w:rPr>
            </w:pPr>
            <w:r w:rsidRPr="005E14BF">
              <w:rPr>
                <w:iCs/>
              </w:rPr>
              <w:lastRenderedPageBreak/>
              <w:t>2.</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7A79DB13" w14:textId="77777777">
            <w:pPr>
              <w:rPr>
                <w:iCs/>
              </w:rPr>
            </w:pPr>
            <w:r w:rsidRPr="005E14BF">
              <w:rPr>
                <w:iCs/>
              </w:rPr>
              <w:t>Projekta izpildes ietekme uz pārvaldes funkcijām un institucionālo struktūru.</w:t>
            </w:r>
            <w:r w:rsidRPr="005E14BF">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5E14BF" w:rsidR="00B31106" w:rsidP="00F87203" w:rsidRDefault="00B31106" w14:paraId="2FD652C0" w14:textId="77777777">
            <w:pPr>
              <w:shd w:val="clear" w:color="auto" w:fill="FFFFFF"/>
              <w:jc w:val="both"/>
            </w:pPr>
            <w:r w:rsidRPr="005E14BF">
              <w:rPr>
                <w:color w:val="000000"/>
              </w:rPr>
              <w:t>Projekts šo jomu neskar.</w:t>
            </w:r>
          </w:p>
        </w:tc>
      </w:tr>
      <w:tr w:rsidRPr="005E14BF" w:rsidR="00B31106" w:rsidTr="000F2DBB" w14:paraId="2C115C6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ECF15FA" w14:textId="77777777">
            <w:pPr>
              <w:rPr>
                <w:iCs/>
              </w:rPr>
            </w:pPr>
            <w:r w:rsidRPr="005E14BF">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098AE620" w14:textId="77777777">
            <w:pPr>
              <w:rPr>
                <w:iCs/>
              </w:rPr>
            </w:pPr>
            <w:r w:rsidRPr="005E14BF">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30AB05FC" w14:textId="77777777">
            <w:r w:rsidRPr="005E14BF">
              <w:t>Nav.</w:t>
            </w:r>
          </w:p>
        </w:tc>
      </w:tr>
    </w:tbl>
    <w:p w:rsidR="00B31106" w:rsidP="00B31106" w:rsidRDefault="00B31106" w14:paraId="3112BCAD" w14:textId="27F066BB">
      <w:pPr>
        <w:ind w:firstLine="720"/>
      </w:pPr>
    </w:p>
    <w:p w:rsidR="00E34D03" w:rsidP="00B31106" w:rsidRDefault="00E34D03" w14:paraId="4CA1EF0C" w14:textId="32326788">
      <w:pPr>
        <w:ind w:firstLine="720"/>
      </w:pPr>
    </w:p>
    <w:p w:rsidRPr="005E14BF" w:rsidR="000F2DBB" w:rsidP="00B31106" w:rsidRDefault="000F2DBB" w14:paraId="52BA9C81" w14:textId="77777777">
      <w:pPr>
        <w:ind w:firstLine="720"/>
      </w:pPr>
    </w:p>
    <w:p w:rsidRPr="005E14BF" w:rsidR="00B31106" w:rsidP="00B31106" w:rsidRDefault="00B31106" w14:paraId="2D0F59F7" w14:textId="77777777">
      <w:pPr>
        <w:pStyle w:val="naisf"/>
        <w:spacing w:before="0" w:after="0"/>
        <w:ind w:firstLine="684"/>
      </w:pPr>
      <w:r w:rsidRPr="005E14BF">
        <w:t>Satiksmes ministrs</w:t>
      </w:r>
      <w:r w:rsidRPr="005E14BF">
        <w:tab/>
      </w:r>
      <w:r w:rsidRPr="005E14BF">
        <w:tab/>
      </w:r>
      <w:r w:rsidRPr="005E14BF">
        <w:tab/>
      </w:r>
      <w:r w:rsidRPr="005E14BF">
        <w:tab/>
      </w:r>
      <w:r w:rsidRPr="005E14BF">
        <w:tab/>
      </w:r>
      <w:r w:rsidRPr="005E14BF">
        <w:tab/>
      </w:r>
      <w:r w:rsidRPr="005E14BF">
        <w:tab/>
        <w:t xml:space="preserve">T. </w:t>
      </w:r>
      <w:proofErr w:type="spellStart"/>
      <w:r w:rsidRPr="005E14BF">
        <w:t>Linkaits</w:t>
      </w:r>
      <w:proofErr w:type="spellEnd"/>
      <w:r w:rsidRPr="005E14BF">
        <w:tab/>
      </w:r>
    </w:p>
    <w:p w:rsidRPr="005E14BF" w:rsidR="00B31106" w:rsidP="00B31106" w:rsidRDefault="00B31106" w14:paraId="7D321AD7" w14:textId="77777777">
      <w:pPr>
        <w:pStyle w:val="naisf"/>
        <w:spacing w:before="0" w:after="0"/>
        <w:ind w:firstLine="684"/>
      </w:pPr>
      <w:r w:rsidRPr="005E14BF">
        <w:tab/>
      </w:r>
      <w:r w:rsidRPr="005E14BF">
        <w:tab/>
      </w:r>
      <w:r w:rsidRPr="005E14BF">
        <w:tab/>
      </w:r>
    </w:p>
    <w:p w:rsidRPr="005E14BF" w:rsidR="00B31106" w:rsidP="00B31106" w:rsidRDefault="00B31106" w14:paraId="063CAAFC" w14:textId="77777777">
      <w:pPr>
        <w:pStyle w:val="naisf"/>
        <w:spacing w:before="0" w:after="0"/>
        <w:ind w:firstLine="684"/>
        <w:rPr>
          <w:lang w:val="de-DE"/>
        </w:rPr>
      </w:pPr>
      <w:r w:rsidRPr="005E14BF">
        <w:tab/>
      </w:r>
    </w:p>
    <w:p w:rsidRPr="005E14BF" w:rsidR="00B31106" w:rsidP="00B31106" w:rsidRDefault="00B31106" w14:paraId="60784935" w14:textId="2802BB81">
      <w:r w:rsidRPr="005E14BF">
        <w:rPr>
          <w:color w:val="000000"/>
        </w:rPr>
        <w:t xml:space="preserve">          Vīza: Valsts sekretā</w:t>
      </w:r>
      <w:r w:rsidR="00343586">
        <w:rPr>
          <w:color w:val="000000"/>
        </w:rPr>
        <w:t>re</w:t>
      </w:r>
      <w:r w:rsidR="00343586">
        <w:rPr>
          <w:color w:val="000000"/>
        </w:rPr>
        <w:tab/>
      </w:r>
      <w:r w:rsidRPr="005E14BF">
        <w:rPr>
          <w:color w:val="000000"/>
        </w:rPr>
        <w:tab/>
      </w:r>
      <w:r w:rsidRPr="005E14BF">
        <w:rPr>
          <w:color w:val="000000"/>
        </w:rPr>
        <w:tab/>
      </w:r>
      <w:r w:rsidRPr="005E14BF">
        <w:rPr>
          <w:color w:val="000000"/>
        </w:rPr>
        <w:tab/>
      </w:r>
      <w:r w:rsidRPr="005E14BF">
        <w:rPr>
          <w:color w:val="000000"/>
        </w:rPr>
        <w:tab/>
      </w:r>
      <w:r w:rsidRPr="005E14BF">
        <w:rPr>
          <w:color w:val="000000"/>
        </w:rPr>
        <w:tab/>
      </w:r>
      <w:r w:rsidRPr="005E14BF">
        <w:rPr>
          <w:color w:val="000000"/>
        </w:rPr>
        <w:tab/>
      </w:r>
      <w:proofErr w:type="spellStart"/>
      <w:r w:rsidR="00343586">
        <w:rPr>
          <w:color w:val="000000"/>
        </w:rPr>
        <w:t>I.Stepanova</w:t>
      </w:r>
      <w:proofErr w:type="spellEnd"/>
    </w:p>
    <w:p w:rsidRPr="005E14BF" w:rsidR="00B31106" w:rsidP="00B31106" w:rsidRDefault="00B31106" w14:paraId="019D50EC" w14:textId="77777777"/>
    <w:p w:rsidR="00A76D19" w:rsidP="00A76D19" w:rsidRDefault="00A76D19" w14:paraId="10AF3B43" w14:textId="77777777">
      <w:pPr>
        <w:jc w:val="both"/>
      </w:pPr>
    </w:p>
    <w:p w:rsidRPr="00A76D19" w:rsidR="00A76D19" w:rsidP="00A76D19" w:rsidRDefault="00A76D19" w14:paraId="006F594B" w14:textId="28DF1181">
      <w:pPr>
        <w:jc w:val="both"/>
        <w:rPr>
          <w:sz w:val="20"/>
          <w:szCs w:val="20"/>
        </w:rPr>
      </w:pPr>
      <w:r w:rsidRPr="00A76D19">
        <w:rPr>
          <w:sz w:val="20"/>
          <w:szCs w:val="20"/>
        </w:rPr>
        <w:t>Nīmanis, 67025719</w:t>
      </w:r>
    </w:p>
    <w:p w:rsidRPr="005E14BF" w:rsidR="00E93AF4" w:rsidP="00A76D19" w:rsidRDefault="00A76D19" w14:paraId="26BF8959" w14:textId="4AC14C51">
      <w:pPr>
        <w:jc w:val="both"/>
      </w:pPr>
      <w:r w:rsidRPr="00A76D19">
        <w:rPr>
          <w:sz w:val="20"/>
          <w:szCs w:val="20"/>
        </w:rPr>
        <w:t>reinis.nimanis@csdd.gov.lv</w:t>
      </w:r>
    </w:p>
    <w:sectPr w:rsidRPr="005E14BF" w:rsidR="00E93AF4" w:rsidSect="0085407F">
      <w:headerReference w:type="even" r:id="rId19"/>
      <w:headerReference w:type="default" r:id="rId20"/>
      <w:footerReference w:type="default" r:id="rId21"/>
      <w:footerReference w:type="first" r:id="rId22"/>
      <w:pgSz w:w="11906" w:h="16838" w:code="9"/>
      <w:pgMar w:top="1276"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E4C6" w14:textId="77777777" w:rsidR="004E58E4" w:rsidRDefault="004E58E4">
      <w:r>
        <w:separator/>
      </w:r>
    </w:p>
  </w:endnote>
  <w:endnote w:type="continuationSeparator" w:id="0">
    <w:p w14:paraId="2983EC71" w14:textId="77777777" w:rsidR="004E58E4" w:rsidRDefault="004E58E4">
      <w:r>
        <w:continuationSeparator/>
      </w:r>
    </w:p>
  </w:endnote>
  <w:endnote w:type="continuationNotice" w:id="1">
    <w:p w14:paraId="70FCE1F5" w14:textId="77777777" w:rsidR="004E58E4" w:rsidRDefault="004E5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103B" w14:textId="522F7C7C" w:rsidR="006461FF" w:rsidRPr="0071599D" w:rsidRDefault="006461FF" w:rsidP="006461FF">
    <w:pPr>
      <w:jc w:val="both"/>
    </w:pPr>
    <w:r w:rsidRPr="00DC3419">
      <w:rPr>
        <w:sz w:val="20"/>
        <w:szCs w:val="20"/>
      </w:rPr>
      <w:t>SM</w:t>
    </w:r>
    <w:r>
      <w:rPr>
        <w:sz w:val="20"/>
        <w:szCs w:val="20"/>
      </w:rPr>
      <w:t>anot_</w:t>
    </w:r>
    <w:r w:rsidR="0085407F">
      <w:rPr>
        <w:sz w:val="20"/>
        <w:szCs w:val="20"/>
      </w:rPr>
      <w:t>1205</w:t>
    </w:r>
    <w:r w:rsidR="009A43E1">
      <w:rPr>
        <w:sz w:val="20"/>
        <w:szCs w:val="20"/>
      </w:rPr>
      <w:t>20</w:t>
    </w:r>
    <w:r>
      <w:rPr>
        <w:sz w:val="20"/>
        <w:szCs w:val="20"/>
      </w:rPr>
      <w:t>_CSDDmeitupard</w:t>
    </w:r>
    <w:r w:rsidR="009A43E1">
      <w:rPr>
        <w:sz w:val="20"/>
        <w:szCs w:val="20"/>
      </w:rPr>
      <w:t>osana</w:t>
    </w:r>
  </w:p>
  <w:p w14:paraId="2B92FFC4" w14:textId="1F5E01F6" w:rsidR="00DC247F" w:rsidRPr="006461FF" w:rsidRDefault="00DC247F" w:rsidP="0064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BEE2" w14:textId="460A1D49" w:rsidR="00DC247F" w:rsidRPr="0071599D" w:rsidRDefault="00DC247F" w:rsidP="006D735A">
    <w:pPr>
      <w:jc w:val="both"/>
    </w:pPr>
    <w:r w:rsidRPr="00DC3419">
      <w:rPr>
        <w:sz w:val="20"/>
        <w:szCs w:val="20"/>
      </w:rPr>
      <w:t>SM</w:t>
    </w:r>
    <w:r w:rsidR="006461FF">
      <w:rPr>
        <w:sz w:val="20"/>
        <w:szCs w:val="20"/>
      </w:rPr>
      <w:t>a</w:t>
    </w:r>
    <w:r>
      <w:rPr>
        <w:sz w:val="20"/>
        <w:szCs w:val="20"/>
      </w:rPr>
      <w:t>not</w:t>
    </w:r>
    <w:r w:rsidR="006461FF">
      <w:rPr>
        <w:sz w:val="20"/>
        <w:szCs w:val="20"/>
      </w:rPr>
      <w:t>_</w:t>
    </w:r>
    <w:r w:rsidR="0085407F">
      <w:rPr>
        <w:sz w:val="20"/>
        <w:szCs w:val="20"/>
      </w:rPr>
      <w:t>1205</w:t>
    </w:r>
    <w:r w:rsidR="009A43E1">
      <w:rPr>
        <w:sz w:val="20"/>
        <w:szCs w:val="20"/>
      </w:rPr>
      <w:t>20</w:t>
    </w:r>
    <w:r w:rsidR="006461FF">
      <w:rPr>
        <w:sz w:val="20"/>
        <w:szCs w:val="20"/>
      </w:rPr>
      <w:t>_CSDDmeitupard</w:t>
    </w:r>
    <w:r w:rsidR="009A43E1">
      <w:rPr>
        <w:sz w:val="20"/>
        <w:szCs w:val="20"/>
      </w:rPr>
      <w:t>osana</w:t>
    </w:r>
  </w:p>
  <w:p w14:paraId="6A91BE76" w14:textId="77777777" w:rsidR="00DC247F" w:rsidRPr="007964F9" w:rsidRDefault="00DC247F" w:rsidP="006D735A">
    <w:pPr>
      <w:pStyle w:val="Footer"/>
      <w:rPr>
        <w:bCs/>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30E4" w14:textId="77777777" w:rsidR="004E58E4" w:rsidRDefault="004E58E4">
      <w:r>
        <w:separator/>
      </w:r>
    </w:p>
  </w:footnote>
  <w:footnote w:type="continuationSeparator" w:id="0">
    <w:p w14:paraId="13BB527D" w14:textId="77777777" w:rsidR="004E58E4" w:rsidRDefault="004E58E4">
      <w:r>
        <w:continuationSeparator/>
      </w:r>
    </w:p>
  </w:footnote>
  <w:footnote w:type="continuationNotice" w:id="1">
    <w:p w14:paraId="1B59A24C" w14:textId="77777777" w:rsidR="004E58E4" w:rsidRDefault="004E5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0D2E95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47F" w:rsidRDefault="00DC247F" w14:paraId="4F382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61A3249D" w14:textId="1283F62C">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22F">
      <w:rPr>
        <w:rStyle w:val="PageNumber"/>
        <w:noProof/>
      </w:rPr>
      <w:t>5</w:t>
    </w:r>
    <w:r>
      <w:rPr>
        <w:rStyle w:val="PageNumber"/>
      </w:rPr>
      <w:fldChar w:fldCharType="end"/>
    </w:r>
  </w:p>
  <w:p w:rsidR="00DC247F" w:rsidP="001E3FDC" w:rsidRDefault="00DC247F" w14:paraId="4AC09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284E42"/>
    <w:multiLevelType w:val="hybridMultilevel"/>
    <w:tmpl w:val="606475E0"/>
    <w:lvl w:ilvl="0" w:tplc="2C38CFD2">
      <w:start w:val="1"/>
      <w:numFmt w:val="decimal"/>
      <w:lvlText w:val="%1."/>
      <w:lvlJc w:val="left"/>
      <w:pPr>
        <w:ind w:left="1443" w:hanging="780"/>
      </w:pPr>
      <w:rPr>
        <w:rFonts w:ascii="Times New Roman" w:hAnsi="Times New Roman" w:cs="Times New Roman" w:hint="default"/>
        <w:color w:val="auto"/>
        <w:sz w:val="24"/>
      </w:rPr>
    </w:lvl>
    <w:lvl w:ilvl="1" w:tplc="08090019" w:tentative="1">
      <w:start w:val="1"/>
      <w:numFmt w:val="lowerLetter"/>
      <w:lvlText w:val="%2."/>
      <w:lvlJc w:val="left"/>
      <w:pPr>
        <w:ind w:left="1743" w:hanging="360"/>
      </w:pPr>
    </w:lvl>
    <w:lvl w:ilvl="2" w:tplc="0809001B" w:tentative="1">
      <w:start w:val="1"/>
      <w:numFmt w:val="lowerRoman"/>
      <w:lvlText w:val="%3."/>
      <w:lvlJc w:val="right"/>
      <w:pPr>
        <w:ind w:left="2463" w:hanging="180"/>
      </w:pPr>
    </w:lvl>
    <w:lvl w:ilvl="3" w:tplc="0809000F" w:tentative="1">
      <w:start w:val="1"/>
      <w:numFmt w:val="decimal"/>
      <w:lvlText w:val="%4."/>
      <w:lvlJc w:val="left"/>
      <w:pPr>
        <w:ind w:left="3183" w:hanging="360"/>
      </w:pPr>
    </w:lvl>
    <w:lvl w:ilvl="4" w:tplc="08090019" w:tentative="1">
      <w:start w:val="1"/>
      <w:numFmt w:val="lowerLetter"/>
      <w:lvlText w:val="%5."/>
      <w:lvlJc w:val="left"/>
      <w:pPr>
        <w:ind w:left="3903" w:hanging="360"/>
      </w:pPr>
    </w:lvl>
    <w:lvl w:ilvl="5" w:tplc="0809001B" w:tentative="1">
      <w:start w:val="1"/>
      <w:numFmt w:val="lowerRoman"/>
      <w:lvlText w:val="%6."/>
      <w:lvlJc w:val="right"/>
      <w:pPr>
        <w:ind w:left="4623" w:hanging="180"/>
      </w:pPr>
    </w:lvl>
    <w:lvl w:ilvl="6" w:tplc="0809000F" w:tentative="1">
      <w:start w:val="1"/>
      <w:numFmt w:val="decimal"/>
      <w:lvlText w:val="%7."/>
      <w:lvlJc w:val="left"/>
      <w:pPr>
        <w:ind w:left="5343" w:hanging="360"/>
      </w:pPr>
    </w:lvl>
    <w:lvl w:ilvl="7" w:tplc="08090019" w:tentative="1">
      <w:start w:val="1"/>
      <w:numFmt w:val="lowerLetter"/>
      <w:lvlText w:val="%8."/>
      <w:lvlJc w:val="left"/>
      <w:pPr>
        <w:ind w:left="6063" w:hanging="360"/>
      </w:pPr>
    </w:lvl>
    <w:lvl w:ilvl="8" w:tplc="0809001B" w:tentative="1">
      <w:start w:val="1"/>
      <w:numFmt w:val="lowerRoman"/>
      <w:lvlText w:val="%9."/>
      <w:lvlJc w:val="right"/>
      <w:pPr>
        <w:ind w:left="6783" w:hanging="180"/>
      </w:pPr>
    </w:lvl>
  </w:abstractNum>
  <w:abstractNum w:abstractNumId="8"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2"/>
  </w:num>
  <w:num w:numId="3">
    <w:abstractNumId w:val="15"/>
  </w:num>
  <w:num w:numId="4">
    <w:abstractNumId w:val="5"/>
  </w:num>
  <w:num w:numId="5">
    <w:abstractNumId w:val="14"/>
  </w:num>
  <w:num w:numId="6">
    <w:abstractNumId w:val="11"/>
  </w:num>
  <w:num w:numId="7">
    <w:abstractNumId w:val="8"/>
  </w:num>
  <w:num w:numId="8">
    <w:abstractNumId w:val="2"/>
  </w:num>
  <w:num w:numId="9">
    <w:abstractNumId w:val="6"/>
  </w:num>
  <w:num w:numId="10">
    <w:abstractNumId w:val="1"/>
  </w:num>
  <w:num w:numId="11">
    <w:abstractNumId w:val="10"/>
  </w:num>
  <w:num w:numId="12">
    <w:abstractNumId w:val="4"/>
  </w:num>
  <w:num w:numId="13">
    <w:abstractNumId w:val="9"/>
  </w:num>
  <w:num w:numId="14">
    <w:abstractNumId w:val="3"/>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12047"/>
    <w:rsid w:val="00013219"/>
    <w:rsid w:val="00020049"/>
    <w:rsid w:val="00020D89"/>
    <w:rsid w:val="0002135F"/>
    <w:rsid w:val="00026A17"/>
    <w:rsid w:val="0003036F"/>
    <w:rsid w:val="00030E2A"/>
    <w:rsid w:val="00034431"/>
    <w:rsid w:val="00034952"/>
    <w:rsid w:val="000361C9"/>
    <w:rsid w:val="00036F80"/>
    <w:rsid w:val="00041BCA"/>
    <w:rsid w:val="000461BB"/>
    <w:rsid w:val="00047C4B"/>
    <w:rsid w:val="00050C31"/>
    <w:rsid w:val="00057365"/>
    <w:rsid w:val="00063528"/>
    <w:rsid w:val="0006409D"/>
    <w:rsid w:val="00065C9B"/>
    <w:rsid w:val="000660AA"/>
    <w:rsid w:val="00071116"/>
    <w:rsid w:val="000726B6"/>
    <w:rsid w:val="00074651"/>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662A"/>
    <w:rsid w:val="000C0098"/>
    <w:rsid w:val="000C5693"/>
    <w:rsid w:val="000C7567"/>
    <w:rsid w:val="000D1704"/>
    <w:rsid w:val="000D186A"/>
    <w:rsid w:val="000D6077"/>
    <w:rsid w:val="000E1619"/>
    <w:rsid w:val="000E24E6"/>
    <w:rsid w:val="000E4EB2"/>
    <w:rsid w:val="000E59CB"/>
    <w:rsid w:val="000E7F5D"/>
    <w:rsid w:val="000F14AE"/>
    <w:rsid w:val="000F2DBB"/>
    <w:rsid w:val="000F33CB"/>
    <w:rsid w:val="000F395A"/>
    <w:rsid w:val="000F3BF6"/>
    <w:rsid w:val="001042BD"/>
    <w:rsid w:val="0010491A"/>
    <w:rsid w:val="00106426"/>
    <w:rsid w:val="0011445C"/>
    <w:rsid w:val="001153E4"/>
    <w:rsid w:val="0011542C"/>
    <w:rsid w:val="001154D6"/>
    <w:rsid w:val="0011715A"/>
    <w:rsid w:val="00122CDC"/>
    <w:rsid w:val="001230EB"/>
    <w:rsid w:val="00124661"/>
    <w:rsid w:val="00125C6A"/>
    <w:rsid w:val="00125CA4"/>
    <w:rsid w:val="00134076"/>
    <w:rsid w:val="0013657D"/>
    <w:rsid w:val="00137C15"/>
    <w:rsid w:val="00143CAC"/>
    <w:rsid w:val="0014465E"/>
    <w:rsid w:val="0014695E"/>
    <w:rsid w:val="00151037"/>
    <w:rsid w:val="00152D26"/>
    <w:rsid w:val="00153A64"/>
    <w:rsid w:val="00156E1E"/>
    <w:rsid w:val="00157294"/>
    <w:rsid w:val="00161239"/>
    <w:rsid w:val="00163C96"/>
    <w:rsid w:val="0016426F"/>
    <w:rsid w:val="00166EA2"/>
    <w:rsid w:val="0017519A"/>
    <w:rsid w:val="0017604A"/>
    <w:rsid w:val="001811F2"/>
    <w:rsid w:val="00186D60"/>
    <w:rsid w:val="0019342E"/>
    <w:rsid w:val="001947B7"/>
    <w:rsid w:val="001953AB"/>
    <w:rsid w:val="00195C56"/>
    <w:rsid w:val="0019703A"/>
    <w:rsid w:val="001A0473"/>
    <w:rsid w:val="001A05AB"/>
    <w:rsid w:val="001A0EA8"/>
    <w:rsid w:val="001A26F7"/>
    <w:rsid w:val="001A4A5F"/>
    <w:rsid w:val="001A4E5B"/>
    <w:rsid w:val="001B0C26"/>
    <w:rsid w:val="001B1CB3"/>
    <w:rsid w:val="001B2C12"/>
    <w:rsid w:val="001B372B"/>
    <w:rsid w:val="001B3F28"/>
    <w:rsid w:val="001B42D7"/>
    <w:rsid w:val="001B709B"/>
    <w:rsid w:val="001B7193"/>
    <w:rsid w:val="001C64DC"/>
    <w:rsid w:val="001D375D"/>
    <w:rsid w:val="001D5508"/>
    <w:rsid w:val="001D5F25"/>
    <w:rsid w:val="001D65E2"/>
    <w:rsid w:val="001D7BA8"/>
    <w:rsid w:val="001E26B6"/>
    <w:rsid w:val="001E32EA"/>
    <w:rsid w:val="001E39C9"/>
    <w:rsid w:val="001E3FDC"/>
    <w:rsid w:val="001E5188"/>
    <w:rsid w:val="001E6D80"/>
    <w:rsid w:val="001F1917"/>
    <w:rsid w:val="001F48D2"/>
    <w:rsid w:val="001F520E"/>
    <w:rsid w:val="00204590"/>
    <w:rsid w:val="00205BE1"/>
    <w:rsid w:val="00213304"/>
    <w:rsid w:val="00213EF7"/>
    <w:rsid w:val="002144C6"/>
    <w:rsid w:val="0021468A"/>
    <w:rsid w:val="00217482"/>
    <w:rsid w:val="00220D28"/>
    <w:rsid w:val="00220DE4"/>
    <w:rsid w:val="002234A5"/>
    <w:rsid w:val="00224874"/>
    <w:rsid w:val="00233908"/>
    <w:rsid w:val="00234018"/>
    <w:rsid w:val="00236978"/>
    <w:rsid w:val="002428EE"/>
    <w:rsid w:val="00243960"/>
    <w:rsid w:val="00253C29"/>
    <w:rsid w:val="0025543A"/>
    <w:rsid w:val="00255B65"/>
    <w:rsid w:val="00255DFD"/>
    <w:rsid w:val="0025700A"/>
    <w:rsid w:val="00264AB9"/>
    <w:rsid w:val="00264B16"/>
    <w:rsid w:val="002653B1"/>
    <w:rsid w:val="0027535F"/>
    <w:rsid w:val="0027701D"/>
    <w:rsid w:val="00280483"/>
    <w:rsid w:val="0028122F"/>
    <w:rsid w:val="00282264"/>
    <w:rsid w:val="00290BF9"/>
    <w:rsid w:val="002915B3"/>
    <w:rsid w:val="00293470"/>
    <w:rsid w:val="00293F7E"/>
    <w:rsid w:val="00297623"/>
    <w:rsid w:val="002A13BA"/>
    <w:rsid w:val="002A3B66"/>
    <w:rsid w:val="002A4F72"/>
    <w:rsid w:val="002A55BB"/>
    <w:rsid w:val="002A6B67"/>
    <w:rsid w:val="002B2484"/>
    <w:rsid w:val="002B2F06"/>
    <w:rsid w:val="002B3436"/>
    <w:rsid w:val="002B44A6"/>
    <w:rsid w:val="002B492E"/>
    <w:rsid w:val="002B5206"/>
    <w:rsid w:val="002B5A01"/>
    <w:rsid w:val="002C2AC6"/>
    <w:rsid w:val="002C2D2C"/>
    <w:rsid w:val="002C39A9"/>
    <w:rsid w:val="002C3E45"/>
    <w:rsid w:val="002C425E"/>
    <w:rsid w:val="002C4D16"/>
    <w:rsid w:val="002D086A"/>
    <w:rsid w:val="002D0DE1"/>
    <w:rsid w:val="002D242E"/>
    <w:rsid w:val="002D2A67"/>
    <w:rsid w:val="002D5E3B"/>
    <w:rsid w:val="002E08BE"/>
    <w:rsid w:val="002E0ED0"/>
    <w:rsid w:val="002E1FE8"/>
    <w:rsid w:val="002E25D5"/>
    <w:rsid w:val="002E4819"/>
    <w:rsid w:val="002E6902"/>
    <w:rsid w:val="002F5055"/>
    <w:rsid w:val="002F5109"/>
    <w:rsid w:val="002F72B3"/>
    <w:rsid w:val="002F7524"/>
    <w:rsid w:val="002F75F2"/>
    <w:rsid w:val="002F790E"/>
    <w:rsid w:val="003000A9"/>
    <w:rsid w:val="00300547"/>
    <w:rsid w:val="0030112E"/>
    <w:rsid w:val="00302FCB"/>
    <w:rsid w:val="003034F2"/>
    <w:rsid w:val="00303A73"/>
    <w:rsid w:val="00303D2D"/>
    <w:rsid w:val="0030564C"/>
    <w:rsid w:val="00305C78"/>
    <w:rsid w:val="00307AAA"/>
    <w:rsid w:val="003105A5"/>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405D6"/>
    <w:rsid w:val="00343586"/>
    <w:rsid w:val="00344403"/>
    <w:rsid w:val="00345E32"/>
    <w:rsid w:val="003502B0"/>
    <w:rsid w:val="003506E6"/>
    <w:rsid w:val="00351C17"/>
    <w:rsid w:val="003526AD"/>
    <w:rsid w:val="003527DE"/>
    <w:rsid w:val="00353D40"/>
    <w:rsid w:val="00361849"/>
    <w:rsid w:val="003618CD"/>
    <w:rsid w:val="00362AB5"/>
    <w:rsid w:val="00364B8F"/>
    <w:rsid w:val="003707CF"/>
    <w:rsid w:val="00370F1A"/>
    <w:rsid w:val="003741AA"/>
    <w:rsid w:val="003753E4"/>
    <w:rsid w:val="0037635F"/>
    <w:rsid w:val="003800E6"/>
    <w:rsid w:val="00386BAC"/>
    <w:rsid w:val="00386F4F"/>
    <w:rsid w:val="003871DD"/>
    <w:rsid w:val="00394CD5"/>
    <w:rsid w:val="00394D82"/>
    <w:rsid w:val="00397A07"/>
    <w:rsid w:val="003A3123"/>
    <w:rsid w:val="003A3785"/>
    <w:rsid w:val="003A5048"/>
    <w:rsid w:val="003B3A76"/>
    <w:rsid w:val="003B4147"/>
    <w:rsid w:val="003C2F8E"/>
    <w:rsid w:val="003C764B"/>
    <w:rsid w:val="003D190F"/>
    <w:rsid w:val="003D5486"/>
    <w:rsid w:val="003D608E"/>
    <w:rsid w:val="003D7B53"/>
    <w:rsid w:val="003E00D4"/>
    <w:rsid w:val="003E18A7"/>
    <w:rsid w:val="003E3EC9"/>
    <w:rsid w:val="003E5169"/>
    <w:rsid w:val="003F2594"/>
    <w:rsid w:val="003F4EEF"/>
    <w:rsid w:val="003F658E"/>
    <w:rsid w:val="0040039F"/>
    <w:rsid w:val="0040418C"/>
    <w:rsid w:val="004146D3"/>
    <w:rsid w:val="0041552F"/>
    <w:rsid w:val="00416B3A"/>
    <w:rsid w:val="00420331"/>
    <w:rsid w:val="0042161A"/>
    <w:rsid w:val="0042310A"/>
    <w:rsid w:val="00423855"/>
    <w:rsid w:val="00423F61"/>
    <w:rsid w:val="004300C9"/>
    <w:rsid w:val="00430509"/>
    <w:rsid w:val="00433580"/>
    <w:rsid w:val="00435782"/>
    <w:rsid w:val="00440BD1"/>
    <w:rsid w:val="00446E9E"/>
    <w:rsid w:val="00450A17"/>
    <w:rsid w:val="00454346"/>
    <w:rsid w:val="0045466C"/>
    <w:rsid w:val="00456880"/>
    <w:rsid w:val="00460142"/>
    <w:rsid w:val="00461074"/>
    <w:rsid w:val="0046347D"/>
    <w:rsid w:val="004636B1"/>
    <w:rsid w:val="004641C8"/>
    <w:rsid w:val="00464918"/>
    <w:rsid w:val="00466357"/>
    <w:rsid w:val="004701C3"/>
    <w:rsid w:val="004713B5"/>
    <w:rsid w:val="00471490"/>
    <w:rsid w:val="0047557F"/>
    <w:rsid w:val="00476698"/>
    <w:rsid w:val="0048521C"/>
    <w:rsid w:val="004912B9"/>
    <w:rsid w:val="004923F9"/>
    <w:rsid w:val="00492AAE"/>
    <w:rsid w:val="00497A0C"/>
    <w:rsid w:val="004A0A01"/>
    <w:rsid w:val="004A0C77"/>
    <w:rsid w:val="004A233C"/>
    <w:rsid w:val="004B374D"/>
    <w:rsid w:val="004C003E"/>
    <w:rsid w:val="004C3331"/>
    <w:rsid w:val="004C7287"/>
    <w:rsid w:val="004D09B4"/>
    <w:rsid w:val="004D301E"/>
    <w:rsid w:val="004D3486"/>
    <w:rsid w:val="004E2AA1"/>
    <w:rsid w:val="004E2D47"/>
    <w:rsid w:val="004E584A"/>
    <w:rsid w:val="004E58E4"/>
    <w:rsid w:val="004E5BE1"/>
    <w:rsid w:val="004F1F5F"/>
    <w:rsid w:val="004F476B"/>
    <w:rsid w:val="004F5331"/>
    <w:rsid w:val="004F5746"/>
    <w:rsid w:val="00500F36"/>
    <w:rsid w:val="005047D5"/>
    <w:rsid w:val="00505D61"/>
    <w:rsid w:val="00507537"/>
    <w:rsid w:val="00507990"/>
    <w:rsid w:val="005101E2"/>
    <w:rsid w:val="00510993"/>
    <w:rsid w:val="0051743B"/>
    <w:rsid w:val="00517614"/>
    <w:rsid w:val="005232C1"/>
    <w:rsid w:val="0052620D"/>
    <w:rsid w:val="00526873"/>
    <w:rsid w:val="00527243"/>
    <w:rsid w:val="00527BD5"/>
    <w:rsid w:val="00532471"/>
    <w:rsid w:val="00534CDD"/>
    <w:rsid w:val="005455BD"/>
    <w:rsid w:val="00547318"/>
    <w:rsid w:val="005525AA"/>
    <w:rsid w:val="00553DC2"/>
    <w:rsid w:val="00556CBD"/>
    <w:rsid w:val="005576B6"/>
    <w:rsid w:val="005645DA"/>
    <w:rsid w:val="0056468C"/>
    <w:rsid w:val="00564A9A"/>
    <w:rsid w:val="00567B25"/>
    <w:rsid w:val="00570A6A"/>
    <w:rsid w:val="0057107E"/>
    <w:rsid w:val="005800F3"/>
    <w:rsid w:val="00580E44"/>
    <w:rsid w:val="00581C4A"/>
    <w:rsid w:val="00582978"/>
    <w:rsid w:val="00583AF9"/>
    <w:rsid w:val="00586276"/>
    <w:rsid w:val="00586BF9"/>
    <w:rsid w:val="00586CE5"/>
    <w:rsid w:val="005906C1"/>
    <w:rsid w:val="00590718"/>
    <w:rsid w:val="00592C76"/>
    <w:rsid w:val="005946A6"/>
    <w:rsid w:val="00595BE5"/>
    <w:rsid w:val="00596EF0"/>
    <w:rsid w:val="005A6082"/>
    <w:rsid w:val="005A69D4"/>
    <w:rsid w:val="005B179C"/>
    <w:rsid w:val="005B2BB4"/>
    <w:rsid w:val="005C0059"/>
    <w:rsid w:val="005C226D"/>
    <w:rsid w:val="005C5FB9"/>
    <w:rsid w:val="005D6B7B"/>
    <w:rsid w:val="005D6C80"/>
    <w:rsid w:val="005E14BF"/>
    <w:rsid w:val="005E1F84"/>
    <w:rsid w:val="005E5535"/>
    <w:rsid w:val="005F28C8"/>
    <w:rsid w:val="005F3280"/>
    <w:rsid w:val="005F5852"/>
    <w:rsid w:val="005F69D3"/>
    <w:rsid w:val="006005B8"/>
    <w:rsid w:val="006105F4"/>
    <w:rsid w:val="006125B4"/>
    <w:rsid w:val="0061362D"/>
    <w:rsid w:val="0061508C"/>
    <w:rsid w:val="006156A1"/>
    <w:rsid w:val="00616EC6"/>
    <w:rsid w:val="00617AB7"/>
    <w:rsid w:val="00620119"/>
    <w:rsid w:val="006217B0"/>
    <w:rsid w:val="00623936"/>
    <w:rsid w:val="00625456"/>
    <w:rsid w:val="00625709"/>
    <w:rsid w:val="006321CA"/>
    <w:rsid w:val="006323F8"/>
    <w:rsid w:val="00635296"/>
    <w:rsid w:val="00635FF9"/>
    <w:rsid w:val="006444EB"/>
    <w:rsid w:val="00644B63"/>
    <w:rsid w:val="006461FF"/>
    <w:rsid w:val="006466C8"/>
    <w:rsid w:val="00655AAC"/>
    <w:rsid w:val="00655B1B"/>
    <w:rsid w:val="00657CCA"/>
    <w:rsid w:val="00661AB7"/>
    <w:rsid w:val="00663E89"/>
    <w:rsid w:val="00665D2E"/>
    <w:rsid w:val="00665E0B"/>
    <w:rsid w:val="00666173"/>
    <w:rsid w:val="006664DE"/>
    <w:rsid w:val="00670EE1"/>
    <w:rsid w:val="006746CD"/>
    <w:rsid w:val="00674DD5"/>
    <w:rsid w:val="00680200"/>
    <w:rsid w:val="006827F2"/>
    <w:rsid w:val="0068303F"/>
    <w:rsid w:val="006836BD"/>
    <w:rsid w:val="006839EA"/>
    <w:rsid w:val="00685C10"/>
    <w:rsid w:val="00690E10"/>
    <w:rsid w:val="00692780"/>
    <w:rsid w:val="00692A23"/>
    <w:rsid w:val="00694D3B"/>
    <w:rsid w:val="006A08F5"/>
    <w:rsid w:val="006A554A"/>
    <w:rsid w:val="006A5718"/>
    <w:rsid w:val="006A6A4D"/>
    <w:rsid w:val="006A7403"/>
    <w:rsid w:val="006B14AF"/>
    <w:rsid w:val="006B2725"/>
    <w:rsid w:val="006B6C5F"/>
    <w:rsid w:val="006B6CBD"/>
    <w:rsid w:val="006C0C70"/>
    <w:rsid w:val="006C2318"/>
    <w:rsid w:val="006C4886"/>
    <w:rsid w:val="006C4E20"/>
    <w:rsid w:val="006D0F93"/>
    <w:rsid w:val="006D1FF7"/>
    <w:rsid w:val="006D2BFE"/>
    <w:rsid w:val="006D4D07"/>
    <w:rsid w:val="006D58BC"/>
    <w:rsid w:val="006D5CCF"/>
    <w:rsid w:val="006D5FEA"/>
    <w:rsid w:val="006D735A"/>
    <w:rsid w:val="006D7782"/>
    <w:rsid w:val="006E1CDD"/>
    <w:rsid w:val="006E5402"/>
    <w:rsid w:val="006F0DAA"/>
    <w:rsid w:val="006F284A"/>
    <w:rsid w:val="006F38A1"/>
    <w:rsid w:val="006F78E0"/>
    <w:rsid w:val="006F7C61"/>
    <w:rsid w:val="00703B0F"/>
    <w:rsid w:val="0070411E"/>
    <w:rsid w:val="007047BE"/>
    <w:rsid w:val="00704E13"/>
    <w:rsid w:val="00712168"/>
    <w:rsid w:val="00714A3F"/>
    <w:rsid w:val="00714B2B"/>
    <w:rsid w:val="00723A65"/>
    <w:rsid w:val="0072453D"/>
    <w:rsid w:val="00724863"/>
    <w:rsid w:val="00726858"/>
    <w:rsid w:val="00731038"/>
    <w:rsid w:val="007315D5"/>
    <w:rsid w:val="00734D9E"/>
    <w:rsid w:val="0073501A"/>
    <w:rsid w:val="0073635D"/>
    <w:rsid w:val="007402EE"/>
    <w:rsid w:val="00742DB9"/>
    <w:rsid w:val="0074300E"/>
    <w:rsid w:val="0074662A"/>
    <w:rsid w:val="00750A9E"/>
    <w:rsid w:val="00753266"/>
    <w:rsid w:val="00753471"/>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7B01"/>
    <w:rsid w:val="00787DF2"/>
    <w:rsid w:val="00790696"/>
    <w:rsid w:val="007945BB"/>
    <w:rsid w:val="007964F9"/>
    <w:rsid w:val="007A165C"/>
    <w:rsid w:val="007A193D"/>
    <w:rsid w:val="007A1B4A"/>
    <w:rsid w:val="007A43EB"/>
    <w:rsid w:val="007A590F"/>
    <w:rsid w:val="007B094D"/>
    <w:rsid w:val="007B5BE4"/>
    <w:rsid w:val="007B7339"/>
    <w:rsid w:val="007C1B98"/>
    <w:rsid w:val="007C288D"/>
    <w:rsid w:val="007C3AFD"/>
    <w:rsid w:val="007C70AA"/>
    <w:rsid w:val="007D356A"/>
    <w:rsid w:val="007D42E6"/>
    <w:rsid w:val="007D5C17"/>
    <w:rsid w:val="007E0F5C"/>
    <w:rsid w:val="007E2DF6"/>
    <w:rsid w:val="007F0F87"/>
    <w:rsid w:val="007F1C5A"/>
    <w:rsid w:val="008012E3"/>
    <w:rsid w:val="0080379E"/>
    <w:rsid w:val="00803A25"/>
    <w:rsid w:val="00815A93"/>
    <w:rsid w:val="00817C8E"/>
    <w:rsid w:val="00821038"/>
    <w:rsid w:val="008212AA"/>
    <w:rsid w:val="00822542"/>
    <w:rsid w:val="00823D30"/>
    <w:rsid w:val="008241AA"/>
    <w:rsid w:val="00826B5B"/>
    <w:rsid w:val="0082702F"/>
    <w:rsid w:val="00830C13"/>
    <w:rsid w:val="00830DB0"/>
    <w:rsid w:val="00831AFE"/>
    <w:rsid w:val="00832779"/>
    <w:rsid w:val="00837DB7"/>
    <w:rsid w:val="00841145"/>
    <w:rsid w:val="008437DC"/>
    <w:rsid w:val="00846B0B"/>
    <w:rsid w:val="00850CD4"/>
    <w:rsid w:val="008514FA"/>
    <w:rsid w:val="00852D4D"/>
    <w:rsid w:val="00853765"/>
    <w:rsid w:val="0085407F"/>
    <w:rsid w:val="00857624"/>
    <w:rsid w:val="00864302"/>
    <w:rsid w:val="0087217B"/>
    <w:rsid w:val="00873B5F"/>
    <w:rsid w:val="0087711D"/>
    <w:rsid w:val="00877CFD"/>
    <w:rsid w:val="00882F3D"/>
    <w:rsid w:val="00894ED3"/>
    <w:rsid w:val="00895657"/>
    <w:rsid w:val="00896790"/>
    <w:rsid w:val="00897454"/>
    <w:rsid w:val="008A5555"/>
    <w:rsid w:val="008A6789"/>
    <w:rsid w:val="008B2B2E"/>
    <w:rsid w:val="008C3525"/>
    <w:rsid w:val="008C5DF1"/>
    <w:rsid w:val="008D29C0"/>
    <w:rsid w:val="008D60EA"/>
    <w:rsid w:val="008D6A23"/>
    <w:rsid w:val="008D78A4"/>
    <w:rsid w:val="008E043D"/>
    <w:rsid w:val="008E149A"/>
    <w:rsid w:val="008E4220"/>
    <w:rsid w:val="008E42FB"/>
    <w:rsid w:val="008E5615"/>
    <w:rsid w:val="008E683F"/>
    <w:rsid w:val="008F0AB0"/>
    <w:rsid w:val="008F28B7"/>
    <w:rsid w:val="008F2B13"/>
    <w:rsid w:val="008F5302"/>
    <w:rsid w:val="008F681F"/>
    <w:rsid w:val="008F71B4"/>
    <w:rsid w:val="009006CA"/>
    <w:rsid w:val="00902A2E"/>
    <w:rsid w:val="0090433A"/>
    <w:rsid w:val="009061CB"/>
    <w:rsid w:val="00907CC6"/>
    <w:rsid w:val="00907D2E"/>
    <w:rsid w:val="0091074C"/>
    <w:rsid w:val="00911F50"/>
    <w:rsid w:val="009121A7"/>
    <w:rsid w:val="0091275B"/>
    <w:rsid w:val="0091358F"/>
    <w:rsid w:val="00915D97"/>
    <w:rsid w:val="0092042B"/>
    <w:rsid w:val="00920E39"/>
    <w:rsid w:val="00922130"/>
    <w:rsid w:val="00924E8F"/>
    <w:rsid w:val="0092696B"/>
    <w:rsid w:val="00936E09"/>
    <w:rsid w:val="009376F5"/>
    <w:rsid w:val="00954BF6"/>
    <w:rsid w:val="00955251"/>
    <w:rsid w:val="0095561D"/>
    <w:rsid w:val="00956A7A"/>
    <w:rsid w:val="00960638"/>
    <w:rsid w:val="00960DCC"/>
    <w:rsid w:val="00961496"/>
    <w:rsid w:val="00962212"/>
    <w:rsid w:val="00964EB6"/>
    <w:rsid w:val="00965147"/>
    <w:rsid w:val="009659C6"/>
    <w:rsid w:val="00965E34"/>
    <w:rsid w:val="009663BE"/>
    <w:rsid w:val="00971583"/>
    <w:rsid w:val="00974363"/>
    <w:rsid w:val="00985077"/>
    <w:rsid w:val="00986610"/>
    <w:rsid w:val="0098674F"/>
    <w:rsid w:val="009917EB"/>
    <w:rsid w:val="00993314"/>
    <w:rsid w:val="00993705"/>
    <w:rsid w:val="009A13FA"/>
    <w:rsid w:val="009A1C96"/>
    <w:rsid w:val="009A379C"/>
    <w:rsid w:val="009A4268"/>
    <w:rsid w:val="009A43E1"/>
    <w:rsid w:val="009A56BD"/>
    <w:rsid w:val="009A6A90"/>
    <w:rsid w:val="009A7D80"/>
    <w:rsid w:val="009A7F38"/>
    <w:rsid w:val="009B420B"/>
    <w:rsid w:val="009B5C26"/>
    <w:rsid w:val="009B67F2"/>
    <w:rsid w:val="009C2A57"/>
    <w:rsid w:val="009C35A8"/>
    <w:rsid w:val="009C5108"/>
    <w:rsid w:val="009D1502"/>
    <w:rsid w:val="009D2376"/>
    <w:rsid w:val="009D287F"/>
    <w:rsid w:val="009D48F8"/>
    <w:rsid w:val="009D5323"/>
    <w:rsid w:val="009D79F9"/>
    <w:rsid w:val="009E06BF"/>
    <w:rsid w:val="009E49E0"/>
    <w:rsid w:val="009E4A3F"/>
    <w:rsid w:val="009E787E"/>
    <w:rsid w:val="009F0FA7"/>
    <w:rsid w:val="009F109F"/>
    <w:rsid w:val="009F357C"/>
    <w:rsid w:val="009F4E03"/>
    <w:rsid w:val="009F7751"/>
    <w:rsid w:val="00A01CAE"/>
    <w:rsid w:val="00A04E3F"/>
    <w:rsid w:val="00A07D00"/>
    <w:rsid w:val="00A106EB"/>
    <w:rsid w:val="00A13693"/>
    <w:rsid w:val="00A1671A"/>
    <w:rsid w:val="00A213CF"/>
    <w:rsid w:val="00A232B8"/>
    <w:rsid w:val="00A253FA"/>
    <w:rsid w:val="00A34270"/>
    <w:rsid w:val="00A34B9B"/>
    <w:rsid w:val="00A3603A"/>
    <w:rsid w:val="00A3619F"/>
    <w:rsid w:val="00A40B15"/>
    <w:rsid w:val="00A40E4D"/>
    <w:rsid w:val="00A40FFB"/>
    <w:rsid w:val="00A472AE"/>
    <w:rsid w:val="00A51C8E"/>
    <w:rsid w:val="00A528A1"/>
    <w:rsid w:val="00A5369C"/>
    <w:rsid w:val="00A547CD"/>
    <w:rsid w:val="00A55129"/>
    <w:rsid w:val="00A55468"/>
    <w:rsid w:val="00A62EAA"/>
    <w:rsid w:val="00A64EC3"/>
    <w:rsid w:val="00A64ED5"/>
    <w:rsid w:val="00A657C4"/>
    <w:rsid w:val="00A676CF"/>
    <w:rsid w:val="00A70166"/>
    <w:rsid w:val="00A7064A"/>
    <w:rsid w:val="00A726A0"/>
    <w:rsid w:val="00A726DD"/>
    <w:rsid w:val="00A735A6"/>
    <w:rsid w:val="00A750D6"/>
    <w:rsid w:val="00A76D19"/>
    <w:rsid w:val="00A81833"/>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A7397"/>
    <w:rsid w:val="00AB1176"/>
    <w:rsid w:val="00AC026B"/>
    <w:rsid w:val="00AC15AF"/>
    <w:rsid w:val="00AC209F"/>
    <w:rsid w:val="00AC2177"/>
    <w:rsid w:val="00AC4882"/>
    <w:rsid w:val="00AC5619"/>
    <w:rsid w:val="00AC5C11"/>
    <w:rsid w:val="00AD0A68"/>
    <w:rsid w:val="00AD7B24"/>
    <w:rsid w:val="00AE32C1"/>
    <w:rsid w:val="00AE3FAE"/>
    <w:rsid w:val="00AE4A5A"/>
    <w:rsid w:val="00AF0CAE"/>
    <w:rsid w:val="00AF703A"/>
    <w:rsid w:val="00AF7EB0"/>
    <w:rsid w:val="00B0067F"/>
    <w:rsid w:val="00B020F5"/>
    <w:rsid w:val="00B02C22"/>
    <w:rsid w:val="00B044A8"/>
    <w:rsid w:val="00B147F2"/>
    <w:rsid w:val="00B160EA"/>
    <w:rsid w:val="00B165F0"/>
    <w:rsid w:val="00B21225"/>
    <w:rsid w:val="00B21F0F"/>
    <w:rsid w:val="00B23BB9"/>
    <w:rsid w:val="00B255CB"/>
    <w:rsid w:val="00B26CB6"/>
    <w:rsid w:val="00B31106"/>
    <w:rsid w:val="00B3217A"/>
    <w:rsid w:val="00B324C9"/>
    <w:rsid w:val="00B34753"/>
    <w:rsid w:val="00B3625F"/>
    <w:rsid w:val="00B424FF"/>
    <w:rsid w:val="00B4266A"/>
    <w:rsid w:val="00B4459D"/>
    <w:rsid w:val="00B4656B"/>
    <w:rsid w:val="00B47265"/>
    <w:rsid w:val="00B502EC"/>
    <w:rsid w:val="00B5030C"/>
    <w:rsid w:val="00B54BB1"/>
    <w:rsid w:val="00B615B6"/>
    <w:rsid w:val="00B70DB1"/>
    <w:rsid w:val="00B744FC"/>
    <w:rsid w:val="00B75759"/>
    <w:rsid w:val="00B77509"/>
    <w:rsid w:val="00B77D3D"/>
    <w:rsid w:val="00B80B4B"/>
    <w:rsid w:val="00B80D78"/>
    <w:rsid w:val="00B81BE8"/>
    <w:rsid w:val="00B8464E"/>
    <w:rsid w:val="00B85690"/>
    <w:rsid w:val="00B90E6D"/>
    <w:rsid w:val="00BA2B74"/>
    <w:rsid w:val="00BA47F5"/>
    <w:rsid w:val="00BA6113"/>
    <w:rsid w:val="00BA66D8"/>
    <w:rsid w:val="00BA67E4"/>
    <w:rsid w:val="00BA75C3"/>
    <w:rsid w:val="00BB0163"/>
    <w:rsid w:val="00BB2042"/>
    <w:rsid w:val="00BB4432"/>
    <w:rsid w:val="00BC32BC"/>
    <w:rsid w:val="00BC3551"/>
    <w:rsid w:val="00BC4EAE"/>
    <w:rsid w:val="00BC50D8"/>
    <w:rsid w:val="00BC5CBE"/>
    <w:rsid w:val="00BC63F5"/>
    <w:rsid w:val="00BC79BD"/>
    <w:rsid w:val="00BD0691"/>
    <w:rsid w:val="00BD06E6"/>
    <w:rsid w:val="00BD0FB4"/>
    <w:rsid w:val="00BD452E"/>
    <w:rsid w:val="00BD46C4"/>
    <w:rsid w:val="00BD4D2C"/>
    <w:rsid w:val="00BD5A0E"/>
    <w:rsid w:val="00BD5CD1"/>
    <w:rsid w:val="00BE3117"/>
    <w:rsid w:val="00BE63F2"/>
    <w:rsid w:val="00BE7EE7"/>
    <w:rsid w:val="00BF07E3"/>
    <w:rsid w:val="00BF27F4"/>
    <w:rsid w:val="00BF7606"/>
    <w:rsid w:val="00C0549C"/>
    <w:rsid w:val="00C06DEE"/>
    <w:rsid w:val="00C07800"/>
    <w:rsid w:val="00C110F4"/>
    <w:rsid w:val="00C12405"/>
    <w:rsid w:val="00C12810"/>
    <w:rsid w:val="00C13462"/>
    <w:rsid w:val="00C14176"/>
    <w:rsid w:val="00C14247"/>
    <w:rsid w:val="00C14B21"/>
    <w:rsid w:val="00C14CBE"/>
    <w:rsid w:val="00C1636A"/>
    <w:rsid w:val="00C20AAB"/>
    <w:rsid w:val="00C2229B"/>
    <w:rsid w:val="00C23DA0"/>
    <w:rsid w:val="00C24C76"/>
    <w:rsid w:val="00C30F56"/>
    <w:rsid w:val="00C32E54"/>
    <w:rsid w:val="00C34FD5"/>
    <w:rsid w:val="00C35B49"/>
    <w:rsid w:val="00C4065B"/>
    <w:rsid w:val="00C40997"/>
    <w:rsid w:val="00C413F9"/>
    <w:rsid w:val="00C45A05"/>
    <w:rsid w:val="00C4648B"/>
    <w:rsid w:val="00C54AB2"/>
    <w:rsid w:val="00C55ACD"/>
    <w:rsid w:val="00C55E9B"/>
    <w:rsid w:val="00C55FDC"/>
    <w:rsid w:val="00C618C3"/>
    <w:rsid w:val="00C61C40"/>
    <w:rsid w:val="00C61C9F"/>
    <w:rsid w:val="00C673C0"/>
    <w:rsid w:val="00C678C5"/>
    <w:rsid w:val="00C70898"/>
    <w:rsid w:val="00C72A26"/>
    <w:rsid w:val="00C73F2A"/>
    <w:rsid w:val="00C74D40"/>
    <w:rsid w:val="00C74FC8"/>
    <w:rsid w:val="00C775BC"/>
    <w:rsid w:val="00C77A62"/>
    <w:rsid w:val="00C82E6F"/>
    <w:rsid w:val="00C918F4"/>
    <w:rsid w:val="00C9200D"/>
    <w:rsid w:val="00C92669"/>
    <w:rsid w:val="00C93F99"/>
    <w:rsid w:val="00C9536B"/>
    <w:rsid w:val="00C972B0"/>
    <w:rsid w:val="00CA143A"/>
    <w:rsid w:val="00CA2368"/>
    <w:rsid w:val="00CA3D80"/>
    <w:rsid w:val="00CA4A46"/>
    <w:rsid w:val="00CA4D2C"/>
    <w:rsid w:val="00CA4D97"/>
    <w:rsid w:val="00CA508E"/>
    <w:rsid w:val="00CB750E"/>
    <w:rsid w:val="00CB75DE"/>
    <w:rsid w:val="00CC0B16"/>
    <w:rsid w:val="00CC0DA8"/>
    <w:rsid w:val="00CC3D65"/>
    <w:rsid w:val="00CC4017"/>
    <w:rsid w:val="00CC402E"/>
    <w:rsid w:val="00CC45F3"/>
    <w:rsid w:val="00CD19D0"/>
    <w:rsid w:val="00CD207F"/>
    <w:rsid w:val="00CD2F35"/>
    <w:rsid w:val="00CD43A9"/>
    <w:rsid w:val="00CE0305"/>
    <w:rsid w:val="00CE0D73"/>
    <w:rsid w:val="00CE4F76"/>
    <w:rsid w:val="00CE7286"/>
    <w:rsid w:val="00CF0CDD"/>
    <w:rsid w:val="00CF0CF5"/>
    <w:rsid w:val="00CF1E9E"/>
    <w:rsid w:val="00CF54FE"/>
    <w:rsid w:val="00CF61EA"/>
    <w:rsid w:val="00CF6640"/>
    <w:rsid w:val="00D0571A"/>
    <w:rsid w:val="00D06857"/>
    <w:rsid w:val="00D06C5E"/>
    <w:rsid w:val="00D10B03"/>
    <w:rsid w:val="00D12FF0"/>
    <w:rsid w:val="00D177C8"/>
    <w:rsid w:val="00D2196A"/>
    <w:rsid w:val="00D22995"/>
    <w:rsid w:val="00D23190"/>
    <w:rsid w:val="00D24017"/>
    <w:rsid w:val="00D369AB"/>
    <w:rsid w:val="00D371A8"/>
    <w:rsid w:val="00D42124"/>
    <w:rsid w:val="00D4216A"/>
    <w:rsid w:val="00D42F7F"/>
    <w:rsid w:val="00D44A72"/>
    <w:rsid w:val="00D5052D"/>
    <w:rsid w:val="00D5181D"/>
    <w:rsid w:val="00D52999"/>
    <w:rsid w:val="00D54BF5"/>
    <w:rsid w:val="00D55DBD"/>
    <w:rsid w:val="00D56667"/>
    <w:rsid w:val="00D57356"/>
    <w:rsid w:val="00D67665"/>
    <w:rsid w:val="00D70B9F"/>
    <w:rsid w:val="00D7172C"/>
    <w:rsid w:val="00D72FC2"/>
    <w:rsid w:val="00D74171"/>
    <w:rsid w:val="00D74CCD"/>
    <w:rsid w:val="00D80062"/>
    <w:rsid w:val="00D82466"/>
    <w:rsid w:val="00D90273"/>
    <w:rsid w:val="00D90D0A"/>
    <w:rsid w:val="00D91A79"/>
    <w:rsid w:val="00D93F9A"/>
    <w:rsid w:val="00D955D1"/>
    <w:rsid w:val="00DA14A1"/>
    <w:rsid w:val="00DA1C69"/>
    <w:rsid w:val="00DA5A8C"/>
    <w:rsid w:val="00DA5CE6"/>
    <w:rsid w:val="00DA7CB2"/>
    <w:rsid w:val="00DB0EEE"/>
    <w:rsid w:val="00DB1F30"/>
    <w:rsid w:val="00DB362A"/>
    <w:rsid w:val="00DB4487"/>
    <w:rsid w:val="00DB61D3"/>
    <w:rsid w:val="00DC1956"/>
    <w:rsid w:val="00DC247F"/>
    <w:rsid w:val="00DC5E3E"/>
    <w:rsid w:val="00DD17FF"/>
    <w:rsid w:val="00DD4582"/>
    <w:rsid w:val="00DD7D28"/>
    <w:rsid w:val="00DE2005"/>
    <w:rsid w:val="00DE3093"/>
    <w:rsid w:val="00DE4C9C"/>
    <w:rsid w:val="00DE6584"/>
    <w:rsid w:val="00DF0973"/>
    <w:rsid w:val="00DF1819"/>
    <w:rsid w:val="00DF1FDD"/>
    <w:rsid w:val="00DF2791"/>
    <w:rsid w:val="00DF4528"/>
    <w:rsid w:val="00DF56B7"/>
    <w:rsid w:val="00DF5B86"/>
    <w:rsid w:val="00E0504C"/>
    <w:rsid w:val="00E06CF6"/>
    <w:rsid w:val="00E115D5"/>
    <w:rsid w:val="00E11A18"/>
    <w:rsid w:val="00E15A3C"/>
    <w:rsid w:val="00E160CC"/>
    <w:rsid w:val="00E16BBE"/>
    <w:rsid w:val="00E20F9B"/>
    <w:rsid w:val="00E24304"/>
    <w:rsid w:val="00E246B3"/>
    <w:rsid w:val="00E27721"/>
    <w:rsid w:val="00E300F2"/>
    <w:rsid w:val="00E30639"/>
    <w:rsid w:val="00E30867"/>
    <w:rsid w:val="00E31ABA"/>
    <w:rsid w:val="00E34D03"/>
    <w:rsid w:val="00E421F2"/>
    <w:rsid w:val="00E4676F"/>
    <w:rsid w:val="00E51553"/>
    <w:rsid w:val="00E528A7"/>
    <w:rsid w:val="00E57D07"/>
    <w:rsid w:val="00E611EE"/>
    <w:rsid w:val="00E61A46"/>
    <w:rsid w:val="00E64962"/>
    <w:rsid w:val="00E66545"/>
    <w:rsid w:val="00E716AF"/>
    <w:rsid w:val="00E72009"/>
    <w:rsid w:val="00E74603"/>
    <w:rsid w:val="00E74ED5"/>
    <w:rsid w:val="00E829F1"/>
    <w:rsid w:val="00E85102"/>
    <w:rsid w:val="00E87E8F"/>
    <w:rsid w:val="00E93AF4"/>
    <w:rsid w:val="00E96AEC"/>
    <w:rsid w:val="00E97077"/>
    <w:rsid w:val="00EA21A4"/>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43A4"/>
    <w:rsid w:val="00ED499F"/>
    <w:rsid w:val="00EE4EDB"/>
    <w:rsid w:val="00EF71CA"/>
    <w:rsid w:val="00EF754A"/>
    <w:rsid w:val="00EF767D"/>
    <w:rsid w:val="00F003CE"/>
    <w:rsid w:val="00F02259"/>
    <w:rsid w:val="00F04B5F"/>
    <w:rsid w:val="00F04ECE"/>
    <w:rsid w:val="00F05BA2"/>
    <w:rsid w:val="00F06D6D"/>
    <w:rsid w:val="00F1037B"/>
    <w:rsid w:val="00F10C2D"/>
    <w:rsid w:val="00F12402"/>
    <w:rsid w:val="00F13093"/>
    <w:rsid w:val="00F1592A"/>
    <w:rsid w:val="00F20635"/>
    <w:rsid w:val="00F253FC"/>
    <w:rsid w:val="00F256EB"/>
    <w:rsid w:val="00F31147"/>
    <w:rsid w:val="00F31C0E"/>
    <w:rsid w:val="00F351BA"/>
    <w:rsid w:val="00F42E49"/>
    <w:rsid w:val="00F45EB4"/>
    <w:rsid w:val="00F47209"/>
    <w:rsid w:val="00F50843"/>
    <w:rsid w:val="00F52B59"/>
    <w:rsid w:val="00F54A8E"/>
    <w:rsid w:val="00F6314A"/>
    <w:rsid w:val="00F631B6"/>
    <w:rsid w:val="00F63D17"/>
    <w:rsid w:val="00F675D4"/>
    <w:rsid w:val="00F73C68"/>
    <w:rsid w:val="00F74451"/>
    <w:rsid w:val="00F76035"/>
    <w:rsid w:val="00F833C7"/>
    <w:rsid w:val="00F8464C"/>
    <w:rsid w:val="00F87203"/>
    <w:rsid w:val="00F9028C"/>
    <w:rsid w:val="00F92184"/>
    <w:rsid w:val="00F93119"/>
    <w:rsid w:val="00FA3E7B"/>
    <w:rsid w:val="00FA3FDB"/>
    <w:rsid w:val="00FA4083"/>
    <w:rsid w:val="00FA4D1F"/>
    <w:rsid w:val="00FA5CF5"/>
    <w:rsid w:val="00FA5E8C"/>
    <w:rsid w:val="00FB06F3"/>
    <w:rsid w:val="00FB3417"/>
    <w:rsid w:val="00FB5B2A"/>
    <w:rsid w:val="00FB7038"/>
    <w:rsid w:val="00FB7C09"/>
    <w:rsid w:val="00FC34D8"/>
    <w:rsid w:val="00FC5333"/>
    <w:rsid w:val="00FC596B"/>
    <w:rsid w:val="00FC7C16"/>
    <w:rsid w:val="00FC7C7D"/>
    <w:rsid w:val="00FD42A8"/>
    <w:rsid w:val="00FD7BBD"/>
    <w:rsid w:val="00FE1454"/>
    <w:rsid w:val="00FE7406"/>
    <w:rsid w:val="00FE7B66"/>
    <w:rsid w:val="00FE7E1A"/>
    <w:rsid w:val="00FF1B44"/>
    <w:rsid w:val="00FF2495"/>
    <w:rsid w:val="00FF264C"/>
    <w:rsid w:val="00FF28D0"/>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C23B09"/>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uiPriority w:val="99"/>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link w:val="NoSpacingChar"/>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 w:type="character" w:customStyle="1" w:styleId="NoSpacingChar">
    <w:name w:val="No Spacing Char"/>
    <w:basedOn w:val="DefaultParagraphFont"/>
    <w:link w:val="NoSpacing"/>
    <w:uiPriority w:val="1"/>
    <w:rsid w:val="00020049"/>
    <w:rPr>
      <w:rFonts w:ascii="Calibri" w:eastAsia="Calibri" w:hAnsi="Calibri"/>
      <w:sz w:val="22"/>
      <w:szCs w:val="22"/>
      <w:lang w:eastAsia="en-US"/>
    </w:rPr>
  </w:style>
  <w:style w:type="paragraph" w:customStyle="1" w:styleId="tvhtml">
    <w:name w:val="tv_html"/>
    <w:basedOn w:val="Normal"/>
    <w:rsid w:val="00A76D1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itija.Eglite\Desktop\Valsts%20p&#257;rvaldes%20iek&#257;rtas%20likums,%2088.%20pants.%20https:\likumi.lv\ta\id\63545" TargetMode="External"/><Relationship Id="rId13" Type="http://schemas.openxmlformats.org/officeDocument/2006/relationships/hyperlink" Target="file:///C:\Users\Kitija.Eglite\Desktop\Publiskas%20personas%20kapit&#257;la%20da&#316;u%20un%20kapit&#257;lsabiedr&#299;bu%20p&#257;rvald&#299;bas%20likums.%20https:\likumi.lv\ta\id\269907" TargetMode="External"/><Relationship Id="rId18" Type="http://schemas.openxmlformats.org/officeDocument/2006/relationships/hyperlink" Target="file:///C:\Users\Kitija.Eglite\Desktop\Publiskas%20personas%20kapit&#257;la%20da&#316;u%20un%20kapit&#257;lsabiedr&#299;bu%20p&#257;rvald&#299;bas%20likums,%20140.%20pants.%20https:\likumi.lv\ta\id\2699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Kitija.Eglite\Desktop\Publiskas%20personas%20finan&#353;u%20l&#299;dzek&#316;u%20un%20mantas%20iz&#353;&#311;&#275;rd&#275;&#353;anas%20nov&#275;r&#353;anas%20likums.%20https:\likumi.lv\ta\id\36190" TargetMode="External"/><Relationship Id="rId17" Type="http://schemas.openxmlformats.org/officeDocument/2006/relationships/hyperlink" Target="file:///C:\Users\Kitija.Eglite\Desktop\Publiskas%20personas%20kapit&#257;la%20da&#316;u%20un%20kapit&#257;lsabiedr&#299;bu%20p&#257;rvald&#299;bas%20likums.%20https:\likumi.lv\ta\id\269907" TargetMode="External"/><Relationship Id="rId2" Type="http://schemas.openxmlformats.org/officeDocument/2006/relationships/numbering" Target="numbering.xml"/><Relationship Id="rId16" Type="http://schemas.openxmlformats.org/officeDocument/2006/relationships/hyperlink" Target="file:///C:\Users\Kitija.Eglite\Desktop\Publiskas%20personas%20kapit&#257;la%20da&#316;u%20un%20kapit&#257;lsabiedr&#299;bu%20p&#257;rvald&#299;bas%20likums,%209.%20pants.%20https:\likumi.lv\ta\id\2699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tija.Eglite\Desktop\Publiskas%20personas%20kapit&#257;la%20da&#316;u%20un%20kapit&#257;lsabiedr&#299;bu%20p&#257;rvald&#299;bas%20likums.%20https:\likumi.lv\ta\id\2699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itija.Eglite\Desktop\Publiskas%20personas%20kapit&#257;la%20da&#316;u%20un%20kapit&#257;lsabiedr&#299;bu%20p&#257;rvald&#299;bas%20likums.%20https:\likumi.lv\ta\id\269907" TargetMode="External"/><Relationship Id="rId23" Type="http://schemas.openxmlformats.org/officeDocument/2006/relationships/fontTable" Target="fontTable.xml"/><Relationship Id="rId10" Type="http://schemas.openxmlformats.org/officeDocument/2006/relationships/hyperlink" Target="file:///C:\Users\Kitija.Eglite\Desktop\Komerclikums.%20https:\likumi.lv\ta\id\549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itija.Eglite\Desktop\Publiskas%20personas%20kapit&#257;la%20da&#316;u%20un%20kapit&#257;lsabiedr&#299;bu%20p&#257;rvald&#299;bas%20likums.%20https:\likumi.lv\ta\id\269907" TargetMode="External"/><Relationship Id="rId14" Type="http://schemas.openxmlformats.org/officeDocument/2006/relationships/hyperlink" Target="file:///C:\Users\Kitija.Eglite\Desktop\Publiskas%20personas%20kapit&#257;la%20da&#316;u%20un%20kapit&#257;lsabiedr&#299;bu%20p&#257;rvald&#299;bas%20likums.%20https:\likumi.lv\ta\id\26990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C7D3-E64B-459A-B2F2-D22F2A73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2247</Words>
  <Characters>18505</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Ministru kabineta rīkojuma projekta „Par atļauju izbeigt līdzdalību un pārdot VAS “Ceļu satiksmes drošības direkcija” piederošās SIA „Auteko &amp; TÜV Latvija”,  SIA „Scantest”, SIA „Venttests” un SIA „Autests” kapitāla daļas”</vt:lpstr>
    </vt:vector>
  </TitlesOfParts>
  <Company>Satiksmes ministrija</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izbeigt līdzdalību un pārdot VAS “Ceļu satiksmes drošības direkcija” piederošās SIA „Auteko &amp; TÜV Latvija”,  SIA „Scantest”, SIA „Venttests” un SIA „Autests” kapitāla daļas”</dc:title>
  <dc:subject>Anotācija</dc:subject>
  <dc:creator>Linda Pūce</dc:creator>
  <cp:keywords/>
  <dc:description>R.Nīmanis t. 67025719_x000d_
reinis.nimanis@csdd.gov.lv</dc:description>
  <cp:lastModifiedBy>Linda Pūce</cp:lastModifiedBy>
  <cp:revision>3</cp:revision>
  <cp:lastPrinted>2020-03-03T12:35:00Z</cp:lastPrinted>
  <dcterms:created xsi:type="dcterms:W3CDTF">2020-05-28T08:40:00Z</dcterms:created>
  <dcterms:modified xsi:type="dcterms:W3CDTF">2020-05-29T04:58:00Z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