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275B" w14:textId="77777777" w:rsidR="00024FA0" w:rsidRDefault="00024FA0" w:rsidP="00024FA0">
      <w:pPr>
        <w:shd w:val="clear" w:color="auto" w:fill="FFFFFF"/>
        <w:jc w:val="center"/>
        <w:rPr>
          <w:b/>
          <w:sz w:val="24"/>
          <w:szCs w:val="24"/>
          <w:lang w:val="lv-LV"/>
        </w:rPr>
      </w:pPr>
      <w:bookmarkStart w:id="0" w:name="OLE_LINK3"/>
      <w:bookmarkStart w:id="1" w:name="OLE_LINK1"/>
      <w:bookmarkStart w:id="2" w:name="OLE_LINK2"/>
      <w:r w:rsidRPr="008B1C28">
        <w:rPr>
          <w:b/>
          <w:sz w:val="24"/>
          <w:szCs w:val="24"/>
          <w:lang w:val="lv-LV"/>
        </w:rPr>
        <w:t>Ministru kabineta noteikumu projekta</w:t>
      </w:r>
    </w:p>
    <w:p w14:paraId="2B25275C" w14:textId="77777777" w:rsidR="00024FA0" w:rsidRPr="008B1C28" w:rsidRDefault="00024FA0" w:rsidP="00024FA0">
      <w:pPr>
        <w:shd w:val="clear" w:color="auto" w:fill="FFFFFF"/>
        <w:jc w:val="center"/>
        <w:rPr>
          <w:rFonts w:eastAsia="Times New Roman"/>
          <w:b/>
          <w:bCs/>
          <w:sz w:val="24"/>
          <w:szCs w:val="24"/>
          <w:lang w:val="lv-LV" w:eastAsia="lv-LV"/>
        </w:rPr>
      </w:pPr>
      <w:r w:rsidRPr="008B1C28">
        <w:rPr>
          <w:b/>
          <w:sz w:val="24"/>
          <w:szCs w:val="24"/>
          <w:lang w:val="lv-LV"/>
        </w:rPr>
        <w:t xml:space="preserve"> </w:t>
      </w:r>
      <w:bookmarkStart w:id="3" w:name="_Hlk42258113"/>
      <w:r w:rsidRPr="008B1C28">
        <w:rPr>
          <w:b/>
          <w:sz w:val="24"/>
          <w:szCs w:val="24"/>
          <w:lang w:val="lv-LV"/>
        </w:rPr>
        <w:t>“Grozījumi Ministru kabineta 2018.gada 21.novembra noteikumos Nr.717 “Noteikumi par valsts noteikto braukšanas maksas atvieglojumu saņēmēju informācijas sistēmu”</w:t>
      </w:r>
      <w:bookmarkEnd w:id="3"/>
      <w:r>
        <w:rPr>
          <w:b/>
          <w:sz w:val="24"/>
          <w:szCs w:val="24"/>
          <w:lang w:val="lv-LV"/>
        </w:rPr>
        <w:t xml:space="preserve"> </w:t>
      </w:r>
      <w:r w:rsidRPr="008B1C28">
        <w:rPr>
          <w:rFonts w:eastAsia="Times New Roman"/>
          <w:b/>
          <w:bCs/>
          <w:sz w:val="24"/>
          <w:szCs w:val="24"/>
          <w:lang w:val="lv-LV" w:eastAsia="lv-LV"/>
        </w:rPr>
        <w:t>sākotnējās ietekmes novērtējuma ziņojums (anotācija)</w:t>
      </w:r>
    </w:p>
    <w:p w14:paraId="2B25275D" w14:textId="77777777" w:rsidR="00024FA0" w:rsidRPr="008B1C28" w:rsidRDefault="00024FA0" w:rsidP="00024FA0">
      <w:pPr>
        <w:shd w:val="clear" w:color="auto" w:fill="FFFFFF" w:themeFill="background1"/>
        <w:contextualSpacing/>
        <w:jc w:val="center"/>
        <w:rPr>
          <w:b/>
          <w:sz w:val="24"/>
          <w:szCs w:val="24"/>
          <w:lang w:val="lv-LV"/>
        </w:rPr>
      </w:pPr>
    </w:p>
    <w:p w14:paraId="2B25275E" w14:textId="77777777" w:rsidR="00024FA0" w:rsidRPr="008B1C28" w:rsidRDefault="00024FA0" w:rsidP="00024FA0">
      <w:pPr>
        <w:shd w:val="clear" w:color="auto" w:fill="FFFFFF" w:themeFill="background1"/>
        <w:contextualSpacing/>
        <w:jc w:val="center"/>
        <w:rPr>
          <w:b/>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0"/>
        <w:gridCol w:w="6221"/>
      </w:tblGrid>
      <w:tr w:rsidR="00024FA0" w:rsidRPr="008B1C28" w14:paraId="2B252760" w14:textId="77777777" w:rsidTr="00CB05D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B25275F" w14:textId="77777777" w:rsidR="00024FA0" w:rsidRPr="008B1C28" w:rsidRDefault="00024FA0" w:rsidP="00CB05DC">
            <w:pPr>
              <w:contextualSpacing/>
              <w:rPr>
                <w:rFonts w:eastAsia="Times New Roman"/>
                <w:b/>
                <w:bCs/>
                <w:iCs/>
                <w:sz w:val="24"/>
                <w:szCs w:val="24"/>
                <w:lang w:val="lv-LV" w:eastAsia="lv-LV"/>
              </w:rPr>
            </w:pPr>
            <w:r w:rsidRPr="008B1C28">
              <w:rPr>
                <w:rFonts w:eastAsia="Times New Roman"/>
                <w:b/>
                <w:bCs/>
                <w:iCs/>
                <w:sz w:val="24"/>
                <w:szCs w:val="24"/>
                <w:lang w:val="lv-LV" w:eastAsia="lv-LV"/>
              </w:rPr>
              <w:t>Tiesību akta projekta anotācijas kopsavilkums</w:t>
            </w:r>
          </w:p>
        </w:tc>
      </w:tr>
      <w:tr w:rsidR="00024FA0" w:rsidRPr="00001F6D" w14:paraId="2B252763" w14:textId="77777777" w:rsidTr="00CB05D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2B252761" w14:textId="77777777" w:rsidR="00024FA0" w:rsidRPr="008B1C28" w:rsidRDefault="00024FA0" w:rsidP="00CB05DC">
            <w:pPr>
              <w:shd w:val="clear" w:color="auto" w:fill="FFFFFF" w:themeFill="background1"/>
              <w:contextualSpacing/>
              <w:rPr>
                <w:rFonts w:eastAsia="Times New Roman"/>
                <w:iCs/>
                <w:sz w:val="24"/>
                <w:szCs w:val="24"/>
                <w:lang w:val="lv-LV" w:eastAsia="lv-LV"/>
              </w:rPr>
            </w:pPr>
            <w:r w:rsidRPr="008B1C28">
              <w:rPr>
                <w:rFonts w:eastAsia="Times New Roman"/>
                <w:iCs/>
                <w:sz w:val="24"/>
                <w:szCs w:val="24"/>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2B252762" w14:textId="2710F08F" w:rsidR="00024FA0" w:rsidRPr="008B1C28" w:rsidRDefault="00950C91" w:rsidP="00CB05DC">
            <w:pPr>
              <w:shd w:val="clear" w:color="auto" w:fill="FFFFFF" w:themeFill="background1"/>
              <w:contextualSpacing/>
              <w:jc w:val="both"/>
              <w:rPr>
                <w:sz w:val="24"/>
                <w:szCs w:val="24"/>
                <w:lang w:val="lv-LV"/>
              </w:rPr>
            </w:pPr>
            <w:bookmarkStart w:id="4" w:name="_Hlk39127435"/>
            <w:r w:rsidRPr="00D757B6">
              <w:rPr>
                <w:sz w:val="24"/>
                <w:szCs w:val="24"/>
                <w:lang w:val="lv-LV"/>
              </w:rPr>
              <w:t xml:space="preserve">Noteikumu projekta mērķis ir precizēt </w:t>
            </w:r>
            <w:r w:rsidR="00024FA0" w:rsidRPr="008B1C28">
              <w:rPr>
                <w:sz w:val="24"/>
                <w:szCs w:val="24"/>
                <w:lang w:val="lv-LV"/>
              </w:rPr>
              <w:t>Ministru kabineta 2018.gada 21.novembra noteikumus Nr.717 “Noteikumi par valsts noteikto braukšanas maksas atvieglojumu saņēmēju informācijas sistēmu” (turpmāk – MK noteikumi Nr.717), nosakot regulējumu braukšanas maksas atvieglojumu saņemšanai nepieciešamajam elektroniskās identifikācijas līdzekļa un risinājuma ieviešanai un izmantošanai</w:t>
            </w:r>
            <w:bookmarkEnd w:id="4"/>
            <w:r w:rsidR="00024FA0" w:rsidRPr="008B1C28">
              <w:rPr>
                <w:sz w:val="24"/>
                <w:szCs w:val="24"/>
                <w:lang w:val="lv-LV"/>
              </w:rPr>
              <w:t>. Noteikumu projekts stāsies spēkā atbilstoši Oficiālo publikāciju un tiesiskās informācijas likumā noteiktajai kārtībai.</w:t>
            </w:r>
          </w:p>
        </w:tc>
      </w:tr>
    </w:tbl>
    <w:p w14:paraId="2B252764" w14:textId="77777777" w:rsidR="00024FA0" w:rsidRPr="008B1C28" w:rsidRDefault="00024FA0" w:rsidP="00024FA0">
      <w:pPr>
        <w:shd w:val="clear" w:color="auto" w:fill="FFFFFF" w:themeFill="background1"/>
        <w:contextualSpacing/>
        <w:rPr>
          <w:b/>
          <w:sz w:val="24"/>
          <w:szCs w:val="24"/>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024FA0" w:rsidRPr="008B1C28" w14:paraId="2B252766" w14:textId="77777777" w:rsidTr="00CB05DC">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bookmarkEnd w:id="0"/>
          <w:bookmarkEnd w:id="1"/>
          <w:bookmarkEnd w:id="2"/>
          <w:p w14:paraId="2B252765" w14:textId="77777777" w:rsidR="00024FA0" w:rsidRPr="008B1C28" w:rsidRDefault="00024FA0" w:rsidP="00CB05DC">
            <w:pPr>
              <w:shd w:val="clear" w:color="auto" w:fill="FFFFFF" w:themeFill="background1"/>
              <w:tabs>
                <w:tab w:val="left" w:pos="5888"/>
              </w:tabs>
              <w:contextualSpacing/>
              <w:jc w:val="center"/>
              <w:rPr>
                <w:rFonts w:eastAsia="Times New Roman"/>
                <w:sz w:val="24"/>
                <w:szCs w:val="24"/>
                <w:lang w:val="lv-LV" w:eastAsia="lv-LV"/>
              </w:rPr>
            </w:pPr>
            <w:r w:rsidRPr="008B1C28">
              <w:rPr>
                <w:b/>
                <w:sz w:val="24"/>
                <w:szCs w:val="24"/>
                <w:lang w:val="lv-LV"/>
              </w:rPr>
              <w:t>I. Tiesību akta projekta izstrādes nepieciešamība</w:t>
            </w:r>
          </w:p>
        </w:tc>
      </w:tr>
      <w:tr w:rsidR="00024FA0" w:rsidRPr="00001F6D" w14:paraId="2B25276B" w14:textId="77777777" w:rsidTr="00CB05DC">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2B252767"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B252768"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2B252769" w14:textId="06182AFE" w:rsidR="00024FA0" w:rsidRPr="008B1C28" w:rsidRDefault="00024FA0" w:rsidP="00CB05DC">
            <w:pPr>
              <w:shd w:val="clear" w:color="auto" w:fill="FFFFFF" w:themeFill="background1"/>
              <w:contextualSpacing/>
              <w:jc w:val="both"/>
              <w:rPr>
                <w:sz w:val="24"/>
                <w:szCs w:val="24"/>
                <w:lang w:val="lv-LV"/>
              </w:rPr>
            </w:pPr>
            <w:r w:rsidRPr="008B1C28">
              <w:rPr>
                <w:sz w:val="24"/>
                <w:szCs w:val="24"/>
                <w:lang w:val="lv-LV"/>
              </w:rPr>
              <w:t>Ministru kabineta 2017.gada 4.aprīļa sēdes protokollēmuma (prot. 18 43</w:t>
            </w:r>
            <w:r w:rsidR="008921E8">
              <w:rPr>
                <w:sz w:val="24"/>
                <w:szCs w:val="24"/>
                <w:lang w:val="lv-LV"/>
              </w:rPr>
              <w:t>.</w:t>
            </w:r>
            <w:r w:rsidRPr="008B1C28">
              <w:rPr>
                <w:sz w:val="24"/>
                <w:szCs w:val="24"/>
                <w:lang w:val="lv-LV"/>
              </w:rPr>
              <w:t>§) 6.punkt</w:t>
            </w:r>
            <w:r w:rsidR="008921E8">
              <w:rPr>
                <w:sz w:val="24"/>
                <w:szCs w:val="24"/>
                <w:lang w:val="lv-LV"/>
              </w:rPr>
              <w:t>s,</w:t>
            </w:r>
            <w:r w:rsidRPr="008B1C28">
              <w:rPr>
                <w:sz w:val="24"/>
                <w:szCs w:val="24"/>
                <w:lang w:val="lv-LV"/>
              </w:rPr>
              <w:t xml:space="preserve"> Sabiedriskā transporta pakalpojumu likuma 14. </w:t>
            </w:r>
            <w:r w:rsidRPr="008B1C28">
              <w:rPr>
                <w:sz w:val="24"/>
                <w:szCs w:val="24"/>
                <w:vertAlign w:val="superscript"/>
                <w:lang w:val="lv-LV"/>
              </w:rPr>
              <w:t xml:space="preserve">1 </w:t>
            </w:r>
            <w:r w:rsidRPr="008B1C28">
              <w:rPr>
                <w:sz w:val="24"/>
                <w:szCs w:val="24"/>
                <w:lang w:val="lv-LV"/>
              </w:rPr>
              <w:t>pant</w:t>
            </w:r>
            <w:r w:rsidR="008921E8">
              <w:rPr>
                <w:sz w:val="24"/>
                <w:szCs w:val="24"/>
                <w:lang w:val="lv-LV"/>
              </w:rPr>
              <w:t>s,</w:t>
            </w:r>
            <w:r w:rsidRPr="008B1C28">
              <w:rPr>
                <w:sz w:val="24"/>
                <w:szCs w:val="24"/>
                <w:lang w:val="lv-LV"/>
              </w:rPr>
              <w:t xml:space="preserve"> Valdības rīcības plāna </w:t>
            </w:r>
            <w:r w:rsidR="008921E8">
              <w:rPr>
                <w:sz w:val="24"/>
                <w:szCs w:val="24"/>
                <w:lang w:val="lv-LV"/>
              </w:rPr>
              <w:t>pasākums</w:t>
            </w:r>
            <w:r w:rsidR="008921E8" w:rsidRPr="008B1C28">
              <w:rPr>
                <w:sz w:val="24"/>
                <w:szCs w:val="24"/>
                <w:lang w:val="lv-LV"/>
              </w:rPr>
              <w:t xml:space="preserve"> </w:t>
            </w:r>
            <w:r w:rsidRPr="008B1C28">
              <w:rPr>
                <w:sz w:val="24"/>
                <w:szCs w:val="24"/>
                <w:lang w:val="lv-LV"/>
              </w:rPr>
              <w:t>Nr.88.1 un Nr.88.2.</w:t>
            </w:r>
          </w:p>
          <w:p w14:paraId="2B25276A" w14:textId="77777777" w:rsidR="00024FA0" w:rsidRPr="008B1C28" w:rsidRDefault="00024FA0" w:rsidP="00CB05DC">
            <w:pPr>
              <w:shd w:val="clear" w:color="auto" w:fill="FFFFFF" w:themeFill="background1"/>
              <w:contextualSpacing/>
              <w:jc w:val="both"/>
              <w:rPr>
                <w:sz w:val="24"/>
                <w:szCs w:val="24"/>
                <w:lang w:val="lv-LV"/>
              </w:rPr>
            </w:pPr>
          </w:p>
        </w:tc>
      </w:tr>
      <w:tr w:rsidR="00024FA0" w:rsidRPr="00EC6857" w14:paraId="2B252789" w14:textId="77777777" w:rsidTr="00CB05DC">
        <w:trPr>
          <w:trHeight w:val="523"/>
        </w:trPr>
        <w:tc>
          <w:tcPr>
            <w:tcW w:w="411" w:type="dxa"/>
            <w:tcBorders>
              <w:top w:val="outset" w:sz="6" w:space="0" w:color="414142"/>
              <w:left w:val="outset" w:sz="6" w:space="0" w:color="414142"/>
              <w:bottom w:val="outset" w:sz="6" w:space="0" w:color="414142"/>
              <w:right w:val="outset" w:sz="6" w:space="0" w:color="414142"/>
            </w:tcBorders>
            <w:hideMark/>
          </w:tcPr>
          <w:p w14:paraId="2B25276C" w14:textId="77777777" w:rsidR="00024FA0" w:rsidRPr="008B1C28" w:rsidRDefault="00024FA0" w:rsidP="00CB05DC">
            <w:pPr>
              <w:shd w:val="clear" w:color="auto" w:fill="FFFFFF" w:themeFill="background1"/>
              <w:contextualSpacing/>
              <w:jc w:val="both"/>
              <w:rPr>
                <w:rFonts w:eastAsia="Times New Roman"/>
                <w:sz w:val="24"/>
                <w:szCs w:val="24"/>
                <w:lang w:val="lv-LV" w:eastAsia="lv-LV"/>
              </w:rPr>
            </w:pPr>
            <w:r w:rsidRPr="008B1C28">
              <w:rPr>
                <w:sz w:val="24"/>
                <w:szCs w:val="24"/>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2B25276D" w14:textId="77777777" w:rsidR="00024FA0" w:rsidRPr="008B1C28" w:rsidRDefault="00024FA0" w:rsidP="00CB05DC">
            <w:pPr>
              <w:shd w:val="clear" w:color="auto" w:fill="FFFFFF" w:themeFill="background1"/>
              <w:contextualSpacing/>
              <w:jc w:val="both"/>
              <w:rPr>
                <w:sz w:val="24"/>
                <w:szCs w:val="24"/>
                <w:lang w:val="lv-LV"/>
              </w:rPr>
            </w:pPr>
            <w:r w:rsidRPr="008B1C28">
              <w:rPr>
                <w:sz w:val="24"/>
                <w:szCs w:val="24"/>
                <w:lang w:val="lv-LV"/>
              </w:rPr>
              <w:t>Pašreizējā situācija un problēmas, kuru risināšanai tiesību akta projekts izstrādāts, tiesiskā regulējuma mērķis un būtība</w:t>
            </w:r>
          </w:p>
          <w:p w14:paraId="2B25276E" w14:textId="77777777" w:rsidR="00024FA0" w:rsidRPr="008B1C28" w:rsidRDefault="00024FA0" w:rsidP="00CB05DC">
            <w:pPr>
              <w:shd w:val="clear" w:color="auto" w:fill="FFFFFF" w:themeFill="background1"/>
              <w:jc w:val="both"/>
              <w:rPr>
                <w:rFonts w:eastAsia="Times New Roman"/>
                <w:sz w:val="24"/>
                <w:szCs w:val="24"/>
                <w:lang w:val="lv-LV" w:eastAsia="lv-LV"/>
              </w:rPr>
            </w:pPr>
          </w:p>
          <w:p w14:paraId="2B25276F" w14:textId="77777777" w:rsidR="00024FA0" w:rsidRPr="008B1C28" w:rsidRDefault="00024FA0" w:rsidP="00CB05DC">
            <w:pPr>
              <w:shd w:val="clear" w:color="auto" w:fill="FFFFFF" w:themeFill="background1"/>
              <w:jc w:val="both"/>
              <w:rPr>
                <w:rFonts w:eastAsia="Times New Roman"/>
                <w:sz w:val="24"/>
                <w:szCs w:val="24"/>
                <w:lang w:val="lv-LV" w:eastAsia="lv-LV"/>
              </w:rPr>
            </w:pPr>
          </w:p>
          <w:p w14:paraId="2B252770" w14:textId="77777777" w:rsidR="00024FA0" w:rsidRPr="008B1C28" w:rsidRDefault="00024FA0" w:rsidP="00CB05DC">
            <w:pPr>
              <w:shd w:val="clear" w:color="auto" w:fill="FFFFFF" w:themeFill="background1"/>
              <w:jc w:val="both"/>
              <w:rPr>
                <w:rFonts w:eastAsia="Times New Roman"/>
                <w:sz w:val="24"/>
                <w:szCs w:val="24"/>
                <w:lang w:val="lv-LV" w:eastAsia="lv-LV"/>
              </w:rPr>
            </w:pPr>
          </w:p>
          <w:p w14:paraId="2B252771" w14:textId="77777777" w:rsidR="00024FA0" w:rsidRPr="008B1C28" w:rsidRDefault="00024FA0" w:rsidP="00CB05DC">
            <w:pPr>
              <w:shd w:val="clear" w:color="auto" w:fill="FFFFFF" w:themeFill="background1"/>
              <w:jc w:val="both"/>
              <w:rPr>
                <w:rFonts w:eastAsia="Times New Roman"/>
                <w:sz w:val="24"/>
                <w:szCs w:val="24"/>
                <w:lang w:val="lv-LV" w:eastAsia="lv-LV"/>
              </w:rPr>
            </w:pPr>
          </w:p>
          <w:p w14:paraId="2B252772" w14:textId="77777777" w:rsidR="00024FA0" w:rsidRPr="008B1C28" w:rsidRDefault="00024FA0" w:rsidP="00CB05DC">
            <w:pPr>
              <w:shd w:val="clear" w:color="auto" w:fill="FFFFFF" w:themeFill="background1"/>
              <w:jc w:val="both"/>
              <w:rPr>
                <w:rFonts w:eastAsia="Times New Roman"/>
                <w:sz w:val="24"/>
                <w:szCs w:val="24"/>
                <w:lang w:val="lv-LV" w:eastAsia="lv-LV"/>
              </w:rPr>
            </w:pPr>
          </w:p>
          <w:p w14:paraId="2B252773" w14:textId="77777777" w:rsidR="00024FA0" w:rsidRPr="008B1C28" w:rsidRDefault="00024FA0" w:rsidP="00CB05DC">
            <w:pPr>
              <w:shd w:val="clear" w:color="auto" w:fill="FFFFFF" w:themeFill="background1"/>
              <w:jc w:val="both"/>
              <w:rPr>
                <w:rFonts w:eastAsia="Times New Roman"/>
                <w:sz w:val="24"/>
                <w:szCs w:val="24"/>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2B252774" w14:textId="586AD1C4"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piedāvāto risinājumu personu ar valsts noteiktiem braukšanas maksas atvieglojumiem braucienu elektroniskai identifikācijai un uzskaitei. Tika nolemts pakāpeniski veidot Valsts noteikto braukšanas maksas atvieglojumu saņēmēju informācija</w:t>
            </w:r>
            <w:r w:rsidR="008921E8">
              <w:rPr>
                <w:rFonts w:eastAsia="Times New Roman"/>
                <w:sz w:val="24"/>
                <w:szCs w:val="24"/>
                <w:lang w:val="lv-LV" w:eastAsia="lv-LV"/>
              </w:rPr>
              <w:t>s</w:t>
            </w:r>
            <w:r w:rsidRPr="008B1C28">
              <w:rPr>
                <w:rFonts w:eastAsia="Times New Roman"/>
                <w:sz w:val="24"/>
                <w:szCs w:val="24"/>
                <w:lang w:val="lv-LV" w:eastAsia="lv-LV"/>
              </w:rPr>
              <w:t xml:space="preserve"> sistēmu (turpmāk – BMA sistēma), vispirms izveidojot attiecīgu VSIA “Autotransporta direkcija” (turpmāk - Autotransporta direkcija) datubāzi personām piešķirto aktuālo sociālo statusu informācijas uzturēšanai un līdz 2020.gada 31.decembrim ieviest sistēmu pilnā apmērā, tostarp līdz 2019.gada 31.decembrim nosakot braukšanas maksas atvieglojumu saņēmēju elektroniskās identifikācijas risinājumu reģionālās nozīmes transportlīdzekļos. </w:t>
            </w:r>
          </w:p>
          <w:p w14:paraId="2B252775" w14:textId="6835FB7C"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Autotransporta direkcija ir izveidojusi BMA sistēmas datubāzi un tajā notiek datu apmaiņa par personām, kurām pienākas valsts kompensējamie braukšanas maksas atvieglojumi, piešķirto sociālo statusu aktualitāti ar Pilsonības un migrācijas lietu pārvaldi (turpmāk – PMLP), Sabiedrības integrācijas fondu, Valsts bērnu tiesību aizsardzības inspekciju un Veselības un darbspēju ekspertīzes ārstu valsts komisiju.</w:t>
            </w:r>
          </w:p>
          <w:p w14:paraId="2B252776" w14:textId="3DC987E4" w:rsidR="00024FA0" w:rsidRPr="008B1C28" w:rsidRDefault="00024FA0" w:rsidP="00CB05DC">
            <w:pPr>
              <w:shd w:val="clear" w:color="auto" w:fill="FFFFFF" w:themeFill="background1"/>
              <w:spacing w:after="200"/>
              <w:contextualSpacing/>
              <w:jc w:val="both"/>
              <w:rPr>
                <w:sz w:val="24"/>
                <w:szCs w:val="24"/>
                <w:lang w:val="lv-LV"/>
              </w:rPr>
            </w:pPr>
            <w:r w:rsidRPr="008B1C28">
              <w:rPr>
                <w:sz w:val="24"/>
                <w:szCs w:val="24"/>
                <w:shd w:val="clear" w:color="auto" w:fill="FFFFFF"/>
                <w:lang w:val="lv-LV"/>
              </w:rPr>
              <w:t xml:space="preserve">Ir noteikts BMA sistēmas elektroniskās identifikācijas </w:t>
            </w:r>
            <w:r w:rsidRPr="008B1C28">
              <w:rPr>
                <w:sz w:val="24"/>
                <w:szCs w:val="24"/>
                <w:shd w:val="clear" w:color="auto" w:fill="FFFFFF"/>
                <w:lang w:val="lv-LV"/>
              </w:rPr>
              <w:lastRenderedPageBreak/>
              <w:t>risinājums, paredzot, ka BMA sistēmā personu ar braukšanas maksas atvieglojumu identificēšanai tiks izmantotas Personu apliecinoš</w:t>
            </w:r>
            <w:r w:rsidR="008921E8">
              <w:rPr>
                <w:sz w:val="24"/>
                <w:szCs w:val="24"/>
                <w:shd w:val="clear" w:color="auto" w:fill="FFFFFF"/>
                <w:lang w:val="lv-LV"/>
              </w:rPr>
              <w:t>u</w:t>
            </w:r>
            <w:r w:rsidRPr="008B1C28">
              <w:rPr>
                <w:sz w:val="24"/>
                <w:szCs w:val="24"/>
                <w:shd w:val="clear" w:color="auto" w:fill="FFFFFF"/>
                <w:lang w:val="lv-LV"/>
              </w:rPr>
              <w:t xml:space="preserve"> dokumentu likumā minētās personas apliecības (turpmāk - eID kartes). Lai nodrošinātu ieinteresēto un iesaistīto pušu līdzdalību un komunikāciju priekšlikumu izstrādei BMA sistēmas elektroniskā identifikācijas risinājuma noteikšanai un nodrošinātu </w:t>
            </w:r>
            <w:r w:rsidRPr="008B1C28">
              <w:rPr>
                <w:rFonts w:eastAsia="Times New Roman"/>
                <w:sz w:val="24"/>
                <w:szCs w:val="24"/>
                <w:lang w:val="lv-LV"/>
              </w:rPr>
              <w:t>M</w:t>
            </w:r>
            <w:r w:rsidR="00950C91">
              <w:rPr>
                <w:rFonts w:eastAsia="Times New Roman"/>
                <w:sz w:val="24"/>
                <w:szCs w:val="24"/>
                <w:lang w:val="lv-LV"/>
              </w:rPr>
              <w:t>inistru kabineta 2017.gada 27.jūnija</w:t>
            </w:r>
            <w:r w:rsidRPr="008B1C28">
              <w:rPr>
                <w:rFonts w:eastAsia="Times New Roman"/>
                <w:sz w:val="24"/>
                <w:szCs w:val="24"/>
                <w:lang w:val="lv-LV"/>
              </w:rPr>
              <w:t xml:space="preserve"> noteikumu</w:t>
            </w:r>
            <w:r w:rsidRPr="008B1C28">
              <w:rPr>
                <w:sz w:val="24"/>
                <w:szCs w:val="24"/>
                <w:lang w:val="lv-LV"/>
              </w:rPr>
              <w:t xml:space="preserve"> Nr.371 </w:t>
            </w:r>
            <w:r w:rsidR="00950C91">
              <w:rPr>
                <w:sz w:val="24"/>
                <w:szCs w:val="24"/>
                <w:lang w:val="lv-LV"/>
              </w:rPr>
              <w:t xml:space="preserve">“Braukšanas maksas atvieglojumu noteikumi” </w:t>
            </w:r>
            <w:r w:rsidRPr="008B1C28">
              <w:rPr>
                <w:sz w:val="24"/>
                <w:szCs w:val="24"/>
                <w:lang w:val="lv-LV"/>
              </w:rPr>
              <w:t xml:space="preserve">15.punkta, kā arī </w:t>
            </w:r>
            <w:r w:rsidRPr="008B1C28">
              <w:rPr>
                <w:rFonts w:eastAsia="Times New Roman"/>
                <w:sz w:val="24"/>
                <w:szCs w:val="24"/>
                <w:lang w:val="lv-LV"/>
              </w:rPr>
              <w:t>Ministru kabineta 2017.gada 4.aprīļa sēdes protokol</w:t>
            </w:r>
            <w:r w:rsidR="008921E8">
              <w:rPr>
                <w:rFonts w:eastAsia="Times New Roman"/>
                <w:sz w:val="24"/>
                <w:szCs w:val="24"/>
                <w:lang w:val="lv-LV"/>
              </w:rPr>
              <w:t>lēmuma</w:t>
            </w:r>
            <w:r w:rsidRPr="008B1C28">
              <w:rPr>
                <w:rFonts w:eastAsia="Times New Roman"/>
                <w:sz w:val="24"/>
                <w:szCs w:val="24"/>
                <w:lang w:val="lv-LV"/>
              </w:rPr>
              <w:t xml:space="preserve"> </w:t>
            </w:r>
            <w:r w:rsidR="008921E8">
              <w:rPr>
                <w:rFonts w:eastAsia="Times New Roman"/>
                <w:sz w:val="24"/>
                <w:szCs w:val="24"/>
                <w:lang w:val="lv-LV"/>
              </w:rPr>
              <w:t xml:space="preserve">(protokols </w:t>
            </w:r>
            <w:r w:rsidRPr="008B1C28">
              <w:rPr>
                <w:rFonts w:eastAsia="Times New Roman"/>
                <w:sz w:val="24"/>
                <w:szCs w:val="24"/>
                <w:lang w:val="lv-LV"/>
              </w:rPr>
              <w:t>Nr.18 43</w:t>
            </w:r>
            <w:r w:rsidR="008921E8">
              <w:rPr>
                <w:rFonts w:eastAsia="Times New Roman"/>
                <w:sz w:val="24"/>
                <w:szCs w:val="24"/>
                <w:lang w:val="lv-LV"/>
              </w:rPr>
              <w:t>.</w:t>
            </w:r>
            <w:r w:rsidRPr="008B1C28">
              <w:rPr>
                <w:rFonts w:eastAsia="Times New Roman"/>
                <w:sz w:val="24"/>
                <w:szCs w:val="24"/>
                <w:lang w:val="lv-LV"/>
              </w:rPr>
              <w:t>§</w:t>
            </w:r>
            <w:r w:rsidR="008921E8">
              <w:rPr>
                <w:rFonts w:eastAsia="Times New Roman"/>
                <w:sz w:val="24"/>
                <w:szCs w:val="24"/>
                <w:lang w:val="lv-LV"/>
              </w:rPr>
              <w:t>)</w:t>
            </w:r>
            <w:r w:rsidRPr="008B1C28">
              <w:rPr>
                <w:rFonts w:eastAsia="Times New Roman"/>
                <w:sz w:val="24"/>
                <w:szCs w:val="24"/>
                <w:lang w:val="lv-LV"/>
              </w:rPr>
              <w:t xml:space="preserve"> 4.punkta uzdevuma izpildi, Autotransporta direkcija 2019.gada 13.maijā ar </w:t>
            </w:r>
            <w:r w:rsidRPr="008B1C28">
              <w:rPr>
                <w:sz w:val="24"/>
                <w:szCs w:val="24"/>
                <w:lang w:val="lv-LV"/>
              </w:rPr>
              <w:t>rīkojumu 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apvienības APEIRONS un organizācijas SUSTENTO pārstāvji. 2019.gada 29.maija darba grupas sanāksmē konceptuāli tika atbalstīts Autotransporta direkcijas piedāvātais risinājums, kas paredz eID karti kā identifikācijas līdzekli sabiedriskajā transportā, neizslēdzot banku karšu izmantošanu, ja šāds pakalpojums tiks piedāvāts.</w:t>
            </w:r>
          </w:p>
          <w:p w14:paraId="2B252777" w14:textId="776F1B47" w:rsidR="00024FA0" w:rsidRPr="008B1C28" w:rsidRDefault="00024FA0" w:rsidP="00CB05DC">
            <w:pPr>
              <w:shd w:val="clear" w:color="auto" w:fill="FFFFFF" w:themeFill="background1"/>
              <w:spacing w:after="200"/>
              <w:contextualSpacing/>
              <w:jc w:val="both"/>
              <w:rPr>
                <w:sz w:val="24"/>
                <w:szCs w:val="24"/>
                <w:lang w:val="lv-LV"/>
              </w:rPr>
            </w:pPr>
            <w:r w:rsidRPr="008B1C28">
              <w:rPr>
                <w:sz w:val="24"/>
                <w:szCs w:val="24"/>
                <w:lang w:val="lv-LV"/>
              </w:rPr>
              <w:t>Lai nodrošinātu eID kartes izmantošanu kā identifikācijas līdzekli sabiedriskajā transportā, PMLP pieņēma lēmumu papildināt eID kartes elektronisko komponentu ar jaunu funkcionalitāti (aplikāciju) (</w:t>
            </w:r>
            <w:r w:rsidRPr="008B1C28">
              <w:rPr>
                <w:i/>
                <w:sz w:val="24"/>
                <w:szCs w:val="24"/>
                <w:lang w:val="lv-LV"/>
              </w:rPr>
              <w:t>Authorized Identification Application</w:t>
            </w:r>
            <w:r w:rsidRPr="008B1C28">
              <w:rPr>
                <w:sz w:val="24"/>
                <w:szCs w:val="24"/>
                <w:lang w:val="lv-LV"/>
              </w:rPr>
              <w:t xml:space="preserve">). </w:t>
            </w:r>
            <w:r w:rsidRPr="008B1C28">
              <w:rPr>
                <w:iCs/>
                <w:sz w:val="24"/>
                <w:szCs w:val="24"/>
                <w:lang w:val="lv-LV"/>
              </w:rPr>
              <w:t>Jaunā aplikācija paredz iespēju autorizētam terminālim nolasīt datus, kas ierakstīt</w:t>
            </w:r>
            <w:r w:rsidR="008921E8">
              <w:rPr>
                <w:iCs/>
                <w:sz w:val="24"/>
                <w:szCs w:val="24"/>
                <w:lang w:val="lv-LV"/>
              </w:rPr>
              <w:t>i</w:t>
            </w:r>
            <w:r w:rsidRPr="008B1C28">
              <w:rPr>
                <w:iCs/>
                <w:sz w:val="24"/>
                <w:szCs w:val="24"/>
                <w:lang w:val="lv-LV"/>
              </w:rPr>
              <w:t xml:space="preserve"> eID kartes mikroshēmā. Nolasāmajos datos paredzēts ietvert informāciju par personas kodu un eID kartes numuru.</w:t>
            </w:r>
            <w:r w:rsidRPr="008B1C28">
              <w:rPr>
                <w:sz w:val="24"/>
                <w:szCs w:val="24"/>
                <w:lang w:val="lv-LV"/>
              </w:rPr>
              <w:t xml:space="preserve"> Identifikācija tra</w:t>
            </w:r>
            <w:r>
              <w:rPr>
                <w:sz w:val="24"/>
                <w:szCs w:val="24"/>
                <w:lang w:val="lv-LV"/>
              </w:rPr>
              <w:t>n</w:t>
            </w:r>
            <w:r w:rsidRPr="008B1C28">
              <w:rPr>
                <w:sz w:val="24"/>
                <w:szCs w:val="24"/>
                <w:lang w:val="lv-LV"/>
              </w:rPr>
              <w:t>sportlīdzeklī paredzēta</w:t>
            </w:r>
            <w:r>
              <w:rPr>
                <w:sz w:val="24"/>
                <w:szCs w:val="24"/>
                <w:lang w:val="lv-LV"/>
              </w:rPr>
              <w:t>,</w:t>
            </w:r>
            <w:r w:rsidRPr="008B1C28">
              <w:rPr>
                <w:sz w:val="24"/>
                <w:szCs w:val="24"/>
                <w:lang w:val="lv-LV"/>
              </w:rPr>
              <w:t xml:space="preserve"> izmantojot bezkontakta saskarni un neievadot eID kartei specifiskas PIN vai CAN vērtības. </w:t>
            </w:r>
          </w:p>
          <w:p w14:paraId="2B252778" w14:textId="77777777" w:rsidR="00024FA0" w:rsidRPr="008B1C28" w:rsidRDefault="00024FA0" w:rsidP="00CB05DC">
            <w:pPr>
              <w:shd w:val="clear" w:color="auto" w:fill="FFFFFF" w:themeFill="background1"/>
              <w:spacing w:after="200"/>
              <w:contextualSpacing/>
              <w:jc w:val="both"/>
              <w:rPr>
                <w:sz w:val="24"/>
                <w:szCs w:val="24"/>
                <w:lang w:val="lv-LV"/>
              </w:rPr>
            </w:pPr>
          </w:p>
          <w:p w14:paraId="2B252779" w14:textId="355494DD" w:rsidR="00024FA0" w:rsidRPr="008B1C28" w:rsidRDefault="00024FA0" w:rsidP="00CB05DC">
            <w:pPr>
              <w:shd w:val="clear" w:color="auto" w:fill="FFFFFF" w:themeFill="background1"/>
              <w:spacing w:after="200"/>
              <w:contextualSpacing/>
              <w:jc w:val="both"/>
              <w:rPr>
                <w:sz w:val="24"/>
                <w:szCs w:val="24"/>
                <w:lang w:val="lv-LV"/>
              </w:rPr>
            </w:pPr>
            <w:r w:rsidRPr="008B1C28">
              <w:rPr>
                <w:sz w:val="24"/>
                <w:szCs w:val="24"/>
                <w:u w:val="single"/>
                <w:lang w:val="lv-LV"/>
              </w:rPr>
              <w:t>Lai ieviestu izvēlēto braukšanas maksas atvieglojumu saņēmēju elektroniskās identifikācijas</w:t>
            </w:r>
            <w:r w:rsidR="00950C91">
              <w:rPr>
                <w:sz w:val="24"/>
                <w:szCs w:val="24"/>
                <w:u w:val="single"/>
                <w:lang w:val="lv-LV"/>
              </w:rPr>
              <w:t xml:space="preserve"> risinājumu un</w:t>
            </w:r>
            <w:r w:rsidRPr="008B1C28">
              <w:rPr>
                <w:sz w:val="24"/>
                <w:szCs w:val="24"/>
                <w:u w:val="single"/>
                <w:lang w:val="lv-LV"/>
              </w:rPr>
              <w:t xml:space="preserve"> līdzekli valsts noteikto braukšanas maksas atvieglojumu administrēšanai, </w:t>
            </w:r>
            <w:r w:rsidR="008921E8">
              <w:rPr>
                <w:sz w:val="24"/>
                <w:szCs w:val="24"/>
                <w:u w:val="single"/>
                <w:lang w:val="lv-LV"/>
              </w:rPr>
              <w:t xml:space="preserve">MK noteikumos Nr.717 </w:t>
            </w:r>
            <w:r w:rsidRPr="008B1C28">
              <w:rPr>
                <w:sz w:val="24"/>
                <w:szCs w:val="24"/>
                <w:u w:val="single"/>
                <w:lang w:val="lv-LV"/>
              </w:rPr>
              <w:t>tiek veikti</w:t>
            </w:r>
            <w:r w:rsidR="008921E8">
              <w:rPr>
                <w:sz w:val="24"/>
                <w:szCs w:val="24"/>
                <w:u w:val="single"/>
                <w:lang w:val="lv-LV"/>
              </w:rPr>
              <w:t xml:space="preserve"> šādi</w:t>
            </w:r>
            <w:r w:rsidRPr="008B1C28">
              <w:rPr>
                <w:sz w:val="24"/>
                <w:szCs w:val="24"/>
                <w:u w:val="single"/>
                <w:lang w:val="lv-LV"/>
              </w:rPr>
              <w:t xml:space="preserve"> grozījumi</w:t>
            </w:r>
            <w:r w:rsidRPr="008B1C28">
              <w:rPr>
                <w:sz w:val="24"/>
                <w:szCs w:val="24"/>
                <w:lang w:val="lv-LV"/>
              </w:rPr>
              <w:t>:</w:t>
            </w:r>
          </w:p>
          <w:p w14:paraId="2B25277A"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7B" w14:textId="17B2944B"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 xml:space="preserve">Tiek papildināti nosacījumi par jaunu informācijas veidu, kas jānodrošina BMA sistēmā. Tiek noteikts, ka BMA sistēmā būs jānodrošina informācija priekš pārvadātājiem un biļešu tirgotājiem par personu ar valsts noteiktiem braukšanas maksas atvieglojumiem aktuālajiem identifikācijas līdzekļiem un personai piemērojamo braukšanas maksas atvieglojuma veidu, apmēru un citiem atvieglojuma piemērošanas nosacījumiem. Tiek noteikts, ka Autotransporta direkcijai jānodrošina šīs informācijas pieejamība pārvadātājiem un republikas nozīmes pilsētu pašvaldībām ne retāk kā reizi </w:t>
            </w:r>
            <w:r w:rsidRPr="008B1C28">
              <w:rPr>
                <w:rFonts w:eastAsia="Times New Roman"/>
                <w:sz w:val="24"/>
                <w:szCs w:val="24"/>
                <w:lang w:val="lv-LV" w:eastAsia="lv-LV"/>
              </w:rPr>
              <w:lastRenderedPageBreak/>
              <w:t>diennaktī.</w:t>
            </w:r>
            <w:r w:rsidR="00A23614">
              <w:rPr>
                <w:rFonts w:eastAsia="Times New Roman"/>
                <w:sz w:val="24"/>
                <w:szCs w:val="24"/>
                <w:lang w:val="lv-LV" w:eastAsia="lv-LV"/>
              </w:rPr>
              <w:t xml:space="preserve"> Detalizēti par </w:t>
            </w:r>
            <w:r w:rsidR="00A23614" w:rsidRPr="000C43A3">
              <w:rPr>
                <w:sz w:val="24"/>
                <w:szCs w:val="24"/>
                <w:lang w:val="lv-LV"/>
              </w:rPr>
              <w:t>nododamo un saņemamo datu veidu un apjomu, datu apmaiņas kārtību, termiņiem un citiem jautājumiem puses vienojas MK noteikumos Nr.717  paredzētajos sadarbības līgumos.</w:t>
            </w:r>
            <w:r w:rsidR="00A23614">
              <w:rPr>
                <w:rFonts w:eastAsia="Times New Roman"/>
                <w:sz w:val="24"/>
                <w:szCs w:val="24"/>
                <w:lang w:val="lv-LV" w:eastAsia="lv-LV"/>
              </w:rPr>
              <w:t xml:space="preserve"> </w:t>
            </w:r>
          </w:p>
          <w:p w14:paraId="2B25277C"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7D" w14:textId="7C7670BE"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Identificēto braucienu korektas uzskaites nolūkā reģionālās nozīmes maršrutos atbilstoši to braukšanas maksas (tarifu) noteikšanas specifikai, tiek paredzēts, ka</w:t>
            </w:r>
            <w:r w:rsidR="008921E8">
              <w:rPr>
                <w:rFonts w:eastAsia="Times New Roman"/>
                <w:sz w:val="24"/>
                <w:szCs w:val="24"/>
                <w:lang w:val="lv-LV" w:eastAsia="lv-LV"/>
              </w:rPr>
              <w:t>,</w:t>
            </w:r>
            <w:r w:rsidRPr="008B1C28">
              <w:rPr>
                <w:rFonts w:eastAsia="Times New Roman"/>
                <w:sz w:val="24"/>
                <w:szCs w:val="24"/>
                <w:lang w:val="lv-LV" w:eastAsia="lv-LV"/>
              </w:rPr>
              <w:t xml:space="preserve"> nosūtot BMA sistēmai datus par identificētajiem braucieniem, papildus citai nepieciešamajai informācijai jānosūta dati par identificētā brauciena reisa (vilciena) identifikāciju un veikto ceļa posmu (brauciena sākuma un beigu pietura).</w:t>
            </w:r>
          </w:p>
          <w:p w14:paraId="2B25277E"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7F" w14:textId="6C78BDF0"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 xml:space="preserve">Ievērojot </w:t>
            </w:r>
            <w:r w:rsidR="00EF080E">
              <w:rPr>
                <w:rFonts w:eastAsia="Times New Roman"/>
                <w:sz w:val="24"/>
                <w:szCs w:val="24"/>
                <w:lang w:val="lv-LV" w:eastAsia="lv-LV"/>
              </w:rPr>
              <w:t>likumprojektā “Grozījumi Sabiedriskā transporta pakalpojumu likumā” (atbalstīt</w:t>
            </w:r>
            <w:r w:rsidR="000C43A3">
              <w:rPr>
                <w:rFonts w:eastAsia="Times New Roman"/>
                <w:sz w:val="24"/>
                <w:szCs w:val="24"/>
                <w:lang w:val="lv-LV" w:eastAsia="lv-LV"/>
              </w:rPr>
              <w:t>s</w:t>
            </w:r>
            <w:r w:rsidR="00EF080E">
              <w:rPr>
                <w:rFonts w:eastAsia="Times New Roman"/>
                <w:sz w:val="24"/>
                <w:szCs w:val="24"/>
                <w:lang w:val="lv-LV" w:eastAsia="lv-LV"/>
              </w:rPr>
              <w:t xml:space="preserve"> Ministru kabineta 2020.gada 5.maijā sēdē (prot. Nr.30 31.§) un </w:t>
            </w:r>
            <w:r w:rsidR="00A85841">
              <w:rPr>
                <w:rFonts w:eastAsia="Times New Roman"/>
                <w:sz w:val="24"/>
                <w:szCs w:val="24"/>
                <w:lang w:val="lv-LV" w:eastAsia="lv-LV"/>
              </w:rPr>
              <w:t>pieņemt</w:t>
            </w:r>
            <w:r w:rsidR="000C43A3">
              <w:rPr>
                <w:rFonts w:eastAsia="Times New Roman"/>
                <w:sz w:val="24"/>
                <w:szCs w:val="24"/>
                <w:lang w:val="lv-LV" w:eastAsia="lv-LV"/>
              </w:rPr>
              <w:t>s</w:t>
            </w:r>
            <w:r w:rsidR="00A85841">
              <w:rPr>
                <w:rFonts w:eastAsia="Times New Roman"/>
                <w:sz w:val="24"/>
                <w:szCs w:val="24"/>
                <w:lang w:val="lv-LV" w:eastAsia="lv-LV"/>
              </w:rPr>
              <w:t xml:space="preserve"> Saeimā 1.lasījumā 2020.gada 18.jūnijā) </w:t>
            </w:r>
            <w:r w:rsidRPr="008B1C28">
              <w:rPr>
                <w:rFonts w:eastAsia="Times New Roman"/>
                <w:sz w:val="24"/>
                <w:szCs w:val="24"/>
                <w:lang w:val="lv-LV" w:eastAsia="lv-LV"/>
              </w:rPr>
              <w:t xml:space="preserve"> </w:t>
            </w:r>
            <w:r w:rsidR="00A85841">
              <w:rPr>
                <w:rFonts w:eastAsia="Times New Roman"/>
                <w:sz w:val="24"/>
                <w:szCs w:val="24"/>
                <w:lang w:val="lv-LV" w:eastAsia="lv-LV"/>
              </w:rPr>
              <w:t xml:space="preserve">paredzētos </w:t>
            </w:r>
            <w:r w:rsidRPr="008B1C28">
              <w:rPr>
                <w:rFonts w:eastAsia="Times New Roman"/>
                <w:sz w:val="24"/>
                <w:szCs w:val="24"/>
                <w:lang w:val="lv-LV" w:eastAsia="lv-LV"/>
              </w:rPr>
              <w:t>nosacījum</w:t>
            </w:r>
            <w:r>
              <w:rPr>
                <w:rFonts w:eastAsia="Times New Roman"/>
                <w:sz w:val="24"/>
                <w:szCs w:val="24"/>
                <w:lang w:val="lv-LV" w:eastAsia="lv-LV"/>
              </w:rPr>
              <w:t>u</w:t>
            </w:r>
            <w:r w:rsidRPr="008B1C28">
              <w:rPr>
                <w:rFonts w:eastAsia="Times New Roman"/>
                <w:sz w:val="24"/>
                <w:szCs w:val="24"/>
                <w:lang w:val="lv-LV" w:eastAsia="lv-LV"/>
              </w:rPr>
              <w:t>s, tiek paplašināts BMA sistēmas izmantotāju loks, papildinot ar jauniem sistēmas izmantotājiem – pārvadātājiem un biļešu tirgotājiem, kā arī nosakot šo sistēmas dalībnieku lomu BMA sistēmas darbības nodrošināšanā</w:t>
            </w:r>
            <w:r w:rsidR="000C43A3">
              <w:rPr>
                <w:rFonts w:eastAsia="Times New Roman"/>
                <w:sz w:val="24"/>
                <w:szCs w:val="24"/>
                <w:lang w:val="lv-LV" w:eastAsia="lv-LV"/>
              </w:rPr>
              <w:t>,</w:t>
            </w:r>
            <w:r w:rsidRPr="008B1C28">
              <w:rPr>
                <w:rFonts w:eastAsia="Times New Roman"/>
                <w:sz w:val="24"/>
                <w:szCs w:val="24"/>
                <w:lang w:val="lv-LV" w:eastAsia="lv-LV"/>
              </w:rPr>
              <w:t xml:space="preserve"> tostarp attiecībā uz informācijas iesniegšanu; informācijas saņemšanu</w:t>
            </w:r>
            <w:r w:rsidR="00A85841">
              <w:rPr>
                <w:rFonts w:eastAsia="Times New Roman"/>
                <w:sz w:val="24"/>
                <w:szCs w:val="24"/>
                <w:lang w:val="lv-LV" w:eastAsia="lv-LV"/>
              </w:rPr>
              <w:t>, noteikta</w:t>
            </w:r>
            <w:r w:rsidRPr="008B1C28">
              <w:rPr>
                <w:rFonts w:eastAsia="Times New Roman"/>
                <w:sz w:val="24"/>
                <w:szCs w:val="24"/>
                <w:lang w:val="lv-LV" w:eastAsia="lv-LV"/>
              </w:rPr>
              <w:t xml:space="preserve"> nepieciešamīb</w:t>
            </w:r>
            <w:r w:rsidR="00A85841">
              <w:rPr>
                <w:rFonts w:eastAsia="Times New Roman"/>
                <w:sz w:val="24"/>
                <w:szCs w:val="24"/>
                <w:lang w:val="lv-LV" w:eastAsia="lv-LV"/>
              </w:rPr>
              <w:t>a</w:t>
            </w:r>
            <w:r w:rsidRPr="008B1C28">
              <w:rPr>
                <w:rFonts w:eastAsia="Times New Roman"/>
                <w:sz w:val="24"/>
                <w:szCs w:val="24"/>
                <w:lang w:val="lv-LV" w:eastAsia="lv-LV"/>
              </w:rPr>
              <w:t xml:space="preserve"> eID karšu nolasīšanai tehniskajos līdzekļos izmantot PMLP izsniegtu digitālo atslēgu, kā arī </w:t>
            </w:r>
            <w:r w:rsidR="00A85841">
              <w:rPr>
                <w:rFonts w:eastAsia="Times New Roman"/>
                <w:sz w:val="24"/>
                <w:szCs w:val="24"/>
                <w:lang w:val="lv-LV" w:eastAsia="lv-LV"/>
              </w:rPr>
              <w:t xml:space="preserve">reglamentēta </w:t>
            </w:r>
            <w:r w:rsidRPr="008B1C28">
              <w:rPr>
                <w:rFonts w:eastAsia="Times New Roman"/>
                <w:sz w:val="24"/>
                <w:szCs w:val="24"/>
                <w:lang w:val="lv-LV" w:eastAsia="lv-LV"/>
              </w:rPr>
              <w:t>kārtīb</w:t>
            </w:r>
            <w:r w:rsidR="00A85841">
              <w:rPr>
                <w:rFonts w:eastAsia="Times New Roman"/>
                <w:sz w:val="24"/>
                <w:szCs w:val="24"/>
                <w:lang w:val="lv-LV" w:eastAsia="lv-LV"/>
              </w:rPr>
              <w:t>a</w:t>
            </w:r>
            <w:r w:rsidRPr="008B1C28">
              <w:rPr>
                <w:rFonts w:eastAsia="Times New Roman"/>
                <w:sz w:val="24"/>
                <w:szCs w:val="24"/>
                <w:lang w:val="lv-LV" w:eastAsia="lv-LV"/>
              </w:rPr>
              <w:t xml:space="preserve">, kādā nodrošināma piekļuve BMA sistēmai. </w:t>
            </w:r>
          </w:p>
          <w:p w14:paraId="2B252780"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81"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Ievērojot Satiksmes ministrijas, Iekšlietu ministrijas, Autotransporta direkcijas un PMLP sadarbības un veicamo uzdevumu plānu BMA sistēmas elektroniskā identifikācijas līdzekļa - eID kartes – ieviešanā, tiek noteikts, ka:</w:t>
            </w:r>
          </w:p>
          <w:p w14:paraId="2B252782"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 PMLP eID kartes, kurās aktivizēta attiecīga aplikācija personu ar braukšanas maksas atvieglojumiem braucienu identifikācijai, uzsāk izsniegt personām ne vēlāk kā 2020.gada 1.decembrī;</w:t>
            </w:r>
          </w:p>
          <w:p w14:paraId="2B252783" w14:textId="6F1B7FB8"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 xml:space="preserve">- PMLP nodrošina digitālo atslēgu </w:t>
            </w:r>
            <w:r w:rsidR="008921E8">
              <w:rPr>
                <w:rFonts w:eastAsia="Times New Roman"/>
                <w:sz w:val="24"/>
                <w:szCs w:val="24"/>
                <w:lang w:val="lv-LV" w:eastAsia="lv-LV"/>
              </w:rPr>
              <w:t>eID kartes</w:t>
            </w:r>
            <w:r w:rsidRPr="008B1C28">
              <w:rPr>
                <w:rFonts w:eastAsia="Times New Roman"/>
                <w:sz w:val="24"/>
                <w:szCs w:val="24"/>
                <w:lang w:val="lv-LV" w:eastAsia="lv-LV"/>
              </w:rPr>
              <w:t xml:space="preserve"> datu nolasīšanai tehniskajos līdzekļos izsniegšanu</w:t>
            </w:r>
            <w:r w:rsidR="008921E8">
              <w:rPr>
                <w:rFonts w:eastAsia="Times New Roman"/>
                <w:sz w:val="24"/>
                <w:szCs w:val="24"/>
                <w:lang w:val="lv-LV" w:eastAsia="lv-LV"/>
              </w:rPr>
              <w:t>,</w:t>
            </w:r>
            <w:r w:rsidRPr="008B1C28">
              <w:rPr>
                <w:rFonts w:eastAsia="Times New Roman"/>
                <w:sz w:val="24"/>
                <w:szCs w:val="24"/>
                <w:lang w:val="lv-LV" w:eastAsia="lv-LV"/>
              </w:rPr>
              <w:t xml:space="preserve"> sākot ar 2020.gada 1.novembra.</w:t>
            </w:r>
          </w:p>
          <w:p w14:paraId="2B252784"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85" w14:textId="57C98BA8"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 xml:space="preserve">Tiek noteikts termiņš (līdz 2021.gada 31.decembrim) republikas nozīmes pilsētām BMA sistēmas elektroniskā identifikācijas līdzekļa ieviešanai valsts kompensējamo braucienu identifikācijas iespējas nodrošināšanai pilsētas nozīmes maršrutu transportlīdzekļos attiecībā uz to pasažieru braucienu elektroniskās uzskaites sistēmām, kurām saskaņā ar Ministru kabineta 2017.gada 4.aprīļa protokollēmuma </w:t>
            </w:r>
            <w:r w:rsidRPr="008B1C28">
              <w:rPr>
                <w:sz w:val="24"/>
                <w:szCs w:val="24"/>
                <w:lang w:val="lv-LV"/>
              </w:rPr>
              <w:t>(prot. 18 43</w:t>
            </w:r>
            <w:r w:rsidR="008921E8">
              <w:rPr>
                <w:sz w:val="24"/>
                <w:szCs w:val="24"/>
                <w:lang w:val="lv-LV"/>
              </w:rPr>
              <w:t>.</w:t>
            </w:r>
            <w:r w:rsidRPr="008B1C28">
              <w:rPr>
                <w:sz w:val="24"/>
                <w:szCs w:val="24"/>
                <w:lang w:val="lv-LV"/>
              </w:rPr>
              <w:t xml:space="preserve">§) </w:t>
            </w:r>
            <w:r w:rsidRPr="008B1C28">
              <w:rPr>
                <w:rFonts w:eastAsia="Times New Roman"/>
                <w:sz w:val="24"/>
                <w:szCs w:val="24"/>
                <w:lang w:val="lv-LV" w:eastAsia="lv-LV"/>
              </w:rPr>
              <w:t>6.3.punktu un MK noteikumu Nr.371 17.punktu bija jābūt ieviestām līdz 2020.gada 31.decembrim.</w:t>
            </w:r>
          </w:p>
          <w:p w14:paraId="2B252786" w14:textId="77777777"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p>
          <w:p w14:paraId="2B252787" w14:textId="17439676" w:rsidR="00024FA0" w:rsidRPr="008B1C28" w:rsidRDefault="00024FA0" w:rsidP="00CB05DC">
            <w:pPr>
              <w:shd w:val="clear" w:color="auto" w:fill="FFFFFF" w:themeFill="background1"/>
              <w:spacing w:after="200"/>
              <w:contextualSpacing/>
              <w:jc w:val="both"/>
              <w:rPr>
                <w:rFonts w:eastAsia="Times New Roman"/>
                <w:sz w:val="24"/>
                <w:szCs w:val="24"/>
                <w:lang w:val="lv-LV" w:eastAsia="lv-LV"/>
              </w:rPr>
            </w:pPr>
            <w:r w:rsidRPr="008B1C28">
              <w:rPr>
                <w:rFonts w:eastAsia="Times New Roman"/>
                <w:sz w:val="24"/>
                <w:szCs w:val="24"/>
                <w:lang w:val="lv-LV" w:eastAsia="lv-LV"/>
              </w:rPr>
              <w:t>Tiek noteikts pārejas periods (no 2021.gada 1.janvāra līdz 2021.gada 31.decembrim), kura laikā sabiedriskā transporta pakalpojumu sniedzēji un biļešu tirgotāji</w:t>
            </w:r>
            <w:r w:rsidR="008921E8">
              <w:rPr>
                <w:rFonts w:eastAsia="Times New Roman"/>
                <w:sz w:val="24"/>
                <w:szCs w:val="24"/>
                <w:lang w:val="lv-LV" w:eastAsia="lv-LV"/>
              </w:rPr>
              <w:t>,</w:t>
            </w:r>
            <w:r w:rsidRPr="008B1C28">
              <w:rPr>
                <w:rFonts w:eastAsia="Times New Roman"/>
                <w:sz w:val="24"/>
                <w:szCs w:val="24"/>
                <w:lang w:val="lv-LV" w:eastAsia="lv-LV"/>
              </w:rPr>
              <w:t xml:space="preserve"> atbilstoši PMLP nodrošinātajai tehnisk</w:t>
            </w:r>
            <w:r w:rsidR="008921E8">
              <w:rPr>
                <w:rFonts w:eastAsia="Times New Roman"/>
                <w:sz w:val="24"/>
                <w:szCs w:val="24"/>
                <w:lang w:val="lv-LV" w:eastAsia="lv-LV"/>
              </w:rPr>
              <w:t>aj</w:t>
            </w:r>
            <w:r w:rsidRPr="008B1C28">
              <w:rPr>
                <w:rFonts w:eastAsia="Times New Roman"/>
                <w:sz w:val="24"/>
                <w:szCs w:val="24"/>
                <w:lang w:val="lv-LV" w:eastAsia="lv-LV"/>
              </w:rPr>
              <w:t xml:space="preserve">ai dokumentācijai un izpildot PMLP </w:t>
            </w:r>
            <w:r w:rsidRPr="008B1C28">
              <w:rPr>
                <w:rFonts w:eastAsia="Times New Roman"/>
                <w:sz w:val="24"/>
                <w:szCs w:val="24"/>
                <w:lang w:val="lv-LV" w:eastAsia="lv-LV"/>
              </w:rPr>
              <w:lastRenderedPageBreak/>
              <w:t>definētos karšu lasīšanas drošības nosacījumus, varētu izstrādāt un ieviest attiecīgus pilnveidojumus savās nodokļu un citu maksājumu reģistrēšanas ierīcēs un iekārtās, kurām vēl būs jāveic atbilstības novērtējums atbilstoši Valsts ieņēmumu dienesta prasībām, kā arī personas ar braukšanas maksas atvieglojumiem varētu noformēt attiecīgi eID kartes atvieglojumu saņemšanai transportlīdzeklī.</w:t>
            </w:r>
          </w:p>
          <w:p w14:paraId="2B252788" w14:textId="77777777" w:rsidR="00024FA0" w:rsidRPr="008B1C28" w:rsidRDefault="00024FA0" w:rsidP="00CB05DC">
            <w:pPr>
              <w:shd w:val="clear" w:color="auto" w:fill="FFFFFF" w:themeFill="background1"/>
              <w:spacing w:after="200"/>
              <w:contextualSpacing/>
              <w:jc w:val="both"/>
              <w:rPr>
                <w:sz w:val="24"/>
                <w:szCs w:val="24"/>
                <w:lang w:val="lv-LV"/>
              </w:rPr>
            </w:pPr>
          </w:p>
        </w:tc>
      </w:tr>
      <w:tr w:rsidR="00024FA0" w:rsidRPr="008B1C28" w14:paraId="2B25278D" w14:textId="77777777" w:rsidTr="00CB05D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2B25278A"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lastRenderedPageBreak/>
              <w:t xml:space="preserve"> </w:t>
            </w:r>
          </w:p>
        </w:tc>
        <w:tc>
          <w:tcPr>
            <w:tcW w:w="2558" w:type="dxa"/>
            <w:tcBorders>
              <w:top w:val="outset" w:sz="6" w:space="0" w:color="414142"/>
              <w:left w:val="outset" w:sz="6" w:space="0" w:color="414142"/>
              <w:bottom w:val="outset" w:sz="6" w:space="0" w:color="414142"/>
              <w:right w:val="outset" w:sz="6" w:space="0" w:color="414142"/>
            </w:tcBorders>
            <w:hideMark/>
          </w:tcPr>
          <w:p w14:paraId="2B25278B"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2B25278C" w14:textId="77777777" w:rsidR="00024FA0" w:rsidRPr="008B1C28" w:rsidRDefault="00024FA0" w:rsidP="00CB05DC">
            <w:pPr>
              <w:shd w:val="clear" w:color="auto" w:fill="FFFFFF" w:themeFill="background1"/>
              <w:ind w:left="-31"/>
              <w:contextualSpacing/>
              <w:rPr>
                <w:rFonts w:eastAsia="Times New Roman"/>
                <w:sz w:val="24"/>
                <w:szCs w:val="24"/>
                <w:lang w:val="lv-LV" w:eastAsia="lv-LV"/>
              </w:rPr>
            </w:pPr>
            <w:r w:rsidRPr="008B1C28">
              <w:rPr>
                <w:rFonts w:eastAsia="Times New Roman"/>
                <w:sz w:val="24"/>
                <w:szCs w:val="24"/>
                <w:lang w:val="lv-LV" w:eastAsia="lv-LV"/>
              </w:rPr>
              <w:t>Satiksmes ministrija, Autotransporta direkcija.</w:t>
            </w:r>
          </w:p>
        </w:tc>
      </w:tr>
      <w:tr w:rsidR="00024FA0" w:rsidRPr="008B1C28" w14:paraId="2B252791" w14:textId="77777777" w:rsidTr="00CB05DC">
        <w:tc>
          <w:tcPr>
            <w:tcW w:w="411" w:type="dxa"/>
            <w:tcBorders>
              <w:top w:val="outset" w:sz="6" w:space="0" w:color="414142"/>
              <w:left w:val="outset" w:sz="6" w:space="0" w:color="414142"/>
              <w:bottom w:val="outset" w:sz="6" w:space="0" w:color="414142"/>
              <w:right w:val="outset" w:sz="6" w:space="0" w:color="414142"/>
            </w:tcBorders>
            <w:hideMark/>
          </w:tcPr>
          <w:p w14:paraId="2B25278E"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B25278F"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2B252790" w14:textId="38FA5779"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Nav</w:t>
            </w:r>
            <w:r w:rsidR="008921E8">
              <w:rPr>
                <w:sz w:val="24"/>
                <w:szCs w:val="24"/>
                <w:lang w:val="lv-LV"/>
              </w:rPr>
              <w:t>.</w:t>
            </w:r>
            <w:r w:rsidRPr="008B1C28">
              <w:rPr>
                <w:sz w:val="24"/>
                <w:szCs w:val="24"/>
                <w:lang w:val="lv-LV"/>
              </w:rPr>
              <w:t xml:space="preserve"> </w:t>
            </w:r>
          </w:p>
        </w:tc>
      </w:tr>
    </w:tbl>
    <w:p w14:paraId="2B252792" w14:textId="77777777" w:rsidR="00024FA0" w:rsidRPr="008B1C28" w:rsidRDefault="00024FA0" w:rsidP="00024FA0">
      <w:pPr>
        <w:shd w:val="clear" w:color="auto" w:fill="FFFFFF" w:themeFill="background1"/>
        <w:contextualSpacing/>
        <w:rPr>
          <w:rFonts w:eastAsia="Times New Roman"/>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024FA0" w:rsidRPr="00EC6857" w14:paraId="2B252794" w14:textId="77777777" w:rsidTr="00CB05DC">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2B252793" w14:textId="77777777" w:rsidR="00024FA0" w:rsidRPr="008B1C28" w:rsidRDefault="00024FA0" w:rsidP="00CB05DC">
            <w:pPr>
              <w:shd w:val="clear" w:color="auto" w:fill="FFFFFF" w:themeFill="background1"/>
              <w:contextualSpacing/>
              <w:jc w:val="center"/>
              <w:rPr>
                <w:rFonts w:eastAsia="Times New Roman"/>
                <w:sz w:val="24"/>
                <w:szCs w:val="24"/>
                <w:lang w:val="lv-LV" w:eastAsia="lv-LV"/>
              </w:rPr>
            </w:pPr>
            <w:r w:rsidRPr="008B1C28">
              <w:rPr>
                <w:rFonts w:eastAsia="Times New Roman"/>
                <w:b/>
                <w:bCs/>
                <w:sz w:val="24"/>
                <w:szCs w:val="24"/>
                <w:lang w:val="lv-LV" w:eastAsia="lv-LV"/>
              </w:rPr>
              <w:t>II. Tiesību akta projekta ietekme uz sabiedrību, tautsaimniecības attīstību un administratīvo slogu</w:t>
            </w:r>
          </w:p>
        </w:tc>
      </w:tr>
      <w:tr w:rsidR="00024FA0" w:rsidRPr="00EC6857" w14:paraId="2B252799" w14:textId="77777777" w:rsidTr="00CB05DC">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2B252795"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B252796"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2B252797" w14:textId="0CFFA677" w:rsidR="00024FA0" w:rsidRPr="008B1C28" w:rsidRDefault="00024FA0" w:rsidP="00CB05DC">
            <w:pPr>
              <w:shd w:val="clear" w:color="auto" w:fill="FFFFFF" w:themeFill="background1"/>
              <w:ind w:right="201"/>
              <w:jc w:val="both"/>
              <w:rPr>
                <w:sz w:val="24"/>
                <w:szCs w:val="24"/>
                <w:lang w:val="lv-LV"/>
              </w:rPr>
            </w:pPr>
            <w:r w:rsidRPr="008B1C28">
              <w:rPr>
                <w:sz w:val="24"/>
                <w:szCs w:val="24"/>
                <w:lang w:val="lv-LV"/>
              </w:rPr>
              <w:t>Regulējums ietekmēs sabiedriskā transporta pakalpojumu sniedzējus un biļešu tirgotājus, personas, kurām ir tiesības uz valsts kompensējamiem braukšanas maksas atvieglojumiem.</w:t>
            </w:r>
          </w:p>
          <w:p w14:paraId="2B252798" w14:textId="77777777" w:rsidR="00024FA0" w:rsidRPr="008B1C28" w:rsidRDefault="00024FA0" w:rsidP="00CB05DC">
            <w:pPr>
              <w:shd w:val="clear" w:color="auto" w:fill="FFFFFF" w:themeFill="background1"/>
              <w:ind w:right="201"/>
              <w:jc w:val="both"/>
              <w:rPr>
                <w:sz w:val="24"/>
                <w:szCs w:val="24"/>
                <w:lang w:val="lv-LV"/>
              </w:rPr>
            </w:pPr>
          </w:p>
        </w:tc>
      </w:tr>
      <w:tr w:rsidR="00024FA0" w:rsidRPr="008B1C28" w14:paraId="2B25279D" w14:textId="77777777" w:rsidTr="00CB05D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2B25279A"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B25279B"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2B25279C" w14:textId="77777777" w:rsidR="00024FA0" w:rsidRPr="008B1C28" w:rsidRDefault="00024FA0" w:rsidP="00CB05DC">
            <w:pPr>
              <w:pStyle w:val="BodyText"/>
              <w:shd w:val="clear" w:color="auto" w:fill="FFFFFF" w:themeFill="background1"/>
              <w:ind w:right="201"/>
              <w:contextualSpacing/>
              <w:rPr>
                <w:rFonts w:eastAsia="Calibri"/>
                <w:sz w:val="24"/>
                <w:szCs w:val="24"/>
                <w:lang w:eastAsia="en-US"/>
              </w:rPr>
            </w:pPr>
            <w:r w:rsidRPr="008B1C28">
              <w:rPr>
                <w:rFonts w:eastAsia="Calibri"/>
                <w:sz w:val="24"/>
                <w:szCs w:val="24"/>
                <w:lang w:eastAsia="en-US"/>
              </w:rPr>
              <w:t xml:space="preserve">Projekts nerada administratīvo slogu mērķu grupai. </w:t>
            </w:r>
          </w:p>
        </w:tc>
      </w:tr>
      <w:tr w:rsidR="00024FA0" w:rsidRPr="008B1C28" w14:paraId="2B2527A1" w14:textId="77777777" w:rsidTr="00CB05D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2B25279E"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B25279F"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2B2527A0" w14:textId="77777777" w:rsidR="00024FA0" w:rsidRPr="008B1C28" w:rsidRDefault="00024FA0" w:rsidP="00CB05DC">
            <w:pPr>
              <w:pStyle w:val="BodyText"/>
              <w:shd w:val="clear" w:color="auto" w:fill="FFFFFF" w:themeFill="background1"/>
              <w:ind w:right="201"/>
              <w:contextualSpacing/>
              <w:rPr>
                <w:rFonts w:eastAsia="Calibri"/>
                <w:sz w:val="24"/>
                <w:szCs w:val="24"/>
                <w:lang w:eastAsia="en-US"/>
              </w:rPr>
            </w:pPr>
            <w:r w:rsidRPr="008B1C28">
              <w:rPr>
                <w:rFonts w:eastAsia="Calibri"/>
                <w:sz w:val="24"/>
                <w:szCs w:val="24"/>
                <w:lang w:eastAsia="en-US"/>
              </w:rPr>
              <w:t>Projekts šo jomu neskar.</w:t>
            </w:r>
          </w:p>
        </w:tc>
      </w:tr>
      <w:tr w:rsidR="00024FA0" w:rsidRPr="00EC6857" w14:paraId="2B2527A5" w14:textId="77777777" w:rsidTr="00CB05DC">
        <w:trPr>
          <w:trHeight w:val="510"/>
        </w:trPr>
        <w:tc>
          <w:tcPr>
            <w:tcW w:w="270" w:type="dxa"/>
            <w:tcBorders>
              <w:top w:val="outset" w:sz="6" w:space="0" w:color="auto"/>
              <w:left w:val="outset" w:sz="6" w:space="0" w:color="auto"/>
              <w:bottom w:val="outset" w:sz="6" w:space="0" w:color="auto"/>
              <w:right w:val="outset" w:sz="6" w:space="0" w:color="auto"/>
            </w:tcBorders>
          </w:tcPr>
          <w:p w14:paraId="2B2527A2"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B2527A3"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23E3FE7" w14:textId="77777777" w:rsidR="00A85841" w:rsidRPr="00A85841"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Pēc Autotransporta direkcijas aprēķiniem, ieviešot BMA sistēmas elektroniskās identifikācijas risinājumu, viena kases aparāta uzturēšanas izmaksas mēnesī varētu pieaugt par aptuveni 5 EUR :</w:t>
            </w:r>
          </w:p>
          <w:p w14:paraId="19265E22" w14:textId="77777777" w:rsidR="00A85841" w:rsidRPr="00A85841"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 pieņemot, ka 2021.gadā pēc jauno pasūtījuma līgumu ar reģionālās nozīmes autobusu maršrutu pārvadātājiem noslēgšanas tiks izmantoti 1000 autobusi, izmaksas gadā pieaugtu par apmēram 60 000 EUR, kas atbilstoši izsludinātā iepirkuma nosacījumiem būs atsevišķi jākompensē no valsts budžeta. Paredzēts, ka Autotransporta direkcija ar pārvadātājiem slēdz atsevišķu vienošanos, vienojoties par atsevišķu saprātīgo BMA sistēmas ieviešanas un uzturēšanas izdevumu apmaksu;</w:t>
            </w:r>
          </w:p>
          <w:p w14:paraId="6FF5F053" w14:textId="49C22EE8" w:rsidR="00A85841" w:rsidRPr="00A85841"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 vilcienu pārvadājumos plānots izmantot pavisam 100 kases un biļešu automātus, kā arī 150 mobilos kases aparātus, līdz ar to izmaksas gadā varētu pieaug aptuveni par 15 000 – 21</w:t>
            </w:r>
            <w:r w:rsidR="000C43A3">
              <w:rPr>
                <w:rFonts w:eastAsia="Calibri"/>
                <w:sz w:val="24"/>
                <w:szCs w:val="24"/>
                <w:lang w:eastAsia="en-US"/>
              </w:rPr>
              <w:t> </w:t>
            </w:r>
            <w:r w:rsidRPr="00A85841">
              <w:rPr>
                <w:rFonts w:eastAsia="Calibri"/>
                <w:sz w:val="24"/>
                <w:szCs w:val="24"/>
                <w:lang w:eastAsia="en-US"/>
              </w:rPr>
              <w:t>000</w:t>
            </w:r>
            <w:r w:rsidR="000C43A3">
              <w:rPr>
                <w:rFonts w:eastAsia="Calibri"/>
                <w:sz w:val="24"/>
                <w:szCs w:val="24"/>
                <w:lang w:eastAsia="en-US"/>
              </w:rPr>
              <w:t xml:space="preserve"> </w:t>
            </w:r>
            <w:r w:rsidRPr="00A85841">
              <w:rPr>
                <w:rFonts w:eastAsia="Calibri"/>
                <w:sz w:val="24"/>
                <w:szCs w:val="24"/>
                <w:lang w:eastAsia="en-US"/>
              </w:rPr>
              <w:t>EUR, kas atbilstoši sabiedriskā transporta pakalpojumu pasūtījuma līgumam būs jāietver zaudējumu kompensāciju aprēķinos;</w:t>
            </w:r>
          </w:p>
          <w:p w14:paraId="4911A646" w14:textId="77777777" w:rsidR="00A85841" w:rsidRPr="00A85841"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 xml:space="preserve">- autoostu kases – uz kases sistēmu programmēšanu attiecināmās izmaksas esošajā situācijā nav nosakāmas, jo nākotnē paredzēta vienotas biļešu noliktavas ieviešana, kuras ietvaros autoostu kasēs būs nepieciešams ieviest jaunas nodokļu un citu maksājumu reģistrēšanas elektroniskās ierīces atbilstoši nodokļu normatīvo aktu prasībām. Minētās </w:t>
            </w:r>
            <w:r w:rsidRPr="00A85841">
              <w:rPr>
                <w:rFonts w:eastAsia="Calibri"/>
                <w:sz w:val="24"/>
                <w:szCs w:val="24"/>
                <w:lang w:eastAsia="en-US"/>
              </w:rPr>
              <w:lastRenderedPageBreak/>
              <w:t>izmaksas autoostas ietvers pakalpojumu maksās atbilstoši Ministru kabineta 2019.gada 29.oktobra noteikumiem Nr.502 “Autoostu noteikumi”.</w:t>
            </w:r>
          </w:p>
          <w:p w14:paraId="4524AA84" w14:textId="398E698D" w:rsidR="00A85841" w:rsidRPr="00A85841"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Ar kases aparātu un kases sistēmu atbilstības novērtēšanu saistītās izmaksas nozarei tiešā veidā nevar attiecināt tikai uz BMA sistēmas ieviešanu, jo saskaņā ar Finanšu ministrijas virzītajiem grozījumiem Ministru kabineta 2014.gada 11.februāra noteikumos Nr.95 “Nodokļu un citu maksājumu reģistrēšanas elektronisko ierīču un iekārtu lietošanas kārtība” jau trešo reizi nozarei tiek pagarināts termiņš (tiek noteikts līdz 2021.gada 31.decembrim) fiskālās uzraudzības nodrošināšanai noteikto prasību ieviešanai, ievērojot plānoto BMA sistēmas un vienotās biļešu noliktavas sistēmas ieviešanu, tādējādi novēršot pārvadātāju izdevumus, atkārtoti pielāgojot elektroniskās ierīces un iekārtas minēto Ministru kabineta noteikumu prasībām un veicot atbilstības pārbaudi.</w:t>
            </w:r>
          </w:p>
          <w:p w14:paraId="2B2527A4" w14:textId="277415F3" w:rsidR="00024FA0" w:rsidRPr="008B1C28" w:rsidRDefault="00A85841" w:rsidP="00A85841">
            <w:pPr>
              <w:pStyle w:val="BodyText"/>
              <w:shd w:val="clear" w:color="auto" w:fill="FFFFFF" w:themeFill="background1"/>
              <w:ind w:right="201"/>
              <w:contextualSpacing/>
              <w:rPr>
                <w:rFonts w:eastAsia="Calibri"/>
                <w:sz w:val="24"/>
                <w:szCs w:val="24"/>
                <w:lang w:eastAsia="en-US"/>
              </w:rPr>
            </w:pPr>
            <w:r w:rsidRPr="00A85841">
              <w:rPr>
                <w:rFonts w:eastAsia="Calibri"/>
                <w:sz w:val="24"/>
                <w:szCs w:val="24"/>
                <w:lang w:eastAsia="en-US"/>
              </w:rPr>
              <w:t>Republikas nozīmes pilsētu pašvaldībām valsts budžeta finansējums elektronisko sistēmu pilnveidošanas finansēšanai savā kompetencē esošo maršrutu pārvadājumos nav paredzēts.</w:t>
            </w:r>
            <w:r>
              <w:rPr>
                <w:rFonts w:eastAsia="Calibri"/>
                <w:sz w:val="24"/>
                <w:szCs w:val="24"/>
                <w:lang w:eastAsia="en-US"/>
              </w:rPr>
              <w:t xml:space="preserve"> </w:t>
            </w:r>
            <w:r w:rsidR="00024FA0" w:rsidRPr="008B1C28">
              <w:rPr>
                <w:rFonts w:eastAsia="Calibri"/>
                <w:sz w:val="24"/>
                <w:szCs w:val="24"/>
                <w:lang w:eastAsia="en-US"/>
              </w:rPr>
              <w:t>.</w:t>
            </w:r>
          </w:p>
        </w:tc>
      </w:tr>
      <w:tr w:rsidR="00024FA0" w:rsidRPr="008B1C28" w14:paraId="2B2527A9" w14:textId="77777777" w:rsidTr="00CB05D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2B2527A6"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lastRenderedPageBreak/>
              <w:t>5.</w:t>
            </w:r>
          </w:p>
        </w:tc>
        <w:tc>
          <w:tcPr>
            <w:tcW w:w="2702" w:type="dxa"/>
            <w:tcBorders>
              <w:top w:val="outset" w:sz="6" w:space="0" w:color="414142"/>
              <w:left w:val="outset" w:sz="6" w:space="0" w:color="414142"/>
              <w:bottom w:val="outset" w:sz="6" w:space="0" w:color="414142"/>
              <w:right w:val="outset" w:sz="6" w:space="0" w:color="414142"/>
            </w:tcBorders>
            <w:hideMark/>
          </w:tcPr>
          <w:p w14:paraId="2B2527A7"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rFonts w:eastAsia="Times New Roman"/>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2B2527A8" w14:textId="0CD08A03" w:rsidR="00024FA0" w:rsidRPr="008B1C28" w:rsidRDefault="00024FA0" w:rsidP="00CB05DC">
            <w:pPr>
              <w:shd w:val="clear" w:color="auto" w:fill="FFFFFF" w:themeFill="background1"/>
              <w:ind w:right="201"/>
              <w:contextualSpacing/>
              <w:jc w:val="both"/>
              <w:rPr>
                <w:sz w:val="24"/>
                <w:szCs w:val="24"/>
                <w:lang w:val="lv-LV"/>
              </w:rPr>
            </w:pPr>
            <w:r w:rsidRPr="008B1C28">
              <w:rPr>
                <w:sz w:val="24"/>
                <w:szCs w:val="24"/>
                <w:lang w:val="lv-LV"/>
              </w:rPr>
              <w:t>Nav</w:t>
            </w:r>
            <w:r w:rsidR="008921E8">
              <w:rPr>
                <w:sz w:val="24"/>
                <w:szCs w:val="24"/>
                <w:lang w:val="lv-LV"/>
              </w:rPr>
              <w:t>.</w:t>
            </w:r>
          </w:p>
        </w:tc>
      </w:tr>
    </w:tbl>
    <w:p w14:paraId="2B2527AA" w14:textId="77777777" w:rsidR="00024FA0" w:rsidRPr="008B1C28" w:rsidRDefault="00024FA0" w:rsidP="00024FA0">
      <w:pPr>
        <w:shd w:val="clear" w:color="auto" w:fill="FFFFFF" w:themeFill="background1"/>
        <w:contextualSpacing/>
        <w:rPr>
          <w:rFonts w:eastAsia="Times New Roman"/>
          <w:sz w:val="24"/>
          <w:szCs w:val="24"/>
          <w:lang w:val="lv-LV" w:eastAsia="lv-LV"/>
        </w:rPr>
      </w:pPr>
    </w:p>
    <w:tbl>
      <w:tblPr>
        <w:tblpPr w:leftFromText="180" w:rightFromText="180" w:vertAnchor="text" w:tblpX="103"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24FA0" w:rsidRPr="00EC6857" w14:paraId="2B2527AC" w14:textId="77777777" w:rsidTr="00CB05DC">
        <w:tc>
          <w:tcPr>
            <w:tcW w:w="9072" w:type="dxa"/>
            <w:tcBorders>
              <w:top w:val="single" w:sz="4" w:space="0" w:color="auto"/>
              <w:left w:val="single" w:sz="4" w:space="0" w:color="auto"/>
              <w:bottom w:val="single" w:sz="4" w:space="0" w:color="auto"/>
              <w:right w:val="single" w:sz="4" w:space="0" w:color="auto"/>
            </w:tcBorders>
          </w:tcPr>
          <w:p w14:paraId="2B2527AB" w14:textId="77777777" w:rsidR="00024FA0" w:rsidRPr="008B1C28" w:rsidRDefault="00024FA0" w:rsidP="00CB05DC">
            <w:pPr>
              <w:pStyle w:val="ListParagraph"/>
              <w:shd w:val="clear" w:color="auto" w:fill="FFFFFF" w:themeFill="background1"/>
              <w:tabs>
                <w:tab w:val="left" w:pos="317"/>
              </w:tabs>
              <w:ind w:left="0"/>
              <w:jc w:val="center"/>
              <w:rPr>
                <w:b/>
                <w:bCs/>
                <w:sz w:val="24"/>
                <w:szCs w:val="24"/>
                <w:lang w:val="lv-LV" w:eastAsia="ja-JP"/>
              </w:rPr>
            </w:pPr>
            <w:r w:rsidRPr="008B1C28">
              <w:rPr>
                <w:b/>
                <w:bCs/>
                <w:sz w:val="24"/>
                <w:szCs w:val="24"/>
                <w:lang w:val="lv-LV" w:eastAsia="ja-JP"/>
              </w:rPr>
              <w:t>III. Tiesību akta projekta ietekme uz valsts budžetu un pašvaldību budžetiem</w:t>
            </w:r>
          </w:p>
        </w:tc>
      </w:tr>
      <w:tr w:rsidR="00024FA0" w:rsidRPr="008B1C28" w14:paraId="2B2527AE" w14:textId="77777777" w:rsidTr="00CB05DC">
        <w:tc>
          <w:tcPr>
            <w:tcW w:w="9072" w:type="dxa"/>
            <w:tcBorders>
              <w:top w:val="single" w:sz="4" w:space="0" w:color="auto"/>
              <w:left w:val="single" w:sz="4" w:space="0" w:color="auto"/>
              <w:bottom w:val="single" w:sz="4" w:space="0" w:color="auto"/>
              <w:right w:val="single" w:sz="4" w:space="0" w:color="auto"/>
            </w:tcBorders>
            <w:shd w:val="clear" w:color="auto" w:fill="auto"/>
          </w:tcPr>
          <w:p w14:paraId="2B2527AD" w14:textId="2B7AC8F2" w:rsidR="00024FA0" w:rsidRPr="008B1C28" w:rsidRDefault="008921E8" w:rsidP="00CB05DC">
            <w:pPr>
              <w:shd w:val="clear" w:color="auto" w:fill="FFFFFF" w:themeFill="background1"/>
              <w:ind w:right="57"/>
              <w:jc w:val="center"/>
              <w:rPr>
                <w:rFonts w:eastAsia="Times New Roman"/>
                <w:sz w:val="24"/>
                <w:szCs w:val="24"/>
                <w:lang w:val="lv-LV" w:eastAsia="ja-JP"/>
              </w:rPr>
            </w:pPr>
            <w:r>
              <w:rPr>
                <w:rFonts w:eastAsia="Times New Roman"/>
                <w:sz w:val="24"/>
                <w:szCs w:val="24"/>
                <w:lang w:val="lv-LV" w:eastAsia="ja-JP"/>
              </w:rPr>
              <w:t>Projekts šo jomu neskar</w:t>
            </w:r>
            <w:r w:rsidR="00024FA0" w:rsidRPr="008B1C28">
              <w:rPr>
                <w:rFonts w:eastAsia="Times New Roman"/>
                <w:sz w:val="24"/>
                <w:szCs w:val="24"/>
                <w:lang w:val="lv-LV" w:eastAsia="ja-JP"/>
              </w:rPr>
              <w:t>.</w:t>
            </w:r>
          </w:p>
        </w:tc>
      </w:tr>
    </w:tbl>
    <w:p w14:paraId="2B2527AF" w14:textId="77777777" w:rsidR="00024FA0" w:rsidRPr="008B1C28" w:rsidRDefault="00024FA0" w:rsidP="00024FA0">
      <w:pPr>
        <w:shd w:val="clear" w:color="auto" w:fill="FFFFFF" w:themeFill="background1"/>
        <w:contextualSpacing/>
        <w:jc w:val="both"/>
        <w:rPr>
          <w:rFonts w:eastAsia="Times New Roman"/>
          <w:sz w:val="24"/>
          <w:szCs w:val="24"/>
          <w:lang w:val="lv-LV" w:eastAsia="lv-LV"/>
        </w:rPr>
      </w:pPr>
    </w:p>
    <w:p w14:paraId="35A8BB92" w14:textId="77777777" w:rsidR="00A85841" w:rsidRDefault="00A85841" w:rsidP="00A85841">
      <w:pPr>
        <w:shd w:val="clear" w:color="auto" w:fill="FFFFFF" w:themeFill="background1"/>
        <w:contextualSpacing/>
        <w:rPr>
          <w:rFonts w:eastAsia="Times New Roman"/>
          <w:sz w:val="24"/>
          <w:szCs w:val="24"/>
          <w:lang w:val="lv-LV" w:eastAsia="lv-LV"/>
        </w:rPr>
      </w:pPr>
    </w:p>
    <w:tbl>
      <w:tblPr>
        <w:tblW w:w="9213"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26"/>
        <w:gridCol w:w="2972"/>
        <w:gridCol w:w="5615"/>
      </w:tblGrid>
      <w:tr w:rsidR="00A85841" w:rsidRPr="00EC6857" w14:paraId="56FD6DE4" w14:textId="77777777" w:rsidTr="006A1549">
        <w:trPr>
          <w:trHeight w:val="372"/>
        </w:trPr>
        <w:tc>
          <w:tcPr>
            <w:tcW w:w="9213" w:type="dxa"/>
            <w:gridSpan w:val="3"/>
            <w:tcBorders>
              <w:top w:val="outset" w:sz="6" w:space="0" w:color="000000"/>
              <w:left w:val="outset" w:sz="6" w:space="0" w:color="000000"/>
              <w:bottom w:val="outset" w:sz="6" w:space="0" w:color="000000"/>
              <w:right w:val="outset" w:sz="6" w:space="0" w:color="000000"/>
            </w:tcBorders>
            <w:hideMark/>
          </w:tcPr>
          <w:p w14:paraId="2530AA2E" w14:textId="77777777" w:rsidR="00A85841" w:rsidRPr="006A1549" w:rsidRDefault="00A85841" w:rsidP="006A1549">
            <w:pPr>
              <w:tabs>
                <w:tab w:val="left" w:pos="1110"/>
                <w:tab w:val="center" w:pos="4789"/>
              </w:tabs>
              <w:rPr>
                <w:rFonts w:eastAsia="Times New Roman"/>
                <w:b/>
                <w:sz w:val="24"/>
                <w:szCs w:val="24"/>
                <w:lang w:val="lv-LV" w:eastAsia="lv-LV"/>
              </w:rPr>
            </w:pPr>
            <w:r w:rsidRPr="006A1549">
              <w:rPr>
                <w:rFonts w:eastAsia="Times New Roman"/>
                <w:bCs/>
                <w:sz w:val="24"/>
                <w:szCs w:val="24"/>
                <w:lang w:val="lv-LV" w:eastAsia="lv-LV"/>
              </w:rPr>
              <w:tab/>
            </w:r>
            <w:r w:rsidRPr="006A1549">
              <w:rPr>
                <w:rFonts w:eastAsia="Times New Roman"/>
                <w:bCs/>
                <w:sz w:val="24"/>
                <w:szCs w:val="24"/>
                <w:lang w:val="lv-LV" w:eastAsia="lv-LV"/>
              </w:rPr>
              <w:tab/>
            </w:r>
            <w:r w:rsidRPr="006A1549">
              <w:rPr>
                <w:rFonts w:eastAsia="Times New Roman"/>
                <w:b/>
                <w:sz w:val="24"/>
                <w:szCs w:val="24"/>
                <w:lang w:val="lv-LV" w:eastAsia="lv-LV"/>
              </w:rPr>
              <w:t>IV. Tiesību akta projekta ietekme uz spēkā esošo tiesību normu sistēmu</w:t>
            </w:r>
          </w:p>
        </w:tc>
      </w:tr>
      <w:tr w:rsidR="00A85841" w14:paraId="41B181EE" w14:textId="77777777" w:rsidTr="006A1549">
        <w:trPr>
          <w:trHeight w:val="920"/>
        </w:trPr>
        <w:tc>
          <w:tcPr>
            <w:tcW w:w="626" w:type="dxa"/>
            <w:tcBorders>
              <w:top w:val="outset" w:sz="6" w:space="0" w:color="000000"/>
              <w:left w:val="outset" w:sz="6" w:space="0" w:color="000000"/>
              <w:bottom w:val="outset" w:sz="6" w:space="0" w:color="000000"/>
              <w:right w:val="outset" w:sz="6" w:space="0" w:color="000000"/>
            </w:tcBorders>
            <w:hideMark/>
          </w:tcPr>
          <w:p w14:paraId="536DB319" w14:textId="77777777" w:rsidR="00A85841" w:rsidRDefault="00A85841" w:rsidP="006A1549">
            <w:pPr>
              <w:spacing w:before="100" w:beforeAutospacing="1" w:after="100" w:afterAutospacing="1"/>
              <w:jc w:val="both"/>
              <w:rPr>
                <w:rFonts w:eastAsia="Times New Roman"/>
                <w:bCs/>
                <w:sz w:val="24"/>
                <w:szCs w:val="24"/>
                <w:lang w:eastAsia="lv-LV"/>
              </w:rPr>
            </w:pPr>
            <w:r>
              <w:rPr>
                <w:rFonts w:eastAsia="Times New Roman"/>
                <w:bCs/>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hideMark/>
          </w:tcPr>
          <w:p w14:paraId="327C95CF" w14:textId="77777777" w:rsidR="00A85841" w:rsidRDefault="00A85841" w:rsidP="006A1549">
            <w:pPr>
              <w:spacing w:before="100" w:beforeAutospacing="1" w:after="100" w:afterAutospacing="1"/>
              <w:jc w:val="both"/>
              <w:rPr>
                <w:rFonts w:eastAsia="Times New Roman"/>
                <w:bCs/>
                <w:sz w:val="24"/>
                <w:szCs w:val="24"/>
                <w:lang w:eastAsia="lv-LV"/>
              </w:rPr>
            </w:pPr>
            <w:r>
              <w:rPr>
                <w:bCs/>
                <w:sz w:val="24"/>
                <w:szCs w:val="24"/>
              </w:rPr>
              <w:t>Saistītie tiesību aktu projekti</w:t>
            </w:r>
          </w:p>
        </w:tc>
        <w:tc>
          <w:tcPr>
            <w:tcW w:w="5615" w:type="dxa"/>
            <w:tcBorders>
              <w:top w:val="outset" w:sz="6" w:space="0" w:color="000000"/>
              <w:left w:val="outset" w:sz="6" w:space="0" w:color="000000"/>
              <w:bottom w:val="outset" w:sz="6" w:space="0" w:color="000000"/>
              <w:right w:val="outset" w:sz="6" w:space="0" w:color="000000"/>
            </w:tcBorders>
            <w:hideMark/>
          </w:tcPr>
          <w:p w14:paraId="708BE3DD" w14:textId="207BB233" w:rsidR="00A85841" w:rsidRDefault="00A85841" w:rsidP="00A85841">
            <w:pPr>
              <w:ind w:left="57" w:right="109"/>
              <w:jc w:val="both"/>
              <w:rPr>
                <w:sz w:val="24"/>
                <w:szCs w:val="24"/>
              </w:rPr>
            </w:pPr>
            <w:r>
              <w:rPr>
                <w:bCs/>
                <w:sz w:val="24"/>
                <w:szCs w:val="24"/>
              </w:rPr>
              <w:t>Noteikumu projekts tiek virzīts vienlai</w:t>
            </w:r>
            <w:r w:rsidR="000C43A3">
              <w:rPr>
                <w:bCs/>
                <w:sz w:val="24"/>
                <w:szCs w:val="24"/>
              </w:rPr>
              <w:t>kus</w:t>
            </w:r>
            <w:r>
              <w:rPr>
                <w:bCs/>
                <w:sz w:val="24"/>
                <w:szCs w:val="24"/>
              </w:rPr>
              <w:t xml:space="preserve"> ar Ministru kabineta noteikumu projektu “Grozījumi Ministru kabineta 2017.gada 27.jūnija noteikumos Nr.371 “ Braukšanas maksas atvieglojumu noteikumi””.</w:t>
            </w:r>
          </w:p>
        </w:tc>
      </w:tr>
      <w:tr w:rsidR="00A85841" w14:paraId="19991172" w14:textId="77777777" w:rsidTr="006A1549">
        <w:tc>
          <w:tcPr>
            <w:tcW w:w="626" w:type="dxa"/>
            <w:tcBorders>
              <w:top w:val="outset" w:sz="6" w:space="0" w:color="000000"/>
              <w:left w:val="outset" w:sz="6" w:space="0" w:color="000000"/>
              <w:bottom w:val="outset" w:sz="6" w:space="0" w:color="000000"/>
              <w:right w:val="outset" w:sz="6" w:space="0" w:color="000000"/>
            </w:tcBorders>
            <w:hideMark/>
          </w:tcPr>
          <w:p w14:paraId="51D26FD6" w14:textId="77777777" w:rsidR="00A85841" w:rsidRDefault="00A85841" w:rsidP="006A1549">
            <w:pPr>
              <w:ind w:left="57" w:right="57"/>
              <w:jc w:val="both"/>
              <w:rPr>
                <w:rFonts w:eastAsia="Times New Roman"/>
                <w:bCs/>
                <w:sz w:val="24"/>
                <w:szCs w:val="24"/>
                <w:lang w:eastAsia="lv-LV"/>
              </w:rPr>
            </w:pPr>
            <w:r>
              <w:rPr>
                <w:rFonts w:eastAsia="Times New Roman"/>
                <w:bCs/>
                <w:sz w:val="24"/>
                <w:szCs w:val="24"/>
                <w:lang w:eastAsia="lv-LV"/>
              </w:rPr>
              <w:t>2.</w:t>
            </w:r>
          </w:p>
        </w:tc>
        <w:tc>
          <w:tcPr>
            <w:tcW w:w="2972" w:type="dxa"/>
            <w:tcBorders>
              <w:top w:val="outset" w:sz="6" w:space="0" w:color="000000"/>
              <w:left w:val="outset" w:sz="6" w:space="0" w:color="000000"/>
              <w:bottom w:val="outset" w:sz="6" w:space="0" w:color="000000"/>
              <w:right w:val="outset" w:sz="6" w:space="0" w:color="000000"/>
            </w:tcBorders>
            <w:hideMark/>
          </w:tcPr>
          <w:p w14:paraId="11193F8F" w14:textId="77777777" w:rsidR="00A85841" w:rsidRDefault="00A85841" w:rsidP="006A1549">
            <w:pPr>
              <w:ind w:left="57" w:right="57"/>
              <w:jc w:val="both"/>
              <w:rPr>
                <w:rFonts w:eastAsia="Times New Roman"/>
                <w:bCs/>
                <w:sz w:val="24"/>
                <w:szCs w:val="24"/>
                <w:lang w:eastAsia="lv-LV"/>
              </w:rPr>
            </w:pPr>
            <w:r>
              <w:rPr>
                <w:bCs/>
                <w:sz w:val="24"/>
                <w:szCs w:val="24"/>
              </w:rPr>
              <w:t>Atbildīgā institūcija</w:t>
            </w:r>
          </w:p>
        </w:tc>
        <w:tc>
          <w:tcPr>
            <w:tcW w:w="5615" w:type="dxa"/>
            <w:tcBorders>
              <w:top w:val="outset" w:sz="6" w:space="0" w:color="000000"/>
              <w:left w:val="outset" w:sz="6" w:space="0" w:color="000000"/>
              <w:bottom w:val="outset" w:sz="6" w:space="0" w:color="000000"/>
              <w:right w:val="outset" w:sz="6" w:space="0" w:color="000000"/>
            </w:tcBorders>
            <w:hideMark/>
          </w:tcPr>
          <w:p w14:paraId="10A80A1F" w14:textId="77777777" w:rsidR="00A85841" w:rsidRDefault="00A85841" w:rsidP="006A1549">
            <w:pPr>
              <w:ind w:right="57"/>
              <w:jc w:val="both"/>
              <w:rPr>
                <w:rFonts w:eastAsia="Times New Roman"/>
                <w:bCs/>
                <w:sz w:val="24"/>
                <w:szCs w:val="24"/>
                <w:lang w:eastAsia="lv-LV"/>
              </w:rPr>
            </w:pPr>
            <w:r>
              <w:rPr>
                <w:bCs/>
                <w:sz w:val="24"/>
                <w:szCs w:val="24"/>
              </w:rPr>
              <w:t>Satiksmes ministrija.</w:t>
            </w:r>
          </w:p>
        </w:tc>
      </w:tr>
      <w:tr w:rsidR="00A85841" w14:paraId="5999F6CE" w14:textId="77777777" w:rsidTr="006A1549">
        <w:trPr>
          <w:trHeight w:val="348"/>
        </w:trPr>
        <w:tc>
          <w:tcPr>
            <w:tcW w:w="626" w:type="dxa"/>
            <w:tcBorders>
              <w:top w:val="outset" w:sz="6" w:space="0" w:color="000000"/>
              <w:left w:val="outset" w:sz="6" w:space="0" w:color="000000"/>
              <w:bottom w:val="outset" w:sz="6" w:space="0" w:color="000000"/>
              <w:right w:val="outset" w:sz="6" w:space="0" w:color="000000"/>
            </w:tcBorders>
            <w:hideMark/>
          </w:tcPr>
          <w:p w14:paraId="203EEF26" w14:textId="77777777" w:rsidR="00A85841" w:rsidRDefault="00A85841" w:rsidP="006A1549">
            <w:pPr>
              <w:ind w:left="57" w:right="57"/>
              <w:jc w:val="both"/>
              <w:rPr>
                <w:rFonts w:eastAsia="Times New Roman"/>
                <w:bCs/>
                <w:sz w:val="24"/>
                <w:szCs w:val="24"/>
                <w:lang w:eastAsia="lv-LV"/>
              </w:rPr>
            </w:pPr>
            <w:r>
              <w:rPr>
                <w:rFonts w:eastAsia="Times New Roman"/>
                <w:bCs/>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hideMark/>
          </w:tcPr>
          <w:p w14:paraId="29694924" w14:textId="77777777" w:rsidR="00A85841" w:rsidRDefault="00A85841" w:rsidP="006A1549">
            <w:pPr>
              <w:ind w:left="57" w:right="57"/>
              <w:jc w:val="both"/>
              <w:rPr>
                <w:rFonts w:eastAsia="Times New Roman"/>
                <w:bCs/>
                <w:sz w:val="24"/>
                <w:szCs w:val="24"/>
                <w:lang w:eastAsia="lv-LV"/>
              </w:rPr>
            </w:pPr>
            <w:r>
              <w:rPr>
                <w:bCs/>
                <w:sz w:val="24"/>
                <w:szCs w:val="24"/>
              </w:rPr>
              <w:t>Cita informācija</w:t>
            </w:r>
          </w:p>
        </w:tc>
        <w:tc>
          <w:tcPr>
            <w:tcW w:w="5615" w:type="dxa"/>
            <w:tcBorders>
              <w:top w:val="outset" w:sz="6" w:space="0" w:color="000000"/>
              <w:left w:val="outset" w:sz="6" w:space="0" w:color="000000"/>
              <w:bottom w:val="outset" w:sz="6" w:space="0" w:color="000000"/>
              <w:right w:val="outset" w:sz="6" w:space="0" w:color="000000"/>
            </w:tcBorders>
            <w:hideMark/>
          </w:tcPr>
          <w:p w14:paraId="4727B6BB" w14:textId="77777777" w:rsidR="00A85841" w:rsidRDefault="00A85841" w:rsidP="006A1549">
            <w:pPr>
              <w:ind w:left="57" w:right="109"/>
              <w:jc w:val="both"/>
              <w:rPr>
                <w:bCs/>
                <w:iCs/>
                <w:sz w:val="24"/>
                <w:szCs w:val="24"/>
                <w:lang w:eastAsia="lv-LV"/>
              </w:rPr>
            </w:pPr>
            <w:r>
              <w:rPr>
                <w:sz w:val="24"/>
                <w:szCs w:val="24"/>
              </w:rPr>
              <w:t>Nav.</w:t>
            </w:r>
          </w:p>
        </w:tc>
      </w:tr>
    </w:tbl>
    <w:p w14:paraId="2B2527B0" w14:textId="77777777" w:rsidR="00024FA0" w:rsidRDefault="00024FA0" w:rsidP="00024FA0">
      <w:pPr>
        <w:shd w:val="clear" w:color="auto" w:fill="FFFFFF" w:themeFill="background1"/>
        <w:contextualSpacing/>
        <w:rPr>
          <w:rFonts w:eastAsia="Times New Roman"/>
          <w:sz w:val="24"/>
          <w:szCs w:val="24"/>
          <w:lang w:val="lv-LV" w:eastAsia="lv-LV"/>
        </w:rPr>
      </w:pPr>
    </w:p>
    <w:p w14:paraId="2B2527B5" w14:textId="75B33FC7" w:rsidR="00024FA0" w:rsidRPr="008B1C28" w:rsidRDefault="00A85841" w:rsidP="00024FA0">
      <w:pPr>
        <w:shd w:val="clear" w:color="auto" w:fill="FFFFFF" w:themeFill="background1"/>
        <w:contextualSpacing/>
        <w:rPr>
          <w:rFonts w:eastAsia="Times New Roman"/>
          <w:sz w:val="24"/>
          <w:szCs w:val="24"/>
          <w:lang w:val="lv-LV" w:eastAsia="lv-LV"/>
        </w:rPr>
      </w:pPr>
      <w:r>
        <w:rPr>
          <w:rFonts w:eastAsia="Times New Roman"/>
          <w:b/>
          <w:bCs/>
          <w:sz w:val="24"/>
          <w:szCs w:val="24"/>
          <w:lang w:val="lv-LV" w:eastAsia="lv-LV"/>
        </w:rPr>
        <w:t xml:space="preserve"> </w:t>
      </w: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024FA0" w:rsidRPr="008B1C28" w14:paraId="2B2527B7" w14:textId="77777777" w:rsidTr="00CB05DC">
        <w:trPr>
          <w:trHeight w:val="498"/>
        </w:trPr>
        <w:tc>
          <w:tcPr>
            <w:tcW w:w="0" w:type="auto"/>
            <w:tcBorders>
              <w:top w:val="outset" w:sz="6" w:space="0" w:color="414142"/>
              <w:left w:val="outset" w:sz="6" w:space="0" w:color="414142"/>
              <w:bottom w:val="outset" w:sz="6" w:space="0" w:color="414142"/>
              <w:right w:val="outset" w:sz="6" w:space="0" w:color="414142"/>
            </w:tcBorders>
            <w:hideMark/>
          </w:tcPr>
          <w:p w14:paraId="2B2527B6" w14:textId="77777777" w:rsidR="00024FA0" w:rsidRPr="008B1C28" w:rsidRDefault="00024FA0" w:rsidP="00CB05DC">
            <w:pPr>
              <w:shd w:val="clear" w:color="auto" w:fill="FFFFFF" w:themeFill="background1"/>
              <w:contextualSpacing/>
              <w:jc w:val="center"/>
              <w:rPr>
                <w:rFonts w:eastAsia="Times New Roman"/>
                <w:sz w:val="24"/>
                <w:szCs w:val="24"/>
                <w:lang w:val="lv-LV" w:eastAsia="lv-LV"/>
              </w:rPr>
            </w:pPr>
            <w:r w:rsidRPr="008B1C28">
              <w:rPr>
                <w:b/>
                <w:sz w:val="24"/>
                <w:szCs w:val="24"/>
                <w:lang w:val="lv-LV"/>
              </w:rPr>
              <w:t>V. Tiesību akta projekta atbilstība Latvijas Republikas starptautiskajām saistībām</w:t>
            </w:r>
          </w:p>
        </w:tc>
      </w:tr>
      <w:tr w:rsidR="00024FA0" w:rsidRPr="008B1C28" w14:paraId="2B2527B9" w14:textId="77777777" w:rsidTr="00CB05DC">
        <w:tc>
          <w:tcPr>
            <w:tcW w:w="5000" w:type="pct"/>
            <w:tcBorders>
              <w:top w:val="outset" w:sz="6" w:space="0" w:color="414142"/>
              <w:left w:val="outset" w:sz="6" w:space="0" w:color="414142"/>
              <w:bottom w:val="outset" w:sz="6" w:space="0" w:color="414142"/>
              <w:right w:val="outset" w:sz="6" w:space="0" w:color="414142"/>
            </w:tcBorders>
          </w:tcPr>
          <w:p w14:paraId="2B2527B8" w14:textId="77777777" w:rsidR="00024FA0" w:rsidRPr="008B1C28" w:rsidRDefault="00024FA0" w:rsidP="00CB05DC">
            <w:pPr>
              <w:shd w:val="clear" w:color="auto" w:fill="FFFFFF" w:themeFill="background1"/>
              <w:contextualSpacing/>
              <w:jc w:val="center"/>
              <w:rPr>
                <w:rFonts w:eastAsia="Times New Roman"/>
                <w:sz w:val="24"/>
                <w:szCs w:val="24"/>
                <w:lang w:val="lv-LV" w:eastAsia="lv-LV"/>
              </w:rPr>
            </w:pPr>
            <w:r w:rsidRPr="008B1C28">
              <w:rPr>
                <w:rFonts w:eastAsia="Times New Roman"/>
                <w:sz w:val="24"/>
                <w:szCs w:val="24"/>
                <w:lang w:val="lv-LV" w:eastAsia="lv-LV"/>
              </w:rPr>
              <w:t>Projekts šo jomu neskar.</w:t>
            </w:r>
          </w:p>
        </w:tc>
      </w:tr>
    </w:tbl>
    <w:p w14:paraId="2B2527BA" w14:textId="77777777" w:rsidR="00024FA0" w:rsidRPr="008B1C28" w:rsidRDefault="00024FA0" w:rsidP="00024FA0">
      <w:pPr>
        <w:shd w:val="clear" w:color="auto" w:fill="FFFFFF" w:themeFill="background1"/>
        <w:contextualSpacing/>
        <w:rPr>
          <w:sz w:val="24"/>
          <w:szCs w:val="24"/>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024FA0" w:rsidRPr="00EC6857" w14:paraId="2B2527BC" w14:textId="77777777" w:rsidTr="00CB05DC">
        <w:trPr>
          <w:trHeight w:val="421"/>
        </w:trPr>
        <w:tc>
          <w:tcPr>
            <w:tcW w:w="9211" w:type="dxa"/>
            <w:gridSpan w:val="3"/>
            <w:tcBorders>
              <w:top w:val="single" w:sz="2" w:space="0" w:color="auto"/>
            </w:tcBorders>
            <w:vAlign w:val="center"/>
          </w:tcPr>
          <w:p w14:paraId="2B2527BB" w14:textId="77777777" w:rsidR="00024FA0" w:rsidRPr="008B1C28" w:rsidRDefault="00024FA0" w:rsidP="00CB05DC">
            <w:pPr>
              <w:shd w:val="clear" w:color="auto" w:fill="FFFFFF" w:themeFill="background1"/>
              <w:ind w:left="57" w:right="57"/>
              <w:contextualSpacing/>
              <w:jc w:val="center"/>
              <w:rPr>
                <w:rFonts w:eastAsia="Times New Roman"/>
                <w:sz w:val="24"/>
                <w:szCs w:val="24"/>
                <w:lang w:val="lv-LV"/>
              </w:rPr>
            </w:pPr>
            <w:r w:rsidRPr="008B1C28">
              <w:rPr>
                <w:rFonts w:eastAsia="Times New Roman"/>
                <w:b/>
                <w:sz w:val="24"/>
                <w:szCs w:val="24"/>
                <w:lang w:val="lv-LV"/>
              </w:rPr>
              <w:t>VI. Sabiedrības līdzdalība un komunikācijas aktivitātes</w:t>
            </w:r>
          </w:p>
        </w:tc>
      </w:tr>
      <w:tr w:rsidR="00024FA0" w:rsidRPr="00EC6857" w14:paraId="2B2527C0" w14:textId="77777777" w:rsidTr="00CB05DC">
        <w:trPr>
          <w:trHeight w:val="553"/>
        </w:trPr>
        <w:tc>
          <w:tcPr>
            <w:tcW w:w="312" w:type="dxa"/>
          </w:tcPr>
          <w:p w14:paraId="2B2527BD" w14:textId="77777777" w:rsidR="00024FA0" w:rsidRPr="008B1C28" w:rsidRDefault="00024FA0" w:rsidP="00CB05DC">
            <w:pPr>
              <w:shd w:val="clear" w:color="auto" w:fill="FFFFFF" w:themeFill="background1"/>
              <w:ind w:left="57" w:right="57"/>
              <w:contextualSpacing/>
              <w:jc w:val="both"/>
              <w:rPr>
                <w:sz w:val="24"/>
                <w:szCs w:val="24"/>
                <w:lang w:val="lv-LV"/>
              </w:rPr>
            </w:pPr>
            <w:r w:rsidRPr="008B1C28">
              <w:rPr>
                <w:sz w:val="24"/>
                <w:szCs w:val="24"/>
                <w:lang w:val="lv-LV"/>
              </w:rPr>
              <w:t>1.</w:t>
            </w:r>
          </w:p>
        </w:tc>
        <w:tc>
          <w:tcPr>
            <w:tcW w:w="2665" w:type="dxa"/>
          </w:tcPr>
          <w:p w14:paraId="2B2527BE" w14:textId="77777777" w:rsidR="00024FA0" w:rsidRPr="008B1C28" w:rsidRDefault="00024FA0" w:rsidP="00CB05DC">
            <w:pPr>
              <w:shd w:val="clear" w:color="auto" w:fill="FFFFFF" w:themeFill="background1"/>
              <w:tabs>
                <w:tab w:val="left" w:pos="170"/>
              </w:tabs>
              <w:ind w:left="57" w:right="57"/>
              <w:contextualSpacing/>
              <w:rPr>
                <w:rFonts w:eastAsia="PMingLiU"/>
                <w:sz w:val="24"/>
                <w:szCs w:val="24"/>
                <w:lang w:val="lv-LV" w:eastAsia="ja-JP"/>
              </w:rPr>
            </w:pPr>
            <w:r w:rsidRPr="008B1C28">
              <w:rPr>
                <w:rFonts w:eastAsia="PMingLiU"/>
                <w:sz w:val="24"/>
                <w:szCs w:val="24"/>
                <w:lang w:val="lv-LV" w:eastAsia="ja-JP"/>
              </w:rPr>
              <w:t>Plānotās sabiedrības līdzdalības un komunikācijas aktivitātes saistībā ar projektu</w:t>
            </w:r>
          </w:p>
        </w:tc>
        <w:tc>
          <w:tcPr>
            <w:tcW w:w="6234" w:type="dxa"/>
          </w:tcPr>
          <w:p w14:paraId="2B2527BF" w14:textId="77777777" w:rsidR="00024FA0" w:rsidRPr="008B1C28" w:rsidRDefault="00024FA0" w:rsidP="00CB05DC">
            <w:pPr>
              <w:shd w:val="clear" w:color="auto" w:fill="FFFFFF" w:themeFill="background1"/>
              <w:ind w:right="113"/>
              <w:contextualSpacing/>
              <w:jc w:val="both"/>
              <w:rPr>
                <w:rFonts w:eastAsia="Times New Roman"/>
                <w:sz w:val="24"/>
                <w:szCs w:val="24"/>
                <w:highlight w:val="yellow"/>
                <w:lang w:val="lv-LV" w:eastAsia="ja-JP"/>
              </w:rPr>
            </w:pPr>
            <w:r w:rsidRPr="008B1C28">
              <w:rPr>
                <w:rFonts w:eastAsia="Times New Roman"/>
                <w:sz w:val="24"/>
                <w:szCs w:val="24"/>
                <w:lang w:val="lv-LV" w:eastAsia="lv-LV"/>
              </w:rPr>
              <w:t>Atbilstoši Ministru kabineta 2009.gada 25.augusta noteikumu Nr.970 „Sabiedrības līdzdalības kārtība attīstības plānošanas procesā” 7.4.</w:t>
            </w:r>
            <w:r w:rsidRPr="008B1C28">
              <w:rPr>
                <w:rFonts w:eastAsia="Times New Roman"/>
                <w:sz w:val="24"/>
                <w:szCs w:val="24"/>
                <w:vertAlign w:val="superscript"/>
                <w:lang w:val="lv-LV" w:eastAsia="lv-LV"/>
              </w:rPr>
              <w:t>1</w:t>
            </w:r>
            <w:r w:rsidRPr="008B1C28">
              <w:rPr>
                <w:rFonts w:eastAsia="Times New Roman"/>
                <w:sz w:val="24"/>
                <w:szCs w:val="24"/>
                <w:lang w:val="lv-LV" w:eastAsia="lv-LV"/>
              </w:rPr>
              <w:t xml:space="preserve"> apakšpunktam sabiedrībai tika dota iespēja rakstiski sniegt viedokli par noteikumu projektu tā izstrādes stadijā.</w:t>
            </w:r>
          </w:p>
        </w:tc>
      </w:tr>
      <w:tr w:rsidR="00024FA0" w:rsidRPr="00EC6857" w14:paraId="2B2527C6" w14:textId="77777777" w:rsidTr="00CB05DC">
        <w:trPr>
          <w:trHeight w:val="339"/>
        </w:trPr>
        <w:tc>
          <w:tcPr>
            <w:tcW w:w="312" w:type="dxa"/>
          </w:tcPr>
          <w:p w14:paraId="2B2527C1" w14:textId="77777777" w:rsidR="00024FA0" w:rsidRPr="008B1C28" w:rsidRDefault="00024FA0" w:rsidP="00CB05DC">
            <w:pPr>
              <w:shd w:val="clear" w:color="auto" w:fill="FFFFFF" w:themeFill="background1"/>
              <w:ind w:left="57" w:right="57"/>
              <w:contextualSpacing/>
              <w:jc w:val="both"/>
              <w:rPr>
                <w:sz w:val="24"/>
                <w:szCs w:val="24"/>
                <w:lang w:val="lv-LV"/>
              </w:rPr>
            </w:pPr>
            <w:r w:rsidRPr="008B1C28">
              <w:rPr>
                <w:sz w:val="24"/>
                <w:szCs w:val="24"/>
                <w:lang w:val="lv-LV"/>
              </w:rPr>
              <w:t>2.</w:t>
            </w:r>
          </w:p>
        </w:tc>
        <w:tc>
          <w:tcPr>
            <w:tcW w:w="2665" w:type="dxa"/>
          </w:tcPr>
          <w:p w14:paraId="2B2527C2" w14:textId="77777777" w:rsidR="00024FA0" w:rsidRPr="008B1C28" w:rsidRDefault="00024FA0" w:rsidP="00CB05DC">
            <w:pPr>
              <w:shd w:val="clear" w:color="auto" w:fill="FFFFFF" w:themeFill="background1"/>
              <w:ind w:left="57" w:right="57"/>
              <w:contextualSpacing/>
              <w:rPr>
                <w:rFonts w:eastAsia="PMingLiU"/>
                <w:sz w:val="24"/>
                <w:szCs w:val="24"/>
                <w:lang w:val="lv-LV" w:eastAsia="ja-JP"/>
              </w:rPr>
            </w:pPr>
            <w:r w:rsidRPr="008B1C28">
              <w:rPr>
                <w:rFonts w:eastAsia="PMingLiU"/>
                <w:sz w:val="24"/>
                <w:szCs w:val="24"/>
                <w:lang w:val="lv-LV" w:eastAsia="ja-JP"/>
              </w:rPr>
              <w:t>Sabiedrības līdzdalība projekta izstrādē</w:t>
            </w:r>
          </w:p>
        </w:tc>
        <w:tc>
          <w:tcPr>
            <w:tcW w:w="6234" w:type="dxa"/>
          </w:tcPr>
          <w:p w14:paraId="2B2527C3" w14:textId="41EEE3C7" w:rsidR="00024FA0" w:rsidRDefault="00024FA0" w:rsidP="00CB05DC">
            <w:pPr>
              <w:shd w:val="clear" w:color="auto" w:fill="FFFFFF" w:themeFill="background1"/>
              <w:ind w:right="113"/>
              <w:contextualSpacing/>
              <w:jc w:val="both"/>
              <w:rPr>
                <w:sz w:val="24"/>
                <w:szCs w:val="24"/>
                <w:lang w:val="lv-LV"/>
              </w:rPr>
            </w:pPr>
            <w:r w:rsidRPr="008B1C28">
              <w:rPr>
                <w:sz w:val="24"/>
                <w:szCs w:val="24"/>
                <w:shd w:val="clear" w:color="auto" w:fill="FFFFFF"/>
                <w:lang w:val="lv-LV"/>
              </w:rPr>
              <w:t xml:space="preserve">Lai nodrošinātu ieinteresēto un iesaistīto pušu līdzdalību un komunikāciju priekšlikumu izstrādei BMA sistēmas elektroniskā identifikācijas risinājuma noteikšanai un nodrošinātu </w:t>
            </w:r>
            <w:r w:rsidRPr="008B1C28">
              <w:rPr>
                <w:rFonts w:eastAsia="Times New Roman"/>
                <w:sz w:val="24"/>
                <w:szCs w:val="24"/>
                <w:lang w:val="lv-LV"/>
              </w:rPr>
              <w:t>MK noteikumu</w:t>
            </w:r>
            <w:r w:rsidRPr="008B1C28">
              <w:rPr>
                <w:sz w:val="24"/>
                <w:szCs w:val="24"/>
                <w:lang w:val="lv-LV"/>
              </w:rPr>
              <w:t xml:space="preserve"> Nr.371 15.punkta, kā arī </w:t>
            </w:r>
            <w:r w:rsidRPr="008B1C28">
              <w:rPr>
                <w:rFonts w:eastAsia="Times New Roman"/>
                <w:sz w:val="24"/>
                <w:szCs w:val="24"/>
                <w:lang w:val="lv-LV"/>
              </w:rPr>
              <w:t xml:space="preserve">Ministru </w:t>
            </w:r>
            <w:r w:rsidRPr="008B1C28">
              <w:rPr>
                <w:rFonts w:eastAsia="Times New Roman"/>
                <w:sz w:val="24"/>
                <w:szCs w:val="24"/>
                <w:lang w:val="lv-LV"/>
              </w:rPr>
              <w:lastRenderedPageBreak/>
              <w:t>kabineta 2017.gada 4.aprīļa sēdes protokol</w:t>
            </w:r>
            <w:r w:rsidR="001E0D77">
              <w:rPr>
                <w:rFonts w:eastAsia="Times New Roman"/>
                <w:sz w:val="24"/>
                <w:szCs w:val="24"/>
                <w:lang w:val="lv-LV"/>
              </w:rPr>
              <w:t>lēmuma (protokols</w:t>
            </w:r>
            <w:r w:rsidRPr="008B1C28">
              <w:rPr>
                <w:rFonts w:eastAsia="Times New Roman"/>
                <w:sz w:val="24"/>
                <w:szCs w:val="24"/>
                <w:lang w:val="lv-LV"/>
              </w:rPr>
              <w:t xml:space="preserve"> Nr.18 43</w:t>
            </w:r>
            <w:r w:rsidR="001E0D77">
              <w:rPr>
                <w:rFonts w:eastAsia="Times New Roman"/>
                <w:sz w:val="24"/>
                <w:szCs w:val="24"/>
                <w:lang w:val="lv-LV"/>
              </w:rPr>
              <w:t>.</w:t>
            </w:r>
            <w:r w:rsidRPr="008B1C28">
              <w:rPr>
                <w:rFonts w:eastAsia="Times New Roman"/>
                <w:sz w:val="24"/>
                <w:szCs w:val="24"/>
                <w:lang w:val="lv-LV"/>
              </w:rPr>
              <w:t>§</w:t>
            </w:r>
            <w:r w:rsidR="001E0D77">
              <w:rPr>
                <w:rFonts w:eastAsia="Times New Roman"/>
                <w:sz w:val="24"/>
                <w:szCs w:val="24"/>
                <w:lang w:val="lv-LV"/>
              </w:rPr>
              <w:t>)</w:t>
            </w:r>
            <w:r w:rsidRPr="008B1C28">
              <w:rPr>
                <w:rFonts w:eastAsia="Times New Roman"/>
                <w:sz w:val="24"/>
                <w:szCs w:val="24"/>
                <w:lang w:val="lv-LV"/>
              </w:rPr>
              <w:t xml:space="preserve"> 4.punkta uzdevuma izpildi, Autotransporta direkcija 2019.gada 13.maijā ar </w:t>
            </w:r>
            <w:r w:rsidRPr="008B1C28">
              <w:rPr>
                <w:sz w:val="24"/>
                <w:szCs w:val="24"/>
                <w:lang w:val="lv-LV"/>
              </w:rPr>
              <w:t xml:space="preserve">rīkojumu 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w:t>
            </w:r>
            <w:r w:rsidR="001E0D77">
              <w:rPr>
                <w:sz w:val="24"/>
                <w:szCs w:val="24"/>
                <w:lang w:val="lv-LV"/>
              </w:rPr>
              <w:t>n</w:t>
            </w:r>
            <w:r w:rsidR="001E0D77" w:rsidRPr="000C43A3">
              <w:rPr>
                <w:sz w:val="24"/>
                <w:szCs w:val="24"/>
                <w:lang w:val="lv-LV"/>
              </w:rPr>
              <w:t>odibinājum</w:t>
            </w:r>
            <w:r w:rsidR="001E0D77">
              <w:rPr>
                <w:sz w:val="24"/>
                <w:szCs w:val="24"/>
                <w:lang w:val="lv-LV"/>
              </w:rPr>
              <w:t>a</w:t>
            </w:r>
            <w:r w:rsidR="001E0D77" w:rsidRPr="000C43A3">
              <w:rPr>
                <w:sz w:val="24"/>
                <w:szCs w:val="24"/>
                <w:lang w:val="lv-LV"/>
              </w:rPr>
              <w:t xml:space="preserve"> </w:t>
            </w:r>
            <w:r w:rsidR="001E0D77">
              <w:rPr>
                <w:sz w:val="24"/>
                <w:szCs w:val="24"/>
                <w:lang w:val="lv-LV"/>
              </w:rPr>
              <w:t>“</w:t>
            </w:r>
            <w:r w:rsidR="001E0D77" w:rsidRPr="000C43A3">
              <w:rPr>
                <w:sz w:val="24"/>
                <w:szCs w:val="24"/>
                <w:lang w:val="lv-LV"/>
              </w:rPr>
              <w:t>Invalīdu un viņu draugu apvienība "APEIRONS"</w:t>
            </w:r>
            <w:r w:rsidR="001E0D77">
              <w:rPr>
                <w:sz w:val="24"/>
                <w:szCs w:val="24"/>
                <w:lang w:val="lv-LV"/>
              </w:rPr>
              <w:t xml:space="preserve">” </w:t>
            </w:r>
            <w:r w:rsidRPr="008B1C28">
              <w:rPr>
                <w:sz w:val="24"/>
                <w:szCs w:val="24"/>
                <w:lang w:val="lv-LV"/>
              </w:rPr>
              <w:t xml:space="preserve">un </w:t>
            </w:r>
            <w:r w:rsidR="001E0D77">
              <w:rPr>
                <w:sz w:val="24"/>
                <w:szCs w:val="24"/>
                <w:lang w:val="lv-LV"/>
              </w:rPr>
              <w:t>biedrības “</w:t>
            </w:r>
            <w:r w:rsidR="001E0D77" w:rsidRPr="000C43A3">
              <w:rPr>
                <w:sz w:val="24"/>
                <w:szCs w:val="24"/>
                <w:lang w:val="lv-LV"/>
              </w:rPr>
              <w:t>Latvijas Cilvēku ar īpašām vajadzībām sadarbības organizācija "SUSTENTO"”</w:t>
            </w:r>
            <w:r w:rsidRPr="008B1C28">
              <w:rPr>
                <w:sz w:val="24"/>
                <w:szCs w:val="24"/>
                <w:lang w:val="lv-LV"/>
              </w:rPr>
              <w:t xml:space="preserve"> pārstāvji</w:t>
            </w:r>
            <w:r w:rsidR="00526A25">
              <w:rPr>
                <w:sz w:val="24"/>
                <w:szCs w:val="24"/>
                <w:lang w:val="lv-LV"/>
              </w:rPr>
              <w:t>.</w:t>
            </w:r>
          </w:p>
          <w:p w14:paraId="2B2527C4" w14:textId="77777777" w:rsidR="00526A25" w:rsidRDefault="00526A25" w:rsidP="00CB05DC">
            <w:pPr>
              <w:shd w:val="clear" w:color="auto" w:fill="FFFFFF" w:themeFill="background1"/>
              <w:ind w:right="113"/>
              <w:contextualSpacing/>
              <w:jc w:val="both"/>
              <w:rPr>
                <w:sz w:val="24"/>
                <w:szCs w:val="24"/>
                <w:lang w:val="lv-LV"/>
              </w:rPr>
            </w:pPr>
          </w:p>
          <w:p w14:paraId="2B2527C5" w14:textId="4E8F3D88" w:rsidR="00526A25" w:rsidRPr="008B1C28" w:rsidRDefault="00526A25" w:rsidP="00C84D30">
            <w:pPr>
              <w:shd w:val="clear" w:color="auto" w:fill="FFFFFF" w:themeFill="background1"/>
              <w:ind w:right="113"/>
              <w:contextualSpacing/>
              <w:jc w:val="both"/>
              <w:rPr>
                <w:rFonts w:eastAsia="Times New Roman"/>
                <w:sz w:val="24"/>
                <w:szCs w:val="24"/>
                <w:highlight w:val="yellow"/>
                <w:shd w:val="clear" w:color="auto" w:fill="FFFFFF"/>
                <w:lang w:val="lv-LV" w:eastAsia="ja-JP"/>
              </w:rPr>
            </w:pPr>
            <w:r w:rsidRPr="00284E02">
              <w:rPr>
                <w:bCs/>
                <w:sz w:val="24"/>
                <w:szCs w:val="24"/>
                <w:lang w:val="lv-LV"/>
              </w:rPr>
              <w:t xml:space="preserve">Paziņojums par līdzdalības iespējām tiesību akta izstrādes procesā tika ievietots </w:t>
            </w:r>
            <w:r w:rsidRPr="001B5859">
              <w:rPr>
                <w:bCs/>
                <w:sz w:val="24"/>
                <w:szCs w:val="24"/>
                <w:lang w:val="lv-LV"/>
              </w:rPr>
              <w:t>20</w:t>
            </w:r>
            <w:r>
              <w:rPr>
                <w:bCs/>
                <w:sz w:val="24"/>
                <w:szCs w:val="24"/>
                <w:lang w:val="lv-LV"/>
              </w:rPr>
              <w:t>20.</w:t>
            </w:r>
            <w:r w:rsidRPr="00001F6D">
              <w:rPr>
                <w:bCs/>
                <w:sz w:val="24"/>
                <w:szCs w:val="24"/>
                <w:lang w:val="lv-LV"/>
              </w:rPr>
              <w:t xml:space="preserve">gada </w:t>
            </w:r>
            <w:r w:rsidR="005959C7" w:rsidRPr="00001F6D">
              <w:rPr>
                <w:bCs/>
                <w:sz w:val="24"/>
                <w:szCs w:val="24"/>
                <w:lang w:val="lv-LV"/>
              </w:rPr>
              <w:t xml:space="preserve"> 8</w:t>
            </w:r>
            <w:r w:rsidRPr="00001F6D">
              <w:rPr>
                <w:bCs/>
                <w:sz w:val="24"/>
                <w:szCs w:val="24"/>
                <w:lang w:val="lv-LV"/>
              </w:rPr>
              <w:t>.</w:t>
            </w:r>
            <w:r w:rsidRPr="001B5859">
              <w:rPr>
                <w:bCs/>
                <w:sz w:val="24"/>
                <w:szCs w:val="24"/>
                <w:lang w:val="lv-LV"/>
              </w:rPr>
              <w:t>jū</w:t>
            </w:r>
            <w:r>
              <w:rPr>
                <w:bCs/>
                <w:sz w:val="24"/>
                <w:szCs w:val="24"/>
                <w:lang w:val="lv-LV"/>
              </w:rPr>
              <w:t>l</w:t>
            </w:r>
            <w:r w:rsidRPr="00284E02">
              <w:rPr>
                <w:bCs/>
                <w:sz w:val="24"/>
                <w:szCs w:val="24"/>
                <w:lang w:val="lv-LV"/>
              </w:rPr>
              <w:t xml:space="preserve">ijā Satiksmes ministrijas tīmekļa vietnē </w:t>
            </w:r>
            <w:r w:rsidR="00C84D30">
              <w:rPr>
                <w:bCs/>
                <w:sz w:val="24"/>
                <w:szCs w:val="24"/>
                <w:lang w:val="lv-LV"/>
              </w:rPr>
              <w:t xml:space="preserve"> </w:t>
            </w:r>
            <w:hyperlink r:id="rId6" w:history="1">
              <w:r w:rsidR="00C84D30" w:rsidRPr="006A1549">
                <w:rPr>
                  <w:rStyle w:val="Hyperlink"/>
                  <w:sz w:val="24"/>
                  <w:szCs w:val="24"/>
                  <w:lang w:val="lv-LV"/>
                </w:rPr>
                <w:t>https://www.sam.gov.lv/lv/izstrade-esosie-attistibas-planosanas-dokumenti-un-tiesibu-akti</w:t>
              </w:r>
            </w:hyperlink>
          </w:p>
        </w:tc>
      </w:tr>
      <w:tr w:rsidR="00024FA0" w:rsidRPr="00EC6857" w14:paraId="2B2527CA" w14:textId="77777777" w:rsidTr="00CB05DC">
        <w:trPr>
          <w:trHeight w:val="476"/>
        </w:trPr>
        <w:tc>
          <w:tcPr>
            <w:tcW w:w="312" w:type="dxa"/>
          </w:tcPr>
          <w:p w14:paraId="2B2527C7" w14:textId="77777777" w:rsidR="00024FA0" w:rsidRPr="008B1C28" w:rsidRDefault="00024FA0" w:rsidP="00CB05DC">
            <w:pPr>
              <w:shd w:val="clear" w:color="auto" w:fill="FFFFFF" w:themeFill="background1"/>
              <w:ind w:left="57" w:right="57"/>
              <w:contextualSpacing/>
              <w:jc w:val="both"/>
              <w:rPr>
                <w:sz w:val="24"/>
                <w:szCs w:val="24"/>
                <w:lang w:val="lv-LV"/>
              </w:rPr>
            </w:pPr>
            <w:r w:rsidRPr="008B1C28">
              <w:rPr>
                <w:sz w:val="24"/>
                <w:szCs w:val="24"/>
                <w:lang w:val="lv-LV"/>
              </w:rPr>
              <w:lastRenderedPageBreak/>
              <w:t>3.</w:t>
            </w:r>
          </w:p>
        </w:tc>
        <w:tc>
          <w:tcPr>
            <w:tcW w:w="2665" w:type="dxa"/>
          </w:tcPr>
          <w:p w14:paraId="2B2527C8" w14:textId="77777777" w:rsidR="00024FA0" w:rsidRPr="008B1C28" w:rsidRDefault="00024FA0" w:rsidP="00CB05DC">
            <w:pPr>
              <w:shd w:val="clear" w:color="auto" w:fill="FFFFFF" w:themeFill="background1"/>
              <w:ind w:left="57" w:right="57"/>
              <w:contextualSpacing/>
              <w:rPr>
                <w:rFonts w:eastAsia="PMingLiU"/>
                <w:sz w:val="24"/>
                <w:szCs w:val="24"/>
                <w:lang w:val="lv-LV" w:eastAsia="ja-JP"/>
              </w:rPr>
            </w:pPr>
            <w:r w:rsidRPr="008B1C28">
              <w:rPr>
                <w:rFonts w:eastAsia="PMingLiU"/>
                <w:sz w:val="24"/>
                <w:szCs w:val="24"/>
                <w:lang w:val="lv-LV" w:eastAsia="ja-JP"/>
              </w:rPr>
              <w:t>Sabiedrības līdzdalības rezultāti</w:t>
            </w:r>
          </w:p>
        </w:tc>
        <w:tc>
          <w:tcPr>
            <w:tcW w:w="6234" w:type="dxa"/>
          </w:tcPr>
          <w:p w14:paraId="2B2527C9" w14:textId="75B706B8" w:rsidR="00024FA0" w:rsidRPr="008B1C28" w:rsidRDefault="00B965BB" w:rsidP="00CB05DC">
            <w:pPr>
              <w:shd w:val="clear" w:color="auto" w:fill="FFFFFF" w:themeFill="background1"/>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 xml:space="preserve"> Attiecībā uz Latvijas pasažieru pārvadātāju asociācijas viedokli un priekšlikumiem, kas saņemti pēc paziņojuma par līdzdalības iespējām, kuros asociācija norāda, ka pārejas periods (1 gads</w:t>
            </w:r>
            <w:r w:rsidR="001E0D77">
              <w:rPr>
                <w:rFonts w:eastAsia="PMingLiU"/>
                <w:sz w:val="24"/>
                <w:szCs w:val="24"/>
                <w:shd w:val="clear" w:color="auto" w:fill="FFFFFF"/>
                <w:lang w:val="lv-LV" w:eastAsia="ja-JP"/>
              </w:rPr>
              <w:t>,</w:t>
            </w:r>
            <w:r>
              <w:rPr>
                <w:rFonts w:eastAsia="PMingLiU"/>
                <w:sz w:val="24"/>
                <w:szCs w:val="24"/>
                <w:shd w:val="clear" w:color="auto" w:fill="FFFFFF"/>
                <w:lang w:val="lv-LV" w:eastAsia="ja-JP"/>
              </w:rPr>
              <w:t xml:space="preserve"> sākot no 2021. gada 1. janvāra) elektroniskā identifikācijas līdzekļa pakāpeniskai ieviešanai ir pārāk īss sistēmas inkorporācijas nodrošināšanai, esošās sistēmas modernizācijai un pārveidošanai, norādām, ka plānotais pārejas periods ir optimāls, ievērojot attiecīgā risinājuma izpētes un plānošanas procesā pārvadātāju kases aparātu apkalpojošo dienestu sniegto informāciju, ka saistībā ar paredzētajām izmaiņām kases aparātu programmās, nodrošinot personu eID karšu apstrādi, programmu papildinājumu izstrādei nepieciešami orientējoši četri mēneši, kam papildus pieskaitāms laiks izmaiņu atbilstības novērtējumam VID noteiktajām fiskālās uzraudzības prasībām. Testa eID kartes un tehniskā dokumentācija attiecīgu izstrāžu uzsākšanai un plānošanai nozarei pieejama jau kopš 2020.gada februāra. Turklāt ir aplēsts, ka kavēšanās BMA sistēmas identifikācijas risinājuma ieviešanā 2021.gadā varētu atstāt negatīvu finanšu ietekmi, nesasniedzot līdzekļu ekonomiju attiecībā uz dotāciju apmēru, kas piešķirta, lai sabiedriskā transporta pakalpojumu sniedzējiem segtu ar braukšanas maksas atvieglojumiem saistītos zaudējumus.</w:t>
            </w:r>
          </w:p>
        </w:tc>
      </w:tr>
      <w:tr w:rsidR="00024FA0" w:rsidRPr="008B1C28" w14:paraId="2B2527CE" w14:textId="77777777" w:rsidTr="00CB05DC">
        <w:trPr>
          <w:trHeight w:val="205"/>
        </w:trPr>
        <w:tc>
          <w:tcPr>
            <w:tcW w:w="312" w:type="dxa"/>
          </w:tcPr>
          <w:p w14:paraId="2B2527CB" w14:textId="77777777" w:rsidR="00024FA0" w:rsidRPr="008B1C28" w:rsidRDefault="00024FA0" w:rsidP="00CB05DC">
            <w:pPr>
              <w:shd w:val="clear" w:color="auto" w:fill="FFFFFF" w:themeFill="background1"/>
              <w:ind w:left="57" w:right="57"/>
              <w:contextualSpacing/>
              <w:jc w:val="both"/>
              <w:rPr>
                <w:sz w:val="24"/>
                <w:szCs w:val="24"/>
                <w:lang w:val="lv-LV"/>
              </w:rPr>
            </w:pPr>
            <w:r w:rsidRPr="008B1C28">
              <w:rPr>
                <w:sz w:val="24"/>
                <w:szCs w:val="24"/>
                <w:lang w:val="lv-LV"/>
              </w:rPr>
              <w:t>4.</w:t>
            </w:r>
          </w:p>
        </w:tc>
        <w:tc>
          <w:tcPr>
            <w:tcW w:w="2665" w:type="dxa"/>
          </w:tcPr>
          <w:p w14:paraId="2B2527CC" w14:textId="77777777" w:rsidR="00024FA0" w:rsidRPr="008B1C28" w:rsidRDefault="00024FA0" w:rsidP="00CB05DC">
            <w:pPr>
              <w:shd w:val="clear" w:color="auto" w:fill="FFFFFF" w:themeFill="background1"/>
              <w:ind w:left="57" w:right="57"/>
              <w:contextualSpacing/>
              <w:rPr>
                <w:rFonts w:eastAsia="PMingLiU"/>
                <w:sz w:val="24"/>
                <w:szCs w:val="24"/>
                <w:lang w:val="lv-LV" w:eastAsia="ja-JP"/>
              </w:rPr>
            </w:pPr>
            <w:r w:rsidRPr="008B1C28">
              <w:rPr>
                <w:rFonts w:eastAsia="PMingLiU"/>
                <w:sz w:val="24"/>
                <w:szCs w:val="24"/>
                <w:lang w:val="lv-LV" w:eastAsia="ja-JP"/>
              </w:rPr>
              <w:t>Cita informācija</w:t>
            </w:r>
          </w:p>
        </w:tc>
        <w:tc>
          <w:tcPr>
            <w:tcW w:w="6234" w:type="dxa"/>
          </w:tcPr>
          <w:p w14:paraId="2B2527CD" w14:textId="0989ADDE" w:rsidR="00024FA0" w:rsidRPr="008B1C28" w:rsidRDefault="00024FA0" w:rsidP="00CB05DC">
            <w:pPr>
              <w:shd w:val="clear" w:color="auto" w:fill="FFFFFF" w:themeFill="background1"/>
              <w:ind w:left="57" w:right="113"/>
              <w:contextualSpacing/>
              <w:jc w:val="both"/>
              <w:rPr>
                <w:rFonts w:eastAsia="PMingLiU"/>
                <w:sz w:val="24"/>
                <w:szCs w:val="24"/>
                <w:lang w:val="lv-LV" w:eastAsia="ja-JP"/>
              </w:rPr>
            </w:pPr>
            <w:r w:rsidRPr="008B1C28">
              <w:rPr>
                <w:rFonts w:eastAsia="PMingLiU"/>
                <w:sz w:val="24"/>
                <w:szCs w:val="24"/>
                <w:lang w:val="lv-LV" w:eastAsia="ja-JP"/>
              </w:rPr>
              <w:t>Nav</w:t>
            </w:r>
            <w:r w:rsidR="001E0D77">
              <w:rPr>
                <w:rFonts w:eastAsia="PMingLiU"/>
                <w:sz w:val="24"/>
                <w:szCs w:val="24"/>
                <w:lang w:val="lv-LV" w:eastAsia="ja-JP"/>
              </w:rPr>
              <w:t>.</w:t>
            </w:r>
          </w:p>
        </w:tc>
      </w:tr>
    </w:tbl>
    <w:p w14:paraId="2B2527CF" w14:textId="77777777" w:rsidR="00024FA0" w:rsidRPr="008B1C28" w:rsidRDefault="00024FA0" w:rsidP="00024FA0">
      <w:pPr>
        <w:shd w:val="clear" w:color="auto" w:fill="FFFFFF" w:themeFill="background1"/>
        <w:contextualSpacing/>
        <w:rPr>
          <w:rFonts w:eastAsia="Times New Roman"/>
          <w:sz w:val="24"/>
          <w:szCs w:val="24"/>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024FA0" w:rsidRPr="00EC6857" w14:paraId="2B2527D1" w14:textId="77777777" w:rsidTr="00CB05DC">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2B2527D0" w14:textId="77777777" w:rsidR="00024FA0" w:rsidRPr="008B1C28" w:rsidRDefault="00024FA0" w:rsidP="00CB05DC">
            <w:pPr>
              <w:shd w:val="clear" w:color="auto" w:fill="FFFFFF" w:themeFill="background1"/>
              <w:spacing w:before="100" w:beforeAutospacing="1" w:after="100" w:afterAutospacing="1"/>
              <w:ind w:firstLine="300"/>
              <w:jc w:val="center"/>
              <w:rPr>
                <w:rFonts w:eastAsia="Times New Roman"/>
                <w:sz w:val="24"/>
                <w:szCs w:val="24"/>
                <w:lang w:val="lv-LV" w:eastAsia="lv-LV"/>
              </w:rPr>
            </w:pPr>
            <w:r w:rsidRPr="008B1C28">
              <w:rPr>
                <w:b/>
                <w:sz w:val="24"/>
                <w:szCs w:val="24"/>
                <w:lang w:val="lv-LV"/>
              </w:rPr>
              <w:t>VII. Tiesību akta projekta izpildes nodrošināšana un tās ietekme uz institūcijām</w:t>
            </w:r>
          </w:p>
        </w:tc>
      </w:tr>
      <w:tr w:rsidR="00024FA0" w:rsidRPr="008B1C28" w14:paraId="2B2527D5" w14:textId="77777777" w:rsidTr="00CB05DC">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2B2527D2"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2B2527D3" w14:textId="77777777" w:rsidR="00024FA0" w:rsidRPr="008B1C28" w:rsidRDefault="00024FA0" w:rsidP="00CB05DC">
            <w:pPr>
              <w:shd w:val="clear" w:color="auto" w:fill="FFFFFF" w:themeFill="background1"/>
              <w:ind w:right="112"/>
              <w:contextualSpacing/>
              <w:jc w:val="both"/>
              <w:rPr>
                <w:sz w:val="24"/>
                <w:szCs w:val="24"/>
                <w:lang w:val="lv-LV"/>
              </w:rPr>
            </w:pPr>
            <w:r w:rsidRPr="008B1C28">
              <w:rPr>
                <w:sz w:val="24"/>
                <w:szCs w:val="24"/>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2B2527D4" w14:textId="206BB3E9" w:rsidR="00024FA0" w:rsidRPr="008B1C28" w:rsidRDefault="00024FA0" w:rsidP="00117679">
            <w:pPr>
              <w:shd w:val="clear" w:color="auto" w:fill="FFFFFF" w:themeFill="background1"/>
              <w:ind w:right="161"/>
              <w:jc w:val="both"/>
              <w:rPr>
                <w:sz w:val="24"/>
                <w:szCs w:val="24"/>
                <w:highlight w:val="yellow"/>
                <w:lang w:val="lv-LV"/>
              </w:rPr>
            </w:pPr>
            <w:r w:rsidRPr="008B1C28">
              <w:rPr>
                <w:sz w:val="24"/>
                <w:szCs w:val="24"/>
                <w:lang w:val="lv-LV"/>
              </w:rPr>
              <w:t>Autotransporta direkcija, PMLP</w:t>
            </w:r>
            <w:r w:rsidR="00117679">
              <w:rPr>
                <w:sz w:val="24"/>
                <w:szCs w:val="24"/>
                <w:lang w:val="lv-LV"/>
              </w:rPr>
              <w:t>, republikas nozīmes pilsētu pašvaldības</w:t>
            </w:r>
            <w:r w:rsidR="001E0D77">
              <w:rPr>
                <w:sz w:val="24"/>
                <w:szCs w:val="24"/>
                <w:lang w:val="lv-LV"/>
              </w:rPr>
              <w:t>.</w:t>
            </w:r>
          </w:p>
        </w:tc>
      </w:tr>
      <w:tr w:rsidR="00024FA0" w:rsidRPr="00EC6857" w14:paraId="2B2527D9" w14:textId="77777777" w:rsidTr="00CB05DC">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2B2527D6" w14:textId="77777777" w:rsidR="00024FA0" w:rsidRPr="008B1C28" w:rsidRDefault="00024FA0" w:rsidP="00CB05DC">
            <w:pPr>
              <w:shd w:val="clear" w:color="auto" w:fill="FFFFFF" w:themeFill="background1"/>
              <w:contextualSpacing/>
              <w:rPr>
                <w:rFonts w:eastAsia="Times New Roman"/>
                <w:sz w:val="24"/>
                <w:szCs w:val="24"/>
                <w:lang w:val="lv-LV" w:eastAsia="lv-LV"/>
              </w:rPr>
            </w:pPr>
            <w:r w:rsidRPr="008B1C28">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2B2527D7" w14:textId="77777777" w:rsidR="00024FA0" w:rsidRPr="008B1C28" w:rsidRDefault="00024FA0" w:rsidP="00CB05DC">
            <w:pPr>
              <w:shd w:val="clear" w:color="auto" w:fill="FFFFFF" w:themeFill="background1"/>
              <w:ind w:right="112"/>
              <w:contextualSpacing/>
              <w:jc w:val="both"/>
              <w:rPr>
                <w:sz w:val="24"/>
                <w:szCs w:val="24"/>
                <w:lang w:val="lv-LV"/>
              </w:rPr>
            </w:pPr>
            <w:r w:rsidRPr="008B1C28">
              <w:rPr>
                <w:sz w:val="24"/>
                <w:szCs w:val="24"/>
                <w:lang w:val="lv-LV"/>
              </w:rPr>
              <w:t xml:space="preserve">Projekta izpildes ietekme uz pārvaldes funkcijām un institucionālo struktūru. Jaunu institūciju izveide, esošu </w:t>
            </w:r>
            <w:r w:rsidRPr="008B1C28">
              <w:rPr>
                <w:sz w:val="24"/>
                <w:szCs w:val="24"/>
                <w:lang w:val="lv-LV"/>
              </w:rPr>
              <w:lastRenderedPageBreak/>
              <w:t>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2B2527D8" w14:textId="6838679D" w:rsidR="00024FA0" w:rsidRPr="008B1C28" w:rsidRDefault="00024FA0" w:rsidP="00117679">
            <w:pPr>
              <w:shd w:val="clear" w:color="auto" w:fill="FFFFFF" w:themeFill="background1"/>
              <w:ind w:left="82" w:right="161"/>
              <w:jc w:val="both"/>
              <w:rPr>
                <w:sz w:val="24"/>
                <w:szCs w:val="24"/>
                <w:highlight w:val="yellow"/>
                <w:lang w:val="lv-LV"/>
              </w:rPr>
            </w:pPr>
            <w:r w:rsidRPr="008B1C28">
              <w:rPr>
                <w:sz w:val="24"/>
                <w:szCs w:val="24"/>
                <w:lang w:val="lv-LV"/>
              </w:rPr>
              <w:lastRenderedPageBreak/>
              <w:t>Projekta izpilde tiks nodrošināta Autotransporta direkcijas</w:t>
            </w:r>
            <w:r w:rsidR="00117679">
              <w:rPr>
                <w:sz w:val="24"/>
                <w:szCs w:val="24"/>
                <w:lang w:val="lv-LV"/>
              </w:rPr>
              <w:t xml:space="preserve">, </w:t>
            </w:r>
            <w:r w:rsidRPr="008B1C28">
              <w:rPr>
                <w:sz w:val="24"/>
                <w:szCs w:val="24"/>
                <w:lang w:val="lv-LV"/>
              </w:rPr>
              <w:t xml:space="preserve"> PMLP </w:t>
            </w:r>
            <w:r w:rsidR="00117679">
              <w:rPr>
                <w:sz w:val="24"/>
                <w:szCs w:val="24"/>
                <w:lang w:val="lv-LV"/>
              </w:rPr>
              <w:t xml:space="preserve">un republikas nozīmes pilsētu pašvaldību </w:t>
            </w:r>
            <w:r w:rsidRPr="008B1C28">
              <w:rPr>
                <w:sz w:val="24"/>
                <w:szCs w:val="24"/>
                <w:lang w:val="lv-LV"/>
              </w:rPr>
              <w:t>esošo funkciju un cilvēkresursu ietvaros, kā arī nav paredzēta jaunu institūciju izveide, esošu institūciju likvidācija vai reorganizācija.</w:t>
            </w:r>
          </w:p>
        </w:tc>
      </w:tr>
      <w:tr w:rsidR="00024FA0" w:rsidRPr="00EF080E" w14:paraId="2B2527EF" w14:textId="77777777" w:rsidTr="00CB05DC">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2B2527DA" w14:textId="77777777" w:rsidR="00024FA0" w:rsidRPr="008B1C28" w:rsidRDefault="00024FA0" w:rsidP="00CB05DC">
            <w:pPr>
              <w:contextualSpacing/>
              <w:rPr>
                <w:rFonts w:eastAsia="Times New Roman"/>
                <w:sz w:val="24"/>
                <w:szCs w:val="24"/>
                <w:lang w:val="lv-LV" w:eastAsia="lv-LV"/>
              </w:rPr>
            </w:pPr>
            <w:r w:rsidRPr="008B1C28">
              <w:rPr>
                <w:sz w:val="24"/>
                <w:szCs w:val="24"/>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2B2527DB" w14:textId="77777777" w:rsidR="00024FA0" w:rsidRPr="008B1C28" w:rsidRDefault="00024FA0" w:rsidP="00CB05DC">
            <w:pPr>
              <w:contextualSpacing/>
              <w:jc w:val="both"/>
              <w:rPr>
                <w:rFonts w:eastAsia="Times New Roman"/>
                <w:sz w:val="24"/>
                <w:szCs w:val="24"/>
                <w:lang w:val="lv-LV" w:eastAsia="lv-LV"/>
              </w:rPr>
            </w:pPr>
            <w:r w:rsidRPr="008B1C28">
              <w:rPr>
                <w:rFonts w:eastAsia="Times New Roman"/>
                <w:sz w:val="24"/>
                <w:szCs w:val="24"/>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B2527ED" w14:textId="25C2F166" w:rsidR="00024FA0" w:rsidRPr="008B1C28" w:rsidRDefault="00C84D30" w:rsidP="00CB05DC">
            <w:pPr>
              <w:contextualSpacing/>
              <w:jc w:val="both"/>
              <w:rPr>
                <w:rFonts w:eastAsiaTheme="minorHAnsi"/>
                <w:sz w:val="24"/>
                <w:szCs w:val="24"/>
                <w:lang w:val="lv-LV"/>
              </w:rPr>
            </w:pPr>
            <w:r>
              <w:rPr>
                <w:rFonts w:eastAsiaTheme="minorHAnsi"/>
                <w:sz w:val="24"/>
                <w:szCs w:val="24"/>
                <w:lang w:val="lv-LV"/>
              </w:rPr>
              <w:t>Nav</w:t>
            </w:r>
            <w:r w:rsidR="000C43A3">
              <w:rPr>
                <w:rFonts w:eastAsiaTheme="minorHAnsi"/>
                <w:sz w:val="24"/>
                <w:szCs w:val="24"/>
                <w:lang w:val="lv-LV"/>
              </w:rPr>
              <w:t>.</w:t>
            </w:r>
            <w:r>
              <w:rPr>
                <w:rFonts w:eastAsiaTheme="minorHAnsi"/>
                <w:sz w:val="24"/>
                <w:szCs w:val="24"/>
                <w:lang w:val="lv-LV"/>
              </w:rPr>
              <w:t xml:space="preserve"> </w:t>
            </w:r>
            <w:bookmarkStart w:id="5" w:name="pn6"/>
            <w:bookmarkStart w:id="6" w:name="p-690315"/>
            <w:bookmarkEnd w:id="5"/>
            <w:bookmarkEnd w:id="6"/>
            <w:r>
              <w:rPr>
                <w:rFonts w:eastAsiaTheme="minorHAnsi"/>
                <w:sz w:val="24"/>
                <w:szCs w:val="24"/>
                <w:lang w:val="lv-LV"/>
              </w:rPr>
              <w:t xml:space="preserve"> </w:t>
            </w:r>
          </w:p>
          <w:p w14:paraId="2B2527EE" w14:textId="77777777" w:rsidR="00024FA0" w:rsidRPr="008B1C28" w:rsidRDefault="00024FA0" w:rsidP="00CB05DC">
            <w:pPr>
              <w:contextualSpacing/>
              <w:jc w:val="both"/>
              <w:rPr>
                <w:rFonts w:eastAsia="Times New Roman"/>
                <w:sz w:val="24"/>
                <w:szCs w:val="24"/>
                <w:lang w:val="lv-LV" w:eastAsia="lv-LV"/>
              </w:rPr>
            </w:pPr>
          </w:p>
        </w:tc>
      </w:tr>
    </w:tbl>
    <w:p w14:paraId="2B2527F0" w14:textId="77777777" w:rsidR="00024FA0" w:rsidRPr="008B1C28" w:rsidRDefault="00024FA0" w:rsidP="00024FA0">
      <w:pPr>
        <w:contextualSpacing/>
        <w:jc w:val="both"/>
        <w:rPr>
          <w:sz w:val="24"/>
          <w:szCs w:val="24"/>
          <w:lang w:val="lv-LV"/>
        </w:rPr>
      </w:pPr>
    </w:p>
    <w:p w14:paraId="2B2527F1" w14:textId="77777777" w:rsidR="00024FA0" w:rsidRDefault="00024FA0" w:rsidP="00024FA0">
      <w:pPr>
        <w:jc w:val="both"/>
        <w:rPr>
          <w:bCs/>
          <w:sz w:val="24"/>
          <w:szCs w:val="24"/>
          <w:lang w:val="lv-LV"/>
        </w:rPr>
      </w:pPr>
    </w:p>
    <w:p w14:paraId="2B2527F2" w14:textId="77777777" w:rsidR="00024FA0" w:rsidRPr="008B1C28" w:rsidRDefault="00024FA0" w:rsidP="00024FA0">
      <w:pPr>
        <w:jc w:val="both"/>
        <w:rPr>
          <w:bCs/>
          <w:sz w:val="24"/>
          <w:szCs w:val="24"/>
          <w:lang w:val="lv-LV"/>
        </w:rPr>
      </w:pPr>
    </w:p>
    <w:p w14:paraId="2B2527F3" w14:textId="77777777" w:rsidR="00024FA0" w:rsidRPr="008B1C28" w:rsidRDefault="00024FA0" w:rsidP="00024FA0">
      <w:pPr>
        <w:jc w:val="both"/>
        <w:rPr>
          <w:bCs/>
          <w:sz w:val="24"/>
          <w:szCs w:val="24"/>
          <w:lang w:val="lv-LV"/>
        </w:rPr>
      </w:pPr>
      <w:r w:rsidRPr="008B1C28">
        <w:rPr>
          <w:bCs/>
          <w:sz w:val="24"/>
          <w:szCs w:val="24"/>
          <w:lang w:val="lv-LV"/>
        </w:rPr>
        <w:t>Iesniedzējs:</w:t>
      </w:r>
    </w:p>
    <w:p w14:paraId="2B2527F4" w14:textId="77777777" w:rsidR="00024FA0" w:rsidRPr="008B1C28" w:rsidRDefault="00024FA0" w:rsidP="00024FA0">
      <w:pPr>
        <w:jc w:val="both"/>
        <w:rPr>
          <w:bCs/>
          <w:sz w:val="24"/>
          <w:szCs w:val="24"/>
          <w:lang w:val="lv-LV"/>
        </w:rPr>
      </w:pPr>
      <w:r w:rsidRPr="008B1C28">
        <w:rPr>
          <w:bCs/>
          <w:sz w:val="24"/>
          <w:szCs w:val="24"/>
          <w:lang w:val="lv-LV"/>
        </w:rPr>
        <w:t xml:space="preserve">Satiksmes ministrs                                   </w:t>
      </w:r>
      <w:r w:rsidRPr="008B1C28">
        <w:rPr>
          <w:bCs/>
          <w:sz w:val="24"/>
          <w:szCs w:val="24"/>
          <w:lang w:val="lv-LV"/>
        </w:rPr>
        <w:tab/>
      </w:r>
      <w:r w:rsidRPr="008B1C28">
        <w:rPr>
          <w:bCs/>
          <w:sz w:val="24"/>
          <w:szCs w:val="24"/>
          <w:lang w:val="lv-LV"/>
        </w:rPr>
        <w:tab/>
      </w:r>
      <w:r w:rsidRPr="008B1C28">
        <w:rPr>
          <w:bCs/>
          <w:sz w:val="24"/>
          <w:szCs w:val="24"/>
          <w:lang w:val="lv-LV"/>
        </w:rPr>
        <w:tab/>
      </w:r>
      <w:r w:rsidRPr="008B1C28">
        <w:rPr>
          <w:bCs/>
          <w:sz w:val="24"/>
          <w:szCs w:val="24"/>
          <w:lang w:val="lv-LV"/>
        </w:rPr>
        <w:tab/>
        <w:t xml:space="preserve">    </w:t>
      </w:r>
      <w:r>
        <w:rPr>
          <w:bCs/>
          <w:sz w:val="24"/>
          <w:szCs w:val="24"/>
          <w:lang w:val="lv-LV"/>
        </w:rPr>
        <w:tab/>
      </w:r>
      <w:r w:rsidRPr="008B1C28">
        <w:rPr>
          <w:bCs/>
          <w:sz w:val="24"/>
          <w:szCs w:val="24"/>
          <w:lang w:val="lv-LV"/>
        </w:rPr>
        <w:t>T.Linkaits</w:t>
      </w:r>
    </w:p>
    <w:p w14:paraId="2B2527F5" w14:textId="77777777" w:rsidR="00024FA0" w:rsidRDefault="00024FA0" w:rsidP="00024FA0">
      <w:pPr>
        <w:jc w:val="both"/>
        <w:rPr>
          <w:bCs/>
          <w:sz w:val="24"/>
          <w:szCs w:val="24"/>
          <w:lang w:val="lv-LV"/>
        </w:rPr>
      </w:pPr>
    </w:p>
    <w:p w14:paraId="2B2527F6" w14:textId="77777777" w:rsidR="00024FA0" w:rsidRPr="008B1C28" w:rsidRDefault="00024FA0" w:rsidP="00024FA0">
      <w:pPr>
        <w:jc w:val="both"/>
        <w:rPr>
          <w:bCs/>
          <w:sz w:val="24"/>
          <w:szCs w:val="24"/>
          <w:lang w:val="lv-LV"/>
        </w:rPr>
      </w:pPr>
    </w:p>
    <w:p w14:paraId="2B2527F7" w14:textId="77777777" w:rsidR="00024FA0" w:rsidRPr="008B1C28" w:rsidRDefault="00024FA0" w:rsidP="00024FA0">
      <w:pPr>
        <w:jc w:val="both"/>
        <w:rPr>
          <w:bCs/>
          <w:sz w:val="24"/>
          <w:szCs w:val="24"/>
          <w:lang w:val="lv-LV"/>
        </w:rPr>
      </w:pPr>
      <w:r w:rsidRPr="008B1C28">
        <w:rPr>
          <w:bCs/>
          <w:sz w:val="24"/>
          <w:szCs w:val="24"/>
          <w:lang w:val="lv-LV"/>
        </w:rPr>
        <w:t>Vīza:</w:t>
      </w:r>
    </w:p>
    <w:p w14:paraId="2B2527F8" w14:textId="42B39A9D" w:rsidR="00024FA0" w:rsidRPr="008B1C28" w:rsidRDefault="00024FA0" w:rsidP="00024FA0">
      <w:pPr>
        <w:jc w:val="both"/>
        <w:rPr>
          <w:bCs/>
          <w:sz w:val="24"/>
          <w:szCs w:val="24"/>
          <w:lang w:val="lv-LV"/>
        </w:rPr>
      </w:pPr>
      <w:r w:rsidRPr="008B1C28">
        <w:rPr>
          <w:bCs/>
          <w:sz w:val="24"/>
          <w:szCs w:val="24"/>
          <w:lang w:val="lv-LV"/>
        </w:rPr>
        <w:t>Valsts sekretār</w:t>
      </w:r>
      <w:r w:rsidR="001E0D77">
        <w:rPr>
          <w:bCs/>
          <w:sz w:val="24"/>
          <w:szCs w:val="24"/>
          <w:lang w:val="lv-LV"/>
        </w:rPr>
        <w:t>e</w:t>
      </w:r>
      <w:r w:rsidRPr="008B1C28">
        <w:rPr>
          <w:bCs/>
          <w:sz w:val="24"/>
          <w:szCs w:val="24"/>
          <w:lang w:val="lv-LV"/>
        </w:rPr>
        <w:tab/>
      </w:r>
      <w:r w:rsidRPr="008B1C28">
        <w:rPr>
          <w:bCs/>
          <w:sz w:val="24"/>
          <w:szCs w:val="24"/>
          <w:lang w:val="lv-LV"/>
        </w:rPr>
        <w:tab/>
      </w:r>
      <w:r w:rsidRPr="008B1C28">
        <w:rPr>
          <w:bCs/>
          <w:sz w:val="24"/>
          <w:szCs w:val="24"/>
          <w:lang w:val="lv-LV"/>
        </w:rPr>
        <w:tab/>
      </w:r>
      <w:r w:rsidRPr="008B1C28">
        <w:rPr>
          <w:bCs/>
          <w:sz w:val="24"/>
          <w:szCs w:val="24"/>
          <w:lang w:val="lv-LV"/>
        </w:rPr>
        <w:tab/>
      </w:r>
      <w:r w:rsidRPr="008B1C28">
        <w:rPr>
          <w:bCs/>
          <w:sz w:val="24"/>
          <w:szCs w:val="24"/>
          <w:lang w:val="lv-LV"/>
        </w:rPr>
        <w:tab/>
        <w:t xml:space="preserve">                             </w:t>
      </w:r>
      <w:r w:rsidR="001E0D77">
        <w:rPr>
          <w:bCs/>
          <w:sz w:val="24"/>
          <w:szCs w:val="24"/>
          <w:lang w:val="lv-LV"/>
        </w:rPr>
        <w:tab/>
      </w:r>
      <w:r w:rsidRPr="008B1C28">
        <w:rPr>
          <w:bCs/>
          <w:sz w:val="24"/>
          <w:szCs w:val="24"/>
          <w:lang w:val="lv-LV"/>
        </w:rPr>
        <w:t>I.Stepanova</w:t>
      </w:r>
    </w:p>
    <w:p w14:paraId="2B2527F9" w14:textId="77777777" w:rsidR="00024FA0" w:rsidRPr="008B1C28" w:rsidRDefault="00024FA0" w:rsidP="00024FA0">
      <w:pPr>
        <w:jc w:val="both"/>
        <w:rPr>
          <w:sz w:val="24"/>
          <w:szCs w:val="24"/>
          <w:lang w:val="lv-LV"/>
        </w:rPr>
      </w:pPr>
    </w:p>
    <w:p w14:paraId="2B2527FA" w14:textId="77777777" w:rsidR="00024FA0" w:rsidRPr="008B1C28" w:rsidRDefault="00024FA0" w:rsidP="00024FA0">
      <w:pPr>
        <w:tabs>
          <w:tab w:val="left" w:pos="6237"/>
        </w:tabs>
        <w:contextualSpacing/>
        <w:rPr>
          <w:sz w:val="24"/>
          <w:szCs w:val="24"/>
          <w:lang w:val="lv-LV"/>
        </w:rPr>
      </w:pPr>
    </w:p>
    <w:p w14:paraId="2B2527FB" w14:textId="77777777" w:rsidR="00024FA0" w:rsidRPr="008B1C28" w:rsidRDefault="00024FA0" w:rsidP="00024FA0">
      <w:pPr>
        <w:rPr>
          <w:sz w:val="24"/>
          <w:szCs w:val="24"/>
          <w:lang w:val="lv-LV"/>
        </w:rPr>
      </w:pPr>
    </w:p>
    <w:p w14:paraId="2B2527FC" w14:textId="77777777" w:rsidR="006D1226" w:rsidRDefault="006D1226"/>
    <w:sectPr w:rsidR="006D1226" w:rsidSect="008B1C28">
      <w:headerReference w:type="default" r:id="rId7"/>
      <w:footerReference w:type="default" r:id="rId8"/>
      <w:footerReference w:type="first" r:id="rId9"/>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27FF" w14:textId="77777777" w:rsidR="00024FA0" w:rsidRDefault="00024FA0" w:rsidP="00024FA0">
      <w:r>
        <w:separator/>
      </w:r>
    </w:p>
  </w:endnote>
  <w:endnote w:type="continuationSeparator" w:id="0">
    <w:p w14:paraId="2B252800" w14:textId="77777777" w:rsidR="00024FA0" w:rsidRDefault="00024FA0" w:rsidP="0002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2802" w14:textId="7F3F5A97" w:rsidR="008B1C28" w:rsidRPr="008B1C28" w:rsidRDefault="00024FA0">
    <w:pPr>
      <w:pStyle w:val="Footer"/>
      <w:rPr>
        <w:lang w:val="lv-LV"/>
      </w:rPr>
    </w:pPr>
    <w:r>
      <w:rPr>
        <w:lang w:val="lv-LV"/>
      </w:rPr>
      <w:t>SAManot_280720_717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2803" w14:textId="3C833FBA" w:rsidR="008B1C28" w:rsidRPr="008B1C28" w:rsidRDefault="00024FA0" w:rsidP="008B1C28">
    <w:pPr>
      <w:pStyle w:val="Footer"/>
      <w:rPr>
        <w:lang w:val="lv-LV"/>
      </w:rPr>
    </w:pPr>
    <w:r>
      <w:rPr>
        <w:lang w:val="lv-LV"/>
      </w:rPr>
      <w:t>SAManot_2807</w:t>
    </w:r>
    <w:r w:rsidR="00EC6857">
      <w:rPr>
        <w:lang w:val="lv-LV"/>
      </w:rPr>
      <w:t>20</w:t>
    </w:r>
    <w:r>
      <w:rPr>
        <w:lang w:val="lv-LV"/>
      </w:rPr>
      <w:t>_717</w:t>
    </w:r>
  </w:p>
  <w:p w14:paraId="2B252804" w14:textId="77777777" w:rsidR="00AF7536" w:rsidRPr="008B1C28" w:rsidRDefault="000C43A3" w:rsidP="008B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527FD" w14:textId="77777777" w:rsidR="00024FA0" w:rsidRDefault="00024FA0" w:rsidP="00024FA0">
      <w:r>
        <w:separator/>
      </w:r>
    </w:p>
  </w:footnote>
  <w:footnote w:type="continuationSeparator" w:id="0">
    <w:p w14:paraId="2B2527FE" w14:textId="77777777" w:rsidR="00024FA0" w:rsidRDefault="00024FA0" w:rsidP="0002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2B252801" w14:textId="77777777" w:rsidR="00AF7536" w:rsidRPr="005A1518" w:rsidRDefault="00024FA0"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EC6857">
          <w:rPr>
            <w:noProof/>
            <w:sz w:val="24"/>
            <w:szCs w:val="24"/>
          </w:rPr>
          <w:t>7</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A0"/>
    <w:rsid w:val="00001F6D"/>
    <w:rsid w:val="00024FA0"/>
    <w:rsid w:val="000C43A3"/>
    <w:rsid w:val="00117679"/>
    <w:rsid w:val="001E0D77"/>
    <w:rsid w:val="002636AB"/>
    <w:rsid w:val="00526A25"/>
    <w:rsid w:val="005959C7"/>
    <w:rsid w:val="006D1226"/>
    <w:rsid w:val="008921E8"/>
    <w:rsid w:val="00950C91"/>
    <w:rsid w:val="00A23614"/>
    <w:rsid w:val="00A85841"/>
    <w:rsid w:val="00B012C7"/>
    <w:rsid w:val="00B965BB"/>
    <w:rsid w:val="00C84D30"/>
    <w:rsid w:val="00E25215"/>
    <w:rsid w:val="00EC6857"/>
    <w:rsid w:val="00EF0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275B"/>
  <w15:docId w15:val="{2A042462-FB67-4D46-89BF-905ABD30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A0"/>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FA0"/>
    <w:pPr>
      <w:tabs>
        <w:tab w:val="center" w:pos="4153"/>
        <w:tab w:val="right" w:pos="8306"/>
      </w:tabs>
    </w:pPr>
  </w:style>
  <w:style w:type="character" w:customStyle="1" w:styleId="FooterChar">
    <w:name w:val="Footer Char"/>
    <w:basedOn w:val="DefaultParagraphFont"/>
    <w:link w:val="Footer"/>
    <w:uiPriority w:val="99"/>
    <w:rsid w:val="00024FA0"/>
    <w:rPr>
      <w:rFonts w:ascii="Times New Roman" w:eastAsia="Calibri" w:hAnsi="Times New Roman" w:cs="Times New Roman"/>
      <w:sz w:val="20"/>
      <w:szCs w:val="20"/>
      <w:lang w:val="en-AU"/>
    </w:rPr>
  </w:style>
  <w:style w:type="paragraph" w:styleId="BodyText">
    <w:name w:val="Body Text"/>
    <w:basedOn w:val="Normal"/>
    <w:link w:val="BodyTextChar"/>
    <w:unhideWhenUsed/>
    <w:rsid w:val="00024FA0"/>
    <w:pPr>
      <w:jc w:val="both"/>
    </w:pPr>
    <w:rPr>
      <w:rFonts w:eastAsia="Times New Roman"/>
      <w:sz w:val="28"/>
      <w:lang w:val="lv-LV" w:eastAsia="lv-LV"/>
    </w:rPr>
  </w:style>
  <w:style w:type="character" w:customStyle="1" w:styleId="BodyTextChar">
    <w:name w:val="Body Text Char"/>
    <w:basedOn w:val="DefaultParagraphFont"/>
    <w:link w:val="BodyText"/>
    <w:rsid w:val="00024FA0"/>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024FA0"/>
    <w:pPr>
      <w:tabs>
        <w:tab w:val="center" w:pos="4153"/>
        <w:tab w:val="right" w:pos="8306"/>
      </w:tabs>
    </w:pPr>
  </w:style>
  <w:style w:type="character" w:customStyle="1" w:styleId="HeaderChar">
    <w:name w:val="Header Char"/>
    <w:basedOn w:val="DefaultParagraphFont"/>
    <w:link w:val="Header"/>
    <w:rsid w:val="00024FA0"/>
    <w:rPr>
      <w:rFonts w:ascii="Times New Roman" w:eastAsia="Calibri" w:hAnsi="Times New Roman" w:cs="Times New Roman"/>
      <w:sz w:val="20"/>
      <w:szCs w:val="20"/>
      <w:lang w:val="en-AU"/>
    </w:rPr>
  </w:style>
  <w:style w:type="paragraph" w:styleId="ListParagraph">
    <w:name w:val="List Paragraph"/>
    <w:aliases w:val="2,Strip,H&amp;P List Paragraph,Saraksta rindkopa,Saraksta rindkopa1"/>
    <w:basedOn w:val="Normal"/>
    <w:link w:val="ListParagraphChar"/>
    <w:uiPriority w:val="34"/>
    <w:qFormat/>
    <w:rsid w:val="00024FA0"/>
    <w:pPr>
      <w:ind w:left="720"/>
      <w:contextualSpacing/>
    </w:pPr>
  </w:style>
  <w:style w:type="character" w:customStyle="1" w:styleId="ListParagraphChar">
    <w:name w:val="List Paragraph Char"/>
    <w:aliases w:val="2 Char,Strip Char,H&amp;P List Paragraph Char,Saraksta rindkopa Char,Saraksta rindkopa1 Char"/>
    <w:link w:val="ListParagraph"/>
    <w:uiPriority w:val="34"/>
    <w:locked/>
    <w:rsid w:val="00024FA0"/>
    <w:rPr>
      <w:rFonts w:ascii="Times New Roman" w:eastAsia="Calibri" w:hAnsi="Times New Roman" w:cs="Times New Roman"/>
      <w:sz w:val="20"/>
      <w:szCs w:val="20"/>
      <w:lang w:val="en-AU"/>
    </w:rPr>
  </w:style>
  <w:style w:type="paragraph" w:styleId="BalloonText">
    <w:name w:val="Balloon Text"/>
    <w:basedOn w:val="Normal"/>
    <w:link w:val="BalloonTextChar"/>
    <w:uiPriority w:val="99"/>
    <w:semiHidden/>
    <w:unhideWhenUsed/>
    <w:rsid w:val="005959C7"/>
    <w:rPr>
      <w:rFonts w:ascii="Tahoma" w:hAnsi="Tahoma" w:cs="Tahoma"/>
      <w:sz w:val="16"/>
      <w:szCs w:val="16"/>
    </w:rPr>
  </w:style>
  <w:style w:type="character" w:customStyle="1" w:styleId="BalloonTextChar">
    <w:name w:val="Balloon Text Char"/>
    <w:basedOn w:val="DefaultParagraphFont"/>
    <w:link w:val="BalloonText"/>
    <w:uiPriority w:val="99"/>
    <w:semiHidden/>
    <w:rsid w:val="005959C7"/>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8921E8"/>
    <w:rPr>
      <w:sz w:val="16"/>
      <w:szCs w:val="16"/>
    </w:rPr>
  </w:style>
  <w:style w:type="paragraph" w:styleId="CommentText">
    <w:name w:val="annotation text"/>
    <w:basedOn w:val="Normal"/>
    <w:link w:val="CommentTextChar"/>
    <w:uiPriority w:val="99"/>
    <w:semiHidden/>
    <w:unhideWhenUsed/>
    <w:rsid w:val="008921E8"/>
  </w:style>
  <w:style w:type="character" w:customStyle="1" w:styleId="CommentTextChar">
    <w:name w:val="Comment Text Char"/>
    <w:basedOn w:val="DefaultParagraphFont"/>
    <w:link w:val="CommentText"/>
    <w:uiPriority w:val="99"/>
    <w:semiHidden/>
    <w:rsid w:val="008921E8"/>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921E8"/>
    <w:rPr>
      <w:b/>
      <w:bCs/>
    </w:rPr>
  </w:style>
  <w:style w:type="character" w:customStyle="1" w:styleId="CommentSubjectChar">
    <w:name w:val="Comment Subject Char"/>
    <w:basedOn w:val="CommentTextChar"/>
    <w:link w:val="CommentSubject"/>
    <w:uiPriority w:val="99"/>
    <w:semiHidden/>
    <w:rsid w:val="008921E8"/>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C84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lv/lv/izstrade-esosie-attistibas-planosanas-dokumenti-un-tiesibu-ak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10290</Words>
  <Characters>5866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creator>Madars Ūdris</dc:creator>
  <cp:keywords>Ministru kabineta noteikumu projekta anotācija</cp:keywords>
  <dc:description>ilze.brice@atd.lv, 67356126, madars.udris@atd.lv, 67686494</dc:description>
  <cp:lastModifiedBy>Baiba Jirgena</cp:lastModifiedBy>
  <cp:revision>5</cp:revision>
  <dcterms:created xsi:type="dcterms:W3CDTF">2020-08-03T07:06:00Z</dcterms:created>
  <dcterms:modified xsi:type="dcterms:W3CDTF">2020-08-03T11:52:00Z</dcterms:modified>
</cp:coreProperties>
</file>