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0F53" w:rsidR="002C6B8A" w:rsidP="00FD0F53" w:rsidRDefault="004A4835" w14:paraId="4852D6DE" w14:textId="77777777">
      <w:pPr>
        <w:spacing w:line="276" w:lineRule="auto"/>
        <w:jc w:val="center"/>
        <w:rPr>
          <w:b/>
          <w:lang w:val="lv-LV"/>
        </w:rPr>
      </w:pPr>
      <w:r w:rsidRPr="00FD0F53">
        <w:rPr>
          <w:b/>
          <w:lang w:val="lv-LV"/>
        </w:rPr>
        <w:t>Informatīvais ziņojums</w:t>
      </w:r>
    </w:p>
    <w:p w:rsidRPr="00FD0F53" w:rsidR="004A4835" w:rsidP="00FD0F53" w:rsidRDefault="004A4835" w14:paraId="2D09D1B3" w14:textId="77777777">
      <w:pPr>
        <w:spacing w:line="276" w:lineRule="auto"/>
        <w:jc w:val="center"/>
        <w:rPr>
          <w:b/>
          <w:lang w:val="lv-LV"/>
        </w:rPr>
      </w:pPr>
      <w:r w:rsidRPr="00FD0F53">
        <w:rPr>
          <w:b/>
          <w:lang w:val="lv-LV"/>
        </w:rPr>
        <w:t xml:space="preserve">par VAS “Ceļu satiksmes drošības direkcija” </w:t>
      </w:r>
    </w:p>
    <w:p w:rsidRPr="00FD0F53" w:rsidR="004A4835" w:rsidP="00FD0F53" w:rsidRDefault="004A4835" w14:paraId="6CBE8BB4" w14:textId="77777777">
      <w:pPr>
        <w:spacing w:line="276" w:lineRule="auto"/>
        <w:jc w:val="center"/>
        <w:rPr>
          <w:b/>
          <w:lang w:val="lv-LV"/>
        </w:rPr>
      </w:pPr>
      <w:r w:rsidRPr="00FD0F53">
        <w:rPr>
          <w:b/>
          <w:lang w:val="lv-LV"/>
        </w:rPr>
        <w:t>līdzdalības kapitālsabiedrībās pārvērtēšanu</w:t>
      </w:r>
    </w:p>
    <w:p w:rsidRPr="00FD0F53" w:rsidR="004A4835" w:rsidP="00FD0F53" w:rsidRDefault="004A4835" w14:paraId="650263C3" w14:textId="77777777">
      <w:pPr>
        <w:spacing w:line="276" w:lineRule="auto"/>
        <w:jc w:val="center"/>
        <w:rPr>
          <w:b/>
          <w:lang w:val="lv-LV"/>
        </w:rPr>
      </w:pPr>
    </w:p>
    <w:p w:rsidRPr="00FD0F53" w:rsidR="00603E1B" w:rsidP="00FD0F53" w:rsidRDefault="00072A44" w14:paraId="27BA14EB" w14:textId="77777777">
      <w:pPr>
        <w:pStyle w:val="NoSpacing"/>
        <w:spacing w:line="276" w:lineRule="auto"/>
        <w:jc w:val="center"/>
        <w:rPr>
          <w:b/>
          <w:bCs/>
          <w:sz w:val="24"/>
          <w:szCs w:val="24"/>
        </w:rPr>
      </w:pPr>
      <w:r w:rsidRPr="00FD0F53">
        <w:rPr>
          <w:b/>
          <w:bCs/>
          <w:sz w:val="24"/>
          <w:szCs w:val="24"/>
        </w:rPr>
        <w:t xml:space="preserve">I. </w:t>
      </w:r>
      <w:r w:rsidRPr="00FD0F53" w:rsidR="00603E1B">
        <w:rPr>
          <w:b/>
          <w:bCs/>
          <w:sz w:val="24"/>
          <w:szCs w:val="24"/>
        </w:rPr>
        <w:t>Ievads</w:t>
      </w:r>
    </w:p>
    <w:p w:rsidRPr="00FD0F53" w:rsidR="00072A44" w:rsidP="00FD0F53" w:rsidRDefault="00072A44" w14:paraId="28C1567C" w14:textId="77777777">
      <w:pPr>
        <w:pStyle w:val="NoSpacing"/>
        <w:spacing w:line="276" w:lineRule="auto"/>
        <w:jc w:val="center"/>
        <w:rPr>
          <w:sz w:val="24"/>
          <w:szCs w:val="24"/>
        </w:rPr>
      </w:pPr>
    </w:p>
    <w:p w:rsidRPr="00FD0F53" w:rsidR="00603E1B" w:rsidP="00FD0F53" w:rsidRDefault="00072A44" w14:paraId="1C1FA818" w14:textId="722AF5E7">
      <w:pPr>
        <w:pStyle w:val="NoSpacing"/>
        <w:spacing w:line="276" w:lineRule="auto"/>
        <w:ind w:firstLine="720"/>
        <w:jc w:val="both"/>
        <w:rPr>
          <w:sz w:val="24"/>
          <w:szCs w:val="24"/>
          <w:shd w:val="clear" w:color="auto" w:fill="FFFFFF"/>
        </w:rPr>
      </w:pPr>
      <w:r w:rsidRPr="00FD0F53">
        <w:rPr>
          <w:sz w:val="24"/>
          <w:szCs w:val="24"/>
        </w:rPr>
        <w:t>I</w:t>
      </w:r>
      <w:r w:rsidRPr="00FD0F53" w:rsidR="00603E1B">
        <w:rPr>
          <w:sz w:val="24"/>
          <w:szCs w:val="24"/>
        </w:rPr>
        <w:t>nformatīva</w:t>
      </w:r>
      <w:r w:rsidRPr="00FD0F53">
        <w:rPr>
          <w:sz w:val="24"/>
          <w:szCs w:val="24"/>
        </w:rPr>
        <w:t>jā</w:t>
      </w:r>
      <w:r w:rsidRPr="00FD0F53" w:rsidR="00603E1B">
        <w:rPr>
          <w:sz w:val="24"/>
          <w:szCs w:val="24"/>
        </w:rPr>
        <w:t xml:space="preserve"> ziņojum</w:t>
      </w:r>
      <w:r w:rsidRPr="00FD0F53">
        <w:rPr>
          <w:sz w:val="24"/>
          <w:szCs w:val="24"/>
        </w:rPr>
        <w:t>ā</w:t>
      </w:r>
      <w:r w:rsidRPr="00FD0F53" w:rsidR="00603E1B">
        <w:rPr>
          <w:sz w:val="24"/>
          <w:szCs w:val="24"/>
        </w:rPr>
        <w:t xml:space="preserve"> </w:t>
      </w:r>
      <w:r w:rsidRPr="00FD0F53" w:rsidR="00676A3B">
        <w:rPr>
          <w:sz w:val="24"/>
          <w:szCs w:val="24"/>
        </w:rPr>
        <w:t>pār</w:t>
      </w:r>
      <w:r w:rsidRPr="00FD0F53" w:rsidR="00603E1B">
        <w:rPr>
          <w:sz w:val="24"/>
          <w:szCs w:val="24"/>
        </w:rPr>
        <w:t>vērtēt</w:t>
      </w:r>
      <w:r w:rsidRPr="00FD0F53">
        <w:rPr>
          <w:sz w:val="24"/>
          <w:szCs w:val="24"/>
        </w:rPr>
        <w:t>a</w:t>
      </w:r>
      <w:r w:rsidRPr="00FD0F53" w:rsidR="00603E1B">
        <w:rPr>
          <w:sz w:val="24"/>
          <w:szCs w:val="24"/>
        </w:rPr>
        <w:t xml:space="preserve"> VAS “Ceļu satiksmes drošības direkcija” (turpmāk - CSDD) līdzdalība</w:t>
      </w:r>
      <w:r w:rsidRPr="00FD0F53" w:rsidR="00A55C17">
        <w:rPr>
          <w:sz w:val="24"/>
          <w:szCs w:val="24"/>
        </w:rPr>
        <w:t xml:space="preserve"> </w:t>
      </w:r>
      <w:r w:rsidRPr="00FD0F53" w:rsidR="00603E1B">
        <w:rPr>
          <w:sz w:val="24"/>
          <w:szCs w:val="24"/>
          <w:shd w:val="clear" w:color="auto" w:fill="FFFFFF"/>
        </w:rPr>
        <w:t>SIA „</w:t>
      </w:r>
      <w:proofErr w:type="spellStart"/>
      <w:r w:rsidRPr="00FD0F53" w:rsidR="00603E1B">
        <w:rPr>
          <w:sz w:val="24"/>
          <w:szCs w:val="24"/>
          <w:shd w:val="clear" w:color="auto" w:fill="FFFFFF"/>
        </w:rPr>
        <w:t>Auteko</w:t>
      </w:r>
      <w:proofErr w:type="spellEnd"/>
      <w:r w:rsidRPr="00FD0F53" w:rsidR="00603E1B">
        <w:rPr>
          <w:sz w:val="24"/>
          <w:szCs w:val="24"/>
          <w:shd w:val="clear" w:color="auto" w:fill="FFFFFF"/>
        </w:rPr>
        <w:t xml:space="preserve"> &amp; TÜV Latvija”</w:t>
      </w:r>
      <w:r w:rsidRPr="00FD0F53" w:rsidR="00676A3B">
        <w:rPr>
          <w:sz w:val="24"/>
          <w:szCs w:val="24"/>
          <w:shd w:val="clear" w:color="auto" w:fill="FFFFFF"/>
        </w:rPr>
        <w:t xml:space="preserve"> (reģ.nr.</w:t>
      </w:r>
      <w:r w:rsidRPr="00FD0F53" w:rsidR="00676A3B">
        <w:rPr>
          <w:sz w:val="24"/>
          <w:szCs w:val="24"/>
        </w:rPr>
        <w:t xml:space="preserve"> 40003201762)</w:t>
      </w:r>
      <w:r w:rsidRPr="00FD0F53" w:rsidR="0093528D">
        <w:rPr>
          <w:sz w:val="24"/>
          <w:szCs w:val="24"/>
          <w:shd w:val="clear" w:color="auto" w:fill="FFFFFF"/>
        </w:rPr>
        <w:t xml:space="preserve">, </w:t>
      </w:r>
      <w:r w:rsidRPr="00FD0F53" w:rsidR="00603E1B">
        <w:rPr>
          <w:sz w:val="24"/>
          <w:szCs w:val="24"/>
          <w:shd w:val="clear" w:color="auto" w:fill="FFFFFF"/>
        </w:rPr>
        <w:t>SIA „</w:t>
      </w:r>
      <w:proofErr w:type="spellStart"/>
      <w:r w:rsidRPr="00FD0F53" w:rsidR="00603E1B">
        <w:rPr>
          <w:sz w:val="24"/>
          <w:szCs w:val="24"/>
          <w:shd w:val="clear" w:color="auto" w:fill="FFFFFF"/>
        </w:rPr>
        <w:t>Scantest</w:t>
      </w:r>
      <w:proofErr w:type="spellEnd"/>
      <w:r w:rsidRPr="00FD0F53" w:rsidR="00603E1B">
        <w:rPr>
          <w:sz w:val="24"/>
          <w:szCs w:val="24"/>
          <w:shd w:val="clear" w:color="auto" w:fill="FFFFFF"/>
        </w:rPr>
        <w:t>”</w:t>
      </w:r>
      <w:r w:rsidRPr="00FD0F53" w:rsidR="00676A3B">
        <w:rPr>
          <w:sz w:val="24"/>
          <w:szCs w:val="24"/>
          <w:shd w:val="clear" w:color="auto" w:fill="FFFFFF"/>
        </w:rPr>
        <w:t xml:space="preserve"> (reģ.nr. </w:t>
      </w:r>
      <w:r w:rsidRPr="00FD0F53" w:rsidR="0013240B">
        <w:rPr>
          <w:sz w:val="24"/>
          <w:szCs w:val="24"/>
        </w:rPr>
        <w:t>40003348247)</w:t>
      </w:r>
      <w:r w:rsidRPr="00FD0F53" w:rsidR="0093528D">
        <w:rPr>
          <w:sz w:val="24"/>
          <w:szCs w:val="24"/>
          <w:shd w:val="clear" w:color="auto" w:fill="FFFFFF"/>
        </w:rPr>
        <w:t xml:space="preserve">, </w:t>
      </w:r>
      <w:r w:rsidRPr="00FD0F53" w:rsidR="00603E1B">
        <w:rPr>
          <w:sz w:val="24"/>
          <w:szCs w:val="24"/>
          <w:shd w:val="clear" w:color="auto" w:fill="FFFFFF"/>
        </w:rPr>
        <w:t>SIA „</w:t>
      </w:r>
      <w:proofErr w:type="spellStart"/>
      <w:r w:rsidRPr="00FD0F53" w:rsidR="00603E1B">
        <w:rPr>
          <w:sz w:val="24"/>
          <w:szCs w:val="24"/>
          <w:shd w:val="clear" w:color="auto" w:fill="FFFFFF"/>
        </w:rPr>
        <w:t>Venttests</w:t>
      </w:r>
      <w:proofErr w:type="spellEnd"/>
      <w:r w:rsidRPr="00FD0F53" w:rsidR="00603E1B">
        <w:rPr>
          <w:sz w:val="24"/>
          <w:szCs w:val="24"/>
          <w:shd w:val="clear" w:color="auto" w:fill="FFFFFF"/>
        </w:rPr>
        <w:t>”</w:t>
      </w:r>
      <w:r w:rsidRPr="00FD0F53" w:rsidR="0013240B">
        <w:rPr>
          <w:sz w:val="24"/>
          <w:szCs w:val="24"/>
          <w:shd w:val="clear" w:color="auto" w:fill="FFFFFF"/>
        </w:rPr>
        <w:t xml:space="preserve"> (reģ.nr.</w:t>
      </w:r>
      <w:r w:rsidRPr="00FD0F53" w:rsidR="0013240B">
        <w:rPr>
          <w:sz w:val="24"/>
          <w:szCs w:val="24"/>
        </w:rPr>
        <w:t xml:space="preserve"> 40003425118)</w:t>
      </w:r>
      <w:r w:rsidRPr="00FD0F53" w:rsidR="0093528D">
        <w:rPr>
          <w:sz w:val="24"/>
          <w:szCs w:val="24"/>
          <w:shd w:val="clear" w:color="auto" w:fill="FFFFFF"/>
        </w:rPr>
        <w:t xml:space="preserve"> un S</w:t>
      </w:r>
      <w:r w:rsidRPr="00FD0F53" w:rsidR="00603E1B">
        <w:rPr>
          <w:sz w:val="24"/>
          <w:szCs w:val="24"/>
          <w:shd w:val="clear" w:color="auto" w:fill="FFFFFF"/>
        </w:rPr>
        <w:t>IA „Autests”</w:t>
      </w:r>
      <w:r w:rsidRPr="00FD0F53" w:rsidR="0013240B">
        <w:rPr>
          <w:sz w:val="24"/>
          <w:szCs w:val="24"/>
          <w:shd w:val="clear" w:color="auto" w:fill="FFFFFF"/>
        </w:rPr>
        <w:t xml:space="preserve"> (reģ.nr.</w:t>
      </w:r>
      <w:r w:rsidRPr="00FD0F53" w:rsidR="0013240B">
        <w:rPr>
          <w:sz w:val="24"/>
          <w:szCs w:val="24"/>
        </w:rPr>
        <w:t xml:space="preserve"> 40003425353)</w:t>
      </w:r>
      <w:r w:rsidRPr="00FD0F53" w:rsidR="00FB641A">
        <w:rPr>
          <w:sz w:val="24"/>
          <w:szCs w:val="24"/>
        </w:rPr>
        <w:t xml:space="preserve"> (turpmāk</w:t>
      </w:r>
      <w:r w:rsidRPr="00FD0F53" w:rsidR="00E57FF0">
        <w:rPr>
          <w:sz w:val="24"/>
          <w:szCs w:val="24"/>
        </w:rPr>
        <w:t xml:space="preserve"> </w:t>
      </w:r>
      <w:r w:rsidRPr="00FD0F53" w:rsidR="00FB641A">
        <w:rPr>
          <w:sz w:val="24"/>
          <w:szCs w:val="24"/>
        </w:rPr>
        <w:t>– Kapitālsabiedrības)</w:t>
      </w:r>
      <w:r w:rsidRPr="00FD0F53">
        <w:rPr>
          <w:sz w:val="24"/>
          <w:szCs w:val="24"/>
          <w:shd w:val="clear" w:color="auto" w:fill="FFFFFF"/>
        </w:rPr>
        <w:t xml:space="preserve">, lai </w:t>
      </w:r>
      <w:r w:rsidRPr="00FD0F53" w:rsidR="00676A3B">
        <w:rPr>
          <w:sz w:val="24"/>
          <w:szCs w:val="24"/>
          <w:shd w:val="clear" w:color="auto" w:fill="FFFFFF"/>
        </w:rPr>
        <w:t xml:space="preserve">saskaņā ar </w:t>
      </w:r>
      <w:r w:rsidRPr="00FD0F53" w:rsidR="00676A3B">
        <w:rPr>
          <w:sz w:val="24"/>
          <w:szCs w:val="24"/>
        </w:rPr>
        <w:t xml:space="preserve">Publiskas personas kapitāla daļu un kapitālsabiedrību pārvaldības likuma 7.pantu </w:t>
      </w:r>
      <w:r w:rsidRPr="00FD0F53">
        <w:rPr>
          <w:sz w:val="24"/>
          <w:szCs w:val="24"/>
          <w:shd w:val="clear" w:color="auto" w:fill="FFFFFF"/>
        </w:rPr>
        <w:t>izvērtētu tās</w:t>
      </w:r>
      <w:r w:rsidRPr="00FD0F53" w:rsidR="00603E1B">
        <w:rPr>
          <w:sz w:val="24"/>
          <w:szCs w:val="24"/>
          <w:shd w:val="clear" w:color="auto" w:fill="FFFFFF"/>
        </w:rPr>
        <w:t xml:space="preserve"> </w:t>
      </w:r>
      <w:r w:rsidRPr="00FD0F53" w:rsidR="00603E1B">
        <w:rPr>
          <w:sz w:val="24"/>
          <w:szCs w:val="24"/>
        </w:rPr>
        <w:t>atbilstīb</w:t>
      </w:r>
      <w:r w:rsidRPr="00FD0F53" w:rsidR="00A55C17">
        <w:rPr>
          <w:sz w:val="24"/>
          <w:szCs w:val="24"/>
        </w:rPr>
        <w:t xml:space="preserve">u </w:t>
      </w:r>
      <w:r w:rsidRPr="00FD0F53" w:rsidR="00C515CA">
        <w:rPr>
          <w:sz w:val="24"/>
          <w:szCs w:val="24"/>
        </w:rPr>
        <w:t xml:space="preserve">šī likuma </w:t>
      </w:r>
      <w:r w:rsidRPr="00FD0F53" w:rsidR="00603E1B">
        <w:rPr>
          <w:sz w:val="24"/>
          <w:szCs w:val="24"/>
        </w:rPr>
        <w:t>4. panta nosacījumiem un Valsts pārvaldes iekārtas likuma 88. pantam</w:t>
      </w:r>
      <w:r w:rsidRPr="00FD0F53" w:rsidR="00A55C17">
        <w:rPr>
          <w:sz w:val="24"/>
          <w:szCs w:val="24"/>
          <w:shd w:val="clear" w:color="auto" w:fill="FFFFFF"/>
        </w:rPr>
        <w:t xml:space="preserve">. </w:t>
      </w:r>
    </w:p>
    <w:p w:rsidRPr="00FD0F53" w:rsidR="0013240B" w:rsidP="00FD0F53" w:rsidRDefault="0013240B" w14:paraId="05805A6B" w14:textId="08CFCAB2">
      <w:pPr>
        <w:pStyle w:val="NoSpacing"/>
        <w:spacing w:line="276" w:lineRule="auto"/>
        <w:ind w:firstLine="720"/>
        <w:jc w:val="both"/>
        <w:rPr>
          <w:sz w:val="24"/>
          <w:szCs w:val="24"/>
        </w:rPr>
      </w:pPr>
      <w:r w:rsidRPr="00FD0F53">
        <w:rPr>
          <w:sz w:val="24"/>
          <w:szCs w:val="24"/>
          <w:shd w:val="clear" w:color="auto" w:fill="FFFFFF"/>
        </w:rPr>
        <w:t>Izvērtēšanā ņemts vērā Konkurences padomes informatīvais materiāls “Priekšnoteikumi publiskas personas līdzdalībai kapitālsabiedrībā un tās izvērtēšana” (2019).</w:t>
      </w:r>
    </w:p>
    <w:p w:rsidRPr="00FD0F53" w:rsidR="004853F3" w:rsidP="00FD0F53" w:rsidRDefault="004853F3" w14:paraId="57024FFE" w14:textId="77777777">
      <w:pPr>
        <w:pStyle w:val="NoSpacing"/>
        <w:spacing w:line="276" w:lineRule="auto"/>
        <w:jc w:val="center"/>
        <w:rPr>
          <w:b/>
          <w:bCs/>
          <w:sz w:val="24"/>
          <w:szCs w:val="24"/>
        </w:rPr>
      </w:pPr>
    </w:p>
    <w:p w:rsidRPr="00FD0F53" w:rsidR="00603E1B" w:rsidP="00FD0F53" w:rsidRDefault="00603E1B" w14:paraId="71E1E70E" w14:textId="5B2935D0">
      <w:pPr>
        <w:pStyle w:val="NoSpacing"/>
        <w:spacing w:line="276" w:lineRule="auto"/>
        <w:jc w:val="center"/>
        <w:rPr>
          <w:b/>
          <w:bCs/>
          <w:sz w:val="24"/>
          <w:szCs w:val="24"/>
        </w:rPr>
      </w:pPr>
      <w:r w:rsidRPr="00FD0F53">
        <w:rPr>
          <w:b/>
          <w:bCs/>
          <w:sz w:val="24"/>
          <w:szCs w:val="24"/>
        </w:rPr>
        <w:t xml:space="preserve">II. </w:t>
      </w:r>
      <w:r w:rsidRPr="00FD0F53" w:rsidR="00072A44">
        <w:rPr>
          <w:b/>
          <w:bCs/>
          <w:sz w:val="24"/>
          <w:szCs w:val="24"/>
        </w:rPr>
        <w:t>S</w:t>
      </w:r>
      <w:r w:rsidRPr="00FD0F53">
        <w:rPr>
          <w:b/>
          <w:bCs/>
          <w:sz w:val="24"/>
          <w:szCs w:val="24"/>
        </w:rPr>
        <w:t>ituācijas izklāsts</w:t>
      </w:r>
    </w:p>
    <w:p w:rsidRPr="00FD0F53" w:rsidR="00481358" w:rsidP="00FD0F53" w:rsidRDefault="00481358" w14:paraId="0269F169" w14:textId="77777777">
      <w:pPr>
        <w:pStyle w:val="NoSpacing"/>
        <w:spacing w:line="276" w:lineRule="auto"/>
        <w:jc w:val="both"/>
        <w:rPr>
          <w:sz w:val="24"/>
          <w:szCs w:val="24"/>
          <w:shd w:val="clear" w:color="auto" w:fill="FFFFFF"/>
        </w:rPr>
      </w:pPr>
    </w:p>
    <w:p w:rsidRPr="00FD0F53" w:rsidR="00DD7EFD" w:rsidP="00FD0F53" w:rsidRDefault="00481358" w14:paraId="355EFD38" w14:textId="77777777">
      <w:pPr>
        <w:pStyle w:val="NoSpacing"/>
        <w:spacing w:line="276" w:lineRule="auto"/>
        <w:ind w:firstLine="720"/>
        <w:jc w:val="both"/>
        <w:rPr>
          <w:sz w:val="24"/>
          <w:szCs w:val="24"/>
          <w:shd w:val="clear" w:color="auto" w:fill="FFFFFF"/>
        </w:rPr>
      </w:pPr>
      <w:r w:rsidRPr="00FD0F53">
        <w:rPr>
          <w:sz w:val="24"/>
          <w:szCs w:val="24"/>
          <w:shd w:val="clear" w:color="auto" w:fill="FFFFFF"/>
        </w:rPr>
        <w:t xml:space="preserve">Transportlīdzekļu tehniskā </w:t>
      </w:r>
      <w:r w:rsidRPr="00FD0F53" w:rsidR="00DD159F">
        <w:rPr>
          <w:sz w:val="24"/>
          <w:szCs w:val="24"/>
          <w:shd w:val="clear" w:color="auto" w:fill="FFFFFF"/>
        </w:rPr>
        <w:t>kontrole</w:t>
      </w:r>
      <w:r w:rsidRPr="00FD0F53">
        <w:rPr>
          <w:sz w:val="24"/>
          <w:szCs w:val="24"/>
          <w:shd w:val="clear" w:color="auto" w:fill="FFFFFF"/>
        </w:rPr>
        <w:t xml:space="preserve"> ir viens no instrumentiem, lai panāktu, ka transportlīdzekļi to lietošanas laikā tiek uzturēti drošā un vides standartiem atbilstošā stāvoklī, kā arī</w:t>
      </w:r>
      <w:r w:rsidRPr="00FD0F53" w:rsidR="00914A5E">
        <w:rPr>
          <w:sz w:val="24"/>
          <w:szCs w:val="24"/>
          <w:shd w:val="clear" w:color="auto" w:fill="FFFFFF"/>
        </w:rPr>
        <w:t>, lai</w:t>
      </w:r>
      <w:r w:rsidRPr="00FD0F53">
        <w:rPr>
          <w:sz w:val="24"/>
          <w:szCs w:val="24"/>
          <w:shd w:val="clear" w:color="auto" w:fill="FFFFFF"/>
        </w:rPr>
        <w:t xml:space="preserve"> uzlabotu drošību ceļu satiksmē, aizsargājot cilvēku dzīvību, veselību un īpašumu. </w:t>
      </w:r>
    </w:p>
    <w:p w:rsidRPr="00FD0F53" w:rsidR="00914A5E" w:rsidP="00FD0F53" w:rsidRDefault="009928EB" w14:paraId="18253067" w14:textId="4B7727FF">
      <w:pPr>
        <w:pStyle w:val="NoSpacing"/>
        <w:tabs>
          <w:tab w:val="left" w:pos="0"/>
        </w:tabs>
        <w:spacing w:line="276" w:lineRule="auto"/>
        <w:ind w:firstLine="720"/>
        <w:jc w:val="both"/>
        <w:rPr>
          <w:sz w:val="24"/>
          <w:szCs w:val="24"/>
          <w:shd w:val="clear" w:color="auto" w:fill="FFFFFF"/>
        </w:rPr>
      </w:pPr>
      <w:r w:rsidRPr="00FD0F53">
        <w:rPr>
          <w:sz w:val="24"/>
          <w:szCs w:val="24"/>
          <w:shd w:val="clear" w:color="auto" w:fill="FFFFFF"/>
        </w:rPr>
        <w:t xml:space="preserve">Saskaņā ar Ceļu satiksmes likuma 16.panta trešo daļu mehānisko transportlīdzekļu un to piekabju (izņemot traktortehniku un tās piekabes) valsts tehnisko apskati Latvijā veic VAS “Ceļu satiksmes drošības direkcija” (turpmāk - CSDD), bet transportlīdzekļu tehniskā stāvokļa kontroli transportlīdzekļu valsts tehniskās apskates ietvaros — </w:t>
      </w:r>
      <w:r w:rsidRPr="00FD0F53" w:rsidR="00795D8A">
        <w:rPr>
          <w:sz w:val="24"/>
          <w:szCs w:val="24"/>
          <w:shd w:val="clear" w:color="auto" w:fill="FFFFFF"/>
        </w:rPr>
        <w:t xml:space="preserve">CSDD </w:t>
      </w:r>
      <w:r w:rsidRPr="00FD0F53">
        <w:rPr>
          <w:sz w:val="24"/>
          <w:szCs w:val="24"/>
          <w:shd w:val="clear" w:color="auto" w:fill="FFFFFF"/>
        </w:rPr>
        <w:t xml:space="preserve">vai </w:t>
      </w:r>
      <w:r w:rsidRPr="00FD0F53" w:rsidR="00795D8A">
        <w:rPr>
          <w:sz w:val="24"/>
          <w:szCs w:val="24"/>
          <w:shd w:val="clear" w:color="auto" w:fill="FFFFFF"/>
        </w:rPr>
        <w:t xml:space="preserve">CSDD </w:t>
      </w:r>
      <w:r w:rsidRPr="00FD0F53">
        <w:rPr>
          <w:sz w:val="24"/>
          <w:szCs w:val="24"/>
          <w:shd w:val="clear" w:color="auto" w:fill="FFFFFF"/>
        </w:rPr>
        <w:t>šim nolūkam akreditēta persona.</w:t>
      </w:r>
      <w:r w:rsidRPr="00FD0F53" w:rsidR="00914A5E">
        <w:rPr>
          <w:sz w:val="24"/>
          <w:szCs w:val="24"/>
          <w:shd w:val="clear" w:color="auto" w:fill="FFFFFF"/>
        </w:rPr>
        <w:t xml:space="preserve"> No likuma regulējuma izriet, ka valsts tehniskā apskate ir plašāks jēdziens </w:t>
      </w:r>
      <w:r w:rsidRPr="00FD0F53" w:rsidR="00A8544B">
        <w:rPr>
          <w:sz w:val="24"/>
          <w:szCs w:val="24"/>
          <w:shd w:val="clear" w:color="auto" w:fill="FFFFFF"/>
        </w:rPr>
        <w:t xml:space="preserve">un darbību kopums </w:t>
      </w:r>
      <w:r w:rsidRPr="00FD0F53" w:rsidR="00914A5E">
        <w:rPr>
          <w:sz w:val="24"/>
          <w:szCs w:val="24"/>
          <w:shd w:val="clear" w:color="auto" w:fill="FFFFFF"/>
        </w:rPr>
        <w:t xml:space="preserve">nekā tehniskā kontrole. </w:t>
      </w:r>
      <w:r w:rsidRPr="00FD0F53" w:rsidR="004C7556">
        <w:rPr>
          <w:sz w:val="24"/>
          <w:szCs w:val="24"/>
          <w:shd w:val="clear" w:color="auto" w:fill="FFFFFF"/>
        </w:rPr>
        <w:t>T</w:t>
      </w:r>
      <w:r w:rsidRPr="00FD0F53" w:rsidR="00C117CD">
        <w:rPr>
          <w:sz w:val="24"/>
          <w:szCs w:val="24"/>
          <w:shd w:val="clear" w:color="auto" w:fill="FFFFFF"/>
        </w:rPr>
        <w:t>ransportlīdzekļu t</w:t>
      </w:r>
      <w:r w:rsidRPr="00FD0F53" w:rsidR="004C7556">
        <w:rPr>
          <w:sz w:val="24"/>
          <w:szCs w:val="24"/>
          <w:shd w:val="clear" w:color="auto" w:fill="FFFFFF"/>
        </w:rPr>
        <w:t xml:space="preserve">ehniskā kontrole ir vai nu pakalpojums, ko akreditēta persona </w:t>
      </w:r>
      <w:r w:rsidRPr="00FD0F53" w:rsidR="00C117CD">
        <w:rPr>
          <w:sz w:val="24"/>
          <w:szCs w:val="24"/>
          <w:shd w:val="clear" w:color="auto" w:fill="FFFFFF"/>
        </w:rPr>
        <w:t xml:space="preserve">saskaņā ar līgumu </w:t>
      </w:r>
      <w:r w:rsidRPr="00FD0F53" w:rsidR="004C7556">
        <w:rPr>
          <w:sz w:val="24"/>
          <w:szCs w:val="24"/>
          <w:shd w:val="clear" w:color="auto" w:fill="FFFFFF"/>
        </w:rPr>
        <w:t>sniedz CSDD vai pašas CSDD veikta darbība valsts tehniskās apskates ietvaros.</w:t>
      </w:r>
      <w:r w:rsidRPr="00FD0F53" w:rsidR="00C117CD">
        <w:rPr>
          <w:sz w:val="24"/>
          <w:szCs w:val="24"/>
          <w:shd w:val="clear" w:color="auto" w:fill="FFFFFF"/>
        </w:rPr>
        <w:t xml:space="preserve"> </w:t>
      </w:r>
      <w:r w:rsidRPr="00FD0F53" w:rsidR="00C117CD">
        <w:rPr>
          <w:iCs/>
          <w:sz w:val="24"/>
          <w:szCs w:val="24"/>
          <w:shd w:val="clear" w:color="auto" w:fill="FFFFFF"/>
        </w:rPr>
        <w:t>Realizējot CSDD vidējā termiņa darbības stratēģijā 2018. – 2020.gadam noteiktos mērķus, k</w:t>
      </w:r>
      <w:r w:rsidRPr="00FD0F53" w:rsidR="00914A5E">
        <w:rPr>
          <w:iCs/>
          <w:sz w:val="24"/>
          <w:szCs w:val="24"/>
          <w:shd w:val="clear" w:color="auto" w:fill="FFFFFF"/>
        </w:rPr>
        <w:t xml:space="preserve">opš 2019.gada 4.septembra CSDD </w:t>
      </w:r>
      <w:r w:rsidRPr="00FD0F53" w:rsidR="000B4B52">
        <w:rPr>
          <w:iCs/>
          <w:sz w:val="24"/>
          <w:szCs w:val="24"/>
          <w:shd w:val="clear" w:color="auto" w:fill="FFFFFF"/>
        </w:rPr>
        <w:t xml:space="preserve">pati </w:t>
      </w:r>
      <w:r w:rsidRPr="00FD0F53" w:rsidR="00914A5E">
        <w:rPr>
          <w:iCs/>
          <w:sz w:val="24"/>
          <w:szCs w:val="24"/>
          <w:shd w:val="clear" w:color="auto" w:fill="FFFFFF"/>
        </w:rPr>
        <w:t>vairs neveic transportlīdzekļu tehnisko kontroli</w:t>
      </w:r>
      <w:r w:rsidRPr="00FD0F53" w:rsidR="008B4500">
        <w:rPr>
          <w:iCs/>
          <w:sz w:val="24"/>
          <w:szCs w:val="24"/>
          <w:shd w:val="clear" w:color="auto" w:fill="FFFFFF"/>
        </w:rPr>
        <w:t xml:space="preserve"> </w:t>
      </w:r>
      <w:r w:rsidRPr="00FD0F53" w:rsidR="008B4500">
        <w:rPr>
          <w:sz w:val="24"/>
          <w:szCs w:val="24"/>
          <w:shd w:val="clear" w:color="auto" w:fill="FFFFFF"/>
        </w:rPr>
        <w:t>valsts tehniskās apskates ietvaros</w:t>
      </w:r>
      <w:r w:rsidRPr="00FD0F53" w:rsidR="000B4B52">
        <w:rPr>
          <w:iCs/>
          <w:sz w:val="24"/>
          <w:szCs w:val="24"/>
          <w:shd w:val="clear" w:color="auto" w:fill="FFFFFF"/>
        </w:rPr>
        <w:t xml:space="preserve"> un tagad to </w:t>
      </w:r>
      <w:r w:rsidRPr="00FD0F53" w:rsidR="00914A5E">
        <w:rPr>
          <w:iCs/>
          <w:sz w:val="24"/>
          <w:szCs w:val="24"/>
          <w:shd w:val="clear" w:color="auto" w:fill="FFFFFF"/>
        </w:rPr>
        <w:t xml:space="preserve">pilnībā nodrošina </w:t>
      </w:r>
      <w:r w:rsidRPr="00FD0F53" w:rsidR="000B4B52">
        <w:rPr>
          <w:iCs/>
          <w:sz w:val="24"/>
          <w:szCs w:val="24"/>
          <w:shd w:val="clear" w:color="auto" w:fill="FFFFFF"/>
        </w:rPr>
        <w:t>akreditētās personas, kurās CSDD ir līdzdalība.</w:t>
      </w:r>
      <w:r w:rsidRPr="00FD0F53" w:rsidR="00914A5E">
        <w:rPr>
          <w:sz w:val="24"/>
          <w:szCs w:val="24"/>
          <w:shd w:val="clear" w:color="auto" w:fill="FFFFFF"/>
        </w:rPr>
        <w:t xml:space="preserve"> </w:t>
      </w:r>
    </w:p>
    <w:p w:rsidRPr="00FD0F53" w:rsidR="00912131" w:rsidP="00FD0F53" w:rsidRDefault="00CE001A" w14:paraId="65BEAED7" w14:textId="458B3D62">
      <w:pPr>
        <w:pStyle w:val="NoSpacing"/>
        <w:spacing w:line="276" w:lineRule="auto"/>
        <w:ind w:firstLine="720"/>
        <w:jc w:val="both"/>
        <w:rPr>
          <w:sz w:val="24"/>
          <w:szCs w:val="24"/>
        </w:rPr>
      </w:pPr>
      <w:r w:rsidRPr="00FD0F53">
        <w:rPr>
          <w:sz w:val="24"/>
          <w:szCs w:val="24"/>
        </w:rPr>
        <w:t>Jau v</w:t>
      </w:r>
      <w:r w:rsidRPr="00FD0F53" w:rsidR="00795D8A">
        <w:rPr>
          <w:sz w:val="24"/>
          <w:szCs w:val="24"/>
        </w:rPr>
        <w:t xml:space="preserve">eidojot tehniskās apskates sistēmu </w:t>
      </w:r>
      <w:r w:rsidRPr="00FD0F53">
        <w:rPr>
          <w:sz w:val="24"/>
          <w:szCs w:val="24"/>
        </w:rPr>
        <w:t xml:space="preserve">Latvijā </w:t>
      </w:r>
      <w:r w:rsidRPr="00FD0F53" w:rsidR="00795D8A">
        <w:rPr>
          <w:sz w:val="24"/>
          <w:szCs w:val="24"/>
        </w:rPr>
        <w:t xml:space="preserve">un </w:t>
      </w:r>
      <w:r w:rsidRPr="00FD0F53">
        <w:rPr>
          <w:sz w:val="24"/>
          <w:szCs w:val="24"/>
        </w:rPr>
        <w:t xml:space="preserve">attīstot transportlīdzekļu un to vadītāju valsts reģistru, </w:t>
      </w:r>
      <w:r w:rsidRPr="00FD0F53" w:rsidR="00B01C1C">
        <w:rPr>
          <w:sz w:val="24"/>
          <w:szCs w:val="24"/>
        </w:rPr>
        <w:t xml:space="preserve">tika </w:t>
      </w:r>
      <w:r w:rsidRPr="00FD0F53" w:rsidR="00795D8A">
        <w:rPr>
          <w:sz w:val="24"/>
          <w:szCs w:val="24"/>
        </w:rPr>
        <w:t xml:space="preserve">secināts, ka </w:t>
      </w:r>
      <w:r w:rsidRPr="00FD0F53">
        <w:rPr>
          <w:sz w:val="24"/>
          <w:szCs w:val="24"/>
        </w:rPr>
        <w:t xml:space="preserve">periodiska </w:t>
      </w:r>
      <w:r w:rsidRPr="00FD0F53" w:rsidR="00795D8A">
        <w:rPr>
          <w:sz w:val="24"/>
          <w:szCs w:val="24"/>
        </w:rPr>
        <w:t xml:space="preserve">transportlīdzekļu </w:t>
      </w:r>
      <w:r w:rsidRPr="00FD0F53" w:rsidR="00B01C1C">
        <w:rPr>
          <w:sz w:val="24"/>
          <w:szCs w:val="24"/>
        </w:rPr>
        <w:t xml:space="preserve">uzrādīšana </w:t>
      </w:r>
      <w:r w:rsidRPr="00FD0F53" w:rsidR="00795D8A">
        <w:rPr>
          <w:sz w:val="24"/>
          <w:szCs w:val="24"/>
        </w:rPr>
        <w:t>tehniskā</w:t>
      </w:r>
      <w:r w:rsidRPr="00FD0F53" w:rsidR="00B01C1C">
        <w:rPr>
          <w:sz w:val="24"/>
          <w:szCs w:val="24"/>
        </w:rPr>
        <w:t>s</w:t>
      </w:r>
      <w:r w:rsidRPr="00FD0F53" w:rsidR="00795D8A">
        <w:rPr>
          <w:sz w:val="24"/>
          <w:szCs w:val="24"/>
        </w:rPr>
        <w:t xml:space="preserve"> apskate</w:t>
      </w:r>
      <w:r w:rsidRPr="00FD0F53" w:rsidR="00B01C1C">
        <w:rPr>
          <w:sz w:val="24"/>
          <w:szCs w:val="24"/>
        </w:rPr>
        <w:t xml:space="preserve">s vietā un transportlīdzekļu </w:t>
      </w:r>
      <w:r w:rsidRPr="00FD0F53" w:rsidR="00892C5B">
        <w:rPr>
          <w:sz w:val="24"/>
          <w:szCs w:val="24"/>
        </w:rPr>
        <w:t xml:space="preserve">un to vadītāju valsts </w:t>
      </w:r>
      <w:r w:rsidRPr="00FD0F53" w:rsidR="00B01C1C">
        <w:rPr>
          <w:sz w:val="24"/>
          <w:szCs w:val="24"/>
        </w:rPr>
        <w:t>reģistra pieejamība tiešsaistē ļauj veikt</w:t>
      </w:r>
      <w:r w:rsidRPr="00FD0F53" w:rsidR="00795D8A">
        <w:rPr>
          <w:sz w:val="24"/>
          <w:szCs w:val="24"/>
        </w:rPr>
        <w:t xml:space="preserve"> </w:t>
      </w:r>
      <w:r w:rsidRPr="00FD0F53">
        <w:rPr>
          <w:sz w:val="24"/>
          <w:szCs w:val="24"/>
        </w:rPr>
        <w:t xml:space="preserve">daudz plašāku </w:t>
      </w:r>
      <w:r w:rsidRPr="00FD0F53" w:rsidR="00B01C1C">
        <w:rPr>
          <w:sz w:val="24"/>
          <w:szCs w:val="24"/>
        </w:rPr>
        <w:t xml:space="preserve">darbību loku nekā </w:t>
      </w:r>
      <w:r w:rsidRPr="00FD0F53" w:rsidR="00795D8A">
        <w:rPr>
          <w:sz w:val="24"/>
          <w:szCs w:val="24"/>
        </w:rPr>
        <w:t>tikai transportlīdzekļa tehniskā stāvokļa pārbaud</w:t>
      </w:r>
      <w:r w:rsidRPr="00FD0F53" w:rsidR="00B01C1C">
        <w:rPr>
          <w:sz w:val="24"/>
          <w:szCs w:val="24"/>
        </w:rPr>
        <w:t xml:space="preserve">i. </w:t>
      </w:r>
      <w:r w:rsidRPr="00FD0F53" w:rsidR="00795D8A">
        <w:rPr>
          <w:sz w:val="24"/>
          <w:szCs w:val="24"/>
        </w:rPr>
        <w:t xml:space="preserve"> </w:t>
      </w:r>
      <w:r w:rsidRPr="00FD0F53" w:rsidR="0093587F">
        <w:rPr>
          <w:sz w:val="24"/>
          <w:szCs w:val="24"/>
        </w:rPr>
        <w:t>Līdz ar to, tagad</w:t>
      </w:r>
      <w:r w:rsidRPr="00FD0F53" w:rsidR="007A6432">
        <w:rPr>
          <w:sz w:val="24"/>
          <w:szCs w:val="24"/>
        </w:rPr>
        <w:t xml:space="preserve"> transportlīdzekļu valsts tehniskā apskate atvieglo un nodrošina </w:t>
      </w:r>
      <w:r w:rsidRPr="00FD0F53" w:rsidR="0093587F">
        <w:rPr>
          <w:sz w:val="24"/>
          <w:szCs w:val="24"/>
        </w:rPr>
        <w:t xml:space="preserve">arī </w:t>
      </w:r>
      <w:r w:rsidRPr="00FD0F53" w:rsidR="007A6432">
        <w:rPr>
          <w:sz w:val="24"/>
          <w:szCs w:val="24"/>
        </w:rPr>
        <w:t xml:space="preserve">virkni valsts un pašvaldību </w:t>
      </w:r>
      <w:r w:rsidRPr="00FD0F53" w:rsidR="00E77AE2">
        <w:rPr>
          <w:sz w:val="24"/>
          <w:szCs w:val="24"/>
        </w:rPr>
        <w:t xml:space="preserve">iestāžu un citu </w:t>
      </w:r>
      <w:r w:rsidRPr="00FD0F53" w:rsidR="007A6432">
        <w:rPr>
          <w:sz w:val="24"/>
          <w:szCs w:val="24"/>
        </w:rPr>
        <w:t xml:space="preserve">institūciju funkciju īstenošanu, kuru izpilde </w:t>
      </w:r>
      <w:r w:rsidRPr="00FD0F53" w:rsidR="00B72BEB">
        <w:rPr>
          <w:sz w:val="24"/>
          <w:szCs w:val="24"/>
        </w:rPr>
        <w:t xml:space="preserve">citos veidos </w:t>
      </w:r>
      <w:r w:rsidRPr="00FD0F53" w:rsidR="007A6432">
        <w:rPr>
          <w:sz w:val="24"/>
          <w:szCs w:val="24"/>
        </w:rPr>
        <w:t>būtu neefektīva, laikietilpīga un dārga</w:t>
      </w:r>
      <w:r w:rsidRPr="00FD0F53" w:rsidR="00F904C1">
        <w:rPr>
          <w:sz w:val="24"/>
          <w:szCs w:val="24"/>
        </w:rPr>
        <w:t xml:space="preserve"> (piemēram, dažāda veida piedziņas un saistību izpildes nodrošināšana, nodokļu samaksas kontrole, </w:t>
      </w:r>
      <w:r w:rsidRPr="00FD0F53" w:rsidR="001D3A5C">
        <w:rPr>
          <w:sz w:val="24"/>
          <w:szCs w:val="24"/>
        </w:rPr>
        <w:t>kā</w:t>
      </w:r>
      <w:r w:rsidRPr="00FD0F53" w:rsidR="00F904C1">
        <w:rPr>
          <w:sz w:val="24"/>
          <w:szCs w:val="24"/>
        </w:rPr>
        <w:t xml:space="preserve"> arī to iekasēšana pakalpojuma saņemšanas vietā, transportlīdzekļu īpašnieku civiltiesiskās atbildības obligātās apdrošināšanas kontrole, u.tml.)</w:t>
      </w:r>
      <w:r w:rsidRPr="00FD0F53" w:rsidR="007A6432">
        <w:rPr>
          <w:sz w:val="24"/>
          <w:szCs w:val="24"/>
        </w:rPr>
        <w:t xml:space="preserve">. </w:t>
      </w:r>
      <w:r w:rsidRPr="00FD0F53" w:rsidR="00220E39">
        <w:rPr>
          <w:sz w:val="24"/>
          <w:szCs w:val="24"/>
        </w:rPr>
        <w:t>T</w:t>
      </w:r>
      <w:r w:rsidRPr="00FD0F53" w:rsidR="00795D8A">
        <w:rPr>
          <w:sz w:val="24"/>
          <w:szCs w:val="24"/>
        </w:rPr>
        <w:t xml:space="preserve">omēr tieši tehniskās </w:t>
      </w:r>
      <w:r w:rsidRPr="00FD0F53" w:rsidR="00795D8A">
        <w:rPr>
          <w:sz w:val="24"/>
          <w:szCs w:val="24"/>
        </w:rPr>
        <w:lastRenderedPageBreak/>
        <w:t>kontroles nodrošināšana pras</w:t>
      </w:r>
      <w:r w:rsidRPr="00FD0F53" w:rsidR="003D2F6C">
        <w:rPr>
          <w:sz w:val="24"/>
          <w:szCs w:val="24"/>
        </w:rPr>
        <w:t>a</w:t>
      </w:r>
      <w:r w:rsidRPr="00FD0F53" w:rsidR="00795D8A">
        <w:rPr>
          <w:sz w:val="24"/>
          <w:szCs w:val="24"/>
        </w:rPr>
        <w:t xml:space="preserve"> lielākos finanšu līdzekļus, specifiskas zināšanas un pieredzi. </w:t>
      </w:r>
      <w:r w:rsidRPr="00FD0F53" w:rsidR="0093587F">
        <w:rPr>
          <w:sz w:val="24"/>
          <w:szCs w:val="24"/>
        </w:rPr>
        <w:t>T</w:t>
      </w:r>
      <w:r w:rsidRPr="00FD0F53" w:rsidR="00795D8A">
        <w:rPr>
          <w:sz w:val="24"/>
          <w:szCs w:val="24"/>
        </w:rPr>
        <w:t xml:space="preserve">ehniskās kontroles funkcijas </w:t>
      </w:r>
      <w:r w:rsidRPr="00FD0F53" w:rsidR="0093587F">
        <w:rPr>
          <w:sz w:val="24"/>
          <w:szCs w:val="24"/>
        </w:rPr>
        <w:t>nodrošināšana</w:t>
      </w:r>
      <w:r w:rsidRPr="00FD0F53" w:rsidR="00FF223E">
        <w:rPr>
          <w:sz w:val="24"/>
          <w:szCs w:val="24"/>
        </w:rPr>
        <w:t>,</w:t>
      </w:r>
      <w:r w:rsidRPr="00FD0F53" w:rsidR="00795D8A">
        <w:rPr>
          <w:sz w:val="24"/>
          <w:szCs w:val="24"/>
        </w:rPr>
        <w:t xml:space="preserve"> </w:t>
      </w:r>
      <w:r w:rsidRPr="00FD0F53" w:rsidR="0093587F">
        <w:rPr>
          <w:sz w:val="24"/>
          <w:szCs w:val="24"/>
        </w:rPr>
        <w:t xml:space="preserve">izveidojot </w:t>
      </w:r>
      <w:r w:rsidRPr="00FD0F53" w:rsidR="00FF223E">
        <w:rPr>
          <w:sz w:val="24"/>
          <w:szCs w:val="24"/>
          <w:shd w:val="clear" w:color="auto" w:fill="FFFFFF"/>
        </w:rPr>
        <w:t>visā valstī</w:t>
      </w:r>
      <w:r w:rsidRPr="00FD0F53" w:rsidR="00FF223E">
        <w:rPr>
          <w:sz w:val="24"/>
          <w:szCs w:val="24"/>
        </w:rPr>
        <w:t xml:space="preserve"> </w:t>
      </w:r>
      <w:r w:rsidRPr="00FD0F53" w:rsidR="0093587F">
        <w:rPr>
          <w:sz w:val="24"/>
          <w:szCs w:val="24"/>
        </w:rPr>
        <w:t>noteiktām prasībām atbilstošas tehniskās apskates stacijas</w:t>
      </w:r>
      <w:r w:rsidRPr="00FD0F53" w:rsidR="00C9145C">
        <w:rPr>
          <w:sz w:val="24"/>
          <w:szCs w:val="24"/>
        </w:rPr>
        <w:t>,</w:t>
      </w:r>
      <w:r w:rsidRPr="00FD0F53" w:rsidR="0093587F">
        <w:rPr>
          <w:sz w:val="24"/>
          <w:szCs w:val="24"/>
        </w:rPr>
        <w:t xml:space="preserve"> </w:t>
      </w:r>
      <w:r w:rsidRPr="00FD0F53" w:rsidR="00FF223E">
        <w:rPr>
          <w:sz w:val="24"/>
          <w:szCs w:val="24"/>
        </w:rPr>
        <w:t xml:space="preserve">un </w:t>
      </w:r>
      <w:r w:rsidRPr="00FD0F53" w:rsidR="00FF223E">
        <w:rPr>
          <w:sz w:val="24"/>
          <w:szCs w:val="24"/>
          <w:shd w:val="clear" w:color="auto" w:fill="FFFFFF"/>
        </w:rPr>
        <w:t>ilgtermiņa transportlīdzekļu valsts tehniskās apskates politikas īstenošana</w:t>
      </w:r>
      <w:r w:rsidRPr="00FD0F53" w:rsidR="00FF223E">
        <w:rPr>
          <w:sz w:val="24"/>
          <w:szCs w:val="24"/>
        </w:rPr>
        <w:t xml:space="preserve"> </w:t>
      </w:r>
      <w:r w:rsidRPr="00FD0F53" w:rsidR="0093587F">
        <w:rPr>
          <w:sz w:val="24"/>
          <w:szCs w:val="24"/>
        </w:rPr>
        <w:t>tikai ar publiskā finan</w:t>
      </w:r>
      <w:r w:rsidRPr="00FD0F53" w:rsidR="00F23BD1">
        <w:rPr>
          <w:sz w:val="24"/>
          <w:szCs w:val="24"/>
        </w:rPr>
        <w:t>sējuma</w:t>
      </w:r>
      <w:r w:rsidRPr="00FD0F53" w:rsidR="0093587F">
        <w:rPr>
          <w:sz w:val="24"/>
          <w:szCs w:val="24"/>
        </w:rPr>
        <w:t xml:space="preserve"> līdzekļiem noteiktajā laika ietvarā nebūtu iespējama. </w:t>
      </w:r>
      <w:r w:rsidRPr="00FD0F53" w:rsidR="00FF223E">
        <w:rPr>
          <w:sz w:val="24"/>
          <w:szCs w:val="24"/>
        </w:rPr>
        <w:t>Tādēļ,</w:t>
      </w:r>
      <w:r w:rsidRPr="00FD0F53" w:rsidR="001156F7">
        <w:rPr>
          <w:sz w:val="24"/>
          <w:szCs w:val="24"/>
          <w:shd w:val="clear" w:color="auto" w:fill="FFFFFF"/>
        </w:rPr>
        <w:t xml:space="preserve"> </w:t>
      </w:r>
      <w:r w:rsidRPr="00FD0F53" w:rsidR="00472354">
        <w:rPr>
          <w:sz w:val="24"/>
          <w:szCs w:val="24"/>
          <w:shd w:val="clear" w:color="auto" w:fill="FFFFFF"/>
        </w:rPr>
        <w:t xml:space="preserve">ar </w:t>
      </w:r>
      <w:r w:rsidRPr="00FD0F53" w:rsidR="00040A00">
        <w:rPr>
          <w:sz w:val="24"/>
          <w:szCs w:val="24"/>
          <w:shd w:val="clear" w:color="auto" w:fill="FFFFFF"/>
        </w:rPr>
        <w:t xml:space="preserve">valsts un </w:t>
      </w:r>
      <w:r w:rsidRPr="00FD0F53" w:rsidR="00472354">
        <w:rPr>
          <w:sz w:val="24"/>
          <w:szCs w:val="24"/>
          <w:shd w:val="clear" w:color="auto" w:fill="FFFFFF"/>
        </w:rPr>
        <w:t xml:space="preserve">CSDD līdzdalību </w:t>
      </w:r>
      <w:r w:rsidRPr="00FD0F53" w:rsidR="00E57FF0">
        <w:rPr>
          <w:sz w:val="24"/>
          <w:szCs w:val="24"/>
          <w:shd w:val="clear" w:color="auto" w:fill="FFFFFF"/>
        </w:rPr>
        <w:t xml:space="preserve">un privātā kapitāla piesaisti </w:t>
      </w:r>
      <w:r w:rsidRPr="00FD0F53" w:rsidR="00040A00">
        <w:rPr>
          <w:sz w:val="24"/>
          <w:szCs w:val="24"/>
          <w:shd w:val="clear" w:color="auto" w:fill="FFFFFF"/>
        </w:rPr>
        <w:t xml:space="preserve">pakāpeniski </w:t>
      </w:r>
      <w:r w:rsidRPr="00FD0F53" w:rsidR="00472354">
        <w:rPr>
          <w:sz w:val="24"/>
          <w:szCs w:val="24"/>
          <w:shd w:val="clear" w:color="auto" w:fill="FFFFFF"/>
        </w:rPr>
        <w:t xml:space="preserve">tika </w:t>
      </w:r>
      <w:r w:rsidRPr="00FD0F53" w:rsidR="00040A00">
        <w:rPr>
          <w:sz w:val="24"/>
          <w:szCs w:val="24"/>
          <w:shd w:val="clear" w:color="auto" w:fill="FFFFFF"/>
        </w:rPr>
        <w:t>izveidotas</w:t>
      </w:r>
      <w:r w:rsidRPr="00FD0F53" w:rsidR="00472354">
        <w:rPr>
          <w:sz w:val="24"/>
          <w:szCs w:val="24"/>
          <w:shd w:val="clear" w:color="auto" w:fill="FFFFFF"/>
        </w:rPr>
        <w:t xml:space="preserve"> </w:t>
      </w:r>
      <w:r w:rsidRPr="00FD0F53" w:rsidR="00E57FF0">
        <w:rPr>
          <w:sz w:val="24"/>
          <w:szCs w:val="24"/>
          <w:shd w:val="clear" w:color="auto" w:fill="FFFFFF"/>
        </w:rPr>
        <w:t>K</w:t>
      </w:r>
      <w:r w:rsidRPr="00FD0F53" w:rsidR="001156F7">
        <w:rPr>
          <w:sz w:val="24"/>
          <w:szCs w:val="24"/>
          <w:shd w:val="clear" w:color="auto" w:fill="FFFFFF"/>
        </w:rPr>
        <w:t>apitālsabiedrīb</w:t>
      </w:r>
      <w:r w:rsidRPr="00FD0F53" w:rsidR="00472354">
        <w:rPr>
          <w:sz w:val="24"/>
          <w:szCs w:val="24"/>
          <w:shd w:val="clear" w:color="auto" w:fill="FFFFFF"/>
        </w:rPr>
        <w:t>a</w:t>
      </w:r>
      <w:r w:rsidRPr="00FD0F53" w:rsidR="001156F7">
        <w:rPr>
          <w:sz w:val="24"/>
          <w:szCs w:val="24"/>
          <w:shd w:val="clear" w:color="auto" w:fill="FFFFFF"/>
        </w:rPr>
        <w:t>s</w:t>
      </w:r>
      <w:r w:rsidRPr="00FD0F53" w:rsidR="00040A00">
        <w:rPr>
          <w:sz w:val="24"/>
          <w:szCs w:val="24"/>
          <w:shd w:val="clear" w:color="auto" w:fill="FFFFFF"/>
        </w:rPr>
        <w:t xml:space="preserve">, kas kopā ar pašas CSDD veidotajām tehniskās apskates stacijām, nodrošināja, ka kopš 2003.gada transportlīdzekļu valsts tehniskā apskate </w:t>
      </w:r>
      <w:r w:rsidRPr="00FD0F53" w:rsidR="001D3A5C">
        <w:rPr>
          <w:sz w:val="24"/>
          <w:szCs w:val="24"/>
          <w:shd w:val="clear" w:color="auto" w:fill="FFFFFF"/>
        </w:rPr>
        <w:t xml:space="preserve">Latvijā </w:t>
      </w:r>
      <w:r w:rsidRPr="00FD0F53" w:rsidR="00040A00">
        <w:rPr>
          <w:sz w:val="24"/>
          <w:szCs w:val="24"/>
          <w:shd w:val="clear" w:color="auto" w:fill="FFFFFF"/>
        </w:rPr>
        <w:t>tiek veikta tikai noteiktajām prasībām atbilstošās tehniskās apskates stacijās (aprīkotas telpas, stāvlaukumi, iekārtas un kvalificēts personāls)</w:t>
      </w:r>
      <w:r w:rsidRPr="00FD0F53" w:rsidR="00DE2933">
        <w:rPr>
          <w:sz w:val="24"/>
          <w:szCs w:val="24"/>
        </w:rPr>
        <w:t>.</w:t>
      </w:r>
    </w:p>
    <w:p w:rsidRPr="00FD0F53" w:rsidR="00540163" w:rsidP="00FD0F53" w:rsidRDefault="001870FF" w14:paraId="5F465CA0" w14:textId="4A75F844">
      <w:pPr>
        <w:pStyle w:val="NoSpacing"/>
        <w:spacing w:line="276" w:lineRule="auto"/>
        <w:ind w:firstLine="720"/>
        <w:jc w:val="both"/>
        <w:rPr>
          <w:sz w:val="24"/>
          <w:szCs w:val="24"/>
        </w:rPr>
      </w:pPr>
      <w:r w:rsidRPr="00FD0F53">
        <w:rPr>
          <w:sz w:val="24"/>
          <w:szCs w:val="24"/>
        </w:rPr>
        <w:t xml:space="preserve">Šis </w:t>
      </w:r>
      <w:r w:rsidRPr="00FD0F53" w:rsidR="00821C83">
        <w:rPr>
          <w:sz w:val="24"/>
          <w:szCs w:val="24"/>
        </w:rPr>
        <w:t xml:space="preserve">privātās partnerības </w:t>
      </w:r>
      <w:r w:rsidRPr="00FD0F53" w:rsidR="00E57FF0">
        <w:rPr>
          <w:sz w:val="24"/>
          <w:szCs w:val="24"/>
        </w:rPr>
        <w:t>modelis</w:t>
      </w:r>
      <w:r w:rsidRPr="00FD0F53" w:rsidR="00F22C8F">
        <w:rPr>
          <w:sz w:val="24"/>
          <w:szCs w:val="24"/>
        </w:rPr>
        <w:t>, ko īstenoja Satiksmes ministrija</w:t>
      </w:r>
      <w:r w:rsidRPr="00FD0F53" w:rsidR="00695925">
        <w:rPr>
          <w:sz w:val="24"/>
          <w:szCs w:val="24"/>
        </w:rPr>
        <w:t>,</w:t>
      </w:r>
      <w:r w:rsidRPr="00FD0F53" w:rsidR="00F22C8F">
        <w:rPr>
          <w:sz w:val="24"/>
          <w:szCs w:val="24"/>
        </w:rPr>
        <w:t xml:space="preserve"> CSDD un </w:t>
      </w:r>
      <w:r w:rsidRPr="00FD0F53" w:rsidR="00695925">
        <w:rPr>
          <w:sz w:val="24"/>
          <w:szCs w:val="24"/>
        </w:rPr>
        <w:t xml:space="preserve">to </w:t>
      </w:r>
      <w:r w:rsidRPr="00FD0F53" w:rsidR="00F22C8F">
        <w:rPr>
          <w:sz w:val="24"/>
          <w:szCs w:val="24"/>
        </w:rPr>
        <w:t xml:space="preserve">sadarbības </w:t>
      </w:r>
      <w:r w:rsidRPr="00FD0F53" w:rsidR="001D3A5C">
        <w:rPr>
          <w:sz w:val="24"/>
          <w:szCs w:val="24"/>
        </w:rPr>
        <w:t>partneri</w:t>
      </w:r>
      <w:r w:rsidRPr="00FD0F53" w:rsidR="00F22C8F">
        <w:rPr>
          <w:sz w:val="24"/>
          <w:szCs w:val="24"/>
        </w:rPr>
        <w:t xml:space="preserve">, </w:t>
      </w:r>
      <w:r w:rsidRPr="00FD0F53" w:rsidR="00821C83">
        <w:rPr>
          <w:sz w:val="24"/>
          <w:szCs w:val="24"/>
        </w:rPr>
        <w:t xml:space="preserve">tehniskās apskates sistēmas </w:t>
      </w:r>
      <w:r w:rsidRPr="00FD0F53">
        <w:rPr>
          <w:sz w:val="24"/>
          <w:szCs w:val="24"/>
        </w:rPr>
        <w:t>izveidē un darbībā</w:t>
      </w:r>
      <w:r w:rsidRPr="00FD0F53" w:rsidR="00821C83">
        <w:rPr>
          <w:sz w:val="24"/>
          <w:szCs w:val="24"/>
        </w:rPr>
        <w:t xml:space="preserve"> apvieno augstu pakalpojumu kvalitāti un zemas pakalpojuma cenas. </w:t>
      </w:r>
      <w:r w:rsidRPr="00FD0F53">
        <w:rPr>
          <w:sz w:val="24"/>
          <w:szCs w:val="24"/>
        </w:rPr>
        <w:t xml:space="preserve">Pakalpojuma cena ir pieņemama </w:t>
      </w:r>
      <w:r w:rsidRPr="00FD0F53" w:rsidR="00821C83">
        <w:rPr>
          <w:sz w:val="24"/>
          <w:szCs w:val="24"/>
        </w:rPr>
        <w:t xml:space="preserve">pakalpojuma </w:t>
      </w:r>
      <w:r w:rsidRPr="00FD0F53">
        <w:rPr>
          <w:sz w:val="24"/>
          <w:szCs w:val="24"/>
        </w:rPr>
        <w:t>sa</w:t>
      </w:r>
      <w:r w:rsidRPr="00FD0F53" w:rsidR="00821C83">
        <w:rPr>
          <w:sz w:val="24"/>
          <w:szCs w:val="24"/>
        </w:rPr>
        <w:t>ņēmējam</w:t>
      </w:r>
      <w:r w:rsidRPr="00FD0F53">
        <w:rPr>
          <w:sz w:val="24"/>
          <w:szCs w:val="24"/>
        </w:rPr>
        <w:t xml:space="preserve"> un</w:t>
      </w:r>
      <w:r w:rsidRPr="00FD0F53" w:rsidR="00821C83">
        <w:rPr>
          <w:sz w:val="24"/>
          <w:szCs w:val="24"/>
        </w:rPr>
        <w:t xml:space="preserve"> </w:t>
      </w:r>
      <w:r w:rsidRPr="00FD0F53">
        <w:rPr>
          <w:sz w:val="24"/>
          <w:szCs w:val="24"/>
        </w:rPr>
        <w:t xml:space="preserve">nodrošina </w:t>
      </w:r>
      <w:r w:rsidRPr="00FD0F53" w:rsidR="00821C83">
        <w:rPr>
          <w:sz w:val="24"/>
          <w:szCs w:val="24"/>
        </w:rPr>
        <w:t>ieņēmumus CSDD funkciju nodrošināšanai</w:t>
      </w:r>
      <w:r w:rsidRPr="00FD0F53">
        <w:rPr>
          <w:sz w:val="24"/>
          <w:szCs w:val="24"/>
        </w:rPr>
        <w:t xml:space="preserve">, tai skaitā norēķinam ar </w:t>
      </w:r>
      <w:r w:rsidRPr="00FD0F53" w:rsidR="00F020A8">
        <w:rPr>
          <w:sz w:val="24"/>
          <w:szCs w:val="24"/>
        </w:rPr>
        <w:t>Kapitālsabiedrīb</w:t>
      </w:r>
      <w:r w:rsidRPr="00FD0F53">
        <w:rPr>
          <w:sz w:val="24"/>
          <w:szCs w:val="24"/>
        </w:rPr>
        <w:t>ām</w:t>
      </w:r>
      <w:r w:rsidRPr="00FD0F53" w:rsidR="00F22C8F">
        <w:rPr>
          <w:sz w:val="24"/>
          <w:szCs w:val="24"/>
        </w:rPr>
        <w:t>, kuras veic tehnisko kontroli CSDD uzdevumā</w:t>
      </w:r>
      <w:r w:rsidRPr="00FD0F53">
        <w:rPr>
          <w:sz w:val="24"/>
          <w:szCs w:val="24"/>
        </w:rPr>
        <w:t xml:space="preserve">.  </w:t>
      </w:r>
      <w:r w:rsidRPr="00FD0F53" w:rsidR="00821C83">
        <w:rPr>
          <w:sz w:val="24"/>
          <w:szCs w:val="24"/>
        </w:rPr>
        <w:t xml:space="preserve">Šobrīd CSDD </w:t>
      </w:r>
      <w:r w:rsidRPr="00FD0F53" w:rsidR="00F22C8F">
        <w:rPr>
          <w:sz w:val="24"/>
          <w:szCs w:val="24"/>
        </w:rPr>
        <w:t>teritoriālās struktūrvienības</w:t>
      </w:r>
      <w:r w:rsidRPr="00FD0F53" w:rsidR="00821C83">
        <w:rPr>
          <w:sz w:val="24"/>
          <w:szCs w:val="24"/>
        </w:rPr>
        <w:t xml:space="preserve"> un tehniskās apskates stacijas vairumā gadījumu ir vienots, transportlīdzekļu īpašniekiem sniedzamo pakalpojumu komplekss ar vienotu kvalitātes </w:t>
      </w:r>
      <w:r w:rsidRPr="00FD0F53" w:rsidR="00731A58">
        <w:rPr>
          <w:sz w:val="24"/>
          <w:szCs w:val="24"/>
        </w:rPr>
        <w:t xml:space="preserve">kontroles </w:t>
      </w:r>
      <w:r w:rsidRPr="00FD0F53" w:rsidR="00821C83">
        <w:rPr>
          <w:sz w:val="24"/>
          <w:szCs w:val="24"/>
        </w:rPr>
        <w:t>un pretkorupcijas pasākumu sistēmu, ko nodrošina CSDD darbinieki un attiecīgās tehniskās apskates stacijas vadītājs.</w:t>
      </w:r>
    </w:p>
    <w:p w:rsidRPr="00FD0F53" w:rsidR="00540163" w:rsidP="00FD0F53" w:rsidRDefault="00540163" w14:paraId="295C3CE5" w14:textId="09BEBF42">
      <w:pPr>
        <w:pStyle w:val="NoSpacing"/>
        <w:spacing w:line="276" w:lineRule="auto"/>
        <w:ind w:firstLine="720"/>
        <w:jc w:val="both"/>
        <w:rPr>
          <w:sz w:val="24"/>
          <w:szCs w:val="24"/>
        </w:rPr>
      </w:pPr>
      <w:r w:rsidRPr="00FD0F53">
        <w:rPr>
          <w:sz w:val="24"/>
          <w:szCs w:val="24"/>
        </w:rPr>
        <w:t xml:space="preserve">CSDD līdzdalība </w:t>
      </w:r>
      <w:r w:rsidRPr="00FD0F53" w:rsidR="00F020A8">
        <w:rPr>
          <w:sz w:val="24"/>
          <w:szCs w:val="24"/>
        </w:rPr>
        <w:t>Kapitālsabiedrīb</w:t>
      </w:r>
      <w:r w:rsidRPr="00FD0F53">
        <w:rPr>
          <w:sz w:val="24"/>
          <w:szCs w:val="24"/>
        </w:rPr>
        <w:t xml:space="preserve">ās ir vērtēta vairākkārt, </w:t>
      </w:r>
      <w:r w:rsidRPr="00FD0F53" w:rsidR="00375C38">
        <w:rPr>
          <w:sz w:val="24"/>
          <w:szCs w:val="24"/>
        </w:rPr>
        <w:t>tai skaitā</w:t>
      </w:r>
      <w:r w:rsidRPr="00FD0F53">
        <w:rPr>
          <w:sz w:val="24"/>
          <w:szCs w:val="24"/>
        </w:rPr>
        <w:t xml:space="preserve"> arī </w:t>
      </w:r>
      <w:r w:rsidRPr="00FD0F53" w:rsidR="00375C38">
        <w:rPr>
          <w:sz w:val="24"/>
          <w:szCs w:val="24"/>
        </w:rPr>
        <w:t>izskatīta iespēja</w:t>
      </w:r>
      <w:r w:rsidRPr="00FD0F53">
        <w:rPr>
          <w:sz w:val="24"/>
          <w:szCs w:val="24"/>
        </w:rPr>
        <w:t xml:space="preserve"> par CSDD piederošo kapitāla daļu atsavināšanu</w:t>
      </w:r>
      <w:r w:rsidRPr="00FD0F53" w:rsidR="00C372CD">
        <w:rPr>
          <w:sz w:val="24"/>
          <w:szCs w:val="24"/>
        </w:rPr>
        <w:t xml:space="preserve">. Izpildot Ministru kabineta 2013.gada 11.jūnija sēdes protokola </w:t>
      </w:r>
      <w:r w:rsidRPr="00FD0F53" w:rsidR="001D3A5C">
        <w:rPr>
          <w:sz w:val="24"/>
          <w:szCs w:val="24"/>
        </w:rPr>
        <w:t xml:space="preserve">(protokols Nr.34 37.§) </w:t>
      </w:r>
      <w:r w:rsidRPr="00FD0F53" w:rsidR="00C372CD">
        <w:rPr>
          <w:sz w:val="24"/>
          <w:szCs w:val="24"/>
        </w:rPr>
        <w:t>2.punktu, Satiksmes ministrija izvērtēja visus juridisko</w:t>
      </w:r>
      <w:r w:rsidRPr="00FD0F53" w:rsidR="001D3A5C">
        <w:rPr>
          <w:sz w:val="24"/>
          <w:szCs w:val="24"/>
        </w:rPr>
        <w:t>s</w:t>
      </w:r>
      <w:r w:rsidRPr="00FD0F53" w:rsidR="00C372CD">
        <w:rPr>
          <w:sz w:val="24"/>
          <w:szCs w:val="24"/>
        </w:rPr>
        <w:t xml:space="preserve"> un finanšu riskus, kas saistīti ar Ministru prezidenta 2012.gada 19.jūnija rīkojumu Nr.233 izveidotās darba grupas ierosinājumu atsavināt CSDD piederošās kapitāla daļas </w:t>
      </w:r>
      <w:r w:rsidRPr="00FD0F53" w:rsidR="00F020A8">
        <w:rPr>
          <w:sz w:val="24"/>
          <w:szCs w:val="24"/>
        </w:rPr>
        <w:t>Kapitālsabiedrīb</w:t>
      </w:r>
      <w:r w:rsidRPr="00FD0F53" w:rsidR="00C372CD">
        <w:rPr>
          <w:sz w:val="24"/>
          <w:szCs w:val="24"/>
        </w:rPr>
        <w:t>ās</w:t>
      </w:r>
      <w:r w:rsidRPr="00FD0F53" w:rsidR="00C9145C">
        <w:rPr>
          <w:sz w:val="24"/>
          <w:szCs w:val="24"/>
        </w:rPr>
        <w:t>,</w:t>
      </w:r>
      <w:r w:rsidRPr="00FD0F53" w:rsidR="00C372CD">
        <w:rPr>
          <w:sz w:val="24"/>
          <w:szCs w:val="24"/>
        </w:rPr>
        <w:t xml:space="preserve"> un sagatavoja Ministru kabineta lēmumu par</w:t>
      </w:r>
      <w:r w:rsidRPr="00FD0F53">
        <w:rPr>
          <w:sz w:val="24"/>
          <w:szCs w:val="24"/>
        </w:rPr>
        <w:t xml:space="preserve"> CSDD līdzdalība</w:t>
      </w:r>
      <w:r w:rsidRPr="00FD0F53" w:rsidR="00C372CD">
        <w:rPr>
          <w:sz w:val="24"/>
          <w:szCs w:val="24"/>
        </w:rPr>
        <w:t>s</w:t>
      </w:r>
      <w:r w:rsidRPr="00FD0F53">
        <w:rPr>
          <w:sz w:val="24"/>
          <w:szCs w:val="24"/>
        </w:rPr>
        <w:t xml:space="preserve"> </w:t>
      </w:r>
      <w:r w:rsidRPr="00FD0F53" w:rsidR="00F020A8">
        <w:rPr>
          <w:sz w:val="24"/>
          <w:szCs w:val="24"/>
        </w:rPr>
        <w:t>Kapitālsabiedrīb</w:t>
      </w:r>
      <w:r w:rsidRPr="00FD0F53">
        <w:rPr>
          <w:sz w:val="24"/>
          <w:szCs w:val="24"/>
        </w:rPr>
        <w:t>ās</w:t>
      </w:r>
      <w:r w:rsidRPr="00FD0F53" w:rsidR="00C372CD">
        <w:rPr>
          <w:sz w:val="24"/>
          <w:szCs w:val="24"/>
        </w:rPr>
        <w:t xml:space="preserve"> saglabāšanu</w:t>
      </w:r>
      <w:r w:rsidRPr="00FD0F53" w:rsidR="00EC20B1">
        <w:rPr>
          <w:sz w:val="24"/>
          <w:szCs w:val="24"/>
        </w:rPr>
        <w:t>, secinot, ka</w:t>
      </w:r>
      <w:r w:rsidRPr="00FD0F53" w:rsidR="00A5433B">
        <w:rPr>
          <w:sz w:val="24"/>
          <w:szCs w:val="24"/>
        </w:rPr>
        <w:t xml:space="preserve"> </w:t>
      </w:r>
      <w:r w:rsidRPr="00FD0F53">
        <w:rPr>
          <w:sz w:val="24"/>
          <w:szCs w:val="24"/>
        </w:rPr>
        <w:t xml:space="preserve">CSDD līdzdalība </w:t>
      </w:r>
      <w:r w:rsidRPr="00FD0F53" w:rsidR="00F020A8">
        <w:rPr>
          <w:sz w:val="24"/>
          <w:szCs w:val="24"/>
        </w:rPr>
        <w:t>Kapitālsabiedrīb</w:t>
      </w:r>
      <w:r w:rsidRPr="00FD0F53" w:rsidR="00EC20B1">
        <w:rPr>
          <w:sz w:val="24"/>
          <w:szCs w:val="24"/>
        </w:rPr>
        <w:t xml:space="preserve">ās </w:t>
      </w:r>
      <w:proofErr w:type="spellStart"/>
      <w:r w:rsidRPr="00FD0F53" w:rsidR="00EC20B1">
        <w:rPr>
          <w:sz w:val="24"/>
          <w:szCs w:val="24"/>
        </w:rPr>
        <w:t>konkrētajas</w:t>
      </w:r>
      <w:proofErr w:type="spellEnd"/>
      <w:r w:rsidRPr="00FD0F53" w:rsidR="00EC20B1">
        <w:rPr>
          <w:sz w:val="24"/>
          <w:szCs w:val="24"/>
        </w:rPr>
        <w:t xml:space="preserve"> tiesiskajos un faktiskajos apstākļos </w:t>
      </w:r>
      <w:r w:rsidRPr="00FD0F53">
        <w:rPr>
          <w:sz w:val="24"/>
          <w:szCs w:val="24"/>
        </w:rPr>
        <w:t>nodrošin</w:t>
      </w:r>
      <w:r w:rsidRPr="00FD0F53" w:rsidR="00EC20B1">
        <w:rPr>
          <w:sz w:val="24"/>
          <w:szCs w:val="24"/>
        </w:rPr>
        <w:t xml:space="preserve">āja </w:t>
      </w:r>
      <w:r w:rsidRPr="00FD0F53">
        <w:rPr>
          <w:sz w:val="24"/>
          <w:szCs w:val="24"/>
        </w:rPr>
        <w:t xml:space="preserve">tirgus nepilnības novēršanu stratēģiski svarīgā nozarē, </w:t>
      </w:r>
      <w:r w:rsidRPr="00FD0F53" w:rsidR="00F020A8">
        <w:rPr>
          <w:sz w:val="24"/>
          <w:szCs w:val="24"/>
        </w:rPr>
        <w:t>Kapitālsabiedrīb</w:t>
      </w:r>
      <w:r w:rsidRPr="00FD0F53">
        <w:rPr>
          <w:sz w:val="24"/>
          <w:szCs w:val="24"/>
        </w:rPr>
        <w:t>u darbība sekmē</w:t>
      </w:r>
      <w:r w:rsidRPr="00FD0F53" w:rsidR="00EC20B1">
        <w:rPr>
          <w:sz w:val="24"/>
          <w:szCs w:val="24"/>
        </w:rPr>
        <w:t>ja</w:t>
      </w:r>
      <w:r w:rsidRPr="00FD0F53">
        <w:rPr>
          <w:sz w:val="24"/>
          <w:szCs w:val="24"/>
        </w:rPr>
        <w:t xml:space="preserve"> CSDD mērķu un attīstības prioritāšu īstenošanu, nodrošinot kvalitatīvus transportlīdzekļu tehniskā stāvokļa pārbaudes pakalpojumus, kā arī nodrošin</w:t>
      </w:r>
      <w:r w:rsidRPr="00FD0F53" w:rsidR="00EC20B1">
        <w:rPr>
          <w:sz w:val="24"/>
          <w:szCs w:val="24"/>
        </w:rPr>
        <w:t>āja</w:t>
      </w:r>
      <w:r w:rsidRPr="00FD0F53">
        <w:rPr>
          <w:sz w:val="24"/>
          <w:szCs w:val="24"/>
        </w:rPr>
        <w:t xml:space="preserve"> vienotu stratēģisko lēmumu pieņemšanu, </w:t>
      </w:r>
      <w:r w:rsidRPr="00FD0F53" w:rsidR="00F020A8">
        <w:rPr>
          <w:sz w:val="24"/>
          <w:szCs w:val="24"/>
        </w:rPr>
        <w:t>Kapitālsabiedrīb</w:t>
      </w:r>
      <w:r w:rsidRPr="00FD0F53">
        <w:rPr>
          <w:sz w:val="24"/>
          <w:szCs w:val="24"/>
        </w:rPr>
        <w:t>u iekšējo kontroli, iespēju izdevīgi ieguldīt esošos aktīvus, mazināt investoru risku un nodrošināt stabilu finanšu plūsmu dividenžu veidā.</w:t>
      </w:r>
    </w:p>
    <w:p w:rsidRPr="00FD0F53" w:rsidR="00C372CD" w:rsidP="00FD0F53" w:rsidRDefault="00327EE7" w14:paraId="5298DDB4" w14:textId="204CE15A">
      <w:pPr>
        <w:pStyle w:val="NoSpacing"/>
        <w:spacing w:line="276" w:lineRule="auto"/>
        <w:ind w:firstLine="709"/>
        <w:jc w:val="both"/>
        <w:rPr>
          <w:sz w:val="24"/>
          <w:szCs w:val="24"/>
        </w:rPr>
      </w:pPr>
      <w:r w:rsidRPr="00FD0F53">
        <w:rPr>
          <w:sz w:val="24"/>
          <w:szCs w:val="24"/>
        </w:rPr>
        <w:t>M</w:t>
      </w:r>
      <w:r w:rsidRPr="00FD0F53" w:rsidR="001D3A5C">
        <w:rPr>
          <w:sz w:val="24"/>
          <w:szCs w:val="24"/>
        </w:rPr>
        <w:t xml:space="preserve">inētais </w:t>
      </w:r>
      <w:r w:rsidRPr="00FD0F53" w:rsidR="00C372CD">
        <w:rPr>
          <w:sz w:val="24"/>
          <w:szCs w:val="24"/>
        </w:rPr>
        <w:t xml:space="preserve">izvērtējums </w:t>
      </w:r>
      <w:r w:rsidRPr="00FD0F53" w:rsidR="0092640B">
        <w:rPr>
          <w:sz w:val="24"/>
          <w:szCs w:val="24"/>
        </w:rPr>
        <w:t xml:space="preserve">tika </w:t>
      </w:r>
      <w:r w:rsidRPr="00FD0F53" w:rsidR="00C372CD">
        <w:rPr>
          <w:sz w:val="24"/>
          <w:szCs w:val="24"/>
        </w:rPr>
        <w:t xml:space="preserve">veikts valsts </w:t>
      </w:r>
      <w:r w:rsidRPr="00FD0F53" w:rsidR="00E57FF0">
        <w:rPr>
          <w:sz w:val="24"/>
          <w:szCs w:val="24"/>
        </w:rPr>
        <w:t xml:space="preserve">(tagad publiskas personas) </w:t>
      </w:r>
      <w:r w:rsidRPr="00FD0F53" w:rsidR="00C372CD">
        <w:rPr>
          <w:sz w:val="24"/>
          <w:szCs w:val="24"/>
        </w:rPr>
        <w:t>kapitāla daļu pārvaldīšanas reformas laikā, kad tika gatavots jaunais Publiskas personas kapitāla daļu un kapitālsabiedrību pārvaldības likumprojekts un grozījumi Valsts pārvaldes iekārtas likuma 88.pantā.</w:t>
      </w:r>
    </w:p>
    <w:p w:rsidRPr="00FD0F53" w:rsidR="00977E0D" w:rsidP="00FD0F53" w:rsidRDefault="00977E0D" w14:paraId="3E578B74" w14:textId="1F479F22">
      <w:pPr>
        <w:spacing w:line="276" w:lineRule="auto"/>
        <w:ind w:firstLine="709"/>
        <w:jc w:val="both"/>
        <w:rPr>
          <w:shd w:val="clear" w:color="auto" w:fill="FFFFFF"/>
          <w:lang w:val="lv-LV"/>
        </w:rPr>
      </w:pPr>
      <w:r w:rsidRPr="00FD0F53">
        <w:rPr>
          <w:lang w:val="lv-LV"/>
        </w:rPr>
        <w:t>Jāatzīmē, ka jautājums par transportlīdzekļu tehniskās apskates turpmāko attīstību tika skatīts</w:t>
      </w:r>
      <w:r w:rsidRPr="00FD0F53" w:rsidR="00327EE7">
        <w:rPr>
          <w:lang w:val="lv-LV"/>
        </w:rPr>
        <w:t xml:space="preserve"> arī</w:t>
      </w:r>
      <w:r w:rsidRPr="00FD0F53">
        <w:rPr>
          <w:lang w:val="lv-LV"/>
        </w:rPr>
        <w:t xml:space="preserve"> Ministru kabinet</w:t>
      </w:r>
      <w:r w:rsidRPr="00FD0F53" w:rsidR="00327EE7">
        <w:rPr>
          <w:lang w:val="lv-LV"/>
        </w:rPr>
        <w:t>a</w:t>
      </w:r>
      <w:r w:rsidRPr="00FD0F53">
        <w:rPr>
          <w:lang w:val="lv-LV"/>
        </w:rPr>
        <w:t xml:space="preserve"> </w:t>
      </w:r>
      <w:r w:rsidRPr="00FD0F53">
        <w:rPr>
          <w:shd w:val="clear" w:color="auto" w:fill="FFFFFF"/>
          <w:lang w:val="lv-LV"/>
        </w:rPr>
        <w:t xml:space="preserve">2018.gada 11.decembra sēdē. Ar valdības </w:t>
      </w:r>
      <w:proofErr w:type="spellStart"/>
      <w:r w:rsidRPr="00FD0F53">
        <w:rPr>
          <w:shd w:val="clear" w:color="auto" w:fill="FFFFFF"/>
          <w:lang w:val="lv-LV"/>
        </w:rPr>
        <w:t>protokollēmumu</w:t>
      </w:r>
      <w:proofErr w:type="spellEnd"/>
      <w:r w:rsidRPr="00FD0F53">
        <w:rPr>
          <w:shd w:val="clear" w:color="auto" w:fill="FFFFFF"/>
          <w:lang w:val="lv-LV"/>
        </w:rPr>
        <w:t xml:space="preserve"> (prot.Nr.59, 65.§) tika pieņemts zināšanai informatīvais ziņojums “Par izmaiņām transportlīdzekļu valsts tehniskajā apskatē”, ar kuru Satiksmes ministrijai (valsts akciju sabiedrībai “Ceļu satiksmes drošības direkcija”) tika uzdots nodrošināt informatīvajā ziņojumā minēto pasākumu izpildi. Viena no informatīvajā ziņojumā “Par izmaiņām transportlīdzekļu valsts tehniskajā apskatē” plānotajām </w:t>
      </w:r>
      <w:r w:rsidRPr="00FD0F53">
        <w:rPr>
          <w:shd w:val="clear" w:color="auto" w:fill="FFFFFF"/>
          <w:lang w:val="lv-LV"/>
        </w:rPr>
        <w:lastRenderedPageBreak/>
        <w:t>veicamajām darbībām ir CSDD līdzdalības Kapitālsabiedrībās izvērtējums, kas veicams ne vēlāk kā 2020.gadā.</w:t>
      </w:r>
    </w:p>
    <w:p w:rsidRPr="00FD0F53" w:rsidR="008A5D85" w:rsidP="00FD0F53" w:rsidRDefault="008A5D85" w14:paraId="67B295B0" w14:textId="77777777">
      <w:pPr>
        <w:spacing w:line="276" w:lineRule="auto"/>
        <w:ind w:firstLine="709"/>
        <w:jc w:val="both"/>
        <w:rPr>
          <w:b/>
          <w:lang w:val="lv-LV"/>
        </w:rPr>
      </w:pPr>
    </w:p>
    <w:p w:rsidRPr="00FD0F53" w:rsidR="00472354" w:rsidP="00FD0F53" w:rsidRDefault="00472354" w14:paraId="14FE6A39" w14:textId="79A8D110">
      <w:pPr>
        <w:spacing w:line="276" w:lineRule="auto"/>
        <w:rPr>
          <w:b/>
          <w:lang w:val="lv-LV"/>
        </w:rPr>
      </w:pPr>
      <w:r w:rsidRPr="00FD0F53">
        <w:rPr>
          <w:b/>
          <w:lang w:val="lv-LV"/>
        </w:rPr>
        <w:t>Kapitālsabiedrību darbības apraksts</w:t>
      </w:r>
    </w:p>
    <w:p w:rsidRPr="00FD0F53" w:rsidR="00A17162" w:rsidP="00FD0F53" w:rsidRDefault="007B76B4" w14:paraId="7F3DD9A8" w14:textId="1CC41818">
      <w:pPr>
        <w:pStyle w:val="NoSpacing"/>
        <w:tabs>
          <w:tab w:val="left" w:pos="0"/>
        </w:tabs>
        <w:spacing w:line="276" w:lineRule="auto"/>
        <w:ind w:firstLine="720"/>
        <w:jc w:val="both"/>
        <w:rPr>
          <w:sz w:val="24"/>
          <w:szCs w:val="24"/>
        </w:rPr>
      </w:pPr>
      <w:r w:rsidRPr="00FD0F53">
        <w:rPr>
          <w:sz w:val="24"/>
          <w:szCs w:val="24"/>
        </w:rPr>
        <w:t xml:space="preserve">Kapitālsabiedrības veic </w:t>
      </w:r>
      <w:r w:rsidRPr="00FD0F53" w:rsidR="006F19CE">
        <w:rPr>
          <w:sz w:val="24"/>
          <w:szCs w:val="24"/>
        </w:rPr>
        <w:t>t</w:t>
      </w:r>
      <w:r w:rsidRPr="00FD0F53" w:rsidR="00472354">
        <w:rPr>
          <w:sz w:val="24"/>
          <w:szCs w:val="24"/>
        </w:rPr>
        <w:t>ransportlīdzekļu tehniskā stāvokļa kontroli valsts tehniskās apskates ietvaros</w:t>
      </w:r>
      <w:r w:rsidRPr="00FD0F53" w:rsidR="006F19CE">
        <w:rPr>
          <w:sz w:val="24"/>
          <w:szCs w:val="24"/>
        </w:rPr>
        <w:t xml:space="preserve">. Atbilstoši </w:t>
      </w:r>
      <w:r w:rsidRPr="00FD0F53" w:rsidR="007C4DBB">
        <w:rPr>
          <w:sz w:val="24"/>
          <w:szCs w:val="24"/>
        </w:rPr>
        <w:t xml:space="preserve">tiesību normām </w:t>
      </w:r>
      <w:r w:rsidRPr="00FD0F53" w:rsidR="006F19CE">
        <w:rPr>
          <w:sz w:val="24"/>
          <w:szCs w:val="24"/>
        </w:rPr>
        <w:t xml:space="preserve">visas </w:t>
      </w:r>
      <w:r w:rsidRPr="00FD0F53" w:rsidR="00F020A8">
        <w:rPr>
          <w:sz w:val="24"/>
          <w:szCs w:val="24"/>
        </w:rPr>
        <w:t>Kapitālsabiedrīb</w:t>
      </w:r>
      <w:r w:rsidRPr="00FD0F53" w:rsidR="006F19CE">
        <w:rPr>
          <w:sz w:val="24"/>
          <w:szCs w:val="24"/>
        </w:rPr>
        <w:t xml:space="preserve">as ir akreditētas </w:t>
      </w:r>
      <w:r w:rsidRPr="00FD0F53" w:rsidR="00BE6D88">
        <w:rPr>
          <w:sz w:val="24"/>
          <w:szCs w:val="24"/>
        </w:rPr>
        <w:t>t</w:t>
      </w:r>
      <w:r w:rsidRPr="00FD0F53" w:rsidR="006F19CE">
        <w:rPr>
          <w:sz w:val="24"/>
          <w:szCs w:val="24"/>
        </w:rPr>
        <w:t xml:space="preserve">ehniskās kontroles veikšanai līdz 2021.gada 24.jūlijam. </w:t>
      </w:r>
    </w:p>
    <w:p w:rsidRPr="00FD0F53" w:rsidR="00A17162" w:rsidP="00FD0F53" w:rsidRDefault="00A17162" w14:paraId="02D3F0C8" w14:textId="77777777">
      <w:pPr>
        <w:pStyle w:val="NoSpacing"/>
        <w:tabs>
          <w:tab w:val="left" w:pos="0"/>
        </w:tabs>
        <w:spacing w:line="276" w:lineRule="auto"/>
        <w:ind w:firstLine="810"/>
        <w:jc w:val="both"/>
        <w:rPr>
          <w:sz w:val="24"/>
          <w:szCs w:val="24"/>
        </w:rPr>
      </w:pPr>
    </w:p>
    <w:tbl>
      <w:tblPr>
        <w:tblStyle w:val="TableGrid"/>
        <w:tblW w:w="9540" w:type="dxa"/>
        <w:tblInd w:w="-5" w:type="dxa"/>
        <w:tblBorders>
          <w:insideH w:val="single" w:color="auto" w:sz="6" w:space="0"/>
          <w:insideV w:val="single" w:color="auto" w:sz="6" w:space="0"/>
        </w:tblBorders>
        <w:shd w:val="clear" w:color="auto" w:fill="FFFFFF" w:themeFill="background1"/>
        <w:tblLook w:val="04A0" w:firstRow="1" w:lastRow="0" w:firstColumn="1" w:lastColumn="0" w:noHBand="0" w:noVBand="1"/>
      </w:tblPr>
      <w:tblGrid>
        <w:gridCol w:w="3125"/>
        <w:gridCol w:w="2455"/>
        <w:gridCol w:w="3150"/>
        <w:gridCol w:w="810"/>
      </w:tblGrid>
      <w:tr w:rsidRPr="00FD0F53" w:rsidR="00630124" w:rsidTr="001A27D8" w14:paraId="2CF1D02E" w14:textId="77777777">
        <w:trPr>
          <w:trHeight w:val="384"/>
        </w:trPr>
        <w:tc>
          <w:tcPr>
            <w:tcW w:w="3125" w:type="dxa"/>
            <w:vMerge w:val="restart"/>
            <w:shd w:val="clear" w:color="auto" w:fill="FFFFFF" w:themeFill="background1"/>
            <w:vAlign w:val="center"/>
          </w:tcPr>
          <w:p w:rsidRPr="00FD0F53" w:rsidR="001F127B" w:rsidP="00FD0F53" w:rsidRDefault="001F127B" w14:paraId="17C8C7C1" w14:textId="77777777">
            <w:pPr>
              <w:spacing w:line="276" w:lineRule="auto"/>
              <w:jc w:val="center"/>
              <w:rPr>
                <w:color w:val="auto"/>
                <w:lang w:val="lv-LV"/>
              </w:rPr>
            </w:pPr>
            <w:r w:rsidRPr="00FD0F53">
              <w:rPr>
                <w:color w:val="auto"/>
                <w:lang w:val="lv-LV"/>
              </w:rPr>
              <w:t>SIA "AUTEKO &amp; TUV LATVIJA"</w:t>
            </w:r>
          </w:p>
          <w:p w:rsidRPr="00FD0F53" w:rsidR="001F127B" w:rsidP="00FD0F53" w:rsidRDefault="001F127B" w14:paraId="0CA3F935" w14:textId="77777777">
            <w:pPr>
              <w:spacing w:line="276" w:lineRule="auto"/>
              <w:jc w:val="center"/>
              <w:rPr>
                <w:color w:val="auto"/>
                <w:lang w:val="lv-LV"/>
              </w:rPr>
            </w:pPr>
            <w:proofErr w:type="spellStart"/>
            <w:r w:rsidRPr="00FD0F53">
              <w:rPr>
                <w:color w:val="auto"/>
                <w:lang w:val="lv-LV"/>
              </w:rPr>
              <w:t>reģ</w:t>
            </w:r>
            <w:proofErr w:type="spellEnd"/>
            <w:r w:rsidRPr="00FD0F53">
              <w:rPr>
                <w:color w:val="auto"/>
                <w:lang w:val="lv-LV"/>
              </w:rPr>
              <w:t>. 40003201762</w:t>
            </w:r>
          </w:p>
          <w:p w:rsidRPr="00FD0F53" w:rsidR="001F127B" w:rsidP="00FD0F53" w:rsidRDefault="001F127B" w14:paraId="099C1251" w14:textId="77777777">
            <w:pPr>
              <w:spacing w:line="276" w:lineRule="auto"/>
              <w:jc w:val="center"/>
              <w:rPr>
                <w:color w:val="auto"/>
                <w:lang w:val="lv-LV"/>
              </w:rPr>
            </w:pPr>
          </w:p>
        </w:tc>
        <w:tc>
          <w:tcPr>
            <w:tcW w:w="2455" w:type="dxa"/>
            <w:shd w:val="clear" w:color="auto" w:fill="FFFFFF" w:themeFill="background1"/>
          </w:tcPr>
          <w:p w:rsidRPr="00FD0F53" w:rsidR="001F127B" w:rsidP="00FD0F53" w:rsidRDefault="001F127B" w14:paraId="43775969" w14:textId="77777777">
            <w:pPr>
              <w:spacing w:line="276" w:lineRule="auto"/>
              <w:jc w:val="center"/>
              <w:rPr>
                <w:color w:val="auto"/>
                <w:lang w:val="lv-LV"/>
              </w:rPr>
            </w:pPr>
            <w:r w:rsidRPr="00FD0F53">
              <w:rPr>
                <w:color w:val="auto"/>
                <w:lang w:val="lv-LV"/>
              </w:rPr>
              <w:t>Apmaksātais pamatkapitāls:</w:t>
            </w:r>
          </w:p>
        </w:tc>
        <w:tc>
          <w:tcPr>
            <w:tcW w:w="3960" w:type="dxa"/>
            <w:gridSpan w:val="2"/>
            <w:shd w:val="clear" w:color="auto" w:fill="FFFFFF" w:themeFill="background1"/>
          </w:tcPr>
          <w:p w:rsidRPr="00FD0F53" w:rsidR="001F127B" w:rsidP="00FD0F53" w:rsidRDefault="001F127B" w14:paraId="54ADDC85" w14:textId="77777777">
            <w:pPr>
              <w:spacing w:line="276" w:lineRule="auto"/>
              <w:jc w:val="center"/>
              <w:rPr>
                <w:i/>
                <w:color w:val="auto"/>
                <w:lang w:val="lv-LV"/>
              </w:rPr>
            </w:pPr>
            <w:r w:rsidRPr="00FD0F53">
              <w:rPr>
                <w:color w:val="auto"/>
                <w:lang w:val="lv-LV"/>
              </w:rPr>
              <w:t>Dalībnieku saraksts</w:t>
            </w:r>
          </w:p>
        </w:tc>
      </w:tr>
      <w:tr w:rsidRPr="00FD0F53" w:rsidR="00630124" w:rsidTr="001A27D8" w14:paraId="3AE6D9EB" w14:textId="77777777">
        <w:trPr>
          <w:trHeight w:val="413"/>
        </w:trPr>
        <w:tc>
          <w:tcPr>
            <w:tcW w:w="3125" w:type="dxa"/>
            <w:vMerge/>
            <w:shd w:val="clear" w:color="auto" w:fill="FFFFFF" w:themeFill="background1"/>
            <w:vAlign w:val="center"/>
          </w:tcPr>
          <w:p w:rsidRPr="00FD0F53" w:rsidR="001F127B" w:rsidP="00FD0F53" w:rsidRDefault="001F127B" w14:paraId="53CC43D6" w14:textId="77777777">
            <w:pPr>
              <w:spacing w:line="276" w:lineRule="auto"/>
              <w:jc w:val="center"/>
              <w:rPr>
                <w:color w:val="auto"/>
                <w:lang w:val="lv-LV"/>
              </w:rPr>
            </w:pPr>
          </w:p>
        </w:tc>
        <w:tc>
          <w:tcPr>
            <w:tcW w:w="2455" w:type="dxa"/>
            <w:vMerge w:val="restart"/>
            <w:shd w:val="clear" w:color="auto" w:fill="FFFFFF" w:themeFill="background1"/>
          </w:tcPr>
          <w:p w:rsidRPr="00FD0F53" w:rsidR="001F127B" w:rsidP="00FD0F53" w:rsidRDefault="001F127B" w14:paraId="5E533B63" w14:textId="77777777">
            <w:pPr>
              <w:spacing w:line="276" w:lineRule="auto"/>
              <w:jc w:val="center"/>
              <w:rPr>
                <w:color w:val="auto"/>
                <w:lang w:val="lv-LV"/>
              </w:rPr>
            </w:pPr>
          </w:p>
          <w:p w:rsidRPr="00FD0F53" w:rsidR="001F127B" w:rsidP="00FD0F53" w:rsidRDefault="001F127B" w14:paraId="3A1A2C37" w14:textId="77777777">
            <w:pPr>
              <w:spacing w:line="276" w:lineRule="auto"/>
              <w:jc w:val="center"/>
              <w:rPr>
                <w:color w:val="auto"/>
                <w:lang w:val="lv-LV" w:eastAsia="lv-LV"/>
              </w:rPr>
            </w:pPr>
            <w:r w:rsidRPr="00FD0F53">
              <w:rPr>
                <w:color w:val="auto"/>
                <w:lang w:val="lv-LV"/>
              </w:rPr>
              <w:t>532500.00 EUR</w:t>
            </w:r>
          </w:p>
        </w:tc>
        <w:tc>
          <w:tcPr>
            <w:tcW w:w="3150" w:type="dxa"/>
            <w:shd w:val="clear" w:color="auto" w:fill="FFFFFF" w:themeFill="background1"/>
          </w:tcPr>
          <w:p w:rsidRPr="00FD0F53" w:rsidR="001F127B" w:rsidP="00FD0F53" w:rsidRDefault="001F127B" w14:paraId="191F1F5C" w14:textId="77777777">
            <w:pPr>
              <w:spacing w:line="276" w:lineRule="auto"/>
              <w:rPr>
                <w:i/>
                <w:color w:val="auto"/>
                <w:lang w:val="lv-LV"/>
              </w:rPr>
            </w:pPr>
            <w:r w:rsidRPr="00FD0F53">
              <w:rPr>
                <w:color w:val="auto"/>
                <w:lang w:val="lv-LV" w:eastAsia="lv-LV"/>
              </w:rPr>
              <w:t>CSDD</w:t>
            </w:r>
          </w:p>
        </w:tc>
        <w:tc>
          <w:tcPr>
            <w:tcW w:w="810" w:type="dxa"/>
            <w:shd w:val="clear" w:color="auto" w:fill="FFFFFF" w:themeFill="background1"/>
          </w:tcPr>
          <w:p w:rsidRPr="00FD0F53" w:rsidR="001F127B" w:rsidP="00FD0F53" w:rsidRDefault="001F127B" w14:paraId="5A02DD0B" w14:textId="77777777">
            <w:pPr>
              <w:spacing w:line="276" w:lineRule="auto"/>
              <w:jc w:val="center"/>
              <w:rPr>
                <w:i/>
                <w:color w:val="auto"/>
                <w:lang w:val="lv-LV"/>
              </w:rPr>
            </w:pPr>
            <w:r w:rsidRPr="00FD0F53">
              <w:rPr>
                <w:color w:val="auto"/>
                <w:lang w:val="lv-LV" w:eastAsia="lv-LV"/>
              </w:rPr>
              <w:t>51 %</w:t>
            </w:r>
          </w:p>
        </w:tc>
      </w:tr>
      <w:tr w:rsidRPr="00FD0F53" w:rsidR="00630124" w:rsidTr="001A27D8" w14:paraId="3308A1CB" w14:textId="77777777">
        <w:trPr>
          <w:trHeight w:val="413"/>
        </w:trPr>
        <w:tc>
          <w:tcPr>
            <w:tcW w:w="3125" w:type="dxa"/>
            <w:vMerge/>
            <w:shd w:val="clear" w:color="auto" w:fill="FFFFFF" w:themeFill="background1"/>
            <w:vAlign w:val="center"/>
          </w:tcPr>
          <w:p w:rsidRPr="00FD0F53" w:rsidR="001F127B" w:rsidP="00FD0F53" w:rsidRDefault="001F127B" w14:paraId="4542EDED"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33AE89F8" w14:textId="77777777">
            <w:pPr>
              <w:spacing w:line="276" w:lineRule="auto"/>
              <w:jc w:val="center"/>
              <w:rPr>
                <w:bCs/>
                <w:color w:val="auto"/>
                <w:bdr w:val="none" w:color="auto" w:sz="0" w:space="0" w:frame="1"/>
                <w:lang w:val="lv-LV" w:eastAsia="lv-LV"/>
              </w:rPr>
            </w:pPr>
          </w:p>
        </w:tc>
        <w:tc>
          <w:tcPr>
            <w:tcW w:w="3150" w:type="dxa"/>
            <w:shd w:val="clear" w:color="auto" w:fill="FFFFFF" w:themeFill="background1"/>
          </w:tcPr>
          <w:p w:rsidRPr="00FD0F53" w:rsidR="001F127B" w:rsidP="00FD0F53" w:rsidRDefault="001F127B" w14:paraId="49EFC603" w14:textId="77777777">
            <w:pPr>
              <w:spacing w:line="276" w:lineRule="auto"/>
              <w:rPr>
                <w:i/>
                <w:color w:val="auto"/>
                <w:lang w:val="lv-LV"/>
              </w:rPr>
            </w:pPr>
            <w:r w:rsidRPr="00FD0F53">
              <w:rPr>
                <w:bCs/>
                <w:color w:val="auto"/>
                <w:bdr w:val="none" w:color="auto" w:sz="0" w:space="0" w:frame="1"/>
                <w:lang w:val="lv-LV" w:eastAsia="lv-LV"/>
              </w:rPr>
              <w:t xml:space="preserve">TUV </w:t>
            </w:r>
            <w:proofErr w:type="spellStart"/>
            <w:r w:rsidRPr="00FD0F53">
              <w:rPr>
                <w:bCs/>
                <w:color w:val="auto"/>
                <w:bdr w:val="none" w:color="auto" w:sz="0" w:space="0" w:frame="1"/>
                <w:lang w:val="lv-LV" w:eastAsia="lv-LV"/>
              </w:rPr>
              <w:t>International</w:t>
            </w:r>
            <w:proofErr w:type="spellEnd"/>
            <w:r w:rsidRPr="00FD0F53">
              <w:rPr>
                <w:bCs/>
                <w:color w:val="auto"/>
                <w:bdr w:val="none" w:color="auto" w:sz="0" w:space="0" w:frame="1"/>
                <w:lang w:val="lv-LV" w:eastAsia="lv-LV"/>
              </w:rPr>
              <w:t xml:space="preserve"> </w:t>
            </w:r>
            <w:proofErr w:type="spellStart"/>
            <w:r w:rsidRPr="00FD0F53">
              <w:rPr>
                <w:bCs/>
                <w:color w:val="auto"/>
                <w:bdr w:val="none" w:color="auto" w:sz="0" w:space="0" w:frame="1"/>
                <w:lang w:val="lv-LV" w:eastAsia="lv-LV"/>
              </w:rPr>
              <w:t>GmbH</w:t>
            </w:r>
            <w:proofErr w:type="spellEnd"/>
            <w:r w:rsidRPr="00FD0F53">
              <w:rPr>
                <w:bCs/>
                <w:color w:val="auto"/>
                <w:bdr w:val="none" w:color="auto" w:sz="0" w:space="0" w:frame="1"/>
                <w:lang w:val="lv-LV" w:eastAsia="lv-LV"/>
              </w:rPr>
              <w:t xml:space="preserve"> (Vācija) </w:t>
            </w:r>
          </w:p>
        </w:tc>
        <w:tc>
          <w:tcPr>
            <w:tcW w:w="810" w:type="dxa"/>
            <w:shd w:val="clear" w:color="auto" w:fill="FFFFFF" w:themeFill="background1"/>
          </w:tcPr>
          <w:p w:rsidRPr="00FD0F53" w:rsidR="001F127B" w:rsidP="00FD0F53" w:rsidRDefault="001F127B" w14:paraId="0E8C2F8B" w14:textId="77777777">
            <w:pPr>
              <w:spacing w:line="276" w:lineRule="auto"/>
              <w:jc w:val="center"/>
              <w:rPr>
                <w:i/>
                <w:color w:val="auto"/>
                <w:lang w:val="lv-LV"/>
              </w:rPr>
            </w:pPr>
            <w:r w:rsidRPr="00FD0F53">
              <w:rPr>
                <w:color w:val="auto"/>
                <w:lang w:val="lv-LV" w:eastAsia="lv-LV"/>
              </w:rPr>
              <w:t>49 %</w:t>
            </w:r>
          </w:p>
        </w:tc>
      </w:tr>
      <w:tr w:rsidRPr="00FD0F53" w:rsidR="00630124" w:rsidTr="001A27D8" w14:paraId="40D68309" w14:textId="77777777">
        <w:trPr>
          <w:trHeight w:val="413"/>
        </w:trPr>
        <w:tc>
          <w:tcPr>
            <w:tcW w:w="3125" w:type="dxa"/>
            <w:vMerge w:val="restart"/>
            <w:shd w:val="clear" w:color="auto" w:fill="FFFFFF" w:themeFill="background1"/>
            <w:vAlign w:val="center"/>
          </w:tcPr>
          <w:p w:rsidRPr="00FD0F53" w:rsidR="001F127B" w:rsidP="00FD0F53" w:rsidRDefault="001F127B" w14:paraId="6D33A85C" w14:textId="77777777">
            <w:pPr>
              <w:spacing w:line="276" w:lineRule="auto"/>
              <w:jc w:val="center"/>
              <w:rPr>
                <w:color w:val="auto"/>
                <w:lang w:val="lv-LV"/>
              </w:rPr>
            </w:pPr>
            <w:r w:rsidRPr="00FD0F53">
              <w:rPr>
                <w:color w:val="auto"/>
                <w:lang w:val="lv-LV"/>
              </w:rPr>
              <w:t>SIA "SCANTEST"</w:t>
            </w:r>
          </w:p>
          <w:p w:rsidRPr="00FD0F53" w:rsidR="001F127B" w:rsidP="00FD0F53" w:rsidRDefault="001F127B" w14:paraId="71CEB36D" w14:textId="77777777">
            <w:pPr>
              <w:spacing w:line="276" w:lineRule="auto"/>
              <w:jc w:val="center"/>
              <w:rPr>
                <w:color w:val="auto"/>
                <w:lang w:val="lv-LV"/>
              </w:rPr>
            </w:pPr>
            <w:proofErr w:type="spellStart"/>
            <w:r w:rsidRPr="00FD0F53">
              <w:rPr>
                <w:color w:val="auto"/>
                <w:lang w:val="lv-LV"/>
              </w:rPr>
              <w:t>reģ</w:t>
            </w:r>
            <w:proofErr w:type="spellEnd"/>
            <w:r w:rsidRPr="00FD0F53">
              <w:rPr>
                <w:color w:val="auto"/>
                <w:lang w:val="lv-LV"/>
              </w:rPr>
              <w:t>. 40003348247</w:t>
            </w:r>
          </w:p>
          <w:p w:rsidRPr="00FD0F53" w:rsidR="001F127B" w:rsidP="00FD0F53" w:rsidRDefault="001F127B" w14:paraId="21C64CEB" w14:textId="77777777">
            <w:pPr>
              <w:spacing w:line="276" w:lineRule="auto"/>
              <w:jc w:val="center"/>
              <w:rPr>
                <w:color w:val="auto"/>
                <w:lang w:val="lv-LV"/>
              </w:rPr>
            </w:pPr>
          </w:p>
        </w:tc>
        <w:tc>
          <w:tcPr>
            <w:tcW w:w="2455" w:type="dxa"/>
            <w:vMerge w:val="restart"/>
            <w:shd w:val="clear" w:color="auto" w:fill="FFFFFF" w:themeFill="background1"/>
          </w:tcPr>
          <w:p w:rsidRPr="00FD0F53" w:rsidR="001F127B" w:rsidP="00FD0F53" w:rsidRDefault="001F127B" w14:paraId="4F8191A3" w14:textId="77777777">
            <w:pPr>
              <w:spacing w:line="276" w:lineRule="auto"/>
              <w:jc w:val="center"/>
              <w:rPr>
                <w:color w:val="auto"/>
                <w:lang w:val="lv-LV"/>
              </w:rPr>
            </w:pPr>
          </w:p>
          <w:p w:rsidRPr="00FD0F53" w:rsidR="001F127B" w:rsidP="00FD0F53" w:rsidRDefault="001F127B" w14:paraId="38BCF1E2" w14:textId="77777777">
            <w:pPr>
              <w:spacing w:line="276" w:lineRule="auto"/>
              <w:jc w:val="center"/>
              <w:rPr>
                <w:color w:val="auto"/>
                <w:lang w:val="lv-LV"/>
              </w:rPr>
            </w:pPr>
            <w:r w:rsidRPr="00FD0F53">
              <w:rPr>
                <w:color w:val="auto"/>
                <w:lang w:val="lv-LV"/>
              </w:rPr>
              <w:t>177500.00 EUR</w:t>
            </w:r>
          </w:p>
        </w:tc>
        <w:tc>
          <w:tcPr>
            <w:tcW w:w="3960" w:type="dxa"/>
            <w:gridSpan w:val="2"/>
            <w:shd w:val="clear" w:color="auto" w:fill="FFFFFF" w:themeFill="background1"/>
          </w:tcPr>
          <w:p w:rsidRPr="00FD0F53" w:rsidR="001F127B" w:rsidP="00FD0F53" w:rsidRDefault="001F127B" w14:paraId="43983282" w14:textId="77777777">
            <w:pPr>
              <w:spacing w:line="276" w:lineRule="auto"/>
              <w:jc w:val="center"/>
              <w:rPr>
                <w:color w:val="auto"/>
                <w:lang w:val="lv-LV" w:eastAsia="lv-LV"/>
              </w:rPr>
            </w:pPr>
            <w:r w:rsidRPr="00FD0F53">
              <w:rPr>
                <w:color w:val="auto"/>
                <w:lang w:val="lv-LV"/>
              </w:rPr>
              <w:t>Dalībnieku saraksts</w:t>
            </w:r>
          </w:p>
        </w:tc>
      </w:tr>
      <w:tr w:rsidRPr="00FD0F53" w:rsidR="00630124" w:rsidTr="001A27D8" w14:paraId="16B329E6" w14:textId="77777777">
        <w:trPr>
          <w:trHeight w:val="235"/>
        </w:trPr>
        <w:tc>
          <w:tcPr>
            <w:tcW w:w="3125" w:type="dxa"/>
            <w:vMerge/>
            <w:shd w:val="clear" w:color="auto" w:fill="FFFFFF" w:themeFill="background1"/>
            <w:vAlign w:val="center"/>
          </w:tcPr>
          <w:p w:rsidRPr="00FD0F53" w:rsidR="001F127B" w:rsidP="00FD0F53" w:rsidRDefault="001F127B" w14:paraId="006DD9FF"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1150CA6E" w14:textId="77777777">
            <w:pPr>
              <w:spacing w:line="276" w:lineRule="auto"/>
              <w:jc w:val="center"/>
              <w:rPr>
                <w:color w:val="auto"/>
                <w:lang w:val="lv-LV"/>
              </w:rPr>
            </w:pPr>
          </w:p>
        </w:tc>
        <w:tc>
          <w:tcPr>
            <w:tcW w:w="3150" w:type="dxa"/>
            <w:shd w:val="clear" w:color="auto" w:fill="FFFFFF" w:themeFill="background1"/>
          </w:tcPr>
          <w:p w:rsidRPr="00FD0F53" w:rsidR="001F127B" w:rsidP="00FD0F53" w:rsidRDefault="001F127B" w14:paraId="637299AE" w14:textId="77777777">
            <w:pPr>
              <w:spacing w:line="276" w:lineRule="auto"/>
              <w:rPr>
                <w:color w:val="auto"/>
                <w:lang w:val="lv-LV" w:eastAsia="lv-LV"/>
              </w:rPr>
            </w:pPr>
            <w:proofErr w:type="spellStart"/>
            <w:r w:rsidRPr="00FD0F53">
              <w:rPr>
                <w:color w:val="auto"/>
                <w:lang w:val="lv-LV"/>
              </w:rPr>
              <w:t>Carspect</w:t>
            </w:r>
            <w:proofErr w:type="spellEnd"/>
            <w:r w:rsidRPr="00FD0F53">
              <w:rPr>
                <w:color w:val="auto"/>
                <w:lang w:val="lv-LV"/>
              </w:rPr>
              <w:t xml:space="preserve"> </w:t>
            </w:r>
            <w:proofErr w:type="spellStart"/>
            <w:r w:rsidRPr="00FD0F53">
              <w:rPr>
                <w:color w:val="auto"/>
                <w:lang w:val="lv-LV"/>
              </w:rPr>
              <w:t>Group</w:t>
            </w:r>
            <w:proofErr w:type="spellEnd"/>
            <w:r w:rsidRPr="00FD0F53">
              <w:rPr>
                <w:color w:val="auto"/>
                <w:lang w:val="lv-LV"/>
              </w:rPr>
              <w:t xml:space="preserve"> AB (Zviedrija)</w:t>
            </w:r>
          </w:p>
        </w:tc>
        <w:tc>
          <w:tcPr>
            <w:tcW w:w="810" w:type="dxa"/>
            <w:shd w:val="clear" w:color="auto" w:fill="FFFFFF" w:themeFill="background1"/>
          </w:tcPr>
          <w:p w:rsidRPr="00FD0F53" w:rsidR="001F127B" w:rsidP="00FD0F53" w:rsidRDefault="001F127B" w14:paraId="3E7E84A3" w14:textId="77777777">
            <w:pPr>
              <w:spacing w:line="276" w:lineRule="auto"/>
              <w:jc w:val="center"/>
              <w:rPr>
                <w:color w:val="auto"/>
                <w:lang w:val="lv-LV" w:eastAsia="lv-LV"/>
              </w:rPr>
            </w:pPr>
            <w:r w:rsidRPr="00FD0F53">
              <w:rPr>
                <w:color w:val="auto"/>
                <w:lang w:val="lv-LV"/>
              </w:rPr>
              <w:t>51 %</w:t>
            </w:r>
          </w:p>
        </w:tc>
      </w:tr>
      <w:tr w:rsidRPr="00FD0F53" w:rsidR="00630124" w:rsidTr="001A27D8" w14:paraId="6EB20F63" w14:textId="77777777">
        <w:trPr>
          <w:trHeight w:val="233"/>
        </w:trPr>
        <w:tc>
          <w:tcPr>
            <w:tcW w:w="3125" w:type="dxa"/>
            <w:vMerge/>
            <w:shd w:val="clear" w:color="auto" w:fill="FFFFFF" w:themeFill="background1"/>
            <w:vAlign w:val="center"/>
          </w:tcPr>
          <w:p w:rsidRPr="00FD0F53" w:rsidR="001F127B" w:rsidP="00FD0F53" w:rsidRDefault="001F127B" w14:paraId="725B175F"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2B9C87E8" w14:textId="77777777">
            <w:pPr>
              <w:spacing w:line="276" w:lineRule="auto"/>
              <w:jc w:val="center"/>
              <w:rPr>
                <w:color w:val="auto"/>
                <w:lang w:val="lv-LV"/>
              </w:rPr>
            </w:pPr>
          </w:p>
        </w:tc>
        <w:tc>
          <w:tcPr>
            <w:tcW w:w="3150" w:type="dxa"/>
            <w:shd w:val="clear" w:color="auto" w:fill="FFFFFF" w:themeFill="background1"/>
          </w:tcPr>
          <w:p w:rsidRPr="00FD0F53" w:rsidR="001F127B" w:rsidP="00FD0F53" w:rsidRDefault="002A4836" w14:paraId="2F169471" w14:textId="77777777">
            <w:pPr>
              <w:spacing w:line="276" w:lineRule="auto"/>
              <w:rPr>
                <w:color w:val="auto"/>
                <w:lang w:val="lv-LV"/>
              </w:rPr>
            </w:pPr>
            <w:hyperlink w:history="1" r:id="rId8">
              <w:r w:rsidRPr="00FD0F53" w:rsidR="001F127B">
                <w:rPr>
                  <w:color w:val="auto"/>
                  <w:lang w:val="lv-LV"/>
                </w:rPr>
                <w:t>SIA "CA 88"</w:t>
              </w:r>
            </w:hyperlink>
            <w:r w:rsidRPr="00FD0F53" w:rsidR="001F127B">
              <w:rPr>
                <w:color w:val="auto"/>
                <w:lang w:val="lv-LV"/>
              </w:rPr>
              <w:t> </w:t>
            </w:r>
          </w:p>
        </w:tc>
        <w:tc>
          <w:tcPr>
            <w:tcW w:w="810" w:type="dxa"/>
            <w:shd w:val="clear" w:color="auto" w:fill="FFFFFF" w:themeFill="background1"/>
          </w:tcPr>
          <w:p w:rsidRPr="00FD0F53" w:rsidR="001F127B" w:rsidP="00FD0F53" w:rsidRDefault="001F127B" w14:paraId="10497FA1" w14:textId="77777777">
            <w:pPr>
              <w:spacing w:line="276" w:lineRule="auto"/>
              <w:jc w:val="center"/>
              <w:rPr>
                <w:color w:val="auto"/>
                <w:lang w:val="lv-LV" w:eastAsia="lv-LV"/>
              </w:rPr>
            </w:pPr>
            <w:r w:rsidRPr="00FD0F53">
              <w:rPr>
                <w:color w:val="auto"/>
                <w:lang w:val="lv-LV"/>
              </w:rPr>
              <w:t>29 %</w:t>
            </w:r>
          </w:p>
        </w:tc>
      </w:tr>
      <w:tr w:rsidRPr="00FD0F53" w:rsidR="00630124" w:rsidTr="001A27D8" w14:paraId="4E962F2C" w14:textId="77777777">
        <w:trPr>
          <w:trHeight w:val="233"/>
        </w:trPr>
        <w:tc>
          <w:tcPr>
            <w:tcW w:w="3125" w:type="dxa"/>
            <w:vMerge/>
            <w:shd w:val="clear" w:color="auto" w:fill="FFFFFF" w:themeFill="background1"/>
            <w:vAlign w:val="center"/>
          </w:tcPr>
          <w:p w:rsidRPr="00FD0F53" w:rsidR="001F127B" w:rsidP="00FD0F53" w:rsidRDefault="001F127B" w14:paraId="4005493E"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25D7A82A" w14:textId="77777777">
            <w:pPr>
              <w:spacing w:line="276" w:lineRule="auto"/>
              <w:jc w:val="center"/>
              <w:rPr>
                <w:color w:val="auto"/>
                <w:lang w:val="lv-LV"/>
              </w:rPr>
            </w:pPr>
          </w:p>
        </w:tc>
        <w:tc>
          <w:tcPr>
            <w:tcW w:w="3150" w:type="dxa"/>
            <w:shd w:val="clear" w:color="auto" w:fill="FFFFFF" w:themeFill="background1"/>
          </w:tcPr>
          <w:p w:rsidRPr="00FD0F53" w:rsidR="001F127B" w:rsidP="00FD0F53" w:rsidRDefault="002A4836" w14:paraId="5D5B2886" w14:textId="77777777">
            <w:pPr>
              <w:spacing w:line="276" w:lineRule="auto"/>
              <w:rPr>
                <w:color w:val="auto"/>
                <w:lang w:val="lv-LV" w:eastAsia="lv-LV"/>
              </w:rPr>
            </w:pPr>
            <w:hyperlink w:history="1" r:id="rId9">
              <w:r w:rsidRPr="00FD0F53" w:rsidR="001F127B">
                <w:rPr>
                  <w:color w:val="auto"/>
                  <w:lang w:val="lv-LV"/>
                </w:rPr>
                <w:t>CSDD</w:t>
              </w:r>
            </w:hyperlink>
          </w:p>
        </w:tc>
        <w:tc>
          <w:tcPr>
            <w:tcW w:w="810" w:type="dxa"/>
            <w:shd w:val="clear" w:color="auto" w:fill="FFFFFF" w:themeFill="background1"/>
          </w:tcPr>
          <w:p w:rsidRPr="00FD0F53" w:rsidR="001F127B" w:rsidP="00FD0F53" w:rsidRDefault="001F127B" w14:paraId="0D2E91A5" w14:textId="77777777">
            <w:pPr>
              <w:spacing w:line="276" w:lineRule="auto"/>
              <w:jc w:val="center"/>
              <w:rPr>
                <w:color w:val="auto"/>
                <w:lang w:val="lv-LV" w:eastAsia="lv-LV"/>
              </w:rPr>
            </w:pPr>
            <w:r w:rsidRPr="00FD0F53">
              <w:rPr>
                <w:color w:val="auto"/>
                <w:lang w:val="lv-LV"/>
              </w:rPr>
              <w:t>20 %</w:t>
            </w:r>
          </w:p>
        </w:tc>
      </w:tr>
      <w:tr w:rsidRPr="00FD0F53" w:rsidR="00630124" w:rsidTr="001A27D8" w14:paraId="1C2CFD2E" w14:textId="77777777">
        <w:trPr>
          <w:trHeight w:val="233"/>
        </w:trPr>
        <w:tc>
          <w:tcPr>
            <w:tcW w:w="3125" w:type="dxa"/>
            <w:vMerge w:val="restart"/>
            <w:shd w:val="clear" w:color="auto" w:fill="FFFFFF" w:themeFill="background1"/>
            <w:vAlign w:val="center"/>
          </w:tcPr>
          <w:p w:rsidRPr="00FD0F53" w:rsidR="001F127B" w:rsidP="00FD0F53" w:rsidRDefault="001F127B" w14:paraId="729C88B8" w14:textId="77777777">
            <w:pPr>
              <w:spacing w:line="276" w:lineRule="auto"/>
              <w:jc w:val="center"/>
              <w:rPr>
                <w:color w:val="auto"/>
                <w:lang w:val="lv-LV"/>
              </w:rPr>
            </w:pPr>
            <w:bookmarkStart w:name="_Hlk18931970" w:id="0"/>
            <w:r w:rsidRPr="00FD0F53">
              <w:rPr>
                <w:color w:val="auto"/>
                <w:lang w:val="lv-LV"/>
              </w:rPr>
              <w:t>SIA " VENTTESTS "</w:t>
            </w:r>
          </w:p>
          <w:bookmarkEnd w:id="0"/>
          <w:p w:rsidRPr="00FD0F53" w:rsidR="001F127B" w:rsidP="00FD0F53" w:rsidRDefault="001F127B" w14:paraId="7A35DD99" w14:textId="77777777">
            <w:pPr>
              <w:spacing w:line="276" w:lineRule="auto"/>
              <w:jc w:val="center"/>
              <w:rPr>
                <w:color w:val="auto"/>
                <w:lang w:val="lv-LV"/>
              </w:rPr>
            </w:pPr>
            <w:proofErr w:type="spellStart"/>
            <w:r w:rsidRPr="00FD0F53">
              <w:rPr>
                <w:color w:val="auto"/>
                <w:lang w:val="lv-LV"/>
              </w:rPr>
              <w:t>reģ</w:t>
            </w:r>
            <w:proofErr w:type="spellEnd"/>
            <w:r w:rsidRPr="00FD0F53">
              <w:rPr>
                <w:color w:val="auto"/>
                <w:lang w:val="lv-LV"/>
              </w:rPr>
              <w:t>. 40003425118</w:t>
            </w:r>
          </w:p>
          <w:p w:rsidRPr="00FD0F53" w:rsidR="001F127B" w:rsidP="00FD0F53" w:rsidRDefault="001F127B" w14:paraId="7F832001" w14:textId="77777777">
            <w:pPr>
              <w:spacing w:line="276" w:lineRule="auto"/>
              <w:jc w:val="center"/>
              <w:rPr>
                <w:i/>
                <w:color w:val="auto"/>
                <w:lang w:val="lv-LV"/>
              </w:rPr>
            </w:pPr>
          </w:p>
        </w:tc>
        <w:tc>
          <w:tcPr>
            <w:tcW w:w="2455" w:type="dxa"/>
            <w:vMerge w:val="restart"/>
            <w:shd w:val="clear" w:color="auto" w:fill="FFFFFF" w:themeFill="background1"/>
          </w:tcPr>
          <w:p w:rsidRPr="00FD0F53" w:rsidR="001F127B" w:rsidP="00FD0F53" w:rsidRDefault="001F127B" w14:paraId="646FB614" w14:textId="77777777">
            <w:pPr>
              <w:spacing w:line="276" w:lineRule="auto"/>
              <w:jc w:val="center"/>
              <w:rPr>
                <w:color w:val="auto"/>
                <w:lang w:val="lv-LV"/>
              </w:rPr>
            </w:pPr>
          </w:p>
          <w:p w:rsidRPr="00FD0F53" w:rsidR="001F127B" w:rsidP="00FD0F53" w:rsidRDefault="001F127B" w14:paraId="2CA916E0" w14:textId="77777777">
            <w:pPr>
              <w:spacing w:line="276" w:lineRule="auto"/>
              <w:jc w:val="center"/>
              <w:rPr>
                <w:color w:val="auto"/>
                <w:lang w:val="lv-LV"/>
              </w:rPr>
            </w:pPr>
            <w:r w:rsidRPr="00FD0F53">
              <w:rPr>
                <w:color w:val="auto"/>
                <w:lang w:val="lv-LV"/>
              </w:rPr>
              <w:t>284802.00 EUR</w:t>
            </w:r>
          </w:p>
          <w:p w:rsidRPr="00FD0F53" w:rsidR="001F127B" w:rsidP="00FD0F53" w:rsidRDefault="001F127B" w14:paraId="6DDF61A5" w14:textId="77777777">
            <w:pPr>
              <w:spacing w:line="276" w:lineRule="auto"/>
              <w:jc w:val="center"/>
              <w:rPr>
                <w:color w:val="auto"/>
                <w:lang w:val="lv-LV"/>
              </w:rPr>
            </w:pPr>
          </w:p>
        </w:tc>
        <w:tc>
          <w:tcPr>
            <w:tcW w:w="3960" w:type="dxa"/>
            <w:gridSpan w:val="2"/>
            <w:shd w:val="clear" w:color="auto" w:fill="FFFFFF" w:themeFill="background1"/>
          </w:tcPr>
          <w:p w:rsidRPr="00FD0F53" w:rsidR="001F127B" w:rsidP="00FD0F53" w:rsidRDefault="001F127B" w14:paraId="2DB1E1B7" w14:textId="77777777">
            <w:pPr>
              <w:spacing w:line="276" w:lineRule="auto"/>
              <w:jc w:val="center"/>
              <w:rPr>
                <w:color w:val="auto"/>
                <w:lang w:val="lv-LV"/>
              </w:rPr>
            </w:pPr>
            <w:r w:rsidRPr="00FD0F53">
              <w:rPr>
                <w:color w:val="auto"/>
                <w:lang w:val="lv-LV"/>
              </w:rPr>
              <w:t>Dalībnieku saraksts</w:t>
            </w:r>
          </w:p>
        </w:tc>
      </w:tr>
      <w:tr w:rsidRPr="00FD0F53" w:rsidR="00630124" w:rsidTr="001A27D8" w14:paraId="64789154" w14:textId="77777777">
        <w:trPr>
          <w:trHeight w:val="233"/>
        </w:trPr>
        <w:tc>
          <w:tcPr>
            <w:tcW w:w="3125" w:type="dxa"/>
            <w:vMerge/>
            <w:shd w:val="clear" w:color="auto" w:fill="FFFFFF" w:themeFill="background1"/>
            <w:vAlign w:val="center"/>
          </w:tcPr>
          <w:p w:rsidRPr="00FD0F53" w:rsidR="001F127B" w:rsidP="00FD0F53" w:rsidRDefault="001F127B" w14:paraId="04F97D12"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723FC738" w14:textId="77777777">
            <w:pPr>
              <w:spacing w:line="276" w:lineRule="auto"/>
              <w:jc w:val="center"/>
              <w:rPr>
                <w:color w:val="auto"/>
                <w:lang w:val="lv-LV"/>
              </w:rPr>
            </w:pPr>
          </w:p>
        </w:tc>
        <w:tc>
          <w:tcPr>
            <w:tcW w:w="3150" w:type="dxa"/>
            <w:shd w:val="clear" w:color="auto" w:fill="FFFFFF" w:themeFill="background1"/>
          </w:tcPr>
          <w:p w:rsidRPr="00FD0F53" w:rsidR="001F127B" w:rsidP="00FD0F53" w:rsidRDefault="001F127B" w14:paraId="13CAAB94" w14:textId="77777777">
            <w:pPr>
              <w:spacing w:line="276" w:lineRule="auto"/>
              <w:rPr>
                <w:color w:val="auto"/>
                <w:lang w:val="lv-LV"/>
              </w:rPr>
            </w:pPr>
            <w:r w:rsidRPr="00FD0F53">
              <w:rPr>
                <w:color w:val="auto"/>
                <w:lang w:val="lv-LV"/>
              </w:rPr>
              <w:t>CSDD</w:t>
            </w:r>
          </w:p>
        </w:tc>
        <w:tc>
          <w:tcPr>
            <w:tcW w:w="810" w:type="dxa"/>
            <w:shd w:val="clear" w:color="auto" w:fill="FFFFFF" w:themeFill="background1"/>
          </w:tcPr>
          <w:p w:rsidRPr="00FD0F53" w:rsidR="001F127B" w:rsidP="00FD0F53" w:rsidRDefault="001F127B" w14:paraId="61250689" w14:textId="77777777">
            <w:pPr>
              <w:spacing w:line="276" w:lineRule="auto"/>
              <w:jc w:val="center"/>
              <w:rPr>
                <w:color w:val="auto"/>
                <w:lang w:val="lv-LV"/>
              </w:rPr>
            </w:pPr>
            <w:r w:rsidRPr="00FD0F53">
              <w:rPr>
                <w:color w:val="auto"/>
                <w:lang w:val="lv-LV"/>
              </w:rPr>
              <w:t>50 %</w:t>
            </w:r>
          </w:p>
        </w:tc>
      </w:tr>
      <w:tr w:rsidRPr="00FD0F53" w:rsidR="00630124" w:rsidTr="001A27D8" w14:paraId="255F4791" w14:textId="77777777">
        <w:trPr>
          <w:trHeight w:val="233"/>
        </w:trPr>
        <w:tc>
          <w:tcPr>
            <w:tcW w:w="3125" w:type="dxa"/>
            <w:vMerge/>
            <w:shd w:val="clear" w:color="auto" w:fill="FFFFFF" w:themeFill="background1"/>
            <w:vAlign w:val="center"/>
          </w:tcPr>
          <w:p w:rsidRPr="00FD0F53" w:rsidR="001F127B" w:rsidP="00FD0F53" w:rsidRDefault="001F127B" w14:paraId="006C4260"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543AFDD8" w14:textId="77777777">
            <w:pPr>
              <w:spacing w:line="276" w:lineRule="auto"/>
              <w:jc w:val="center"/>
              <w:rPr>
                <w:color w:val="auto"/>
                <w:lang w:val="lv-LV"/>
              </w:rPr>
            </w:pPr>
          </w:p>
        </w:tc>
        <w:tc>
          <w:tcPr>
            <w:tcW w:w="3150" w:type="dxa"/>
            <w:shd w:val="clear" w:color="auto" w:fill="FFFFFF" w:themeFill="background1"/>
          </w:tcPr>
          <w:p w:rsidRPr="00FD0F53" w:rsidR="001F127B" w:rsidP="00FD0F53" w:rsidRDefault="001F127B" w14:paraId="76291E4F" w14:textId="77777777">
            <w:pPr>
              <w:spacing w:line="276" w:lineRule="auto"/>
              <w:rPr>
                <w:color w:val="auto"/>
                <w:lang w:val="lv-LV"/>
              </w:rPr>
            </w:pPr>
            <w:r w:rsidRPr="00FD0F53">
              <w:rPr>
                <w:color w:val="auto"/>
                <w:lang w:val="lv-LV"/>
              </w:rPr>
              <w:t>Ventspils pilsētas dome </w:t>
            </w:r>
          </w:p>
        </w:tc>
        <w:tc>
          <w:tcPr>
            <w:tcW w:w="810" w:type="dxa"/>
            <w:shd w:val="clear" w:color="auto" w:fill="FFFFFF" w:themeFill="background1"/>
          </w:tcPr>
          <w:p w:rsidRPr="00FD0F53" w:rsidR="001F127B" w:rsidP="00FD0F53" w:rsidRDefault="001F127B" w14:paraId="227CB603" w14:textId="77777777">
            <w:pPr>
              <w:spacing w:line="276" w:lineRule="auto"/>
              <w:jc w:val="center"/>
              <w:rPr>
                <w:color w:val="auto"/>
                <w:lang w:val="lv-LV"/>
              </w:rPr>
            </w:pPr>
            <w:r w:rsidRPr="00FD0F53">
              <w:rPr>
                <w:color w:val="auto"/>
                <w:lang w:val="lv-LV"/>
              </w:rPr>
              <w:t>50 %</w:t>
            </w:r>
          </w:p>
        </w:tc>
      </w:tr>
      <w:tr w:rsidRPr="00FD0F53" w:rsidR="00630124" w:rsidTr="001A27D8" w14:paraId="206990BC" w14:textId="77777777">
        <w:trPr>
          <w:trHeight w:val="233"/>
        </w:trPr>
        <w:tc>
          <w:tcPr>
            <w:tcW w:w="3125" w:type="dxa"/>
            <w:vMerge w:val="restart"/>
            <w:shd w:val="clear" w:color="auto" w:fill="FFFFFF" w:themeFill="background1"/>
            <w:vAlign w:val="center"/>
          </w:tcPr>
          <w:p w:rsidRPr="00FD0F53" w:rsidR="001F127B" w:rsidP="00FD0F53" w:rsidRDefault="001F127B" w14:paraId="53493B2C" w14:textId="77777777">
            <w:pPr>
              <w:spacing w:line="276" w:lineRule="auto"/>
              <w:jc w:val="center"/>
              <w:rPr>
                <w:color w:val="auto"/>
                <w:lang w:val="lv-LV"/>
              </w:rPr>
            </w:pPr>
            <w:r w:rsidRPr="00FD0F53">
              <w:rPr>
                <w:color w:val="auto"/>
                <w:lang w:val="lv-LV"/>
              </w:rPr>
              <w:t>SIA "AUTESTS"</w:t>
            </w:r>
          </w:p>
          <w:p w:rsidRPr="00FD0F53" w:rsidR="001F127B" w:rsidP="00FD0F53" w:rsidRDefault="001F127B" w14:paraId="3B6FFB59" w14:textId="77777777">
            <w:pPr>
              <w:spacing w:line="276" w:lineRule="auto"/>
              <w:jc w:val="center"/>
              <w:rPr>
                <w:color w:val="auto"/>
                <w:lang w:val="lv-LV"/>
              </w:rPr>
            </w:pPr>
            <w:proofErr w:type="spellStart"/>
            <w:r w:rsidRPr="00FD0F53">
              <w:rPr>
                <w:color w:val="auto"/>
                <w:lang w:val="lv-LV"/>
              </w:rPr>
              <w:t>reģ</w:t>
            </w:r>
            <w:proofErr w:type="spellEnd"/>
            <w:r w:rsidRPr="00FD0F53">
              <w:rPr>
                <w:color w:val="auto"/>
                <w:lang w:val="lv-LV"/>
              </w:rPr>
              <w:t>. 40003425353</w:t>
            </w:r>
          </w:p>
        </w:tc>
        <w:tc>
          <w:tcPr>
            <w:tcW w:w="2455" w:type="dxa"/>
            <w:vMerge w:val="restart"/>
            <w:shd w:val="clear" w:color="auto" w:fill="FFFFFF" w:themeFill="background1"/>
          </w:tcPr>
          <w:p w:rsidRPr="00FD0F53" w:rsidR="001F127B" w:rsidP="00FD0F53" w:rsidRDefault="001F127B" w14:paraId="520A628B" w14:textId="77777777">
            <w:pPr>
              <w:spacing w:line="276" w:lineRule="auto"/>
              <w:jc w:val="center"/>
              <w:rPr>
                <w:color w:val="auto"/>
                <w:lang w:val="lv-LV"/>
              </w:rPr>
            </w:pPr>
          </w:p>
          <w:p w:rsidRPr="00FD0F53" w:rsidR="001F127B" w:rsidP="00FD0F53" w:rsidRDefault="001F127B" w14:paraId="737346D5" w14:textId="77777777">
            <w:pPr>
              <w:spacing w:line="276" w:lineRule="auto"/>
              <w:jc w:val="center"/>
              <w:rPr>
                <w:color w:val="auto"/>
                <w:lang w:val="lv-LV"/>
              </w:rPr>
            </w:pPr>
            <w:r w:rsidRPr="00FD0F53">
              <w:rPr>
                <w:color w:val="auto"/>
                <w:lang w:val="lv-LV"/>
              </w:rPr>
              <w:t>279030.00 EUR</w:t>
            </w:r>
          </w:p>
        </w:tc>
        <w:tc>
          <w:tcPr>
            <w:tcW w:w="3960" w:type="dxa"/>
            <w:gridSpan w:val="2"/>
            <w:shd w:val="clear" w:color="auto" w:fill="FFFFFF" w:themeFill="background1"/>
          </w:tcPr>
          <w:p w:rsidRPr="00FD0F53" w:rsidR="001F127B" w:rsidP="00FD0F53" w:rsidRDefault="001F127B" w14:paraId="28715F81" w14:textId="77777777">
            <w:pPr>
              <w:spacing w:line="276" w:lineRule="auto"/>
              <w:jc w:val="center"/>
              <w:rPr>
                <w:color w:val="auto"/>
                <w:lang w:val="lv-LV"/>
              </w:rPr>
            </w:pPr>
            <w:r w:rsidRPr="00FD0F53">
              <w:rPr>
                <w:color w:val="auto"/>
                <w:lang w:val="lv-LV"/>
              </w:rPr>
              <w:t>Dalībnieku saraksts</w:t>
            </w:r>
          </w:p>
        </w:tc>
      </w:tr>
      <w:tr w:rsidRPr="00FD0F53" w:rsidR="00630124" w:rsidTr="001A27D8" w14:paraId="0A4AA9D1" w14:textId="77777777">
        <w:trPr>
          <w:trHeight w:val="233"/>
        </w:trPr>
        <w:tc>
          <w:tcPr>
            <w:tcW w:w="3125" w:type="dxa"/>
            <w:vMerge/>
            <w:shd w:val="clear" w:color="auto" w:fill="FFFFFF" w:themeFill="background1"/>
            <w:vAlign w:val="center"/>
          </w:tcPr>
          <w:p w:rsidRPr="00FD0F53" w:rsidR="001F127B" w:rsidP="00FD0F53" w:rsidRDefault="001F127B" w14:paraId="0CE250F8"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6148F74F" w14:textId="77777777">
            <w:pPr>
              <w:spacing w:line="276" w:lineRule="auto"/>
              <w:jc w:val="center"/>
              <w:rPr>
                <w:rStyle w:val="Hyperlink"/>
                <w:bCs/>
                <w:color w:val="auto"/>
                <w:u w:val="none"/>
                <w:bdr w:val="none" w:color="auto" w:sz="0" w:space="0" w:frame="1"/>
                <w:lang w:val="lv-LV"/>
              </w:rPr>
            </w:pPr>
          </w:p>
        </w:tc>
        <w:tc>
          <w:tcPr>
            <w:tcW w:w="3150" w:type="dxa"/>
            <w:shd w:val="clear" w:color="auto" w:fill="FFFFFF" w:themeFill="background1"/>
          </w:tcPr>
          <w:p w:rsidRPr="00FD0F53" w:rsidR="001F127B" w:rsidP="00FD0F53" w:rsidRDefault="002A4836" w14:paraId="47447AE6" w14:textId="002722C1">
            <w:pPr>
              <w:spacing w:line="276" w:lineRule="auto"/>
              <w:rPr>
                <w:color w:val="auto"/>
                <w:lang w:val="lv-LV"/>
              </w:rPr>
            </w:pPr>
            <w:hyperlink w:history="1" r:id="rId10">
              <w:r w:rsidRPr="00FD0F53" w:rsidR="001F127B">
                <w:rPr>
                  <w:rStyle w:val="Hyperlink"/>
                  <w:bCs/>
                  <w:color w:val="auto"/>
                  <w:u w:val="none"/>
                  <w:bdr w:val="none" w:color="auto" w:sz="0" w:space="0" w:frame="1"/>
                  <w:lang w:val="lv-LV"/>
                </w:rPr>
                <w:t>SIA "Ogres servisa centrs"</w:t>
              </w:r>
            </w:hyperlink>
          </w:p>
        </w:tc>
        <w:tc>
          <w:tcPr>
            <w:tcW w:w="810" w:type="dxa"/>
            <w:shd w:val="clear" w:color="auto" w:fill="FFFFFF" w:themeFill="background1"/>
          </w:tcPr>
          <w:p w:rsidRPr="00FD0F53" w:rsidR="001F127B" w:rsidP="00FD0F53" w:rsidRDefault="001F127B" w14:paraId="292BA44B" w14:textId="77777777">
            <w:pPr>
              <w:spacing w:line="276" w:lineRule="auto"/>
              <w:jc w:val="center"/>
              <w:rPr>
                <w:color w:val="auto"/>
                <w:lang w:val="lv-LV"/>
              </w:rPr>
            </w:pPr>
            <w:r w:rsidRPr="00FD0F53">
              <w:rPr>
                <w:color w:val="auto"/>
                <w:lang w:val="lv-LV"/>
              </w:rPr>
              <w:t>80 %</w:t>
            </w:r>
          </w:p>
        </w:tc>
      </w:tr>
      <w:tr w:rsidRPr="00FD0F53" w:rsidR="00630124" w:rsidTr="001A27D8" w14:paraId="4A4A0EF6" w14:textId="77777777">
        <w:trPr>
          <w:trHeight w:val="233"/>
        </w:trPr>
        <w:tc>
          <w:tcPr>
            <w:tcW w:w="3125" w:type="dxa"/>
            <w:vMerge/>
            <w:shd w:val="clear" w:color="auto" w:fill="FFFFFF" w:themeFill="background1"/>
            <w:vAlign w:val="center"/>
          </w:tcPr>
          <w:p w:rsidRPr="00FD0F53" w:rsidR="001F127B" w:rsidP="00FD0F53" w:rsidRDefault="001F127B" w14:paraId="6D615EDC" w14:textId="77777777">
            <w:pPr>
              <w:spacing w:line="276" w:lineRule="auto"/>
              <w:jc w:val="center"/>
              <w:rPr>
                <w:color w:val="auto"/>
                <w:lang w:val="lv-LV"/>
              </w:rPr>
            </w:pPr>
          </w:p>
        </w:tc>
        <w:tc>
          <w:tcPr>
            <w:tcW w:w="2455" w:type="dxa"/>
            <w:vMerge/>
            <w:shd w:val="clear" w:color="auto" w:fill="FFFFFF" w:themeFill="background1"/>
          </w:tcPr>
          <w:p w:rsidRPr="00FD0F53" w:rsidR="001F127B" w:rsidP="00FD0F53" w:rsidRDefault="001F127B" w14:paraId="4B811701" w14:textId="77777777">
            <w:pPr>
              <w:spacing w:line="276" w:lineRule="auto"/>
              <w:jc w:val="center"/>
              <w:rPr>
                <w:rStyle w:val="Hyperlink"/>
                <w:bCs/>
                <w:color w:val="auto"/>
                <w:u w:val="none"/>
                <w:bdr w:val="none" w:color="auto" w:sz="0" w:space="0" w:frame="1"/>
                <w:lang w:val="lv-LV"/>
              </w:rPr>
            </w:pPr>
          </w:p>
        </w:tc>
        <w:tc>
          <w:tcPr>
            <w:tcW w:w="3150" w:type="dxa"/>
            <w:shd w:val="clear" w:color="auto" w:fill="FFFFFF" w:themeFill="background1"/>
          </w:tcPr>
          <w:p w:rsidRPr="00FD0F53" w:rsidR="001F127B" w:rsidP="00FD0F53" w:rsidRDefault="001F127B" w14:paraId="325C6F95" w14:textId="77777777">
            <w:pPr>
              <w:spacing w:line="276" w:lineRule="auto"/>
              <w:rPr>
                <w:color w:val="auto"/>
                <w:lang w:val="lv-LV"/>
              </w:rPr>
            </w:pPr>
            <w:r w:rsidRPr="00FD0F53">
              <w:rPr>
                <w:rStyle w:val="Hyperlink"/>
                <w:bCs/>
                <w:color w:val="auto"/>
                <w:u w:val="none"/>
                <w:bdr w:val="none" w:color="auto" w:sz="0" w:space="0" w:frame="1"/>
                <w:lang w:val="lv-LV"/>
              </w:rPr>
              <w:t>CSDD</w:t>
            </w:r>
          </w:p>
        </w:tc>
        <w:tc>
          <w:tcPr>
            <w:tcW w:w="810" w:type="dxa"/>
            <w:shd w:val="clear" w:color="auto" w:fill="FFFFFF" w:themeFill="background1"/>
          </w:tcPr>
          <w:p w:rsidRPr="00FD0F53" w:rsidR="001F127B" w:rsidP="00FD0F53" w:rsidRDefault="001F127B" w14:paraId="1F318863" w14:textId="77777777">
            <w:pPr>
              <w:spacing w:line="276" w:lineRule="auto"/>
              <w:jc w:val="center"/>
              <w:rPr>
                <w:color w:val="auto"/>
                <w:lang w:val="lv-LV"/>
              </w:rPr>
            </w:pPr>
            <w:r w:rsidRPr="00FD0F53">
              <w:rPr>
                <w:color w:val="auto"/>
                <w:lang w:val="lv-LV"/>
              </w:rPr>
              <w:t>20 %</w:t>
            </w:r>
          </w:p>
        </w:tc>
      </w:tr>
    </w:tbl>
    <w:p w:rsidRPr="00FD0F53" w:rsidR="001F127B" w:rsidP="00FD0F53" w:rsidRDefault="001F127B" w14:paraId="162CDAC5" w14:textId="77777777">
      <w:pPr>
        <w:pStyle w:val="NoSpacing"/>
        <w:tabs>
          <w:tab w:val="left" w:pos="0"/>
        </w:tabs>
        <w:spacing w:line="276" w:lineRule="auto"/>
        <w:ind w:firstLine="810"/>
        <w:jc w:val="both"/>
        <w:rPr>
          <w:sz w:val="24"/>
          <w:szCs w:val="24"/>
        </w:rPr>
      </w:pPr>
    </w:p>
    <w:p w:rsidRPr="00FD0F53" w:rsidR="001F127B" w:rsidP="00FD0F53" w:rsidRDefault="00065C9D" w14:paraId="51D18484" w14:textId="166E6F44">
      <w:pPr>
        <w:pStyle w:val="NoSpacing"/>
        <w:tabs>
          <w:tab w:val="left" w:pos="0"/>
        </w:tabs>
        <w:spacing w:line="276" w:lineRule="auto"/>
        <w:ind w:firstLine="810"/>
        <w:jc w:val="both"/>
        <w:rPr>
          <w:sz w:val="24"/>
          <w:szCs w:val="24"/>
        </w:rPr>
      </w:pPr>
      <w:r w:rsidRPr="00FD0F53">
        <w:rPr>
          <w:sz w:val="24"/>
          <w:szCs w:val="24"/>
        </w:rPr>
        <w:t>Kopā</w:t>
      </w:r>
      <w:r w:rsidRPr="00FD0F53" w:rsidR="00472354">
        <w:rPr>
          <w:sz w:val="24"/>
          <w:szCs w:val="24"/>
        </w:rPr>
        <w:t xml:space="preserve"> </w:t>
      </w:r>
      <w:r w:rsidRPr="00FD0F53" w:rsidR="00F020A8">
        <w:rPr>
          <w:sz w:val="24"/>
          <w:szCs w:val="24"/>
        </w:rPr>
        <w:t>Kapitālsabiedrīb</w:t>
      </w:r>
      <w:r w:rsidRPr="00FD0F53" w:rsidR="00D87C46">
        <w:rPr>
          <w:sz w:val="24"/>
          <w:szCs w:val="24"/>
        </w:rPr>
        <w:t>as</w:t>
      </w:r>
      <w:r w:rsidRPr="00FD0F53" w:rsidR="00472354">
        <w:rPr>
          <w:sz w:val="24"/>
          <w:szCs w:val="24"/>
        </w:rPr>
        <w:t xml:space="preserve"> nodrošina </w:t>
      </w:r>
      <w:r w:rsidRPr="00FD0F53" w:rsidR="00BE6D88">
        <w:rPr>
          <w:sz w:val="24"/>
          <w:szCs w:val="24"/>
        </w:rPr>
        <w:t>t</w:t>
      </w:r>
      <w:r w:rsidRPr="00FD0F53" w:rsidR="00472354">
        <w:rPr>
          <w:sz w:val="24"/>
          <w:szCs w:val="24"/>
        </w:rPr>
        <w:t>ehniskās kontroles pakalpojumus</w:t>
      </w:r>
      <w:r w:rsidRPr="00FD0F53" w:rsidR="00BE6D88">
        <w:rPr>
          <w:sz w:val="24"/>
          <w:szCs w:val="24"/>
        </w:rPr>
        <w:t xml:space="preserve"> valsts tehniskās apskates ietvaros</w:t>
      </w:r>
      <w:r w:rsidRPr="00FD0F53" w:rsidR="00472354">
        <w:rPr>
          <w:sz w:val="24"/>
          <w:szCs w:val="24"/>
        </w:rPr>
        <w:t xml:space="preserve"> 31 tehniskās apskates stacijā Latvijas teritorijā</w:t>
      </w:r>
      <w:r w:rsidRPr="00FD0F53" w:rsidR="001F127B">
        <w:rPr>
          <w:sz w:val="24"/>
          <w:szCs w:val="24"/>
        </w:rPr>
        <w:t>, nodrošinot klientiem ērtu un ātru pakalpojuma pieejamību:</w:t>
      </w:r>
    </w:p>
    <w:p w:rsidRPr="00FD0F53" w:rsidR="001F127B" w:rsidP="00FD0F53" w:rsidRDefault="001F127B" w14:paraId="6DD5AAB2" w14:textId="77777777">
      <w:pPr>
        <w:pStyle w:val="NoSpacing"/>
        <w:numPr>
          <w:ilvl w:val="0"/>
          <w:numId w:val="4"/>
        </w:numPr>
        <w:tabs>
          <w:tab w:val="left" w:pos="0"/>
        </w:tabs>
        <w:spacing w:line="276" w:lineRule="auto"/>
        <w:jc w:val="both"/>
        <w:rPr>
          <w:sz w:val="24"/>
          <w:szCs w:val="24"/>
        </w:rPr>
      </w:pPr>
      <w:r w:rsidRPr="00FD0F53">
        <w:rPr>
          <w:sz w:val="24"/>
          <w:szCs w:val="24"/>
        </w:rPr>
        <w:t>SIA “</w:t>
      </w:r>
      <w:proofErr w:type="spellStart"/>
      <w:r w:rsidRPr="00FD0F53">
        <w:rPr>
          <w:sz w:val="24"/>
          <w:szCs w:val="24"/>
        </w:rPr>
        <w:t>Auteko&amp;TÜV</w:t>
      </w:r>
      <w:proofErr w:type="spellEnd"/>
      <w:r w:rsidRPr="00FD0F53">
        <w:rPr>
          <w:sz w:val="24"/>
          <w:szCs w:val="24"/>
        </w:rPr>
        <w:t xml:space="preserve"> Latvija” - Rīgā, Jelgavā, Jēkabpilī, Dobelē, Madonā, Bauskā, Preiļos un Aizkrauklē;</w:t>
      </w:r>
    </w:p>
    <w:p w:rsidRPr="00FD0F53" w:rsidR="001F127B" w:rsidP="00FD0F53" w:rsidRDefault="001F127B" w14:paraId="39025A56" w14:textId="4C803A11">
      <w:pPr>
        <w:pStyle w:val="NoSpacing"/>
        <w:numPr>
          <w:ilvl w:val="0"/>
          <w:numId w:val="4"/>
        </w:numPr>
        <w:tabs>
          <w:tab w:val="left" w:pos="0"/>
        </w:tabs>
        <w:spacing w:line="276" w:lineRule="auto"/>
        <w:jc w:val="both"/>
        <w:rPr>
          <w:sz w:val="24"/>
          <w:szCs w:val="24"/>
        </w:rPr>
      </w:pPr>
      <w:r w:rsidRPr="00FD0F53">
        <w:rPr>
          <w:sz w:val="24"/>
          <w:szCs w:val="24"/>
        </w:rPr>
        <w:t>SIA “Autests” - Ogrē, Jūrmalā, Cēsīs, Limbažos, Krāslavā</w:t>
      </w:r>
      <w:r w:rsidRPr="00FD0F53" w:rsidR="004853F3">
        <w:rPr>
          <w:sz w:val="24"/>
          <w:szCs w:val="24"/>
        </w:rPr>
        <w:t>,</w:t>
      </w:r>
      <w:r w:rsidRPr="00FD0F53">
        <w:rPr>
          <w:sz w:val="24"/>
          <w:szCs w:val="24"/>
        </w:rPr>
        <w:t xml:space="preserve"> Daugavpilī</w:t>
      </w:r>
      <w:r w:rsidRPr="00FD0F53" w:rsidR="004853F3">
        <w:rPr>
          <w:sz w:val="24"/>
          <w:szCs w:val="24"/>
        </w:rPr>
        <w:t xml:space="preserve"> un </w:t>
      </w:r>
      <w:r w:rsidRPr="00FD0F53" w:rsidR="00613DD9">
        <w:rPr>
          <w:sz w:val="24"/>
          <w:szCs w:val="24"/>
        </w:rPr>
        <w:t>Tukumā</w:t>
      </w:r>
      <w:r w:rsidRPr="00FD0F53">
        <w:rPr>
          <w:sz w:val="24"/>
          <w:szCs w:val="24"/>
        </w:rPr>
        <w:t>;</w:t>
      </w:r>
    </w:p>
    <w:p w:rsidRPr="00FD0F53" w:rsidR="001F127B" w:rsidP="00FD0F53" w:rsidRDefault="001F127B" w14:paraId="2A506FD5" w14:textId="77777777">
      <w:pPr>
        <w:pStyle w:val="NoSpacing"/>
        <w:numPr>
          <w:ilvl w:val="0"/>
          <w:numId w:val="4"/>
        </w:numPr>
        <w:tabs>
          <w:tab w:val="left" w:pos="0"/>
        </w:tabs>
        <w:spacing w:line="276" w:lineRule="auto"/>
        <w:jc w:val="both"/>
        <w:rPr>
          <w:sz w:val="24"/>
          <w:szCs w:val="24"/>
        </w:rPr>
      </w:pPr>
      <w:r w:rsidRPr="00FD0F53">
        <w:rPr>
          <w:sz w:val="24"/>
          <w:szCs w:val="24"/>
        </w:rPr>
        <w:t>SIA “</w:t>
      </w:r>
      <w:proofErr w:type="spellStart"/>
      <w:r w:rsidRPr="00FD0F53">
        <w:rPr>
          <w:sz w:val="24"/>
          <w:szCs w:val="24"/>
        </w:rPr>
        <w:t>Scantest</w:t>
      </w:r>
      <w:proofErr w:type="spellEnd"/>
      <w:r w:rsidRPr="00FD0F53">
        <w:rPr>
          <w:sz w:val="24"/>
          <w:szCs w:val="24"/>
        </w:rPr>
        <w:t>” - Liepājā, Grobiņā, Talsos, Siguldā, Ludzā, Valkā, Kuldīgā, Saldū, Gulbenē, Balvos, Alūksnē, Valmierā un Rēzeknē;</w:t>
      </w:r>
    </w:p>
    <w:p w:rsidRPr="00FD0F53" w:rsidR="001F127B" w:rsidP="00FD0F53" w:rsidRDefault="001F127B" w14:paraId="6ADF0901" w14:textId="77777777">
      <w:pPr>
        <w:pStyle w:val="NoSpacing"/>
        <w:numPr>
          <w:ilvl w:val="0"/>
          <w:numId w:val="4"/>
        </w:numPr>
        <w:tabs>
          <w:tab w:val="left" w:pos="0"/>
        </w:tabs>
        <w:spacing w:line="276" w:lineRule="auto"/>
        <w:jc w:val="both"/>
        <w:rPr>
          <w:sz w:val="24"/>
          <w:szCs w:val="24"/>
        </w:rPr>
      </w:pPr>
      <w:r w:rsidRPr="00FD0F53">
        <w:rPr>
          <w:sz w:val="24"/>
          <w:szCs w:val="24"/>
        </w:rPr>
        <w:t>SIA “</w:t>
      </w:r>
      <w:proofErr w:type="spellStart"/>
      <w:r w:rsidRPr="00FD0F53">
        <w:rPr>
          <w:sz w:val="24"/>
          <w:szCs w:val="24"/>
        </w:rPr>
        <w:t>Venttests</w:t>
      </w:r>
      <w:proofErr w:type="spellEnd"/>
      <w:r w:rsidRPr="00FD0F53">
        <w:rPr>
          <w:sz w:val="24"/>
          <w:szCs w:val="24"/>
        </w:rPr>
        <w:t>” – Ventspilī.</w:t>
      </w:r>
    </w:p>
    <w:p w:rsidRPr="00FD0F53" w:rsidR="0006469B" w:rsidP="00FD0F53" w:rsidRDefault="00472354" w14:paraId="7223AFA8" w14:textId="55A7F067">
      <w:pPr>
        <w:pStyle w:val="NoSpacing"/>
        <w:tabs>
          <w:tab w:val="left" w:pos="0"/>
        </w:tabs>
        <w:spacing w:line="276" w:lineRule="auto"/>
        <w:ind w:firstLine="810"/>
        <w:jc w:val="both"/>
        <w:rPr>
          <w:sz w:val="24"/>
          <w:szCs w:val="24"/>
        </w:rPr>
      </w:pPr>
      <w:r w:rsidRPr="00FD0F53">
        <w:rPr>
          <w:sz w:val="24"/>
          <w:szCs w:val="24"/>
        </w:rPr>
        <w:t>Tehniskās apskates stacija</w:t>
      </w:r>
      <w:r w:rsidRPr="00FD0F53" w:rsidR="00806356">
        <w:rPr>
          <w:sz w:val="24"/>
          <w:szCs w:val="24"/>
        </w:rPr>
        <w:t>s</w:t>
      </w:r>
      <w:r w:rsidRPr="00FD0F53">
        <w:rPr>
          <w:sz w:val="24"/>
          <w:szCs w:val="24"/>
        </w:rPr>
        <w:t xml:space="preserve"> ir speciāli ierīkota</w:t>
      </w:r>
      <w:r w:rsidRPr="00FD0F53" w:rsidR="00806356">
        <w:rPr>
          <w:sz w:val="24"/>
          <w:szCs w:val="24"/>
        </w:rPr>
        <w:t>s</w:t>
      </w:r>
      <w:r w:rsidRPr="00FD0F53">
        <w:rPr>
          <w:sz w:val="24"/>
          <w:szCs w:val="24"/>
        </w:rPr>
        <w:t xml:space="preserve"> vieta</w:t>
      </w:r>
      <w:r w:rsidRPr="00FD0F53" w:rsidR="00806356">
        <w:rPr>
          <w:sz w:val="24"/>
          <w:szCs w:val="24"/>
        </w:rPr>
        <w:t>s</w:t>
      </w:r>
      <w:r w:rsidRPr="00FD0F53">
        <w:rPr>
          <w:sz w:val="24"/>
          <w:szCs w:val="24"/>
        </w:rPr>
        <w:t xml:space="preserve"> (ēkas un teritorija) ar tajā nodarbināto atbilstošas kvalifikācijas personālu, kurā tiek veikta transportlīdzekļu valsts tehniskā apskate, tai skaitā </w:t>
      </w:r>
      <w:r w:rsidRPr="00FD0F53" w:rsidR="00735363">
        <w:rPr>
          <w:sz w:val="24"/>
          <w:szCs w:val="24"/>
        </w:rPr>
        <w:t>t</w:t>
      </w:r>
      <w:r w:rsidRPr="00FD0F53">
        <w:rPr>
          <w:sz w:val="24"/>
          <w:szCs w:val="24"/>
        </w:rPr>
        <w:t xml:space="preserve">ehniskā kontrole, </w:t>
      </w:r>
      <w:r w:rsidRPr="00FD0F53" w:rsidR="00C9145C">
        <w:rPr>
          <w:sz w:val="24"/>
          <w:szCs w:val="24"/>
        </w:rPr>
        <w:t xml:space="preserve">un </w:t>
      </w:r>
      <w:r w:rsidRPr="00FD0F53">
        <w:rPr>
          <w:sz w:val="24"/>
          <w:szCs w:val="24"/>
        </w:rPr>
        <w:t>kura aprīkota ar nepieciešamajām iekārtām un ierīcēm nepieciešamo pārbaužu veikšanai atbilstoši normatīvo aktu prasībām, transportlīdzekļu stāvēšanai piemērot</w:t>
      </w:r>
      <w:r w:rsidRPr="00FD0F53" w:rsidR="00C9145C">
        <w:rPr>
          <w:sz w:val="24"/>
          <w:szCs w:val="24"/>
        </w:rPr>
        <w:t>u</w:t>
      </w:r>
      <w:r w:rsidRPr="00FD0F53">
        <w:rPr>
          <w:sz w:val="24"/>
          <w:szCs w:val="24"/>
        </w:rPr>
        <w:t xml:space="preserve"> laukum</w:t>
      </w:r>
      <w:r w:rsidRPr="00FD0F53" w:rsidR="00C9145C">
        <w:rPr>
          <w:sz w:val="24"/>
          <w:szCs w:val="24"/>
        </w:rPr>
        <w:t>u</w:t>
      </w:r>
      <w:r w:rsidRPr="00FD0F53">
        <w:rPr>
          <w:sz w:val="24"/>
          <w:szCs w:val="24"/>
        </w:rPr>
        <w:t xml:space="preserve"> un pievedceļiem.</w:t>
      </w:r>
    </w:p>
    <w:p w:rsidRPr="00FD0F53" w:rsidR="0006469B" w:rsidP="00FD0F53" w:rsidRDefault="0006469B" w14:paraId="26C5F2FB" w14:textId="77777777">
      <w:pPr>
        <w:pStyle w:val="NoSpacing"/>
        <w:tabs>
          <w:tab w:val="left" w:pos="0"/>
        </w:tabs>
        <w:spacing w:line="276" w:lineRule="auto"/>
        <w:ind w:firstLine="810"/>
        <w:jc w:val="both"/>
        <w:rPr>
          <w:sz w:val="24"/>
          <w:szCs w:val="24"/>
        </w:rPr>
      </w:pPr>
    </w:p>
    <w:p w:rsidRPr="00FD0F53" w:rsidR="00355785" w:rsidP="00FD0F53" w:rsidRDefault="00355785" w14:paraId="1BB2470F" w14:textId="288E5AC1">
      <w:pPr>
        <w:pStyle w:val="NoSpacing"/>
        <w:spacing w:line="276" w:lineRule="auto"/>
        <w:rPr>
          <w:sz w:val="24"/>
          <w:szCs w:val="24"/>
        </w:rPr>
      </w:pPr>
      <w:r w:rsidRPr="00FD0F53">
        <w:rPr>
          <w:b/>
          <w:sz w:val="24"/>
          <w:szCs w:val="24"/>
        </w:rPr>
        <w:t>Kapitālsabiedrību galvenie finanšu rādītāji 2018.gada pārskatos</w:t>
      </w:r>
    </w:p>
    <w:p w:rsidRPr="00FD0F53" w:rsidR="00F862FB" w:rsidP="00FD0F53" w:rsidRDefault="00F862FB" w14:paraId="7CAF4614" w14:textId="77777777">
      <w:pPr>
        <w:pStyle w:val="NoSpacing"/>
        <w:spacing w:line="276" w:lineRule="auto"/>
        <w:ind w:firstLine="720"/>
        <w:jc w:val="both"/>
        <w:rPr>
          <w:sz w:val="24"/>
          <w:szCs w:val="24"/>
        </w:rPr>
      </w:pPr>
    </w:p>
    <w:tbl>
      <w:tblPr>
        <w:tblStyle w:val="TableGrid"/>
        <w:tblW w:w="0" w:type="auto"/>
        <w:tblInd w:w="0" w:type="dxa"/>
        <w:shd w:val="clear" w:color="auto" w:fill="FFFFFF" w:themeFill="background1"/>
        <w:tblLook w:val="04A0" w:firstRow="1" w:lastRow="0" w:firstColumn="1" w:lastColumn="0" w:noHBand="0" w:noVBand="1"/>
      </w:tblPr>
      <w:tblGrid>
        <w:gridCol w:w="1803"/>
        <w:gridCol w:w="1789"/>
        <w:gridCol w:w="2146"/>
        <w:gridCol w:w="1801"/>
        <w:gridCol w:w="1856"/>
      </w:tblGrid>
      <w:tr w:rsidRPr="00FD0F53" w:rsidR="00630124" w:rsidTr="00047954" w14:paraId="3A81D397" w14:textId="77777777">
        <w:tc>
          <w:tcPr>
            <w:tcW w:w="1803" w:type="dxa"/>
            <w:shd w:val="clear" w:color="auto" w:fill="FFFFFF" w:themeFill="background1"/>
          </w:tcPr>
          <w:p w:rsidRPr="00FD0F53" w:rsidR="00F862FB" w:rsidP="00FD0F53" w:rsidRDefault="00F862FB" w14:paraId="795DFB49" w14:textId="77777777">
            <w:pPr>
              <w:pStyle w:val="NoSpacing"/>
              <w:spacing w:line="276" w:lineRule="auto"/>
              <w:jc w:val="center"/>
              <w:rPr>
                <w:color w:val="auto"/>
                <w:sz w:val="24"/>
                <w:szCs w:val="24"/>
              </w:rPr>
            </w:pPr>
          </w:p>
        </w:tc>
        <w:tc>
          <w:tcPr>
            <w:tcW w:w="1789" w:type="dxa"/>
            <w:shd w:val="clear" w:color="auto" w:fill="FFFFFF" w:themeFill="background1"/>
          </w:tcPr>
          <w:p w:rsidRPr="00FD0F53" w:rsidR="00F862FB" w:rsidP="00FD0F53" w:rsidRDefault="00F862FB" w14:paraId="257E1456" w14:textId="27ADE2DE">
            <w:pPr>
              <w:pStyle w:val="NoSpacing"/>
              <w:spacing w:line="276" w:lineRule="auto"/>
              <w:jc w:val="center"/>
              <w:rPr>
                <w:color w:val="auto"/>
                <w:sz w:val="24"/>
                <w:szCs w:val="24"/>
              </w:rPr>
            </w:pPr>
            <w:r w:rsidRPr="00FD0F53">
              <w:rPr>
                <w:color w:val="auto"/>
                <w:sz w:val="24"/>
                <w:szCs w:val="24"/>
                <w:shd w:val="clear" w:color="auto" w:fill="FFFFFF"/>
              </w:rPr>
              <w:t>SIA "AUTEKO &amp; TUV LATVIJA"</w:t>
            </w:r>
          </w:p>
        </w:tc>
        <w:tc>
          <w:tcPr>
            <w:tcW w:w="2146" w:type="dxa"/>
            <w:shd w:val="clear" w:color="auto" w:fill="FFFFFF" w:themeFill="background1"/>
          </w:tcPr>
          <w:p w:rsidRPr="00FD0F53" w:rsidR="00640147" w:rsidP="00FD0F53" w:rsidRDefault="00F862FB" w14:paraId="07364FDB" w14:textId="77777777">
            <w:pPr>
              <w:pStyle w:val="NoSpacing"/>
              <w:spacing w:line="276" w:lineRule="auto"/>
              <w:jc w:val="center"/>
              <w:rPr>
                <w:color w:val="auto"/>
                <w:sz w:val="24"/>
                <w:szCs w:val="24"/>
                <w:shd w:val="clear" w:color="auto" w:fill="FFFFFF"/>
              </w:rPr>
            </w:pPr>
            <w:r w:rsidRPr="00FD0F53">
              <w:rPr>
                <w:color w:val="auto"/>
                <w:sz w:val="24"/>
                <w:szCs w:val="24"/>
              </w:rPr>
              <w:t xml:space="preserve">SIA </w:t>
            </w:r>
            <w:r w:rsidRPr="00FD0F53">
              <w:rPr>
                <w:color w:val="auto"/>
                <w:sz w:val="24"/>
                <w:szCs w:val="24"/>
                <w:shd w:val="clear" w:color="auto" w:fill="FFFFFF"/>
              </w:rPr>
              <w:t> </w:t>
            </w:r>
          </w:p>
          <w:p w:rsidRPr="00FD0F53" w:rsidR="00F862FB" w:rsidP="00FD0F53" w:rsidRDefault="00F862FB" w14:paraId="70DEE19C" w14:textId="4847D800">
            <w:pPr>
              <w:pStyle w:val="NoSpacing"/>
              <w:spacing w:line="276" w:lineRule="auto"/>
              <w:jc w:val="center"/>
              <w:rPr>
                <w:color w:val="auto"/>
                <w:sz w:val="24"/>
                <w:szCs w:val="24"/>
              </w:rPr>
            </w:pPr>
            <w:r w:rsidRPr="00FD0F53">
              <w:rPr>
                <w:color w:val="auto"/>
                <w:sz w:val="24"/>
                <w:szCs w:val="24"/>
                <w:shd w:val="clear" w:color="auto" w:fill="FFFFFF"/>
              </w:rPr>
              <w:t>"SCANTEST"</w:t>
            </w:r>
          </w:p>
        </w:tc>
        <w:tc>
          <w:tcPr>
            <w:tcW w:w="1801" w:type="dxa"/>
            <w:shd w:val="clear" w:color="auto" w:fill="FFFFFF" w:themeFill="background1"/>
          </w:tcPr>
          <w:p w:rsidRPr="00FD0F53" w:rsidR="00F862FB" w:rsidP="00FD0F53" w:rsidRDefault="008C0075" w14:paraId="31820A9E" w14:textId="2345CFF6">
            <w:pPr>
              <w:pStyle w:val="NoSpacing"/>
              <w:spacing w:line="276" w:lineRule="auto"/>
              <w:jc w:val="center"/>
              <w:rPr>
                <w:color w:val="auto"/>
                <w:sz w:val="24"/>
                <w:szCs w:val="24"/>
              </w:rPr>
            </w:pPr>
            <w:r w:rsidRPr="00FD0F53">
              <w:rPr>
                <w:color w:val="auto"/>
                <w:sz w:val="24"/>
                <w:szCs w:val="24"/>
                <w:shd w:val="clear" w:color="auto" w:fill="FFFFFF"/>
              </w:rPr>
              <w:t>SIA "AUTESTS"</w:t>
            </w:r>
          </w:p>
        </w:tc>
        <w:tc>
          <w:tcPr>
            <w:tcW w:w="1856" w:type="dxa"/>
            <w:shd w:val="clear" w:color="auto" w:fill="FFFFFF" w:themeFill="background1"/>
          </w:tcPr>
          <w:p w:rsidRPr="00FD0F53" w:rsidR="00F862FB" w:rsidP="00FD0F53" w:rsidRDefault="008C0075" w14:paraId="64DE2D6E" w14:textId="66BC88B6">
            <w:pPr>
              <w:pStyle w:val="NoSpacing"/>
              <w:spacing w:line="276" w:lineRule="auto"/>
              <w:jc w:val="center"/>
              <w:rPr>
                <w:color w:val="auto"/>
                <w:sz w:val="24"/>
                <w:szCs w:val="24"/>
              </w:rPr>
            </w:pPr>
            <w:r w:rsidRPr="00FD0F53">
              <w:rPr>
                <w:color w:val="auto"/>
                <w:sz w:val="24"/>
                <w:szCs w:val="24"/>
                <w:shd w:val="clear" w:color="auto" w:fill="FFFFFF"/>
              </w:rPr>
              <w:t>SIA "VENTTESTS"</w:t>
            </w:r>
          </w:p>
        </w:tc>
      </w:tr>
      <w:tr w:rsidRPr="00FD0F53" w:rsidR="00630124" w:rsidTr="00047954" w14:paraId="6C179FFE" w14:textId="77777777">
        <w:tc>
          <w:tcPr>
            <w:tcW w:w="1803" w:type="dxa"/>
            <w:shd w:val="clear" w:color="auto" w:fill="FFFFFF" w:themeFill="background1"/>
          </w:tcPr>
          <w:p w:rsidRPr="00FD0F53" w:rsidR="00F862FB" w:rsidP="00FD0F53" w:rsidRDefault="00F862FB" w14:paraId="219F20A6" w14:textId="48D82A80">
            <w:pPr>
              <w:pStyle w:val="NoSpacing"/>
              <w:spacing w:line="276" w:lineRule="auto"/>
              <w:jc w:val="both"/>
              <w:rPr>
                <w:color w:val="auto"/>
                <w:sz w:val="24"/>
                <w:szCs w:val="24"/>
              </w:rPr>
            </w:pPr>
            <w:r w:rsidRPr="00FD0F53">
              <w:rPr>
                <w:color w:val="auto"/>
                <w:sz w:val="24"/>
                <w:szCs w:val="24"/>
                <w:shd w:val="clear" w:color="auto" w:fill="FFFFFF"/>
              </w:rPr>
              <w:t>Apgrozījums</w:t>
            </w:r>
            <w:r w:rsidRPr="00FD0F53" w:rsidR="00CA1519">
              <w:rPr>
                <w:color w:val="auto"/>
                <w:sz w:val="24"/>
                <w:szCs w:val="24"/>
                <w:shd w:val="clear" w:color="auto" w:fill="FFFFFF"/>
              </w:rPr>
              <w:t xml:space="preserve"> EUR </w:t>
            </w:r>
          </w:p>
        </w:tc>
        <w:tc>
          <w:tcPr>
            <w:tcW w:w="1789" w:type="dxa"/>
            <w:shd w:val="clear" w:color="auto" w:fill="FFFFFF" w:themeFill="background1"/>
          </w:tcPr>
          <w:p w:rsidRPr="00FD0F53" w:rsidR="00F862FB" w:rsidP="00FD0F53" w:rsidRDefault="00F862FB" w14:paraId="70B43D25" w14:textId="114F0F43">
            <w:pPr>
              <w:pStyle w:val="NoSpacing"/>
              <w:spacing w:line="276" w:lineRule="auto"/>
              <w:jc w:val="center"/>
              <w:rPr>
                <w:color w:val="auto"/>
                <w:sz w:val="24"/>
                <w:szCs w:val="24"/>
              </w:rPr>
            </w:pPr>
            <w:r w:rsidRPr="00FD0F53">
              <w:rPr>
                <w:color w:val="auto"/>
                <w:sz w:val="24"/>
                <w:szCs w:val="24"/>
                <w:shd w:val="clear" w:color="auto" w:fill="FFFFFF"/>
              </w:rPr>
              <w:t>6976723.00</w:t>
            </w:r>
          </w:p>
        </w:tc>
        <w:tc>
          <w:tcPr>
            <w:tcW w:w="2146" w:type="dxa"/>
            <w:shd w:val="clear" w:color="auto" w:fill="FFFFFF" w:themeFill="background1"/>
          </w:tcPr>
          <w:p w:rsidRPr="00FD0F53" w:rsidR="00F862FB" w:rsidP="00FD0F53" w:rsidRDefault="008C0075" w14:paraId="4D9AA129" w14:textId="6491CACA">
            <w:pPr>
              <w:pStyle w:val="NoSpacing"/>
              <w:spacing w:line="276" w:lineRule="auto"/>
              <w:jc w:val="center"/>
              <w:rPr>
                <w:color w:val="auto"/>
                <w:sz w:val="24"/>
                <w:szCs w:val="24"/>
              </w:rPr>
            </w:pPr>
            <w:r w:rsidRPr="00FD0F53">
              <w:rPr>
                <w:color w:val="auto"/>
                <w:sz w:val="24"/>
                <w:szCs w:val="24"/>
                <w:shd w:val="clear" w:color="auto" w:fill="FFFFFF"/>
              </w:rPr>
              <w:t>3357005.00</w:t>
            </w:r>
          </w:p>
        </w:tc>
        <w:tc>
          <w:tcPr>
            <w:tcW w:w="1801" w:type="dxa"/>
            <w:shd w:val="clear" w:color="auto" w:fill="FFFFFF" w:themeFill="background1"/>
          </w:tcPr>
          <w:p w:rsidRPr="00FD0F53" w:rsidR="00F862FB" w:rsidP="00FD0F53" w:rsidRDefault="008C0075" w14:paraId="40259150" w14:textId="21092B0C">
            <w:pPr>
              <w:pStyle w:val="NoSpacing"/>
              <w:spacing w:line="276" w:lineRule="auto"/>
              <w:jc w:val="center"/>
              <w:rPr>
                <w:color w:val="auto"/>
                <w:sz w:val="24"/>
                <w:szCs w:val="24"/>
              </w:rPr>
            </w:pPr>
            <w:r w:rsidRPr="00FD0F53">
              <w:rPr>
                <w:color w:val="auto"/>
                <w:sz w:val="24"/>
                <w:szCs w:val="24"/>
                <w:shd w:val="clear" w:color="auto" w:fill="FFFFFF"/>
              </w:rPr>
              <w:t>1905066.00</w:t>
            </w:r>
          </w:p>
        </w:tc>
        <w:tc>
          <w:tcPr>
            <w:tcW w:w="1856" w:type="dxa"/>
            <w:shd w:val="clear" w:color="auto" w:fill="FFFFFF" w:themeFill="background1"/>
          </w:tcPr>
          <w:p w:rsidRPr="00FD0F53" w:rsidR="00F862FB" w:rsidP="00FD0F53" w:rsidRDefault="008C0075" w14:paraId="7C4487B8" w14:textId="77C53D8D">
            <w:pPr>
              <w:pStyle w:val="NoSpacing"/>
              <w:spacing w:line="276" w:lineRule="auto"/>
              <w:jc w:val="center"/>
              <w:rPr>
                <w:color w:val="auto"/>
                <w:sz w:val="24"/>
                <w:szCs w:val="24"/>
              </w:rPr>
            </w:pPr>
            <w:r w:rsidRPr="00FD0F53">
              <w:rPr>
                <w:color w:val="auto"/>
                <w:sz w:val="24"/>
                <w:szCs w:val="24"/>
                <w:shd w:val="clear" w:color="auto" w:fill="FFFFFF"/>
              </w:rPr>
              <w:t>275628.00</w:t>
            </w:r>
          </w:p>
        </w:tc>
      </w:tr>
      <w:tr w:rsidRPr="00FD0F53" w:rsidR="00630124" w:rsidTr="00047954" w14:paraId="65ECB594" w14:textId="77777777">
        <w:tc>
          <w:tcPr>
            <w:tcW w:w="1803" w:type="dxa"/>
            <w:shd w:val="clear" w:color="auto" w:fill="FFFFFF" w:themeFill="background1"/>
          </w:tcPr>
          <w:p w:rsidRPr="00FD0F53" w:rsidR="00F862FB" w:rsidP="00FD0F53" w:rsidRDefault="00F862FB" w14:paraId="6161C0BE" w14:textId="40B46BA1">
            <w:pPr>
              <w:pStyle w:val="NoSpacing"/>
              <w:spacing w:line="276" w:lineRule="auto"/>
              <w:jc w:val="both"/>
              <w:rPr>
                <w:color w:val="auto"/>
                <w:sz w:val="24"/>
                <w:szCs w:val="24"/>
              </w:rPr>
            </w:pPr>
            <w:r w:rsidRPr="00FD0F53">
              <w:rPr>
                <w:color w:val="auto"/>
                <w:sz w:val="24"/>
                <w:szCs w:val="24"/>
                <w:shd w:val="clear" w:color="auto" w:fill="FFFFFF"/>
              </w:rPr>
              <w:t>Peļņa vai zaudējumi pēc nodokļiem</w:t>
            </w:r>
            <w:r w:rsidRPr="00FD0F53" w:rsidR="00CA1519">
              <w:rPr>
                <w:color w:val="auto"/>
                <w:sz w:val="24"/>
                <w:szCs w:val="24"/>
                <w:shd w:val="clear" w:color="auto" w:fill="FFFFFF"/>
              </w:rPr>
              <w:t xml:space="preserve"> EUR</w:t>
            </w:r>
          </w:p>
        </w:tc>
        <w:tc>
          <w:tcPr>
            <w:tcW w:w="1789" w:type="dxa"/>
            <w:shd w:val="clear" w:color="auto" w:fill="FFFFFF" w:themeFill="background1"/>
          </w:tcPr>
          <w:p w:rsidRPr="00FD0F53" w:rsidR="00F862FB" w:rsidP="00FD0F53" w:rsidRDefault="00F862FB" w14:paraId="7E2C2165" w14:textId="64D75463">
            <w:pPr>
              <w:pStyle w:val="NoSpacing"/>
              <w:spacing w:line="276" w:lineRule="auto"/>
              <w:jc w:val="center"/>
              <w:rPr>
                <w:color w:val="auto"/>
                <w:sz w:val="24"/>
                <w:szCs w:val="24"/>
              </w:rPr>
            </w:pPr>
            <w:r w:rsidRPr="00FD0F53">
              <w:rPr>
                <w:color w:val="auto"/>
                <w:sz w:val="24"/>
                <w:szCs w:val="24"/>
                <w:shd w:val="clear" w:color="auto" w:fill="FFFFFF"/>
              </w:rPr>
              <w:t>1438524.00</w:t>
            </w:r>
          </w:p>
        </w:tc>
        <w:tc>
          <w:tcPr>
            <w:tcW w:w="2146" w:type="dxa"/>
            <w:shd w:val="clear" w:color="auto" w:fill="FFFFFF" w:themeFill="background1"/>
          </w:tcPr>
          <w:p w:rsidRPr="00FD0F53" w:rsidR="00F862FB" w:rsidP="00FD0F53" w:rsidRDefault="008C0075" w14:paraId="7E0A20DD" w14:textId="33CD5812">
            <w:pPr>
              <w:pStyle w:val="NoSpacing"/>
              <w:spacing w:line="276" w:lineRule="auto"/>
              <w:jc w:val="center"/>
              <w:rPr>
                <w:color w:val="auto"/>
                <w:sz w:val="24"/>
                <w:szCs w:val="24"/>
              </w:rPr>
            </w:pPr>
            <w:r w:rsidRPr="00FD0F53">
              <w:rPr>
                <w:color w:val="auto"/>
                <w:sz w:val="24"/>
                <w:szCs w:val="24"/>
                <w:shd w:val="clear" w:color="auto" w:fill="FFFFFF"/>
              </w:rPr>
              <w:t>1152495.00</w:t>
            </w:r>
          </w:p>
        </w:tc>
        <w:tc>
          <w:tcPr>
            <w:tcW w:w="1801" w:type="dxa"/>
            <w:shd w:val="clear" w:color="auto" w:fill="FFFFFF" w:themeFill="background1"/>
          </w:tcPr>
          <w:p w:rsidRPr="00FD0F53" w:rsidR="00F862FB" w:rsidP="00FD0F53" w:rsidRDefault="008C0075" w14:paraId="659BC42E" w14:textId="67B878E9">
            <w:pPr>
              <w:pStyle w:val="NoSpacing"/>
              <w:spacing w:line="276" w:lineRule="auto"/>
              <w:jc w:val="center"/>
              <w:rPr>
                <w:color w:val="auto"/>
                <w:sz w:val="24"/>
                <w:szCs w:val="24"/>
              </w:rPr>
            </w:pPr>
            <w:r w:rsidRPr="00FD0F53">
              <w:rPr>
                <w:color w:val="auto"/>
                <w:sz w:val="24"/>
                <w:szCs w:val="24"/>
                <w:shd w:val="clear" w:color="auto" w:fill="FFFFFF"/>
              </w:rPr>
              <w:t>347627.00</w:t>
            </w:r>
          </w:p>
        </w:tc>
        <w:tc>
          <w:tcPr>
            <w:tcW w:w="1856" w:type="dxa"/>
            <w:shd w:val="clear" w:color="auto" w:fill="FFFFFF" w:themeFill="background1"/>
          </w:tcPr>
          <w:p w:rsidRPr="00FD0F53" w:rsidR="00F862FB" w:rsidP="00FD0F53" w:rsidRDefault="008C0075" w14:paraId="23C20955" w14:textId="2B0382B3">
            <w:pPr>
              <w:pStyle w:val="NoSpacing"/>
              <w:spacing w:line="276" w:lineRule="auto"/>
              <w:jc w:val="center"/>
              <w:rPr>
                <w:color w:val="auto"/>
                <w:sz w:val="24"/>
                <w:szCs w:val="24"/>
              </w:rPr>
            </w:pPr>
            <w:r w:rsidRPr="00FD0F53">
              <w:rPr>
                <w:color w:val="auto"/>
                <w:sz w:val="24"/>
                <w:szCs w:val="24"/>
                <w:shd w:val="clear" w:color="auto" w:fill="FFFFFF"/>
              </w:rPr>
              <w:t>73610.00</w:t>
            </w:r>
          </w:p>
        </w:tc>
      </w:tr>
      <w:tr w:rsidRPr="00FD0F53" w:rsidR="00630124" w:rsidTr="00047954" w14:paraId="0F16587D" w14:textId="77777777">
        <w:tc>
          <w:tcPr>
            <w:tcW w:w="1803" w:type="dxa"/>
            <w:shd w:val="clear" w:color="auto" w:fill="FFFFFF" w:themeFill="background1"/>
          </w:tcPr>
          <w:p w:rsidRPr="00FD0F53" w:rsidR="00F862FB" w:rsidP="00FD0F53" w:rsidRDefault="00F862FB" w14:paraId="44FED558" w14:textId="72773FD0">
            <w:pPr>
              <w:pStyle w:val="NoSpacing"/>
              <w:spacing w:line="276" w:lineRule="auto"/>
              <w:jc w:val="both"/>
              <w:rPr>
                <w:color w:val="auto"/>
                <w:sz w:val="24"/>
                <w:szCs w:val="24"/>
              </w:rPr>
            </w:pPr>
            <w:r w:rsidRPr="00FD0F53">
              <w:rPr>
                <w:color w:val="auto"/>
                <w:sz w:val="24"/>
                <w:szCs w:val="24"/>
                <w:shd w:val="clear" w:color="auto" w:fill="FFFFFF"/>
              </w:rPr>
              <w:t>Darbinieku skaits</w:t>
            </w:r>
          </w:p>
        </w:tc>
        <w:tc>
          <w:tcPr>
            <w:tcW w:w="1789" w:type="dxa"/>
            <w:shd w:val="clear" w:color="auto" w:fill="FFFFFF" w:themeFill="background1"/>
          </w:tcPr>
          <w:p w:rsidRPr="00FD0F53" w:rsidR="00F862FB" w:rsidP="00FD0F53" w:rsidRDefault="00F862FB" w14:paraId="7F4B5DFE" w14:textId="40B9D0C3">
            <w:pPr>
              <w:pStyle w:val="NoSpacing"/>
              <w:spacing w:line="276" w:lineRule="auto"/>
              <w:jc w:val="center"/>
              <w:rPr>
                <w:color w:val="auto"/>
                <w:sz w:val="24"/>
                <w:szCs w:val="24"/>
              </w:rPr>
            </w:pPr>
            <w:r w:rsidRPr="00FD0F53">
              <w:rPr>
                <w:color w:val="auto"/>
                <w:sz w:val="24"/>
                <w:szCs w:val="24"/>
                <w:shd w:val="clear" w:color="auto" w:fill="FFFFFF"/>
              </w:rPr>
              <w:t>152</w:t>
            </w:r>
          </w:p>
        </w:tc>
        <w:tc>
          <w:tcPr>
            <w:tcW w:w="2146" w:type="dxa"/>
            <w:shd w:val="clear" w:color="auto" w:fill="FFFFFF" w:themeFill="background1"/>
          </w:tcPr>
          <w:p w:rsidRPr="00FD0F53" w:rsidR="00F862FB" w:rsidP="00FD0F53" w:rsidRDefault="008C0075" w14:paraId="0961CEFD" w14:textId="338AAA79">
            <w:pPr>
              <w:pStyle w:val="NoSpacing"/>
              <w:spacing w:line="276" w:lineRule="auto"/>
              <w:jc w:val="center"/>
              <w:rPr>
                <w:color w:val="auto"/>
                <w:sz w:val="24"/>
                <w:szCs w:val="24"/>
              </w:rPr>
            </w:pPr>
            <w:r w:rsidRPr="00FD0F53">
              <w:rPr>
                <w:color w:val="auto"/>
                <w:sz w:val="24"/>
                <w:szCs w:val="24"/>
                <w:shd w:val="clear" w:color="auto" w:fill="FFFFFF"/>
              </w:rPr>
              <w:t>80</w:t>
            </w:r>
          </w:p>
        </w:tc>
        <w:tc>
          <w:tcPr>
            <w:tcW w:w="1801" w:type="dxa"/>
            <w:shd w:val="clear" w:color="auto" w:fill="FFFFFF" w:themeFill="background1"/>
          </w:tcPr>
          <w:p w:rsidRPr="00FD0F53" w:rsidR="00F862FB" w:rsidP="00FD0F53" w:rsidRDefault="008C0075" w14:paraId="084E812D" w14:textId="2CF902F3">
            <w:pPr>
              <w:pStyle w:val="NoSpacing"/>
              <w:spacing w:line="276" w:lineRule="auto"/>
              <w:jc w:val="center"/>
              <w:rPr>
                <w:color w:val="auto"/>
                <w:sz w:val="24"/>
                <w:szCs w:val="24"/>
              </w:rPr>
            </w:pPr>
            <w:r w:rsidRPr="00FD0F53">
              <w:rPr>
                <w:color w:val="auto"/>
                <w:sz w:val="24"/>
                <w:szCs w:val="24"/>
                <w:shd w:val="clear" w:color="auto" w:fill="FFFFFF"/>
              </w:rPr>
              <w:t>44</w:t>
            </w:r>
          </w:p>
        </w:tc>
        <w:tc>
          <w:tcPr>
            <w:tcW w:w="1856" w:type="dxa"/>
            <w:shd w:val="clear" w:color="auto" w:fill="FFFFFF" w:themeFill="background1"/>
          </w:tcPr>
          <w:p w:rsidRPr="00FD0F53" w:rsidR="00F862FB" w:rsidP="00FD0F53" w:rsidRDefault="008C0075" w14:paraId="46BE56D7" w14:textId="665A7A5F">
            <w:pPr>
              <w:pStyle w:val="NoSpacing"/>
              <w:spacing w:line="276" w:lineRule="auto"/>
              <w:jc w:val="center"/>
              <w:rPr>
                <w:color w:val="auto"/>
                <w:sz w:val="24"/>
                <w:szCs w:val="24"/>
              </w:rPr>
            </w:pPr>
            <w:r w:rsidRPr="00FD0F53">
              <w:rPr>
                <w:color w:val="auto"/>
                <w:sz w:val="24"/>
                <w:szCs w:val="24"/>
                <w:shd w:val="clear" w:color="auto" w:fill="FFFFFF"/>
              </w:rPr>
              <w:t>8</w:t>
            </w:r>
          </w:p>
        </w:tc>
      </w:tr>
    </w:tbl>
    <w:p w:rsidRPr="00FD0F53" w:rsidR="003D3738" w:rsidP="00FD0F53" w:rsidRDefault="003D3738" w14:paraId="57F641BC" w14:textId="77777777">
      <w:pPr>
        <w:pStyle w:val="NoSpacing"/>
        <w:tabs>
          <w:tab w:val="left" w:pos="0"/>
        </w:tabs>
        <w:spacing w:line="276" w:lineRule="auto"/>
        <w:jc w:val="both"/>
        <w:rPr>
          <w:b/>
          <w:sz w:val="24"/>
          <w:szCs w:val="24"/>
        </w:rPr>
      </w:pPr>
    </w:p>
    <w:p w:rsidRPr="00FD0F53" w:rsidR="00196D4C" w:rsidP="00FD0F53" w:rsidRDefault="0026115E" w14:paraId="6BF3C30B" w14:textId="77777777">
      <w:pPr>
        <w:pStyle w:val="NoSpacing"/>
        <w:tabs>
          <w:tab w:val="left" w:pos="0"/>
        </w:tabs>
        <w:spacing w:line="276" w:lineRule="auto"/>
        <w:jc w:val="center"/>
        <w:rPr>
          <w:b/>
          <w:sz w:val="24"/>
          <w:szCs w:val="24"/>
        </w:rPr>
      </w:pPr>
      <w:r w:rsidRPr="00FD0F53">
        <w:rPr>
          <w:b/>
          <w:sz w:val="24"/>
          <w:szCs w:val="24"/>
        </w:rPr>
        <w:t xml:space="preserve">III. </w:t>
      </w:r>
      <w:proofErr w:type="spellStart"/>
      <w:r w:rsidRPr="00FD0F53" w:rsidR="00E4673E">
        <w:rPr>
          <w:b/>
          <w:sz w:val="24"/>
          <w:szCs w:val="24"/>
        </w:rPr>
        <w:t>Izvērtējuma</w:t>
      </w:r>
      <w:proofErr w:type="spellEnd"/>
      <w:r w:rsidRPr="00FD0F53" w:rsidR="00E4673E">
        <w:rPr>
          <w:b/>
          <w:sz w:val="24"/>
          <w:szCs w:val="24"/>
        </w:rPr>
        <w:t xml:space="preserve"> t</w:t>
      </w:r>
      <w:r w:rsidRPr="00FD0F53" w:rsidR="00196D4C">
        <w:rPr>
          <w:b/>
          <w:sz w:val="24"/>
          <w:szCs w:val="24"/>
        </w:rPr>
        <w:t xml:space="preserve">iesiskais </w:t>
      </w:r>
      <w:r w:rsidRPr="00FD0F53" w:rsidR="00E4673E">
        <w:rPr>
          <w:b/>
          <w:sz w:val="24"/>
          <w:szCs w:val="24"/>
        </w:rPr>
        <w:t>ietvars</w:t>
      </w:r>
    </w:p>
    <w:p w:rsidRPr="00FD0F53" w:rsidR="00196D4C" w:rsidP="00FD0F53" w:rsidRDefault="00196D4C" w14:paraId="018E5DBC" w14:textId="77777777">
      <w:pPr>
        <w:pStyle w:val="NoSpacing"/>
        <w:tabs>
          <w:tab w:val="left" w:pos="0"/>
        </w:tabs>
        <w:spacing w:line="276" w:lineRule="auto"/>
        <w:jc w:val="both"/>
        <w:rPr>
          <w:b/>
          <w:sz w:val="24"/>
          <w:szCs w:val="24"/>
        </w:rPr>
      </w:pPr>
    </w:p>
    <w:p w:rsidRPr="00FD0F53" w:rsidR="00C65326" w:rsidP="00FD0F53" w:rsidRDefault="00C65326" w14:paraId="4DAE9597" w14:textId="05F64387">
      <w:pPr>
        <w:pStyle w:val="NoSpacing"/>
        <w:tabs>
          <w:tab w:val="left" w:pos="0"/>
        </w:tabs>
        <w:spacing w:line="276" w:lineRule="auto"/>
        <w:ind w:firstLine="810"/>
        <w:jc w:val="both"/>
        <w:rPr>
          <w:sz w:val="24"/>
          <w:szCs w:val="24"/>
          <w:shd w:val="clear" w:color="auto" w:fill="FFFFFF"/>
        </w:rPr>
      </w:pPr>
      <w:r w:rsidRPr="00FD0F53">
        <w:rPr>
          <w:sz w:val="24"/>
          <w:szCs w:val="24"/>
          <w:shd w:val="clear" w:color="auto" w:fill="FFFFFF"/>
        </w:rPr>
        <w:t>Ceļu satiksmes likuma 16.panta treš</w:t>
      </w:r>
      <w:r w:rsidRPr="00FD0F53" w:rsidR="00C7669E">
        <w:rPr>
          <w:sz w:val="24"/>
          <w:szCs w:val="24"/>
          <w:shd w:val="clear" w:color="auto" w:fill="FFFFFF"/>
        </w:rPr>
        <w:t>aj</w:t>
      </w:r>
      <w:r w:rsidRPr="00FD0F53">
        <w:rPr>
          <w:sz w:val="24"/>
          <w:szCs w:val="24"/>
          <w:shd w:val="clear" w:color="auto" w:fill="FFFFFF"/>
        </w:rPr>
        <w:t>ā daļ</w:t>
      </w:r>
      <w:r w:rsidRPr="00FD0F53" w:rsidR="00C7669E">
        <w:rPr>
          <w:sz w:val="24"/>
          <w:szCs w:val="24"/>
          <w:shd w:val="clear" w:color="auto" w:fill="FFFFFF"/>
        </w:rPr>
        <w:t xml:space="preserve">ā </w:t>
      </w:r>
      <w:r w:rsidRPr="00FD0F53">
        <w:rPr>
          <w:sz w:val="24"/>
          <w:szCs w:val="24"/>
          <w:shd w:val="clear" w:color="auto" w:fill="FFFFFF"/>
        </w:rPr>
        <w:t>no</w:t>
      </w:r>
      <w:r w:rsidRPr="00FD0F53" w:rsidR="00C7669E">
        <w:rPr>
          <w:sz w:val="24"/>
          <w:szCs w:val="24"/>
          <w:shd w:val="clear" w:color="auto" w:fill="FFFFFF"/>
        </w:rPr>
        <w:t>teikts</w:t>
      </w:r>
      <w:r w:rsidRPr="00FD0F53">
        <w:rPr>
          <w:sz w:val="24"/>
          <w:szCs w:val="24"/>
          <w:shd w:val="clear" w:color="auto" w:fill="FFFFFF"/>
        </w:rPr>
        <w:t xml:space="preserve">, ka mehānisko transportlīdzekļu un to piekabju (izņemot traktortehniku un tās piekabes) valsts tehnisko apskati veic </w:t>
      </w:r>
      <w:r w:rsidRPr="00FD0F53" w:rsidR="002977C1">
        <w:rPr>
          <w:sz w:val="24"/>
          <w:szCs w:val="24"/>
          <w:shd w:val="clear" w:color="auto" w:fill="FFFFFF"/>
        </w:rPr>
        <w:t>CSDD</w:t>
      </w:r>
      <w:r w:rsidRPr="00FD0F53">
        <w:rPr>
          <w:sz w:val="24"/>
          <w:szCs w:val="24"/>
          <w:shd w:val="clear" w:color="auto" w:fill="FFFFFF"/>
        </w:rPr>
        <w:t xml:space="preserve">, bet transportlīdzekļu tehniskā stāvokļa kontroli transportlīdzekļu valsts tehniskās apskates ietvaros — </w:t>
      </w:r>
      <w:r w:rsidRPr="00FD0F53" w:rsidR="002977C1">
        <w:rPr>
          <w:sz w:val="24"/>
          <w:szCs w:val="24"/>
          <w:shd w:val="clear" w:color="auto" w:fill="FFFFFF"/>
        </w:rPr>
        <w:t xml:space="preserve">CSDD </w:t>
      </w:r>
      <w:r w:rsidRPr="00FD0F53">
        <w:rPr>
          <w:sz w:val="24"/>
          <w:szCs w:val="24"/>
          <w:shd w:val="clear" w:color="auto" w:fill="FFFFFF"/>
        </w:rPr>
        <w:t xml:space="preserve">vai </w:t>
      </w:r>
      <w:r w:rsidRPr="00FD0F53" w:rsidR="002977C1">
        <w:rPr>
          <w:sz w:val="24"/>
          <w:szCs w:val="24"/>
          <w:shd w:val="clear" w:color="auto" w:fill="FFFFFF"/>
        </w:rPr>
        <w:t xml:space="preserve">CSDD </w:t>
      </w:r>
      <w:r w:rsidRPr="00FD0F53">
        <w:rPr>
          <w:sz w:val="24"/>
          <w:szCs w:val="24"/>
          <w:shd w:val="clear" w:color="auto" w:fill="FFFFFF"/>
        </w:rPr>
        <w:t>šim nolūkam akreditēta persona.</w:t>
      </w:r>
    </w:p>
    <w:p w:rsidRPr="00FD0F53" w:rsidR="00326ECE" w:rsidP="00FD0F53" w:rsidRDefault="00326ECE" w14:paraId="3DADA6B6" w14:textId="176177EE">
      <w:pPr>
        <w:pStyle w:val="NoSpacing"/>
        <w:tabs>
          <w:tab w:val="left" w:pos="0"/>
        </w:tabs>
        <w:spacing w:line="276" w:lineRule="auto"/>
        <w:ind w:firstLine="810"/>
        <w:jc w:val="both"/>
        <w:rPr>
          <w:sz w:val="24"/>
          <w:szCs w:val="24"/>
        </w:rPr>
      </w:pPr>
      <w:r w:rsidRPr="00FD0F53">
        <w:rPr>
          <w:sz w:val="24"/>
          <w:szCs w:val="24"/>
        </w:rPr>
        <w:t xml:space="preserve">Eiropas Padomes un Parlamenta 2014.gada 3.aprīļa Direktīva 2014/45/ES  par mehānisko transportlīdzekļu un to piekabju periodiskajām tehniskajām apskatēm un par Direktīvas 2009/40/EK atcelšanu (turpmāk– Direktīva 2014/45/ES), paredz, ka dalībvalstis var organizēt tehniskās apskates procesu dažādi, bet jebkurā gadījumā valsts saglabā atbildību par tehniskās apskates organizēšanu pat tad, ja tā ir nodota privāto struktūru kompetencē. Tiesību normas, kas izriet </w:t>
      </w:r>
      <w:r w:rsidRPr="00FD0F53" w:rsidR="009E2B06">
        <w:rPr>
          <w:sz w:val="24"/>
          <w:szCs w:val="24"/>
        </w:rPr>
        <w:t xml:space="preserve">no </w:t>
      </w:r>
      <w:r w:rsidRPr="00FD0F53">
        <w:rPr>
          <w:sz w:val="24"/>
          <w:szCs w:val="24"/>
        </w:rPr>
        <w:t xml:space="preserve">Direktīvas 2014/45/ES, Latvijā ir pārņemtas ar Ministru kabineta 2017.gada 30.maija noteikumiem Nr.295 “Noteikumi par transportlīdzekļu valsts tehnisko apskati un tehnisko kontroli uz ceļa” (turpmāk– MK noteikumi </w:t>
      </w:r>
      <w:r w:rsidRPr="00FD0F53" w:rsidR="00DA4609">
        <w:rPr>
          <w:sz w:val="24"/>
          <w:szCs w:val="24"/>
        </w:rPr>
        <w:t>N</w:t>
      </w:r>
      <w:r w:rsidRPr="00FD0F53">
        <w:rPr>
          <w:sz w:val="24"/>
          <w:szCs w:val="24"/>
        </w:rPr>
        <w:t>r.295)</w:t>
      </w:r>
      <w:r w:rsidRPr="00FD0F53" w:rsidR="00CA2B84">
        <w:rPr>
          <w:sz w:val="24"/>
          <w:szCs w:val="24"/>
        </w:rPr>
        <w:t>. Tie</w:t>
      </w:r>
      <w:r w:rsidRPr="00FD0F53">
        <w:rPr>
          <w:sz w:val="24"/>
          <w:szCs w:val="24"/>
        </w:rPr>
        <w:t xml:space="preserve"> </w:t>
      </w:r>
      <w:r w:rsidRPr="00FD0F53" w:rsidR="00CA2B84">
        <w:rPr>
          <w:sz w:val="24"/>
          <w:szCs w:val="24"/>
        </w:rPr>
        <w:t>nosaka</w:t>
      </w:r>
      <w:r w:rsidRPr="00FD0F53">
        <w:rPr>
          <w:sz w:val="24"/>
          <w:szCs w:val="24"/>
        </w:rPr>
        <w:t>, ka no 2023.gada 1.janvāra tehnisko kontroli Latvijā veic akreditēta persona, kura izvēlēta publisko iepirkumu reglamentējošos tiesību aktos noteiktajā kārtībā un kas izpilda prasības attiecībā uz transportlīdzekļu tehniskās kontroles inspektoru kompetenci, apmācību un atestāciju, kā arī prasības transportlīdzekļu tehniskās apskates stacijai, tehniskās kontroles iekārtām un aprīkojumam.</w:t>
      </w:r>
    </w:p>
    <w:p w:rsidRPr="00FD0F53" w:rsidR="006C2E1D" w:rsidP="00FD0F53" w:rsidRDefault="006C2E1D" w14:paraId="49E165CA" w14:textId="77777777">
      <w:pPr>
        <w:pStyle w:val="NoSpacing"/>
        <w:tabs>
          <w:tab w:val="left" w:pos="0"/>
        </w:tabs>
        <w:spacing w:line="276" w:lineRule="auto"/>
        <w:ind w:firstLine="810"/>
        <w:jc w:val="both"/>
        <w:rPr>
          <w:sz w:val="24"/>
          <w:szCs w:val="24"/>
        </w:rPr>
      </w:pPr>
      <w:r w:rsidRPr="00FD0F53">
        <w:rPr>
          <w:sz w:val="24"/>
          <w:szCs w:val="24"/>
        </w:rPr>
        <w:t>Valsts pārvaldes iekārtas likuma 88.panta pir</w:t>
      </w:r>
      <w:r w:rsidRPr="00FD0F53" w:rsidR="00D251BB">
        <w:rPr>
          <w:sz w:val="24"/>
          <w:szCs w:val="24"/>
        </w:rPr>
        <w:t>maj</w:t>
      </w:r>
      <w:r w:rsidRPr="00FD0F53">
        <w:rPr>
          <w:sz w:val="24"/>
          <w:szCs w:val="24"/>
        </w:rPr>
        <w:t>ā daļ</w:t>
      </w:r>
      <w:r w:rsidRPr="00FD0F53" w:rsidR="00D251BB">
        <w:rPr>
          <w:sz w:val="24"/>
          <w:szCs w:val="24"/>
        </w:rPr>
        <w:t>ā noteikts</w:t>
      </w:r>
      <w:r w:rsidRPr="00FD0F53">
        <w:rPr>
          <w:sz w:val="24"/>
          <w:szCs w:val="24"/>
        </w:rPr>
        <w:t>, ka publiska persona savu funkciju efektīvai izpildei var iegūt līdzdalību kapitālsabiedrībā, ja īstenojas viens no šādiem nosacījumiem:</w:t>
      </w:r>
    </w:p>
    <w:p w:rsidRPr="00FD0F53" w:rsidR="006C2E1D" w:rsidP="00FD0F53" w:rsidRDefault="006C2E1D" w14:paraId="670ACFC5" w14:textId="77777777">
      <w:pPr>
        <w:pStyle w:val="NoSpacing"/>
        <w:tabs>
          <w:tab w:val="left" w:pos="0"/>
        </w:tabs>
        <w:spacing w:line="276" w:lineRule="auto"/>
        <w:ind w:firstLine="810"/>
        <w:jc w:val="both"/>
        <w:rPr>
          <w:sz w:val="24"/>
          <w:szCs w:val="24"/>
        </w:rPr>
      </w:pPr>
      <w:r w:rsidRPr="00FD0F53">
        <w:rPr>
          <w:sz w:val="24"/>
          <w:szCs w:val="24"/>
        </w:rPr>
        <w:t>1) tiek novērsta tirgus nepilnība — situācija, kad tirgus nav spējīgs nodrošināt sabiedrības interešu īstenošanu attiecīgajā jomā;</w:t>
      </w:r>
    </w:p>
    <w:p w:rsidRPr="00FD0F53" w:rsidR="006C2E1D" w:rsidP="00FD0F53" w:rsidRDefault="006C2E1D" w14:paraId="24D1AD28" w14:textId="77777777">
      <w:pPr>
        <w:pStyle w:val="NoSpacing"/>
        <w:tabs>
          <w:tab w:val="left" w:pos="0"/>
        </w:tabs>
        <w:spacing w:line="276" w:lineRule="auto"/>
        <w:ind w:firstLine="810"/>
        <w:jc w:val="both"/>
        <w:rPr>
          <w:sz w:val="24"/>
          <w:szCs w:val="24"/>
        </w:rPr>
      </w:pPr>
      <w:r w:rsidRPr="00FD0F53">
        <w:rPr>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FD0F53" w:rsidR="006C2E1D" w:rsidP="00FD0F53" w:rsidRDefault="006C2E1D" w14:paraId="1AECA349" w14:textId="77777777">
      <w:pPr>
        <w:pStyle w:val="NoSpacing"/>
        <w:tabs>
          <w:tab w:val="left" w:pos="0"/>
        </w:tabs>
        <w:spacing w:line="276" w:lineRule="auto"/>
        <w:ind w:firstLine="810"/>
        <w:jc w:val="both"/>
        <w:rPr>
          <w:sz w:val="24"/>
          <w:szCs w:val="24"/>
        </w:rPr>
      </w:pPr>
      <w:r w:rsidRPr="00FD0F53">
        <w:rPr>
          <w:sz w:val="24"/>
          <w:szCs w:val="24"/>
        </w:rPr>
        <w:lastRenderedPageBreak/>
        <w:t>3) tiek pārvaldīti tādi īpašumi, kas ir stratēģiski svarīgi valsts vai pašvaldības administratīvās teritorijas attīstībai vai valsts drošībai.</w:t>
      </w:r>
    </w:p>
    <w:p w:rsidRPr="00FD0F53" w:rsidR="005A2852" w:rsidP="00FD0F53" w:rsidRDefault="005A2852" w14:paraId="0340F380" w14:textId="77777777">
      <w:pPr>
        <w:pStyle w:val="NoSpacing"/>
        <w:tabs>
          <w:tab w:val="left" w:pos="0"/>
        </w:tabs>
        <w:spacing w:line="276" w:lineRule="auto"/>
        <w:ind w:firstLine="810"/>
        <w:jc w:val="both"/>
        <w:rPr>
          <w:sz w:val="24"/>
          <w:szCs w:val="24"/>
        </w:rPr>
      </w:pPr>
      <w:r w:rsidRPr="00FD0F53">
        <w:rPr>
          <w:sz w:val="24"/>
          <w:szCs w:val="24"/>
        </w:rPr>
        <w:t>Publiskas personas kapitāla daļu un kapitālsabiedrību pārvaldības likuma 4.panta otr</w:t>
      </w:r>
      <w:r w:rsidRPr="00FD0F53" w:rsidR="00D251BB">
        <w:rPr>
          <w:sz w:val="24"/>
          <w:szCs w:val="24"/>
        </w:rPr>
        <w:t>aj</w:t>
      </w:r>
      <w:r w:rsidRPr="00FD0F53">
        <w:rPr>
          <w:sz w:val="24"/>
          <w:szCs w:val="24"/>
        </w:rPr>
        <w:t>ā daļ</w:t>
      </w:r>
      <w:r w:rsidRPr="00FD0F53" w:rsidR="00D251BB">
        <w:rPr>
          <w:sz w:val="24"/>
          <w:szCs w:val="24"/>
        </w:rPr>
        <w:t>ā</w:t>
      </w:r>
      <w:r w:rsidRPr="00FD0F53">
        <w:rPr>
          <w:sz w:val="24"/>
          <w:szCs w:val="24"/>
        </w:rPr>
        <w:t xml:space="preserve"> no</w:t>
      </w:r>
      <w:r w:rsidRPr="00FD0F53" w:rsidR="00D251BB">
        <w:rPr>
          <w:sz w:val="24"/>
          <w:szCs w:val="24"/>
        </w:rPr>
        <w:t>teikts</w:t>
      </w:r>
      <w:r w:rsidRPr="00FD0F53">
        <w:rPr>
          <w:sz w:val="24"/>
          <w:szCs w:val="24"/>
        </w:rPr>
        <w:t>, ka publiskas personas kapitālsabiedrībai var būt līdzdalība citā kapitālsabiedrībā, ja ir spēkā viens no šādiem nosacījumiem:</w:t>
      </w:r>
    </w:p>
    <w:p w:rsidRPr="00FD0F53" w:rsidR="005A2852" w:rsidP="00FD0F53" w:rsidRDefault="005A2852" w14:paraId="6DCA3004" w14:textId="77777777">
      <w:pPr>
        <w:pStyle w:val="NoSpacing"/>
        <w:tabs>
          <w:tab w:val="left" w:pos="0"/>
        </w:tabs>
        <w:spacing w:line="276" w:lineRule="auto"/>
        <w:ind w:firstLine="810"/>
        <w:jc w:val="both"/>
        <w:rPr>
          <w:sz w:val="24"/>
          <w:szCs w:val="24"/>
        </w:rPr>
      </w:pPr>
      <w:r w:rsidRPr="00FD0F53">
        <w:rPr>
          <w:sz w:val="24"/>
          <w:szCs w:val="24"/>
        </w:rPr>
        <w:t>1) kapitālsabiedrības darbība atbilst publiskas personas līdzdalības nosacījumiem, kas paredzēti Valsts pārvaldes iekārtas likuma 88.panta pirmajā daļā;</w:t>
      </w:r>
    </w:p>
    <w:p w:rsidRPr="00FD0F53" w:rsidR="00754ADB" w:rsidP="00FD0F53" w:rsidRDefault="005A2852" w14:paraId="00A10458" w14:textId="69C8B4FF">
      <w:pPr>
        <w:pStyle w:val="NoSpacing"/>
        <w:tabs>
          <w:tab w:val="left" w:pos="0"/>
        </w:tabs>
        <w:spacing w:line="276" w:lineRule="auto"/>
        <w:ind w:firstLine="810"/>
        <w:jc w:val="both"/>
        <w:rPr>
          <w:sz w:val="24"/>
          <w:szCs w:val="24"/>
        </w:rPr>
      </w:pPr>
      <w:r w:rsidRPr="00FD0F53">
        <w:rPr>
          <w:sz w:val="24"/>
          <w:szCs w:val="24"/>
        </w:rPr>
        <w:t>2) līdzdalība tieši nodrošina publiskas personas kapitālsabiedrības vai publiski privātās kapitālsabiedrības vispārējo stratēģisko mērķu un vidēja termiņa darbības stratēģijā noteikto mērķu sasniegšanu.</w:t>
      </w:r>
    </w:p>
    <w:p w:rsidRPr="00FD0F53" w:rsidR="00140AAC" w:rsidP="00FD0F53" w:rsidRDefault="00FA7A7A" w14:paraId="6AB81E11" w14:textId="172C3B7F">
      <w:pPr>
        <w:pStyle w:val="ListParagraph"/>
        <w:spacing w:after="0" w:line="276" w:lineRule="auto"/>
        <w:ind w:left="0" w:firstLine="720"/>
        <w:jc w:val="both"/>
        <w:rPr>
          <w:rFonts w:ascii="Times New Roman" w:hAnsi="Times New Roman" w:cs="Times New Roman"/>
          <w:sz w:val="24"/>
          <w:szCs w:val="24"/>
        </w:rPr>
      </w:pPr>
      <w:r w:rsidRPr="00FD0F53">
        <w:rPr>
          <w:rFonts w:ascii="Times New Roman" w:hAnsi="Times New Roman" w:cs="Times New Roman"/>
          <w:sz w:val="24"/>
          <w:szCs w:val="24"/>
        </w:rPr>
        <w:t xml:space="preserve">Publiskas personas kapitāla daļu un kapitālsabiedrību pārvaldības likuma 7.pantā noteikts, ka publiskai personai ir pienākums ne retāk kā reizi piecos gados pārvērtēt katru tās tiešo līdzdalību kapitālsabiedrībā un atbilstību šā likuma 4.panta nosacījumiem. Lai gan </w:t>
      </w:r>
      <w:r w:rsidRPr="00FD0F53" w:rsidR="009B52E1">
        <w:rPr>
          <w:rFonts w:ascii="Times New Roman" w:hAnsi="Times New Roman" w:cs="Times New Roman"/>
          <w:sz w:val="24"/>
          <w:szCs w:val="24"/>
        </w:rPr>
        <w:t>minētais</w:t>
      </w:r>
      <w:r w:rsidRPr="00FD0F53">
        <w:rPr>
          <w:rFonts w:ascii="Times New Roman" w:hAnsi="Times New Roman" w:cs="Times New Roman"/>
          <w:sz w:val="24"/>
          <w:szCs w:val="24"/>
        </w:rPr>
        <w:t xml:space="preserve"> pienākums pārvērtēt tiešo līdzdalību kapitālsabiedrībā ir noteikts publiskai personai, </w:t>
      </w:r>
      <w:r w:rsidRPr="00FD0F53" w:rsidR="009B52E1">
        <w:rPr>
          <w:rFonts w:ascii="Times New Roman" w:hAnsi="Times New Roman" w:cs="Times New Roman"/>
          <w:sz w:val="24"/>
          <w:szCs w:val="24"/>
        </w:rPr>
        <w:t>CSDD</w:t>
      </w:r>
      <w:r w:rsidRPr="00FD0F53">
        <w:rPr>
          <w:rFonts w:ascii="Times New Roman" w:hAnsi="Times New Roman" w:cs="Times New Roman"/>
          <w:sz w:val="24"/>
          <w:szCs w:val="24"/>
        </w:rPr>
        <w:t xml:space="preserve">, ievērojot labas korporatīvās pārvaldības principus un ievērojot </w:t>
      </w:r>
      <w:r w:rsidRPr="00FD0F53" w:rsidR="009B52E1">
        <w:rPr>
          <w:rFonts w:ascii="Times New Roman" w:hAnsi="Times New Roman" w:cs="Times New Roman"/>
          <w:sz w:val="24"/>
          <w:szCs w:val="24"/>
        </w:rPr>
        <w:t xml:space="preserve">Publiskas personas kapitāla daļu un kapitālsabiedrību pārvaldības likuma </w:t>
      </w:r>
      <w:r w:rsidRPr="00FD0F53">
        <w:rPr>
          <w:rFonts w:ascii="Times New Roman" w:hAnsi="Times New Roman" w:cs="Times New Roman"/>
          <w:sz w:val="24"/>
          <w:szCs w:val="24"/>
        </w:rPr>
        <w:t>4.panta nosacījumus, ir izvērtējusi</w:t>
      </w:r>
      <w:r w:rsidRPr="00FD0F53" w:rsidR="009B52E1">
        <w:rPr>
          <w:rFonts w:ascii="Times New Roman" w:hAnsi="Times New Roman" w:cs="Times New Roman"/>
          <w:sz w:val="24"/>
          <w:szCs w:val="24"/>
        </w:rPr>
        <w:t xml:space="preserve"> līdzdalības saglabāšanas lietderību </w:t>
      </w:r>
      <w:r w:rsidRPr="00FD0F53" w:rsidR="00F020A8">
        <w:rPr>
          <w:rFonts w:ascii="Times New Roman" w:hAnsi="Times New Roman" w:cs="Times New Roman"/>
          <w:sz w:val="24"/>
          <w:szCs w:val="24"/>
        </w:rPr>
        <w:t>Kapitālsabiedrīb</w:t>
      </w:r>
      <w:r w:rsidRPr="00FD0F53" w:rsidR="009B52E1">
        <w:rPr>
          <w:rFonts w:ascii="Times New Roman" w:hAnsi="Times New Roman" w:cs="Times New Roman"/>
          <w:sz w:val="24"/>
          <w:szCs w:val="24"/>
        </w:rPr>
        <w:t>ās</w:t>
      </w:r>
      <w:r w:rsidRPr="00FD0F53">
        <w:rPr>
          <w:rFonts w:ascii="Times New Roman" w:hAnsi="Times New Roman" w:cs="Times New Roman"/>
          <w:sz w:val="24"/>
          <w:szCs w:val="24"/>
        </w:rPr>
        <w:t xml:space="preserve">, kā arī </w:t>
      </w:r>
      <w:r w:rsidRPr="00FD0F53" w:rsidR="009B52E1">
        <w:rPr>
          <w:rFonts w:ascii="Times New Roman" w:hAnsi="Times New Roman" w:cs="Times New Roman"/>
          <w:sz w:val="24"/>
          <w:szCs w:val="24"/>
        </w:rPr>
        <w:t>līdzdalības izbeigšanu</w:t>
      </w:r>
      <w:r w:rsidRPr="00FD0F53">
        <w:rPr>
          <w:rFonts w:ascii="Times New Roman" w:hAnsi="Times New Roman" w:cs="Times New Roman"/>
          <w:sz w:val="24"/>
          <w:szCs w:val="24"/>
        </w:rPr>
        <w:t xml:space="preserve">, </w:t>
      </w:r>
      <w:r w:rsidRPr="00FD0F53" w:rsidR="009B52E1">
        <w:rPr>
          <w:rFonts w:ascii="Times New Roman" w:hAnsi="Times New Roman" w:cs="Times New Roman"/>
          <w:sz w:val="24"/>
          <w:szCs w:val="24"/>
        </w:rPr>
        <w:t xml:space="preserve">atsavinot CSDD piederošās </w:t>
      </w:r>
      <w:r w:rsidRPr="00FD0F53" w:rsidR="00F020A8">
        <w:rPr>
          <w:rFonts w:ascii="Times New Roman" w:hAnsi="Times New Roman" w:cs="Times New Roman"/>
          <w:sz w:val="24"/>
          <w:szCs w:val="24"/>
        </w:rPr>
        <w:t>Kapitālsabiedrību</w:t>
      </w:r>
      <w:r w:rsidRPr="00FD0F53" w:rsidR="009B631F">
        <w:rPr>
          <w:rFonts w:ascii="Times New Roman" w:hAnsi="Times New Roman" w:cs="Times New Roman"/>
          <w:sz w:val="24"/>
          <w:szCs w:val="24"/>
        </w:rPr>
        <w:t xml:space="preserve"> daļas</w:t>
      </w:r>
      <w:r w:rsidRPr="00FD0F53">
        <w:rPr>
          <w:rFonts w:ascii="Times New Roman" w:hAnsi="Times New Roman" w:cs="Times New Roman"/>
          <w:sz w:val="24"/>
          <w:szCs w:val="24"/>
        </w:rPr>
        <w:t>.</w:t>
      </w:r>
      <w:r w:rsidRPr="00FD0F53" w:rsidR="009B52E1">
        <w:rPr>
          <w:rFonts w:ascii="Times New Roman" w:hAnsi="Times New Roman" w:cs="Times New Roman"/>
          <w:sz w:val="24"/>
          <w:szCs w:val="24"/>
        </w:rPr>
        <w:t xml:space="preserve"> </w:t>
      </w:r>
    </w:p>
    <w:p w:rsidRPr="00FD0F53" w:rsidR="00314D4C" w:rsidP="00FD0F53" w:rsidRDefault="00D251BB" w14:paraId="3C3043F7" w14:textId="4CD6D27A">
      <w:pPr>
        <w:pStyle w:val="ListParagraph"/>
        <w:spacing w:after="0" w:line="276" w:lineRule="auto"/>
        <w:ind w:left="0" w:firstLine="720"/>
        <w:jc w:val="both"/>
        <w:rPr>
          <w:rFonts w:ascii="Times New Roman" w:hAnsi="Times New Roman" w:cs="Times New Roman"/>
          <w:sz w:val="24"/>
          <w:szCs w:val="24"/>
        </w:rPr>
      </w:pPr>
      <w:r w:rsidRPr="00FD0F53">
        <w:rPr>
          <w:rFonts w:ascii="Times New Roman" w:hAnsi="Times New Roman" w:cs="Times New Roman"/>
          <w:sz w:val="24"/>
          <w:szCs w:val="24"/>
        </w:rPr>
        <w:t>Konkurences likuma 3.panta otrajā</w:t>
      </w:r>
      <w:r w:rsidRPr="00FD0F53" w:rsidR="00F053B6">
        <w:rPr>
          <w:rFonts w:ascii="Times New Roman" w:hAnsi="Times New Roman" w:cs="Times New Roman"/>
          <w:sz w:val="24"/>
          <w:szCs w:val="24"/>
        </w:rPr>
        <w:t xml:space="preserve"> daļā</w:t>
      </w:r>
      <w:r w:rsidRPr="00FD0F53">
        <w:rPr>
          <w:rFonts w:ascii="Times New Roman" w:hAnsi="Times New Roman" w:cs="Times New Roman"/>
          <w:sz w:val="24"/>
          <w:szCs w:val="24"/>
        </w:rPr>
        <w:t xml:space="preserve">  noteikts, ka </w:t>
      </w:r>
      <w:r w:rsidRPr="00FD0F53" w:rsidR="00314D4C">
        <w:rPr>
          <w:rFonts w:ascii="Times New Roman" w:hAnsi="Times New Roman" w:cs="Times New Roman"/>
          <w:sz w:val="24"/>
          <w:szCs w:val="24"/>
        </w:rPr>
        <w:t>kapitālsabiedrība, kurā publiskai personai ir izšķiroša ietekme, savā darbībā nodrošina brīvu un godīgu konkurenci. 2020.gada 1.janvārī spēkā stā</w:t>
      </w:r>
      <w:r w:rsidRPr="00FD0F53" w:rsidR="00416256">
        <w:rPr>
          <w:rFonts w:ascii="Times New Roman" w:hAnsi="Times New Roman" w:cs="Times New Roman"/>
          <w:sz w:val="24"/>
          <w:szCs w:val="24"/>
        </w:rPr>
        <w:t>j</w:t>
      </w:r>
      <w:r w:rsidRPr="00FD0F53" w:rsidR="00314D4C">
        <w:rPr>
          <w:rFonts w:ascii="Times New Roman" w:hAnsi="Times New Roman" w:cs="Times New Roman"/>
          <w:sz w:val="24"/>
          <w:szCs w:val="24"/>
        </w:rPr>
        <w:t>ies šī likuma 14</w:t>
      </w:r>
      <w:r w:rsidRPr="00FD0F53" w:rsidR="00314D4C">
        <w:rPr>
          <w:rFonts w:ascii="Times New Roman" w:hAnsi="Times New Roman" w:cs="Times New Roman"/>
          <w:sz w:val="24"/>
          <w:szCs w:val="24"/>
          <w:vertAlign w:val="superscript"/>
        </w:rPr>
        <w:t>1</w:t>
      </w:r>
      <w:r w:rsidRPr="00FD0F53" w:rsidR="00314D4C">
        <w:rPr>
          <w:rFonts w:ascii="Times New Roman" w:hAnsi="Times New Roman" w:cs="Times New Roman"/>
          <w:sz w:val="24"/>
          <w:szCs w:val="24"/>
        </w:rPr>
        <w:t>.pants, kura pirmajā daļā noteikts, ka kapitālsabiedrībai, kurā publiskai personai ir izšķiroša ietekme, aizliegts ar savu darbību kavēt, ierobežot vai deformēt konkurenci, kas var izpausties arī kā:</w:t>
      </w:r>
    </w:p>
    <w:p w:rsidRPr="00FD0F53" w:rsidR="00314D4C" w:rsidP="00FD0F53" w:rsidRDefault="00314D4C" w14:paraId="22AC23B7" w14:textId="77777777">
      <w:pPr>
        <w:pStyle w:val="NoSpacing"/>
        <w:tabs>
          <w:tab w:val="left" w:pos="0"/>
        </w:tabs>
        <w:spacing w:line="276" w:lineRule="auto"/>
        <w:jc w:val="both"/>
        <w:rPr>
          <w:sz w:val="24"/>
          <w:szCs w:val="24"/>
        </w:rPr>
      </w:pPr>
      <w:r w:rsidRPr="00FD0F53">
        <w:rPr>
          <w:sz w:val="24"/>
          <w:szCs w:val="24"/>
        </w:rPr>
        <w:tab/>
        <w:t>1) tirgus dalībnieku diskriminācija, radot atšķirīgus konkurences apstākļus;</w:t>
      </w:r>
    </w:p>
    <w:p w:rsidRPr="00FD0F53" w:rsidR="00314D4C" w:rsidP="00FD0F53" w:rsidRDefault="00314D4C" w14:paraId="40E2DF46" w14:textId="77777777">
      <w:pPr>
        <w:pStyle w:val="NoSpacing"/>
        <w:tabs>
          <w:tab w:val="left" w:pos="0"/>
        </w:tabs>
        <w:spacing w:line="276" w:lineRule="auto"/>
        <w:jc w:val="both"/>
        <w:rPr>
          <w:sz w:val="24"/>
          <w:szCs w:val="24"/>
        </w:rPr>
      </w:pPr>
      <w:r w:rsidRPr="00FD0F53">
        <w:rPr>
          <w:sz w:val="24"/>
          <w:szCs w:val="24"/>
        </w:rPr>
        <w:tab/>
        <w:t>2) priekšrocību radīšana kapitālsabiedrībai, kurā publiskai personai ir tieša vai netieša līdzdalība;</w:t>
      </w:r>
    </w:p>
    <w:p w:rsidRPr="00FD0F53" w:rsidR="00314D4C" w:rsidP="00FD0F53" w:rsidRDefault="00314D4C" w14:paraId="5A9C5852" w14:textId="067D5F46">
      <w:pPr>
        <w:pStyle w:val="NoSpacing"/>
        <w:tabs>
          <w:tab w:val="left" w:pos="0"/>
        </w:tabs>
        <w:spacing w:line="276" w:lineRule="auto"/>
        <w:jc w:val="both"/>
        <w:rPr>
          <w:sz w:val="24"/>
          <w:szCs w:val="24"/>
        </w:rPr>
      </w:pPr>
      <w:r w:rsidRPr="00FD0F53">
        <w:rPr>
          <w:sz w:val="24"/>
          <w:szCs w:val="24"/>
        </w:rPr>
        <w:tab/>
        <w:t>3) darbības, kuru dēļ cits tirgus dalībnieks ir spiests atstāt kādu konkrēto tirgu vai tiek apgrūtināta potenciāla tirgus dalībnieka iekļūšana vai darbība tirgū.</w:t>
      </w:r>
    </w:p>
    <w:p w:rsidRPr="00FD0F53" w:rsidR="00047954" w:rsidP="00FD0F53" w:rsidRDefault="003E53C0" w14:paraId="38601C84" w14:textId="43160721">
      <w:pPr>
        <w:spacing w:line="276" w:lineRule="auto"/>
        <w:ind w:firstLine="720"/>
        <w:jc w:val="both"/>
        <w:rPr>
          <w:lang w:val="lv-LV"/>
        </w:rPr>
      </w:pPr>
      <w:r w:rsidRPr="00FD0F53">
        <w:rPr>
          <w:rFonts w:eastAsiaTheme="minorHAnsi"/>
          <w:lang w:val="lv-LV" w:eastAsia="en-US"/>
        </w:rPr>
        <w:t>CSDD kā kapitālsabiedrīb</w:t>
      </w:r>
      <w:r w:rsidRPr="00FD0F53" w:rsidR="0088637B">
        <w:rPr>
          <w:rFonts w:eastAsiaTheme="minorHAnsi"/>
          <w:lang w:val="lv-LV" w:eastAsia="en-US"/>
        </w:rPr>
        <w:t>as darbību regulē arī</w:t>
      </w:r>
      <w:r w:rsidRPr="00FD0F53">
        <w:rPr>
          <w:rFonts w:eastAsiaTheme="minorHAnsi"/>
          <w:lang w:val="lv-LV" w:eastAsia="en-US"/>
        </w:rPr>
        <w:t xml:space="preserve"> </w:t>
      </w:r>
      <w:r w:rsidRPr="00FD0F53" w:rsidR="00EA4A75">
        <w:rPr>
          <w:lang w:val="lv-LV"/>
        </w:rPr>
        <w:t>Komerclikums</w:t>
      </w:r>
      <w:r w:rsidRPr="00FD0F53" w:rsidR="00EA4A75">
        <w:rPr>
          <w:rFonts w:eastAsiaTheme="minorHAnsi"/>
          <w:lang w:val="lv-LV" w:eastAsia="en-US"/>
        </w:rPr>
        <w:t>, ciktāl attiecīgais jautājums nav regulēts</w:t>
      </w:r>
      <w:r w:rsidRPr="00FD0F53">
        <w:rPr>
          <w:lang w:val="lv-LV"/>
        </w:rPr>
        <w:t xml:space="preserve"> Publiskas personas kapitāla daļu un kapitālsabiedrību pārvaldības likum</w:t>
      </w:r>
      <w:r w:rsidRPr="00FD0F53" w:rsidR="00EA4A75">
        <w:rPr>
          <w:lang w:val="lv-LV"/>
        </w:rPr>
        <w:t>ā</w:t>
      </w:r>
      <w:r w:rsidRPr="00FD0F53">
        <w:rPr>
          <w:lang w:val="lv-LV"/>
        </w:rPr>
        <w:t xml:space="preserve">. </w:t>
      </w:r>
      <w:r w:rsidRPr="00FD0F53" w:rsidR="00EA4A75">
        <w:rPr>
          <w:lang w:val="lv-LV"/>
        </w:rPr>
        <w:t xml:space="preserve">Komerclikuma 189.panta pirmajā daļā kapitāla daļu atsavināšanas gadījumā pārējiem dalībniekiem ir paredzētas pirmpirkuma tiesības, ja sabiedrības statūtos nav noteikts citādi. </w:t>
      </w:r>
      <w:r w:rsidRPr="00FD0F53" w:rsidR="00047954">
        <w:rPr>
          <w:lang w:val="lv-LV"/>
        </w:rPr>
        <w:t>Arī Kapitālsabiedrību statūtos noteikts, ka kapitāla daļu atsavināšanas gadījumā pārējiem Kapitālsabiedrību dalībniekiem ir jānodrošina pirmpirkuma tiesības.</w:t>
      </w:r>
    </w:p>
    <w:p w:rsidRPr="00FD0F53" w:rsidR="00A37D1B" w:rsidP="00FD0F53" w:rsidRDefault="00E31F75" w14:paraId="2F3FC166" w14:textId="77777777">
      <w:pPr>
        <w:spacing w:line="276" w:lineRule="auto"/>
        <w:ind w:firstLine="720"/>
        <w:jc w:val="both"/>
        <w:rPr>
          <w:lang w:val="lv-LV"/>
        </w:rPr>
      </w:pPr>
      <w:r w:rsidRPr="00FD0F53">
        <w:rPr>
          <w:lang w:val="lv-LV"/>
        </w:rPr>
        <w:t xml:space="preserve">Atbilstoši </w:t>
      </w:r>
      <w:r w:rsidRPr="00FD0F53">
        <w:rPr>
          <w:iCs/>
          <w:lang w:val="lv-LV"/>
        </w:rPr>
        <w:t>Publiskas personas finanšu līdzekļu un mantas izšķērdēšanas novēršanas likuma 2.panta trešajai daļai publiskas</w:t>
      </w:r>
      <w:r w:rsidRPr="00FD0F53">
        <w:rPr>
          <w:shd w:val="clear" w:color="auto" w:fill="FFFFFF"/>
          <w:lang w:val="lv-LV"/>
        </w:rPr>
        <w:t xml:space="preserve"> personas kapitālsabiedrība savā rīcībā ar finanšu līdzekļiem un mantu ievēro </w:t>
      </w:r>
      <w:r w:rsidR="002A4836">
        <w:fldChar w:fldCharType="begin"/>
      </w:r>
      <w:r w:rsidRPr="002A4836" w:rsidR="002A4836">
        <w:rPr>
          <w:lang w:val="lv-LV"/>
        </w:rPr>
        <w:instrText xml:space="preserve"> HYPERLINK "https://likumi.lv/ta/id/63545-valsts-parvaldes-iekartas-likums" \t "_blank" </w:instrText>
      </w:r>
      <w:r w:rsidR="002A4836">
        <w:fldChar w:fldCharType="separate"/>
      </w:r>
      <w:r w:rsidRPr="00FD0F53">
        <w:rPr>
          <w:rStyle w:val="Hyperlink"/>
          <w:color w:val="auto"/>
          <w:u w:val="none"/>
          <w:shd w:val="clear" w:color="auto" w:fill="FFFFFF"/>
          <w:lang w:val="lv-LV"/>
        </w:rPr>
        <w:t>Valsts pārvaldes iekārtas likumā</w:t>
      </w:r>
      <w:r w:rsidR="002A4836">
        <w:rPr>
          <w:rStyle w:val="Hyperlink"/>
          <w:color w:val="auto"/>
          <w:u w:val="none"/>
          <w:shd w:val="clear" w:color="auto" w:fill="FFFFFF"/>
          <w:lang w:val="lv-LV"/>
        </w:rPr>
        <w:fldChar w:fldCharType="end"/>
      </w:r>
      <w:r w:rsidRPr="00FD0F53">
        <w:rPr>
          <w:rStyle w:val="Hyperlink"/>
          <w:color w:val="auto"/>
          <w:u w:val="none"/>
          <w:shd w:val="clear" w:color="auto" w:fill="FFFFFF"/>
          <w:lang w:val="lv-LV"/>
        </w:rPr>
        <w:t xml:space="preserve"> </w:t>
      </w:r>
      <w:r w:rsidRPr="00FD0F53">
        <w:rPr>
          <w:shd w:val="clear" w:color="auto" w:fill="FFFFFF"/>
          <w:lang w:val="lv-LV"/>
        </w:rPr>
        <w:t xml:space="preserve"> noteiktos publiskas personas komercdarbības pamatus, kā arī šajā likumā un citos normatīvajos aktos noteiktos pienākumus un ierobežojumus. Ņemot vērā minēto, CSDD ir saistošs </w:t>
      </w:r>
      <w:r w:rsidRPr="00FD0F53" w:rsidR="00092758">
        <w:rPr>
          <w:lang w:val="lv-LV"/>
        </w:rPr>
        <w:t>Publiskas personas finanšu līdzekļu un mantas izšķērdēšanas novēršanas likuma 3.panta 2.punktā noteikt</w:t>
      </w:r>
      <w:r w:rsidRPr="00FD0F53">
        <w:rPr>
          <w:lang w:val="lv-LV"/>
        </w:rPr>
        <w:t>ais</w:t>
      </w:r>
      <w:r w:rsidRPr="00FD0F53" w:rsidR="00092758">
        <w:rPr>
          <w:lang w:val="lv-LV"/>
        </w:rPr>
        <w:t xml:space="preserve"> pienākum</w:t>
      </w:r>
      <w:r w:rsidRPr="00FD0F53">
        <w:rPr>
          <w:lang w:val="lv-LV"/>
        </w:rPr>
        <w:t>s</w:t>
      </w:r>
      <w:r w:rsidRPr="00FD0F53" w:rsidR="00092758">
        <w:rPr>
          <w:lang w:val="lv-LV"/>
        </w:rPr>
        <w:t xml:space="preserve"> lietderīgi rīkoties ar finanšu līdzekļiem </w:t>
      </w:r>
      <w:r w:rsidRPr="00FD0F53" w:rsidR="00092758">
        <w:rPr>
          <w:lang w:val="lv-LV"/>
        </w:rPr>
        <w:lastRenderedPageBreak/>
        <w:t>un mantu, t</w:t>
      </w:r>
      <w:r w:rsidRPr="00FD0F53">
        <w:rPr>
          <w:lang w:val="lv-LV"/>
        </w:rPr>
        <w:t>ai skaitā</w:t>
      </w:r>
      <w:r w:rsidRPr="00FD0F53" w:rsidR="00092758">
        <w:rPr>
          <w:lang w:val="lv-LV"/>
        </w:rPr>
        <w:t xml:space="preserve"> mantu atsavināt un nodot īpašumā vai lietošanā citai personai par iespējami augstāku cenu.</w:t>
      </w:r>
    </w:p>
    <w:p w:rsidRPr="00FD0F53" w:rsidR="00754ADB" w:rsidP="00FD0F53" w:rsidRDefault="00754ADB" w14:paraId="68909CE4" w14:textId="3F56E59E">
      <w:pPr>
        <w:spacing w:line="276" w:lineRule="auto"/>
        <w:jc w:val="both"/>
        <w:rPr>
          <w:lang w:val="lv-LV"/>
        </w:rPr>
      </w:pPr>
    </w:p>
    <w:p w:rsidRPr="00FD0F53" w:rsidR="0041241B" w:rsidP="00FD0F53" w:rsidRDefault="0026115E" w14:paraId="0EDFC1AE" w14:textId="515D31B9">
      <w:pPr>
        <w:pStyle w:val="NoSpacing"/>
        <w:tabs>
          <w:tab w:val="left" w:pos="0"/>
        </w:tabs>
        <w:spacing w:line="276" w:lineRule="auto"/>
        <w:jc w:val="center"/>
        <w:rPr>
          <w:sz w:val="24"/>
          <w:szCs w:val="24"/>
        </w:rPr>
      </w:pPr>
      <w:r w:rsidRPr="00FD0F53">
        <w:rPr>
          <w:b/>
          <w:sz w:val="24"/>
          <w:szCs w:val="24"/>
        </w:rPr>
        <w:t xml:space="preserve">IV. </w:t>
      </w:r>
      <w:r w:rsidRPr="00FD0F53" w:rsidR="0041241B">
        <w:rPr>
          <w:b/>
          <w:sz w:val="24"/>
          <w:szCs w:val="24"/>
        </w:rPr>
        <w:t xml:space="preserve">CSDD līdzdalības </w:t>
      </w:r>
      <w:r w:rsidRPr="00FD0F53" w:rsidR="00540C48">
        <w:rPr>
          <w:b/>
          <w:sz w:val="24"/>
          <w:szCs w:val="24"/>
        </w:rPr>
        <w:t xml:space="preserve">izbeigšanas </w:t>
      </w:r>
      <w:r w:rsidRPr="00FD0F53" w:rsidR="0041241B">
        <w:rPr>
          <w:b/>
          <w:sz w:val="24"/>
          <w:szCs w:val="24"/>
        </w:rPr>
        <w:t>izvērtējums</w:t>
      </w:r>
    </w:p>
    <w:p w:rsidRPr="00FD0F53" w:rsidR="00754ADB" w:rsidP="00FD0F53" w:rsidRDefault="00754ADB" w14:paraId="3915E470" w14:textId="77777777">
      <w:pPr>
        <w:pStyle w:val="tv213"/>
        <w:shd w:val="clear" w:color="auto" w:fill="FFFFFF"/>
        <w:spacing w:before="0" w:beforeAutospacing="0" w:after="0" w:afterAutospacing="0" w:line="276" w:lineRule="auto"/>
        <w:ind w:firstLine="720"/>
        <w:jc w:val="both"/>
      </w:pPr>
    </w:p>
    <w:p w:rsidRPr="00FD0F53" w:rsidR="000A022E" w:rsidP="00FD0F53" w:rsidRDefault="000A022E" w14:paraId="17E96752" w14:textId="77777777">
      <w:pPr>
        <w:pStyle w:val="NoSpacing"/>
        <w:spacing w:line="276" w:lineRule="auto"/>
        <w:ind w:firstLine="720"/>
        <w:jc w:val="both"/>
        <w:rPr>
          <w:sz w:val="24"/>
          <w:szCs w:val="24"/>
        </w:rPr>
      </w:pPr>
      <w:r w:rsidRPr="00FD0F53">
        <w:rPr>
          <w:sz w:val="24"/>
          <w:szCs w:val="24"/>
        </w:rPr>
        <w:t>Ar Ceļu satiksmes likuma 4.panta piekto daļu CSDD ir deleģēts uzdevums veikt transportlīdzekļu valsts tehnisko apskati un kontrolēt ekspluatācijā esošo transportlīdzekļu tehnisko stāvokli.</w:t>
      </w:r>
      <w:r w:rsidRPr="00FD0F53">
        <w:rPr>
          <w:sz w:val="24"/>
          <w:szCs w:val="24"/>
          <w:shd w:val="clear" w:color="auto" w:fill="FFFFFF"/>
        </w:rPr>
        <w:t xml:space="preserve"> S</w:t>
      </w:r>
      <w:r w:rsidRPr="00FD0F53">
        <w:rPr>
          <w:sz w:val="24"/>
          <w:szCs w:val="24"/>
        </w:rPr>
        <w:t xml:space="preserve">avu funkciju un uzdevumu ietvaros CSDD ir pienākums nodrošināt arī valsts tehniskās apskates pakalpojumu tīkla kvalitatīvu attīstību. </w:t>
      </w:r>
    </w:p>
    <w:p w:rsidRPr="00FD0F53" w:rsidR="007E0993" w:rsidP="00FD0F53" w:rsidRDefault="000A022E" w14:paraId="39A850A8" w14:textId="29ABA9EF">
      <w:pPr>
        <w:pStyle w:val="NoSpacing"/>
        <w:spacing w:line="276" w:lineRule="auto"/>
        <w:ind w:firstLine="720"/>
        <w:jc w:val="both"/>
        <w:rPr>
          <w:sz w:val="24"/>
          <w:szCs w:val="24"/>
        </w:rPr>
      </w:pPr>
      <w:r w:rsidRPr="00FD0F53">
        <w:rPr>
          <w:sz w:val="24"/>
          <w:szCs w:val="24"/>
        </w:rPr>
        <w:t xml:space="preserve">CSDD līdzdalība Kapitālsabiedrībās </w:t>
      </w:r>
      <w:r w:rsidRPr="00FD0F53" w:rsidR="003F1DFD">
        <w:rPr>
          <w:sz w:val="24"/>
          <w:szCs w:val="24"/>
        </w:rPr>
        <w:t xml:space="preserve">vairāk kā </w:t>
      </w:r>
      <w:r w:rsidRPr="00FD0F53" w:rsidR="007E0993">
        <w:rPr>
          <w:sz w:val="24"/>
          <w:szCs w:val="24"/>
        </w:rPr>
        <w:t xml:space="preserve">20 gadu laikā </w:t>
      </w:r>
      <w:r w:rsidRPr="00FD0F53">
        <w:rPr>
          <w:sz w:val="24"/>
          <w:szCs w:val="24"/>
        </w:rPr>
        <w:t xml:space="preserve">ir nodrošinājusi tirgus nepilnības novēršanu stratēģiski svarīgā nozarē un Kapitālsabiedrību darbība </w:t>
      </w:r>
      <w:r w:rsidRPr="00FD0F53" w:rsidR="00861027">
        <w:rPr>
          <w:sz w:val="24"/>
          <w:szCs w:val="24"/>
        </w:rPr>
        <w:t xml:space="preserve">ir </w:t>
      </w:r>
      <w:r w:rsidRPr="00FD0F53">
        <w:rPr>
          <w:sz w:val="24"/>
          <w:szCs w:val="24"/>
        </w:rPr>
        <w:t xml:space="preserve">sekmējusi CSDD mērķu un attīstības prioritāšu īstenošanu, nodrošinot kvalitatīvus transportlīdzekļu tehniskā stāvokļa pārbaudes pakalpojumus. </w:t>
      </w:r>
      <w:r w:rsidRPr="00FD0F53" w:rsidR="00E032BD">
        <w:rPr>
          <w:sz w:val="24"/>
          <w:szCs w:val="24"/>
        </w:rPr>
        <w:t>Šajā laikā izveidota kvalitatīva, efektīva tehnisko apskašu staciju un akreditēto uzņēmumu darbības uzraudzī</w:t>
      </w:r>
      <w:r w:rsidRPr="00FD0F53" w:rsidR="00163859">
        <w:rPr>
          <w:sz w:val="24"/>
          <w:szCs w:val="24"/>
        </w:rPr>
        <w:t>b</w:t>
      </w:r>
      <w:r w:rsidRPr="00FD0F53" w:rsidR="00E032BD">
        <w:rPr>
          <w:sz w:val="24"/>
          <w:szCs w:val="24"/>
        </w:rPr>
        <w:t xml:space="preserve">as sistēma, pilnveidota un sakārtota tehnisko apskašu veikšanas normatīvā bāze. </w:t>
      </w:r>
      <w:r w:rsidRPr="00FD0F53" w:rsidR="007E0993">
        <w:rPr>
          <w:sz w:val="24"/>
          <w:szCs w:val="24"/>
        </w:rPr>
        <w:t>Līdz ar to</w:t>
      </w:r>
      <w:r w:rsidRPr="00FD0F53" w:rsidR="002763BA">
        <w:rPr>
          <w:sz w:val="24"/>
          <w:szCs w:val="24"/>
        </w:rPr>
        <w:t>,</w:t>
      </w:r>
      <w:r w:rsidRPr="00FD0F53" w:rsidR="007E0993">
        <w:rPr>
          <w:sz w:val="24"/>
          <w:szCs w:val="24"/>
        </w:rPr>
        <w:t xml:space="preserve"> </w:t>
      </w:r>
      <w:r w:rsidRPr="00FD0F53" w:rsidR="00DA4609">
        <w:rPr>
          <w:sz w:val="24"/>
          <w:szCs w:val="24"/>
        </w:rPr>
        <w:t xml:space="preserve">uz šo brīdi </w:t>
      </w:r>
      <w:r w:rsidRPr="00FD0F53">
        <w:rPr>
          <w:sz w:val="24"/>
          <w:szCs w:val="24"/>
        </w:rPr>
        <w:t>tehniskās apskates sistēma Latvijā</w:t>
      </w:r>
      <w:r w:rsidRPr="00FD0F53" w:rsidR="00DA4609">
        <w:rPr>
          <w:sz w:val="24"/>
          <w:szCs w:val="24"/>
        </w:rPr>
        <w:t xml:space="preserve"> ir</w:t>
      </w:r>
      <w:r w:rsidRPr="00FD0F53" w:rsidR="00E032BD">
        <w:rPr>
          <w:sz w:val="24"/>
          <w:szCs w:val="24"/>
        </w:rPr>
        <w:t xml:space="preserve"> </w:t>
      </w:r>
      <w:r w:rsidRPr="00FD0F53" w:rsidR="00DA4609">
        <w:rPr>
          <w:sz w:val="24"/>
          <w:szCs w:val="24"/>
        </w:rPr>
        <w:t>pilnveido</w:t>
      </w:r>
      <w:r w:rsidRPr="00FD0F53" w:rsidR="007E0993">
        <w:rPr>
          <w:sz w:val="24"/>
          <w:szCs w:val="24"/>
        </w:rPr>
        <w:t>ta</w:t>
      </w:r>
      <w:r w:rsidRPr="00FD0F53">
        <w:rPr>
          <w:sz w:val="24"/>
          <w:szCs w:val="24"/>
        </w:rPr>
        <w:t xml:space="preserve"> </w:t>
      </w:r>
      <w:r w:rsidRPr="00FD0F53" w:rsidR="00DA4609">
        <w:rPr>
          <w:sz w:val="24"/>
          <w:szCs w:val="24"/>
        </w:rPr>
        <w:t xml:space="preserve">un </w:t>
      </w:r>
      <w:r w:rsidRPr="00FD0F53">
        <w:rPr>
          <w:sz w:val="24"/>
          <w:szCs w:val="24"/>
        </w:rPr>
        <w:t>šobrīd pilnībā nodrošina objektīvu un kvalitatīvu transportlīdzekļu tehniskā stāvokļa kontroli, kā arī citu saistītu sabiedrībai nepieciešamu funkciju izpildi.</w:t>
      </w:r>
      <w:r w:rsidRPr="00FD0F53" w:rsidR="00DA4609">
        <w:rPr>
          <w:sz w:val="24"/>
          <w:szCs w:val="24"/>
        </w:rPr>
        <w:t xml:space="preserve"> </w:t>
      </w:r>
    </w:p>
    <w:p w:rsidRPr="00FD0F53" w:rsidR="00E032BD" w:rsidP="00FD0F53" w:rsidRDefault="00E032BD" w14:paraId="3CDF2536" w14:textId="30B5CBF9">
      <w:pPr>
        <w:pStyle w:val="NoSpacing"/>
        <w:spacing w:line="276" w:lineRule="auto"/>
        <w:ind w:firstLine="720"/>
        <w:jc w:val="both"/>
        <w:rPr>
          <w:sz w:val="24"/>
          <w:szCs w:val="24"/>
        </w:rPr>
      </w:pPr>
      <w:r w:rsidRPr="00FD0F53">
        <w:rPr>
          <w:sz w:val="24"/>
          <w:szCs w:val="24"/>
        </w:rPr>
        <w:t>K</w:t>
      </w:r>
      <w:r w:rsidRPr="00FD0F53" w:rsidR="00DA4609">
        <w:rPr>
          <w:sz w:val="24"/>
          <w:szCs w:val="24"/>
        </w:rPr>
        <w:t xml:space="preserve">ā jau iepriekš norādīts,  mainījusies ir arī tiesiskā situācija - MK noteikumi Nr.295 nosaka, ka tehnisko kontroli Latvijā veic akreditēta persona, kura izvēlēta publisko iepirkumu reglamentējošos tiesību aktos noteiktajā kārtībā. Īstenojot minētās prasības, CSDD būs jāorganizē publiskā iepirkuma procedūra, lai izvēlētos komersantus, kam piešķirt tiesības veikt transportlīdzekļu tehnisko kontroli. </w:t>
      </w:r>
      <w:r w:rsidRPr="00FD0F53">
        <w:rPr>
          <w:sz w:val="24"/>
          <w:szCs w:val="24"/>
        </w:rPr>
        <w:t>Bez tam, 2020.gada 1.janvārī stā</w:t>
      </w:r>
      <w:r w:rsidRPr="00FD0F53" w:rsidR="00416256">
        <w:rPr>
          <w:sz w:val="24"/>
          <w:szCs w:val="24"/>
        </w:rPr>
        <w:t>j</w:t>
      </w:r>
      <w:r w:rsidRPr="00FD0F53">
        <w:rPr>
          <w:sz w:val="24"/>
          <w:szCs w:val="24"/>
        </w:rPr>
        <w:t>ies spēkā Konkurences likuma 14</w:t>
      </w:r>
      <w:r w:rsidRPr="00FD0F53">
        <w:rPr>
          <w:sz w:val="24"/>
          <w:szCs w:val="24"/>
          <w:vertAlign w:val="superscript"/>
        </w:rPr>
        <w:t>1</w:t>
      </w:r>
      <w:r w:rsidRPr="00FD0F53">
        <w:rPr>
          <w:sz w:val="24"/>
          <w:szCs w:val="24"/>
        </w:rPr>
        <w:t>.pants, kura pirmajā daļā noteikts ierobežojums tiešās pārvaldes un pastarpinātās pārvaldes iestādei, kā arī kapitālsabiedrībai, kurā publiskai personai ir izšķiroša ietekme, ar savu darbību kavēt, ierobežot vai deformēt konkurenc</w:t>
      </w:r>
      <w:r w:rsidRPr="00FD0F53" w:rsidR="00A53FA3">
        <w:rPr>
          <w:sz w:val="24"/>
          <w:szCs w:val="24"/>
        </w:rPr>
        <w:t xml:space="preserve">i, </w:t>
      </w:r>
      <w:r w:rsidRPr="00FD0F53" w:rsidR="00E52805">
        <w:rPr>
          <w:sz w:val="24"/>
          <w:szCs w:val="24"/>
        </w:rPr>
        <w:t xml:space="preserve">kas var izpausties arī kā priekšrocību radīšana kapitālsabiedrībai, kurā publiskai personai ir tieša vai netieša līdzdalība. Līdz ar to </w:t>
      </w:r>
      <w:r w:rsidRPr="00FD0F53" w:rsidR="00A53FA3">
        <w:rPr>
          <w:sz w:val="24"/>
          <w:szCs w:val="24"/>
        </w:rPr>
        <w:t>CSDD līdzdalība</w:t>
      </w:r>
      <w:r w:rsidRPr="00FD0F53" w:rsidR="002B2CBA">
        <w:rPr>
          <w:sz w:val="24"/>
          <w:szCs w:val="24"/>
        </w:rPr>
        <w:t xml:space="preserve"> </w:t>
      </w:r>
      <w:proofErr w:type="spellStart"/>
      <w:r w:rsidRPr="00FD0F53" w:rsidR="002B2CBA">
        <w:rPr>
          <w:sz w:val="24"/>
          <w:szCs w:val="24"/>
        </w:rPr>
        <w:t>kapitālabiedrībās</w:t>
      </w:r>
      <w:proofErr w:type="spellEnd"/>
      <w:r w:rsidRPr="00FD0F53" w:rsidR="00E52805">
        <w:rPr>
          <w:sz w:val="24"/>
          <w:szCs w:val="24"/>
        </w:rPr>
        <w:t xml:space="preserve"> varēt</w:t>
      </w:r>
      <w:r w:rsidRPr="00FD0F53" w:rsidR="00B368BF">
        <w:rPr>
          <w:sz w:val="24"/>
          <w:szCs w:val="24"/>
        </w:rPr>
        <w:t>u</w:t>
      </w:r>
      <w:r w:rsidRPr="00FD0F53" w:rsidR="00E52805">
        <w:rPr>
          <w:sz w:val="24"/>
          <w:szCs w:val="24"/>
        </w:rPr>
        <w:t xml:space="preserve"> radīt bažas par Konkurences likuma 14</w:t>
      </w:r>
      <w:r w:rsidRPr="00FD0F53" w:rsidR="00E52805">
        <w:rPr>
          <w:sz w:val="24"/>
          <w:szCs w:val="24"/>
          <w:vertAlign w:val="superscript"/>
        </w:rPr>
        <w:t>1</w:t>
      </w:r>
      <w:r w:rsidRPr="00FD0F53" w:rsidR="00E52805">
        <w:rPr>
          <w:sz w:val="24"/>
          <w:szCs w:val="24"/>
        </w:rPr>
        <w:t xml:space="preserve">.panta pirmajā daļa noteikto ierobežojumu izpildi. </w:t>
      </w:r>
    </w:p>
    <w:p w:rsidRPr="00FD0F53" w:rsidR="00E032BD" w:rsidP="00FD0F53" w:rsidRDefault="00A53FA3" w14:paraId="7017915D" w14:textId="0D82C8AD">
      <w:pPr>
        <w:pStyle w:val="ListParagraph"/>
        <w:spacing w:after="0" w:line="276" w:lineRule="auto"/>
        <w:ind w:left="0" w:firstLine="720"/>
        <w:jc w:val="both"/>
        <w:rPr>
          <w:rFonts w:ascii="Times New Roman" w:hAnsi="Times New Roman" w:cs="Times New Roman"/>
          <w:sz w:val="24"/>
          <w:szCs w:val="24"/>
        </w:rPr>
      </w:pPr>
      <w:r w:rsidRPr="00FD0F53">
        <w:rPr>
          <w:rFonts w:ascii="Times New Roman" w:hAnsi="Times New Roman" w:cs="Times New Roman"/>
          <w:sz w:val="24"/>
          <w:szCs w:val="24"/>
        </w:rPr>
        <w:t xml:space="preserve">Konkurences padome 2018.gada 16.jūlija Tirgus uzraudzības noslēguma ziņojumā “Konkurences ierobežojumi transportlīdzekļu valsts tehniskās apskates jomā” paudusi bažas, ka CSDD kā visu akreditēto sabiedrību daļēja kapitāldaļu turētāja ir spējīga realizēt tādu ietekmi, lai nodrošinātu, ka visas </w:t>
      </w:r>
      <w:r w:rsidRPr="00FD0F53" w:rsidR="00942D9A">
        <w:rPr>
          <w:rFonts w:ascii="Times New Roman" w:hAnsi="Times New Roman" w:cs="Times New Roman"/>
          <w:sz w:val="24"/>
          <w:szCs w:val="24"/>
        </w:rPr>
        <w:t xml:space="preserve">Kapitālsabiedrības </w:t>
      </w:r>
      <w:r w:rsidRPr="00FD0F53">
        <w:rPr>
          <w:rFonts w:ascii="Times New Roman" w:hAnsi="Times New Roman" w:cs="Times New Roman"/>
          <w:sz w:val="24"/>
          <w:szCs w:val="24"/>
        </w:rPr>
        <w:t xml:space="preserve"> tirgū darbojas kā vienota ekonomiska vienība</w:t>
      </w:r>
      <w:r w:rsidRPr="00FD0F53" w:rsidR="007F0B0A">
        <w:rPr>
          <w:rFonts w:ascii="Times New Roman" w:hAnsi="Times New Roman" w:cs="Times New Roman"/>
          <w:sz w:val="24"/>
          <w:szCs w:val="24"/>
        </w:rPr>
        <w:t>,</w:t>
      </w:r>
      <w:r w:rsidRPr="00FD0F53">
        <w:rPr>
          <w:rFonts w:ascii="Times New Roman" w:hAnsi="Times New Roman" w:cs="Times New Roman"/>
          <w:sz w:val="24"/>
          <w:szCs w:val="24"/>
        </w:rPr>
        <w:t xml:space="preserve"> un tādējādi CSDD un </w:t>
      </w:r>
      <w:r w:rsidRPr="00FD0F53" w:rsidR="00F621C1">
        <w:rPr>
          <w:rFonts w:ascii="Times New Roman" w:hAnsi="Times New Roman" w:cs="Times New Roman"/>
          <w:sz w:val="24"/>
          <w:szCs w:val="24"/>
        </w:rPr>
        <w:t xml:space="preserve">Kapitālsabiedrības </w:t>
      </w:r>
      <w:r w:rsidRPr="00FD0F53">
        <w:rPr>
          <w:rFonts w:ascii="Times New Roman" w:hAnsi="Times New Roman" w:cs="Times New Roman"/>
          <w:sz w:val="24"/>
          <w:szCs w:val="24"/>
        </w:rPr>
        <w:t>varētu tikt uzskatītas par kolektīvu vienību, kas atrodas dominējošā stāvoklī transportlīdzekļu tehniskās kontroles tirgū Latvijā un spēj ievērojami kavēt, ierobežot vai deformēt konkurenci šajā tirgū.</w:t>
      </w:r>
    </w:p>
    <w:p w:rsidRPr="00FD0F53" w:rsidR="00DA4609" w:rsidP="00FD0F53" w:rsidRDefault="00DA4609" w14:paraId="2901CCD1" w14:textId="39DAA5EF">
      <w:pPr>
        <w:pStyle w:val="NoSpacing"/>
        <w:spacing w:line="276" w:lineRule="auto"/>
        <w:ind w:firstLine="720"/>
        <w:jc w:val="both"/>
        <w:rPr>
          <w:sz w:val="24"/>
          <w:szCs w:val="24"/>
        </w:rPr>
      </w:pPr>
      <w:r w:rsidRPr="00FD0F53">
        <w:rPr>
          <w:sz w:val="24"/>
          <w:szCs w:val="24"/>
        </w:rPr>
        <w:t>Izvērtējot iepriekš minēto situācijas aprakstu un ievērojot tiesību normās ietverto regulējumu, kas stā</w:t>
      </w:r>
      <w:r w:rsidRPr="00FD0F53" w:rsidR="00416256">
        <w:rPr>
          <w:sz w:val="24"/>
          <w:szCs w:val="24"/>
        </w:rPr>
        <w:t>j</w:t>
      </w:r>
      <w:r w:rsidRPr="00FD0F53">
        <w:rPr>
          <w:sz w:val="24"/>
          <w:szCs w:val="24"/>
        </w:rPr>
        <w:t xml:space="preserve">ies spēkā 2020.gada 1.janvārī un </w:t>
      </w:r>
      <w:r w:rsidRPr="00FD0F53" w:rsidR="00416256">
        <w:rPr>
          <w:sz w:val="24"/>
          <w:szCs w:val="24"/>
        </w:rPr>
        <w:t xml:space="preserve">stāsies spēkā </w:t>
      </w:r>
      <w:r w:rsidRPr="00FD0F53">
        <w:rPr>
          <w:sz w:val="24"/>
          <w:szCs w:val="24"/>
        </w:rPr>
        <w:t>2023.gada 1.janvārī, secināms, ka CSDD līdzdalība Kapitālsabiedrībās ir izbeidzama.</w:t>
      </w:r>
      <w:r w:rsidRPr="00FD0F53" w:rsidR="004F1216">
        <w:rPr>
          <w:sz w:val="24"/>
          <w:szCs w:val="24"/>
        </w:rPr>
        <w:t xml:space="preserve"> </w:t>
      </w:r>
    </w:p>
    <w:p w:rsidRPr="00FD0F53" w:rsidR="00DA4609" w:rsidP="00FD0F53" w:rsidRDefault="00971BD9" w14:paraId="4D325D46" w14:textId="0B1E8170">
      <w:pPr>
        <w:pStyle w:val="NoSpacing"/>
        <w:spacing w:line="276" w:lineRule="auto"/>
        <w:ind w:firstLine="720"/>
        <w:jc w:val="both"/>
        <w:rPr>
          <w:sz w:val="24"/>
          <w:szCs w:val="24"/>
        </w:rPr>
      </w:pPr>
      <w:r w:rsidRPr="00FD0F53">
        <w:rPr>
          <w:sz w:val="24"/>
          <w:szCs w:val="24"/>
        </w:rPr>
        <w:t>Jāatzīmē</w:t>
      </w:r>
      <w:r w:rsidRPr="00FD0F53" w:rsidR="00DA4609">
        <w:rPr>
          <w:sz w:val="24"/>
          <w:szCs w:val="24"/>
        </w:rPr>
        <w:t>, ka CSDD līdzdalība</w:t>
      </w:r>
      <w:r w:rsidRPr="00FD0F53" w:rsidR="00735363">
        <w:rPr>
          <w:sz w:val="24"/>
          <w:szCs w:val="24"/>
        </w:rPr>
        <w:t xml:space="preserve"> kapitālsabiedrībās</w:t>
      </w:r>
      <w:r w:rsidRPr="00FD0F53" w:rsidR="00DA4609">
        <w:rPr>
          <w:sz w:val="24"/>
          <w:szCs w:val="24"/>
        </w:rPr>
        <w:t xml:space="preserve"> lielā m</w:t>
      </w:r>
      <w:r w:rsidRPr="00FD0F53" w:rsidR="00735363">
        <w:rPr>
          <w:sz w:val="24"/>
          <w:szCs w:val="24"/>
        </w:rPr>
        <w:t>ē</w:t>
      </w:r>
      <w:r w:rsidRPr="00FD0F53" w:rsidR="00DA4609">
        <w:rPr>
          <w:sz w:val="24"/>
          <w:szCs w:val="24"/>
        </w:rPr>
        <w:t xml:space="preserve">rā nodrošināja CSDD iespēju veikt tehniskās kontroles procesa uzraudzību un kvalitātes kontroli (nodrošinot inspektoru darbības </w:t>
      </w:r>
      <w:r w:rsidRPr="00FD0F53" w:rsidR="00DA4609">
        <w:rPr>
          <w:sz w:val="24"/>
          <w:szCs w:val="24"/>
        </w:rPr>
        <w:lastRenderedPageBreak/>
        <w:t>uzraudzību, to apmācību un atestāciju, izlases kārtā veicot transportlīdzekļu atkārtotu tehniskā stāvokļa novērtēšanu uzreiz pēc tehniskās apskates veikšanas, veicot transportlīdzekļiem slēptās pārbaudes tehniskās apskates stacijās, veicot videonovērošanu, validējot tehniskajā kontrolē elektroniski fiksētus un pārraidītus veikto mērījumu rezultātus (t.i. periodiski nosakot fiksēto datu atbilstību faktiskajiem lielumiem), analizējot tehniskās kontroles rezultātus, kā arī veicot citus uzraudzības un kvalitātes kontroles pasākumus.</w:t>
      </w:r>
    </w:p>
    <w:p w:rsidRPr="00FD0F53" w:rsidR="00A86287" w:rsidP="00FD0F53" w:rsidRDefault="00971BD9" w14:paraId="594C1A5C" w14:textId="5905B5A0">
      <w:pPr>
        <w:pStyle w:val="NoSpacing"/>
        <w:tabs>
          <w:tab w:val="left" w:pos="0"/>
        </w:tabs>
        <w:spacing w:line="276" w:lineRule="auto"/>
        <w:ind w:firstLine="630"/>
        <w:jc w:val="both"/>
        <w:rPr>
          <w:sz w:val="24"/>
          <w:szCs w:val="24"/>
        </w:rPr>
      </w:pPr>
      <w:r w:rsidRPr="00FD0F53">
        <w:rPr>
          <w:sz w:val="24"/>
          <w:szCs w:val="24"/>
        </w:rPr>
        <w:t>L</w:t>
      </w:r>
      <w:r w:rsidRPr="00FD0F53" w:rsidR="004E3752">
        <w:rPr>
          <w:sz w:val="24"/>
          <w:szCs w:val="24"/>
        </w:rPr>
        <w:t xml:space="preserve">ai tehniskās apskates stacijās </w:t>
      </w:r>
      <w:r w:rsidRPr="00FD0F53">
        <w:rPr>
          <w:sz w:val="24"/>
          <w:szCs w:val="24"/>
        </w:rPr>
        <w:t xml:space="preserve">arī turpmāk nodrošinātu tehniskās kontroles kvalitāti, kā arī nepieļautu </w:t>
      </w:r>
      <w:r w:rsidR="00477400">
        <w:rPr>
          <w:sz w:val="24"/>
          <w:szCs w:val="24"/>
        </w:rPr>
        <w:t>komersantu</w:t>
      </w:r>
      <w:r w:rsidRPr="00FD0F53">
        <w:rPr>
          <w:sz w:val="24"/>
          <w:szCs w:val="24"/>
        </w:rPr>
        <w:t xml:space="preserve"> negodīgu rīcību, pēc CSDD līdzdalības izbeigšanas kapitālsabiedrībās, svarīgi ir nodrošināt stingru tehniskās kontroles pakalpojuma uzraudzību un kontroli. </w:t>
      </w:r>
    </w:p>
    <w:p w:rsidRPr="00FD0F53" w:rsidR="00540C48" w:rsidP="00FD0F53" w:rsidRDefault="00971BD9" w14:paraId="3E5EC6F8" w14:textId="0C67E13C">
      <w:pPr>
        <w:pStyle w:val="NoSpacing"/>
        <w:tabs>
          <w:tab w:val="left" w:pos="0"/>
        </w:tabs>
        <w:spacing w:line="276" w:lineRule="auto"/>
        <w:ind w:firstLine="630"/>
        <w:jc w:val="both"/>
        <w:rPr>
          <w:sz w:val="24"/>
          <w:szCs w:val="24"/>
        </w:rPr>
      </w:pPr>
      <w:r w:rsidRPr="00FD0F53">
        <w:rPr>
          <w:sz w:val="24"/>
          <w:szCs w:val="24"/>
        </w:rPr>
        <w:t>Lai to nodrošinātu</w:t>
      </w:r>
      <w:r w:rsidRPr="00FD0F53" w:rsidR="007F0B0A">
        <w:rPr>
          <w:sz w:val="24"/>
          <w:szCs w:val="24"/>
        </w:rPr>
        <w:t>,</w:t>
      </w:r>
      <w:r w:rsidRPr="00FD0F53">
        <w:rPr>
          <w:sz w:val="24"/>
          <w:szCs w:val="24"/>
        </w:rPr>
        <w:t xml:space="preserve"> </w:t>
      </w:r>
      <w:r w:rsidRPr="00FD0F53" w:rsidR="004E3752">
        <w:rPr>
          <w:sz w:val="24"/>
          <w:szCs w:val="24"/>
        </w:rPr>
        <w:t xml:space="preserve">CSDD </w:t>
      </w:r>
      <w:r w:rsidRPr="00FD0F53" w:rsidR="00CB0FC8">
        <w:rPr>
          <w:sz w:val="24"/>
          <w:szCs w:val="24"/>
        </w:rPr>
        <w:t xml:space="preserve">ir </w:t>
      </w:r>
      <w:r w:rsidRPr="00FD0F53" w:rsidR="004E3752">
        <w:rPr>
          <w:sz w:val="24"/>
          <w:szCs w:val="24"/>
        </w:rPr>
        <w:t>izstrādāj</w:t>
      </w:r>
      <w:r w:rsidRPr="00FD0F53" w:rsidR="00CB0FC8">
        <w:rPr>
          <w:sz w:val="24"/>
          <w:szCs w:val="24"/>
        </w:rPr>
        <w:t xml:space="preserve">usi </w:t>
      </w:r>
      <w:r w:rsidRPr="00FD0F53" w:rsidR="00F37601">
        <w:rPr>
          <w:sz w:val="24"/>
          <w:szCs w:val="24"/>
        </w:rPr>
        <w:t>jaunu t</w:t>
      </w:r>
      <w:r w:rsidRPr="00FD0F53" w:rsidR="004E3752">
        <w:rPr>
          <w:sz w:val="24"/>
          <w:szCs w:val="24"/>
        </w:rPr>
        <w:t xml:space="preserve">ehniskās apskates pakalpojuma koncepciju, kas paredz </w:t>
      </w:r>
      <w:r w:rsidRPr="00FD0F53" w:rsidR="00D52B11">
        <w:rPr>
          <w:sz w:val="24"/>
          <w:szCs w:val="24"/>
        </w:rPr>
        <w:t xml:space="preserve">jaunu darbības modeli </w:t>
      </w:r>
      <w:r w:rsidRPr="00FD0F53" w:rsidR="00CB0FC8">
        <w:rPr>
          <w:sz w:val="24"/>
          <w:szCs w:val="24"/>
        </w:rPr>
        <w:t>transportlīdzekļu tehniskās apskates jomā</w:t>
      </w:r>
      <w:r w:rsidRPr="00FD0F53" w:rsidR="000C326A">
        <w:rPr>
          <w:sz w:val="24"/>
          <w:szCs w:val="24"/>
        </w:rPr>
        <w:t>, saskaņā ar kuru, a</w:t>
      </w:r>
      <w:r w:rsidRPr="00FD0F53" w:rsidR="000B478A">
        <w:rPr>
          <w:sz w:val="24"/>
          <w:szCs w:val="24"/>
        </w:rPr>
        <w:t>tbilstoši Ceļu satiksmes likuma</w:t>
      </w:r>
      <w:r w:rsidRPr="00FD0F53" w:rsidR="00A8314E">
        <w:rPr>
          <w:sz w:val="24"/>
          <w:szCs w:val="24"/>
        </w:rPr>
        <w:t xml:space="preserve"> 4.panta piektajai daļai</w:t>
      </w:r>
      <w:r w:rsidRPr="00FD0F53" w:rsidR="000C326A">
        <w:rPr>
          <w:sz w:val="24"/>
          <w:szCs w:val="24"/>
        </w:rPr>
        <w:t>,</w:t>
      </w:r>
      <w:r w:rsidRPr="00FD0F53" w:rsidR="000B478A">
        <w:rPr>
          <w:sz w:val="24"/>
          <w:szCs w:val="24"/>
        </w:rPr>
        <w:t xml:space="preserve"> </w:t>
      </w:r>
      <w:r w:rsidRPr="00FD0F53" w:rsidR="00754169">
        <w:rPr>
          <w:sz w:val="24"/>
          <w:szCs w:val="24"/>
        </w:rPr>
        <w:t xml:space="preserve">CSDD arī turpmāk veiks </w:t>
      </w:r>
      <w:r w:rsidRPr="00FD0F53" w:rsidR="00A8314E">
        <w:rPr>
          <w:sz w:val="24"/>
          <w:szCs w:val="24"/>
        </w:rPr>
        <w:t>transportlīdzekļu valsts tehnisko apskati</w:t>
      </w:r>
      <w:r w:rsidRPr="00FD0F53" w:rsidR="004D2AAC">
        <w:rPr>
          <w:sz w:val="24"/>
          <w:szCs w:val="24"/>
        </w:rPr>
        <w:t xml:space="preserve">, taču </w:t>
      </w:r>
      <w:r w:rsidRPr="00FD0F53" w:rsidR="00872699">
        <w:rPr>
          <w:sz w:val="24"/>
          <w:szCs w:val="24"/>
        </w:rPr>
        <w:t xml:space="preserve">tehniskās kontroles pakalpojumus </w:t>
      </w:r>
      <w:r w:rsidRPr="00FD0F53" w:rsidR="004D2AAC">
        <w:rPr>
          <w:sz w:val="24"/>
          <w:szCs w:val="24"/>
        </w:rPr>
        <w:t xml:space="preserve">iepirks </w:t>
      </w:r>
      <w:r w:rsidRPr="00FD0F53" w:rsidR="00872699">
        <w:rPr>
          <w:sz w:val="24"/>
          <w:szCs w:val="24"/>
        </w:rPr>
        <w:t xml:space="preserve">Publisko iepirkumu likumā noteiktā kārtībā, </w:t>
      </w:r>
      <w:r w:rsidRPr="00FD0F53" w:rsidR="009537BA">
        <w:rPr>
          <w:sz w:val="24"/>
          <w:szCs w:val="24"/>
        </w:rPr>
        <w:t>katrā tehniskās apskates stacijā nodrošin</w:t>
      </w:r>
      <w:r w:rsidRPr="00FD0F53" w:rsidR="004D2AAC">
        <w:rPr>
          <w:sz w:val="24"/>
          <w:szCs w:val="24"/>
        </w:rPr>
        <w:t>ās</w:t>
      </w:r>
      <w:r w:rsidRPr="00FD0F53" w:rsidR="009537BA">
        <w:rPr>
          <w:sz w:val="24"/>
          <w:szCs w:val="24"/>
        </w:rPr>
        <w:t xml:space="preserve"> tehniskās apskates procesa uzraudzību, kā arī </w:t>
      </w:r>
      <w:r w:rsidRPr="00FD0F53" w:rsidR="00A8314E">
        <w:rPr>
          <w:sz w:val="24"/>
          <w:szCs w:val="24"/>
        </w:rPr>
        <w:t>normatīvajos aktos noteikt</w:t>
      </w:r>
      <w:r w:rsidRPr="00FD0F53" w:rsidR="00540C48">
        <w:rPr>
          <w:sz w:val="24"/>
          <w:szCs w:val="24"/>
        </w:rPr>
        <w:t>o</w:t>
      </w:r>
      <w:r w:rsidRPr="00FD0F53" w:rsidR="00A8314E">
        <w:rPr>
          <w:sz w:val="24"/>
          <w:szCs w:val="24"/>
        </w:rPr>
        <w:t xml:space="preserve"> maksājumu iekasēšanu</w:t>
      </w:r>
      <w:r w:rsidRPr="00FD0F53" w:rsidR="009537BA">
        <w:rPr>
          <w:sz w:val="24"/>
          <w:szCs w:val="24"/>
        </w:rPr>
        <w:t xml:space="preserve"> un </w:t>
      </w:r>
      <w:r w:rsidRPr="00FD0F53" w:rsidR="004D2AAC">
        <w:rPr>
          <w:sz w:val="24"/>
          <w:szCs w:val="24"/>
        </w:rPr>
        <w:t xml:space="preserve">valsts deleģēto funkciju </w:t>
      </w:r>
      <w:r w:rsidRPr="00FD0F53" w:rsidR="00A8314E">
        <w:rPr>
          <w:sz w:val="24"/>
          <w:szCs w:val="24"/>
        </w:rPr>
        <w:t>kontroli.</w:t>
      </w:r>
    </w:p>
    <w:p w:rsidRPr="00FD0F53" w:rsidR="00540C48" w:rsidP="00FD0F53" w:rsidRDefault="00540C48" w14:paraId="186528A7" w14:textId="4B1593FD">
      <w:pPr>
        <w:pStyle w:val="NoSpacing"/>
        <w:tabs>
          <w:tab w:val="left" w:pos="0"/>
        </w:tabs>
        <w:spacing w:line="276" w:lineRule="auto"/>
        <w:ind w:firstLine="806"/>
        <w:jc w:val="both"/>
        <w:rPr>
          <w:sz w:val="24"/>
          <w:szCs w:val="24"/>
        </w:rPr>
      </w:pPr>
      <w:r w:rsidRPr="00FD0F53">
        <w:rPr>
          <w:sz w:val="24"/>
          <w:szCs w:val="24"/>
        </w:rPr>
        <w:t>T</w:t>
      </w:r>
      <w:r w:rsidRPr="00FD0F53" w:rsidR="002B6894">
        <w:rPr>
          <w:sz w:val="24"/>
          <w:szCs w:val="24"/>
        </w:rPr>
        <w:t>ehniskās apskates procesa uzraudzību</w:t>
      </w:r>
      <w:r w:rsidRPr="00FD0F53">
        <w:rPr>
          <w:sz w:val="24"/>
          <w:szCs w:val="24"/>
        </w:rPr>
        <w:t xml:space="preserve"> CSDD nodrošinās</w:t>
      </w:r>
      <w:r w:rsidRPr="00FD0F53" w:rsidR="002B6894">
        <w:rPr>
          <w:sz w:val="24"/>
          <w:szCs w:val="24"/>
        </w:rPr>
        <w:t xml:space="preserve">, uzturot valsts transportlīdzekļu un to vadītāju reģistru, </w:t>
      </w:r>
      <w:r w:rsidRPr="0074671A" w:rsidR="0074671A">
        <w:rPr>
          <w:sz w:val="24"/>
          <w:szCs w:val="24"/>
        </w:rPr>
        <w:t xml:space="preserve">izveidojot </w:t>
      </w:r>
      <w:r w:rsidRPr="000973A7" w:rsidR="0074671A">
        <w:rPr>
          <w:sz w:val="24"/>
          <w:szCs w:val="24"/>
        </w:rPr>
        <w:t>komersantu darba kontroles mehānismu</w:t>
      </w:r>
      <w:r w:rsidRPr="0074671A" w:rsidR="002B6894">
        <w:rPr>
          <w:sz w:val="24"/>
          <w:szCs w:val="24"/>
        </w:rPr>
        <w:t>,</w:t>
      </w:r>
      <w:r w:rsidRPr="00FD0F53" w:rsidR="002B6894">
        <w:rPr>
          <w:sz w:val="24"/>
          <w:szCs w:val="24"/>
        </w:rPr>
        <w:t xml:space="preserve"> uzturot videonovērošanas sistēmas, nodrošinot tehniskās kontroles inspektoru apmācību un atestāciju, pārsūdzību izskatīšanas u.c. uzraudzības procesus, kā arī veicot tehniskās kontroles uz ceļiem saskaņā Eiropas Parlamenta un Padomes Direktīvas 2014/47/ES par Savienībā izmantotu komerciālo transportlīdzekļu tehniskajām pārbaudēm uz ceļiem un par Direktīvas 2000/30/EK atcelšanu prasībām. </w:t>
      </w:r>
    </w:p>
    <w:p w:rsidRPr="00FD0F53" w:rsidR="00F002AF" w:rsidP="00FD0F53" w:rsidRDefault="00735363" w14:paraId="5DC6762D" w14:textId="379E5BB2">
      <w:pPr>
        <w:pStyle w:val="NoSpacing"/>
        <w:tabs>
          <w:tab w:val="left" w:pos="0"/>
        </w:tabs>
        <w:spacing w:line="276" w:lineRule="auto"/>
        <w:ind w:firstLine="806"/>
        <w:jc w:val="both"/>
        <w:rPr>
          <w:sz w:val="24"/>
          <w:szCs w:val="24"/>
        </w:rPr>
      </w:pPr>
      <w:r w:rsidRPr="00FD0F53">
        <w:rPr>
          <w:sz w:val="24"/>
          <w:szCs w:val="24"/>
        </w:rPr>
        <w:t xml:space="preserve">Tāpat </w:t>
      </w:r>
      <w:r w:rsidRPr="00FD0F53" w:rsidR="00F002AF">
        <w:rPr>
          <w:sz w:val="24"/>
          <w:szCs w:val="24"/>
        </w:rPr>
        <w:t xml:space="preserve">CSDD nodrošinās maksas iekasēšanu par tehnisko apskati visās tehniskās apskates stacijās, savukārt, no šīs naudas maksās komersantiem par tehniskās kontroles veikšanu un finansēs tehniskās apskates uzraudzības funkcijas. </w:t>
      </w:r>
    </w:p>
    <w:p w:rsidRPr="00FD0F53" w:rsidR="00735363" w:rsidP="00FD0F53" w:rsidRDefault="00735363" w14:paraId="66335BB4" w14:textId="15DB3B16">
      <w:pPr>
        <w:pStyle w:val="NoSpacing"/>
        <w:tabs>
          <w:tab w:val="left" w:pos="0"/>
        </w:tabs>
        <w:spacing w:line="276" w:lineRule="auto"/>
        <w:ind w:firstLine="720"/>
        <w:jc w:val="both"/>
        <w:rPr>
          <w:sz w:val="24"/>
          <w:szCs w:val="24"/>
        </w:rPr>
      </w:pPr>
      <w:r w:rsidRPr="00FD0F53">
        <w:rPr>
          <w:sz w:val="24"/>
          <w:szCs w:val="24"/>
        </w:rPr>
        <w:t>Savukārt</w:t>
      </w:r>
      <w:r w:rsidRPr="00FD0F53" w:rsidR="003819E1">
        <w:rPr>
          <w:sz w:val="24"/>
          <w:szCs w:val="24"/>
        </w:rPr>
        <w:t>,</w:t>
      </w:r>
      <w:r w:rsidRPr="00FD0F53">
        <w:rPr>
          <w:sz w:val="24"/>
          <w:szCs w:val="24"/>
        </w:rPr>
        <w:t xml:space="preserve"> i</w:t>
      </w:r>
      <w:r w:rsidRPr="00FD0F53" w:rsidR="006552A1">
        <w:rPr>
          <w:sz w:val="24"/>
          <w:szCs w:val="24"/>
        </w:rPr>
        <w:t xml:space="preserve">epirkuma priekšmets būs tehniskās kontroles pakalpojums, kura pasūtītājs būs CSDD un kuru komersantam būs tiesības veikt noteiktā reģionā. Pakalpojuma sniegšana katrā reģionā iepirkumā tiks veidota kā atsevišķa </w:t>
      </w:r>
      <w:proofErr w:type="spellStart"/>
      <w:r w:rsidRPr="00FD0F53" w:rsidR="006552A1">
        <w:rPr>
          <w:sz w:val="24"/>
          <w:szCs w:val="24"/>
        </w:rPr>
        <w:t>lote</w:t>
      </w:r>
      <w:proofErr w:type="spellEnd"/>
      <w:r w:rsidRPr="00FD0F53">
        <w:rPr>
          <w:sz w:val="24"/>
          <w:szCs w:val="24"/>
        </w:rPr>
        <w:t xml:space="preserve">, Rīgā – ne mazāk kā divas </w:t>
      </w:r>
      <w:proofErr w:type="spellStart"/>
      <w:r w:rsidRPr="00FD0F53">
        <w:rPr>
          <w:sz w:val="24"/>
          <w:szCs w:val="24"/>
        </w:rPr>
        <w:t>lotes</w:t>
      </w:r>
      <w:proofErr w:type="spellEnd"/>
      <w:r w:rsidRPr="00FD0F53">
        <w:rPr>
          <w:sz w:val="24"/>
          <w:szCs w:val="24"/>
        </w:rPr>
        <w:t>.</w:t>
      </w:r>
      <w:r w:rsidRPr="00FD0F53" w:rsidR="006552A1">
        <w:rPr>
          <w:sz w:val="24"/>
          <w:szCs w:val="24"/>
        </w:rPr>
        <w:t xml:space="preserve"> Pretendents tiesības veikt tehnisko kontroli noteiktā reģionā iegūs</w:t>
      </w:r>
      <w:r w:rsidRPr="00FD0F53" w:rsidR="00A53581">
        <w:rPr>
          <w:sz w:val="24"/>
          <w:szCs w:val="24"/>
        </w:rPr>
        <w:t xml:space="preserve"> Publisko iepirkumu likumā noteiktā </w:t>
      </w:r>
      <w:r w:rsidRPr="00FD0F53" w:rsidR="006552A1">
        <w:rPr>
          <w:sz w:val="24"/>
          <w:szCs w:val="24"/>
        </w:rPr>
        <w:t xml:space="preserve">atklāta konkursa kārtībā. </w:t>
      </w:r>
    </w:p>
    <w:p w:rsidRPr="00FD0F53" w:rsidR="00034928" w:rsidP="00FD0F53" w:rsidRDefault="00034928" w14:paraId="3929BECF" w14:textId="234716FE">
      <w:pPr>
        <w:pStyle w:val="NoSpacing"/>
        <w:tabs>
          <w:tab w:val="left" w:pos="0"/>
        </w:tabs>
        <w:spacing w:line="276" w:lineRule="auto"/>
        <w:ind w:firstLine="630"/>
        <w:jc w:val="both"/>
        <w:rPr>
          <w:sz w:val="24"/>
          <w:szCs w:val="24"/>
        </w:rPr>
      </w:pPr>
      <w:r w:rsidRPr="00FD0F53">
        <w:rPr>
          <w:sz w:val="24"/>
          <w:szCs w:val="24"/>
        </w:rPr>
        <w:t>Būtiskā</w:t>
      </w:r>
      <w:r w:rsidRPr="00FD0F53" w:rsidR="00117753">
        <w:rPr>
          <w:sz w:val="24"/>
          <w:szCs w:val="24"/>
        </w:rPr>
        <w:t>k</w:t>
      </w:r>
      <w:r w:rsidRPr="00FD0F53">
        <w:rPr>
          <w:sz w:val="24"/>
          <w:szCs w:val="24"/>
        </w:rPr>
        <w:t xml:space="preserve">ie principi, uz kuriem </w:t>
      </w:r>
      <w:r w:rsidRPr="00FD0F53" w:rsidR="007032B4">
        <w:rPr>
          <w:sz w:val="24"/>
          <w:szCs w:val="24"/>
        </w:rPr>
        <w:t xml:space="preserve">tiks </w:t>
      </w:r>
      <w:r w:rsidRPr="00FD0F53">
        <w:rPr>
          <w:iCs/>
          <w:sz w:val="24"/>
          <w:szCs w:val="24"/>
        </w:rPr>
        <w:t>balstī</w:t>
      </w:r>
      <w:r w:rsidRPr="00FD0F53" w:rsidR="007032B4">
        <w:rPr>
          <w:iCs/>
          <w:sz w:val="24"/>
          <w:szCs w:val="24"/>
        </w:rPr>
        <w:t>ta</w:t>
      </w:r>
      <w:r w:rsidRPr="00FD0F53">
        <w:rPr>
          <w:iCs/>
          <w:sz w:val="24"/>
          <w:szCs w:val="24"/>
        </w:rPr>
        <w:t xml:space="preserve"> publiskā iepirkuma realizācija ir</w:t>
      </w:r>
      <w:r w:rsidRPr="00FD0F53">
        <w:rPr>
          <w:sz w:val="24"/>
          <w:szCs w:val="24"/>
        </w:rPr>
        <w:t>:</w:t>
      </w:r>
    </w:p>
    <w:p w:rsidRPr="00FD0F53" w:rsidR="00034928" w:rsidP="00FD0F53" w:rsidRDefault="00034928" w14:paraId="1189D29C" w14:textId="77777777">
      <w:pPr>
        <w:pStyle w:val="NoSpacing"/>
        <w:spacing w:line="276" w:lineRule="auto"/>
        <w:jc w:val="both"/>
        <w:rPr>
          <w:sz w:val="24"/>
          <w:szCs w:val="24"/>
        </w:rPr>
      </w:pPr>
      <w:r w:rsidRPr="00FD0F53">
        <w:rPr>
          <w:sz w:val="24"/>
          <w:szCs w:val="24"/>
        </w:rPr>
        <w:tab/>
        <w:t>- tehniskās kontroles pakalpojuma pieejamība;</w:t>
      </w:r>
    </w:p>
    <w:p w:rsidRPr="00FD0F53" w:rsidR="00034928" w:rsidP="00FD0F53" w:rsidRDefault="00034928" w14:paraId="6F61621E" w14:textId="77777777">
      <w:pPr>
        <w:pStyle w:val="NoSpacing"/>
        <w:spacing w:line="276" w:lineRule="auto"/>
        <w:jc w:val="both"/>
        <w:rPr>
          <w:sz w:val="24"/>
          <w:szCs w:val="24"/>
        </w:rPr>
      </w:pPr>
      <w:r w:rsidRPr="00FD0F53">
        <w:rPr>
          <w:sz w:val="24"/>
          <w:szCs w:val="24"/>
        </w:rPr>
        <w:tab/>
        <w:t>- tehniskās kontroles kvalitāte - ceļu satiksmei un videi droši transportlīdzekļi;</w:t>
      </w:r>
    </w:p>
    <w:p w:rsidRPr="00FD0F53" w:rsidR="00034928" w:rsidP="00FD0F53" w:rsidRDefault="00034928" w14:paraId="05FE02A0" w14:textId="77777777">
      <w:pPr>
        <w:pStyle w:val="NoSpacing"/>
        <w:spacing w:line="276" w:lineRule="auto"/>
        <w:jc w:val="both"/>
        <w:rPr>
          <w:sz w:val="24"/>
          <w:szCs w:val="24"/>
        </w:rPr>
      </w:pPr>
      <w:r w:rsidRPr="00FD0F53">
        <w:rPr>
          <w:sz w:val="24"/>
          <w:szCs w:val="24"/>
        </w:rPr>
        <w:tab/>
        <w:t>- klientu apkalpošanas kvalitāte – ērta pakalpojuma saņemšana;</w:t>
      </w:r>
    </w:p>
    <w:p w:rsidRPr="00FD0F53" w:rsidR="00034928" w:rsidP="00FD0F53" w:rsidRDefault="00034928" w14:paraId="7CB772FD" w14:textId="77777777">
      <w:pPr>
        <w:pStyle w:val="NoSpacing"/>
        <w:spacing w:line="276" w:lineRule="auto"/>
        <w:jc w:val="both"/>
        <w:rPr>
          <w:sz w:val="24"/>
          <w:szCs w:val="24"/>
        </w:rPr>
      </w:pPr>
      <w:r w:rsidRPr="00FD0F53">
        <w:rPr>
          <w:sz w:val="24"/>
          <w:szCs w:val="24"/>
        </w:rPr>
        <w:tab/>
        <w:t>- pakalpojumam atbilstoša, nediskriminējoša cena;</w:t>
      </w:r>
    </w:p>
    <w:p w:rsidRPr="00FD0F53" w:rsidR="00034928" w:rsidP="00FD0F53" w:rsidRDefault="00034928" w14:paraId="24C33CF6" w14:textId="3F26F466">
      <w:pPr>
        <w:pStyle w:val="NoSpacing"/>
        <w:spacing w:line="276" w:lineRule="auto"/>
        <w:jc w:val="both"/>
        <w:rPr>
          <w:sz w:val="24"/>
          <w:szCs w:val="24"/>
        </w:rPr>
      </w:pPr>
      <w:r w:rsidRPr="00FD0F53">
        <w:rPr>
          <w:sz w:val="24"/>
          <w:szCs w:val="24"/>
        </w:rPr>
        <w:tab/>
        <w:t xml:space="preserve">- tehniskās kontroles pakalpojumu sniedzēju </w:t>
      </w:r>
      <w:r w:rsidRPr="00FD0F53" w:rsidR="00AF687E">
        <w:rPr>
          <w:sz w:val="24"/>
          <w:szCs w:val="24"/>
        </w:rPr>
        <w:t>godīgas konkurences iespējas</w:t>
      </w:r>
      <w:r w:rsidRPr="00FD0F53">
        <w:rPr>
          <w:sz w:val="24"/>
          <w:szCs w:val="24"/>
        </w:rPr>
        <w:t>.</w:t>
      </w:r>
    </w:p>
    <w:p w:rsidRPr="00FD0F53" w:rsidR="00032615" w:rsidP="00FD0F53" w:rsidRDefault="002428FF" w14:paraId="1EC0E7E9" w14:textId="2D487B63">
      <w:pPr>
        <w:pStyle w:val="NoSpacing"/>
        <w:tabs>
          <w:tab w:val="left" w:pos="0"/>
        </w:tabs>
        <w:spacing w:line="276" w:lineRule="auto"/>
        <w:jc w:val="both"/>
        <w:rPr>
          <w:sz w:val="24"/>
          <w:szCs w:val="24"/>
        </w:rPr>
      </w:pPr>
      <w:r w:rsidRPr="00FD0F53">
        <w:rPr>
          <w:b/>
          <w:bCs/>
          <w:i/>
          <w:sz w:val="24"/>
          <w:szCs w:val="24"/>
        </w:rPr>
        <w:tab/>
      </w:r>
      <w:r w:rsidRPr="00FD0F53" w:rsidR="00A713C4">
        <w:rPr>
          <w:sz w:val="24"/>
          <w:szCs w:val="24"/>
        </w:rPr>
        <w:t xml:space="preserve">Maksu par valsts tehnisko apskati, </w:t>
      </w:r>
      <w:r w:rsidRPr="00FD0F53" w:rsidR="003F3AC6">
        <w:rPr>
          <w:sz w:val="24"/>
          <w:szCs w:val="24"/>
        </w:rPr>
        <w:t xml:space="preserve">pamatojoties uz </w:t>
      </w:r>
      <w:r w:rsidRPr="00FD0F53" w:rsidR="007032B4">
        <w:rPr>
          <w:sz w:val="24"/>
          <w:szCs w:val="24"/>
        </w:rPr>
        <w:t>tehniskās kontroles izmaksām un tehniskās apskates procesa uzraudzības izmaksām, tāpat kā līdz šim</w:t>
      </w:r>
      <w:r w:rsidRPr="00FD0F53" w:rsidR="000A3867">
        <w:rPr>
          <w:sz w:val="24"/>
          <w:szCs w:val="24"/>
        </w:rPr>
        <w:t>,</w:t>
      </w:r>
      <w:r w:rsidRPr="00FD0F53" w:rsidR="007032B4">
        <w:rPr>
          <w:sz w:val="24"/>
          <w:szCs w:val="24"/>
        </w:rPr>
        <w:t xml:space="preserve"> </w:t>
      </w:r>
      <w:r w:rsidRPr="00FD0F53" w:rsidR="00E97B5B">
        <w:rPr>
          <w:sz w:val="24"/>
          <w:szCs w:val="24"/>
        </w:rPr>
        <w:t>no</w:t>
      </w:r>
      <w:r w:rsidRPr="00FD0F53" w:rsidR="007032B4">
        <w:rPr>
          <w:sz w:val="24"/>
          <w:szCs w:val="24"/>
        </w:rPr>
        <w:t>teiks</w:t>
      </w:r>
      <w:r w:rsidRPr="00FD0F53" w:rsidR="00E97B5B">
        <w:rPr>
          <w:sz w:val="24"/>
          <w:szCs w:val="24"/>
        </w:rPr>
        <w:t xml:space="preserve"> Ministru kabinets</w:t>
      </w:r>
      <w:r w:rsidR="0009115E">
        <w:rPr>
          <w:sz w:val="24"/>
          <w:szCs w:val="24"/>
        </w:rPr>
        <w:t xml:space="preserve"> vienotu visā valstī</w:t>
      </w:r>
      <w:r w:rsidRPr="00FD0F53" w:rsidR="007032B4">
        <w:rPr>
          <w:sz w:val="24"/>
          <w:szCs w:val="24"/>
        </w:rPr>
        <w:t xml:space="preserve">. </w:t>
      </w:r>
    </w:p>
    <w:p w:rsidRPr="00FD0F53" w:rsidR="00FE4D59" w:rsidP="00FD0F53" w:rsidRDefault="009B5AB6" w14:paraId="5B24EABC" w14:textId="0F9AEE5A">
      <w:pPr>
        <w:pStyle w:val="NoSpacing"/>
        <w:tabs>
          <w:tab w:val="left" w:pos="0"/>
        </w:tabs>
        <w:spacing w:line="276" w:lineRule="auto"/>
        <w:ind w:firstLine="720"/>
        <w:jc w:val="both"/>
        <w:rPr>
          <w:sz w:val="24"/>
          <w:szCs w:val="24"/>
        </w:rPr>
      </w:pPr>
      <w:r w:rsidRPr="00FD0F53">
        <w:rPr>
          <w:sz w:val="24"/>
          <w:szCs w:val="24"/>
        </w:rPr>
        <w:lastRenderedPageBreak/>
        <w:t>Šai t</w:t>
      </w:r>
      <w:r w:rsidRPr="00FD0F53" w:rsidR="00851FCF">
        <w:rPr>
          <w:sz w:val="24"/>
          <w:szCs w:val="24"/>
        </w:rPr>
        <w:t>ehniskās apskates pakalpojuma koncepcija</w:t>
      </w:r>
      <w:r w:rsidRPr="00FD0F53" w:rsidR="00641EBB">
        <w:rPr>
          <w:sz w:val="24"/>
          <w:szCs w:val="24"/>
        </w:rPr>
        <w:t>i</w:t>
      </w:r>
      <w:r w:rsidRPr="00FD0F53" w:rsidR="004E08E6">
        <w:rPr>
          <w:sz w:val="24"/>
          <w:szCs w:val="24"/>
        </w:rPr>
        <w:t xml:space="preserve"> </w:t>
      </w:r>
      <w:r w:rsidRPr="00FD0F53" w:rsidR="00641EBB">
        <w:rPr>
          <w:sz w:val="24"/>
          <w:szCs w:val="24"/>
        </w:rPr>
        <w:t xml:space="preserve">tika veikts </w:t>
      </w:r>
      <w:r w:rsidRPr="00FD0F53" w:rsidR="000A3867">
        <w:rPr>
          <w:sz w:val="24"/>
          <w:szCs w:val="24"/>
        </w:rPr>
        <w:t xml:space="preserve">neatkarīgs </w:t>
      </w:r>
      <w:r w:rsidRPr="00FD0F53" w:rsidR="00851FCF">
        <w:rPr>
          <w:sz w:val="24"/>
          <w:szCs w:val="24"/>
        </w:rPr>
        <w:t xml:space="preserve">ārējais audits, kurā </w:t>
      </w:r>
      <w:r w:rsidRPr="00FD0F53" w:rsidR="00641EBB">
        <w:rPr>
          <w:sz w:val="24"/>
          <w:szCs w:val="24"/>
        </w:rPr>
        <w:t>secināts</w:t>
      </w:r>
      <w:r w:rsidRPr="00FD0F53" w:rsidR="007A44C4">
        <w:rPr>
          <w:sz w:val="24"/>
          <w:szCs w:val="24"/>
        </w:rPr>
        <w:t xml:space="preserve">, ka </w:t>
      </w:r>
      <w:r w:rsidRPr="00FD0F53" w:rsidR="000E799E">
        <w:rPr>
          <w:sz w:val="24"/>
          <w:szCs w:val="24"/>
        </w:rPr>
        <w:t xml:space="preserve">koncepcijā paredzētais tehniskās apskates realizācijas modelis nodrošina iespēju CSDD pilnvērtīgi un efektīvi </w:t>
      </w:r>
      <w:proofErr w:type="spellStart"/>
      <w:r w:rsidRPr="00FD0F53" w:rsidR="000E799E">
        <w:rPr>
          <w:sz w:val="24"/>
          <w:szCs w:val="24"/>
        </w:rPr>
        <w:t>relizēt</w:t>
      </w:r>
      <w:proofErr w:type="spellEnd"/>
      <w:r w:rsidRPr="00FD0F53" w:rsidR="000E799E">
        <w:rPr>
          <w:sz w:val="24"/>
          <w:szCs w:val="24"/>
        </w:rPr>
        <w:t xml:space="preserve"> tai deleģētos valsts pārvaldes uzdevumus un ar tiem saistīto procesu uzraudzību, līdz ar to secināms, ka CSDD līdzdalīb</w:t>
      </w:r>
      <w:r w:rsidRPr="00FD0F53" w:rsidR="00EE73B4">
        <w:rPr>
          <w:sz w:val="24"/>
          <w:szCs w:val="24"/>
        </w:rPr>
        <w:t>u</w:t>
      </w:r>
      <w:r w:rsidRPr="00FD0F53" w:rsidR="000E799E">
        <w:rPr>
          <w:sz w:val="24"/>
          <w:szCs w:val="24"/>
        </w:rPr>
        <w:t xml:space="preserve"> kapitālsabiedrībās var izbeigt.</w:t>
      </w:r>
      <w:r w:rsidRPr="00FD0F53" w:rsidR="00CB6B5F">
        <w:rPr>
          <w:sz w:val="24"/>
          <w:szCs w:val="24"/>
        </w:rPr>
        <w:t xml:space="preserve"> </w:t>
      </w:r>
    </w:p>
    <w:p w:rsidRPr="00FD0F53" w:rsidR="006B1F0B" w:rsidP="00FD0F53" w:rsidRDefault="006B1F0B" w14:paraId="72C249FF" w14:textId="77777777">
      <w:pPr>
        <w:pStyle w:val="NoSpacing"/>
        <w:spacing w:line="276" w:lineRule="auto"/>
        <w:jc w:val="both"/>
        <w:rPr>
          <w:sz w:val="24"/>
          <w:szCs w:val="24"/>
        </w:rPr>
      </w:pPr>
    </w:p>
    <w:p w:rsidRPr="00FD0F53" w:rsidR="005409C4" w:rsidP="00FD0F53" w:rsidRDefault="00EE4E67" w14:paraId="49685F8D" w14:textId="30C4EEFB">
      <w:pPr>
        <w:pStyle w:val="NoSpacing"/>
        <w:spacing w:line="276" w:lineRule="auto"/>
        <w:ind w:firstLine="720"/>
        <w:jc w:val="center"/>
        <w:rPr>
          <w:sz w:val="24"/>
          <w:szCs w:val="24"/>
        </w:rPr>
      </w:pPr>
      <w:r w:rsidRPr="00FD0F53">
        <w:rPr>
          <w:b/>
          <w:bCs/>
          <w:sz w:val="24"/>
          <w:szCs w:val="24"/>
        </w:rPr>
        <w:t>V. CSDD līdzdalības izbeigšanas e</w:t>
      </w:r>
      <w:r w:rsidRPr="00FD0F53" w:rsidR="00DB57E8">
        <w:rPr>
          <w:b/>
          <w:bCs/>
          <w:sz w:val="24"/>
          <w:szCs w:val="24"/>
        </w:rPr>
        <w:t>konomiskais izvērtējums</w:t>
      </w:r>
      <w:r w:rsidRPr="00FD0F53">
        <w:rPr>
          <w:b/>
          <w:bCs/>
          <w:sz w:val="24"/>
          <w:szCs w:val="24"/>
        </w:rPr>
        <w:t xml:space="preserve"> </w:t>
      </w:r>
    </w:p>
    <w:p w:rsidRPr="00FD0F53" w:rsidR="004E3AA8" w:rsidP="00FD0F53" w:rsidRDefault="004E3AA8" w14:paraId="3AEC9A70" w14:textId="77777777">
      <w:pPr>
        <w:pStyle w:val="NoSpacing"/>
        <w:tabs>
          <w:tab w:val="left" w:pos="0"/>
        </w:tabs>
        <w:spacing w:line="276" w:lineRule="auto"/>
        <w:ind w:firstLine="806"/>
        <w:jc w:val="both"/>
        <w:rPr>
          <w:sz w:val="24"/>
          <w:szCs w:val="24"/>
        </w:rPr>
      </w:pPr>
    </w:p>
    <w:p w:rsidRPr="00FD0F53" w:rsidR="00C34D3B" w:rsidP="00FD0F53" w:rsidRDefault="001E1C0E" w14:paraId="3615E53F" w14:textId="7A4DDE00">
      <w:pPr>
        <w:pStyle w:val="NoSpacing"/>
        <w:tabs>
          <w:tab w:val="left" w:pos="0"/>
        </w:tabs>
        <w:spacing w:line="276" w:lineRule="auto"/>
        <w:ind w:firstLine="720"/>
        <w:jc w:val="both"/>
        <w:rPr>
          <w:sz w:val="24"/>
          <w:szCs w:val="24"/>
        </w:rPr>
      </w:pPr>
      <w:r w:rsidRPr="00FD0F53">
        <w:rPr>
          <w:sz w:val="24"/>
          <w:szCs w:val="24"/>
        </w:rPr>
        <w:t>CSDD darbība jau kopš tās izveidošanas ir organizēta pēc pašfinansēšanas principa. CSDD budžetu veido ieņēmumi par pakalpojumu sniegšanu, savukārt, visi izdevumi, nodrošinot visu funkciju, tajā skaitā valsts deleģēto, izpildi tiek segti no sava budžeta.</w:t>
      </w:r>
      <w:r w:rsidRPr="00FD0F53" w:rsidR="00C34D3B">
        <w:rPr>
          <w:sz w:val="24"/>
          <w:szCs w:val="24"/>
        </w:rPr>
        <w:t xml:space="preserve"> Bez tam, CSDD </w:t>
      </w:r>
      <w:r w:rsidRPr="00FD0F53" w:rsidR="00017810">
        <w:rPr>
          <w:sz w:val="24"/>
          <w:szCs w:val="24"/>
        </w:rPr>
        <w:t>normatīvajos aktos noteiktajā kārtībā</w:t>
      </w:r>
      <w:r w:rsidRPr="00FD0F53" w:rsidR="00C34D3B">
        <w:rPr>
          <w:sz w:val="24"/>
          <w:szCs w:val="24"/>
        </w:rPr>
        <w:t xml:space="preserve"> iemaksā dividendes valsts budžetā. </w:t>
      </w:r>
    </w:p>
    <w:p w:rsidRPr="00FD0F53" w:rsidR="004E3AA8" w:rsidP="00FD0F53" w:rsidRDefault="001E1C0E" w14:paraId="3D55F583" w14:textId="489D860A">
      <w:pPr>
        <w:pStyle w:val="NoSpacing"/>
        <w:tabs>
          <w:tab w:val="left" w:pos="0"/>
        </w:tabs>
        <w:spacing w:line="276" w:lineRule="auto"/>
        <w:ind w:firstLine="806"/>
        <w:jc w:val="both"/>
        <w:rPr>
          <w:sz w:val="24"/>
          <w:szCs w:val="24"/>
        </w:rPr>
      </w:pPr>
      <w:r w:rsidRPr="00FD0F53">
        <w:rPr>
          <w:sz w:val="24"/>
          <w:szCs w:val="24"/>
        </w:rPr>
        <w:t xml:space="preserve"> </w:t>
      </w:r>
      <w:r w:rsidRPr="00FD0F53" w:rsidR="00C34D3B">
        <w:rPr>
          <w:sz w:val="24"/>
          <w:szCs w:val="24"/>
        </w:rPr>
        <w:t>Š</w:t>
      </w:r>
      <w:r w:rsidRPr="00FD0F53" w:rsidR="004E3AA8">
        <w:rPr>
          <w:sz w:val="24"/>
          <w:szCs w:val="24"/>
        </w:rPr>
        <w:t xml:space="preserve">obrīd </w:t>
      </w:r>
      <w:r w:rsidRPr="00FD0F53" w:rsidR="00C34D3B">
        <w:rPr>
          <w:sz w:val="24"/>
          <w:szCs w:val="24"/>
        </w:rPr>
        <w:t xml:space="preserve">CSDD </w:t>
      </w:r>
      <w:r w:rsidRPr="00FD0F53" w:rsidR="004E3AA8">
        <w:rPr>
          <w:sz w:val="24"/>
          <w:szCs w:val="24"/>
        </w:rPr>
        <w:t xml:space="preserve">nodrošina arī maksas iekasēšanu par tehnisko apskati visās tehniskās apskates stacijās, savukārt, no šīs naudas maksā </w:t>
      </w:r>
      <w:r w:rsidRPr="00FD0F53" w:rsidR="00BB1A85">
        <w:rPr>
          <w:sz w:val="24"/>
          <w:szCs w:val="24"/>
        </w:rPr>
        <w:t>Kapitālsabiedrībām</w:t>
      </w:r>
      <w:r w:rsidRPr="00FD0F53" w:rsidR="004E3AA8">
        <w:rPr>
          <w:sz w:val="24"/>
          <w:szCs w:val="24"/>
        </w:rPr>
        <w:t xml:space="preserve"> par tehniskās kontroles veikšanu un finansē tehniskās apskates uzraudzības funkcijas, kas ir viena no lielākajām izmaksu pozīcijām CSDD budžetā. Ja tehnisko kontroli turpmāk veiks tehniskās apskates uzņēmum</w:t>
      </w:r>
      <w:r w:rsidRPr="00FD0F53" w:rsidR="00977CC7">
        <w:rPr>
          <w:sz w:val="24"/>
          <w:szCs w:val="24"/>
        </w:rPr>
        <w:t>i</w:t>
      </w:r>
      <w:r w:rsidRPr="00FD0F53" w:rsidR="004E3AA8">
        <w:rPr>
          <w:sz w:val="24"/>
          <w:szCs w:val="24"/>
        </w:rPr>
        <w:t xml:space="preserve">, kas izraudzīti </w:t>
      </w:r>
      <w:r w:rsidRPr="00FD0F53" w:rsidR="001D5694">
        <w:rPr>
          <w:sz w:val="24"/>
          <w:szCs w:val="24"/>
        </w:rPr>
        <w:t>P</w:t>
      </w:r>
      <w:r w:rsidRPr="00FD0F53" w:rsidR="004E3AA8">
        <w:rPr>
          <w:sz w:val="24"/>
          <w:szCs w:val="24"/>
        </w:rPr>
        <w:t>ublisko iepirkumu likumā noteiktā kārtībā, un samaksu par tehnisko apskati iekasēs CSDD, tad finansējums tehniskās apskates uzraudzībai saglabāsies no tehniskās apskates maksājumiem un papildus budžeta līdzekļi tam nebūs nepieciešami.</w:t>
      </w:r>
    </w:p>
    <w:p w:rsidRPr="00FD0F53" w:rsidR="00E80631" w:rsidP="00FD0F53" w:rsidRDefault="004E3AA8" w14:paraId="28BAC22F" w14:textId="77777777">
      <w:pPr>
        <w:pStyle w:val="NoSpacing"/>
        <w:tabs>
          <w:tab w:val="left" w:pos="0"/>
        </w:tabs>
        <w:spacing w:line="276" w:lineRule="auto"/>
        <w:ind w:firstLine="806"/>
        <w:jc w:val="both"/>
        <w:rPr>
          <w:sz w:val="24"/>
          <w:szCs w:val="24"/>
        </w:rPr>
      </w:pPr>
      <w:r w:rsidRPr="00FD0F53">
        <w:rPr>
          <w:sz w:val="24"/>
          <w:szCs w:val="24"/>
        </w:rPr>
        <w:t xml:space="preserve">Bez tam, CSDD vienlaikus ar tehniskās apskates maksājumu iekasēšanu, veic arī valsts uzliktu dažādu pienākumu un maksājumu (transportlīdzekļu ekspluatācijas nodoklis, uzņēmuma vieglo transportlīdzekļu nodoklis, naudas sodi par pārkāpumiem ceļu satiksmē) izpildes kontroli un arī iekasēšanu visās </w:t>
      </w:r>
      <w:r w:rsidRPr="00FD0F53" w:rsidR="001347E8">
        <w:rPr>
          <w:sz w:val="24"/>
          <w:szCs w:val="24"/>
        </w:rPr>
        <w:t>tehniskās apskates</w:t>
      </w:r>
      <w:r w:rsidRPr="00FD0F53">
        <w:rPr>
          <w:sz w:val="24"/>
          <w:szCs w:val="24"/>
        </w:rPr>
        <w:t xml:space="preserve"> stacijās. Katru gadu šo darbību rezultātā valsts budžetā tiek iekasēti apmēram 1</w:t>
      </w:r>
      <w:r w:rsidRPr="00FD0F53" w:rsidR="00B151F8">
        <w:rPr>
          <w:sz w:val="24"/>
          <w:szCs w:val="24"/>
        </w:rPr>
        <w:t>43</w:t>
      </w:r>
      <w:r w:rsidRPr="00FD0F53">
        <w:rPr>
          <w:sz w:val="24"/>
          <w:szCs w:val="24"/>
        </w:rPr>
        <w:t xml:space="preserve"> miljoni eiro. </w:t>
      </w:r>
      <w:r w:rsidRPr="00FD0F53" w:rsidR="009B5AB6">
        <w:rPr>
          <w:sz w:val="24"/>
          <w:szCs w:val="24"/>
        </w:rPr>
        <w:t>Jaunā t</w:t>
      </w:r>
      <w:r w:rsidRPr="00FD0F53" w:rsidR="00CE1780">
        <w:rPr>
          <w:sz w:val="24"/>
          <w:szCs w:val="24"/>
        </w:rPr>
        <w:t xml:space="preserve">ehniskās apskates </w:t>
      </w:r>
      <w:r w:rsidRPr="00FD0F53" w:rsidR="0055309E">
        <w:rPr>
          <w:sz w:val="24"/>
          <w:szCs w:val="24"/>
        </w:rPr>
        <w:t xml:space="preserve">pakalpojuma </w:t>
      </w:r>
      <w:r w:rsidRPr="00FD0F53" w:rsidR="00CE1780">
        <w:rPr>
          <w:sz w:val="24"/>
          <w:szCs w:val="24"/>
        </w:rPr>
        <w:t>koncepcija</w:t>
      </w:r>
      <w:r w:rsidRPr="00FD0F53" w:rsidR="0055309E">
        <w:rPr>
          <w:sz w:val="24"/>
          <w:szCs w:val="24"/>
        </w:rPr>
        <w:t xml:space="preserve"> </w:t>
      </w:r>
      <w:r w:rsidRPr="00FD0F53" w:rsidR="00CE1780">
        <w:rPr>
          <w:sz w:val="24"/>
          <w:szCs w:val="24"/>
        </w:rPr>
        <w:t xml:space="preserve">attiecībā uz šīm CSDD funkcijām paredz saglabāt esošo realizācijas modeli. </w:t>
      </w:r>
    </w:p>
    <w:p w:rsidRPr="00FD0F53" w:rsidR="00E80631" w:rsidP="00FD0F53" w:rsidRDefault="00E80631" w14:paraId="492CBFC9" w14:textId="77777777">
      <w:pPr>
        <w:pStyle w:val="NoSpacing"/>
        <w:tabs>
          <w:tab w:val="left" w:pos="0"/>
        </w:tabs>
        <w:spacing w:line="276" w:lineRule="auto"/>
        <w:ind w:firstLine="806"/>
        <w:jc w:val="both"/>
        <w:rPr>
          <w:sz w:val="24"/>
          <w:szCs w:val="24"/>
        </w:rPr>
      </w:pPr>
      <w:r w:rsidRPr="00FD0F53">
        <w:rPr>
          <w:sz w:val="24"/>
          <w:szCs w:val="24"/>
        </w:rPr>
        <w:t xml:space="preserve">CSDD atbilstoši Centrālās statistikas pārvaldes izveidotajam un uzturētajam institucionālo vienību klasifikācijas sarakstam ir piederīga pie vispārējās valdības institucionālā sektora, kas nozīmē, ka šī institucionālā vienība ar savu saimnieciskās darbības rezultātu (veiktajiem kapitālieguldījumiem, nekustamā īpašuma atsavināšanu,  peļņu/zaudējumiem u.c. rādītājiem) Eiropas kontu sistēmas (turpmāk – EKS) metodoloģijas izpratnē ietekmē vispārējās valdības budžeta bilanci (neto aizdevumus/neto aizņēmumus). Savukārt vispārējās valdības sektorā veiktie norēķini tiek konsolidēti, kas nozīmē, ka CSDD iemaksas valsts budžetā vai arī budžeta pārskaitījuma CSDD nerada ietekmi uz vispārējās valdības budžeta bilanci. </w:t>
      </w:r>
    </w:p>
    <w:p w:rsidRPr="00FD0F53" w:rsidR="00E80631" w:rsidP="00FD0F53" w:rsidRDefault="00E80631" w14:paraId="0072C8F6" w14:textId="1D3E1A01">
      <w:pPr>
        <w:pStyle w:val="NoSpacing"/>
        <w:tabs>
          <w:tab w:val="left" w:pos="0"/>
        </w:tabs>
        <w:spacing w:line="276" w:lineRule="auto"/>
        <w:ind w:firstLine="806"/>
        <w:jc w:val="both"/>
        <w:rPr>
          <w:sz w:val="24"/>
          <w:szCs w:val="24"/>
        </w:rPr>
      </w:pPr>
      <w:r w:rsidRPr="00FD0F53">
        <w:rPr>
          <w:sz w:val="24"/>
          <w:szCs w:val="24"/>
        </w:rPr>
        <w:t xml:space="preserve">Izbeidzot CSDD līdzdalību Kapitālsabiedrībās, </w:t>
      </w:r>
      <w:r w:rsidRPr="00FD0F53" w:rsidR="00416256">
        <w:rPr>
          <w:sz w:val="24"/>
          <w:szCs w:val="24"/>
        </w:rPr>
        <w:t>2020.</w:t>
      </w:r>
      <w:r w:rsidRPr="00FD0F53">
        <w:rPr>
          <w:sz w:val="24"/>
          <w:szCs w:val="24"/>
        </w:rPr>
        <w:t>gadā, kad tiks pārdotas CSDD piederošās kapitāldaļas, CSDD ieņēmumi pieaugs par kapitāldaļu pārdošanas summu (summa tiks noteikta sertificētam vērtētājam novērtējot kapitāldaļu vērtības). Atbilstoši EKS metodoloģijai finanšu darījumi netiek uzskaitīti kā vispārējās valdības budžeta ieņēmumi vai izdevumi, tādējādi no CSDD piederošo SIA “</w:t>
      </w:r>
      <w:proofErr w:type="spellStart"/>
      <w:r w:rsidRPr="00FD0F53">
        <w:rPr>
          <w:sz w:val="24"/>
          <w:szCs w:val="24"/>
        </w:rPr>
        <w:t>Auteko&amp;TUV</w:t>
      </w:r>
      <w:proofErr w:type="spellEnd"/>
      <w:r w:rsidRPr="00FD0F53">
        <w:rPr>
          <w:sz w:val="24"/>
          <w:szCs w:val="24"/>
        </w:rPr>
        <w:t xml:space="preserve"> Latvija”, SIA “</w:t>
      </w:r>
      <w:proofErr w:type="spellStart"/>
      <w:r w:rsidRPr="00FD0F53">
        <w:rPr>
          <w:sz w:val="24"/>
          <w:szCs w:val="24"/>
        </w:rPr>
        <w:t>Autests</w:t>
      </w:r>
      <w:proofErr w:type="spellEnd"/>
      <w:r w:rsidRPr="00FD0F53">
        <w:rPr>
          <w:sz w:val="24"/>
          <w:szCs w:val="24"/>
        </w:rPr>
        <w:t>”, SIA “</w:t>
      </w:r>
      <w:proofErr w:type="spellStart"/>
      <w:r w:rsidRPr="00FD0F53">
        <w:rPr>
          <w:sz w:val="24"/>
          <w:szCs w:val="24"/>
        </w:rPr>
        <w:t>Scantest</w:t>
      </w:r>
      <w:proofErr w:type="spellEnd"/>
      <w:r w:rsidRPr="00FD0F53">
        <w:rPr>
          <w:sz w:val="24"/>
          <w:szCs w:val="24"/>
        </w:rPr>
        <w:t>” un SIA “</w:t>
      </w:r>
      <w:proofErr w:type="spellStart"/>
      <w:r w:rsidRPr="00FD0F53">
        <w:rPr>
          <w:sz w:val="24"/>
          <w:szCs w:val="24"/>
        </w:rPr>
        <w:t>Venttest</w:t>
      </w:r>
      <w:proofErr w:type="spellEnd"/>
      <w:r w:rsidRPr="00FD0F53">
        <w:rPr>
          <w:sz w:val="24"/>
          <w:szCs w:val="24"/>
        </w:rPr>
        <w:t>” kapitāla daļu pārdošanas gūtie ieņēmumi netiks uzskaitīti kā vispārējās valdības budžeta ieņēmumi.</w:t>
      </w:r>
    </w:p>
    <w:p w:rsidRPr="00FD0F53" w:rsidR="00E80631" w:rsidP="00FD0F53" w:rsidRDefault="00E80631" w14:paraId="2E5E7D5D" w14:textId="77777777">
      <w:pPr>
        <w:pStyle w:val="NoSpacing"/>
        <w:tabs>
          <w:tab w:val="left" w:pos="0"/>
        </w:tabs>
        <w:spacing w:line="276" w:lineRule="auto"/>
        <w:ind w:firstLine="806"/>
        <w:jc w:val="both"/>
        <w:rPr>
          <w:sz w:val="24"/>
          <w:szCs w:val="24"/>
        </w:rPr>
      </w:pPr>
      <w:r w:rsidRPr="00FD0F53">
        <w:rPr>
          <w:sz w:val="24"/>
          <w:szCs w:val="24"/>
        </w:rPr>
        <w:lastRenderedPageBreak/>
        <w:t xml:space="preserve">Savukārt turpmākajos gados pēc kapitāldaļu atsavināšanas CSDD ieņēmumi samazināsies, jo CSDD vairs nesaņems dividendes. </w:t>
      </w:r>
      <w:r w:rsidRPr="00FD0F53" w:rsidR="002660C2">
        <w:rPr>
          <w:sz w:val="24"/>
          <w:szCs w:val="24"/>
        </w:rPr>
        <w:t xml:space="preserve">CSDD </w:t>
      </w:r>
      <w:proofErr w:type="spellStart"/>
      <w:r w:rsidRPr="00FD0F53" w:rsidR="002660C2">
        <w:rPr>
          <w:sz w:val="24"/>
          <w:szCs w:val="24"/>
        </w:rPr>
        <w:t>saņemoto</w:t>
      </w:r>
      <w:proofErr w:type="spellEnd"/>
      <w:r w:rsidRPr="00FD0F53" w:rsidR="002660C2">
        <w:rPr>
          <w:sz w:val="24"/>
          <w:szCs w:val="24"/>
        </w:rPr>
        <w:t xml:space="preserve"> dividenžu summa ir atkarīga no akreditēto uzņēmumu  peļņas atbilstošajā gadā, taču</w:t>
      </w:r>
      <w:r w:rsidRPr="00FD0F53" w:rsidR="003B194F">
        <w:rPr>
          <w:sz w:val="24"/>
          <w:szCs w:val="24"/>
        </w:rPr>
        <w:t>,</w:t>
      </w:r>
      <w:r w:rsidRPr="00FD0F53" w:rsidR="002660C2">
        <w:rPr>
          <w:sz w:val="24"/>
          <w:szCs w:val="24"/>
        </w:rPr>
        <w:t xml:space="preserve"> vadoties no līdzšinējās pieredzes</w:t>
      </w:r>
      <w:r w:rsidRPr="00FD0F53" w:rsidR="003B194F">
        <w:rPr>
          <w:sz w:val="24"/>
          <w:szCs w:val="24"/>
        </w:rPr>
        <w:t>,</w:t>
      </w:r>
      <w:r w:rsidRPr="00FD0F53" w:rsidR="002660C2">
        <w:rPr>
          <w:sz w:val="24"/>
          <w:szCs w:val="24"/>
        </w:rPr>
        <w:t xml:space="preserve"> CSDD ieņēmumi katru turpmāko gadu samazinātos par ≈ 600 000 EUR gadā.</w:t>
      </w:r>
      <w:r w:rsidRPr="00FD0F53" w:rsidR="003115D3">
        <w:rPr>
          <w:sz w:val="24"/>
          <w:szCs w:val="24"/>
        </w:rPr>
        <w:t xml:space="preserve"> Samazinoties </w:t>
      </w:r>
      <w:r w:rsidRPr="00FD0F53" w:rsidR="00CE1780">
        <w:rPr>
          <w:sz w:val="24"/>
          <w:szCs w:val="24"/>
        </w:rPr>
        <w:t>CSDD ikgadējie</w:t>
      </w:r>
      <w:r w:rsidRPr="00FD0F53" w:rsidR="003115D3">
        <w:rPr>
          <w:sz w:val="24"/>
          <w:szCs w:val="24"/>
        </w:rPr>
        <w:t>m</w:t>
      </w:r>
      <w:r w:rsidRPr="00FD0F53" w:rsidR="00CE1780">
        <w:rPr>
          <w:sz w:val="24"/>
          <w:szCs w:val="24"/>
        </w:rPr>
        <w:t xml:space="preserve"> ieņēmumi</w:t>
      </w:r>
      <w:r w:rsidRPr="00FD0F53" w:rsidR="003115D3">
        <w:rPr>
          <w:sz w:val="24"/>
          <w:szCs w:val="24"/>
        </w:rPr>
        <w:t xml:space="preserve">em, </w:t>
      </w:r>
      <w:r w:rsidRPr="00FD0F53" w:rsidR="00CE1780">
        <w:rPr>
          <w:sz w:val="24"/>
          <w:szCs w:val="24"/>
        </w:rPr>
        <w:t>samazin</w:t>
      </w:r>
      <w:r w:rsidRPr="00FD0F53" w:rsidR="003115D3">
        <w:rPr>
          <w:sz w:val="24"/>
          <w:szCs w:val="24"/>
        </w:rPr>
        <w:t xml:space="preserve">āsies arī </w:t>
      </w:r>
      <w:r w:rsidRPr="00FD0F53" w:rsidR="00CE1780">
        <w:rPr>
          <w:sz w:val="24"/>
          <w:szCs w:val="24"/>
        </w:rPr>
        <w:t xml:space="preserve">CSDD peļņa, </w:t>
      </w:r>
      <w:r w:rsidRPr="00FD0F53" w:rsidR="003115D3">
        <w:rPr>
          <w:sz w:val="24"/>
          <w:szCs w:val="24"/>
        </w:rPr>
        <w:t xml:space="preserve">tādējādi ietekmējot CSDD iemaksas valsts budžetā no dividendēm. </w:t>
      </w:r>
      <w:r w:rsidRPr="00FD0F53">
        <w:rPr>
          <w:sz w:val="24"/>
          <w:szCs w:val="24"/>
        </w:rPr>
        <w:t xml:space="preserve">Tādējādi, ņemot vērā CSDD piederību vispārējās valdības sektorā, CSDD no kapitālsabiedrībām saņemamo dividenžu kritums negatīvi ietekmēs vispārējās valdības budžeta bilanci vidējā termiņā. </w:t>
      </w:r>
    </w:p>
    <w:p w:rsidRPr="00FD0F53" w:rsidR="00EE764B" w:rsidP="00FD0F53" w:rsidRDefault="00EE764B" w14:paraId="3472D8FD" w14:textId="7DC3359B">
      <w:pPr>
        <w:pStyle w:val="NoSpacing"/>
        <w:tabs>
          <w:tab w:val="left" w:pos="0"/>
        </w:tabs>
        <w:spacing w:line="276" w:lineRule="auto"/>
        <w:ind w:firstLine="806"/>
        <w:jc w:val="both"/>
        <w:rPr>
          <w:sz w:val="24"/>
          <w:szCs w:val="24"/>
        </w:rPr>
      </w:pPr>
      <w:r w:rsidRPr="00FD0F53">
        <w:rPr>
          <w:sz w:val="24"/>
          <w:szCs w:val="24"/>
        </w:rPr>
        <w:t>CSDD piederošo kapitāla daļu atsavināšanas laika grafiks ir atkarīgs no šī ziņojuma sadaļā “VII. Līdzdalības izbeigšanas kārtība” minēto soļu realizācijas, taču prognozējam</w:t>
      </w:r>
      <w:r w:rsidRPr="00FD0F53" w:rsidR="00E36B42">
        <w:rPr>
          <w:sz w:val="24"/>
          <w:szCs w:val="24"/>
        </w:rPr>
        <w:t>,</w:t>
      </w:r>
      <w:r w:rsidRPr="00FD0F53">
        <w:rPr>
          <w:sz w:val="24"/>
          <w:szCs w:val="24"/>
        </w:rPr>
        <w:t xml:space="preserve"> ka kapitāldaļu atsavināšana varētu tikt pabeigta 2020.gadā attiecīgi iepriekšminētais CSDD ieņēmumu (dividenžu) kritums realizētos sākot no nākamā gada pēc kapitāldaļu atsavināšanas – attiecīgi 2021.gadā.</w:t>
      </w:r>
    </w:p>
    <w:p w:rsidRPr="00FD0F53" w:rsidR="00305014" w:rsidP="00FD0F53" w:rsidRDefault="00305014" w14:paraId="58238D7B" w14:textId="2B222898">
      <w:pPr>
        <w:pStyle w:val="NoSpacing"/>
        <w:tabs>
          <w:tab w:val="left" w:pos="0"/>
        </w:tabs>
        <w:spacing w:line="276" w:lineRule="auto"/>
        <w:jc w:val="center"/>
        <w:rPr>
          <w:b/>
          <w:bCs/>
          <w:sz w:val="24"/>
          <w:szCs w:val="24"/>
        </w:rPr>
      </w:pPr>
    </w:p>
    <w:p w:rsidRPr="00FD0F53" w:rsidR="00EE10AA" w:rsidP="00FD0F53" w:rsidRDefault="005409C4" w14:paraId="257FFB59" w14:textId="24516E33">
      <w:pPr>
        <w:pStyle w:val="NoSpacing"/>
        <w:tabs>
          <w:tab w:val="left" w:pos="0"/>
        </w:tabs>
        <w:spacing w:line="276" w:lineRule="auto"/>
        <w:jc w:val="center"/>
        <w:rPr>
          <w:b/>
          <w:bCs/>
          <w:sz w:val="24"/>
          <w:szCs w:val="24"/>
        </w:rPr>
      </w:pPr>
      <w:r w:rsidRPr="00FD0F53">
        <w:rPr>
          <w:b/>
          <w:bCs/>
          <w:sz w:val="24"/>
          <w:szCs w:val="24"/>
        </w:rPr>
        <w:t>V</w:t>
      </w:r>
      <w:r w:rsidRPr="00FD0F53" w:rsidR="00056826">
        <w:rPr>
          <w:b/>
          <w:bCs/>
          <w:sz w:val="24"/>
          <w:szCs w:val="24"/>
        </w:rPr>
        <w:t>I</w:t>
      </w:r>
      <w:r w:rsidRPr="00FD0F53">
        <w:rPr>
          <w:b/>
          <w:bCs/>
          <w:sz w:val="24"/>
          <w:szCs w:val="24"/>
        </w:rPr>
        <w:t xml:space="preserve">. </w:t>
      </w:r>
      <w:r w:rsidRPr="00FD0F53" w:rsidR="00EE10AA">
        <w:rPr>
          <w:b/>
          <w:bCs/>
          <w:sz w:val="24"/>
          <w:szCs w:val="24"/>
        </w:rPr>
        <w:t xml:space="preserve">Riski, ja CSDD saglabā līdzdalību </w:t>
      </w:r>
      <w:r w:rsidRPr="00FD0F53" w:rsidR="00F020A8">
        <w:rPr>
          <w:b/>
          <w:bCs/>
          <w:sz w:val="24"/>
          <w:szCs w:val="24"/>
        </w:rPr>
        <w:t>Kapitālsabiedrīb</w:t>
      </w:r>
      <w:r w:rsidRPr="00FD0F53" w:rsidR="00EE10AA">
        <w:rPr>
          <w:b/>
          <w:bCs/>
          <w:sz w:val="24"/>
          <w:szCs w:val="24"/>
        </w:rPr>
        <w:t>ās</w:t>
      </w:r>
    </w:p>
    <w:p w:rsidRPr="00FD0F53" w:rsidR="00C21BA2" w:rsidP="00FD0F53" w:rsidRDefault="00C21BA2" w14:paraId="24FC7830" w14:textId="049B8DDA">
      <w:pPr>
        <w:spacing w:line="276" w:lineRule="auto"/>
        <w:ind w:firstLine="720"/>
        <w:jc w:val="both"/>
        <w:rPr>
          <w:lang w:val="lv-LV"/>
        </w:rPr>
      </w:pPr>
    </w:p>
    <w:p w:rsidRPr="00FD0F53" w:rsidR="002B4928" w:rsidP="00FD0F53" w:rsidRDefault="00B220B7" w14:paraId="7741E519" w14:textId="2CF0B3A7">
      <w:pPr>
        <w:pStyle w:val="NoSpacing"/>
        <w:tabs>
          <w:tab w:val="left" w:pos="0"/>
        </w:tabs>
        <w:spacing w:line="276" w:lineRule="auto"/>
        <w:ind w:firstLine="720"/>
        <w:jc w:val="both"/>
        <w:rPr>
          <w:sz w:val="24"/>
          <w:szCs w:val="24"/>
        </w:rPr>
      </w:pPr>
      <w:r w:rsidRPr="00FD0F53">
        <w:rPr>
          <w:b/>
          <w:sz w:val="24"/>
          <w:szCs w:val="24"/>
        </w:rPr>
        <w:t>Interešu konflikta risks.</w:t>
      </w:r>
      <w:r w:rsidRPr="00FD0F53">
        <w:rPr>
          <w:b/>
          <w:bCs/>
          <w:sz w:val="24"/>
          <w:szCs w:val="24"/>
        </w:rPr>
        <w:t xml:space="preserve"> </w:t>
      </w:r>
      <w:r w:rsidRPr="00FD0F53" w:rsidR="00C21BA2">
        <w:rPr>
          <w:b/>
          <w:bCs/>
          <w:sz w:val="24"/>
          <w:szCs w:val="24"/>
        </w:rPr>
        <w:t>Nepieciešamība nodalīt</w:t>
      </w:r>
      <w:r w:rsidRPr="00FD0F53" w:rsidR="002B4928">
        <w:rPr>
          <w:b/>
          <w:bCs/>
          <w:sz w:val="24"/>
          <w:szCs w:val="24"/>
        </w:rPr>
        <w:t xml:space="preserve"> CSDD, kā</w:t>
      </w:r>
      <w:r w:rsidRPr="00FD0F53" w:rsidR="00C21BA2">
        <w:rPr>
          <w:b/>
          <w:bCs/>
          <w:sz w:val="24"/>
          <w:szCs w:val="24"/>
        </w:rPr>
        <w:t xml:space="preserve"> uzraugošo institūciju no akreditētām sabiedrībām, kas vei</w:t>
      </w:r>
      <w:r w:rsidRPr="00FD0F53" w:rsidR="00C43582">
        <w:rPr>
          <w:b/>
          <w:bCs/>
          <w:sz w:val="24"/>
          <w:szCs w:val="24"/>
        </w:rPr>
        <w:t>c</w:t>
      </w:r>
      <w:r w:rsidRPr="00FD0F53" w:rsidR="00C21BA2">
        <w:rPr>
          <w:b/>
          <w:bCs/>
          <w:sz w:val="24"/>
          <w:szCs w:val="24"/>
        </w:rPr>
        <w:t xml:space="preserve"> tehnisko kontroli.</w:t>
      </w:r>
      <w:r w:rsidRPr="00FD0F53" w:rsidR="00B61308">
        <w:rPr>
          <w:sz w:val="24"/>
          <w:szCs w:val="24"/>
        </w:rPr>
        <w:t xml:space="preserve"> </w:t>
      </w:r>
      <w:r w:rsidRPr="00FD0F53" w:rsidR="003D2E1E">
        <w:rPr>
          <w:sz w:val="24"/>
          <w:szCs w:val="24"/>
        </w:rPr>
        <w:t>T</w:t>
      </w:r>
      <w:r w:rsidRPr="00FD0F53" w:rsidR="002B4928">
        <w:rPr>
          <w:sz w:val="24"/>
          <w:szCs w:val="24"/>
        </w:rPr>
        <w:t>ehniskās kontroles uzraudzības sistēm</w:t>
      </w:r>
      <w:r w:rsidRPr="00FD0F53" w:rsidR="0079648A">
        <w:rPr>
          <w:sz w:val="24"/>
          <w:szCs w:val="24"/>
        </w:rPr>
        <w:t xml:space="preserve">a </w:t>
      </w:r>
      <w:r w:rsidRPr="00FD0F53" w:rsidR="003D2E1E">
        <w:rPr>
          <w:sz w:val="24"/>
          <w:szCs w:val="24"/>
        </w:rPr>
        <w:t xml:space="preserve">šobrīd </w:t>
      </w:r>
      <w:r w:rsidRPr="00FD0F53" w:rsidR="0079648A">
        <w:rPr>
          <w:sz w:val="24"/>
          <w:szCs w:val="24"/>
        </w:rPr>
        <w:t>ir pilnībā nodalīta</w:t>
      </w:r>
      <w:r w:rsidRPr="00FD0F53" w:rsidR="002B4928">
        <w:rPr>
          <w:sz w:val="24"/>
          <w:szCs w:val="24"/>
        </w:rPr>
        <w:t xml:space="preserve"> no pakalpojuma sniedzēja, transportlīdzekļu </w:t>
      </w:r>
      <w:r w:rsidRPr="00FD0F53" w:rsidR="00895813">
        <w:rPr>
          <w:sz w:val="24"/>
          <w:szCs w:val="24"/>
        </w:rPr>
        <w:t>t</w:t>
      </w:r>
      <w:r w:rsidRPr="00FD0F53" w:rsidR="002B4928">
        <w:rPr>
          <w:sz w:val="24"/>
          <w:szCs w:val="24"/>
        </w:rPr>
        <w:t xml:space="preserve">ehniskās kontroles funkciju tehniskās apskates ietvaros pilnībā </w:t>
      </w:r>
      <w:r w:rsidRPr="00FD0F53" w:rsidR="003B194F">
        <w:rPr>
          <w:sz w:val="24"/>
          <w:szCs w:val="24"/>
        </w:rPr>
        <w:t>n</w:t>
      </w:r>
      <w:r w:rsidRPr="00FD0F53" w:rsidR="002B4928">
        <w:rPr>
          <w:sz w:val="24"/>
          <w:szCs w:val="24"/>
        </w:rPr>
        <w:t>odo</w:t>
      </w:r>
      <w:r w:rsidRPr="00FD0F53" w:rsidR="003D2E1E">
        <w:rPr>
          <w:sz w:val="24"/>
          <w:szCs w:val="24"/>
        </w:rPr>
        <w:t>do</w:t>
      </w:r>
      <w:r w:rsidRPr="00FD0F53" w:rsidR="002B4928">
        <w:rPr>
          <w:sz w:val="24"/>
          <w:szCs w:val="24"/>
        </w:rPr>
        <w:t>t akreditētajām sabiedrībām</w:t>
      </w:r>
      <w:r w:rsidRPr="00FD0F53" w:rsidR="003D2E1E">
        <w:rPr>
          <w:sz w:val="24"/>
          <w:szCs w:val="24"/>
        </w:rPr>
        <w:t>, tomēr</w:t>
      </w:r>
      <w:r w:rsidRPr="00FD0F53" w:rsidR="00D77F05">
        <w:rPr>
          <w:sz w:val="24"/>
          <w:szCs w:val="24"/>
        </w:rPr>
        <w:t>,</w:t>
      </w:r>
      <w:r w:rsidRPr="00FD0F53" w:rsidR="003D2E1E">
        <w:rPr>
          <w:sz w:val="24"/>
          <w:szCs w:val="24"/>
        </w:rPr>
        <w:t xml:space="preserve"> saglabājot </w:t>
      </w:r>
      <w:r w:rsidRPr="00FD0F53" w:rsidR="002B4928">
        <w:rPr>
          <w:sz w:val="24"/>
          <w:szCs w:val="24"/>
        </w:rPr>
        <w:t xml:space="preserve">CSDD </w:t>
      </w:r>
      <w:r w:rsidRPr="00FD0F53" w:rsidR="003D2E1E">
        <w:rPr>
          <w:sz w:val="24"/>
          <w:szCs w:val="24"/>
        </w:rPr>
        <w:t xml:space="preserve">līdzdalību </w:t>
      </w:r>
      <w:r w:rsidRPr="00FD0F53" w:rsidR="00F020A8">
        <w:rPr>
          <w:sz w:val="24"/>
          <w:szCs w:val="24"/>
        </w:rPr>
        <w:t>Kapitālsabiedrīb</w:t>
      </w:r>
      <w:r w:rsidRPr="00FD0F53" w:rsidR="003D2E1E">
        <w:rPr>
          <w:sz w:val="24"/>
          <w:szCs w:val="24"/>
        </w:rPr>
        <w:t xml:space="preserve">ās, CSDD </w:t>
      </w:r>
      <w:r w:rsidRPr="00FD0F53" w:rsidR="002B4928">
        <w:rPr>
          <w:sz w:val="24"/>
          <w:szCs w:val="24"/>
        </w:rPr>
        <w:t xml:space="preserve">kā uzraugošā institūcija </w:t>
      </w:r>
      <w:r w:rsidRPr="00FD0F53" w:rsidR="00856F3E">
        <w:rPr>
          <w:sz w:val="24"/>
          <w:szCs w:val="24"/>
        </w:rPr>
        <w:t xml:space="preserve">netiek nodalīta </w:t>
      </w:r>
      <w:r w:rsidRPr="00FD0F53" w:rsidR="002B4928">
        <w:rPr>
          <w:sz w:val="24"/>
          <w:szCs w:val="24"/>
        </w:rPr>
        <w:t>no akreditētām sabiedrībām</w:t>
      </w:r>
      <w:r w:rsidRPr="00FD0F53" w:rsidR="0079648A">
        <w:rPr>
          <w:sz w:val="24"/>
          <w:szCs w:val="24"/>
        </w:rPr>
        <w:t xml:space="preserve">. </w:t>
      </w:r>
      <w:r w:rsidRPr="00FD0F53" w:rsidR="00E8508F">
        <w:rPr>
          <w:sz w:val="24"/>
          <w:szCs w:val="24"/>
        </w:rPr>
        <w:t>V</w:t>
      </w:r>
      <w:r w:rsidRPr="00FD0F53" w:rsidR="002B4928">
        <w:rPr>
          <w:sz w:val="24"/>
          <w:szCs w:val="24"/>
        </w:rPr>
        <w:t xml:space="preserve">eidojas situācija, ka uzraugošā institūcija vienlaicīgi ir arī viena no akreditēto (un uzraugāmo) sabiedrību kapitāldaļu turētājām un transportlīdzekļu tehniskā stāvokļa kontroles pakalpojuma sniedzējām. Kā norādījusi </w:t>
      </w:r>
      <w:r w:rsidRPr="00FD0F53" w:rsidR="0017190E">
        <w:rPr>
          <w:sz w:val="24"/>
          <w:szCs w:val="24"/>
        </w:rPr>
        <w:t>Konkurences padome 2018.gada 16.jūlija Tirgus uzraudzības noslēguma ziņojumā “Konkurences ierobežojumi transportlīdzekļu valsts tehniskās apskates jomā”,</w:t>
      </w:r>
      <w:r w:rsidRPr="00FD0F53" w:rsidR="00895813">
        <w:rPr>
          <w:sz w:val="24"/>
          <w:szCs w:val="24"/>
        </w:rPr>
        <w:t xml:space="preserve"> š</w:t>
      </w:r>
      <w:r w:rsidRPr="00FD0F53" w:rsidR="002B4928">
        <w:rPr>
          <w:sz w:val="24"/>
          <w:szCs w:val="24"/>
        </w:rPr>
        <w:t>āda finansiāla iesaiste akreditētajās sabiedrīb</w:t>
      </w:r>
      <w:r w:rsidRPr="00FD0F53" w:rsidR="00895813">
        <w:rPr>
          <w:sz w:val="24"/>
          <w:szCs w:val="24"/>
        </w:rPr>
        <w:t>ā</w:t>
      </w:r>
      <w:r w:rsidRPr="00FD0F53" w:rsidR="002B4928">
        <w:rPr>
          <w:sz w:val="24"/>
          <w:szCs w:val="24"/>
        </w:rPr>
        <w:t>s rada būtisku risku CSDD objektivitātei un neitralitātei, vērtējot akreditēto sabiedrību darbību</w:t>
      </w:r>
      <w:r w:rsidRPr="00FD0F53" w:rsidR="006070A2">
        <w:rPr>
          <w:sz w:val="24"/>
          <w:szCs w:val="24"/>
        </w:rPr>
        <w:t xml:space="preserve">, tiek radīts būtisks risks interešu konfliktam. </w:t>
      </w:r>
      <w:r w:rsidRPr="00FD0F53" w:rsidR="002B4928">
        <w:rPr>
          <w:sz w:val="24"/>
          <w:szCs w:val="24"/>
        </w:rPr>
        <w:t xml:space="preserve">Uzraugošās institūcijas finansiāla </w:t>
      </w:r>
      <w:proofErr w:type="spellStart"/>
      <w:r w:rsidRPr="00FD0F53" w:rsidR="002B4928">
        <w:rPr>
          <w:sz w:val="24"/>
          <w:szCs w:val="24"/>
        </w:rPr>
        <w:t>atsaiste</w:t>
      </w:r>
      <w:proofErr w:type="spellEnd"/>
      <w:r w:rsidRPr="00FD0F53" w:rsidR="002B4928">
        <w:rPr>
          <w:sz w:val="24"/>
          <w:szCs w:val="24"/>
        </w:rPr>
        <w:t xml:space="preserve"> un neatkarība no akreditētajām sabiedrībām ir tas, kas jebkurā saimnieciskajā darbībā nodrošina neitrālu un objektīvu akreditēto sabiedrību kontroli, veicina konkurenci un klientu/patērētāju ieguvumus.</w:t>
      </w:r>
    </w:p>
    <w:p w:rsidRPr="00FD0F53" w:rsidR="000A4C71" w:rsidP="00FD0F53" w:rsidRDefault="00C013F6" w14:paraId="79D48459" w14:textId="6C4E36AD">
      <w:pPr>
        <w:pStyle w:val="ListParagraph"/>
        <w:spacing w:after="0" w:line="276" w:lineRule="auto"/>
        <w:ind w:left="0" w:firstLine="720"/>
        <w:jc w:val="both"/>
        <w:rPr>
          <w:rFonts w:ascii="Times New Roman" w:hAnsi="Times New Roman" w:cs="Times New Roman"/>
          <w:sz w:val="24"/>
          <w:szCs w:val="24"/>
        </w:rPr>
      </w:pPr>
      <w:r w:rsidRPr="00FD0F53">
        <w:rPr>
          <w:rFonts w:ascii="Times New Roman" w:hAnsi="Times New Roman" w:cs="Times New Roman"/>
          <w:b/>
          <w:bCs/>
          <w:sz w:val="24"/>
          <w:szCs w:val="24"/>
        </w:rPr>
        <w:t>Konkurences ierobežošana</w:t>
      </w:r>
      <w:r w:rsidRPr="00FD0F53" w:rsidR="0056378A">
        <w:rPr>
          <w:rFonts w:ascii="Times New Roman" w:hAnsi="Times New Roman" w:cs="Times New Roman"/>
          <w:b/>
          <w:bCs/>
          <w:sz w:val="24"/>
          <w:szCs w:val="24"/>
        </w:rPr>
        <w:t xml:space="preserve">. </w:t>
      </w:r>
      <w:r w:rsidRPr="00FD0F53" w:rsidR="000A4C71">
        <w:rPr>
          <w:rFonts w:ascii="Times New Roman" w:hAnsi="Times New Roman" w:cs="Times New Roman"/>
          <w:sz w:val="24"/>
          <w:szCs w:val="24"/>
        </w:rPr>
        <w:t xml:space="preserve">Konkurences likuma 3.panta otrajā  noteikts, ka </w:t>
      </w:r>
      <w:r w:rsidRPr="00FD0F53" w:rsidR="00F020A8">
        <w:rPr>
          <w:rFonts w:ascii="Times New Roman" w:hAnsi="Times New Roman" w:cs="Times New Roman"/>
          <w:sz w:val="24"/>
          <w:szCs w:val="24"/>
        </w:rPr>
        <w:t>kapitālsabiedrīb</w:t>
      </w:r>
      <w:r w:rsidRPr="00FD0F53" w:rsidR="000A4C71">
        <w:rPr>
          <w:rFonts w:ascii="Times New Roman" w:hAnsi="Times New Roman" w:cs="Times New Roman"/>
          <w:sz w:val="24"/>
          <w:szCs w:val="24"/>
        </w:rPr>
        <w:t>a, kurā publiskai personai ir izšķiroša ietekme, savā darbībā nodrošina brīvu un godīgu konkurenci. 2020.gada 1.janvārī spēkā stā</w:t>
      </w:r>
      <w:r w:rsidRPr="00FD0F53" w:rsidR="00416256">
        <w:rPr>
          <w:rFonts w:ascii="Times New Roman" w:hAnsi="Times New Roman" w:cs="Times New Roman"/>
          <w:sz w:val="24"/>
          <w:szCs w:val="24"/>
        </w:rPr>
        <w:t>j</w:t>
      </w:r>
      <w:r w:rsidRPr="00FD0F53" w:rsidR="000A4C71">
        <w:rPr>
          <w:rFonts w:ascii="Times New Roman" w:hAnsi="Times New Roman" w:cs="Times New Roman"/>
          <w:sz w:val="24"/>
          <w:szCs w:val="24"/>
        </w:rPr>
        <w:t>ies likuma 14</w:t>
      </w:r>
      <w:r w:rsidRPr="00FD0F53" w:rsidR="000A4C71">
        <w:rPr>
          <w:rFonts w:ascii="Times New Roman" w:hAnsi="Times New Roman" w:cs="Times New Roman"/>
          <w:sz w:val="24"/>
          <w:szCs w:val="24"/>
          <w:vertAlign w:val="superscript"/>
        </w:rPr>
        <w:t>1</w:t>
      </w:r>
      <w:r w:rsidRPr="00FD0F53" w:rsidR="000A4C71">
        <w:rPr>
          <w:rFonts w:ascii="Times New Roman" w:hAnsi="Times New Roman" w:cs="Times New Roman"/>
          <w:sz w:val="24"/>
          <w:szCs w:val="24"/>
        </w:rPr>
        <w:t>.pants, kura pirmajā daļā noteikts, ka kapitālsabiedrībai, kurā publiskai personai ir izšķiroša ietekme, aizliegts ar savu darbību kavēt, ierobežot vai deformēt konkurenci, kas var izpausties arī kā:</w:t>
      </w:r>
    </w:p>
    <w:p w:rsidRPr="00FD0F53" w:rsidR="000A4C71" w:rsidP="00FD0F53" w:rsidRDefault="000A4C71" w14:paraId="68E64523" w14:textId="77777777">
      <w:pPr>
        <w:pStyle w:val="NoSpacing"/>
        <w:tabs>
          <w:tab w:val="left" w:pos="0"/>
        </w:tabs>
        <w:spacing w:line="276" w:lineRule="auto"/>
        <w:jc w:val="both"/>
        <w:rPr>
          <w:sz w:val="24"/>
          <w:szCs w:val="24"/>
        </w:rPr>
      </w:pPr>
      <w:r w:rsidRPr="00FD0F53">
        <w:rPr>
          <w:sz w:val="24"/>
          <w:szCs w:val="24"/>
        </w:rPr>
        <w:tab/>
        <w:t>1) tirgus dalībnieku diskriminācija, radot atšķirīgus konkurences apstākļus;</w:t>
      </w:r>
    </w:p>
    <w:p w:rsidRPr="00FD0F53" w:rsidR="000A4C71" w:rsidP="00FD0F53" w:rsidRDefault="000A4C71" w14:paraId="64F744D3" w14:textId="77777777">
      <w:pPr>
        <w:pStyle w:val="NoSpacing"/>
        <w:tabs>
          <w:tab w:val="left" w:pos="0"/>
        </w:tabs>
        <w:spacing w:line="276" w:lineRule="auto"/>
        <w:jc w:val="both"/>
        <w:rPr>
          <w:sz w:val="24"/>
          <w:szCs w:val="24"/>
        </w:rPr>
      </w:pPr>
      <w:r w:rsidRPr="00FD0F53">
        <w:rPr>
          <w:sz w:val="24"/>
          <w:szCs w:val="24"/>
        </w:rPr>
        <w:tab/>
        <w:t>2) priekšrocību radīšana kapitālsabiedrībai, kurā publiskai personai ir tieša vai netieša līdzdalība;</w:t>
      </w:r>
    </w:p>
    <w:p w:rsidRPr="00FD0F53" w:rsidR="000A4C71" w:rsidP="00FD0F53" w:rsidRDefault="000A4C71" w14:paraId="7D184F2E" w14:textId="77777777">
      <w:pPr>
        <w:pStyle w:val="NoSpacing"/>
        <w:tabs>
          <w:tab w:val="left" w:pos="0"/>
        </w:tabs>
        <w:spacing w:line="276" w:lineRule="auto"/>
        <w:jc w:val="both"/>
        <w:rPr>
          <w:sz w:val="24"/>
          <w:szCs w:val="24"/>
        </w:rPr>
      </w:pPr>
      <w:r w:rsidRPr="00FD0F53">
        <w:rPr>
          <w:sz w:val="24"/>
          <w:szCs w:val="24"/>
        </w:rPr>
        <w:tab/>
        <w:t>3) darbības, kuru dēļ cits tirgus dalībnieks ir spiests atstāt kādu konkrēto tirgu vai tiek apgrūtināta potenciāla tirgus dalībnieka iekļūšana vai darbība tirgū.</w:t>
      </w:r>
    </w:p>
    <w:p w:rsidRPr="00FD0F53" w:rsidR="00C013F6" w:rsidP="00FD0F53" w:rsidRDefault="00C013F6" w14:paraId="1682EF14" w14:textId="11EA772D">
      <w:pPr>
        <w:pStyle w:val="ListParagraph"/>
        <w:spacing w:after="0" w:line="276" w:lineRule="auto"/>
        <w:ind w:left="0" w:firstLine="720"/>
        <w:jc w:val="both"/>
        <w:rPr>
          <w:rFonts w:ascii="Times New Roman" w:hAnsi="Times New Roman" w:cs="Times New Roman"/>
          <w:sz w:val="24"/>
          <w:szCs w:val="24"/>
        </w:rPr>
      </w:pPr>
      <w:r w:rsidRPr="00FD0F53">
        <w:rPr>
          <w:rFonts w:ascii="Times New Roman" w:hAnsi="Times New Roman" w:cs="Times New Roman"/>
          <w:sz w:val="24"/>
          <w:szCs w:val="24"/>
        </w:rPr>
        <w:lastRenderedPageBreak/>
        <w:t xml:space="preserve">CSDD dalība </w:t>
      </w:r>
      <w:r w:rsidRPr="00FD0F53" w:rsidR="00F020A8">
        <w:rPr>
          <w:rFonts w:ascii="Times New Roman" w:hAnsi="Times New Roman" w:cs="Times New Roman"/>
          <w:sz w:val="24"/>
          <w:szCs w:val="24"/>
        </w:rPr>
        <w:t>Kapitālsabiedrīb</w:t>
      </w:r>
      <w:r w:rsidRPr="00FD0F53">
        <w:rPr>
          <w:rFonts w:ascii="Times New Roman" w:hAnsi="Times New Roman" w:cs="Times New Roman"/>
          <w:sz w:val="24"/>
          <w:szCs w:val="24"/>
        </w:rPr>
        <w:t xml:space="preserve">ās nodrošina CSDD iespēju realizēt </w:t>
      </w:r>
      <w:r w:rsidRPr="00FD0F53" w:rsidR="00F020A8">
        <w:rPr>
          <w:rFonts w:ascii="Times New Roman" w:hAnsi="Times New Roman" w:cs="Times New Roman"/>
          <w:sz w:val="24"/>
          <w:szCs w:val="24"/>
        </w:rPr>
        <w:t>Kapitālsabiedrīb</w:t>
      </w:r>
      <w:r w:rsidRPr="00FD0F53">
        <w:rPr>
          <w:rFonts w:ascii="Times New Roman" w:hAnsi="Times New Roman" w:cs="Times New Roman"/>
          <w:sz w:val="24"/>
          <w:szCs w:val="24"/>
        </w:rPr>
        <w:t>u stratēģisko vadību un lēmumu pieņemšanu, piedalīt</w:t>
      </w:r>
      <w:r w:rsidRPr="00FD0F53" w:rsidR="001D5694">
        <w:rPr>
          <w:rFonts w:ascii="Times New Roman" w:hAnsi="Times New Roman" w:cs="Times New Roman"/>
          <w:sz w:val="24"/>
          <w:szCs w:val="24"/>
        </w:rPr>
        <w:t>ie</w:t>
      </w:r>
      <w:r w:rsidRPr="00FD0F53">
        <w:rPr>
          <w:rFonts w:ascii="Times New Roman" w:hAnsi="Times New Roman" w:cs="Times New Roman"/>
          <w:sz w:val="24"/>
          <w:szCs w:val="24"/>
        </w:rPr>
        <w:t>s ikdienas darbā katrā tehniskās apskates stacijā, tai skaitā nodrošin</w:t>
      </w:r>
      <w:r w:rsidRPr="00FD0F53" w:rsidR="001D5694">
        <w:rPr>
          <w:rFonts w:ascii="Times New Roman" w:hAnsi="Times New Roman" w:cs="Times New Roman"/>
          <w:sz w:val="24"/>
          <w:szCs w:val="24"/>
        </w:rPr>
        <w:t>ā</w:t>
      </w:r>
      <w:r w:rsidRPr="00FD0F53">
        <w:rPr>
          <w:rFonts w:ascii="Times New Roman" w:hAnsi="Times New Roman" w:cs="Times New Roman"/>
          <w:sz w:val="24"/>
          <w:szCs w:val="24"/>
        </w:rPr>
        <w:t xml:space="preserve">t to, ka </w:t>
      </w:r>
      <w:r w:rsidRPr="00FD0F53" w:rsidR="00F020A8">
        <w:rPr>
          <w:rFonts w:ascii="Times New Roman" w:hAnsi="Times New Roman" w:cs="Times New Roman"/>
          <w:sz w:val="24"/>
          <w:szCs w:val="24"/>
        </w:rPr>
        <w:t>Kapitālsabiedrīb</w:t>
      </w:r>
      <w:r w:rsidRPr="00FD0F53">
        <w:rPr>
          <w:rFonts w:ascii="Times New Roman" w:hAnsi="Times New Roman" w:cs="Times New Roman"/>
          <w:sz w:val="24"/>
          <w:szCs w:val="24"/>
        </w:rPr>
        <w:t>a</w:t>
      </w:r>
      <w:r w:rsidRPr="00FD0F53" w:rsidR="0055309E">
        <w:rPr>
          <w:rFonts w:ascii="Times New Roman" w:hAnsi="Times New Roman" w:cs="Times New Roman"/>
          <w:sz w:val="24"/>
          <w:szCs w:val="24"/>
        </w:rPr>
        <w:t>s</w:t>
      </w:r>
      <w:r w:rsidRPr="00FD0F53">
        <w:rPr>
          <w:rFonts w:ascii="Times New Roman" w:hAnsi="Times New Roman" w:cs="Times New Roman"/>
          <w:sz w:val="24"/>
          <w:szCs w:val="24"/>
        </w:rPr>
        <w:t xml:space="preserve"> bez CSDD nevar pieņemt būtiskus lēmumus, piemēram, nevar izlemt jautājumus par jaunu tehniskās apskates staciju atvēršanu vai nerentablo staciju slēgšanu. CSDD nodrošina būtisku ietekmi attiecībā uz </w:t>
      </w:r>
      <w:r w:rsidRPr="00FD0F53" w:rsidR="00F020A8">
        <w:rPr>
          <w:rFonts w:ascii="Times New Roman" w:hAnsi="Times New Roman" w:cs="Times New Roman"/>
          <w:sz w:val="24"/>
          <w:szCs w:val="24"/>
        </w:rPr>
        <w:t>Kapitālsabiedrīb</w:t>
      </w:r>
      <w:r w:rsidRPr="00FD0F53">
        <w:rPr>
          <w:rFonts w:ascii="Times New Roman" w:hAnsi="Times New Roman" w:cs="Times New Roman"/>
          <w:sz w:val="24"/>
          <w:szCs w:val="24"/>
        </w:rPr>
        <w:t>u stratēģisko darbību. Konkurences padome 2018.gada 16.jūlija Tirgus uzraudzības noslēguma ziņojumā “Konkurences ierobežojumi transportlīdzekļu valsts tehniskās apskates jomā” paudusi bažas, ka CSDD kā visu akreditēto sabiedrību daļēja kapitāldaļu turētāja ir spējīga realizēt tādu ietekmi, lai nodrošinātu, ka visas sabiedrības tirgū darbojas kā vienota ekonomiska vienība un tādējādi CSDD un akreditētās sabiedrības varētu tikt uzskatītas par kolektīvu vienību, kas atrodas dominējošā stāvoklī transportlīdzekļu tehniskās kontroles tirgū Latvijā un spēj ievērojami kavēt, ierobežot vai deformēt konkurenci šajā tirgū.</w:t>
      </w:r>
    </w:p>
    <w:p w:rsidRPr="00FD0F53" w:rsidR="00301C78" w:rsidP="00FD0F53" w:rsidRDefault="00301C78" w14:paraId="47360DDE" w14:textId="73D0087E">
      <w:pPr>
        <w:pStyle w:val="ListParagraph"/>
        <w:spacing w:after="0" w:line="276" w:lineRule="auto"/>
        <w:ind w:left="0" w:firstLine="720"/>
        <w:jc w:val="both"/>
        <w:rPr>
          <w:rFonts w:ascii="Times New Roman" w:hAnsi="Times New Roman" w:cs="Times New Roman"/>
          <w:b/>
          <w:bCs/>
          <w:sz w:val="24"/>
          <w:szCs w:val="24"/>
        </w:rPr>
      </w:pPr>
      <w:r w:rsidRPr="00FD0F53">
        <w:rPr>
          <w:rFonts w:ascii="Times New Roman" w:hAnsi="Times New Roman" w:cs="Times New Roman"/>
          <w:b/>
          <w:bCs/>
          <w:sz w:val="24"/>
          <w:szCs w:val="24"/>
        </w:rPr>
        <w:t>O</w:t>
      </w:r>
      <w:r w:rsidRPr="00FD0F53" w:rsidR="00847859">
        <w:rPr>
          <w:rFonts w:ascii="Times New Roman" w:hAnsi="Times New Roman" w:cs="Times New Roman"/>
          <w:b/>
          <w:bCs/>
          <w:sz w:val="24"/>
          <w:szCs w:val="24"/>
        </w:rPr>
        <w:t>bjektivitāte iepirkuma rezultātu izvērtēšanā</w:t>
      </w:r>
      <w:r w:rsidRPr="00FD0F53">
        <w:rPr>
          <w:rFonts w:ascii="Times New Roman" w:hAnsi="Times New Roman" w:cs="Times New Roman"/>
          <w:b/>
          <w:bCs/>
          <w:sz w:val="24"/>
          <w:szCs w:val="24"/>
        </w:rPr>
        <w:t xml:space="preserve">. </w:t>
      </w:r>
      <w:r w:rsidRPr="00FD0F53">
        <w:rPr>
          <w:rFonts w:ascii="Times New Roman" w:hAnsi="Times New Roman" w:cs="Times New Roman"/>
          <w:sz w:val="24"/>
          <w:szCs w:val="24"/>
        </w:rPr>
        <w:t xml:space="preserve">CSDD dalība </w:t>
      </w:r>
      <w:r w:rsidRPr="00FD0F53" w:rsidR="00F020A8">
        <w:rPr>
          <w:rFonts w:ascii="Times New Roman" w:hAnsi="Times New Roman" w:cs="Times New Roman"/>
          <w:sz w:val="24"/>
          <w:szCs w:val="24"/>
        </w:rPr>
        <w:t>Kapitālsabiedrīb</w:t>
      </w:r>
      <w:r w:rsidRPr="00FD0F53">
        <w:rPr>
          <w:rFonts w:ascii="Times New Roman" w:hAnsi="Times New Roman" w:cs="Times New Roman"/>
          <w:sz w:val="24"/>
          <w:szCs w:val="24"/>
        </w:rPr>
        <w:t xml:space="preserve">ās un finansiāla iesaiste rada </w:t>
      </w:r>
      <w:r w:rsidRPr="00FD0F53" w:rsidR="009D1422">
        <w:rPr>
          <w:rFonts w:ascii="Times New Roman" w:hAnsi="Times New Roman" w:cs="Times New Roman"/>
          <w:sz w:val="24"/>
          <w:szCs w:val="24"/>
        </w:rPr>
        <w:t xml:space="preserve">potenciālu </w:t>
      </w:r>
      <w:r w:rsidRPr="00FD0F53">
        <w:rPr>
          <w:rFonts w:ascii="Times New Roman" w:hAnsi="Times New Roman" w:cs="Times New Roman"/>
          <w:sz w:val="24"/>
          <w:szCs w:val="24"/>
        </w:rPr>
        <w:t xml:space="preserve">risku CSDD objektivitātei un neitralitātei, vērtējot akreditēto sabiedrību pieteikumus iepirkumā. </w:t>
      </w:r>
    </w:p>
    <w:p w:rsidRPr="00FD0F53" w:rsidR="00301C78" w:rsidP="00FD0F53" w:rsidRDefault="00301C78" w14:paraId="35C23674" w14:textId="77777777">
      <w:pPr>
        <w:pStyle w:val="ListParagraph"/>
        <w:spacing w:after="0" w:line="276" w:lineRule="auto"/>
        <w:ind w:left="0" w:firstLine="720"/>
        <w:jc w:val="both"/>
        <w:rPr>
          <w:rFonts w:ascii="Times New Roman" w:hAnsi="Times New Roman" w:cs="Times New Roman"/>
          <w:sz w:val="24"/>
          <w:szCs w:val="24"/>
        </w:rPr>
      </w:pPr>
    </w:p>
    <w:p w:rsidRPr="00FD0F53" w:rsidR="00DA2DBE" w:rsidP="00FD0F53" w:rsidRDefault="00EE10AA" w14:paraId="272E502C" w14:textId="42F6CDA5">
      <w:pPr>
        <w:pStyle w:val="NoSpacing"/>
        <w:tabs>
          <w:tab w:val="left" w:pos="0"/>
        </w:tabs>
        <w:spacing w:line="276" w:lineRule="auto"/>
        <w:jc w:val="center"/>
        <w:rPr>
          <w:b/>
          <w:bCs/>
          <w:sz w:val="24"/>
          <w:szCs w:val="24"/>
        </w:rPr>
      </w:pPr>
      <w:r w:rsidRPr="00FD0F53">
        <w:rPr>
          <w:b/>
          <w:bCs/>
          <w:sz w:val="24"/>
          <w:szCs w:val="24"/>
        </w:rPr>
        <w:t xml:space="preserve">VII. </w:t>
      </w:r>
      <w:r w:rsidRPr="00FD0F53" w:rsidR="005409C4">
        <w:rPr>
          <w:b/>
          <w:bCs/>
          <w:sz w:val="24"/>
          <w:szCs w:val="24"/>
        </w:rPr>
        <w:t>Līdzdalības izbeigšanas kārtība</w:t>
      </w:r>
    </w:p>
    <w:p w:rsidRPr="00FD0F53" w:rsidR="002114EC" w:rsidP="00FD0F53" w:rsidRDefault="002114EC" w14:paraId="10C6C7F3" w14:textId="77777777">
      <w:pPr>
        <w:pStyle w:val="NoSpacing"/>
        <w:tabs>
          <w:tab w:val="left" w:pos="0"/>
        </w:tabs>
        <w:spacing w:line="276" w:lineRule="auto"/>
        <w:jc w:val="both"/>
        <w:rPr>
          <w:i/>
          <w:iCs/>
          <w:sz w:val="24"/>
          <w:szCs w:val="24"/>
        </w:rPr>
      </w:pPr>
    </w:p>
    <w:p w:rsidRPr="00FD0F53" w:rsidR="00DB2052" w:rsidP="00FD0F53" w:rsidRDefault="00C2146B" w14:paraId="76235CA5" w14:textId="300299B5">
      <w:pPr>
        <w:spacing w:line="276" w:lineRule="auto"/>
        <w:ind w:firstLine="720"/>
        <w:jc w:val="both"/>
        <w:rPr>
          <w:lang w:val="lv-LV"/>
        </w:rPr>
      </w:pPr>
      <w:r w:rsidRPr="00FD0F53">
        <w:rPr>
          <w:rFonts w:eastAsiaTheme="minorHAnsi"/>
          <w:lang w:val="lv-LV" w:eastAsia="en-US"/>
        </w:rPr>
        <w:t xml:space="preserve">CSDD kā publiskas personas kapitālsabiedrības darbību, tai skaitā rīcību ar kapitālsabiedrības mantu un līdzdalību citās kapitālsabiedrībās regulē </w:t>
      </w:r>
      <w:r w:rsidR="002A4836">
        <w:fldChar w:fldCharType="begin"/>
      </w:r>
      <w:r w:rsidRPr="002A4836" w:rsidR="002A4836">
        <w:rPr>
          <w:lang w:val="lv-LV"/>
        </w:rPr>
        <w:instrText xml:space="preserve"> HYPERLINK "file:///C:\\Users\\Kitija.Eglite\\Desktop\\Valsts%20pārvaldes%20iekārtas%20likums,%2088.%20pants.%20https:\\likumi.lv\\ta\\id\\63545" \l "p88" </w:instrText>
      </w:r>
      <w:r w:rsidR="002A4836">
        <w:fldChar w:fldCharType="separate"/>
      </w:r>
      <w:r w:rsidRPr="00FD0F53">
        <w:rPr>
          <w:lang w:val="lv-LV"/>
        </w:rPr>
        <w:t>Valsts pārvaldes iekārtas likums</w:t>
      </w:r>
      <w:r w:rsidR="002A4836">
        <w:rPr>
          <w:lang w:val="lv-LV"/>
        </w:rPr>
        <w:fldChar w:fldCharType="end"/>
      </w:r>
      <w:r w:rsidRPr="00FD0F53">
        <w:rPr>
          <w:lang w:val="lv-LV"/>
        </w:rPr>
        <w:t xml:space="preserve"> (attiecībā uz kapitālsabiedrības komercdarbības pamatprincipiem un kārtību, kādā izvērtējama līdzdalība citās kapitālsabiedrībās), </w:t>
      </w:r>
      <w:r w:rsidR="002A4836">
        <w:fldChar w:fldCharType="begin"/>
      </w:r>
      <w:r w:rsidRPr="002A4836" w:rsidR="002A4836">
        <w:rPr>
          <w:lang w:val="lv-LV"/>
        </w:rPr>
        <w:instrText xml:space="preserve"> HYPERLINK "file:///C:\\Users\\Kitija.Eglite\\Desktop\\Publiskas%20personas%20kapitāla%20daļu%20un%20kapitālsabiedrību%20pārvaldības%20likums.%20https:\\likumi</w:instrText>
      </w:r>
      <w:r w:rsidRPr="002A4836" w:rsidR="002A4836">
        <w:rPr>
          <w:lang w:val="lv-LV"/>
        </w:rPr>
        <w:instrText xml:space="preserve">.lv\\ta\\id\\269907" </w:instrText>
      </w:r>
      <w:r w:rsidR="002A4836">
        <w:fldChar w:fldCharType="separate"/>
      </w:r>
      <w:r w:rsidRPr="00FD0F53">
        <w:rPr>
          <w:lang w:val="lv-LV"/>
        </w:rPr>
        <w:t>Publiskas personas kapitāla daļu un kapitālsabiedrību pārvaldības likums</w:t>
      </w:r>
      <w:r w:rsidR="002A4836">
        <w:rPr>
          <w:lang w:val="lv-LV"/>
        </w:rPr>
        <w:fldChar w:fldCharType="end"/>
      </w:r>
      <w:r w:rsidRPr="00FD0F53">
        <w:rPr>
          <w:lang w:val="lv-LV"/>
        </w:rPr>
        <w:t xml:space="preserve"> (jautājumos par kapitāla daļu pārvaldību, dalības citās kapitālsabiedrībās iegūšanu, grozīšanu un izbeigšanu, u.c.), </w:t>
      </w:r>
      <w:r w:rsidR="002A4836">
        <w:fldChar w:fldCharType="begin"/>
      </w:r>
      <w:r w:rsidRPr="002A4836" w:rsidR="002A4836">
        <w:rPr>
          <w:lang w:val="lv-LV"/>
        </w:rPr>
        <w:instrText xml:space="preserve"> HYPERLINK "file:///C:\\Users\\Kitija.Egli</w:instrText>
      </w:r>
      <w:r w:rsidRPr="002A4836" w:rsidR="002A4836">
        <w:rPr>
          <w:lang w:val="lv-LV"/>
        </w:rPr>
        <w:instrText xml:space="preserve">te\\Desktop\\Komerclikums.%20https:\\likumi.lv\\ta\\id\\5490" </w:instrText>
      </w:r>
      <w:r w:rsidR="002A4836">
        <w:fldChar w:fldCharType="separate"/>
      </w:r>
      <w:r w:rsidRPr="00FD0F53">
        <w:rPr>
          <w:lang w:val="lv-LV"/>
        </w:rPr>
        <w:t>Komerclikums</w:t>
      </w:r>
      <w:r w:rsidR="002A4836">
        <w:rPr>
          <w:lang w:val="lv-LV"/>
        </w:rPr>
        <w:fldChar w:fldCharType="end"/>
      </w:r>
      <w:r w:rsidRPr="00FD0F53">
        <w:rPr>
          <w:lang w:val="lv-LV"/>
        </w:rPr>
        <w:t xml:space="preserve"> (jautājumos par kapitālsabiedrības darbību, kas nav regulēti </w:t>
      </w:r>
      <w:r w:rsidR="002A4836">
        <w:fldChar w:fldCharType="begin"/>
      </w:r>
      <w:r w:rsidRPr="002A4836" w:rsidR="002A4836">
        <w:rPr>
          <w:lang w:val="lv-LV"/>
        </w:rPr>
        <w:instrText xml:space="preserve"> HYPERLINK "file:///C:\\Users\\Kitija.Eglite\\Desktop\\Publiskas%20personas%20kapitāla%20daļu%20un%20kapitālsabiedrīb</w:instrText>
      </w:r>
      <w:r w:rsidRPr="002A4836" w:rsidR="002A4836">
        <w:rPr>
          <w:lang w:val="lv-LV"/>
        </w:rPr>
        <w:instrText xml:space="preserve">u%20pārvaldības%20likums.%20https:\\likumi.lv\\ta\\id\\269907" </w:instrText>
      </w:r>
      <w:r w:rsidR="002A4836">
        <w:fldChar w:fldCharType="separate"/>
      </w:r>
      <w:r w:rsidRPr="00FD0F53">
        <w:rPr>
          <w:lang w:val="lv-LV"/>
        </w:rPr>
        <w:t>Publiskas personas kapitāla daļu un kapitālsabiedrību pārvaldības likumā</w:t>
      </w:r>
      <w:r w:rsidR="002A4836">
        <w:rPr>
          <w:lang w:val="lv-LV"/>
        </w:rPr>
        <w:fldChar w:fldCharType="end"/>
      </w:r>
      <w:r w:rsidRPr="00FD0F53">
        <w:rPr>
          <w:lang w:val="lv-LV"/>
        </w:rPr>
        <w:t xml:space="preserve">), un </w:t>
      </w:r>
      <w:r w:rsidR="002A4836">
        <w:fldChar w:fldCharType="begin"/>
      </w:r>
      <w:r w:rsidRPr="002A4836" w:rsidR="002A4836">
        <w:rPr>
          <w:lang w:val="lv-LV"/>
        </w:rPr>
        <w:instrText xml:space="preserve"> HYPERLINK "file:///C:\\Users\\Kitija.Eglite\\Desktop\\Publiskas%20personas%20finanšu%20līdzekļu%20un%20mantas%2</w:instrText>
      </w:r>
      <w:r w:rsidRPr="002A4836" w:rsidR="002A4836">
        <w:rPr>
          <w:lang w:val="lv-LV"/>
        </w:rPr>
        <w:instrText xml:space="preserve">0izšķērdēšanas%20novēršanas%20likums.%20https:\\likumi.lv\\ta\\id\\36190" </w:instrText>
      </w:r>
      <w:r w:rsidR="002A4836">
        <w:fldChar w:fldCharType="separate"/>
      </w:r>
      <w:r w:rsidRPr="00FD0F53">
        <w:rPr>
          <w:lang w:val="lv-LV"/>
        </w:rPr>
        <w:t>Publiskas personas finanšu līdzekļu un mantas izšķērdēšanas novēršanas likums</w:t>
      </w:r>
      <w:r w:rsidR="002A4836">
        <w:rPr>
          <w:lang w:val="lv-LV"/>
        </w:rPr>
        <w:fldChar w:fldCharType="end"/>
      </w:r>
      <w:r w:rsidRPr="00FD0F53">
        <w:rPr>
          <w:lang w:val="lv-LV"/>
        </w:rPr>
        <w:t xml:space="preserve"> attiecībā uz principiem  rīcībai ar mantu.</w:t>
      </w:r>
    </w:p>
    <w:p w:rsidRPr="00FD0F53" w:rsidR="00285C7F" w:rsidP="00FD0F53" w:rsidRDefault="00285C7F" w14:paraId="7DB4C8F7" w14:textId="77777777">
      <w:pPr>
        <w:spacing w:line="276" w:lineRule="auto"/>
        <w:ind w:firstLine="720"/>
        <w:jc w:val="both"/>
        <w:rPr>
          <w:shd w:val="clear" w:color="auto" w:fill="FFFFFF"/>
          <w:lang w:val="lv-LV"/>
        </w:rPr>
      </w:pPr>
      <w:r w:rsidRPr="00FD0F53">
        <w:rPr>
          <w:lang w:val="lv-LV"/>
        </w:rPr>
        <w:t xml:space="preserve">Atbilstoši </w:t>
      </w:r>
      <w:r w:rsidRPr="00FD0F53">
        <w:rPr>
          <w:iCs/>
          <w:lang w:val="lv-LV"/>
        </w:rPr>
        <w:t>Publiskas personas finanšu līdzekļu un mantas izšķērdēšanas novēršanas likuma 2.panta trešajai daļai publiskas</w:t>
      </w:r>
      <w:r w:rsidRPr="00FD0F53">
        <w:rPr>
          <w:shd w:val="clear" w:color="auto" w:fill="FFFFFF"/>
          <w:lang w:val="lv-LV"/>
        </w:rPr>
        <w:t xml:space="preserve"> personas kapitālsabiedrība savā rīcībā ar finanšu līdzekļiem un mantu ievēro </w:t>
      </w:r>
      <w:r w:rsidR="002A4836">
        <w:fldChar w:fldCharType="begin"/>
      </w:r>
      <w:r w:rsidRPr="002A4836" w:rsidR="002A4836">
        <w:rPr>
          <w:lang w:val="lv-LV"/>
        </w:rPr>
        <w:instrText xml:space="preserve"> HYPERLINK "https://likumi.lv/ta/id/63545-valsts-parvaldes-iekartas-likums" \t "_blank" </w:instrText>
      </w:r>
      <w:r w:rsidR="002A4836">
        <w:fldChar w:fldCharType="separate"/>
      </w:r>
      <w:r w:rsidRPr="00FD0F53">
        <w:rPr>
          <w:rStyle w:val="Hyperlink"/>
          <w:color w:val="auto"/>
          <w:u w:val="none"/>
          <w:shd w:val="clear" w:color="auto" w:fill="FFFFFF"/>
          <w:lang w:val="lv-LV"/>
        </w:rPr>
        <w:t>Valsts pārvaldes iekārtas likumā</w:t>
      </w:r>
      <w:r w:rsidR="002A4836">
        <w:rPr>
          <w:rStyle w:val="Hyperlink"/>
          <w:color w:val="auto"/>
          <w:u w:val="none"/>
          <w:shd w:val="clear" w:color="auto" w:fill="FFFFFF"/>
          <w:lang w:val="lv-LV"/>
        </w:rPr>
        <w:fldChar w:fldCharType="end"/>
      </w:r>
      <w:r w:rsidRPr="00FD0F53">
        <w:rPr>
          <w:rStyle w:val="Hyperlink"/>
          <w:color w:val="auto"/>
          <w:u w:val="none"/>
          <w:shd w:val="clear" w:color="auto" w:fill="FFFFFF"/>
          <w:lang w:val="lv-LV"/>
        </w:rPr>
        <w:t xml:space="preserve"> </w:t>
      </w:r>
      <w:r w:rsidRPr="00FD0F53">
        <w:rPr>
          <w:shd w:val="clear" w:color="auto" w:fill="FFFFFF"/>
          <w:lang w:val="lv-LV"/>
        </w:rPr>
        <w:t xml:space="preserve"> noteiktos publiskas personas komercdarbības pamatus, kā arī šajā likumā un citos normatīvajos aktos noteiktos pienākumus un ierobežojumus. Kapitālsabiedrība šā likuma izpratnē nav privātpersona. </w:t>
      </w:r>
    </w:p>
    <w:p w:rsidRPr="00FD0F53" w:rsidR="00285C7F" w:rsidP="00FD0F53" w:rsidRDefault="00285C7F" w14:paraId="495B991C" w14:textId="45E38826">
      <w:pPr>
        <w:pStyle w:val="tv213"/>
        <w:shd w:val="clear" w:color="auto" w:fill="FFFFFF"/>
        <w:spacing w:before="0" w:beforeAutospacing="0" w:after="0" w:afterAutospacing="0" w:line="276" w:lineRule="auto"/>
        <w:ind w:firstLine="600"/>
        <w:jc w:val="both"/>
        <w:rPr>
          <w:lang w:eastAsia="en-GB"/>
        </w:rPr>
      </w:pPr>
      <w:r w:rsidRPr="00FD0F53">
        <w:rPr>
          <w:lang w:eastAsia="en-GB"/>
        </w:rPr>
        <w:t xml:space="preserve">Atbilstoši </w:t>
      </w:r>
      <w:hyperlink w:history="1" r:id="rId11">
        <w:r w:rsidRPr="00FD0F53">
          <w:rPr>
            <w:lang w:eastAsia="en-GB"/>
          </w:rPr>
          <w:t>Publiskas personas kapitāla daļu un kapitālsabiedrību pārvaldības likuma</w:t>
        </w:r>
      </w:hyperlink>
      <w:r w:rsidRPr="00FD0F53">
        <w:rPr>
          <w:lang w:eastAsia="en-GB"/>
        </w:rPr>
        <w:t xml:space="preserve"> 9.panta otrajai daļai lēmumu par atļauju publiskas personas kapitālsabiedrībai izbeigt līdzdalību citā kapitālsabiedrībā pieņem attiecīgās publiskās personas augstākā lēmējinstitūcija, kas atbilstoši šā likuma 1.panta 14.punktam attiecībā uz valsts kapitālsabiedrību pārvaldību ir Ministru kabinets. Attiecīgi, pamatojoties </w:t>
      </w:r>
      <w:hyperlink w:history="1" r:id="rId12">
        <w:r w:rsidRPr="00FD0F53">
          <w:rPr>
            <w:lang w:eastAsia="en-GB"/>
          </w:rPr>
          <w:t>Publiskas personas kapitāla daļu un kapitālsabiedrību pārvaldības likuma</w:t>
        </w:r>
      </w:hyperlink>
      <w:r w:rsidRPr="00FD0F53">
        <w:rPr>
          <w:lang w:eastAsia="en-GB"/>
        </w:rPr>
        <w:t xml:space="preserve"> 9.panta otro daļu un 118.panta otro daļu, CSDD līdzdalības izbeigšanai citā kapitālsabiedrībā ir nepieciešama Ministru kabineta atļauja. Bez tam, atbilstoši </w:t>
      </w:r>
      <w:hyperlink w:history="1" r:id="rId13">
        <w:r w:rsidRPr="00FD0F53">
          <w:rPr>
            <w:lang w:eastAsia="en-GB"/>
          </w:rPr>
          <w:t>Publiskas personas kapitāla daļu un kapitālsabiedrību pārvaldības likuma</w:t>
        </w:r>
      </w:hyperlink>
      <w:r w:rsidRPr="00FD0F53">
        <w:rPr>
          <w:lang w:eastAsia="en-GB"/>
        </w:rPr>
        <w:t xml:space="preserve"> </w:t>
      </w:r>
      <w:hyperlink w:history="1" w:anchor="p9" r:id="rId14">
        <w:r w:rsidRPr="00FD0F53">
          <w:rPr>
            <w:lang w:eastAsia="en-GB"/>
          </w:rPr>
          <w:t>9.panta otrajai un ceturtajai daļa</w:t>
        </w:r>
      </w:hyperlink>
      <w:r w:rsidRPr="00FD0F53">
        <w:rPr>
          <w:lang w:eastAsia="en-GB"/>
        </w:rPr>
        <w:t xml:space="preserve">i Ministru kabineta lēmumā </w:t>
      </w:r>
      <w:r w:rsidRPr="00FD0F53">
        <w:rPr>
          <w:lang w:eastAsia="en-GB"/>
        </w:rPr>
        <w:lastRenderedPageBreak/>
        <w:t>par atļauju valsts kapitālsabiedrībai izbeigt līdzdalību citā kapitālsabiedrībā norāda līdzdalības izbeigšanas kārtību.</w:t>
      </w:r>
    </w:p>
    <w:p w:rsidR="00285C7F" w:rsidP="00FD0F53" w:rsidRDefault="00285C7F" w14:paraId="01E83557" w14:textId="16767D3B">
      <w:pPr>
        <w:pStyle w:val="tv213"/>
        <w:shd w:val="clear" w:color="auto" w:fill="FFFFFF"/>
        <w:spacing w:before="0" w:beforeAutospacing="0" w:after="0" w:afterAutospacing="0" w:line="276" w:lineRule="auto"/>
        <w:ind w:firstLine="630"/>
        <w:jc w:val="both"/>
        <w:rPr>
          <w:lang w:eastAsia="en-GB"/>
        </w:rPr>
      </w:pPr>
      <w:r w:rsidRPr="00FD0F53">
        <w:rPr>
          <w:lang w:eastAsia="en-GB"/>
        </w:rPr>
        <w:t>Tā kā CSDD nevienā no Kapitālsabiedrībām nav vienīgā dalībniece, primāri izvērtējamais līdzdalības izbeigšanas veids ir kapitāldaļu atsavināšana</w:t>
      </w:r>
      <w:r w:rsidRPr="00FD0F53" w:rsidR="00347D0B">
        <w:rPr>
          <w:lang w:eastAsia="en-GB"/>
        </w:rPr>
        <w:t>,</w:t>
      </w:r>
      <w:r w:rsidRPr="00FD0F53">
        <w:rPr>
          <w:lang w:eastAsia="en-GB"/>
        </w:rPr>
        <w:t xml:space="preserve"> kas</w:t>
      </w:r>
      <w:r w:rsidRPr="00FD0F53" w:rsidR="0042795D">
        <w:rPr>
          <w:lang w:eastAsia="en-GB"/>
        </w:rPr>
        <w:t xml:space="preserve"> veicama ievērojot Kapitālsabiedrību statūtos noteiktās pārējo dalīb</w:t>
      </w:r>
      <w:r w:rsidRPr="00FD0F53" w:rsidR="001C4700">
        <w:rPr>
          <w:lang w:eastAsia="en-GB"/>
        </w:rPr>
        <w:t>n</w:t>
      </w:r>
      <w:r w:rsidRPr="00FD0F53" w:rsidR="0042795D">
        <w:rPr>
          <w:lang w:eastAsia="en-GB"/>
        </w:rPr>
        <w:t>ieku pirmpirkuma tiesības, kā arī Publiskas personas finanšu līdzekļu un mantas izšķērdēšanas novēršanas likuma 3.panta 2.punktā noteikto pienākumu lietderīgi rīkoties ar finanšu līdzekļiem un mantu, t.i. mantu atsavināt un nodot īpašumā vai lietošanā citai personai par iespējami augstāku cenu. Attiecīgi CSDD piederoš</w:t>
      </w:r>
      <w:r w:rsidRPr="00FD0F53" w:rsidR="005A57AA">
        <w:rPr>
          <w:lang w:eastAsia="en-GB"/>
        </w:rPr>
        <w:t>ās</w:t>
      </w:r>
      <w:r w:rsidRPr="00FD0F53" w:rsidR="0042795D">
        <w:rPr>
          <w:lang w:eastAsia="en-GB"/>
        </w:rPr>
        <w:t xml:space="preserve"> kapitāldaļ</w:t>
      </w:r>
      <w:r w:rsidRPr="00FD0F53" w:rsidR="005A57AA">
        <w:rPr>
          <w:lang w:eastAsia="en-GB"/>
        </w:rPr>
        <w:t>as</w:t>
      </w:r>
      <w:r w:rsidRPr="00FD0F53" w:rsidR="0042795D">
        <w:rPr>
          <w:lang w:eastAsia="en-GB"/>
        </w:rPr>
        <w:t xml:space="preserve"> </w:t>
      </w:r>
      <w:r w:rsidRPr="00FD0F53" w:rsidR="005A57AA">
        <w:rPr>
          <w:lang w:eastAsia="en-GB"/>
        </w:rPr>
        <w:t xml:space="preserve">atsavināmas </w:t>
      </w:r>
      <w:r w:rsidRPr="00FD0F53" w:rsidR="0042795D">
        <w:rPr>
          <w:lang w:eastAsia="en-GB"/>
        </w:rPr>
        <w:t>organizējot atklātu izsol</w:t>
      </w:r>
      <w:r w:rsidRPr="00FD0F53" w:rsidR="005A57AA">
        <w:rPr>
          <w:lang w:eastAsia="en-GB"/>
        </w:rPr>
        <w:t>i</w:t>
      </w:r>
      <w:r w:rsidRPr="00FD0F53" w:rsidR="0042795D">
        <w:rPr>
          <w:lang w:eastAsia="en-GB"/>
        </w:rPr>
        <w:t xml:space="preserve"> un pārējo dalībnieku pirmpirkuma tiesības realizējamas par izsolē nosolīto cenu</w:t>
      </w:r>
      <w:r w:rsidRPr="00FD0F53" w:rsidR="005A57AA">
        <w:rPr>
          <w:lang w:eastAsia="en-GB"/>
        </w:rPr>
        <w:t xml:space="preserve"> Komerclikuma 189.pantā un Kapitālsabiedrību statūtos noteiktajā kārtībā</w:t>
      </w:r>
      <w:r w:rsidRPr="00FD0F53" w:rsidR="0009115E">
        <w:rPr>
          <w:lang w:eastAsia="en-GB"/>
        </w:rPr>
        <w:t>.</w:t>
      </w:r>
    </w:p>
    <w:p w:rsidRPr="00FD0F53" w:rsidR="0009115E" w:rsidP="00FD0F53" w:rsidRDefault="00C24D49" w14:paraId="6468ECD5" w14:textId="50E50ECB">
      <w:pPr>
        <w:pStyle w:val="tv213"/>
        <w:shd w:val="clear" w:color="auto" w:fill="FFFFFF"/>
        <w:spacing w:before="0" w:beforeAutospacing="0" w:after="0" w:afterAutospacing="0" w:line="276" w:lineRule="auto"/>
        <w:ind w:firstLine="630"/>
        <w:jc w:val="both"/>
        <w:rPr>
          <w:lang w:eastAsia="en-GB"/>
        </w:rPr>
      </w:pPr>
      <w:r w:rsidRPr="00F64A3B">
        <w:rPr>
          <w:lang w:eastAsia="en-GB"/>
        </w:rPr>
        <w:t>Izstrādājot kapitāldaļu izsoles noteikumus, tajos būs iekļaujama informācija par nepieciešamību ieguvējam, iesniegt apvienošanās ziņojumu Konkurences padomei, ja tirgus dalībniekam, iegādājoties kapitāldaļas, izpildās kāds no Konkurences likuma 15.pantā noteiktiem apvienošanās paziņošanas kritērijiem.</w:t>
      </w:r>
    </w:p>
    <w:p w:rsidRPr="00FD0F53" w:rsidR="009A6B6E" w:rsidP="00FD0F53" w:rsidRDefault="009A6B6E" w14:paraId="73CDD59D" w14:textId="77777777">
      <w:pPr>
        <w:pStyle w:val="tv213"/>
        <w:shd w:val="clear" w:color="auto" w:fill="FFFFFF"/>
        <w:spacing w:before="0" w:beforeAutospacing="0" w:after="0" w:afterAutospacing="0" w:line="276" w:lineRule="auto"/>
        <w:ind w:firstLine="720"/>
        <w:jc w:val="both"/>
        <w:rPr>
          <w:lang w:eastAsia="en-GB"/>
        </w:rPr>
      </w:pPr>
      <w:r w:rsidRPr="00FD0F53">
        <w:rPr>
          <w:lang w:eastAsia="en-GB"/>
        </w:rPr>
        <w:t xml:space="preserve">Kapitāla daļu pārdošanas sākotnējā vērtība, atbilstoši </w:t>
      </w:r>
      <w:hyperlink w:history="1" r:id="rId15">
        <w:r w:rsidRPr="00FD0F53">
          <w:rPr>
            <w:lang w:eastAsia="en-GB"/>
          </w:rPr>
          <w:t>Publiskas personas kapitāla daļu un kapitālsabiedrību pārvaldības likuma</w:t>
        </w:r>
      </w:hyperlink>
      <w:r w:rsidRPr="00FD0F53">
        <w:rPr>
          <w:lang w:eastAsia="en-GB"/>
        </w:rPr>
        <w:t xml:space="preserve"> </w:t>
      </w:r>
      <w:hyperlink w:history="1" w:anchor="p140" r:id="rId16">
        <w:r w:rsidRPr="00FD0F53">
          <w:rPr>
            <w:lang w:eastAsia="en-GB"/>
          </w:rPr>
          <w:t>140.panta</w:t>
        </w:r>
      </w:hyperlink>
      <w:r w:rsidRPr="00FD0F53">
        <w:rPr>
          <w:lang w:eastAsia="en-GB"/>
        </w:rPr>
        <w:t xml:space="preserve"> pirmās daļas trešajam punktam, jānosaka neatkarīgam sertificētam vērtētājam saskaņā ar Latvijā atzītiem vērtēšanas standartiem.</w:t>
      </w:r>
    </w:p>
    <w:p w:rsidR="003E6655" w:rsidP="00FD0F53" w:rsidRDefault="003E6655" w14:paraId="38C0B0B2" w14:textId="77777777">
      <w:pPr>
        <w:pStyle w:val="tv213"/>
        <w:shd w:val="clear" w:color="auto" w:fill="FFFFFF"/>
        <w:spacing w:before="0" w:beforeAutospacing="0" w:after="0" w:afterAutospacing="0" w:line="276" w:lineRule="auto"/>
        <w:ind w:firstLine="720"/>
        <w:jc w:val="center"/>
        <w:rPr>
          <w:b/>
          <w:lang w:eastAsia="en-GB"/>
        </w:rPr>
      </w:pPr>
    </w:p>
    <w:p w:rsidR="006B3B6A" w:rsidP="00FD0F53" w:rsidRDefault="00815269" w14:paraId="63C912DA" w14:textId="534777C7">
      <w:pPr>
        <w:pStyle w:val="tv213"/>
        <w:shd w:val="clear" w:color="auto" w:fill="FFFFFF"/>
        <w:spacing w:before="0" w:beforeAutospacing="0" w:after="0" w:afterAutospacing="0" w:line="276" w:lineRule="auto"/>
        <w:ind w:firstLine="720"/>
        <w:jc w:val="center"/>
        <w:rPr>
          <w:b/>
          <w:lang w:eastAsia="en-GB"/>
        </w:rPr>
      </w:pPr>
      <w:r w:rsidRPr="00FD0F53">
        <w:rPr>
          <w:b/>
          <w:lang w:eastAsia="en-GB"/>
        </w:rPr>
        <w:t>VIII</w:t>
      </w:r>
      <w:r w:rsidRPr="00FD0F53" w:rsidR="006B3B6A">
        <w:rPr>
          <w:b/>
          <w:lang w:eastAsia="en-GB"/>
        </w:rPr>
        <w:t>. Kopsavilkums</w:t>
      </w:r>
    </w:p>
    <w:p w:rsidRPr="00FD0F53" w:rsidR="003E6655" w:rsidP="00FD0F53" w:rsidRDefault="003E6655" w14:paraId="77CAE255" w14:textId="77777777">
      <w:pPr>
        <w:pStyle w:val="tv213"/>
        <w:shd w:val="clear" w:color="auto" w:fill="FFFFFF"/>
        <w:spacing w:before="0" w:beforeAutospacing="0" w:after="0" w:afterAutospacing="0" w:line="276" w:lineRule="auto"/>
        <w:ind w:firstLine="720"/>
        <w:jc w:val="center"/>
        <w:rPr>
          <w:b/>
          <w:lang w:eastAsia="en-GB"/>
        </w:rPr>
      </w:pPr>
    </w:p>
    <w:p w:rsidRPr="00FD0F53" w:rsidR="008A5D85" w:rsidP="00FD0F53" w:rsidRDefault="009802C5" w14:paraId="62F97BF0" w14:textId="13500DC7">
      <w:pPr>
        <w:pStyle w:val="tv213"/>
        <w:shd w:val="clear" w:color="auto" w:fill="FFFFFF"/>
        <w:spacing w:before="0" w:beforeAutospacing="0" w:after="0" w:afterAutospacing="0" w:line="276" w:lineRule="auto"/>
        <w:ind w:firstLine="810"/>
        <w:jc w:val="both"/>
        <w:rPr>
          <w:lang w:eastAsia="en-GB"/>
        </w:rPr>
      </w:pPr>
      <w:r w:rsidRPr="00FD0F53">
        <w:rPr>
          <w:lang w:eastAsia="en-GB"/>
        </w:rPr>
        <w:t>Normatīvajos aktos noteiktajā kārtībā pārvērtējot CSDD līdzdalību Kapitālsabiedrībās</w:t>
      </w:r>
      <w:r w:rsidRPr="00FD0F53" w:rsidR="00F21E37">
        <w:rPr>
          <w:lang w:eastAsia="en-GB"/>
        </w:rPr>
        <w:t>,</w:t>
      </w:r>
      <w:r w:rsidRPr="00FD0F53">
        <w:rPr>
          <w:lang w:eastAsia="en-GB"/>
        </w:rPr>
        <w:t xml:space="preserve"> </w:t>
      </w:r>
      <w:r w:rsidRPr="00FD0F53" w:rsidR="00403C48">
        <w:rPr>
          <w:lang w:eastAsia="en-GB"/>
        </w:rPr>
        <w:t xml:space="preserve">tika secināts, ka CSDD līdzdalības saglabāšana </w:t>
      </w:r>
      <w:r w:rsidRPr="00FD0F53" w:rsidR="00F020A8">
        <w:rPr>
          <w:lang w:eastAsia="en-GB"/>
        </w:rPr>
        <w:t>Kapitālsabiedrīb</w:t>
      </w:r>
      <w:r w:rsidRPr="00FD0F53" w:rsidR="00403C48">
        <w:rPr>
          <w:lang w:eastAsia="en-GB"/>
        </w:rPr>
        <w:t xml:space="preserve">ās nav lietderīga un izbeidzama </w:t>
      </w:r>
      <w:hyperlink w:history="1" r:id="rId17">
        <w:r w:rsidRPr="00FD0F53" w:rsidR="00403C48">
          <w:rPr>
            <w:lang w:eastAsia="en-GB"/>
          </w:rPr>
          <w:t>Publiskas personas kapitāla daļu un kapitālsabiedrību pārvaldības likumā noteiktajā kārtībā</w:t>
        </w:r>
        <w:r w:rsidRPr="00FD0F53" w:rsidR="008A5D85">
          <w:rPr>
            <w:lang w:eastAsia="en-GB"/>
          </w:rPr>
          <w:t xml:space="preserve"> -</w:t>
        </w:r>
        <w:r w:rsidRPr="00FD0F53" w:rsidR="00403C48">
          <w:rPr>
            <w:lang w:eastAsia="en-GB"/>
          </w:rPr>
          <w:t xml:space="preserve"> saņemot Ministru kabineta atļauju līdzdalības izbeigšanai</w:t>
        </w:r>
        <w:r w:rsidRPr="00FD0F53" w:rsidR="008A5D85">
          <w:rPr>
            <w:lang w:eastAsia="en-GB"/>
          </w:rPr>
          <w:t xml:space="preserve">. </w:t>
        </w:r>
      </w:hyperlink>
      <w:r w:rsidRPr="00FD0F53" w:rsidR="008A5D85">
        <w:rPr>
          <w:lang w:eastAsia="en-GB"/>
        </w:rPr>
        <w:t xml:space="preserve">CSDD piederošo kapitāldaļu atsavināšana, veicama ievērojot Kapitālsabiedrību statūtos noteiktās pārējo dalībnieku pirmpirkuma tiesības, kā arī Publiskas personas finanšu līdzekļu un mantas izšķērdēšanas novēršanas likuma 3.panta 2.punktā noteikto pienākumu lietderīgi rīkoties ar finanšu līdzekļiem un mantu, t.i. mantu atsavināt un nodot īpašumā vai lietošanā citai personai par iespējami augstāku cenu. Attiecīgi CSDD piederošās kapitāldaļas atsavināmas organizējot izsoli. </w:t>
      </w:r>
    </w:p>
    <w:p w:rsidR="003E6655" w:rsidP="003E6655" w:rsidRDefault="003E6655" w14:paraId="0DEC89DD" w14:textId="77777777">
      <w:pPr>
        <w:pStyle w:val="NoSpacing"/>
        <w:spacing w:line="276" w:lineRule="auto"/>
        <w:jc w:val="both"/>
        <w:rPr>
          <w:rFonts w:eastAsia="Calibri"/>
          <w:sz w:val="24"/>
          <w:szCs w:val="24"/>
        </w:rPr>
      </w:pPr>
    </w:p>
    <w:p w:rsidR="003E6655" w:rsidP="003E6655" w:rsidRDefault="003E6655" w14:paraId="0D97D530" w14:textId="77777777">
      <w:pPr>
        <w:pStyle w:val="NoSpacing"/>
        <w:spacing w:line="276" w:lineRule="auto"/>
        <w:jc w:val="both"/>
        <w:rPr>
          <w:rFonts w:eastAsia="Calibri"/>
          <w:sz w:val="24"/>
          <w:szCs w:val="24"/>
        </w:rPr>
      </w:pPr>
    </w:p>
    <w:p w:rsidR="003E6655" w:rsidP="003E6655" w:rsidRDefault="003E6655" w14:paraId="17AFD18A" w14:textId="77777777">
      <w:pPr>
        <w:pStyle w:val="NoSpacing"/>
        <w:spacing w:line="276" w:lineRule="auto"/>
        <w:jc w:val="both"/>
        <w:rPr>
          <w:rFonts w:eastAsia="Calibri"/>
          <w:sz w:val="24"/>
          <w:szCs w:val="24"/>
        </w:rPr>
      </w:pPr>
    </w:p>
    <w:p w:rsidRPr="0062512E" w:rsidR="003E6655" w:rsidP="003E6655" w:rsidRDefault="003E6655" w14:paraId="4E64C711" w14:textId="14DA59B3">
      <w:pPr>
        <w:pStyle w:val="NoSpacing"/>
        <w:spacing w:line="276" w:lineRule="auto"/>
        <w:jc w:val="both"/>
        <w:rPr>
          <w:rFonts w:eastAsia="Calibri"/>
          <w:sz w:val="24"/>
          <w:szCs w:val="24"/>
        </w:rPr>
      </w:pPr>
      <w:r w:rsidRPr="0062512E">
        <w:rPr>
          <w:rFonts w:eastAsia="Calibri"/>
          <w:sz w:val="24"/>
          <w:szCs w:val="24"/>
        </w:rPr>
        <w:t>Satiksmes ministrs</w:t>
      </w:r>
      <w:r w:rsidRPr="0062512E">
        <w:rPr>
          <w:rFonts w:eastAsia="Calibri"/>
          <w:sz w:val="24"/>
          <w:szCs w:val="24"/>
        </w:rPr>
        <w:tab/>
      </w:r>
      <w:r w:rsidRPr="0062512E">
        <w:rPr>
          <w:rFonts w:eastAsia="Calibri"/>
          <w:sz w:val="24"/>
          <w:szCs w:val="24"/>
        </w:rPr>
        <w:tab/>
      </w:r>
      <w:r w:rsidRPr="0062512E">
        <w:rPr>
          <w:rFonts w:eastAsia="Calibri"/>
          <w:sz w:val="24"/>
          <w:szCs w:val="24"/>
        </w:rPr>
        <w:tab/>
      </w:r>
      <w:r w:rsidRPr="0062512E">
        <w:rPr>
          <w:rFonts w:eastAsia="Calibri"/>
          <w:sz w:val="24"/>
          <w:szCs w:val="24"/>
        </w:rPr>
        <w:tab/>
      </w:r>
      <w:r w:rsidRPr="0062512E">
        <w:rPr>
          <w:rFonts w:eastAsia="Calibri"/>
          <w:sz w:val="24"/>
          <w:szCs w:val="24"/>
        </w:rPr>
        <w:tab/>
      </w:r>
      <w:r w:rsidRPr="0062512E">
        <w:rPr>
          <w:rFonts w:eastAsia="Calibri"/>
          <w:sz w:val="24"/>
          <w:szCs w:val="24"/>
        </w:rPr>
        <w:tab/>
      </w:r>
      <w:r w:rsidRPr="0062512E">
        <w:rPr>
          <w:rFonts w:eastAsia="Calibri"/>
          <w:sz w:val="24"/>
          <w:szCs w:val="24"/>
        </w:rPr>
        <w:tab/>
      </w:r>
      <w:r w:rsidRPr="0062512E">
        <w:rPr>
          <w:rFonts w:eastAsia="Calibri"/>
          <w:sz w:val="24"/>
          <w:szCs w:val="24"/>
        </w:rPr>
        <w:tab/>
        <w:t xml:space="preserve">Tālis </w:t>
      </w:r>
      <w:proofErr w:type="spellStart"/>
      <w:r w:rsidRPr="0062512E">
        <w:rPr>
          <w:rFonts w:eastAsia="Calibri"/>
          <w:sz w:val="24"/>
          <w:szCs w:val="24"/>
        </w:rPr>
        <w:t>Linkaits</w:t>
      </w:r>
      <w:proofErr w:type="spellEnd"/>
    </w:p>
    <w:p w:rsidRPr="0062512E" w:rsidR="003E6655" w:rsidP="003E6655" w:rsidRDefault="003E6655" w14:paraId="0B35C8B2" w14:textId="77777777">
      <w:pPr>
        <w:pStyle w:val="NoSpacing"/>
        <w:spacing w:line="276" w:lineRule="auto"/>
        <w:jc w:val="both"/>
        <w:rPr>
          <w:rFonts w:eastAsia="Calibri"/>
          <w:sz w:val="24"/>
          <w:szCs w:val="24"/>
        </w:rPr>
      </w:pPr>
    </w:p>
    <w:p w:rsidRPr="0062512E" w:rsidR="003E6655" w:rsidP="003E6655" w:rsidRDefault="00C9631E" w14:paraId="29610F42" w14:textId="2307218C">
      <w:pPr>
        <w:pStyle w:val="NoSpacing"/>
        <w:spacing w:line="276" w:lineRule="auto"/>
        <w:jc w:val="both"/>
        <w:rPr>
          <w:rFonts w:eastAsia="Calibri"/>
          <w:sz w:val="24"/>
          <w:szCs w:val="24"/>
        </w:rPr>
      </w:pPr>
      <w:proofErr w:type="spellStart"/>
      <w:r>
        <w:rPr>
          <w:rFonts w:eastAsia="Calibri"/>
          <w:sz w:val="24"/>
          <w:szCs w:val="24"/>
        </w:rPr>
        <w:t>Vizē</w:t>
      </w:r>
      <w:r w:rsidRPr="0062512E" w:rsidR="003E6655">
        <w:rPr>
          <w:rFonts w:eastAsia="Calibri"/>
          <w:sz w:val="24"/>
          <w:szCs w:val="24"/>
        </w:rPr>
        <w:t>:Valsts</w:t>
      </w:r>
      <w:proofErr w:type="spellEnd"/>
      <w:r w:rsidRPr="0062512E" w:rsidR="003E6655">
        <w:rPr>
          <w:rFonts w:eastAsia="Calibri"/>
          <w:sz w:val="24"/>
          <w:szCs w:val="24"/>
        </w:rPr>
        <w:t xml:space="preserve"> sekretār</w:t>
      </w:r>
      <w:r w:rsidR="003E6655">
        <w:rPr>
          <w:rFonts w:eastAsia="Calibri"/>
          <w:sz w:val="24"/>
          <w:szCs w:val="24"/>
        </w:rPr>
        <w:t>e</w:t>
      </w:r>
      <w:r w:rsidR="003E6655">
        <w:rPr>
          <w:rFonts w:eastAsia="Calibri"/>
          <w:sz w:val="24"/>
          <w:szCs w:val="24"/>
        </w:rPr>
        <w:tab/>
      </w:r>
      <w:r w:rsidRPr="0062512E" w:rsidR="003E6655">
        <w:rPr>
          <w:rFonts w:eastAsia="Calibri"/>
          <w:sz w:val="24"/>
          <w:szCs w:val="24"/>
        </w:rPr>
        <w:tab/>
      </w:r>
      <w:r w:rsidRPr="0062512E" w:rsidR="003E6655">
        <w:rPr>
          <w:rFonts w:eastAsia="Calibri"/>
          <w:sz w:val="24"/>
          <w:szCs w:val="24"/>
        </w:rPr>
        <w:tab/>
      </w:r>
      <w:r w:rsidRPr="0062512E" w:rsidR="003E6655">
        <w:rPr>
          <w:rFonts w:eastAsia="Calibri"/>
          <w:sz w:val="24"/>
          <w:szCs w:val="24"/>
        </w:rPr>
        <w:tab/>
      </w:r>
      <w:r w:rsidRPr="0062512E" w:rsidR="003E6655">
        <w:rPr>
          <w:rFonts w:eastAsia="Calibri"/>
          <w:sz w:val="24"/>
          <w:szCs w:val="24"/>
        </w:rPr>
        <w:tab/>
      </w:r>
      <w:r w:rsidRPr="0062512E" w:rsidR="003E6655">
        <w:rPr>
          <w:rFonts w:eastAsia="Calibri"/>
          <w:sz w:val="24"/>
          <w:szCs w:val="24"/>
        </w:rPr>
        <w:tab/>
      </w:r>
      <w:r>
        <w:rPr>
          <w:rFonts w:eastAsia="Calibri"/>
          <w:sz w:val="24"/>
          <w:szCs w:val="24"/>
        </w:rPr>
        <w:tab/>
      </w:r>
      <w:r w:rsidRPr="0062512E" w:rsidR="003E6655">
        <w:rPr>
          <w:rFonts w:eastAsia="Calibri"/>
          <w:sz w:val="24"/>
          <w:szCs w:val="24"/>
        </w:rPr>
        <w:tab/>
      </w:r>
      <w:r w:rsidR="003E6655">
        <w:rPr>
          <w:rFonts w:eastAsia="Calibri"/>
          <w:sz w:val="24"/>
          <w:szCs w:val="24"/>
        </w:rPr>
        <w:t>Ilonda Stepanova</w:t>
      </w:r>
    </w:p>
    <w:p w:rsidRPr="0062512E" w:rsidR="003E6655" w:rsidP="003E6655" w:rsidRDefault="003E6655" w14:paraId="0B933278" w14:textId="77777777">
      <w:pPr>
        <w:pStyle w:val="tv213"/>
        <w:shd w:val="clear" w:color="auto" w:fill="FFFFFF"/>
        <w:spacing w:before="120" w:beforeAutospacing="0" w:after="120" w:afterAutospacing="0"/>
        <w:ind w:firstLine="810"/>
        <w:jc w:val="both"/>
        <w:rPr>
          <w:lang w:eastAsia="en-GB"/>
        </w:rPr>
      </w:pPr>
      <w:r w:rsidRPr="0062512E">
        <w:rPr>
          <w:lang w:eastAsia="en-GB"/>
        </w:rPr>
        <w:t xml:space="preserve"> </w:t>
      </w:r>
    </w:p>
    <w:p w:rsidR="003E6655" w:rsidP="003E6655" w:rsidRDefault="003E6655" w14:paraId="2903D0C1" w14:textId="77777777">
      <w:pPr>
        <w:pStyle w:val="tv213"/>
        <w:shd w:val="clear" w:color="auto" w:fill="FFFFFF"/>
        <w:spacing w:before="120" w:beforeAutospacing="0" w:after="120" w:afterAutospacing="0"/>
        <w:ind w:firstLine="810"/>
        <w:jc w:val="both"/>
        <w:rPr>
          <w:sz w:val="26"/>
          <w:szCs w:val="26"/>
          <w:lang w:eastAsia="en-GB"/>
        </w:rPr>
      </w:pPr>
    </w:p>
    <w:p w:rsidRPr="00093F91" w:rsidR="003E6655" w:rsidP="003E6655" w:rsidRDefault="003E6655" w14:paraId="126C4792" w14:textId="77777777">
      <w:pPr>
        <w:pStyle w:val="tv213"/>
        <w:shd w:val="clear" w:color="auto" w:fill="FFFFFF"/>
        <w:spacing w:before="0" w:beforeAutospacing="0" w:after="0" w:afterAutospacing="0"/>
        <w:jc w:val="both"/>
        <w:rPr>
          <w:sz w:val="20"/>
          <w:szCs w:val="20"/>
          <w:lang w:eastAsia="en-GB"/>
        </w:rPr>
      </w:pPr>
      <w:r w:rsidRPr="00093F91">
        <w:rPr>
          <w:sz w:val="20"/>
          <w:szCs w:val="20"/>
          <w:lang w:eastAsia="en-GB"/>
        </w:rPr>
        <w:t>Reinis Nīmanis, 67025719</w:t>
      </w:r>
    </w:p>
    <w:p w:rsidRPr="00093F91" w:rsidR="003E6655" w:rsidP="003E6655" w:rsidRDefault="003E6655" w14:paraId="5F025C24" w14:textId="77777777">
      <w:pPr>
        <w:pStyle w:val="tv213"/>
        <w:shd w:val="clear" w:color="auto" w:fill="FFFFFF"/>
        <w:spacing w:before="0" w:beforeAutospacing="0" w:after="0" w:afterAutospacing="0"/>
        <w:jc w:val="both"/>
        <w:rPr>
          <w:sz w:val="20"/>
          <w:szCs w:val="20"/>
          <w:lang w:eastAsia="en-GB"/>
        </w:rPr>
      </w:pPr>
      <w:r w:rsidRPr="00093F91">
        <w:rPr>
          <w:sz w:val="20"/>
          <w:szCs w:val="20"/>
          <w:lang w:eastAsia="en-GB"/>
        </w:rPr>
        <w:t>reinis.nimanis@csdd.gov.lv</w:t>
      </w:r>
    </w:p>
    <w:p w:rsidRPr="00FD0F53" w:rsidR="004853F3" w:rsidP="00FD0F53" w:rsidRDefault="004853F3" w14:paraId="50F5166C" w14:textId="77777777">
      <w:pPr>
        <w:pStyle w:val="tv213"/>
        <w:shd w:val="clear" w:color="auto" w:fill="FFFFFF"/>
        <w:spacing w:before="0" w:beforeAutospacing="0" w:after="0" w:afterAutospacing="0" w:line="276" w:lineRule="auto"/>
        <w:ind w:firstLine="810"/>
        <w:jc w:val="both"/>
        <w:rPr>
          <w:lang w:eastAsia="en-GB"/>
        </w:rPr>
      </w:pPr>
    </w:p>
    <w:sectPr w:rsidRPr="00FD0F53" w:rsidR="004853F3" w:rsidSect="00C82247">
      <w:headerReference w:type="default" r:id="rId18"/>
      <w:footerReference w:type="default" r:id="rId19"/>
      <w:headerReference w:type="first" r:id="rId20"/>
      <w:footerReference w:type="first" r:id="rId21"/>
      <w:pgSz w:w="12240" w:h="15840"/>
      <w:pgMar w:top="1440" w:right="1134"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B011" w14:textId="77777777" w:rsidR="00467C5C" w:rsidRDefault="00467C5C" w:rsidP="00CB4591">
      <w:r>
        <w:separator/>
      </w:r>
    </w:p>
  </w:endnote>
  <w:endnote w:type="continuationSeparator" w:id="0">
    <w:p w14:paraId="770C5C73" w14:textId="77777777" w:rsidR="00467C5C" w:rsidRDefault="00467C5C" w:rsidP="00CB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1F8E" w14:textId="04A3F8CC" w:rsidR="009E2B06" w:rsidRDefault="009E2B06">
    <w:pPr>
      <w:pStyle w:val="Footer"/>
      <w:jc w:val="center"/>
    </w:pPr>
  </w:p>
  <w:p w14:paraId="6FE48301" w14:textId="07D92E3E" w:rsidR="00FD0F53" w:rsidRPr="00FD0F53" w:rsidRDefault="00FD0F53" w:rsidP="00FD0F53">
    <w:pPr>
      <w:pStyle w:val="Footer"/>
      <w:rPr>
        <w:sz w:val="20"/>
        <w:szCs w:val="20"/>
        <w:lang w:val="lv-LV"/>
      </w:rPr>
    </w:pPr>
    <w:r w:rsidRPr="00FD0F53">
      <w:rPr>
        <w:sz w:val="20"/>
        <w:szCs w:val="20"/>
        <w:lang w:val="lv-LV"/>
      </w:rPr>
      <w:t>SMzin</w:t>
    </w:r>
    <w:r w:rsidR="000973A7">
      <w:rPr>
        <w:sz w:val="20"/>
        <w:szCs w:val="20"/>
        <w:lang w:val="lv-LV"/>
      </w:rPr>
      <w:t>_12</w:t>
    </w:r>
    <w:r w:rsidR="00710DDF">
      <w:rPr>
        <w:sz w:val="20"/>
        <w:szCs w:val="20"/>
        <w:lang w:val="lv-LV"/>
      </w:rPr>
      <w:t>05</w:t>
    </w:r>
    <w:r w:rsidRPr="00FD0F53">
      <w:rPr>
        <w:sz w:val="20"/>
        <w:szCs w:val="20"/>
        <w:lang w:val="lv-LV"/>
      </w:rPr>
      <w:t>20_CSDDmeitupardosana</w:t>
    </w:r>
  </w:p>
  <w:p w14:paraId="68F0E5F8" w14:textId="77777777" w:rsidR="009E2B06" w:rsidRDefault="009E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877A" w14:textId="37DFE7CE" w:rsidR="00FD0F53" w:rsidRPr="00FD0F53" w:rsidRDefault="00FD0F53">
    <w:pPr>
      <w:pStyle w:val="Footer"/>
      <w:rPr>
        <w:sz w:val="20"/>
        <w:szCs w:val="20"/>
        <w:lang w:val="lv-LV"/>
      </w:rPr>
    </w:pPr>
    <w:bookmarkStart w:id="1" w:name="_Hlk33542578"/>
    <w:bookmarkStart w:id="2" w:name="_Hlk33542579"/>
    <w:r w:rsidRPr="00FD0F53">
      <w:rPr>
        <w:sz w:val="20"/>
        <w:szCs w:val="20"/>
        <w:lang w:val="lv-LV"/>
      </w:rPr>
      <w:t>SMzin_</w:t>
    </w:r>
    <w:r w:rsidR="000973A7">
      <w:rPr>
        <w:sz w:val="20"/>
        <w:szCs w:val="20"/>
        <w:lang w:val="lv-LV"/>
      </w:rPr>
      <w:t>1205</w:t>
    </w:r>
    <w:r w:rsidRPr="00FD0F53">
      <w:rPr>
        <w:sz w:val="20"/>
        <w:szCs w:val="20"/>
        <w:lang w:val="lv-LV"/>
      </w:rPr>
      <w:t>20_CSDDmeitupardosana</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B65F" w14:textId="77777777" w:rsidR="00467C5C" w:rsidRDefault="00467C5C" w:rsidP="00CB4591">
      <w:r>
        <w:separator/>
      </w:r>
    </w:p>
  </w:footnote>
  <w:footnote w:type="continuationSeparator" w:id="0">
    <w:p w14:paraId="2E299C03" w14:textId="77777777" w:rsidR="00467C5C" w:rsidRDefault="00467C5C" w:rsidP="00CB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377381"/>
      <w:docPartObj>
        <w:docPartGallery w:val="Page Numbers (Top of Page)"/>
        <w:docPartUnique/>
      </w:docPartObj>
    </w:sdtPr>
    <w:sdtEndPr>
      <w:rPr>
        <w:noProof/>
      </w:rPr>
    </w:sdtEndPr>
    <w:sdtContent>
      <w:p w:rsidR="00C82247" w:rsidRDefault="00C82247" w14:paraId="17105719" w14:textId="7672F4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D3C97" w:rsidRDefault="005D3C97" w14:paraId="1607B7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698F" w:rsidRDefault="00AD698F" w14:paraId="761B0A7D" w14:textId="11E97A0A">
    <w:pPr>
      <w:pStyle w:val="Header"/>
      <w:jc w:val="center"/>
    </w:pPr>
  </w:p>
  <w:p w:rsidR="00FD0F53" w:rsidRDefault="00FD0F53" w14:paraId="36D38F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85B"/>
    <w:multiLevelType w:val="hybridMultilevel"/>
    <w:tmpl w:val="77CE989C"/>
    <w:lvl w:ilvl="0" w:tplc="21A61D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73837"/>
    <w:multiLevelType w:val="hybridMultilevel"/>
    <w:tmpl w:val="3DD46D96"/>
    <w:lvl w:ilvl="0" w:tplc="A200526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7085D"/>
    <w:multiLevelType w:val="hybridMultilevel"/>
    <w:tmpl w:val="C8CE203E"/>
    <w:lvl w:ilvl="0" w:tplc="C4DA9334">
      <w:start w:val="80"/>
      <w:numFmt w:val="bullet"/>
      <w:lvlText w:val="-"/>
      <w:lvlJc w:val="left"/>
      <w:pPr>
        <w:ind w:left="1170" w:hanging="360"/>
      </w:pPr>
      <w:rPr>
        <w:rFonts w:ascii="Times New Roman" w:eastAsiaTheme="minorHAnsi"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 w15:restartNumberingAfterBreak="0">
    <w:nsid w:val="14704523"/>
    <w:multiLevelType w:val="hybridMultilevel"/>
    <w:tmpl w:val="B96E3954"/>
    <w:lvl w:ilvl="0" w:tplc="7D9AFE9E">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4" w15:restartNumberingAfterBreak="0">
    <w:nsid w:val="1BA673AA"/>
    <w:multiLevelType w:val="hybridMultilevel"/>
    <w:tmpl w:val="49F80588"/>
    <w:lvl w:ilvl="0" w:tplc="294A6AD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A95096"/>
    <w:multiLevelType w:val="hybridMultilevel"/>
    <w:tmpl w:val="E4C85FCE"/>
    <w:lvl w:ilvl="0" w:tplc="04260001">
      <w:start w:val="1"/>
      <w:numFmt w:val="bullet"/>
      <w:lvlText w:val=""/>
      <w:lvlJc w:val="left"/>
      <w:pPr>
        <w:ind w:left="720" w:hanging="360"/>
      </w:pPr>
      <w:rPr>
        <w:rFonts w:ascii="Symbol" w:hAnsi="Symbol" w:hint="default"/>
        <w:sz w:val="24"/>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C798A"/>
    <w:multiLevelType w:val="hybridMultilevel"/>
    <w:tmpl w:val="CEA8AB2E"/>
    <w:lvl w:ilvl="0" w:tplc="04260001">
      <w:start w:val="1"/>
      <w:numFmt w:val="bullet"/>
      <w:lvlText w:val=""/>
      <w:lvlJc w:val="left"/>
      <w:pPr>
        <w:ind w:left="720" w:hanging="360"/>
      </w:pPr>
      <w:rPr>
        <w:rFonts w:ascii="Symbol" w:hAnsi="Symbol" w:hint="default"/>
        <w:sz w:val="24"/>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F194F"/>
    <w:multiLevelType w:val="hybridMultilevel"/>
    <w:tmpl w:val="D4264EBE"/>
    <w:lvl w:ilvl="0" w:tplc="22CC78C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4FC5C7E"/>
    <w:multiLevelType w:val="hybridMultilevel"/>
    <w:tmpl w:val="43E867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88669A"/>
    <w:multiLevelType w:val="hybridMultilevel"/>
    <w:tmpl w:val="95D69D56"/>
    <w:lvl w:ilvl="0" w:tplc="C59A19AE">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D6D40BF"/>
    <w:multiLevelType w:val="hybridMultilevel"/>
    <w:tmpl w:val="3F1C6E3C"/>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11" w15:restartNumberingAfterBreak="0">
    <w:nsid w:val="4E7057E9"/>
    <w:multiLevelType w:val="hybridMultilevel"/>
    <w:tmpl w:val="89B08C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661A61"/>
    <w:multiLevelType w:val="hybridMultilevel"/>
    <w:tmpl w:val="28CC9F0A"/>
    <w:lvl w:ilvl="0" w:tplc="34F866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2CE1A00"/>
    <w:multiLevelType w:val="hybridMultilevel"/>
    <w:tmpl w:val="7646ED04"/>
    <w:lvl w:ilvl="0" w:tplc="A66ABF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911413D"/>
    <w:multiLevelType w:val="hybridMultilevel"/>
    <w:tmpl w:val="674C34E2"/>
    <w:lvl w:ilvl="0" w:tplc="C93EEAFC">
      <w:start w:val="1"/>
      <w:numFmt w:val="decimal"/>
      <w:lvlText w:val="%1)"/>
      <w:lvlJc w:val="left"/>
      <w:pPr>
        <w:ind w:left="1155" w:hanging="55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4"/>
  </w:num>
  <w:num w:numId="2">
    <w:abstractNumId w:val="0"/>
  </w:num>
  <w:num w:numId="3">
    <w:abstractNumId w:val="3"/>
  </w:num>
  <w:num w:numId="4">
    <w:abstractNumId w:val="2"/>
  </w:num>
  <w:num w:numId="5">
    <w:abstractNumId w:val="9"/>
  </w:num>
  <w:num w:numId="6">
    <w:abstractNumId w:val="14"/>
  </w:num>
  <w:num w:numId="7">
    <w:abstractNumId w:val="13"/>
  </w:num>
  <w:num w:numId="8">
    <w:abstractNumId w:val="12"/>
  </w:num>
  <w:num w:numId="9">
    <w:abstractNumId w:val="10"/>
  </w:num>
  <w:num w:numId="10">
    <w:abstractNumId w:val="11"/>
  </w:num>
  <w:num w:numId="11">
    <w:abstractNumId w:val="5"/>
  </w:num>
  <w:num w:numId="12">
    <w:abstractNumId w:val="6"/>
  </w:num>
  <w:num w:numId="13">
    <w:abstractNumId w:val="1"/>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57"/>
    <w:rsid w:val="000022A8"/>
    <w:rsid w:val="0001461B"/>
    <w:rsid w:val="00017506"/>
    <w:rsid w:val="00017810"/>
    <w:rsid w:val="00021396"/>
    <w:rsid w:val="000243ED"/>
    <w:rsid w:val="00032615"/>
    <w:rsid w:val="00034928"/>
    <w:rsid w:val="00040A00"/>
    <w:rsid w:val="00047293"/>
    <w:rsid w:val="00047503"/>
    <w:rsid w:val="00047954"/>
    <w:rsid w:val="00056826"/>
    <w:rsid w:val="00060CC5"/>
    <w:rsid w:val="0006469B"/>
    <w:rsid w:val="00065C9D"/>
    <w:rsid w:val="00066494"/>
    <w:rsid w:val="00072A44"/>
    <w:rsid w:val="000825A0"/>
    <w:rsid w:val="0009115E"/>
    <w:rsid w:val="000923DE"/>
    <w:rsid w:val="00092758"/>
    <w:rsid w:val="000973A7"/>
    <w:rsid w:val="000A022E"/>
    <w:rsid w:val="000A384C"/>
    <w:rsid w:val="000A3867"/>
    <w:rsid w:val="000A4C71"/>
    <w:rsid w:val="000A748A"/>
    <w:rsid w:val="000B3F0A"/>
    <w:rsid w:val="000B478A"/>
    <w:rsid w:val="000B4B52"/>
    <w:rsid w:val="000B7665"/>
    <w:rsid w:val="000C1BCF"/>
    <w:rsid w:val="000C326A"/>
    <w:rsid w:val="000C38A4"/>
    <w:rsid w:val="000C4C7C"/>
    <w:rsid w:val="000E0AF7"/>
    <w:rsid w:val="000E2596"/>
    <w:rsid w:val="000E799E"/>
    <w:rsid w:val="000F4AF5"/>
    <w:rsid w:val="000F5148"/>
    <w:rsid w:val="00101E1E"/>
    <w:rsid w:val="00111A9F"/>
    <w:rsid w:val="00112147"/>
    <w:rsid w:val="001156F7"/>
    <w:rsid w:val="00117753"/>
    <w:rsid w:val="00126DBE"/>
    <w:rsid w:val="0013240B"/>
    <w:rsid w:val="001347E8"/>
    <w:rsid w:val="00140AAC"/>
    <w:rsid w:val="001426CE"/>
    <w:rsid w:val="001449D5"/>
    <w:rsid w:val="001458B8"/>
    <w:rsid w:val="0015342A"/>
    <w:rsid w:val="00155167"/>
    <w:rsid w:val="0015762B"/>
    <w:rsid w:val="00163859"/>
    <w:rsid w:val="00163A76"/>
    <w:rsid w:val="00165F20"/>
    <w:rsid w:val="00170943"/>
    <w:rsid w:val="0017190E"/>
    <w:rsid w:val="001870FF"/>
    <w:rsid w:val="001924E3"/>
    <w:rsid w:val="00192AD9"/>
    <w:rsid w:val="00196D4C"/>
    <w:rsid w:val="001A27D8"/>
    <w:rsid w:val="001A469F"/>
    <w:rsid w:val="001B1375"/>
    <w:rsid w:val="001C4700"/>
    <w:rsid w:val="001C5181"/>
    <w:rsid w:val="001C7710"/>
    <w:rsid w:val="001C7DED"/>
    <w:rsid w:val="001D3A5C"/>
    <w:rsid w:val="001D5694"/>
    <w:rsid w:val="001E1C0E"/>
    <w:rsid w:val="001F127B"/>
    <w:rsid w:val="001F2FE6"/>
    <w:rsid w:val="001F7781"/>
    <w:rsid w:val="002114EC"/>
    <w:rsid w:val="00212EBA"/>
    <w:rsid w:val="002149EC"/>
    <w:rsid w:val="00220E39"/>
    <w:rsid w:val="00221152"/>
    <w:rsid w:val="00224674"/>
    <w:rsid w:val="002428FF"/>
    <w:rsid w:val="002431C1"/>
    <w:rsid w:val="00245CA3"/>
    <w:rsid w:val="00256CBA"/>
    <w:rsid w:val="0026115E"/>
    <w:rsid w:val="0026133C"/>
    <w:rsid w:val="00261428"/>
    <w:rsid w:val="002660C2"/>
    <w:rsid w:val="002678EB"/>
    <w:rsid w:val="00270542"/>
    <w:rsid w:val="002763BA"/>
    <w:rsid w:val="002804BF"/>
    <w:rsid w:val="00282B35"/>
    <w:rsid w:val="00283DA6"/>
    <w:rsid w:val="00285C7F"/>
    <w:rsid w:val="00291A77"/>
    <w:rsid w:val="002934BC"/>
    <w:rsid w:val="002977C1"/>
    <w:rsid w:val="002A2A53"/>
    <w:rsid w:val="002A4836"/>
    <w:rsid w:val="002B2CBA"/>
    <w:rsid w:val="002B3474"/>
    <w:rsid w:val="002B4928"/>
    <w:rsid w:val="002B6894"/>
    <w:rsid w:val="002C0E5B"/>
    <w:rsid w:val="002C7069"/>
    <w:rsid w:val="002E0BFA"/>
    <w:rsid w:val="002F3504"/>
    <w:rsid w:val="0030152B"/>
    <w:rsid w:val="00301C78"/>
    <w:rsid w:val="00305014"/>
    <w:rsid w:val="003064BA"/>
    <w:rsid w:val="003077C5"/>
    <w:rsid w:val="0031005B"/>
    <w:rsid w:val="003115D3"/>
    <w:rsid w:val="00314D4C"/>
    <w:rsid w:val="00324655"/>
    <w:rsid w:val="003268AF"/>
    <w:rsid w:val="00326ECE"/>
    <w:rsid w:val="00327EE7"/>
    <w:rsid w:val="00327F78"/>
    <w:rsid w:val="00333E00"/>
    <w:rsid w:val="00335E22"/>
    <w:rsid w:val="0033729F"/>
    <w:rsid w:val="00342C05"/>
    <w:rsid w:val="0034392F"/>
    <w:rsid w:val="00347D0B"/>
    <w:rsid w:val="00347EFA"/>
    <w:rsid w:val="00353DB1"/>
    <w:rsid w:val="00355785"/>
    <w:rsid w:val="00355B0E"/>
    <w:rsid w:val="003626C0"/>
    <w:rsid w:val="003626EC"/>
    <w:rsid w:val="00374892"/>
    <w:rsid w:val="00374B69"/>
    <w:rsid w:val="00375AAB"/>
    <w:rsid w:val="00375C38"/>
    <w:rsid w:val="003819E1"/>
    <w:rsid w:val="00390C1D"/>
    <w:rsid w:val="003B194F"/>
    <w:rsid w:val="003C18F2"/>
    <w:rsid w:val="003C464E"/>
    <w:rsid w:val="003D2E1E"/>
    <w:rsid w:val="003D2F6C"/>
    <w:rsid w:val="003D3738"/>
    <w:rsid w:val="003E089A"/>
    <w:rsid w:val="003E53C0"/>
    <w:rsid w:val="003E6655"/>
    <w:rsid w:val="003F0609"/>
    <w:rsid w:val="003F1DFD"/>
    <w:rsid w:val="003F3AC6"/>
    <w:rsid w:val="003F5B72"/>
    <w:rsid w:val="003F75B0"/>
    <w:rsid w:val="00403588"/>
    <w:rsid w:val="00403C48"/>
    <w:rsid w:val="00407172"/>
    <w:rsid w:val="0041241B"/>
    <w:rsid w:val="00416256"/>
    <w:rsid w:val="0042795D"/>
    <w:rsid w:val="00427B97"/>
    <w:rsid w:val="004306F3"/>
    <w:rsid w:val="004306F8"/>
    <w:rsid w:val="00434520"/>
    <w:rsid w:val="00436376"/>
    <w:rsid w:val="00437E9A"/>
    <w:rsid w:val="004405D8"/>
    <w:rsid w:val="004469B3"/>
    <w:rsid w:val="0045297E"/>
    <w:rsid w:val="0045690A"/>
    <w:rsid w:val="0046334D"/>
    <w:rsid w:val="00466C65"/>
    <w:rsid w:val="00467C5C"/>
    <w:rsid w:val="00472354"/>
    <w:rsid w:val="004769A4"/>
    <w:rsid w:val="00477400"/>
    <w:rsid w:val="00477F7A"/>
    <w:rsid w:val="00481358"/>
    <w:rsid w:val="004853F3"/>
    <w:rsid w:val="004A4835"/>
    <w:rsid w:val="004B1711"/>
    <w:rsid w:val="004C3488"/>
    <w:rsid w:val="004C7556"/>
    <w:rsid w:val="004D297F"/>
    <w:rsid w:val="004D2AAC"/>
    <w:rsid w:val="004D3A67"/>
    <w:rsid w:val="004D3DAC"/>
    <w:rsid w:val="004D6485"/>
    <w:rsid w:val="004D6BB4"/>
    <w:rsid w:val="004E08E6"/>
    <w:rsid w:val="004E3752"/>
    <w:rsid w:val="004E3AA8"/>
    <w:rsid w:val="004F1216"/>
    <w:rsid w:val="00503F8F"/>
    <w:rsid w:val="0050512F"/>
    <w:rsid w:val="005206ED"/>
    <w:rsid w:val="00524AD6"/>
    <w:rsid w:val="00527763"/>
    <w:rsid w:val="0053565C"/>
    <w:rsid w:val="00540163"/>
    <w:rsid w:val="005409C4"/>
    <w:rsid w:val="00540C48"/>
    <w:rsid w:val="005471D3"/>
    <w:rsid w:val="0055309E"/>
    <w:rsid w:val="0056378A"/>
    <w:rsid w:val="005646C4"/>
    <w:rsid w:val="00570C00"/>
    <w:rsid w:val="005812A4"/>
    <w:rsid w:val="0059052F"/>
    <w:rsid w:val="005979B2"/>
    <w:rsid w:val="005A2852"/>
    <w:rsid w:val="005A50DF"/>
    <w:rsid w:val="005A57AA"/>
    <w:rsid w:val="005B2C8D"/>
    <w:rsid w:val="005B6989"/>
    <w:rsid w:val="005B7489"/>
    <w:rsid w:val="005D3C97"/>
    <w:rsid w:val="005D640E"/>
    <w:rsid w:val="005E2E60"/>
    <w:rsid w:val="005F327E"/>
    <w:rsid w:val="005F35C5"/>
    <w:rsid w:val="005F3958"/>
    <w:rsid w:val="00603E1B"/>
    <w:rsid w:val="006070A2"/>
    <w:rsid w:val="00613DD9"/>
    <w:rsid w:val="006166EF"/>
    <w:rsid w:val="0062452D"/>
    <w:rsid w:val="00625192"/>
    <w:rsid w:val="00630124"/>
    <w:rsid w:val="00631470"/>
    <w:rsid w:val="0063414F"/>
    <w:rsid w:val="00640147"/>
    <w:rsid w:val="00641EBB"/>
    <w:rsid w:val="00653091"/>
    <w:rsid w:val="006552A1"/>
    <w:rsid w:val="006568AB"/>
    <w:rsid w:val="00663981"/>
    <w:rsid w:val="00665629"/>
    <w:rsid w:val="006702EB"/>
    <w:rsid w:val="00676A3B"/>
    <w:rsid w:val="006901FF"/>
    <w:rsid w:val="00695925"/>
    <w:rsid w:val="006A0194"/>
    <w:rsid w:val="006A5060"/>
    <w:rsid w:val="006B1F0B"/>
    <w:rsid w:val="006B3B6A"/>
    <w:rsid w:val="006B6364"/>
    <w:rsid w:val="006C2E1D"/>
    <w:rsid w:val="006F091A"/>
    <w:rsid w:val="006F19CE"/>
    <w:rsid w:val="006F4B72"/>
    <w:rsid w:val="006F74B8"/>
    <w:rsid w:val="007032B4"/>
    <w:rsid w:val="007067B8"/>
    <w:rsid w:val="00710B91"/>
    <w:rsid w:val="00710DDF"/>
    <w:rsid w:val="00711027"/>
    <w:rsid w:val="00717581"/>
    <w:rsid w:val="00717582"/>
    <w:rsid w:val="00731A58"/>
    <w:rsid w:val="0073357B"/>
    <w:rsid w:val="00733E47"/>
    <w:rsid w:val="0073461E"/>
    <w:rsid w:val="00735363"/>
    <w:rsid w:val="007406E5"/>
    <w:rsid w:val="0074671A"/>
    <w:rsid w:val="00754169"/>
    <w:rsid w:val="00754ADB"/>
    <w:rsid w:val="00754FAE"/>
    <w:rsid w:val="00757049"/>
    <w:rsid w:val="007700B7"/>
    <w:rsid w:val="007821BE"/>
    <w:rsid w:val="00782D39"/>
    <w:rsid w:val="00794D49"/>
    <w:rsid w:val="00795D8A"/>
    <w:rsid w:val="0079648A"/>
    <w:rsid w:val="007972D3"/>
    <w:rsid w:val="007A1DA2"/>
    <w:rsid w:val="007A44C4"/>
    <w:rsid w:val="007A6432"/>
    <w:rsid w:val="007A6CC9"/>
    <w:rsid w:val="007B76B4"/>
    <w:rsid w:val="007C21F2"/>
    <w:rsid w:val="007C4DBB"/>
    <w:rsid w:val="007D0186"/>
    <w:rsid w:val="007D2081"/>
    <w:rsid w:val="007D2817"/>
    <w:rsid w:val="007D3C8F"/>
    <w:rsid w:val="007D54FD"/>
    <w:rsid w:val="007D556E"/>
    <w:rsid w:val="007D6E6A"/>
    <w:rsid w:val="007D737A"/>
    <w:rsid w:val="007E0993"/>
    <w:rsid w:val="007E2DB7"/>
    <w:rsid w:val="007E58DA"/>
    <w:rsid w:val="007F0B0A"/>
    <w:rsid w:val="00804485"/>
    <w:rsid w:val="00806356"/>
    <w:rsid w:val="008144FC"/>
    <w:rsid w:val="00815269"/>
    <w:rsid w:val="00816B91"/>
    <w:rsid w:val="00821C83"/>
    <w:rsid w:val="008242F5"/>
    <w:rsid w:val="00825FDB"/>
    <w:rsid w:val="008277A2"/>
    <w:rsid w:val="00831957"/>
    <w:rsid w:val="00845266"/>
    <w:rsid w:val="00845419"/>
    <w:rsid w:val="00847859"/>
    <w:rsid w:val="00847E94"/>
    <w:rsid w:val="0085050F"/>
    <w:rsid w:val="00851FCF"/>
    <w:rsid w:val="00856F3E"/>
    <w:rsid w:val="008604E3"/>
    <w:rsid w:val="00861027"/>
    <w:rsid w:val="00862314"/>
    <w:rsid w:val="008723F3"/>
    <w:rsid w:val="00872699"/>
    <w:rsid w:val="00876D86"/>
    <w:rsid w:val="0088637B"/>
    <w:rsid w:val="00892C5B"/>
    <w:rsid w:val="00895813"/>
    <w:rsid w:val="00897001"/>
    <w:rsid w:val="008A118F"/>
    <w:rsid w:val="008A5D85"/>
    <w:rsid w:val="008A62D7"/>
    <w:rsid w:val="008B1C14"/>
    <w:rsid w:val="008B1DA3"/>
    <w:rsid w:val="008B4500"/>
    <w:rsid w:val="008C0075"/>
    <w:rsid w:val="008C53D0"/>
    <w:rsid w:val="008C54A1"/>
    <w:rsid w:val="008D4DF2"/>
    <w:rsid w:val="008E00B9"/>
    <w:rsid w:val="008E5594"/>
    <w:rsid w:val="008F03E7"/>
    <w:rsid w:val="008F2331"/>
    <w:rsid w:val="008F2F5A"/>
    <w:rsid w:val="008F5879"/>
    <w:rsid w:val="008F6308"/>
    <w:rsid w:val="008F7301"/>
    <w:rsid w:val="00904B54"/>
    <w:rsid w:val="00905C94"/>
    <w:rsid w:val="00912131"/>
    <w:rsid w:val="00914A5E"/>
    <w:rsid w:val="0092640B"/>
    <w:rsid w:val="0093528D"/>
    <w:rsid w:val="0093587F"/>
    <w:rsid w:val="00935B9F"/>
    <w:rsid w:val="00942D9A"/>
    <w:rsid w:val="009537BA"/>
    <w:rsid w:val="00953B92"/>
    <w:rsid w:val="009659DD"/>
    <w:rsid w:val="00971BD9"/>
    <w:rsid w:val="00977CC7"/>
    <w:rsid w:val="00977E0D"/>
    <w:rsid w:val="009802C5"/>
    <w:rsid w:val="00980E70"/>
    <w:rsid w:val="0098535F"/>
    <w:rsid w:val="00986E4D"/>
    <w:rsid w:val="00991982"/>
    <w:rsid w:val="009928EB"/>
    <w:rsid w:val="009A6B6E"/>
    <w:rsid w:val="009B22C4"/>
    <w:rsid w:val="009B2BDD"/>
    <w:rsid w:val="009B52E1"/>
    <w:rsid w:val="009B5AB6"/>
    <w:rsid w:val="009B631F"/>
    <w:rsid w:val="009B7179"/>
    <w:rsid w:val="009C5A09"/>
    <w:rsid w:val="009D1422"/>
    <w:rsid w:val="009E243E"/>
    <w:rsid w:val="009E2B06"/>
    <w:rsid w:val="009F273D"/>
    <w:rsid w:val="00A03066"/>
    <w:rsid w:val="00A030E9"/>
    <w:rsid w:val="00A12870"/>
    <w:rsid w:val="00A17162"/>
    <w:rsid w:val="00A23FA7"/>
    <w:rsid w:val="00A33E14"/>
    <w:rsid w:val="00A37D1B"/>
    <w:rsid w:val="00A41EE6"/>
    <w:rsid w:val="00A50BB7"/>
    <w:rsid w:val="00A53581"/>
    <w:rsid w:val="00A53A50"/>
    <w:rsid w:val="00A53FA3"/>
    <w:rsid w:val="00A5433B"/>
    <w:rsid w:val="00A547F1"/>
    <w:rsid w:val="00A55C17"/>
    <w:rsid w:val="00A5712C"/>
    <w:rsid w:val="00A61FB5"/>
    <w:rsid w:val="00A713C4"/>
    <w:rsid w:val="00A8314E"/>
    <w:rsid w:val="00A8544B"/>
    <w:rsid w:val="00A86287"/>
    <w:rsid w:val="00A862FE"/>
    <w:rsid w:val="00AA0E20"/>
    <w:rsid w:val="00AA2226"/>
    <w:rsid w:val="00AB34FF"/>
    <w:rsid w:val="00AD698F"/>
    <w:rsid w:val="00AD787E"/>
    <w:rsid w:val="00AD7C4E"/>
    <w:rsid w:val="00AE3B75"/>
    <w:rsid w:val="00AF0CBA"/>
    <w:rsid w:val="00AF1461"/>
    <w:rsid w:val="00AF3A37"/>
    <w:rsid w:val="00AF484B"/>
    <w:rsid w:val="00AF687E"/>
    <w:rsid w:val="00B01C1C"/>
    <w:rsid w:val="00B02A10"/>
    <w:rsid w:val="00B151F8"/>
    <w:rsid w:val="00B220B7"/>
    <w:rsid w:val="00B24585"/>
    <w:rsid w:val="00B30D20"/>
    <w:rsid w:val="00B33CEE"/>
    <w:rsid w:val="00B368BF"/>
    <w:rsid w:val="00B46389"/>
    <w:rsid w:val="00B55247"/>
    <w:rsid w:val="00B61308"/>
    <w:rsid w:val="00B66821"/>
    <w:rsid w:val="00B72BEB"/>
    <w:rsid w:val="00B907EB"/>
    <w:rsid w:val="00BA0840"/>
    <w:rsid w:val="00BB1A85"/>
    <w:rsid w:val="00BB1AB1"/>
    <w:rsid w:val="00BB60B1"/>
    <w:rsid w:val="00BD3680"/>
    <w:rsid w:val="00BD4BA1"/>
    <w:rsid w:val="00BE0C26"/>
    <w:rsid w:val="00BE6D88"/>
    <w:rsid w:val="00C013F6"/>
    <w:rsid w:val="00C060E3"/>
    <w:rsid w:val="00C117CD"/>
    <w:rsid w:val="00C2034F"/>
    <w:rsid w:val="00C20EBE"/>
    <w:rsid w:val="00C2146B"/>
    <w:rsid w:val="00C21BA2"/>
    <w:rsid w:val="00C24D49"/>
    <w:rsid w:val="00C272B2"/>
    <w:rsid w:val="00C34D3B"/>
    <w:rsid w:val="00C372CD"/>
    <w:rsid w:val="00C37459"/>
    <w:rsid w:val="00C43582"/>
    <w:rsid w:val="00C515CA"/>
    <w:rsid w:val="00C65326"/>
    <w:rsid w:val="00C671C9"/>
    <w:rsid w:val="00C75C5D"/>
    <w:rsid w:val="00C7669E"/>
    <w:rsid w:val="00C7794B"/>
    <w:rsid w:val="00C81860"/>
    <w:rsid w:val="00C81EAA"/>
    <w:rsid w:val="00C82247"/>
    <w:rsid w:val="00C9145C"/>
    <w:rsid w:val="00C9631E"/>
    <w:rsid w:val="00CA1519"/>
    <w:rsid w:val="00CA2B84"/>
    <w:rsid w:val="00CA4B1C"/>
    <w:rsid w:val="00CA622D"/>
    <w:rsid w:val="00CB0FC8"/>
    <w:rsid w:val="00CB3F0A"/>
    <w:rsid w:val="00CB4591"/>
    <w:rsid w:val="00CB488C"/>
    <w:rsid w:val="00CB6B5F"/>
    <w:rsid w:val="00CC23CE"/>
    <w:rsid w:val="00CD2C5B"/>
    <w:rsid w:val="00CE001A"/>
    <w:rsid w:val="00CE1780"/>
    <w:rsid w:val="00CE2DB5"/>
    <w:rsid w:val="00CE3E3A"/>
    <w:rsid w:val="00CF33A5"/>
    <w:rsid w:val="00CF6EA2"/>
    <w:rsid w:val="00D10D9A"/>
    <w:rsid w:val="00D17959"/>
    <w:rsid w:val="00D251BB"/>
    <w:rsid w:val="00D2641F"/>
    <w:rsid w:val="00D5292E"/>
    <w:rsid w:val="00D52B11"/>
    <w:rsid w:val="00D544EC"/>
    <w:rsid w:val="00D56581"/>
    <w:rsid w:val="00D56DE9"/>
    <w:rsid w:val="00D62685"/>
    <w:rsid w:val="00D74BC7"/>
    <w:rsid w:val="00D77F05"/>
    <w:rsid w:val="00D87C46"/>
    <w:rsid w:val="00D9155C"/>
    <w:rsid w:val="00D943F7"/>
    <w:rsid w:val="00D95168"/>
    <w:rsid w:val="00DA14DC"/>
    <w:rsid w:val="00DA2DBE"/>
    <w:rsid w:val="00DA4609"/>
    <w:rsid w:val="00DB2052"/>
    <w:rsid w:val="00DB57E8"/>
    <w:rsid w:val="00DC355B"/>
    <w:rsid w:val="00DD159F"/>
    <w:rsid w:val="00DD7EFD"/>
    <w:rsid w:val="00DE2933"/>
    <w:rsid w:val="00DE4623"/>
    <w:rsid w:val="00E00FCD"/>
    <w:rsid w:val="00E032BD"/>
    <w:rsid w:val="00E15FB0"/>
    <w:rsid w:val="00E17034"/>
    <w:rsid w:val="00E24DC5"/>
    <w:rsid w:val="00E24F82"/>
    <w:rsid w:val="00E2628F"/>
    <w:rsid w:val="00E26CC5"/>
    <w:rsid w:val="00E31F75"/>
    <w:rsid w:val="00E34ECA"/>
    <w:rsid w:val="00E36B42"/>
    <w:rsid w:val="00E379CC"/>
    <w:rsid w:val="00E41CA9"/>
    <w:rsid w:val="00E451B9"/>
    <w:rsid w:val="00E4673E"/>
    <w:rsid w:val="00E52805"/>
    <w:rsid w:val="00E544F7"/>
    <w:rsid w:val="00E56234"/>
    <w:rsid w:val="00E57FF0"/>
    <w:rsid w:val="00E62C90"/>
    <w:rsid w:val="00E76E93"/>
    <w:rsid w:val="00E77AE2"/>
    <w:rsid w:val="00E80631"/>
    <w:rsid w:val="00E8508F"/>
    <w:rsid w:val="00E85173"/>
    <w:rsid w:val="00E96202"/>
    <w:rsid w:val="00E97885"/>
    <w:rsid w:val="00E9797F"/>
    <w:rsid w:val="00E97B5B"/>
    <w:rsid w:val="00EA00A8"/>
    <w:rsid w:val="00EA1DBE"/>
    <w:rsid w:val="00EA4A75"/>
    <w:rsid w:val="00EB1325"/>
    <w:rsid w:val="00EB2A9A"/>
    <w:rsid w:val="00EC0557"/>
    <w:rsid w:val="00EC20B1"/>
    <w:rsid w:val="00EC3664"/>
    <w:rsid w:val="00EC3F97"/>
    <w:rsid w:val="00ED1BE7"/>
    <w:rsid w:val="00ED366F"/>
    <w:rsid w:val="00ED44D4"/>
    <w:rsid w:val="00EE10AA"/>
    <w:rsid w:val="00EE48C8"/>
    <w:rsid w:val="00EE4E67"/>
    <w:rsid w:val="00EE73B4"/>
    <w:rsid w:val="00EE764B"/>
    <w:rsid w:val="00EF4AE4"/>
    <w:rsid w:val="00EF5EBB"/>
    <w:rsid w:val="00F002AF"/>
    <w:rsid w:val="00F020A8"/>
    <w:rsid w:val="00F053B6"/>
    <w:rsid w:val="00F05447"/>
    <w:rsid w:val="00F05A9D"/>
    <w:rsid w:val="00F06939"/>
    <w:rsid w:val="00F21E37"/>
    <w:rsid w:val="00F22C8F"/>
    <w:rsid w:val="00F23BD1"/>
    <w:rsid w:val="00F3434B"/>
    <w:rsid w:val="00F3599E"/>
    <w:rsid w:val="00F37601"/>
    <w:rsid w:val="00F426E5"/>
    <w:rsid w:val="00F45CD3"/>
    <w:rsid w:val="00F5256B"/>
    <w:rsid w:val="00F61624"/>
    <w:rsid w:val="00F621C1"/>
    <w:rsid w:val="00F64A18"/>
    <w:rsid w:val="00F64A3B"/>
    <w:rsid w:val="00F720D4"/>
    <w:rsid w:val="00F743D3"/>
    <w:rsid w:val="00F862FB"/>
    <w:rsid w:val="00F904C1"/>
    <w:rsid w:val="00F92956"/>
    <w:rsid w:val="00F93A29"/>
    <w:rsid w:val="00FA07CF"/>
    <w:rsid w:val="00FA1C2F"/>
    <w:rsid w:val="00FA7A7A"/>
    <w:rsid w:val="00FB641A"/>
    <w:rsid w:val="00FC7AF9"/>
    <w:rsid w:val="00FD0F53"/>
    <w:rsid w:val="00FD4D5D"/>
    <w:rsid w:val="00FD7C6B"/>
    <w:rsid w:val="00FE4D59"/>
    <w:rsid w:val="00FF10E7"/>
    <w:rsid w:val="00FF223E"/>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746"/>
  <w15:chartTrackingRefBased/>
  <w15:docId w15:val="{61AB7D32-27DE-4493-884C-50D8D31B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C8"/>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53D0"/>
    <w:pPr>
      <w:spacing w:after="160" w:line="259" w:lineRule="auto"/>
      <w:ind w:left="720"/>
      <w:contextualSpacing/>
    </w:pPr>
    <w:rPr>
      <w:rFonts w:asciiTheme="minorHAnsi" w:eastAsiaTheme="minorHAnsi" w:hAnsiTheme="minorHAnsi" w:cstheme="minorBidi"/>
      <w:sz w:val="22"/>
      <w:szCs w:val="22"/>
      <w:lang w:val="lv-LV" w:eastAsia="en-US"/>
    </w:rPr>
  </w:style>
  <w:style w:type="paragraph" w:styleId="NoSpacing">
    <w:name w:val="No Spacing"/>
    <w:link w:val="NoSpacingChar"/>
    <w:uiPriority w:val="1"/>
    <w:qFormat/>
    <w:rsid w:val="001458B8"/>
    <w:pPr>
      <w:spacing w:after="0" w:line="240" w:lineRule="auto"/>
    </w:pPr>
    <w:rPr>
      <w:rFonts w:ascii="Times New Roman" w:hAnsi="Times New Roman" w:cs="Times New Roman"/>
      <w:sz w:val="28"/>
      <w:szCs w:val="28"/>
    </w:rPr>
  </w:style>
  <w:style w:type="character" w:customStyle="1" w:styleId="NoSpacingChar">
    <w:name w:val="No Spacing Char"/>
    <w:basedOn w:val="DefaultParagraphFont"/>
    <w:link w:val="NoSpacing"/>
    <w:uiPriority w:val="1"/>
    <w:rsid w:val="001458B8"/>
    <w:rPr>
      <w:rFonts w:ascii="Times New Roman" w:hAnsi="Times New Roman" w:cs="Times New Roman"/>
      <w:sz w:val="28"/>
      <w:szCs w:val="28"/>
    </w:rPr>
  </w:style>
  <w:style w:type="table" w:styleId="TableGrid">
    <w:name w:val="Table Grid"/>
    <w:basedOn w:val="TableNormal"/>
    <w:uiPriority w:val="59"/>
    <w:rsid w:val="00472354"/>
    <w:pPr>
      <w:spacing w:after="0" w:line="240" w:lineRule="auto"/>
    </w:pPr>
    <w:rPr>
      <w:rFonts w:ascii="Times New Roman" w:hAnsi="Times New Roman" w:cs="Times New Roman"/>
      <w:color w:val="000000" w:themeColor="text1"/>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162"/>
    <w:rPr>
      <w:color w:val="0000FF"/>
      <w:u w:val="single"/>
    </w:rPr>
  </w:style>
  <w:style w:type="paragraph" w:customStyle="1" w:styleId="tv213">
    <w:name w:val="tv213"/>
    <w:basedOn w:val="Normal"/>
    <w:rsid w:val="00A547F1"/>
    <w:pPr>
      <w:spacing w:before="100" w:beforeAutospacing="1" w:after="100" w:afterAutospacing="1"/>
    </w:pPr>
    <w:rPr>
      <w:lang w:val="lv-LV" w:eastAsia="lv-LV"/>
    </w:rPr>
  </w:style>
  <w:style w:type="paragraph" w:styleId="FootnoteText">
    <w:name w:val="footnote text"/>
    <w:basedOn w:val="Normal"/>
    <w:link w:val="FootnoteTextChar"/>
    <w:uiPriority w:val="99"/>
    <w:semiHidden/>
    <w:unhideWhenUsed/>
    <w:rsid w:val="00CB4591"/>
    <w:rPr>
      <w:sz w:val="20"/>
      <w:szCs w:val="20"/>
      <w:lang w:val="lv-LV" w:eastAsia="lv-LV"/>
    </w:rPr>
  </w:style>
  <w:style w:type="character" w:customStyle="1" w:styleId="FootnoteTextChar">
    <w:name w:val="Footnote Text Char"/>
    <w:basedOn w:val="DefaultParagraphFont"/>
    <w:link w:val="FootnoteText"/>
    <w:uiPriority w:val="99"/>
    <w:semiHidden/>
    <w:rsid w:val="00CB45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CB4591"/>
    <w:rPr>
      <w:vertAlign w:val="superscript"/>
    </w:rPr>
  </w:style>
  <w:style w:type="character" w:styleId="UnresolvedMention">
    <w:name w:val="Unresolved Mention"/>
    <w:basedOn w:val="DefaultParagraphFont"/>
    <w:uiPriority w:val="99"/>
    <w:semiHidden/>
    <w:unhideWhenUsed/>
    <w:rsid w:val="005A2852"/>
    <w:rPr>
      <w:color w:val="605E5C"/>
      <w:shd w:val="clear" w:color="auto" w:fill="E1DFDD"/>
    </w:rPr>
  </w:style>
  <w:style w:type="character" w:styleId="FollowedHyperlink">
    <w:name w:val="FollowedHyperlink"/>
    <w:basedOn w:val="DefaultParagraphFont"/>
    <w:uiPriority w:val="99"/>
    <w:semiHidden/>
    <w:unhideWhenUsed/>
    <w:rsid w:val="005A2852"/>
    <w:rPr>
      <w:color w:val="954F72" w:themeColor="followedHyperlink"/>
      <w:u w:val="single"/>
    </w:rPr>
  </w:style>
  <w:style w:type="paragraph" w:styleId="NormalWeb">
    <w:name w:val="Normal (Web)"/>
    <w:basedOn w:val="Normal"/>
    <w:uiPriority w:val="99"/>
    <w:semiHidden/>
    <w:unhideWhenUsed/>
    <w:rsid w:val="00314D4C"/>
  </w:style>
  <w:style w:type="character" w:styleId="CommentReference">
    <w:name w:val="annotation reference"/>
    <w:basedOn w:val="DefaultParagraphFont"/>
    <w:uiPriority w:val="99"/>
    <w:semiHidden/>
    <w:unhideWhenUsed/>
    <w:rsid w:val="002E0BFA"/>
    <w:rPr>
      <w:sz w:val="16"/>
      <w:szCs w:val="16"/>
    </w:rPr>
  </w:style>
  <w:style w:type="paragraph" w:styleId="CommentText">
    <w:name w:val="annotation text"/>
    <w:basedOn w:val="Normal"/>
    <w:link w:val="CommentTextChar"/>
    <w:uiPriority w:val="99"/>
    <w:semiHidden/>
    <w:unhideWhenUsed/>
    <w:rsid w:val="002E0BFA"/>
    <w:rPr>
      <w:sz w:val="20"/>
      <w:szCs w:val="20"/>
    </w:rPr>
  </w:style>
  <w:style w:type="character" w:customStyle="1" w:styleId="CommentTextChar">
    <w:name w:val="Comment Text Char"/>
    <w:basedOn w:val="DefaultParagraphFont"/>
    <w:link w:val="CommentText"/>
    <w:uiPriority w:val="99"/>
    <w:semiHidden/>
    <w:rsid w:val="002E0BF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E0BFA"/>
    <w:rPr>
      <w:b/>
      <w:bCs/>
    </w:rPr>
  </w:style>
  <w:style w:type="character" w:customStyle="1" w:styleId="CommentSubjectChar">
    <w:name w:val="Comment Subject Char"/>
    <w:basedOn w:val="CommentTextChar"/>
    <w:link w:val="CommentSubject"/>
    <w:uiPriority w:val="99"/>
    <w:semiHidden/>
    <w:rsid w:val="002E0BFA"/>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2E0BFA"/>
    <w:rPr>
      <w:sz w:val="18"/>
      <w:szCs w:val="18"/>
    </w:rPr>
  </w:style>
  <w:style w:type="character" w:customStyle="1" w:styleId="BalloonTextChar">
    <w:name w:val="Balloon Text Char"/>
    <w:basedOn w:val="DefaultParagraphFont"/>
    <w:link w:val="BalloonText"/>
    <w:uiPriority w:val="99"/>
    <w:semiHidden/>
    <w:rsid w:val="002E0BFA"/>
    <w:rPr>
      <w:rFonts w:ascii="Times New Roman" w:eastAsia="Times New Roman" w:hAnsi="Times New Roman" w:cs="Times New Roman"/>
      <w:sz w:val="18"/>
      <w:szCs w:val="18"/>
      <w:lang w:val="en-US" w:eastAsia="en-GB"/>
    </w:rPr>
  </w:style>
  <w:style w:type="character" w:customStyle="1" w:styleId="ListParagraphChar">
    <w:name w:val="List Paragraph Char"/>
    <w:basedOn w:val="DefaultParagraphFont"/>
    <w:link w:val="ListParagraph"/>
    <w:uiPriority w:val="34"/>
    <w:qFormat/>
    <w:locked/>
    <w:rsid w:val="00FA7A7A"/>
  </w:style>
  <w:style w:type="paragraph" w:customStyle="1" w:styleId="labojumupamats">
    <w:name w:val="labojumu_pamats"/>
    <w:basedOn w:val="Normal"/>
    <w:rsid w:val="00A030E9"/>
    <w:pPr>
      <w:spacing w:before="100" w:beforeAutospacing="1" w:after="100" w:afterAutospacing="1"/>
    </w:pPr>
    <w:rPr>
      <w:lang w:val="lv-LV" w:eastAsia="lv-LV"/>
    </w:rPr>
  </w:style>
  <w:style w:type="paragraph" w:styleId="Header">
    <w:name w:val="header"/>
    <w:basedOn w:val="Normal"/>
    <w:link w:val="HeaderChar"/>
    <w:uiPriority w:val="99"/>
    <w:unhideWhenUsed/>
    <w:rsid w:val="009E2B06"/>
    <w:pPr>
      <w:tabs>
        <w:tab w:val="center" w:pos="4153"/>
        <w:tab w:val="right" w:pos="8306"/>
      </w:tabs>
    </w:pPr>
  </w:style>
  <w:style w:type="character" w:customStyle="1" w:styleId="HeaderChar">
    <w:name w:val="Header Char"/>
    <w:basedOn w:val="DefaultParagraphFont"/>
    <w:link w:val="Header"/>
    <w:uiPriority w:val="99"/>
    <w:rsid w:val="009E2B06"/>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9E2B06"/>
    <w:pPr>
      <w:tabs>
        <w:tab w:val="center" w:pos="4153"/>
        <w:tab w:val="right" w:pos="8306"/>
      </w:tabs>
    </w:pPr>
  </w:style>
  <w:style w:type="character" w:customStyle="1" w:styleId="FooterChar">
    <w:name w:val="Footer Char"/>
    <w:basedOn w:val="DefaultParagraphFont"/>
    <w:link w:val="Footer"/>
    <w:uiPriority w:val="99"/>
    <w:rsid w:val="009E2B06"/>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5561">
      <w:bodyDiv w:val="1"/>
      <w:marLeft w:val="0"/>
      <w:marRight w:val="0"/>
      <w:marTop w:val="0"/>
      <w:marBottom w:val="0"/>
      <w:divBdr>
        <w:top w:val="none" w:sz="0" w:space="0" w:color="auto"/>
        <w:left w:val="none" w:sz="0" w:space="0" w:color="auto"/>
        <w:bottom w:val="none" w:sz="0" w:space="0" w:color="auto"/>
        <w:right w:val="none" w:sz="0" w:space="0" w:color="auto"/>
      </w:divBdr>
    </w:div>
    <w:div w:id="82148161">
      <w:bodyDiv w:val="1"/>
      <w:marLeft w:val="0"/>
      <w:marRight w:val="0"/>
      <w:marTop w:val="0"/>
      <w:marBottom w:val="0"/>
      <w:divBdr>
        <w:top w:val="none" w:sz="0" w:space="0" w:color="auto"/>
        <w:left w:val="none" w:sz="0" w:space="0" w:color="auto"/>
        <w:bottom w:val="none" w:sz="0" w:space="0" w:color="auto"/>
        <w:right w:val="none" w:sz="0" w:space="0" w:color="auto"/>
      </w:divBdr>
    </w:div>
    <w:div w:id="211813474">
      <w:bodyDiv w:val="1"/>
      <w:marLeft w:val="0"/>
      <w:marRight w:val="0"/>
      <w:marTop w:val="0"/>
      <w:marBottom w:val="0"/>
      <w:divBdr>
        <w:top w:val="none" w:sz="0" w:space="0" w:color="auto"/>
        <w:left w:val="none" w:sz="0" w:space="0" w:color="auto"/>
        <w:bottom w:val="none" w:sz="0" w:space="0" w:color="auto"/>
        <w:right w:val="none" w:sz="0" w:space="0" w:color="auto"/>
      </w:divBdr>
    </w:div>
    <w:div w:id="260340488">
      <w:bodyDiv w:val="1"/>
      <w:marLeft w:val="0"/>
      <w:marRight w:val="0"/>
      <w:marTop w:val="0"/>
      <w:marBottom w:val="0"/>
      <w:divBdr>
        <w:top w:val="none" w:sz="0" w:space="0" w:color="auto"/>
        <w:left w:val="none" w:sz="0" w:space="0" w:color="auto"/>
        <w:bottom w:val="none" w:sz="0" w:space="0" w:color="auto"/>
        <w:right w:val="none" w:sz="0" w:space="0" w:color="auto"/>
      </w:divBdr>
    </w:div>
    <w:div w:id="355888346">
      <w:bodyDiv w:val="1"/>
      <w:marLeft w:val="0"/>
      <w:marRight w:val="0"/>
      <w:marTop w:val="0"/>
      <w:marBottom w:val="0"/>
      <w:divBdr>
        <w:top w:val="none" w:sz="0" w:space="0" w:color="auto"/>
        <w:left w:val="none" w:sz="0" w:space="0" w:color="auto"/>
        <w:bottom w:val="none" w:sz="0" w:space="0" w:color="auto"/>
        <w:right w:val="none" w:sz="0" w:space="0" w:color="auto"/>
      </w:divBdr>
    </w:div>
    <w:div w:id="370806509">
      <w:bodyDiv w:val="1"/>
      <w:marLeft w:val="0"/>
      <w:marRight w:val="0"/>
      <w:marTop w:val="0"/>
      <w:marBottom w:val="0"/>
      <w:divBdr>
        <w:top w:val="none" w:sz="0" w:space="0" w:color="auto"/>
        <w:left w:val="none" w:sz="0" w:space="0" w:color="auto"/>
        <w:bottom w:val="none" w:sz="0" w:space="0" w:color="auto"/>
        <w:right w:val="none" w:sz="0" w:space="0" w:color="auto"/>
      </w:divBdr>
    </w:div>
    <w:div w:id="426779848">
      <w:bodyDiv w:val="1"/>
      <w:marLeft w:val="0"/>
      <w:marRight w:val="0"/>
      <w:marTop w:val="0"/>
      <w:marBottom w:val="0"/>
      <w:divBdr>
        <w:top w:val="none" w:sz="0" w:space="0" w:color="auto"/>
        <w:left w:val="none" w:sz="0" w:space="0" w:color="auto"/>
        <w:bottom w:val="none" w:sz="0" w:space="0" w:color="auto"/>
        <w:right w:val="none" w:sz="0" w:space="0" w:color="auto"/>
      </w:divBdr>
    </w:div>
    <w:div w:id="433209540">
      <w:bodyDiv w:val="1"/>
      <w:marLeft w:val="0"/>
      <w:marRight w:val="0"/>
      <w:marTop w:val="0"/>
      <w:marBottom w:val="0"/>
      <w:divBdr>
        <w:top w:val="none" w:sz="0" w:space="0" w:color="auto"/>
        <w:left w:val="none" w:sz="0" w:space="0" w:color="auto"/>
        <w:bottom w:val="none" w:sz="0" w:space="0" w:color="auto"/>
        <w:right w:val="none" w:sz="0" w:space="0" w:color="auto"/>
      </w:divBdr>
    </w:div>
    <w:div w:id="435709576">
      <w:bodyDiv w:val="1"/>
      <w:marLeft w:val="0"/>
      <w:marRight w:val="0"/>
      <w:marTop w:val="0"/>
      <w:marBottom w:val="0"/>
      <w:divBdr>
        <w:top w:val="none" w:sz="0" w:space="0" w:color="auto"/>
        <w:left w:val="none" w:sz="0" w:space="0" w:color="auto"/>
        <w:bottom w:val="none" w:sz="0" w:space="0" w:color="auto"/>
        <w:right w:val="none" w:sz="0" w:space="0" w:color="auto"/>
      </w:divBdr>
    </w:div>
    <w:div w:id="679816178">
      <w:bodyDiv w:val="1"/>
      <w:marLeft w:val="0"/>
      <w:marRight w:val="0"/>
      <w:marTop w:val="0"/>
      <w:marBottom w:val="0"/>
      <w:divBdr>
        <w:top w:val="none" w:sz="0" w:space="0" w:color="auto"/>
        <w:left w:val="none" w:sz="0" w:space="0" w:color="auto"/>
        <w:bottom w:val="none" w:sz="0" w:space="0" w:color="auto"/>
        <w:right w:val="none" w:sz="0" w:space="0" w:color="auto"/>
      </w:divBdr>
    </w:div>
    <w:div w:id="857278664">
      <w:bodyDiv w:val="1"/>
      <w:marLeft w:val="0"/>
      <w:marRight w:val="0"/>
      <w:marTop w:val="0"/>
      <w:marBottom w:val="0"/>
      <w:divBdr>
        <w:top w:val="none" w:sz="0" w:space="0" w:color="auto"/>
        <w:left w:val="none" w:sz="0" w:space="0" w:color="auto"/>
        <w:bottom w:val="none" w:sz="0" w:space="0" w:color="auto"/>
        <w:right w:val="none" w:sz="0" w:space="0" w:color="auto"/>
      </w:divBdr>
    </w:div>
    <w:div w:id="916012391">
      <w:bodyDiv w:val="1"/>
      <w:marLeft w:val="0"/>
      <w:marRight w:val="0"/>
      <w:marTop w:val="0"/>
      <w:marBottom w:val="0"/>
      <w:divBdr>
        <w:top w:val="none" w:sz="0" w:space="0" w:color="auto"/>
        <w:left w:val="none" w:sz="0" w:space="0" w:color="auto"/>
        <w:bottom w:val="none" w:sz="0" w:space="0" w:color="auto"/>
        <w:right w:val="none" w:sz="0" w:space="0" w:color="auto"/>
      </w:divBdr>
    </w:div>
    <w:div w:id="995644322">
      <w:bodyDiv w:val="1"/>
      <w:marLeft w:val="0"/>
      <w:marRight w:val="0"/>
      <w:marTop w:val="0"/>
      <w:marBottom w:val="0"/>
      <w:divBdr>
        <w:top w:val="none" w:sz="0" w:space="0" w:color="auto"/>
        <w:left w:val="none" w:sz="0" w:space="0" w:color="auto"/>
        <w:bottom w:val="none" w:sz="0" w:space="0" w:color="auto"/>
        <w:right w:val="none" w:sz="0" w:space="0" w:color="auto"/>
      </w:divBdr>
    </w:div>
    <w:div w:id="1153715340">
      <w:bodyDiv w:val="1"/>
      <w:marLeft w:val="0"/>
      <w:marRight w:val="0"/>
      <w:marTop w:val="0"/>
      <w:marBottom w:val="0"/>
      <w:divBdr>
        <w:top w:val="none" w:sz="0" w:space="0" w:color="auto"/>
        <w:left w:val="none" w:sz="0" w:space="0" w:color="auto"/>
        <w:bottom w:val="none" w:sz="0" w:space="0" w:color="auto"/>
        <w:right w:val="none" w:sz="0" w:space="0" w:color="auto"/>
      </w:divBdr>
    </w:div>
    <w:div w:id="1185822406">
      <w:bodyDiv w:val="1"/>
      <w:marLeft w:val="0"/>
      <w:marRight w:val="0"/>
      <w:marTop w:val="0"/>
      <w:marBottom w:val="0"/>
      <w:divBdr>
        <w:top w:val="none" w:sz="0" w:space="0" w:color="auto"/>
        <w:left w:val="none" w:sz="0" w:space="0" w:color="auto"/>
        <w:bottom w:val="none" w:sz="0" w:space="0" w:color="auto"/>
        <w:right w:val="none" w:sz="0" w:space="0" w:color="auto"/>
      </w:divBdr>
    </w:div>
    <w:div w:id="1269042801">
      <w:bodyDiv w:val="1"/>
      <w:marLeft w:val="0"/>
      <w:marRight w:val="0"/>
      <w:marTop w:val="0"/>
      <w:marBottom w:val="0"/>
      <w:divBdr>
        <w:top w:val="none" w:sz="0" w:space="0" w:color="auto"/>
        <w:left w:val="none" w:sz="0" w:space="0" w:color="auto"/>
        <w:bottom w:val="none" w:sz="0" w:space="0" w:color="auto"/>
        <w:right w:val="none" w:sz="0" w:space="0" w:color="auto"/>
      </w:divBdr>
    </w:div>
    <w:div w:id="1281112767">
      <w:bodyDiv w:val="1"/>
      <w:marLeft w:val="0"/>
      <w:marRight w:val="0"/>
      <w:marTop w:val="0"/>
      <w:marBottom w:val="0"/>
      <w:divBdr>
        <w:top w:val="none" w:sz="0" w:space="0" w:color="auto"/>
        <w:left w:val="none" w:sz="0" w:space="0" w:color="auto"/>
        <w:bottom w:val="none" w:sz="0" w:space="0" w:color="auto"/>
        <w:right w:val="none" w:sz="0" w:space="0" w:color="auto"/>
      </w:divBdr>
    </w:div>
    <w:div w:id="1313557297">
      <w:bodyDiv w:val="1"/>
      <w:marLeft w:val="0"/>
      <w:marRight w:val="0"/>
      <w:marTop w:val="0"/>
      <w:marBottom w:val="0"/>
      <w:divBdr>
        <w:top w:val="none" w:sz="0" w:space="0" w:color="auto"/>
        <w:left w:val="none" w:sz="0" w:space="0" w:color="auto"/>
        <w:bottom w:val="none" w:sz="0" w:space="0" w:color="auto"/>
        <w:right w:val="none" w:sz="0" w:space="0" w:color="auto"/>
      </w:divBdr>
    </w:div>
    <w:div w:id="1357274259">
      <w:bodyDiv w:val="1"/>
      <w:marLeft w:val="0"/>
      <w:marRight w:val="0"/>
      <w:marTop w:val="0"/>
      <w:marBottom w:val="0"/>
      <w:divBdr>
        <w:top w:val="none" w:sz="0" w:space="0" w:color="auto"/>
        <w:left w:val="none" w:sz="0" w:space="0" w:color="auto"/>
        <w:bottom w:val="none" w:sz="0" w:space="0" w:color="auto"/>
        <w:right w:val="none" w:sz="0" w:space="0" w:color="auto"/>
      </w:divBdr>
      <w:divsChild>
        <w:div w:id="1655335386">
          <w:marLeft w:val="0"/>
          <w:marRight w:val="0"/>
          <w:marTop w:val="0"/>
          <w:marBottom w:val="0"/>
          <w:divBdr>
            <w:top w:val="none" w:sz="0" w:space="0" w:color="auto"/>
            <w:left w:val="none" w:sz="0" w:space="0" w:color="auto"/>
            <w:bottom w:val="none" w:sz="0" w:space="0" w:color="auto"/>
            <w:right w:val="none" w:sz="0" w:space="0" w:color="auto"/>
          </w:divBdr>
        </w:div>
        <w:div w:id="1985617601">
          <w:marLeft w:val="0"/>
          <w:marRight w:val="0"/>
          <w:marTop w:val="0"/>
          <w:marBottom w:val="0"/>
          <w:divBdr>
            <w:top w:val="none" w:sz="0" w:space="0" w:color="auto"/>
            <w:left w:val="none" w:sz="0" w:space="0" w:color="auto"/>
            <w:bottom w:val="none" w:sz="0" w:space="0" w:color="auto"/>
            <w:right w:val="none" w:sz="0" w:space="0" w:color="auto"/>
          </w:divBdr>
        </w:div>
      </w:divsChild>
    </w:div>
    <w:div w:id="1442803955">
      <w:bodyDiv w:val="1"/>
      <w:marLeft w:val="0"/>
      <w:marRight w:val="0"/>
      <w:marTop w:val="0"/>
      <w:marBottom w:val="0"/>
      <w:divBdr>
        <w:top w:val="none" w:sz="0" w:space="0" w:color="auto"/>
        <w:left w:val="none" w:sz="0" w:space="0" w:color="auto"/>
        <w:bottom w:val="none" w:sz="0" w:space="0" w:color="auto"/>
        <w:right w:val="none" w:sz="0" w:space="0" w:color="auto"/>
      </w:divBdr>
    </w:div>
    <w:div w:id="1484587572">
      <w:bodyDiv w:val="1"/>
      <w:marLeft w:val="0"/>
      <w:marRight w:val="0"/>
      <w:marTop w:val="0"/>
      <w:marBottom w:val="0"/>
      <w:divBdr>
        <w:top w:val="none" w:sz="0" w:space="0" w:color="auto"/>
        <w:left w:val="none" w:sz="0" w:space="0" w:color="auto"/>
        <w:bottom w:val="none" w:sz="0" w:space="0" w:color="auto"/>
        <w:right w:val="none" w:sz="0" w:space="0" w:color="auto"/>
      </w:divBdr>
    </w:div>
    <w:div w:id="1518613498">
      <w:bodyDiv w:val="1"/>
      <w:marLeft w:val="0"/>
      <w:marRight w:val="0"/>
      <w:marTop w:val="0"/>
      <w:marBottom w:val="0"/>
      <w:divBdr>
        <w:top w:val="none" w:sz="0" w:space="0" w:color="auto"/>
        <w:left w:val="none" w:sz="0" w:space="0" w:color="auto"/>
        <w:bottom w:val="none" w:sz="0" w:space="0" w:color="auto"/>
        <w:right w:val="none" w:sz="0" w:space="0" w:color="auto"/>
      </w:divBdr>
    </w:div>
    <w:div w:id="1564681172">
      <w:bodyDiv w:val="1"/>
      <w:marLeft w:val="0"/>
      <w:marRight w:val="0"/>
      <w:marTop w:val="0"/>
      <w:marBottom w:val="0"/>
      <w:divBdr>
        <w:top w:val="none" w:sz="0" w:space="0" w:color="auto"/>
        <w:left w:val="none" w:sz="0" w:space="0" w:color="auto"/>
        <w:bottom w:val="none" w:sz="0" w:space="0" w:color="auto"/>
        <w:right w:val="none" w:sz="0" w:space="0" w:color="auto"/>
      </w:divBdr>
    </w:div>
    <w:div w:id="1788237143">
      <w:bodyDiv w:val="1"/>
      <w:marLeft w:val="0"/>
      <w:marRight w:val="0"/>
      <w:marTop w:val="0"/>
      <w:marBottom w:val="0"/>
      <w:divBdr>
        <w:top w:val="none" w:sz="0" w:space="0" w:color="auto"/>
        <w:left w:val="none" w:sz="0" w:space="0" w:color="auto"/>
        <w:bottom w:val="none" w:sz="0" w:space="0" w:color="auto"/>
        <w:right w:val="none" w:sz="0" w:space="0" w:color="auto"/>
      </w:divBdr>
    </w:div>
    <w:div w:id="1792822246">
      <w:bodyDiv w:val="1"/>
      <w:marLeft w:val="0"/>
      <w:marRight w:val="0"/>
      <w:marTop w:val="0"/>
      <w:marBottom w:val="0"/>
      <w:divBdr>
        <w:top w:val="none" w:sz="0" w:space="0" w:color="auto"/>
        <w:left w:val="none" w:sz="0" w:space="0" w:color="auto"/>
        <w:bottom w:val="none" w:sz="0" w:space="0" w:color="auto"/>
        <w:right w:val="none" w:sz="0" w:space="0" w:color="auto"/>
      </w:divBdr>
    </w:div>
    <w:div w:id="1824003798">
      <w:bodyDiv w:val="1"/>
      <w:marLeft w:val="0"/>
      <w:marRight w:val="0"/>
      <w:marTop w:val="0"/>
      <w:marBottom w:val="0"/>
      <w:divBdr>
        <w:top w:val="none" w:sz="0" w:space="0" w:color="auto"/>
        <w:left w:val="none" w:sz="0" w:space="0" w:color="auto"/>
        <w:bottom w:val="none" w:sz="0" w:space="0" w:color="auto"/>
        <w:right w:val="none" w:sz="0" w:space="0" w:color="auto"/>
      </w:divBdr>
    </w:div>
    <w:div w:id="1835416752">
      <w:bodyDiv w:val="1"/>
      <w:marLeft w:val="0"/>
      <w:marRight w:val="0"/>
      <w:marTop w:val="0"/>
      <w:marBottom w:val="0"/>
      <w:divBdr>
        <w:top w:val="none" w:sz="0" w:space="0" w:color="auto"/>
        <w:left w:val="none" w:sz="0" w:space="0" w:color="auto"/>
        <w:bottom w:val="none" w:sz="0" w:space="0" w:color="auto"/>
        <w:right w:val="none" w:sz="0" w:space="0" w:color="auto"/>
      </w:divBdr>
    </w:div>
    <w:div w:id="1836216516">
      <w:bodyDiv w:val="1"/>
      <w:marLeft w:val="0"/>
      <w:marRight w:val="0"/>
      <w:marTop w:val="0"/>
      <w:marBottom w:val="0"/>
      <w:divBdr>
        <w:top w:val="none" w:sz="0" w:space="0" w:color="auto"/>
        <w:left w:val="none" w:sz="0" w:space="0" w:color="auto"/>
        <w:bottom w:val="none" w:sz="0" w:space="0" w:color="auto"/>
        <w:right w:val="none" w:sz="0" w:space="0" w:color="auto"/>
      </w:divBdr>
    </w:div>
    <w:div w:id="1862276183">
      <w:bodyDiv w:val="1"/>
      <w:marLeft w:val="0"/>
      <w:marRight w:val="0"/>
      <w:marTop w:val="0"/>
      <w:marBottom w:val="0"/>
      <w:divBdr>
        <w:top w:val="none" w:sz="0" w:space="0" w:color="auto"/>
        <w:left w:val="none" w:sz="0" w:space="0" w:color="auto"/>
        <w:bottom w:val="none" w:sz="0" w:space="0" w:color="auto"/>
        <w:right w:val="none" w:sz="0" w:space="0" w:color="auto"/>
      </w:divBdr>
    </w:div>
    <w:div w:id="1925723986">
      <w:bodyDiv w:val="1"/>
      <w:marLeft w:val="0"/>
      <w:marRight w:val="0"/>
      <w:marTop w:val="0"/>
      <w:marBottom w:val="0"/>
      <w:divBdr>
        <w:top w:val="none" w:sz="0" w:space="0" w:color="auto"/>
        <w:left w:val="none" w:sz="0" w:space="0" w:color="auto"/>
        <w:bottom w:val="none" w:sz="0" w:space="0" w:color="auto"/>
        <w:right w:val="none" w:sz="0" w:space="0" w:color="auto"/>
      </w:divBdr>
    </w:div>
    <w:div w:id="20644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uznemuma-izzina/ca-88" TargetMode="External"/><Relationship Id="rId13" Type="http://schemas.openxmlformats.org/officeDocument/2006/relationships/hyperlink" Target="file:///C:\Users\Kitija.Eglite\Desktop\Publiskas%20personas%20kapit&#257;la%20da&#316;u%20un%20kapit&#257;lsabiedr&#299;bu%20p&#257;rvald&#299;bas%20likums.%20https:\likumi.lv\ta\id\26990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Kitija.Eglite\Desktop\Publiskas%20personas%20kapit&#257;la%20da&#316;u%20un%20kapit&#257;lsabiedr&#299;bu%20p&#257;rvald&#299;bas%20likums.%20https:\likumi.lv\ta\id\269907" TargetMode="External"/><Relationship Id="rId17" Type="http://schemas.openxmlformats.org/officeDocument/2006/relationships/hyperlink" Target="file:///C:\Users\Kitija.Eglite\Desktop\Publiskas%20personas%20kapit&#257;la%20da&#316;u%20un%20kapit&#257;lsabiedr&#299;bu%20p&#257;rvald&#299;bas%20likums.%20https:\likumi.lv\ta\id\269907" TargetMode="External"/><Relationship Id="rId2" Type="http://schemas.openxmlformats.org/officeDocument/2006/relationships/numbering" Target="numbering.xml"/><Relationship Id="rId16" Type="http://schemas.openxmlformats.org/officeDocument/2006/relationships/hyperlink" Target="file:///C:\Users\Kitija.Eglite\Desktop\Publiskas%20personas%20kapit&#257;la%20da&#316;u%20un%20kapit&#257;lsabiedr&#299;bu%20p&#257;rvald&#299;bas%20likums,%20140.%20pants.%20https:\likumi.lv\ta\id\2699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tija.Eglite\Desktop\Publiskas%20personas%20kapit&#257;la%20da&#316;u%20un%20kapit&#257;lsabiedr&#299;bu%20p&#257;rvald&#299;bas%20likums.%20https:\likumi.lv\ta\id\269907" TargetMode="External"/><Relationship Id="rId5" Type="http://schemas.openxmlformats.org/officeDocument/2006/relationships/webSettings" Target="webSettings.xml"/><Relationship Id="rId15" Type="http://schemas.openxmlformats.org/officeDocument/2006/relationships/hyperlink" Target="file:///C:\Users\Kitija.Eglite\Desktop\Publiskas%20personas%20kapit&#257;la%20da&#316;u%20un%20kapit&#257;lsabiedr&#299;bu%20p&#257;rvald&#299;bas%20likums.%20https:\likumi.lv\ta\id\269907" TargetMode="External"/><Relationship Id="rId23" Type="http://schemas.openxmlformats.org/officeDocument/2006/relationships/theme" Target="theme/theme1.xml"/><Relationship Id="rId10" Type="http://schemas.openxmlformats.org/officeDocument/2006/relationships/hyperlink" Target="https://www.lursoft.lv/uznemuma-izzina/ogres-servisa-cen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ursoft.lv/uznemuma-izzina/celu-satiksmes-drosibas-direkcija" TargetMode="External"/><Relationship Id="rId14" Type="http://schemas.openxmlformats.org/officeDocument/2006/relationships/hyperlink" Target="file:///C:\Users\Kitija.Eglite\Desktop\Publiskas%20personas%20kapit&#257;la%20da&#316;u%20un%20kapit&#257;lsabiedr&#299;bu%20p&#257;rvald&#299;bas%20likums,%209.%20pants.%20https:\likumi.lv\ta\id\269907"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80E7-3651-4A7D-A536-9166FA9B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5196</Words>
  <Characters>29618</Characters>
  <Application>Microsoft Office Word</Application>
  <DocSecurity>0</DocSecurity>
  <Lines>246</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VAS “Ceļu satiksmes drošības direkcija” līdzdalības kapitālsabiedrībās pārvērtēšanu</vt:lpstr>
      <vt:lpstr/>
    </vt:vector>
  </TitlesOfParts>
  <Company>Satiksmes ministrija</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VAS “Ceļu satiksmes drošības direkcija” līdzdalības kapitālsabiedrībās pārvērtēšanu</dc:title>
  <dc:subject>Informatīvais ziņojums</dc:subject>
  <dc:creator>Reinis Nīmanis</dc:creator>
  <cp:keywords/>
  <dc:description>reinis.nimanis@csdd.gov.lv_x000d_
67025719</dc:description>
  <cp:lastModifiedBy>Linda Pūce</cp:lastModifiedBy>
  <cp:revision>6</cp:revision>
  <cp:lastPrinted>2019-11-04T08:38:00Z</cp:lastPrinted>
  <dcterms:created xsi:type="dcterms:W3CDTF">2020-05-28T06:38:00Z</dcterms:created>
  <dcterms:modified xsi:type="dcterms:W3CDTF">2020-05-29T04:58:00Z</dcterms:modified>
</cp:coreProperties>
</file>