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958" w:rsidP="002A27D9" w:rsidRDefault="002A27D9" w14:paraId="15A22F8D" w14:textId="77777777">
      <w:pPr>
        <w:jc w:val="center"/>
        <w:rPr>
          <w:b/>
        </w:rPr>
      </w:pPr>
      <w:r w:rsidRPr="00000F43">
        <w:rPr>
          <w:b/>
        </w:rPr>
        <w:t xml:space="preserve">Informatīvais ziņojums </w:t>
      </w:r>
    </w:p>
    <w:p w:rsidRPr="00000F43" w:rsidR="002A27D9" w:rsidP="002A27D9" w:rsidRDefault="00F90958" w14:paraId="5DB0BA38" w14:textId="1DE2AA1F">
      <w:pPr>
        <w:jc w:val="center"/>
        <w:rPr>
          <w:b/>
          <w:lang w:eastAsia="ar-SA"/>
        </w:rPr>
      </w:pPr>
      <w:bookmarkStart w:name="_Hlk46742949" w:id="0"/>
      <w:r>
        <w:rPr>
          <w:b/>
        </w:rPr>
        <w:t>Latvijas</w:t>
      </w:r>
      <w:r w:rsidRPr="00000F43" w:rsidR="009B039F">
        <w:rPr>
          <w:b/>
        </w:rPr>
        <w:t xml:space="preserve"> Republikas nacionāl</w:t>
      </w:r>
      <w:r>
        <w:rPr>
          <w:b/>
        </w:rPr>
        <w:t>ā</w:t>
      </w:r>
      <w:r w:rsidRPr="00000F43" w:rsidR="009B039F">
        <w:rPr>
          <w:b/>
        </w:rPr>
        <w:t xml:space="preserve"> pozīcij</w:t>
      </w:r>
      <w:r>
        <w:rPr>
          <w:b/>
        </w:rPr>
        <w:t>a</w:t>
      </w:r>
      <w:r w:rsidRPr="00000F43" w:rsidR="009B039F">
        <w:rPr>
          <w:b/>
        </w:rPr>
        <w:t xml:space="preserve"> Nr. 2 “Par mītnes līguma projekta izstrādi par Eiropas Elektronisko sakaru regulatoru iestādes atbalsta aģentūras (BEREC biroja) izvietošanu Rīgā”</w:t>
      </w:r>
    </w:p>
    <w:bookmarkEnd w:id="0"/>
    <w:p w:rsidRPr="00000F43" w:rsidR="002A27D9" w:rsidP="003F1AFC" w:rsidRDefault="002A27D9" w14:paraId="5FE4D3B4" w14:textId="7F056BD7">
      <w:pPr>
        <w:pStyle w:val="Prliminairetitre"/>
        <w:spacing w:before="0" w:after="0"/>
        <w:jc w:val="left"/>
      </w:pPr>
    </w:p>
    <w:p w:rsidRPr="00000F43" w:rsidR="009B039F" w:rsidP="009B039F" w:rsidRDefault="009B039F" w14:paraId="0E071A9C" w14:textId="77777777">
      <w:pPr>
        <w:rPr>
          <w:sz w:val="22"/>
          <w:szCs w:val="22"/>
          <w:lang w:eastAsia="en-GB"/>
        </w:rPr>
      </w:pPr>
    </w:p>
    <w:p w:rsidR="002A27D9" w:rsidP="002A27D9" w:rsidRDefault="002A27D9" w14:paraId="689A86AA" w14:textId="6772C359">
      <w:pPr>
        <w:ind w:firstLine="720"/>
        <w:jc w:val="both"/>
        <w:rPr>
          <w:b/>
        </w:rPr>
      </w:pPr>
      <w:r w:rsidRPr="00000F43">
        <w:t xml:space="preserve">Satiksmes ministrija ir sagatavojusi </w:t>
      </w:r>
      <w:r w:rsidRPr="00000F43" w:rsidR="009B039F">
        <w:t xml:space="preserve">grozītu </w:t>
      </w:r>
      <w:r w:rsidRPr="00000F43">
        <w:t xml:space="preserve">nacionālās pozīcijas projektu </w:t>
      </w:r>
      <w:r w:rsidRPr="00000F43" w:rsidR="009B039F">
        <w:t>Nr. 2</w:t>
      </w:r>
      <w:r w:rsidRPr="00000F43">
        <w:rPr>
          <w:b/>
        </w:rPr>
        <w:t xml:space="preserve"> </w:t>
      </w:r>
      <w:r w:rsidRPr="00000F43" w:rsidR="009B039F">
        <w:rPr>
          <w:b/>
        </w:rPr>
        <w:t>“Par mītnes līguma projekta izstrādi par Eiropas Elektronisko sakaru regulatoru iestādes atbalsta aģentūras (BEREC biroja) izvietošanu Rīgā”</w:t>
      </w:r>
      <w:r w:rsidR="003B7F13">
        <w:rPr>
          <w:b/>
        </w:rPr>
        <w:t>.</w:t>
      </w:r>
    </w:p>
    <w:p w:rsidR="008E2857" w:rsidP="003B7F13" w:rsidRDefault="00030A24" w14:paraId="457DC56B" w14:textId="357D0CDE">
      <w:pPr>
        <w:ind w:firstLine="720"/>
        <w:jc w:val="both"/>
      </w:pPr>
      <w:r>
        <w:t>Grozītais p</w:t>
      </w:r>
      <w:r w:rsidRPr="003B7F13" w:rsidR="003B7F13">
        <w:t>ozīcijas projekts skar vairāku valsts pārvaldes iestāžu kompetenci un būtiskas Latvijas Republikas intereses, tādēļ, atbilstoši Ministru kabineta 2009.</w:t>
      </w:r>
      <w:r w:rsidR="003B7F13">
        <w:t xml:space="preserve"> </w:t>
      </w:r>
      <w:r w:rsidRPr="003B7F13" w:rsidR="003B7F13">
        <w:t>gada 6.</w:t>
      </w:r>
      <w:r w:rsidR="003B7F13">
        <w:t xml:space="preserve"> </w:t>
      </w:r>
      <w:r w:rsidRPr="003B7F13" w:rsidR="003B7F13">
        <w:t>februāra noteikumu Nr.</w:t>
      </w:r>
      <w:r w:rsidR="003B7F13">
        <w:t xml:space="preserve"> </w:t>
      </w:r>
      <w:r w:rsidRPr="003B7F13" w:rsidR="003B7F13">
        <w:t>96 „Kārtība, kādā izstrādā, saskaņo, apstiprina un aktualizē Latvijas Republikas nacionālās pozīcijas Eiropas Savienības jautājumos” prasībām, nacionālā pozīcija tiek virzīta apstiprināšanai Ministru kabinetā.</w:t>
      </w:r>
      <w:r>
        <w:t xml:space="preserve"> Grozījumi, </w:t>
      </w:r>
      <w:r w:rsidRPr="00030A24">
        <w:t>atbilstoši Ministru kabineta 2009.</w:t>
      </w:r>
      <w:r w:rsidR="00396446">
        <w:t xml:space="preserve"> </w:t>
      </w:r>
      <w:r w:rsidRPr="00030A24">
        <w:t>gada 6.</w:t>
      </w:r>
      <w:r w:rsidR="00396446">
        <w:t xml:space="preserve"> </w:t>
      </w:r>
      <w:r w:rsidRPr="00030A24">
        <w:t>februāra instrukcijā Nr.</w:t>
      </w:r>
      <w:r w:rsidR="00396446">
        <w:t xml:space="preserve"> </w:t>
      </w:r>
      <w:r w:rsidRPr="00030A24">
        <w:t>4 „Latvijas Republikas nacionālo pozīciju Eiropas Savienības jautājumos un ar tām saistīto instrukciju izstrādes un informācijas aprites kārtība” noteiktajai kārtībai, ir elektroniski saskaņot</w:t>
      </w:r>
      <w:r>
        <w:t xml:space="preserve">i ar </w:t>
      </w:r>
      <w:r w:rsidR="008E2857">
        <w:t xml:space="preserve">darba grupu, t.i., Ārlietu ministriju, </w:t>
      </w:r>
      <w:r w:rsidRPr="008E2857" w:rsidR="008E2857">
        <w:t>Ekonomikas ministrij</w:t>
      </w:r>
      <w:r w:rsidR="008E2857">
        <w:t>u,</w:t>
      </w:r>
      <w:r w:rsidRPr="008E2857" w:rsidR="008E2857">
        <w:t xml:space="preserve"> Finanšu ministriju,</w:t>
      </w:r>
      <w:r w:rsidR="008E2857">
        <w:t xml:space="preserve"> </w:t>
      </w:r>
      <w:r w:rsidRPr="008E2857" w:rsidR="008E2857">
        <w:t>Izglītības un zinātnes ministrij</w:t>
      </w:r>
      <w:r w:rsidR="008E2857">
        <w:t xml:space="preserve">u, </w:t>
      </w:r>
      <w:r w:rsidRPr="008E2857" w:rsidR="008E2857">
        <w:t>Labklājības ministrij</w:t>
      </w:r>
      <w:r w:rsidR="008E2857">
        <w:t xml:space="preserve">u, </w:t>
      </w:r>
      <w:r w:rsidRPr="008E2857" w:rsidR="008E2857">
        <w:t>Tieslietu ministrij</w:t>
      </w:r>
      <w:r w:rsidR="008E2857">
        <w:t>u,</w:t>
      </w:r>
      <w:r w:rsidRPr="008E2857" w:rsidR="008E2857">
        <w:t xml:space="preserve"> Valsts kancelej</w:t>
      </w:r>
      <w:r w:rsidR="008E2857">
        <w:t xml:space="preserve">u, </w:t>
      </w:r>
      <w:r w:rsidRPr="008E2857" w:rsidR="008E2857">
        <w:t>Veselības ministrij</w:t>
      </w:r>
      <w:r w:rsidR="008E2857">
        <w:t xml:space="preserve">u un </w:t>
      </w:r>
      <w:r w:rsidRPr="008E2857" w:rsidR="008E2857">
        <w:t>valsts akciju sabiedrīb</w:t>
      </w:r>
      <w:r w:rsidR="008E2857">
        <w:t>u</w:t>
      </w:r>
      <w:r w:rsidRPr="008E2857" w:rsidR="008E2857">
        <w:t xml:space="preserve"> "Valsts nekustamie īpašumi"</w:t>
      </w:r>
      <w:r w:rsidR="008E2857">
        <w:t xml:space="preserve">, kā arī Iekšlietu ministriju. </w:t>
      </w:r>
    </w:p>
    <w:p w:rsidRPr="00030A24" w:rsidR="00030A24" w:rsidP="00030A24" w:rsidRDefault="00030A24" w14:paraId="335FEA51" w14:textId="2157E29C">
      <w:pPr>
        <w:ind w:firstLine="720"/>
        <w:jc w:val="both"/>
        <w:rPr>
          <w:noProof/>
        </w:rPr>
      </w:pPr>
      <w:r w:rsidRPr="00030A24">
        <w:rPr>
          <w:noProof/>
        </w:rPr>
        <w:t xml:space="preserve">Eiropas Elektronisko sakaru regulatoru iestāde (turpmāk – </w:t>
      </w:r>
      <w:r w:rsidRPr="00030A24">
        <w:rPr>
          <w:iCs/>
          <w:noProof/>
        </w:rPr>
        <w:t>BEREC</w:t>
      </w:r>
      <w:r w:rsidRPr="00030A24">
        <w:rPr>
          <w:noProof/>
        </w:rPr>
        <w:t>) ir E</w:t>
      </w:r>
      <w:r>
        <w:rPr>
          <w:noProof/>
        </w:rPr>
        <w:t xml:space="preserve">iropas </w:t>
      </w:r>
      <w:r w:rsidRPr="00030A24">
        <w:rPr>
          <w:noProof/>
        </w:rPr>
        <w:t>S</w:t>
      </w:r>
      <w:r>
        <w:rPr>
          <w:noProof/>
        </w:rPr>
        <w:t>avienības (turpmāk – ES)</w:t>
      </w:r>
      <w:r w:rsidRPr="00030A24">
        <w:rPr>
          <w:noProof/>
        </w:rPr>
        <w:t xml:space="preserve"> dalībvalstu regulatoru konsultatīvā grupa, kuras mērķis ir veicināt konsekventu elektronisko sakaru nozares tiesiskā regulējuma piemērošanu ES. </w:t>
      </w:r>
      <w:r w:rsidRPr="00030A24">
        <w:rPr>
          <w:iCs/>
          <w:noProof/>
        </w:rPr>
        <w:t>BEREC</w:t>
      </w:r>
      <w:r w:rsidRPr="00030A24">
        <w:rPr>
          <w:noProof/>
        </w:rPr>
        <w:t xml:space="preserve"> birojs sniedz </w:t>
      </w:r>
      <w:r w:rsidRPr="00030A24">
        <w:rPr>
          <w:iCs/>
          <w:noProof/>
        </w:rPr>
        <w:t>BEREC</w:t>
      </w:r>
      <w:r w:rsidRPr="00030A24">
        <w:rPr>
          <w:noProof/>
        </w:rPr>
        <w:t xml:space="preserve"> profesionāla un administratīva atbalsta pakalpojumus, ievāc informāciju no ES valstu elektronisko sakaru nozares regulējošanām iestādēm, apmainās ar informāciju, izplata regulēšanas paraugpraksi,  palīdz </w:t>
      </w:r>
      <w:r w:rsidRPr="00030A24">
        <w:rPr>
          <w:iCs/>
          <w:noProof/>
        </w:rPr>
        <w:t>BEREC priekšsēdētājam sagatavot Regulatoru padomes darbu, pēc Regulatoru padomes pieprasījuma veido ekspertu darba grupas un sniedz atbalstu, lai nodrošinātu šo grupu sekmīgu darbu. BEREC biroja</w:t>
      </w:r>
      <w:r w:rsidRPr="00030A24">
        <w:rPr>
          <w:noProof/>
        </w:rPr>
        <w:t xml:space="preserve"> sastāvā ir Pārvaldības komiteja un administratīvais vadītājs, kurš vada biroju. Tajā strādā tikai tik darbinieku, cik nepieciešams, lai </w:t>
      </w:r>
      <w:r>
        <w:rPr>
          <w:noProof/>
        </w:rPr>
        <w:t>BEREC birojs</w:t>
      </w:r>
      <w:r w:rsidRPr="00030A24">
        <w:rPr>
          <w:noProof/>
        </w:rPr>
        <w:t xml:space="preserve"> veiktu savus pienākumus. Darbinieku skaitu</w:t>
      </w:r>
      <w:r>
        <w:rPr>
          <w:noProof/>
        </w:rPr>
        <w:t xml:space="preserve"> </w:t>
      </w:r>
      <w:r w:rsidRPr="00030A24">
        <w:rPr>
          <w:noProof/>
        </w:rPr>
        <w:t xml:space="preserve">iesaka Pārvaldības komitejas locekļi un administratīvais vadītājs. </w:t>
      </w:r>
    </w:p>
    <w:p w:rsidR="00030A24" w:rsidP="00030A24" w:rsidRDefault="00030A24" w14:paraId="1187CC60" w14:textId="27D60922">
      <w:pPr>
        <w:ind w:firstLine="720"/>
        <w:jc w:val="both"/>
      </w:pPr>
      <w:r w:rsidRPr="003B7F13">
        <w:t>Saskaņā ar Eiropas Parlamenta un Padomes 2018.</w:t>
      </w:r>
      <w:r>
        <w:t xml:space="preserve"> </w:t>
      </w:r>
      <w:r w:rsidRPr="003B7F13">
        <w:t>gada 11.</w:t>
      </w:r>
      <w:r>
        <w:t xml:space="preserve"> </w:t>
      </w:r>
      <w:r w:rsidRPr="003B7F13">
        <w:t>decembra Regulas (ES) 2018/1971, ar ko izveido BERE</w:t>
      </w:r>
      <w:r>
        <w:t>C</w:t>
      </w:r>
      <w:r w:rsidRPr="003B7F13">
        <w:t xml:space="preserve"> un BEREC atbalsta aģentūru (turpmāk - BEREC birojs), groza Regulu (ES) 2015/2120 un atceļ Regulu (EK) Nr.</w:t>
      </w:r>
      <w:r>
        <w:t xml:space="preserve"> </w:t>
      </w:r>
      <w:r w:rsidRPr="003B7F13">
        <w:t>1211/2009 47.</w:t>
      </w:r>
      <w:r>
        <w:t xml:space="preserve"> </w:t>
      </w:r>
      <w:r w:rsidRPr="003B7F13">
        <w:t>pantu Latvijai nepieciešams līdz 2020.</w:t>
      </w:r>
      <w:r>
        <w:t xml:space="preserve"> </w:t>
      </w:r>
      <w:r w:rsidRPr="003B7F13">
        <w:t>gada 21.</w:t>
      </w:r>
      <w:r>
        <w:t xml:space="preserve"> </w:t>
      </w:r>
      <w:r w:rsidRPr="003B7F13">
        <w:t>decembrim noslēgt jaunu Latvijas Republikas valdības un BEREC biroja mītnes līgumu par BEREC biroja izvietošanu Rīgā, Latvijā (turpmāk – mītnes līgums).</w:t>
      </w:r>
      <w:r>
        <w:t xml:space="preserve"> </w:t>
      </w:r>
      <w:r w:rsidRPr="003B7F13">
        <w:t>2020. gada 9. janvārī sākās oficiālās sarunas starp Latvijas Republikas valdību un BEREC biroju par mītnes līgumu. Sarunu gaitā identificēti vairāki jautājumi, kuri netika sākotnēji iekļauti nacionālajā pozīcijā vai</w:t>
      </w:r>
      <w:r w:rsidR="004C0971">
        <w:t>,</w:t>
      </w:r>
      <w:r w:rsidRPr="003B7F13">
        <w:t xml:space="preserve"> </w:t>
      </w:r>
      <w:r>
        <w:t xml:space="preserve">kuru dēļ </w:t>
      </w:r>
      <w:r w:rsidRPr="003B7F13">
        <w:t xml:space="preserve">ir </w:t>
      </w:r>
      <w:r>
        <w:t>nepieciešami</w:t>
      </w:r>
      <w:r w:rsidRPr="003B7F13">
        <w:t xml:space="preserve"> precizējumi pozīcijā apstiprinātajam mandātam</w:t>
      </w:r>
      <w:r w:rsidR="004C0971">
        <w:t xml:space="preserve">, t.sk. ņemot vērā Eiropas Savienības vadlīnijas aģentūru mītnes līgumu izstrādei. </w:t>
      </w:r>
    </w:p>
    <w:p w:rsidRPr="00000F43" w:rsidR="00884C33" w:rsidP="00884C33" w:rsidRDefault="00884C33" w14:paraId="7F9DD66F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Pr="00000F43" w:rsidR="00884C33" w:rsidP="00884C33" w:rsidRDefault="00884C33" w14:paraId="653856DC" w14:textId="777777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2A27D9" w:rsidP="002A27D9" w:rsidRDefault="002A27D9" w14:paraId="3D691D8C" w14:textId="3AC4579F">
      <w:pPr>
        <w:ind w:left="720"/>
      </w:pPr>
      <w:r w:rsidRPr="00000F43">
        <w:t>Satiksmes ministrs</w:t>
      </w:r>
      <w:r w:rsidRPr="00000F43">
        <w:tab/>
      </w:r>
      <w:r w:rsidRPr="00000F43">
        <w:tab/>
      </w:r>
      <w:r w:rsidRPr="00000F43">
        <w:tab/>
      </w:r>
      <w:r w:rsidRPr="00000F43">
        <w:tab/>
      </w:r>
      <w:r w:rsidRPr="00000F43">
        <w:tab/>
      </w:r>
      <w:r w:rsidR="003D438D">
        <w:tab/>
      </w:r>
      <w:r w:rsidR="003D438D">
        <w:tab/>
      </w:r>
      <w:r w:rsidRPr="00000F43" w:rsidR="009B039F">
        <w:t>T. Linkaits</w:t>
      </w:r>
      <w:r w:rsidRPr="00000F43">
        <w:t xml:space="preserve">  </w:t>
      </w:r>
    </w:p>
    <w:p w:rsidR="003D438D" w:rsidP="002A27D9" w:rsidRDefault="003D438D" w14:paraId="2439A523" w14:textId="77777777">
      <w:pPr>
        <w:ind w:left="720"/>
      </w:pPr>
    </w:p>
    <w:p w:rsidR="003D438D" w:rsidP="002A27D9" w:rsidRDefault="003D438D" w14:paraId="37A988AD" w14:textId="77777777">
      <w:pPr>
        <w:ind w:left="720"/>
      </w:pPr>
    </w:p>
    <w:p w:rsidRPr="00000F43" w:rsidR="003D438D" w:rsidP="002A27D9" w:rsidRDefault="003D438D" w14:paraId="19624B60" w14:textId="5280F0FA">
      <w:pPr>
        <w:ind w:left="720"/>
      </w:pPr>
      <w:r>
        <w:t>Vīza:</w:t>
      </w:r>
    </w:p>
    <w:p w:rsidRPr="00000F43" w:rsidR="009B039F" w:rsidP="009B039F" w:rsidRDefault="00014887" w14:paraId="0C5F02A6" w14:textId="69425242">
      <w:pPr>
        <w:ind w:firstLine="720"/>
      </w:pPr>
      <w:r w:rsidRPr="00000F43">
        <w:t>Valsts sekretār</w:t>
      </w:r>
      <w:r w:rsidRPr="00000F43" w:rsidR="009B039F">
        <w:t>e</w:t>
      </w:r>
      <w:r w:rsidRPr="00000F43" w:rsidR="009B039F">
        <w:tab/>
      </w:r>
      <w:r w:rsidRPr="00000F43" w:rsidR="009B039F">
        <w:tab/>
      </w:r>
      <w:r w:rsidRPr="00000F43" w:rsidR="009B039F">
        <w:tab/>
      </w:r>
      <w:r w:rsidRPr="00000F43" w:rsidR="009B039F">
        <w:tab/>
      </w:r>
      <w:r w:rsidRPr="00000F43" w:rsidR="009B039F">
        <w:tab/>
      </w:r>
      <w:r w:rsidRPr="00000F43" w:rsidR="009B039F">
        <w:tab/>
      </w:r>
      <w:r w:rsidRPr="00000F43" w:rsidR="009B039F">
        <w:tab/>
        <w:t>I. Stepanova</w:t>
      </w:r>
    </w:p>
    <w:p w:rsidRPr="00000F43" w:rsidR="00014887" w:rsidP="00014887" w:rsidRDefault="00014887" w14:paraId="33F55606" w14:textId="027CD695">
      <w:pPr>
        <w:ind w:firstLine="720"/>
      </w:pPr>
      <w:r w:rsidRPr="00000F43">
        <w:tab/>
      </w:r>
      <w:r w:rsidRPr="00000F43">
        <w:tab/>
      </w:r>
      <w:r w:rsidRPr="00000F43">
        <w:tab/>
      </w:r>
      <w:r w:rsidRPr="00000F43">
        <w:tab/>
      </w:r>
      <w:r w:rsidRPr="00000F43">
        <w:tab/>
        <w:t xml:space="preserve"> </w:t>
      </w:r>
    </w:p>
    <w:p w:rsidR="002A27D9" w:rsidP="002A27D9" w:rsidRDefault="002A27D9" w14:paraId="6DEC6DCA" w14:textId="60516267">
      <w:pPr>
        <w:rPr>
          <w:sz w:val="28"/>
          <w:szCs w:val="28"/>
        </w:rPr>
      </w:pPr>
    </w:p>
    <w:p w:rsidR="00000F43" w:rsidP="002A27D9" w:rsidRDefault="00000F43" w14:paraId="2D38F9E3" w14:textId="7DD74597">
      <w:pPr>
        <w:rPr>
          <w:sz w:val="28"/>
          <w:szCs w:val="28"/>
        </w:rPr>
      </w:pPr>
    </w:p>
    <w:p w:rsidR="00000F43" w:rsidP="00000F43" w:rsidRDefault="00000F43" w14:paraId="4695A0AD" w14:textId="525F8C6E">
      <w:pPr>
        <w:ind w:firstLine="720"/>
        <w:rPr>
          <w:sz w:val="18"/>
          <w:szCs w:val="18"/>
        </w:rPr>
      </w:pPr>
      <w:r>
        <w:rPr>
          <w:sz w:val="18"/>
          <w:szCs w:val="18"/>
        </w:rPr>
        <w:t>Evita Nagle</w:t>
      </w:r>
    </w:p>
    <w:p w:rsidR="00000F43" w:rsidP="00000F43" w:rsidRDefault="00000F43" w14:paraId="369B2656" w14:textId="1376AD11">
      <w:pPr>
        <w:ind w:firstLine="720"/>
        <w:rPr>
          <w:sz w:val="18"/>
          <w:szCs w:val="18"/>
        </w:rPr>
      </w:pPr>
      <w:r>
        <w:rPr>
          <w:sz w:val="18"/>
          <w:szCs w:val="18"/>
        </w:rPr>
        <w:t>Tel. 67028190</w:t>
      </w:r>
    </w:p>
    <w:p w:rsidRPr="00000F43" w:rsidR="00000F43" w:rsidP="00000F43" w:rsidRDefault="00000F43" w14:paraId="4ADA16C7" w14:textId="0ED96059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Evita.nagle@sam.gov.lv </w:t>
      </w:r>
    </w:p>
    <w:sectPr w:rsidRPr="00000F43" w:rsidR="00000F43" w:rsidSect="00383C4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01B4" w14:textId="77777777" w:rsidR="00510B89" w:rsidRDefault="00510B89" w:rsidP="002A27D9">
      <w:r>
        <w:separator/>
      </w:r>
    </w:p>
  </w:endnote>
  <w:endnote w:type="continuationSeparator" w:id="0">
    <w:p w14:paraId="64E78C1D" w14:textId="77777777" w:rsidR="00510B89" w:rsidRDefault="00510B89" w:rsidP="002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C74A" w14:textId="77777777" w:rsidR="00616801" w:rsidRDefault="008B1148" w:rsidP="00383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72CAA" w14:textId="77777777" w:rsidR="00616801" w:rsidRDefault="0065611A" w:rsidP="00383C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70A8" w14:textId="77777777" w:rsidR="00F90958" w:rsidRDefault="00F90958" w:rsidP="004725B5">
    <w:pPr>
      <w:spacing w:after="120"/>
      <w:jc w:val="both"/>
      <w:rPr>
        <w:sz w:val="22"/>
        <w:szCs w:val="22"/>
      </w:rPr>
    </w:pPr>
  </w:p>
  <w:p w14:paraId="1879420B" w14:textId="40E558C0" w:rsidR="00F90958" w:rsidRPr="00EF6BA1" w:rsidRDefault="008B1148" w:rsidP="004725B5">
    <w:pPr>
      <w:spacing w:after="120"/>
      <w:jc w:val="both"/>
      <w:rPr>
        <w:sz w:val="20"/>
        <w:szCs w:val="20"/>
      </w:rPr>
    </w:pPr>
    <w:r w:rsidRPr="00EF6BA1">
      <w:rPr>
        <w:sz w:val="20"/>
        <w:szCs w:val="20"/>
      </w:rPr>
      <w:t>SMzino_</w:t>
    </w:r>
    <w:r w:rsidR="00EF6BA1" w:rsidRPr="00EF6BA1">
      <w:rPr>
        <w:sz w:val="20"/>
        <w:szCs w:val="20"/>
      </w:rPr>
      <w:t>0</w:t>
    </w:r>
    <w:r w:rsidR="0065611A">
      <w:rPr>
        <w:sz w:val="20"/>
        <w:szCs w:val="20"/>
      </w:rPr>
      <w:t>7</w:t>
    </w:r>
    <w:r w:rsidR="00F90958" w:rsidRPr="00EF6BA1">
      <w:rPr>
        <w:sz w:val="20"/>
        <w:szCs w:val="20"/>
      </w:rPr>
      <w:t>0820_BEREC_birojs</w:t>
    </w:r>
  </w:p>
  <w:p w14:paraId="52A9F575" w14:textId="4F645F16" w:rsidR="00616801" w:rsidRDefault="008B1148" w:rsidP="004725B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88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-</w:t>
    </w:r>
    <w:r w:rsidR="007C6CDC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D338" w14:textId="77777777" w:rsidR="00510B89" w:rsidRDefault="00510B89" w:rsidP="002A27D9">
      <w:r>
        <w:separator/>
      </w:r>
    </w:p>
  </w:footnote>
  <w:footnote w:type="continuationSeparator" w:id="0">
    <w:p w14:paraId="5E0313E5" w14:textId="77777777" w:rsidR="00510B89" w:rsidRDefault="00510B89" w:rsidP="002A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D9"/>
    <w:rsid w:val="00000F43"/>
    <w:rsid w:val="00002488"/>
    <w:rsid w:val="00014887"/>
    <w:rsid w:val="00015C08"/>
    <w:rsid w:val="0002742C"/>
    <w:rsid w:val="00030A24"/>
    <w:rsid w:val="000C374C"/>
    <w:rsid w:val="000C58D3"/>
    <w:rsid w:val="00105185"/>
    <w:rsid w:val="00135589"/>
    <w:rsid w:val="001504D7"/>
    <w:rsid w:val="00164AD9"/>
    <w:rsid w:val="00170128"/>
    <w:rsid w:val="00183052"/>
    <w:rsid w:val="00187C12"/>
    <w:rsid w:val="001A2B9D"/>
    <w:rsid w:val="001B3982"/>
    <w:rsid w:val="001D5A72"/>
    <w:rsid w:val="001D613F"/>
    <w:rsid w:val="001F1FAD"/>
    <w:rsid w:val="001F7AEF"/>
    <w:rsid w:val="002248BE"/>
    <w:rsid w:val="00233F8D"/>
    <w:rsid w:val="0023703C"/>
    <w:rsid w:val="00262239"/>
    <w:rsid w:val="0028401A"/>
    <w:rsid w:val="00286F3B"/>
    <w:rsid w:val="00292A7B"/>
    <w:rsid w:val="00292AAA"/>
    <w:rsid w:val="002A27D9"/>
    <w:rsid w:val="002D7226"/>
    <w:rsid w:val="0032506E"/>
    <w:rsid w:val="00334B24"/>
    <w:rsid w:val="00334CA8"/>
    <w:rsid w:val="00341A84"/>
    <w:rsid w:val="00345F3C"/>
    <w:rsid w:val="00387525"/>
    <w:rsid w:val="003961BD"/>
    <w:rsid w:val="00396446"/>
    <w:rsid w:val="003A39B2"/>
    <w:rsid w:val="003B7F13"/>
    <w:rsid w:val="003D2ABC"/>
    <w:rsid w:val="003D438D"/>
    <w:rsid w:val="003F1AFC"/>
    <w:rsid w:val="003F5614"/>
    <w:rsid w:val="004158F3"/>
    <w:rsid w:val="00417821"/>
    <w:rsid w:val="004248D7"/>
    <w:rsid w:val="00437BE4"/>
    <w:rsid w:val="004401C6"/>
    <w:rsid w:val="00471D2E"/>
    <w:rsid w:val="004833C9"/>
    <w:rsid w:val="004C0971"/>
    <w:rsid w:val="004C47C5"/>
    <w:rsid w:val="004C5BB6"/>
    <w:rsid w:val="00501038"/>
    <w:rsid w:val="00507F2F"/>
    <w:rsid w:val="00510B89"/>
    <w:rsid w:val="00511462"/>
    <w:rsid w:val="00513E2B"/>
    <w:rsid w:val="00556FFC"/>
    <w:rsid w:val="00592D43"/>
    <w:rsid w:val="00594F7C"/>
    <w:rsid w:val="005B3CA6"/>
    <w:rsid w:val="005B5E6D"/>
    <w:rsid w:val="005D6A24"/>
    <w:rsid w:val="005E3B41"/>
    <w:rsid w:val="00620577"/>
    <w:rsid w:val="006205FE"/>
    <w:rsid w:val="0065611A"/>
    <w:rsid w:val="006773A2"/>
    <w:rsid w:val="006A60A1"/>
    <w:rsid w:val="006D1B0A"/>
    <w:rsid w:val="006D36BA"/>
    <w:rsid w:val="006D3A84"/>
    <w:rsid w:val="00710C1B"/>
    <w:rsid w:val="00750824"/>
    <w:rsid w:val="00752323"/>
    <w:rsid w:val="00796F60"/>
    <w:rsid w:val="007A5ECB"/>
    <w:rsid w:val="007C4BB2"/>
    <w:rsid w:val="007C6CDC"/>
    <w:rsid w:val="007D11C6"/>
    <w:rsid w:val="007D5434"/>
    <w:rsid w:val="007F212B"/>
    <w:rsid w:val="007F4FE5"/>
    <w:rsid w:val="00804EC5"/>
    <w:rsid w:val="00826B84"/>
    <w:rsid w:val="00835E29"/>
    <w:rsid w:val="0084049C"/>
    <w:rsid w:val="008463AD"/>
    <w:rsid w:val="00861B81"/>
    <w:rsid w:val="0087793F"/>
    <w:rsid w:val="00884C33"/>
    <w:rsid w:val="008A3709"/>
    <w:rsid w:val="008B0099"/>
    <w:rsid w:val="008B1148"/>
    <w:rsid w:val="008B7EDD"/>
    <w:rsid w:val="008D6999"/>
    <w:rsid w:val="008E2857"/>
    <w:rsid w:val="008F5CA7"/>
    <w:rsid w:val="009316D3"/>
    <w:rsid w:val="00967722"/>
    <w:rsid w:val="009854C3"/>
    <w:rsid w:val="009A313A"/>
    <w:rsid w:val="009B039F"/>
    <w:rsid w:val="009B2DA1"/>
    <w:rsid w:val="009C1C8F"/>
    <w:rsid w:val="009F00CA"/>
    <w:rsid w:val="00A0190C"/>
    <w:rsid w:val="00A1392C"/>
    <w:rsid w:val="00A34AE6"/>
    <w:rsid w:val="00A425F3"/>
    <w:rsid w:val="00A61779"/>
    <w:rsid w:val="00A74483"/>
    <w:rsid w:val="00A8023A"/>
    <w:rsid w:val="00A93A05"/>
    <w:rsid w:val="00AA5FB9"/>
    <w:rsid w:val="00AB3A16"/>
    <w:rsid w:val="00AD04C0"/>
    <w:rsid w:val="00B039B2"/>
    <w:rsid w:val="00B06093"/>
    <w:rsid w:val="00B208F3"/>
    <w:rsid w:val="00B26B14"/>
    <w:rsid w:val="00B5341E"/>
    <w:rsid w:val="00B86A1E"/>
    <w:rsid w:val="00B86F02"/>
    <w:rsid w:val="00B8788E"/>
    <w:rsid w:val="00BA2CC0"/>
    <w:rsid w:val="00BA7D72"/>
    <w:rsid w:val="00BC13F6"/>
    <w:rsid w:val="00BE1035"/>
    <w:rsid w:val="00BF1AC0"/>
    <w:rsid w:val="00C15AFC"/>
    <w:rsid w:val="00C2793F"/>
    <w:rsid w:val="00C432E1"/>
    <w:rsid w:val="00C45116"/>
    <w:rsid w:val="00C46C6E"/>
    <w:rsid w:val="00C53952"/>
    <w:rsid w:val="00C611B1"/>
    <w:rsid w:val="00C63961"/>
    <w:rsid w:val="00C706FD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C655A"/>
    <w:rsid w:val="00DE1D02"/>
    <w:rsid w:val="00E27FD6"/>
    <w:rsid w:val="00E32DB4"/>
    <w:rsid w:val="00E35D35"/>
    <w:rsid w:val="00E40535"/>
    <w:rsid w:val="00EB27ED"/>
    <w:rsid w:val="00EC660A"/>
    <w:rsid w:val="00ED1B50"/>
    <w:rsid w:val="00EE7E1B"/>
    <w:rsid w:val="00EF6BA1"/>
    <w:rsid w:val="00F04AF8"/>
    <w:rsid w:val="00F07E81"/>
    <w:rsid w:val="00F169D6"/>
    <w:rsid w:val="00F20469"/>
    <w:rsid w:val="00F34613"/>
    <w:rsid w:val="00F3725B"/>
    <w:rsid w:val="00F42C3A"/>
    <w:rsid w:val="00F43B76"/>
    <w:rsid w:val="00F76A94"/>
    <w:rsid w:val="00F82F7C"/>
    <w:rsid w:val="00F90958"/>
    <w:rsid w:val="00F90DD6"/>
    <w:rsid w:val="00F93EC2"/>
    <w:rsid w:val="00FA3CD5"/>
    <w:rsid w:val="00F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64071A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27D9"/>
    <w:rPr>
      <w:color w:val="0000FF"/>
      <w:u w:val="single"/>
    </w:rPr>
  </w:style>
  <w:style w:type="paragraph" w:styleId="Header">
    <w:name w:val="header"/>
    <w:basedOn w:val="Normal"/>
    <w:link w:val="HeaderChar"/>
    <w:rsid w:val="002A27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27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27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27D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A27D9"/>
  </w:style>
  <w:style w:type="paragraph" w:customStyle="1" w:styleId="Prliminairetitre">
    <w:name w:val="Préliminaire titre"/>
    <w:basedOn w:val="Normal"/>
    <w:next w:val="Normal"/>
    <w:rsid w:val="002A27D9"/>
    <w:pPr>
      <w:spacing w:before="360" w:after="360"/>
      <w:jc w:val="center"/>
    </w:pPr>
    <w:rPr>
      <w:b/>
      <w:snapToGrid w:val="0"/>
      <w:lang w:eastAsia="en-GB"/>
    </w:rPr>
  </w:style>
  <w:style w:type="paragraph" w:customStyle="1" w:styleId="naiskr">
    <w:name w:val="naiskr"/>
    <w:basedOn w:val="Normal"/>
    <w:rsid w:val="002A27D9"/>
    <w:pPr>
      <w:spacing w:before="100" w:after="100"/>
    </w:pPr>
    <w:rPr>
      <w:lang w:val="en-GB" w:eastAsia="en-US"/>
    </w:rPr>
  </w:style>
  <w:style w:type="paragraph" w:styleId="FootnoteText">
    <w:name w:val="footnote text"/>
    <w:aliases w:val="Stinking Styles23,Schriftart: 9 pt,Schriftart: 10 pt,Schriftart: 8 pt,Fußnotentext Char Char,WB-Fußnotentext,Footnote Char,fußn,Reference,Footnote text,o,Voetnoottekst Char,Voetnoottekst Char1,Voetnoottekst Char2 Char Char,Fußnote,Fußn,f"/>
    <w:basedOn w:val="Normal"/>
    <w:link w:val="FootnoteTextChar"/>
    <w:unhideWhenUsed/>
    <w:qFormat/>
    <w:rsid w:val="00884C33"/>
    <w:rPr>
      <w:sz w:val="20"/>
      <w:szCs w:val="20"/>
      <w:lang w:eastAsia="en-US"/>
    </w:rPr>
  </w:style>
  <w:style w:type="character" w:customStyle="1" w:styleId="FootnoteTextChar">
    <w:name w:val="Footnote Text Char"/>
    <w:aliases w:val="Stinking Styles23 Char,Schriftart: 9 pt Char,Schriftart: 10 pt Char,Schriftart: 8 pt Char,Fußnotentext Char Char Char,WB-Fußnotentext Char,Footnote Char Char,fußn Char,Reference Char,Footnote text Char,o Char,Voetnoottekst Char Char"/>
    <w:basedOn w:val="DefaultParagraphFont"/>
    <w:link w:val="FootnoteText"/>
    <w:rsid w:val="00884C3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Stinking Styles22,SUPERS,BVI fnr,Footnote,Footnote Reference Superscript,(Footnote Reference),Footnote reference number,note TESI,EN Footnote Reference,Voetnootverwijzing,Times 10 Point,No"/>
    <w:link w:val="FootnotesymbolCarZchn"/>
    <w:unhideWhenUsed/>
    <w:qFormat/>
    <w:rsid w:val="00884C3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884C33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NormalWeb">
    <w:name w:val="Normal (Web)"/>
    <w:basedOn w:val="Normal"/>
    <w:uiPriority w:val="99"/>
    <w:rsid w:val="00884C33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6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F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FC"/>
    <w:rPr>
      <w:rFonts w:ascii="Tahoma" w:eastAsia="Times New Roman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00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951A-71B4-4BE8-A846-CE8E69F2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Nr. 2 “Par mītnes līguma projekta izstrādi par Eiropas Elektronisko sakaru regulatoru iestādes atbalsta aģentūras (BEREC biroja) izvietošanu Rīgā”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Latvijas Republikas nacionālā pozīcija Nr. 2 “Par mītnes līguma projekta izstrādi par Eiropas Elektronisko sakaru regulatoru iestādes atbalsta aģentūras (BEREC biroja) izvietošanu Rīgā”</dc:title>
  <dc:subject>Informatīvais ziņojums</dc:subject>
  <dc:creator>Evita Nagle</dc:creator>
  <cp:keywords>Satiksmes ministrija</cp:keywords>
  <dc:description>Evita Nagle _x000d_
67028190_x000d_
evita.nagle@sam.gov.lv_x000d_
</dc:description>
  <cp:lastModifiedBy>Evita Nagle</cp:lastModifiedBy>
  <cp:revision>24</cp:revision>
  <cp:lastPrinted>2017-05-18T08:16:00Z</cp:lastPrinted>
  <dcterms:created xsi:type="dcterms:W3CDTF">2017-05-12T10:56:00Z</dcterms:created>
  <dcterms:modified xsi:type="dcterms:W3CDTF">2020-08-06T13:26:00Z</dcterms:modified>
</cp:coreProperties>
</file>