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0C836" w14:textId="20979054" w:rsidR="006544B7" w:rsidRPr="004642CA" w:rsidRDefault="00337E8F" w:rsidP="00654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4642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80887" w:rsidRPr="004642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Grozījumu </w:t>
      </w:r>
      <w:r w:rsidR="00CA4027" w:rsidRPr="004642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</w:t>
      </w:r>
      <w:r w:rsidR="00743882" w:rsidRPr="004642CA">
        <w:rPr>
          <w:rFonts w:ascii="Times New Roman" w:hAnsi="Times New Roman"/>
          <w:b/>
          <w:sz w:val="24"/>
          <w:szCs w:val="24"/>
        </w:rPr>
        <w:t>2014.gada 14.oktobra noteikumos Nr.628 “Noteikumi par pašvaldību teritorijas attīstības plānošanas dokumentiem”</w:t>
      </w:r>
      <w:r w:rsidR="007555FE" w:rsidRPr="004642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544B7" w:rsidRPr="004642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</w:t>
      </w:r>
      <w:r w:rsidR="006544B7" w:rsidRPr="004642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7"/>
        <w:gridCol w:w="5463"/>
      </w:tblGrid>
      <w:tr w:rsidR="004642CA" w:rsidRPr="004642CA" w14:paraId="2D74EF2D" w14:textId="77777777" w:rsidTr="006544B7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7D9975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4642CA" w:rsidRPr="004642CA" w14:paraId="30BCAA38" w14:textId="77777777" w:rsidTr="00CC2CD8">
        <w:tc>
          <w:tcPr>
            <w:tcW w:w="1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086ABC" w14:textId="78183012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8831B" w14:textId="2EB9889E" w:rsidR="00FE3641" w:rsidRPr="00FE3641" w:rsidRDefault="00093FC7" w:rsidP="00FE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Grozījumu Ministru kabineta </w:t>
            </w:r>
            <w:r w:rsidR="00743882" w:rsidRPr="004642CA">
              <w:rPr>
                <w:rFonts w:ascii="Times New Roman" w:hAnsi="Times New Roman"/>
                <w:sz w:val="24"/>
                <w:szCs w:val="24"/>
              </w:rPr>
              <w:t>2014.gada 14.oktobra noteikumos Nr.628 “Noteikumi par pašvaldību teritorijas attīstības plānošanas dokumentiem”</w:t>
            </w: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</w:t>
            </w:r>
            <w:r w:rsidR="009C2B05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C2B05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projekts)</w:t>
            </w: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87E53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 ir aktualizēt  </w:t>
            </w:r>
            <w:r w:rsidR="009C2B05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743882" w:rsidRPr="004642CA">
              <w:rPr>
                <w:rFonts w:ascii="Times New Roman" w:hAnsi="Times New Roman"/>
                <w:sz w:val="24"/>
                <w:szCs w:val="24"/>
              </w:rPr>
              <w:t>2014.gada 14.oktobra noteikumos Nr.628 “Noteikumi par pašvaldību teritorijas attīstības plānošanas dokumentiem”</w:t>
            </w:r>
            <w:r w:rsidR="00987090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noteikumi</w:t>
            </w:r>
            <w:r w:rsidR="00743882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Nr.628</w:t>
            </w:r>
            <w:r w:rsidR="00987090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i</w:t>
            </w:r>
            <w:r w:rsidR="00487E53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etvertās normas</w:t>
            </w:r>
            <w:r w:rsidR="00B80B08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87E53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papildinot t</w:t>
            </w:r>
            <w:r w:rsidR="00987090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487E53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ar </w:t>
            </w:r>
            <w:r w:rsidR="00743882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regulējumu attiecībā uz valstspilsētām, kuru termins ieviests ar 2020.gada 10.jūnija </w:t>
            </w:r>
            <w:r w:rsidR="00743882" w:rsidRPr="006A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Administratīvo teritoriju un apdzīvoto vietu likuma</w:t>
            </w:r>
            <w:r w:rsidR="00743882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C3787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3C3787" w:rsidRPr="00FE3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pantu, un kuras nodrošina attīstības plānošanas dokumenta izstrādi arī pieguļošajām </w:t>
            </w:r>
            <w:r w:rsidR="0082017D" w:rsidRPr="00FE3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novada </w:t>
            </w:r>
            <w:r w:rsidR="003C3787" w:rsidRPr="00FE3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pašvaldībām</w:t>
            </w:r>
            <w:r w:rsidR="00FE3641" w:rsidRPr="00FE3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FE3641" w:rsidRPr="006A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Pārejas noteikumu</w:t>
            </w:r>
            <w:r w:rsidR="00FE3641" w:rsidRPr="00FE3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25.punkts nosaka sadarbības </w:t>
            </w:r>
            <w:r w:rsidR="00FE3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institūciju</w:t>
            </w:r>
            <w:r w:rsidR="00FE3641" w:rsidRPr="00FE3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izveidi</w:t>
            </w:r>
            <w:r w:rsidR="00FE3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3641" w:rsidRPr="00FE3641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 w:rsidR="00A42F3A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="00FE3641" w:rsidRPr="00FE3641">
              <w:rPr>
                <w:rFonts w:ascii="Times New Roman" w:hAnsi="Times New Roman" w:cs="Times New Roman"/>
                <w:sz w:val="24"/>
                <w:szCs w:val="24"/>
              </w:rPr>
              <w:t xml:space="preserve">pilsētas pašvaldībai ar pašvaldībām, kuras veidos jaunizveidojamo </w:t>
            </w:r>
            <w:r w:rsidR="00A73030">
              <w:rPr>
                <w:rFonts w:ascii="Times New Roman" w:hAnsi="Times New Roman" w:cs="Times New Roman"/>
                <w:sz w:val="24"/>
                <w:szCs w:val="24"/>
              </w:rPr>
              <w:t>Augšdaugavas</w:t>
            </w:r>
            <w:r w:rsidR="00FE3641" w:rsidRPr="00FE3641">
              <w:rPr>
                <w:rFonts w:ascii="Times New Roman" w:hAnsi="Times New Roman" w:cs="Times New Roman"/>
                <w:sz w:val="24"/>
                <w:szCs w:val="24"/>
              </w:rPr>
              <w:t xml:space="preserve"> novadu, Liepājas </w:t>
            </w:r>
            <w:r w:rsidR="00A42F3A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="00FE3641" w:rsidRPr="00FE3641">
              <w:rPr>
                <w:rFonts w:ascii="Times New Roman" w:hAnsi="Times New Roman" w:cs="Times New Roman"/>
                <w:sz w:val="24"/>
                <w:szCs w:val="24"/>
              </w:rPr>
              <w:t xml:space="preserve">pilsētas pašvaldībai ar pašvaldībām, kuras veidos jaunizveidojamo Dienvidkurzemes novadu, Ventspils </w:t>
            </w:r>
            <w:r w:rsidR="00A42F3A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="00FE3641" w:rsidRPr="00FE3641">
              <w:rPr>
                <w:rFonts w:ascii="Times New Roman" w:hAnsi="Times New Roman" w:cs="Times New Roman"/>
                <w:sz w:val="24"/>
                <w:szCs w:val="24"/>
              </w:rPr>
              <w:t xml:space="preserve">pilsētas pašvaldībai un Ventspils novada pašvaldībai, Jelgavas </w:t>
            </w:r>
            <w:r w:rsidR="00A42F3A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="00FE3641" w:rsidRPr="00FE3641">
              <w:rPr>
                <w:rFonts w:ascii="Times New Roman" w:hAnsi="Times New Roman" w:cs="Times New Roman"/>
                <w:sz w:val="24"/>
                <w:szCs w:val="24"/>
              </w:rPr>
              <w:t xml:space="preserve">pilsētas pašvaldībai un pašvaldībām, kuras veidos jaunizveidojamo Jelgavas novadu, Rēzeknes </w:t>
            </w:r>
            <w:r w:rsidR="00A42F3A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="00FE3641" w:rsidRPr="00FE3641">
              <w:rPr>
                <w:rFonts w:ascii="Times New Roman" w:hAnsi="Times New Roman" w:cs="Times New Roman"/>
                <w:sz w:val="24"/>
                <w:szCs w:val="24"/>
              </w:rPr>
              <w:t>pilsētas pašvaldībai ar pašvaldībām, kuras veidos jaunizveidojamo Rēzeknes novadu</w:t>
            </w:r>
            <w:r w:rsidR="00FE3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4D66">
              <w:rPr>
                <w:rFonts w:ascii="Times New Roman" w:hAnsi="Times New Roman" w:cs="Times New Roman"/>
                <w:sz w:val="24"/>
                <w:szCs w:val="24"/>
              </w:rPr>
              <w:t xml:space="preserve">Savukārt </w:t>
            </w:r>
            <w:r w:rsidR="006A4D66" w:rsidRPr="006A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Pārejas noteikumu </w:t>
            </w:r>
            <w:r w:rsidR="006A4D66">
              <w:rPr>
                <w:rFonts w:ascii="Times New Roman" w:hAnsi="Times New Roman" w:cs="Times New Roman"/>
                <w:sz w:val="24"/>
                <w:szCs w:val="24"/>
              </w:rPr>
              <w:t>9.punkts nosaka termiņu, līdz kuram ir jāizstrādā jaunizveidojamā novada teritorijas attīstības plānošanas dokumentu projekti.</w:t>
            </w:r>
          </w:p>
          <w:p w14:paraId="2FF3A2E3" w14:textId="472E726C" w:rsidR="006544B7" w:rsidRPr="004642CA" w:rsidRDefault="00743882" w:rsidP="00FE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3641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stājas spēkā Oficiālo publikāciju un tiesiskās informācijas likuma 7. panta</w:t>
            </w: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otrajā daļā noteiktajā kārtībā.</w:t>
            </w:r>
          </w:p>
        </w:tc>
      </w:tr>
    </w:tbl>
    <w:p w14:paraId="50DAF252" w14:textId="77777777" w:rsidR="006544B7" w:rsidRPr="004642CA" w:rsidRDefault="006544B7" w:rsidP="0065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42C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2329"/>
        <w:gridCol w:w="5463"/>
      </w:tblGrid>
      <w:tr w:rsidR="004642CA" w:rsidRPr="004642CA" w14:paraId="5E18DF01" w14:textId="77777777" w:rsidTr="006544B7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8F14AB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642CA" w:rsidRPr="004642CA" w14:paraId="1BCE2014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2FFF01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56BACD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494AF9" w14:textId="38D50330" w:rsidR="00B93C23" w:rsidRPr="004642CA" w:rsidRDefault="00A42F3A" w:rsidP="00E7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Teritorijas attīstības plānošanas likuma </w:t>
            </w:r>
            <w:r w:rsidRPr="00A42F3A">
              <w:rPr>
                <w:rFonts w:ascii="Times New Roman" w:hAnsi="Times New Roman"/>
                <w:iCs/>
                <w:sz w:val="24"/>
                <w:szCs w:val="24"/>
              </w:rPr>
              <w:t>7.panta pirmās daļas 4. un 5.punkts.</w:t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2E6"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teritoriju un apdzīvoto vietu likuma pārejas noteikumu 9. punkts.</w:t>
            </w:r>
          </w:p>
        </w:tc>
      </w:tr>
      <w:tr w:rsidR="004642CA" w:rsidRPr="004642CA" w14:paraId="5FDD0628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16F24" w14:textId="460C04DF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183AF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FA98E" w14:textId="0A4CB169" w:rsidR="006544B7" w:rsidRPr="004642CA" w:rsidRDefault="009E6B9B" w:rsidP="000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="004064A6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 </w:t>
            </w:r>
            <w:r w:rsidR="00E752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šādus </w:t>
            </w:r>
            <w:r w:rsidR="004064A6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D2118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</w:t>
            </w:r>
            <w:r w:rsidR="00E752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743882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Nr.628</w:t>
            </w:r>
            <w:r w:rsidR="00E752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grozījumus</w:t>
            </w:r>
            <w:r w:rsidR="000D2118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365C6F9" w14:textId="0B1CB21C" w:rsidR="0082017D" w:rsidRPr="004642CA" w:rsidRDefault="0082017D" w:rsidP="0082017D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noteikumi Nr.628 papildināti ar </w:t>
            </w:r>
            <w:r w:rsidRPr="004642CA">
              <w:rPr>
                <w:rFonts w:ascii="Times New Roman" w:hAnsi="Times New Roman"/>
                <w:sz w:val="24"/>
                <w:szCs w:val="24"/>
              </w:rPr>
              <w:t>2.</w:t>
            </w:r>
            <w:r w:rsidRPr="004642C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642CA">
              <w:rPr>
                <w:rFonts w:ascii="Times New Roman" w:hAnsi="Times New Roman"/>
                <w:sz w:val="24"/>
                <w:szCs w:val="24"/>
              </w:rPr>
              <w:t xml:space="preserve"> un 2.</w:t>
            </w:r>
            <w:r w:rsidRPr="004642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642CA">
              <w:rPr>
                <w:rFonts w:ascii="Times New Roman" w:hAnsi="Times New Roman"/>
                <w:sz w:val="24"/>
                <w:szCs w:val="24"/>
              </w:rPr>
              <w:t xml:space="preserve"> punktu, kuri nosaka valstspilsētu pienākumu sadarboties ar pieguļošajām novadu pašvaldībām ilgtspējīgas attīstības stratēģijas un attīstības programmas izstrādē, veidojot kopēju </w:t>
            </w:r>
            <w:r w:rsidR="00AB69B9">
              <w:rPr>
                <w:rFonts w:ascii="Times New Roman" w:hAnsi="Times New Roman"/>
                <w:sz w:val="24"/>
                <w:szCs w:val="24"/>
              </w:rPr>
              <w:t>sa</w:t>
            </w:r>
            <w:r w:rsidRPr="004642CA">
              <w:rPr>
                <w:rFonts w:ascii="Times New Roman" w:hAnsi="Times New Roman"/>
                <w:sz w:val="24"/>
                <w:szCs w:val="24"/>
              </w:rPr>
              <w:t xml:space="preserve">darbības iestādi. Sadarbības iestāde pildīs izstrādes vadītāja un noteikumu Nr.628 11.punktā noteikto funkciju, kā </w:t>
            </w:r>
            <w:r w:rsidRPr="004642CA">
              <w:rPr>
                <w:rFonts w:ascii="Times New Roman" w:hAnsi="Times New Roman"/>
                <w:sz w:val="24"/>
                <w:szCs w:val="24"/>
              </w:rPr>
              <w:lastRenderedPageBreak/>
              <w:t>arī nodrošinās attiecīgo dokumentu izstrādi teritorijas attīstības plānošanas informācijas sistēmā</w:t>
            </w:r>
            <w:r w:rsidR="00D73825" w:rsidRPr="004642CA">
              <w:rPr>
                <w:rFonts w:ascii="Times New Roman" w:hAnsi="Times New Roman"/>
                <w:sz w:val="24"/>
                <w:szCs w:val="24"/>
              </w:rPr>
              <w:t xml:space="preserve"> (turpmāk – sistēma)</w:t>
            </w:r>
            <w:r w:rsidRPr="004642CA">
              <w:rPr>
                <w:rFonts w:ascii="Times New Roman" w:hAnsi="Times New Roman"/>
                <w:sz w:val="24"/>
                <w:szCs w:val="24"/>
              </w:rPr>
              <w:t>, kā arī nodrošinās vienlaicīgu attīstības plānošanas dokumentu izstrādi iesaistītajās pašvaldībās.</w:t>
            </w:r>
          </w:p>
          <w:p w14:paraId="3036A3FC" w14:textId="69737CF4" w:rsidR="00D73825" w:rsidRDefault="00D73825" w:rsidP="00D73825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</w:t>
            </w:r>
            <w:r w:rsidR="00CE3AE7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papildināts </w:t>
            </w:r>
            <w:r w:rsidR="00CE3AE7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20.</w:t>
            </w:r>
            <w:r w:rsidR="00CE3AE7" w:rsidRPr="00464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CE3AE7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punktu, nosakot regulējumu </w:t>
            </w:r>
            <w:r w:rsidR="00CE3AE7" w:rsidRPr="004642CA">
              <w:rPr>
                <w:rFonts w:ascii="Times New Roman" w:hAnsi="Times New Roman"/>
                <w:sz w:val="24"/>
                <w:szCs w:val="24"/>
              </w:rPr>
              <w:t>pašvaldības ilgtspējīgas attīstības stratēģijām, lai ietvertu kopīgu stratēģisko daļu, un kopīgu telpiskās attīstības perspektīvu, kā arī</w:t>
            </w:r>
            <w:r w:rsidR="00CE3AE7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928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papildināts ar </w:t>
            </w:r>
            <w:r w:rsidR="00CE3AE7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  <w:r w:rsidR="00CE3AE7" w:rsidRPr="00464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CE3AE7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punktu</w:t>
            </w:r>
            <w:r w:rsidR="005928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E3AE7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nosakot regulējumu </w:t>
            </w:r>
            <w:r w:rsidR="00CE3AE7" w:rsidRPr="004642CA">
              <w:rPr>
                <w:rFonts w:ascii="Times New Roman" w:hAnsi="Times New Roman"/>
                <w:sz w:val="24"/>
                <w:szCs w:val="24"/>
              </w:rPr>
              <w:t>pašvaldības attīstības programmām, lai ietvertu kopīgu stratēģisko daļu un rīcību, savukārt investīciju plānā ietvertu kopīgos un atšķirīgos</w:t>
            </w:r>
            <w:r w:rsidR="004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AE7" w:rsidRPr="004642CA">
              <w:rPr>
                <w:rFonts w:ascii="Times New Roman" w:hAnsi="Times New Roman"/>
                <w:sz w:val="24"/>
                <w:szCs w:val="24"/>
              </w:rPr>
              <w:t>projektus, kā arī paredzot kopīgus uzraudzības rādītājus.</w:t>
            </w:r>
          </w:p>
          <w:p w14:paraId="73A7026D" w14:textId="3B3EAD43" w:rsidR="004642CA" w:rsidRPr="00AB69B9" w:rsidRDefault="00D262DF" w:rsidP="00D73825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projekts paredz noteikt 2.</w:t>
            </w:r>
            <w:r w:rsidRPr="00D262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punktā minēto plānošanas dokumentu izstrādes kārtību, ieviešot jaunu 74.</w:t>
            </w:r>
            <w:r w:rsidRPr="00D262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punktu. Kārtība paredzēs, ka </w:t>
            </w:r>
            <w:r w:rsidR="005928BF">
              <w:rPr>
                <w:rFonts w:ascii="Times New Roman" w:hAnsi="Times New Roman"/>
                <w:sz w:val="24"/>
                <w:szCs w:val="24"/>
              </w:rPr>
              <w:t>ikviena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pašvaldība pieņems noteikumu Nr.628 66.punktā noteikto lēmumu, ar kuru uzsāks attīstības plānošanas dokumenta izstrādi vai aktualizēšanu, un apstiprinās izstrādes vadītāju un </w:t>
            </w:r>
            <w:r w:rsidRPr="00AB69B9">
              <w:rPr>
                <w:rFonts w:ascii="Times New Roman" w:hAnsi="Times New Roman"/>
                <w:sz w:val="24"/>
                <w:szCs w:val="24"/>
              </w:rPr>
              <w:t>darba uzdevumu</w:t>
            </w:r>
            <w:r w:rsidR="00AB69B9">
              <w:rPr>
                <w:rFonts w:ascii="Times New Roman" w:hAnsi="Times New Roman"/>
                <w:sz w:val="24"/>
                <w:szCs w:val="24"/>
              </w:rPr>
              <w:t xml:space="preserve">, kā arī </w:t>
            </w:r>
            <w:r w:rsidR="005928BF">
              <w:rPr>
                <w:rFonts w:ascii="Times New Roman" w:hAnsi="Times New Roman"/>
                <w:sz w:val="24"/>
                <w:szCs w:val="24"/>
              </w:rPr>
              <w:t xml:space="preserve">noteikumu Nr.628 </w:t>
            </w:r>
            <w:r w:rsidR="00AB69B9">
              <w:rPr>
                <w:rFonts w:ascii="Times New Roman" w:hAnsi="Times New Roman"/>
                <w:sz w:val="24"/>
                <w:szCs w:val="24"/>
              </w:rPr>
              <w:t>67.punktā noteikto lēmumu, ar kuru attīstības plānošanas dokuments tiek nodots publiskajai apspriešanai</w:t>
            </w:r>
            <w:r w:rsidRPr="00AB69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69B9" w:rsidRPr="00AB69B9">
              <w:rPr>
                <w:rFonts w:ascii="Times New Roman" w:hAnsi="Times New Roman"/>
                <w:sz w:val="24"/>
                <w:szCs w:val="24"/>
              </w:rPr>
              <w:t xml:space="preserve">Izveidotā sadarbības iestāde </w:t>
            </w:r>
            <w:r w:rsidR="00AB69B9" w:rsidRP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</w:t>
            </w:r>
            <w:r w:rsid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="00AB69B9" w:rsidRP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ilgtspējīgas attīstības stratēģijas vai attīstības programmas projekta sagatavošanu </w:t>
            </w:r>
            <w:r w:rsid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AB69B9" w:rsidRP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informē</w:t>
            </w:r>
            <w:r w:rsid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B69B9" w:rsidRP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attiecīgo plānošanas reģionu par atzinuma sniegšanas nepieciešamību. </w:t>
            </w:r>
            <w:r w:rsid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AB69B9" w:rsidRP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ēc plānošanas reģiona atzinuma saņemšanas sadarbības iestāde izvērtē</w:t>
            </w:r>
            <w:r w:rsid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B69B9" w:rsidRP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atzinumā</w:t>
            </w:r>
            <w:r w:rsidR="00AB69B9" w:rsidRP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izteiktos iebildumus un priekšlikumus, panākot vienošanas par to ņemšanu vai neņemšanu vērā. Ņemot vērā saskaņošanas ar plānošanas reģionu un publiskās apspriešanas rezultātus, </w:t>
            </w:r>
            <w:r w:rsid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sadarbības iestāde </w:t>
            </w:r>
            <w:r w:rsidR="00AB69B9" w:rsidRP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</w:t>
            </w:r>
            <w:r w:rsid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B69B9" w:rsidRP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priekšlikumu pašvaldības lēmuma pieņemšana</w:t>
            </w:r>
            <w:r w:rsidR="00AB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</w:p>
          <w:p w14:paraId="59AB65F0" w14:textId="4D90413D" w:rsidR="0082017D" w:rsidRPr="004642CA" w:rsidRDefault="0082017D" w:rsidP="0082017D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CA">
              <w:rPr>
                <w:rFonts w:ascii="Times New Roman" w:hAnsi="Times New Roman"/>
                <w:sz w:val="24"/>
                <w:szCs w:val="24"/>
              </w:rPr>
              <w:t xml:space="preserve">mainīts noteikumu Nr.628 16.punkta regulējums, nodrošinot publiskās apspriešanas termiņa skaidru un nepārprotamu sākuma datumu – </w:t>
            </w:r>
            <w:r w:rsidR="00D73825" w:rsidRPr="004642CA">
              <w:rPr>
                <w:rFonts w:ascii="Times New Roman" w:hAnsi="Times New Roman"/>
                <w:sz w:val="24"/>
                <w:szCs w:val="24"/>
              </w:rPr>
              <w:t xml:space="preserve">ne agrāk kā piecas darba dienas pēc attiecīgā </w:t>
            </w:r>
            <w:r w:rsidR="00D73825" w:rsidRPr="00AB69B9">
              <w:rPr>
                <w:rFonts w:ascii="Times New Roman" w:hAnsi="Times New Roman"/>
                <w:sz w:val="24"/>
                <w:szCs w:val="24"/>
                <w:u w:val="single"/>
              </w:rPr>
              <w:t>plānošanas dokumenta redakcijas</w:t>
            </w:r>
            <w:r w:rsidR="00D73825" w:rsidRPr="004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825" w:rsidRPr="004642CA">
              <w:rPr>
                <w:rFonts w:ascii="Times New Roman" w:hAnsi="Times New Roman"/>
                <w:sz w:val="24"/>
                <w:szCs w:val="24"/>
                <w:u w:val="single"/>
              </w:rPr>
              <w:t>publicēšanas</w:t>
            </w:r>
            <w:r w:rsidR="00D73825" w:rsidRPr="004642CA">
              <w:rPr>
                <w:rFonts w:ascii="Times New Roman" w:hAnsi="Times New Roman"/>
                <w:sz w:val="24"/>
                <w:szCs w:val="24"/>
              </w:rPr>
              <w:t xml:space="preserve"> sistēmā.</w:t>
            </w:r>
          </w:p>
          <w:p w14:paraId="3223B00E" w14:textId="60467120" w:rsidR="00D73825" w:rsidRDefault="00CE3AE7" w:rsidP="0082017D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CA">
              <w:rPr>
                <w:rFonts w:ascii="Times New Roman" w:hAnsi="Times New Roman"/>
                <w:sz w:val="24"/>
                <w:szCs w:val="24"/>
              </w:rPr>
              <w:t xml:space="preserve">lai harmonizētu </w:t>
            </w:r>
            <w:r w:rsidR="004642CA">
              <w:rPr>
                <w:rFonts w:ascii="Times New Roman" w:hAnsi="Times New Roman"/>
                <w:sz w:val="24"/>
                <w:szCs w:val="24"/>
              </w:rPr>
              <w:t xml:space="preserve">teritorijas </w:t>
            </w:r>
            <w:r w:rsidRPr="004642CA">
              <w:rPr>
                <w:rFonts w:ascii="Times New Roman" w:hAnsi="Times New Roman"/>
                <w:sz w:val="24"/>
                <w:szCs w:val="24"/>
              </w:rPr>
              <w:t xml:space="preserve">attīstības plānošanas dokumentu izstrādes procedūru, noteikumu Nr.628 59.punkts tiek izteikts jaunā redakcijā, paredzot, ka atzinumus par plānošanas dokumentu redakciju institūcijas sniedz divu nedēļu laikā no dienas, kad </w:t>
            </w:r>
            <w:r w:rsidRPr="00AB69B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uzsākta publiskā apspriešana</w:t>
            </w:r>
            <w:r w:rsidRPr="004642CA">
              <w:rPr>
                <w:rFonts w:ascii="Times New Roman" w:hAnsi="Times New Roman"/>
                <w:sz w:val="24"/>
                <w:szCs w:val="24"/>
              </w:rPr>
              <w:t>, aizstājot līdzšinējo nosacījumu – divu nedēļu laikā no dienas, kad sistēmā publicēts paziņojums.</w:t>
            </w:r>
          </w:p>
          <w:p w14:paraId="096EB1A5" w14:textId="0AE6BA2F" w:rsidR="00D569EE" w:rsidRPr="004642CA" w:rsidRDefault="00FE3641" w:rsidP="0082017D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ņ</w:t>
            </w:r>
            <w:r w:rsidR="00D569EE" w:rsidRPr="00FE3641">
              <w:rPr>
                <w:rFonts w:ascii="Times New Roman" w:hAnsi="Times New Roman"/>
                <w:sz w:val="24"/>
                <w:szCs w:val="24"/>
              </w:rPr>
              <w:t xml:space="preserve">emot vērā, 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Teritorijas plānojumu teritorijas izmantošanas un apbūves noteikumos </w:t>
            </w:r>
            <w:r w:rsidR="00D569EE" w:rsidRPr="00FE3641">
              <w:rPr>
                <w:rFonts w:ascii="Times New Roman" w:hAnsi="Times New Roman"/>
                <w:sz w:val="24"/>
                <w:szCs w:val="24"/>
              </w:rPr>
              <w:t xml:space="preserve">tiek ietvertas normas, kuru izpilde saistīta ar </w:t>
            </w:r>
            <w:r>
              <w:rPr>
                <w:rFonts w:ascii="Times New Roman" w:hAnsi="Times New Roman"/>
                <w:sz w:val="24"/>
                <w:szCs w:val="24"/>
              </w:rPr>
              <w:t>Būvniecības informācijas sistēmu</w:t>
            </w:r>
            <w:r w:rsidR="00D569EE" w:rsidRPr="00FE3641">
              <w:rPr>
                <w:rFonts w:ascii="Times New Roman" w:hAnsi="Times New Roman"/>
                <w:sz w:val="24"/>
                <w:szCs w:val="24"/>
              </w:rPr>
              <w:t>, kas ir būvniecību pārraugošās E</w:t>
            </w:r>
            <w:r>
              <w:rPr>
                <w:rFonts w:ascii="Times New Roman" w:hAnsi="Times New Roman"/>
                <w:sz w:val="24"/>
                <w:szCs w:val="24"/>
              </w:rPr>
              <w:t>konomikas ministrijas</w:t>
            </w:r>
            <w:r w:rsidR="00D569EE" w:rsidRPr="00FE3641">
              <w:rPr>
                <w:rFonts w:ascii="Times New Roman" w:hAnsi="Times New Roman"/>
                <w:sz w:val="24"/>
                <w:szCs w:val="24"/>
              </w:rPr>
              <w:t xml:space="preserve"> kompetencē, noteikumi papildināti ar 62.</w:t>
            </w:r>
            <w:r w:rsidR="00D569EE" w:rsidRPr="00FE364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D569EE" w:rsidRPr="00FE3641">
              <w:rPr>
                <w:rFonts w:ascii="Times New Roman" w:hAnsi="Times New Roman"/>
                <w:sz w:val="24"/>
                <w:szCs w:val="24"/>
              </w:rPr>
              <w:t xml:space="preserve"> punktu, kas noteic, ka E</w:t>
            </w:r>
            <w:r>
              <w:rPr>
                <w:rFonts w:ascii="Times New Roman" w:hAnsi="Times New Roman"/>
                <w:sz w:val="24"/>
                <w:szCs w:val="24"/>
              </w:rPr>
              <w:t>konomikas ministrija</w:t>
            </w:r>
            <w:r w:rsidR="00D569EE" w:rsidRPr="00FE3641">
              <w:rPr>
                <w:rFonts w:ascii="Times New Roman" w:hAnsi="Times New Roman"/>
                <w:sz w:val="24"/>
                <w:szCs w:val="24"/>
              </w:rPr>
              <w:t xml:space="preserve"> izskata un sniedz atzinumu par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Teritorijas plānojumu teritorijas izmantošanas un apbūves noteikumos </w:t>
            </w:r>
            <w:r w:rsidR="00D569EE" w:rsidRPr="00FE3641">
              <w:rPr>
                <w:rFonts w:ascii="Times New Roman" w:hAnsi="Times New Roman"/>
                <w:sz w:val="24"/>
                <w:szCs w:val="24"/>
              </w:rPr>
              <w:t>iekļau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="00D569EE" w:rsidRPr="00FE3641">
              <w:rPr>
                <w:rFonts w:ascii="Times New Roman" w:hAnsi="Times New Roman"/>
                <w:sz w:val="24"/>
                <w:szCs w:val="24"/>
              </w:rPr>
              <w:t xml:space="preserve"> normu atbilstību būvniecību reglamentējošo normatīvo aktu prasībām</w:t>
            </w:r>
            <w:r w:rsidR="00D569E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2407D7DB" w14:textId="111FD17F" w:rsidR="00CE3AE7" w:rsidRPr="007375E2" w:rsidRDefault="00AB69B9" w:rsidP="0082017D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noteikumu Nr.628 83. un 111.punktiem tiek svītrots vārds</w:t>
            </w:r>
            <w:r w:rsidRPr="00AB69B9">
              <w:rPr>
                <w:rFonts w:ascii="Times New Roman" w:hAnsi="Times New Roman"/>
                <w:sz w:val="24"/>
                <w:szCs w:val="24"/>
              </w:rPr>
              <w:t xml:space="preserve"> “sistēmā</w:t>
            </w:r>
            <w:r>
              <w:rPr>
                <w:rFonts w:ascii="Times New Roman" w:hAnsi="Times New Roman"/>
                <w:sz w:val="24"/>
                <w:szCs w:val="24"/>
              </w:rPr>
              <w:t>”, tādejādi minētos noteikumu Nr.628 punktus harmonizējot ar noteikumu projekta 16.punktu, paziņojuma publicē</w:t>
            </w:r>
            <w:r w:rsidR="007375E2">
              <w:rPr>
                <w:rFonts w:ascii="Times New Roman" w:hAnsi="Times New Roman"/>
                <w:sz w:val="24"/>
                <w:szCs w:val="24"/>
              </w:rPr>
              <w:t>šanas pienākumu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5E2">
              <w:rPr>
                <w:rFonts w:ascii="Times New Roman" w:hAnsi="Times New Roman"/>
                <w:sz w:val="24"/>
                <w:szCs w:val="24"/>
              </w:rPr>
              <w:t>atstājot pašvaldības tīmek</w:t>
            </w:r>
            <w:r w:rsidR="007375E2" w:rsidRPr="007375E2">
              <w:rPr>
                <w:rFonts w:ascii="Times New Roman" w:hAnsi="Times New Roman"/>
                <w:sz w:val="24"/>
                <w:szCs w:val="24"/>
              </w:rPr>
              <w:t>ļa vietnē</w:t>
            </w:r>
            <w:r w:rsidRPr="007375E2">
              <w:rPr>
                <w:rFonts w:ascii="Times New Roman" w:hAnsi="Times New Roman"/>
                <w:sz w:val="24"/>
                <w:szCs w:val="24"/>
              </w:rPr>
              <w:t>s</w:t>
            </w:r>
            <w:r w:rsidR="007375E2" w:rsidRPr="00737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258E9D" w14:textId="36358DE1" w:rsidR="00886F87" w:rsidRPr="004242C9" w:rsidRDefault="00B61FC2" w:rsidP="004242C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375E2">
              <w:rPr>
                <w:rFonts w:ascii="Times New Roman" w:hAnsi="Times New Roman"/>
                <w:sz w:val="24"/>
                <w:szCs w:val="24"/>
              </w:rPr>
              <w:t>oteikumu projekts paredz jaunu 126.</w:t>
            </w:r>
            <w:r w:rsidR="007375E2" w:rsidRPr="007375E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7375E2">
              <w:rPr>
                <w:rFonts w:ascii="Times New Roman" w:hAnsi="Times New Roman"/>
                <w:sz w:val="24"/>
                <w:szCs w:val="24"/>
              </w:rPr>
              <w:t xml:space="preserve"> punktu, kas nosaka </w:t>
            </w:r>
            <w:r w:rsidR="007375E2" w:rsidRPr="007375E2">
              <w:rPr>
                <w:rFonts w:ascii="Times New Roman" w:hAnsi="Times New Roman"/>
                <w:sz w:val="24"/>
                <w:szCs w:val="24"/>
              </w:rPr>
              <w:t>pašvaldība</w:t>
            </w:r>
            <w:r w:rsidR="007375E2">
              <w:rPr>
                <w:rFonts w:ascii="Times New Roman" w:hAnsi="Times New Roman"/>
                <w:sz w:val="24"/>
                <w:szCs w:val="24"/>
              </w:rPr>
              <w:t>s pienākumu</w:t>
            </w:r>
            <w:r w:rsidR="007375E2" w:rsidRPr="007375E2">
              <w:rPr>
                <w:rFonts w:ascii="Times New Roman" w:hAnsi="Times New Roman"/>
                <w:sz w:val="24"/>
                <w:szCs w:val="24"/>
              </w:rPr>
              <w:t xml:space="preserve"> izstr</w:t>
            </w:r>
            <w:r w:rsidR="007375E2">
              <w:rPr>
                <w:rFonts w:ascii="Times New Roman" w:hAnsi="Times New Roman"/>
                <w:sz w:val="24"/>
                <w:szCs w:val="24"/>
              </w:rPr>
              <w:t>ādāt p</w:t>
            </w:r>
            <w:r w:rsidR="007375E2" w:rsidRPr="007375E2">
              <w:rPr>
                <w:rFonts w:ascii="Times New Roman" w:hAnsi="Times New Roman"/>
                <w:sz w:val="24"/>
                <w:szCs w:val="24"/>
              </w:rPr>
              <w:t>ārskatu par detālplānojumu īstenošanas rezultātiem ne retāk kā reizi divos gados.</w:t>
            </w:r>
            <w:r w:rsidR="007375E2">
              <w:rPr>
                <w:rFonts w:ascii="Times New Roman" w:hAnsi="Times New Roman"/>
                <w:sz w:val="24"/>
                <w:szCs w:val="24"/>
              </w:rPr>
              <w:t xml:space="preserve"> Noteikumu projekta punkta termiņš ir harmonizēts ar noteikumu Nr.628 103.punktu, kas reglamentē detālplānojuma darba uzdevuma derīguma termiņu – divus gadus.</w:t>
            </w:r>
          </w:p>
        </w:tc>
      </w:tr>
      <w:tr w:rsidR="004642CA" w:rsidRPr="004642CA" w14:paraId="6285EB0D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226BD" w14:textId="3379CED4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D50451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3613B" w14:textId="7F6B32AD" w:rsidR="006544B7" w:rsidRPr="004642CA" w:rsidRDefault="004642CA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ministrija.</w:t>
            </w:r>
          </w:p>
        </w:tc>
      </w:tr>
      <w:tr w:rsidR="004642CA" w:rsidRPr="004642CA" w14:paraId="5145D2FB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972AAA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C868A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21A41" w14:textId="39C2ECB5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EBBB6D5" w14:textId="77777777" w:rsidR="006544B7" w:rsidRPr="004642CA" w:rsidRDefault="006544B7" w:rsidP="0065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42C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2329"/>
        <w:gridCol w:w="5463"/>
      </w:tblGrid>
      <w:tr w:rsidR="004642CA" w:rsidRPr="004642CA" w14:paraId="0444BFD5" w14:textId="77777777" w:rsidTr="006544B7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61FD72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4642CA" w:rsidRPr="004642CA" w14:paraId="4FFFDBB7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7FF172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5E938C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F370D" w14:textId="32963D21" w:rsidR="006544B7" w:rsidRPr="004642CA" w:rsidRDefault="00CE3AE7" w:rsidP="00464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Pašvaldības, </w:t>
            </w:r>
            <w:r w:rsidR="004642CA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institūcijas, kuras ir attīstības plānošanas dokumentu izstrādes nosacījumu un atzinumu sniedzējas, </w:t>
            </w: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attīstības plānošanas dokumentu izstrādes</w:t>
            </w:r>
            <w:r w:rsidR="004642CA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61F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komersanti</w:t>
            </w:r>
            <w:r w:rsidR="004642CA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642CA" w:rsidRPr="004642CA" w14:paraId="0A737986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CEE33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6AD187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55763" w14:textId="09CF3115" w:rsidR="00507A15" w:rsidRDefault="00507A15" w:rsidP="00507A15">
            <w:pPr>
              <w:spacing w:after="12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D1C">
              <w:rPr>
                <w:rFonts w:ascii="Times New Roman" w:hAnsi="Times New Roman"/>
                <w:sz w:val="24"/>
                <w:szCs w:val="24"/>
              </w:rPr>
              <w:t xml:space="preserve">Sabiedrības mērķgrupai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noteikumu projekts </w:t>
            </w:r>
            <w:r w:rsidRPr="00B07C70">
              <w:rPr>
                <w:rFonts w:ascii="Times New Roman" w:hAnsi="Times New Roman"/>
                <w:sz w:val="24"/>
                <w:szCs w:val="24"/>
              </w:rPr>
              <w:t xml:space="preserve">pēc būtības </w:t>
            </w:r>
            <w:r w:rsidRPr="00A42F3A">
              <w:rPr>
                <w:rFonts w:ascii="Times New Roman" w:hAnsi="Times New Roman"/>
                <w:sz w:val="24"/>
                <w:szCs w:val="24"/>
              </w:rPr>
              <w:t>nemainīs veicamās darbības, līdz ar to neietekmēs administratīvo slogu.</w:t>
            </w:r>
          </w:p>
          <w:p w14:paraId="6C9A9F35" w14:textId="486486AB" w:rsidR="00914F14" w:rsidRDefault="00914F14" w:rsidP="00507A15">
            <w:pPr>
              <w:spacing w:after="12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Izstrādājot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noteikumu </w:t>
            </w:r>
            <w:r w:rsidRPr="00A13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projektu, tika izvērtēta ietekme uz uzņēmējdarbības vidi, maziem, vidējiem uzņēmumiem, mikrouzņēmumiem un jaunuzņēmumiem (MVU tests).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Secināts, ka noteikumu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projektā ietvertais tiesiskais regulējums neietekmēs minēto uzņēmumu darbību.</w:t>
            </w:r>
          </w:p>
          <w:p w14:paraId="022B89FE" w14:textId="77777777" w:rsidR="00914F14" w:rsidRPr="0036385D" w:rsidRDefault="00914F14" w:rsidP="00914F14">
            <w:pPr>
              <w:autoSpaceDE w:val="0"/>
              <w:autoSpaceDN w:val="0"/>
              <w:adjustRightInd w:val="0"/>
              <w:spacing w:after="12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Noteikumu </w:t>
            </w:r>
            <w:r w:rsidRPr="0036385D">
              <w:rPr>
                <w:rFonts w:ascii="Times New Roman" w:hAnsi="Times New Roman"/>
                <w:color w:val="000000"/>
                <w:sz w:val="24"/>
                <w:szCs w:val="24"/>
              </w:rPr>
              <w:t>projektam nav ietekmes uz Nacionālā attīstības plāna rādītājiem mikrolīmenī vai makrolīmenī.</w:t>
            </w:r>
          </w:p>
          <w:p w14:paraId="538F1F91" w14:textId="35F2539B" w:rsidR="00914F14" w:rsidRDefault="00914F14" w:rsidP="00507A15">
            <w:pPr>
              <w:spacing w:after="12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projektam nav ietekmes uz konkurenci.</w:t>
            </w:r>
          </w:p>
          <w:p w14:paraId="2C7E342E" w14:textId="21C04595" w:rsidR="00914F14" w:rsidRDefault="00914F14" w:rsidP="00507A15">
            <w:pPr>
              <w:spacing w:after="12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</w:t>
            </w:r>
            <w:r w:rsidRPr="004C4CE2">
              <w:rPr>
                <w:rFonts w:ascii="Times New Roman" w:hAnsi="Times New Roman"/>
                <w:sz w:val="24"/>
                <w:szCs w:val="24"/>
              </w:rPr>
              <w:t>projekts tiešā veidā ner</w:t>
            </w:r>
            <w:r>
              <w:rPr>
                <w:rFonts w:ascii="Times New Roman" w:hAnsi="Times New Roman"/>
                <w:sz w:val="24"/>
                <w:szCs w:val="24"/>
              </w:rPr>
              <w:t>ada ietekmi uz cilvēku veselību un vidi.</w:t>
            </w:r>
          </w:p>
          <w:p w14:paraId="6CF4E7F4" w14:textId="48B3E923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42CA" w:rsidRPr="004642CA" w14:paraId="78F63D99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09C327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906EDC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9B089" w14:textId="46798AA9" w:rsidR="006544B7" w:rsidRPr="004642CA" w:rsidRDefault="00E71FF3" w:rsidP="00D3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</w:t>
            </w:r>
            <w:r w:rsidR="004F599B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tiesiskais regulējums</w:t>
            </w: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A1131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neradīs papildus administratīvās izmaksas.</w:t>
            </w:r>
          </w:p>
        </w:tc>
      </w:tr>
      <w:tr w:rsidR="004642CA" w:rsidRPr="004642CA" w14:paraId="22487D6E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621E0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E5BA1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DED61" w14:textId="2FE93D7A" w:rsidR="006544B7" w:rsidRPr="004642CA" w:rsidRDefault="00166076" w:rsidP="00D3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</w:t>
            </w:r>
            <w:r w:rsidR="00433A67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BB769E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tiesisk</w:t>
            </w:r>
            <w:r w:rsidR="00A517EA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BB769E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regulējum</w:t>
            </w:r>
            <w:r w:rsidR="00A517EA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izpilde</w:t>
            </w: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neradīs papildus izmaksas</w:t>
            </w:r>
            <w:r w:rsidR="00F918B5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fiziskām vai juridiskām personām</w:t>
            </w: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642CA" w:rsidRPr="004642CA" w14:paraId="2B3CCBD2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09A9C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82E9B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0EBA5" w14:textId="30E76A74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663F794" w14:textId="77777777" w:rsidR="006544B7" w:rsidRPr="004642CA" w:rsidRDefault="006544B7" w:rsidP="0065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42C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4642CA" w:rsidRPr="004642CA" w14:paraId="13DF5012" w14:textId="77777777" w:rsidTr="006544B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1DBCC2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642CA" w:rsidRPr="004642CA" w14:paraId="290A4F8B" w14:textId="77777777" w:rsidTr="006735E4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CAED9B" w14:textId="3903CEDD" w:rsidR="006735E4" w:rsidRPr="004642CA" w:rsidRDefault="006735E4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4317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 šo jomu neskar.</w:t>
            </w:r>
          </w:p>
        </w:tc>
      </w:tr>
      <w:tr w:rsidR="0043173A" w:rsidRPr="004642CA" w14:paraId="5C8FF2FD" w14:textId="77777777" w:rsidTr="006222F0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11ADA" w14:textId="6223C462" w:rsidR="0043173A" w:rsidRPr="004642CA" w:rsidRDefault="006544B7" w:rsidP="006222F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3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</w:t>
            </w:r>
            <w:r w:rsidR="0043173A" w:rsidRPr="0046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</w:t>
            </w:r>
            <w:r w:rsidR="0043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akta projekta ietekme uz spēkā esošo tiesību normu sistēmu</w:t>
            </w:r>
          </w:p>
        </w:tc>
      </w:tr>
      <w:tr w:rsidR="0043173A" w:rsidRPr="004642CA" w14:paraId="061BD1D9" w14:textId="77777777" w:rsidTr="006222F0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969ACED" w14:textId="77777777" w:rsidR="0043173A" w:rsidRPr="004642CA" w:rsidRDefault="0043173A" w:rsidP="006222F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 šo jomu neskar.</w:t>
            </w:r>
          </w:p>
        </w:tc>
      </w:tr>
    </w:tbl>
    <w:p w14:paraId="1A9AFCAB" w14:textId="47F8CDDB" w:rsidR="0043173A" w:rsidRDefault="0043173A" w:rsidP="00431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43173A" w:rsidRPr="004642CA" w14:paraId="2BD8EB13" w14:textId="77777777" w:rsidTr="006222F0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BF597D" w14:textId="41EE7DC8" w:rsidR="0043173A" w:rsidRPr="004642CA" w:rsidRDefault="0043173A" w:rsidP="006222F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</w:t>
            </w:r>
            <w:r w:rsidRPr="0046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akta projekta atbilstība Latvijas Republikas starptautiskajām saistībām</w:t>
            </w:r>
          </w:p>
        </w:tc>
      </w:tr>
      <w:tr w:rsidR="0043173A" w:rsidRPr="004642CA" w14:paraId="2ADC45EC" w14:textId="77777777" w:rsidTr="006222F0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BF0980" w14:textId="77777777" w:rsidR="0043173A" w:rsidRPr="004642CA" w:rsidRDefault="0043173A" w:rsidP="006222F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 šo jomu neskar.</w:t>
            </w:r>
          </w:p>
        </w:tc>
      </w:tr>
    </w:tbl>
    <w:p w14:paraId="2EFE2FCA" w14:textId="77777777" w:rsidR="0043173A" w:rsidRPr="004642CA" w:rsidRDefault="0043173A" w:rsidP="00431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B2442A" w14:textId="20EAC029" w:rsidR="006544B7" w:rsidRPr="004642CA" w:rsidRDefault="006544B7" w:rsidP="0065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42CA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2329"/>
        <w:gridCol w:w="5463"/>
      </w:tblGrid>
      <w:tr w:rsidR="004642CA" w:rsidRPr="004642CA" w14:paraId="34640023" w14:textId="77777777" w:rsidTr="006544B7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EDC9CF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642CA" w:rsidRPr="004642CA" w14:paraId="427CFC3C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6614CE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917BA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4FFBD6" w14:textId="129EE55A" w:rsidR="0043173A" w:rsidRPr="004642CA" w:rsidRDefault="0043173A" w:rsidP="005C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2009. gada 25. augusta noteikumu Nr. 970 “Sabiedrības līdzdalības kārtība attīstības plānošanas procesā” 7.4.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apakšpunktu sabiedrības pārstāvji aicināti līdzdarboties, rakstiski sniedzot viedokli par likumprojektu tā izstrādes stadijā. </w:t>
            </w:r>
            <w:r w:rsidRPr="00D94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pārstāvji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Pr="00D94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informēti par iespēju līdzdarboties, publicējot paziņojumu par līdzdalības procesu </w:t>
            </w:r>
            <w:r w:rsidRPr="00D94F4E">
              <w:rPr>
                <w:rFonts w:ascii="Times New Roman" w:eastAsia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  <w:r w:rsidRPr="00D94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tīmekļvietnē.</w:t>
            </w:r>
          </w:p>
        </w:tc>
      </w:tr>
      <w:tr w:rsidR="004642CA" w:rsidRPr="004642CA" w14:paraId="56D43CE6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E56C2D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73E725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468B26" w14:textId="3235A6BC" w:rsidR="0043173A" w:rsidRDefault="0043173A" w:rsidP="00431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DC">
              <w:rPr>
                <w:rFonts w:ascii="Times New Roman" w:hAnsi="Times New Roman"/>
                <w:sz w:val="24"/>
                <w:szCs w:val="24"/>
              </w:rPr>
              <w:t>Noteikumu projekts un tā sākotnējās ietekmes novērtējuma 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ņojums (anotācija) 2020. gada </w:t>
            </w:r>
            <w:r w:rsidR="00A42F3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 jūlijā ievietots Vides aizsardzības un reģionālās attīstības ministrijas</w:t>
            </w:r>
            <w:r w:rsidRPr="00FD6EDC">
              <w:rPr>
                <w:rFonts w:ascii="Times New Roman" w:hAnsi="Times New Roman"/>
                <w:sz w:val="24"/>
                <w:szCs w:val="24"/>
              </w:rPr>
              <w:t xml:space="preserve"> tīmekļvietnē </w:t>
            </w:r>
            <w:hyperlink r:id="rId11" w:history="1">
              <w:r w:rsidRPr="00FD6ED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www.varam.gov.lv</w:t>
              </w:r>
            </w:hyperlink>
            <w:r w:rsidRPr="00FD6EDC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FD6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iesniegts Valsts kancelejā publicēšanai tās </w:t>
            </w:r>
            <w:r w:rsidRPr="00FD6EDC">
              <w:rPr>
                <w:rFonts w:ascii="Times New Roman" w:hAnsi="Times New Roman"/>
                <w:sz w:val="24"/>
                <w:szCs w:val="24"/>
              </w:rPr>
              <w:t>tīmekļvietnē, līdz ar to ieinteresētajām personām ir iespēja izteikt viedokli un sniegt priekšlikumus.</w:t>
            </w:r>
          </w:p>
          <w:p w14:paraId="0C774665" w14:textId="79B34EDD" w:rsidR="006544B7" w:rsidRPr="004642CA" w:rsidRDefault="006544B7" w:rsidP="0085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42CA" w:rsidRPr="004642CA" w14:paraId="0AFBA804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123D7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38B23E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AC4C5" w14:textId="125C8F2B" w:rsidR="006544B7" w:rsidRPr="004642CA" w:rsidRDefault="00423324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procedūras ietvaros priekšlikumi vai iebildumi netika saņemti</w:t>
            </w:r>
            <w:r w:rsidR="004317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642CA" w:rsidRPr="004642CA" w14:paraId="4FCDD914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694AE3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6AD177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F28465" w14:textId="758DD213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70DAB90" w14:textId="77777777" w:rsidR="006544B7" w:rsidRPr="004642CA" w:rsidRDefault="006544B7" w:rsidP="0065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42C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2329"/>
        <w:gridCol w:w="5463"/>
      </w:tblGrid>
      <w:tr w:rsidR="004642CA" w:rsidRPr="004642CA" w14:paraId="64599716" w14:textId="77777777" w:rsidTr="006544B7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7B6EE1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642CA" w:rsidRPr="004642CA" w14:paraId="0B86AFFD" w14:textId="77777777" w:rsidTr="0044658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060FAA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93E371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895B77" w14:textId="15638B72" w:rsidR="006544B7" w:rsidRPr="004642CA" w:rsidRDefault="0044658B" w:rsidP="0074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6B164F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ides aizsardzības un r</w:t>
            </w:r>
            <w:r w:rsidR="00743882"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eģionālās attīstības ministrija.</w:t>
            </w:r>
          </w:p>
        </w:tc>
      </w:tr>
      <w:tr w:rsidR="004642CA" w:rsidRPr="004642CA" w14:paraId="5CF09005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1A2286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AB4F91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44673A" w14:textId="77777777" w:rsidR="0043173A" w:rsidRDefault="0043173A" w:rsidP="0043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nerada institucionālas izmaiņas attiecībā uz izpildē iesaistītajām valsts pārvaldes institūcijām. </w:t>
            </w:r>
          </w:p>
          <w:p w14:paraId="69181BD4" w14:textId="09BA051D" w:rsidR="006544B7" w:rsidRPr="004642CA" w:rsidRDefault="0043173A" w:rsidP="0043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 netiek paredzēta.</w:t>
            </w:r>
          </w:p>
        </w:tc>
      </w:tr>
      <w:tr w:rsidR="006544B7" w:rsidRPr="004642CA" w14:paraId="3C30BBC1" w14:textId="77777777" w:rsidTr="00CC2CD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D20143" w14:textId="77777777" w:rsidR="006544B7" w:rsidRPr="004642CA" w:rsidRDefault="006544B7" w:rsidP="006544B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71AF6" w14:textId="77777777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25557" w14:textId="3F3E1CE1" w:rsidR="006544B7" w:rsidRPr="004642CA" w:rsidRDefault="006544B7" w:rsidP="006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49FAA17" w14:textId="02A2C406" w:rsidR="00B67488" w:rsidRDefault="00B67488">
      <w:pPr>
        <w:rPr>
          <w:rFonts w:ascii="Times New Roman" w:hAnsi="Times New Roman" w:cs="Times New Roman"/>
          <w:sz w:val="24"/>
          <w:szCs w:val="24"/>
        </w:rPr>
      </w:pPr>
    </w:p>
    <w:p w14:paraId="3E42EF02" w14:textId="77777777" w:rsidR="0043173A" w:rsidRDefault="0043173A" w:rsidP="00431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14:paraId="28D7F4C6" w14:textId="77777777" w:rsidR="0043173A" w:rsidRDefault="0043173A" w:rsidP="0043173A">
      <w:pPr>
        <w:tabs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reģionālās attīstības ministrs </w:t>
      </w:r>
      <w:r>
        <w:rPr>
          <w:rFonts w:ascii="Times New Roman" w:hAnsi="Times New Roman" w:cs="Times New Roman"/>
          <w:sz w:val="24"/>
          <w:szCs w:val="24"/>
        </w:rPr>
        <w:tab/>
        <w:t>J. Pūce</w:t>
      </w:r>
    </w:p>
    <w:p w14:paraId="7FD6099F" w14:textId="172FF412" w:rsidR="0043173A" w:rsidRDefault="0043173A" w:rsidP="004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5B32571" w14:textId="7DE6EEA0" w:rsidR="00A42F3A" w:rsidRDefault="00A42F3A" w:rsidP="004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D72BB" w14:textId="198EDBE3" w:rsidR="00A42F3A" w:rsidRDefault="00A42F3A" w:rsidP="004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896613E" w14:textId="77777777" w:rsidR="00A42F3A" w:rsidRDefault="00A42F3A" w:rsidP="004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B4A3D80" w14:textId="402413F2" w:rsidR="00A42F3A" w:rsidRDefault="00A42F3A" w:rsidP="00431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Vīksna 67026912</w:t>
      </w:r>
    </w:p>
    <w:p w14:paraId="08CD5689" w14:textId="26725597" w:rsidR="0043173A" w:rsidRDefault="006705FE" w:rsidP="0043173A">
      <w:pPr>
        <w:spacing w:after="0" w:line="240" w:lineRule="auto"/>
        <w:jc w:val="both"/>
      </w:pPr>
      <w:hyperlink r:id="rId12">
        <w:r w:rsidR="0043173A">
          <w:rPr>
            <w:rStyle w:val="InternetLink"/>
            <w:rFonts w:ascii="Times New Roman" w:eastAsia="Times New Roman" w:hAnsi="Times New Roman" w:cs="Times New Roman"/>
          </w:rPr>
          <w:t>Vivita.Viksna@varam.gov.lv</w:t>
        </w:r>
      </w:hyperlink>
    </w:p>
    <w:p w14:paraId="487D6D55" w14:textId="77777777" w:rsidR="0043173A" w:rsidRDefault="0043173A" w:rsidP="00431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46CCC2" w14:textId="77777777" w:rsidR="0043173A" w:rsidRPr="004642CA" w:rsidRDefault="0043173A">
      <w:pPr>
        <w:rPr>
          <w:rFonts w:ascii="Times New Roman" w:hAnsi="Times New Roman" w:cs="Times New Roman"/>
          <w:sz w:val="24"/>
          <w:szCs w:val="24"/>
        </w:rPr>
      </w:pPr>
    </w:p>
    <w:sectPr w:rsidR="0043173A" w:rsidRPr="004642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BD65" w14:textId="77777777" w:rsidR="006705FE" w:rsidRDefault="006705FE" w:rsidP="008F2BAC">
      <w:pPr>
        <w:spacing w:after="0" w:line="240" w:lineRule="auto"/>
      </w:pPr>
      <w:r>
        <w:separator/>
      </w:r>
    </w:p>
  </w:endnote>
  <w:endnote w:type="continuationSeparator" w:id="0">
    <w:p w14:paraId="2BD8254D" w14:textId="77777777" w:rsidR="006705FE" w:rsidRDefault="006705FE" w:rsidP="008F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B5A7" w14:textId="77777777" w:rsidR="004322A3" w:rsidRDefault="0043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191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3CECB" w14:textId="0F16735A" w:rsidR="008F2BAC" w:rsidRDefault="008F2BAC">
        <w:pPr>
          <w:pStyle w:val="Footer"/>
          <w:jc w:val="center"/>
        </w:pPr>
        <w:r w:rsidRPr="00A42F3A">
          <w:rPr>
            <w:rFonts w:ascii="Times New Roman" w:hAnsi="Times New Roman" w:cs="Times New Roman"/>
          </w:rPr>
          <w:fldChar w:fldCharType="begin"/>
        </w:r>
        <w:r w:rsidRPr="00A42F3A">
          <w:rPr>
            <w:rFonts w:ascii="Times New Roman" w:hAnsi="Times New Roman" w:cs="Times New Roman"/>
          </w:rPr>
          <w:instrText xml:space="preserve"> PAGE   \* MERGEFORMAT </w:instrText>
        </w:r>
        <w:r w:rsidRPr="00A42F3A">
          <w:rPr>
            <w:rFonts w:ascii="Times New Roman" w:hAnsi="Times New Roman" w:cs="Times New Roman"/>
          </w:rPr>
          <w:fldChar w:fldCharType="separate"/>
        </w:r>
        <w:r w:rsidR="00624D1F">
          <w:rPr>
            <w:rFonts w:ascii="Times New Roman" w:hAnsi="Times New Roman" w:cs="Times New Roman"/>
            <w:noProof/>
          </w:rPr>
          <w:t>4</w:t>
        </w:r>
        <w:r w:rsidRPr="00A42F3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A1A33C" w14:textId="221ACEBF" w:rsidR="008F2BAC" w:rsidRPr="00762D86" w:rsidRDefault="00762D86">
    <w:pPr>
      <w:pStyle w:val="Footer"/>
      <w:rPr>
        <w:rFonts w:ascii="Times New Roman" w:hAnsi="Times New Roman" w:cs="Times New Roman"/>
      </w:rPr>
    </w:pPr>
    <w:r w:rsidRPr="00762D86">
      <w:rPr>
        <w:rFonts w:ascii="Times New Roman" w:hAnsi="Times New Roman" w:cs="Times New Roman"/>
      </w:rPr>
      <w:t>VARAMAnot_05082020_grozijumi_MK</w:t>
    </w:r>
    <w:r w:rsidR="004322A3">
      <w:rPr>
        <w:rFonts w:ascii="Times New Roman" w:hAnsi="Times New Roman" w:cs="Times New Roman"/>
      </w:rPr>
      <w:t>N</w:t>
    </w:r>
    <w:r w:rsidRPr="00762D86">
      <w:rPr>
        <w:rFonts w:ascii="Times New Roman" w:hAnsi="Times New Roman" w:cs="Times New Roman"/>
      </w:rPr>
      <w:t>628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B4376" w14:textId="77777777" w:rsidR="004322A3" w:rsidRDefault="00432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D31E2" w14:textId="77777777" w:rsidR="006705FE" w:rsidRDefault="006705FE" w:rsidP="008F2BAC">
      <w:pPr>
        <w:spacing w:after="0" w:line="240" w:lineRule="auto"/>
      </w:pPr>
      <w:r>
        <w:separator/>
      </w:r>
    </w:p>
  </w:footnote>
  <w:footnote w:type="continuationSeparator" w:id="0">
    <w:p w14:paraId="217789F7" w14:textId="77777777" w:rsidR="006705FE" w:rsidRDefault="006705FE" w:rsidP="008F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5B11" w14:textId="77777777" w:rsidR="004322A3" w:rsidRDefault="00432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1FEA" w14:textId="77777777" w:rsidR="004322A3" w:rsidRDefault="00432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1CF8" w14:textId="77777777" w:rsidR="004322A3" w:rsidRDefault="00432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8D1"/>
    <w:multiLevelType w:val="hybridMultilevel"/>
    <w:tmpl w:val="80D4DECA"/>
    <w:lvl w:ilvl="0" w:tplc="92DC9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7A6107"/>
    <w:multiLevelType w:val="hybridMultilevel"/>
    <w:tmpl w:val="3D8C92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1341B"/>
    <w:multiLevelType w:val="hybridMultilevel"/>
    <w:tmpl w:val="B220F334"/>
    <w:lvl w:ilvl="0" w:tplc="F68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7"/>
    <w:rsid w:val="00002C59"/>
    <w:rsid w:val="00005029"/>
    <w:rsid w:val="00006056"/>
    <w:rsid w:val="00006191"/>
    <w:rsid w:val="00006B62"/>
    <w:rsid w:val="00030B1F"/>
    <w:rsid w:val="00030EB7"/>
    <w:rsid w:val="00033E29"/>
    <w:rsid w:val="000349CD"/>
    <w:rsid w:val="00035927"/>
    <w:rsid w:val="000432C5"/>
    <w:rsid w:val="00050AB2"/>
    <w:rsid w:val="000532F8"/>
    <w:rsid w:val="000533DB"/>
    <w:rsid w:val="000648BE"/>
    <w:rsid w:val="00073313"/>
    <w:rsid w:val="000743EE"/>
    <w:rsid w:val="0007643E"/>
    <w:rsid w:val="000830CB"/>
    <w:rsid w:val="000908EB"/>
    <w:rsid w:val="00091B50"/>
    <w:rsid w:val="00093DFE"/>
    <w:rsid w:val="00093FC7"/>
    <w:rsid w:val="000970BD"/>
    <w:rsid w:val="000A02B4"/>
    <w:rsid w:val="000D00E1"/>
    <w:rsid w:val="000D2118"/>
    <w:rsid w:val="000D4030"/>
    <w:rsid w:val="000E23ED"/>
    <w:rsid w:val="000E2856"/>
    <w:rsid w:val="000E4671"/>
    <w:rsid w:val="00106003"/>
    <w:rsid w:val="00110DE5"/>
    <w:rsid w:val="001122AE"/>
    <w:rsid w:val="00123764"/>
    <w:rsid w:val="0013094E"/>
    <w:rsid w:val="00132386"/>
    <w:rsid w:val="00134DC0"/>
    <w:rsid w:val="001414B1"/>
    <w:rsid w:val="0014294E"/>
    <w:rsid w:val="0014417E"/>
    <w:rsid w:val="001500CC"/>
    <w:rsid w:val="00156A9F"/>
    <w:rsid w:val="001576AC"/>
    <w:rsid w:val="00166076"/>
    <w:rsid w:val="0017153E"/>
    <w:rsid w:val="001822D9"/>
    <w:rsid w:val="00185A86"/>
    <w:rsid w:val="00190F03"/>
    <w:rsid w:val="001A3BCB"/>
    <w:rsid w:val="001A7EA9"/>
    <w:rsid w:val="001B13C9"/>
    <w:rsid w:val="001B2E79"/>
    <w:rsid w:val="001C0633"/>
    <w:rsid w:val="001C350D"/>
    <w:rsid w:val="001C5435"/>
    <w:rsid w:val="001D2B83"/>
    <w:rsid w:val="001D7E47"/>
    <w:rsid w:val="001F0573"/>
    <w:rsid w:val="001F1120"/>
    <w:rsid w:val="001F30DF"/>
    <w:rsid w:val="001F5547"/>
    <w:rsid w:val="002023A5"/>
    <w:rsid w:val="00202B75"/>
    <w:rsid w:val="00204C2C"/>
    <w:rsid w:val="002143C9"/>
    <w:rsid w:val="00216C3B"/>
    <w:rsid w:val="00217F0E"/>
    <w:rsid w:val="002346ED"/>
    <w:rsid w:val="00241836"/>
    <w:rsid w:val="00244377"/>
    <w:rsid w:val="00250D2B"/>
    <w:rsid w:val="0025169C"/>
    <w:rsid w:val="00254B23"/>
    <w:rsid w:val="00256E8E"/>
    <w:rsid w:val="0025721F"/>
    <w:rsid w:val="00264EBA"/>
    <w:rsid w:val="00265227"/>
    <w:rsid w:val="00270E5F"/>
    <w:rsid w:val="002730CA"/>
    <w:rsid w:val="00274204"/>
    <w:rsid w:val="002777B7"/>
    <w:rsid w:val="002801B0"/>
    <w:rsid w:val="00281D37"/>
    <w:rsid w:val="00291434"/>
    <w:rsid w:val="00294A83"/>
    <w:rsid w:val="00295A4A"/>
    <w:rsid w:val="002A08AD"/>
    <w:rsid w:val="002A3F20"/>
    <w:rsid w:val="002A6F8D"/>
    <w:rsid w:val="002A79BB"/>
    <w:rsid w:val="002B06AB"/>
    <w:rsid w:val="002B262B"/>
    <w:rsid w:val="002B377F"/>
    <w:rsid w:val="002B495F"/>
    <w:rsid w:val="002B5A4F"/>
    <w:rsid w:val="002C59CC"/>
    <w:rsid w:val="002D2F17"/>
    <w:rsid w:val="002E0E06"/>
    <w:rsid w:val="002E100E"/>
    <w:rsid w:val="002E1192"/>
    <w:rsid w:val="002E1770"/>
    <w:rsid w:val="002E58A7"/>
    <w:rsid w:val="002E694A"/>
    <w:rsid w:val="003049F8"/>
    <w:rsid w:val="00315B3F"/>
    <w:rsid w:val="003201C0"/>
    <w:rsid w:val="003227C2"/>
    <w:rsid w:val="00322B52"/>
    <w:rsid w:val="003259CA"/>
    <w:rsid w:val="00325B76"/>
    <w:rsid w:val="00326A1D"/>
    <w:rsid w:val="00335097"/>
    <w:rsid w:val="00337E8F"/>
    <w:rsid w:val="0035017E"/>
    <w:rsid w:val="0035069F"/>
    <w:rsid w:val="003529AA"/>
    <w:rsid w:val="00353F21"/>
    <w:rsid w:val="00361A01"/>
    <w:rsid w:val="003731C1"/>
    <w:rsid w:val="00381097"/>
    <w:rsid w:val="00382171"/>
    <w:rsid w:val="00390D71"/>
    <w:rsid w:val="003A2E74"/>
    <w:rsid w:val="003A4B79"/>
    <w:rsid w:val="003A663C"/>
    <w:rsid w:val="003B38CD"/>
    <w:rsid w:val="003C0260"/>
    <w:rsid w:val="003C34F6"/>
    <w:rsid w:val="003C3787"/>
    <w:rsid w:val="003E2E1A"/>
    <w:rsid w:val="004010D8"/>
    <w:rsid w:val="00405535"/>
    <w:rsid w:val="004064A6"/>
    <w:rsid w:val="00406770"/>
    <w:rsid w:val="004074B4"/>
    <w:rsid w:val="00407695"/>
    <w:rsid w:val="00412065"/>
    <w:rsid w:val="0041233B"/>
    <w:rsid w:val="004133D0"/>
    <w:rsid w:val="00413D5D"/>
    <w:rsid w:val="00423324"/>
    <w:rsid w:val="004235BE"/>
    <w:rsid w:val="004242C9"/>
    <w:rsid w:val="0043173A"/>
    <w:rsid w:val="004322A3"/>
    <w:rsid w:val="00433A67"/>
    <w:rsid w:val="00434829"/>
    <w:rsid w:val="00434CEA"/>
    <w:rsid w:val="0044658B"/>
    <w:rsid w:val="0046050E"/>
    <w:rsid w:val="00460F8E"/>
    <w:rsid w:val="00463692"/>
    <w:rsid w:val="004642CA"/>
    <w:rsid w:val="00465E4B"/>
    <w:rsid w:val="004744FE"/>
    <w:rsid w:val="00485487"/>
    <w:rsid w:val="00486BCF"/>
    <w:rsid w:val="00487E53"/>
    <w:rsid w:val="004A3349"/>
    <w:rsid w:val="004B2947"/>
    <w:rsid w:val="004B6F88"/>
    <w:rsid w:val="004B79B4"/>
    <w:rsid w:val="004C1ACF"/>
    <w:rsid w:val="004C459B"/>
    <w:rsid w:val="004D117A"/>
    <w:rsid w:val="004E1971"/>
    <w:rsid w:val="004E2187"/>
    <w:rsid w:val="004E2F0E"/>
    <w:rsid w:val="004E3E6E"/>
    <w:rsid w:val="004E6D86"/>
    <w:rsid w:val="004F599B"/>
    <w:rsid w:val="00507A15"/>
    <w:rsid w:val="005142DE"/>
    <w:rsid w:val="00520308"/>
    <w:rsid w:val="00524735"/>
    <w:rsid w:val="005255C9"/>
    <w:rsid w:val="005416C3"/>
    <w:rsid w:val="005428F7"/>
    <w:rsid w:val="00550910"/>
    <w:rsid w:val="005524E1"/>
    <w:rsid w:val="005928BF"/>
    <w:rsid w:val="00597224"/>
    <w:rsid w:val="005972EC"/>
    <w:rsid w:val="005A5FB9"/>
    <w:rsid w:val="005B151C"/>
    <w:rsid w:val="005B1E16"/>
    <w:rsid w:val="005B2B28"/>
    <w:rsid w:val="005B7E0A"/>
    <w:rsid w:val="005C37F6"/>
    <w:rsid w:val="005C4C4D"/>
    <w:rsid w:val="005C6B06"/>
    <w:rsid w:val="005E532F"/>
    <w:rsid w:val="005E5C08"/>
    <w:rsid w:val="005E6E24"/>
    <w:rsid w:val="005F6775"/>
    <w:rsid w:val="0060229A"/>
    <w:rsid w:val="006071CE"/>
    <w:rsid w:val="006143AC"/>
    <w:rsid w:val="0061555F"/>
    <w:rsid w:val="006212F9"/>
    <w:rsid w:val="006222E0"/>
    <w:rsid w:val="00624431"/>
    <w:rsid w:val="00624D1F"/>
    <w:rsid w:val="006321A1"/>
    <w:rsid w:val="0064419B"/>
    <w:rsid w:val="006468C2"/>
    <w:rsid w:val="006544B7"/>
    <w:rsid w:val="00660F22"/>
    <w:rsid w:val="0066102D"/>
    <w:rsid w:val="0066681F"/>
    <w:rsid w:val="0066781B"/>
    <w:rsid w:val="00667E0C"/>
    <w:rsid w:val="00670578"/>
    <w:rsid w:val="006705FE"/>
    <w:rsid w:val="00671F36"/>
    <w:rsid w:val="006735E4"/>
    <w:rsid w:val="006771BE"/>
    <w:rsid w:val="006772E7"/>
    <w:rsid w:val="00682BD7"/>
    <w:rsid w:val="00682F03"/>
    <w:rsid w:val="0068458A"/>
    <w:rsid w:val="00690818"/>
    <w:rsid w:val="00695CDF"/>
    <w:rsid w:val="006A0338"/>
    <w:rsid w:val="006A11B1"/>
    <w:rsid w:val="006A1DE2"/>
    <w:rsid w:val="006A4D66"/>
    <w:rsid w:val="006B164F"/>
    <w:rsid w:val="006B3C6F"/>
    <w:rsid w:val="006B4A75"/>
    <w:rsid w:val="006B6F15"/>
    <w:rsid w:val="006C3574"/>
    <w:rsid w:val="006C45BC"/>
    <w:rsid w:val="006D5DE6"/>
    <w:rsid w:val="006E71CD"/>
    <w:rsid w:val="006F6F14"/>
    <w:rsid w:val="006F7BF0"/>
    <w:rsid w:val="00711260"/>
    <w:rsid w:val="00712543"/>
    <w:rsid w:val="00712F72"/>
    <w:rsid w:val="00713EBF"/>
    <w:rsid w:val="00717709"/>
    <w:rsid w:val="007215B7"/>
    <w:rsid w:val="007375E2"/>
    <w:rsid w:val="0074110C"/>
    <w:rsid w:val="00743882"/>
    <w:rsid w:val="00744777"/>
    <w:rsid w:val="007520C7"/>
    <w:rsid w:val="00753351"/>
    <w:rsid w:val="007555FE"/>
    <w:rsid w:val="00756C33"/>
    <w:rsid w:val="00757298"/>
    <w:rsid w:val="007621AF"/>
    <w:rsid w:val="00762D86"/>
    <w:rsid w:val="007642AB"/>
    <w:rsid w:val="007911C4"/>
    <w:rsid w:val="007913D9"/>
    <w:rsid w:val="00791A0A"/>
    <w:rsid w:val="00791E4F"/>
    <w:rsid w:val="007A2339"/>
    <w:rsid w:val="007A3440"/>
    <w:rsid w:val="007A7F83"/>
    <w:rsid w:val="007B265E"/>
    <w:rsid w:val="007B2B6E"/>
    <w:rsid w:val="007B303E"/>
    <w:rsid w:val="007C3745"/>
    <w:rsid w:val="007C40E2"/>
    <w:rsid w:val="007F04B8"/>
    <w:rsid w:val="007F0B1F"/>
    <w:rsid w:val="007F2174"/>
    <w:rsid w:val="007F2582"/>
    <w:rsid w:val="007F65CC"/>
    <w:rsid w:val="008021EB"/>
    <w:rsid w:val="0081223D"/>
    <w:rsid w:val="0082017D"/>
    <w:rsid w:val="008215A6"/>
    <w:rsid w:val="008223D1"/>
    <w:rsid w:val="00824F4A"/>
    <w:rsid w:val="008326B3"/>
    <w:rsid w:val="00834CA6"/>
    <w:rsid w:val="00852D9A"/>
    <w:rsid w:val="00855870"/>
    <w:rsid w:val="00856935"/>
    <w:rsid w:val="008809F3"/>
    <w:rsid w:val="0088127E"/>
    <w:rsid w:val="00881ADF"/>
    <w:rsid w:val="008833A2"/>
    <w:rsid w:val="00883949"/>
    <w:rsid w:val="00886F87"/>
    <w:rsid w:val="0089382B"/>
    <w:rsid w:val="00894F0F"/>
    <w:rsid w:val="008A3FBD"/>
    <w:rsid w:val="008B0638"/>
    <w:rsid w:val="008B1574"/>
    <w:rsid w:val="008D393B"/>
    <w:rsid w:val="008D5372"/>
    <w:rsid w:val="008F0ED4"/>
    <w:rsid w:val="008F2BAC"/>
    <w:rsid w:val="008F4070"/>
    <w:rsid w:val="008F4589"/>
    <w:rsid w:val="0091228F"/>
    <w:rsid w:val="00913460"/>
    <w:rsid w:val="00914F14"/>
    <w:rsid w:val="0092264F"/>
    <w:rsid w:val="009270B0"/>
    <w:rsid w:val="009310CB"/>
    <w:rsid w:val="00933A45"/>
    <w:rsid w:val="00944342"/>
    <w:rsid w:val="00974A97"/>
    <w:rsid w:val="00987090"/>
    <w:rsid w:val="00993D10"/>
    <w:rsid w:val="00995A4C"/>
    <w:rsid w:val="009A152D"/>
    <w:rsid w:val="009A2528"/>
    <w:rsid w:val="009A43B5"/>
    <w:rsid w:val="009A4CE6"/>
    <w:rsid w:val="009A57C4"/>
    <w:rsid w:val="009A6504"/>
    <w:rsid w:val="009B283F"/>
    <w:rsid w:val="009B3E53"/>
    <w:rsid w:val="009B43D5"/>
    <w:rsid w:val="009B6CF1"/>
    <w:rsid w:val="009C2B05"/>
    <w:rsid w:val="009C4635"/>
    <w:rsid w:val="009C5479"/>
    <w:rsid w:val="009C556F"/>
    <w:rsid w:val="009C6615"/>
    <w:rsid w:val="009C7663"/>
    <w:rsid w:val="009D6050"/>
    <w:rsid w:val="009E6B9B"/>
    <w:rsid w:val="00A10533"/>
    <w:rsid w:val="00A2045C"/>
    <w:rsid w:val="00A216FE"/>
    <w:rsid w:val="00A36E5D"/>
    <w:rsid w:val="00A36E80"/>
    <w:rsid w:val="00A36EA9"/>
    <w:rsid w:val="00A41987"/>
    <w:rsid w:val="00A42B37"/>
    <w:rsid w:val="00A42F3A"/>
    <w:rsid w:val="00A4377B"/>
    <w:rsid w:val="00A47853"/>
    <w:rsid w:val="00A517EA"/>
    <w:rsid w:val="00A519C5"/>
    <w:rsid w:val="00A54550"/>
    <w:rsid w:val="00A54932"/>
    <w:rsid w:val="00A5669D"/>
    <w:rsid w:val="00A66BBD"/>
    <w:rsid w:val="00A70642"/>
    <w:rsid w:val="00A726CE"/>
    <w:rsid w:val="00A73030"/>
    <w:rsid w:val="00A9477F"/>
    <w:rsid w:val="00AA643B"/>
    <w:rsid w:val="00AA6583"/>
    <w:rsid w:val="00AB2A58"/>
    <w:rsid w:val="00AB3CD7"/>
    <w:rsid w:val="00AB3CFB"/>
    <w:rsid w:val="00AB69B9"/>
    <w:rsid w:val="00AC1C0D"/>
    <w:rsid w:val="00AC1E68"/>
    <w:rsid w:val="00AC2FEB"/>
    <w:rsid w:val="00AD30EC"/>
    <w:rsid w:val="00AD7760"/>
    <w:rsid w:val="00AD7F3E"/>
    <w:rsid w:val="00AE0337"/>
    <w:rsid w:val="00B01732"/>
    <w:rsid w:val="00B020C1"/>
    <w:rsid w:val="00B060C4"/>
    <w:rsid w:val="00B07ACF"/>
    <w:rsid w:val="00B17D90"/>
    <w:rsid w:val="00B466DA"/>
    <w:rsid w:val="00B47690"/>
    <w:rsid w:val="00B56BE0"/>
    <w:rsid w:val="00B61FC2"/>
    <w:rsid w:val="00B62A35"/>
    <w:rsid w:val="00B63BF6"/>
    <w:rsid w:val="00B67488"/>
    <w:rsid w:val="00B71437"/>
    <w:rsid w:val="00B74742"/>
    <w:rsid w:val="00B80B08"/>
    <w:rsid w:val="00B9009F"/>
    <w:rsid w:val="00B92990"/>
    <w:rsid w:val="00B93C23"/>
    <w:rsid w:val="00B96634"/>
    <w:rsid w:val="00BA1131"/>
    <w:rsid w:val="00BA6DAA"/>
    <w:rsid w:val="00BB0498"/>
    <w:rsid w:val="00BB0E9F"/>
    <w:rsid w:val="00BB2F68"/>
    <w:rsid w:val="00BB4A0B"/>
    <w:rsid w:val="00BB769E"/>
    <w:rsid w:val="00BC0338"/>
    <w:rsid w:val="00BC06A5"/>
    <w:rsid w:val="00BC0B56"/>
    <w:rsid w:val="00BC5E19"/>
    <w:rsid w:val="00BD682D"/>
    <w:rsid w:val="00BE0F1F"/>
    <w:rsid w:val="00BE4798"/>
    <w:rsid w:val="00BE6E52"/>
    <w:rsid w:val="00C03777"/>
    <w:rsid w:val="00C05584"/>
    <w:rsid w:val="00C05720"/>
    <w:rsid w:val="00C06466"/>
    <w:rsid w:val="00C14C31"/>
    <w:rsid w:val="00C274F8"/>
    <w:rsid w:val="00C4071F"/>
    <w:rsid w:val="00C42D1C"/>
    <w:rsid w:val="00C44025"/>
    <w:rsid w:val="00C502A4"/>
    <w:rsid w:val="00C55D01"/>
    <w:rsid w:val="00C6087A"/>
    <w:rsid w:val="00C72B85"/>
    <w:rsid w:val="00C72E9E"/>
    <w:rsid w:val="00C772C8"/>
    <w:rsid w:val="00C80887"/>
    <w:rsid w:val="00C87D0C"/>
    <w:rsid w:val="00C9381A"/>
    <w:rsid w:val="00CA4027"/>
    <w:rsid w:val="00CB04A8"/>
    <w:rsid w:val="00CC2A94"/>
    <w:rsid w:val="00CC2CD8"/>
    <w:rsid w:val="00CC40F4"/>
    <w:rsid w:val="00CE3AE7"/>
    <w:rsid w:val="00CF0EB4"/>
    <w:rsid w:val="00CF284A"/>
    <w:rsid w:val="00D059DF"/>
    <w:rsid w:val="00D10BA7"/>
    <w:rsid w:val="00D149B9"/>
    <w:rsid w:val="00D16AF8"/>
    <w:rsid w:val="00D23685"/>
    <w:rsid w:val="00D262DF"/>
    <w:rsid w:val="00D30373"/>
    <w:rsid w:val="00D36390"/>
    <w:rsid w:val="00D569EE"/>
    <w:rsid w:val="00D61520"/>
    <w:rsid w:val="00D705DE"/>
    <w:rsid w:val="00D706BE"/>
    <w:rsid w:val="00D73825"/>
    <w:rsid w:val="00D74E99"/>
    <w:rsid w:val="00D7538D"/>
    <w:rsid w:val="00D77043"/>
    <w:rsid w:val="00D77247"/>
    <w:rsid w:val="00D77C16"/>
    <w:rsid w:val="00D81FD1"/>
    <w:rsid w:val="00D91B5B"/>
    <w:rsid w:val="00DA03EE"/>
    <w:rsid w:val="00DC4B03"/>
    <w:rsid w:val="00DC5935"/>
    <w:rsid w:val="00DD3220"/>
    <w:rsid w:val="00DE5E07"/>
    <w:rsid w:val="00DF5525"/>
    <w:rsid w:val="00E040A0"/>
    <w:rsid w:val="00E104A1"/>
    <w:rsid w:val="00E106CB"/>
    <w:rsid w:val="00E1443C"/>
    <w:rsid w:val="00E14A47"/>
    <w:rsid w:val="00E265DB"/>
    <w:rsid w:val="00E358A5"/>
    <w:rsid w:val="00E4627F"/>
    <w:rsid w:val="00E564A3"/>
    <w:rsid w:val="00E610C7"/>
    <w:rsid w:val="00E63F3A"/>
    <w:rsid w:val="00E66035"/>
    <w:rsid w:val="00E71FF3"/>
    <w:rsid w:val="00E722D5"/>
    <w:rsid w:val="00E752E6"/>
    <w:rsid w:val="00E75BD9"/>
    <w:rsid w:val="00E777FE"/>
    <w:rsid w:val="00E81BD3"/>
    <w:rsid w:val="00E82D2F"/>
    <w:rsid w:val="00E83B28"/>
    <w:rsid w:val="00E84CE6"/>
    <w:rsid w:val="00E87CDC"/>
    <w:rsid w:val="00E920EF"/>
    <w:rsid w:val="00EA7C81"/>
    <w:rsid w:val="00EB3EFF"/>
    <w:rsid w:val="00EC21E8"/>
    <w:rsid w:val="00EE033C"/>
    <w:rsid w:val="00EE321E"/>
    <w:rsid w:val="00EE5F7F"/>
    <w:rsid w:val="00EF0E2C"/>
    <w:rsid w:val="00EF46E3"/>
    <w:rsid w:val="00F046C3"/>
    <w:rsid w:val="00F059E0"/>
    <w:rsid w:val="00F05E07"/>
    <w:rsid w:val="00F2217F"/>
    <w:rsid w:val="00F23878"/>
    <w:rsid w:val="00F264AD"/>
    <w:rsid w:val="00F270E1"/>
    <w:rsid w:val="00F27B72"/>
    <w:rsid w:val="00F30352"/>
    <w:rsid w:val="00F308AC"/>
    <w:rsid w:val="00F32A84"/>
    <w:rsid w:val="00F46061"/>
    <w:rsid w:val="00F46B0B"/>
    <w:rsid w:val="00F50F15"/>
    <w:rsid w:val="00F55A21"/>
    <w:rsid w:val="00F64D8B"/>
    <w:rsid w:val="00F65114"/>
    <w:rsid w:val="00F77C81"/>
    <w:rsid w:val="00F81D83"/>
    <w:rsid w:val="00F85243"/>
    <w:rsid w:val="00F85A1B"/>
    <w:rsid w:val="00F90D8C"/>
    <w:rsid w:val="00F918B5"/>
    <w:rsid w:val="00F962A5"/>
    <w:rsid w:val="00FA0F50"/>
    <w:rsid w:val="00FA3AC4"/>
    <w:rsid w:val="00FA6CF5"/>
    <w:rsid w:val="00FB7CCB"/>
    <w:rsid w:val="00FC0CE1"/>
    <w:rsid w:val="00FC1DCB"/>
    <w:rsid w:val="00FC6D69"/>
    <w:rsid w:val="00FD0A8B"/>
    <w:rsid w:val="00FD155A"/>
    <w:rsid w:val="00FE2516"/>
    <w:rsid w:val="00FE3641"/>
    <w:rsid w:val="00FE4A48"/>
    <w:rsid w:val="00FE53DF"/>
    <w:rsid w:val="00FE778F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BCC29"/>
  <w15:chartTrackingRefBased/>
  <w15:docId w15:val="{62A23F6B-D0EA-4795-8359-26A83C8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AC"/>
  </w:style>
  <w:style w:type="paragraph" w:styleId="Footer">
    <w:name w:val="footer"/>
    <w:basedOn w:val="Normal"/>
    <w:link w:val="FooterChar"/>
    <w:uiPriority w:val="99"/>
    <w:unhideWhenUsed/>
    <w:rsid w:val="008F2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AC"/>
  </w:style>
  <w:style w:type="paragraph" w:styleId="ListParagraph">
    <w:name w:val="List Paragraph"/>
    <w:basedOn w:val="Normal"/>
    <w:uiPriority w:val="34"/>
    <w:qFormat/>
    <w:rsid w:val="000D2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43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5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E6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431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eta.Teibe@varam.gov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r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CD095C6A95AB47A12BDACC02BB63C0" ma:contentTypeVersion="7" ma:contentTypeDescription="Izveidot jaunu dokumentu." ma:contentTypeScope="" ma:versionID="2018f50b667dc7f7287eaed7c74e4ef4">
  <xsd:schema xmlns:xsd="http://www.w3.org/2001/XMLSchema" xmlns:xs="http://www.w3.org/2001/XMLSchema" xmlns:p="http://schemas.microsoft.com/office/2006/metadata/properties" xmlns:ns3="ad0f580b-45e8-4c3d-893c-18fdf069df84" targetNamespace="http://schemas.microsoft.com/office/2006/metadata/properties" ma:root="true" ma:fieldsID="791e410cbc43dd09ba29bdbab4917b01" ns3:_="">
    <xsd:import namespace="ad0f580b-45e8-4c3d-893c-18fdf069d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f580b-45e8-4c3d-893c-18fdf069d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6C3E-75DB-403E-9798-F9AE14D29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CE898-6394-4D4B-826A-EE574816E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f580b-45e8-4c3d-893c-18fdf069d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A3590-50AE-408D-8614-53ED2707D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EC800-ADA8-47BE-AE66-92CB1799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6156</Words>
  <Characters>3510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Grozījumu Ministru kabineta 2014.gada 14.oktobra noteikumos Nr.628 "Noteikumi par pašvaldību teritorijas attīstības plānošanas dokumentiem" anotācija</vt:lpstr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2014.gada 14.oktobra noteikumos Nr.628 "Noteikumi par pašvaldību teritorijas attīstības plānošanas dokumentiem" anotācija</dc:title>
  <dc:subject/>
  <dc:creator>Vivita.Viksna@varam.gov.lv</dc:creator>
  <cp:keywords/>
  <dc:description>67026912, vivita.viksna@varam.gov.lv</dc:description>
  <cp:lastModifiedBy>Laila Bremša</cp:lastModifiedBy>
  <cp:revision>2</cp:revision>
  <cp:lastPrinted>2019-10-15T09:03:00Z</cp:lastPrinted>
  <dcterms:created xsi:type="dcterms:W3CDTF">2020-08-10T10:47:00Z</dcterms:created>
  <dcterms:modified xsi:type="dcterms:W3CDTF">2020-08-10T10:47:00Z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0x0101006FCD095C6A95AB47A12BDACC02BB63C0</vt:lpwstr>
  </property>
</Properties>
</file>