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BDAC" w14:textId="19AD09AE" w:rsidR="0032237F" w:rsidRPr="0001319C" w:rsidRDefault="0032237F" w:rsidP="0022409B">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BA4EF1">
        <w:rPr>
          <w:rFonts w:ascii="Times New Roman" w:eastAsia="Times New Roman" w:hAnsi="Times New Roman" w:cs="Times New Roman"/>
          <w:b/>
          <w:bCs/>
          <w:sz w:val="28"/>
          <w:szCs w:val="28"/>
          <w:lang w:eastAsia="lv-LV"/>
        </w:rPr>
        <w:t>Minist</w:t>
      </w:r>
      <w:r w:rsidR="00163A00" w:rsidRPr="00BA4EF1">
        <w:rPr>
          <w:rFonts w:ascii="Times New Roman" w:eastAsia="Times New Roman" w:hAnsi="Times New Roman" w:cs="Times New Roman"/>
          <w:b/>
          <w:bCs/>
          <w:sz w:val="28"/>
          <w:szCs w:val="28"/>
          <w:lang w:eastAsia="lv-LV"/>
        </w:rPr>
        <w:t>ru kabineta noteikum</w:t>
      </w:r>
      <w:r w:rsidR="00463B89" w:rsidRPr="00BA4EF1">
        <w:rPr>
          <w:rFonts w:ascii="Times New Roman" w:eastAsia="Times New Roman" w:hAnsi="Times New Roman" w:cs="Times New Roman"/>
          <w:b/>
          <w:bCs/>
          <w:sz w:val="28"/>
          <w:szCs w:val="28"/>
          <w:lang w:eastAsia="lv-LV"/>
        </w:rPr>
        <w:t>u</w:t>
      </w:r>
      <w:r w:rsidR="00F05E2E">
        <w:rPr>
          <w:rFonts w:ascii="Times New Roman" w:eastAsia="Times New Roman" w:hAnsi="Times New Roman" w:cs="Times New Roman"/>
          <w:b/>
          <w:bCs/>
          <w:sz w:val="28"/>
          <w:szCs w:val="28"/>
          <w:lang w:eastAsia="lv-LV"/>
        </w:rPr>
        <w:t xml:space="preserve"> projekta</w:t>
      </w:r>
      <w:r w:rsidR="00463B89" w:rsidRPr="00BA4EF1">
        <w:rPr>
          <w:rFonts w:ascii="Times New Roman" w:eastAsia="Times New Roman" w:hAnsi="Times New Roman" w:cs="Times New Roman"/>
          <w:b/>
          <w:bCs/>
          <w:sz w:val="28"/>
          <w:szCs w:val="28"/>
          <w:lang w:eastAsia="lv-LV"/>
        </w:rPr>
        <w:t xml:space="preserve"> </w:t>
      </w:r>
      <w:r w:rsidR="007A1EBC">
        <w:rPr>
          <w:rFonts w:ascii="Times New Roman" w:eastAsia="Times New Roman" w:hAnsi="Times New Roman" w:cs="Times New Roman"/>
          <w:b/>
          <w:bCs/>
          <w:sz w:val="28"/>
          <w:szCs w:val="28"/>
          <w:lang w:eastAsia="lv-LV"/>
        </w:rPr>
        <w:t>“</w:t>
      </w:r>
      <w:r w:rsidR="002527DA" w:rsidRPr="00BA4EF1">
        <w:rPr>
          <w:rFonts w:ascii="Times New Roman" w:eastAsia="Times New Roman" w:hAnsi="Times New Roman" w:cs="Times New Roman"/>
          <w:b/>
          <w:bCs/>
          <w:sz w:val="28"/>
          <w:szCs w:val="28"/>
          <w:lang w:eastAsia="lv-LV"/>
        </w:rPr>
        <w:t>Eiropas Ekonomikas zonas finanšu instrumenta 2014.</w:t>
      </w:r>
      <w:r w:rsidR="0001319C">
        <w:rPr>
          <w:rFonts w:ascii="Times New Roman" w:eastAsia="Times New Roman" w:hAnsi="Times New Roman" w:cs="Times New Roman"/>
          <w:b/>
          <w:bCs/>
          <w:sz w:val="28"/>
          <w:szCs w:val="28"/>
          <w:lang w:eastAsia="lv-LV"/>
        </w:rPr>
        <w:t> </w:t>
      </w:r>
      <w:r w:rsidR="002527DA" w:rsidRPr="00BA4EF1">
        <w:rPr>
          <w:rFonts w:ascii="Times New Roman" w:eastAsia="Times New Roman" w:hAnsi="Times New Roman" w:cs="Times New Roman"/>
          <w:b/>
          <w:bCs/>
          <w:sz w:val="28"/>
          <w:szCs w:val="28"/>
          <w:lang w:eastAsia="lv-LV"/>
        </w:rPr>
        <w:t>–</w:t>
      </w:r>
      <w:r w:rsidR="0001319C">
        <w:rPr>
          <w:rFonts w:ascii="Times New Roman" w:eastAsia="Times New Roman" w:hAnsi="Times New Roman" w:cs="Times New Roman"/>
          <w:b/>
          <w:bCs/>
          <w:sz w:val="28"/>
          <w:szCs w:val="28"/>
          <w:lang w:eastAsia="lv-LV"/>
        </w:rPr>
        <w:t> </w:t>
      </w:r>
      <w:r w:rsidR="002527DA" w:rsidRPr="00BA4EF1">
        <w:rPr>
          <w:rFonts w:ascii="Times New Roman" w:eastAsia="Times New Roman" w:hAnsi="Times New Roman" w:cs="Times New Roman"/>
          <w:b/>
          <w:bCs/>
          <w:sz w:val="28"/>
          <w:szCs w:val="28"/>
          <w:lang w:eastAsia="lv-LV"/>
        </w:rPr>
        <w:t>2021.gada</w:t>
      </w:r>
      <w:r w:rsidR="002527DA" w:rsidRPr="0001319C">
        <w:rPr>
          <w:rFonts w:ascii="Times New Roman" w:eastAsia="Times New Roman" w:hAnsi="Times New Roman" w:cs="Times New Roman"/>
          <w:b/>
          <w:bCs/>
          <w:sz w:val="28"/>
          <w:szCs w:val="28"/>
          <w:lang w:eastAsia="lv-LV"/>
        </w:rPr>
        <w:t xml:space="preserve"> perioda programmas </w:t>
      </w:r>
      <w:r w:rsidR="007A1EBC">
        <w:rPr>
          <w:rFonts w:ascii="Times New Roman" w:eastAsia="Times New Roman" w:hAnsi="Times New Roman" w:cs="Times New Roman"/>
          <w:b/>
          <w:bCs/>
          <w:sz w:val="28"/>
          <w:szCs w:val="28"/>
          <w:lang w:eastAsia="lv-LV"/>
        </w:rPr>
        <w:t>“</w:t>
      </w:r>
      <w:r w:rsidR="002527DA" w:rsidRPr="0001319C">
        <w:rPr>
          <w:rFonts w:ascii="Times New Roman" w:eastAsia="Times New Roman" w:hAnsi="Times New Roman" w:cs="Times New Roman"/>
          <w:b/>
          <w:bCs/>
          <w:sz w:val="28"/>
          <w:szCs w:val="28"/>
          <w:lang w:eastAsia="lv-LV"/>
        </w:rPr>
        <w:t xml:space="preserve">Vietējā attīstība, nabadzības mazināšana un kultūras sadarbība” projektu iesniegumu atklāta konkursa </w:t>
      </w:r>
      <w:r w:rsidR="007A1EBC">
        <w:rPr>
          <w:rFonts w:ascii="Times New Roman" w:eastAsia="Times New Roman" w:hAnsi="Times New Roman" w:cs="Times New Roman"/>
          <w:b/>
          <w:bCs/>
          <w:sz w:val="28"/>
          <w:szCs w:val="28"/>
          <w:lang w:eastAsia="lv-LV"/>
        </w:rPr>
        <w:t>“</w:t>
      </w:r>
      <w:r w:rsidR="002527DA" w:rsidRPr="0001319C">
        <w:rPr>
          <w:rFonts w:ascii="Times New Roman" w:eastAsia="Times New Roman" w:hAnsi="Times New Roman" w:cs="Times New Roman"/>
          <w:b/>
          <w:bCs/>
          <w:sz w:val="28"/>
          <w:szCs w:val="28"/>
          <w:lang w:eastAsia="lv-LV"/>
        </w:rPr>
        <w:t>Atbalsts profesionālās mākslas un kultūras produktu radīšanai bērnu un jauniešu auditorijai” īstenošanas noteikumi</w:t>
      </w:r>
      <w:r w:rsidRPr="0001319C">
        <w:rPr>
          <w:rFonts w:ascii="Times New Roman" w:eastAsia="Times New Roman" w:hAnsi="Times New Roman" w:cs="Times New Roman"/>
          <w:b/>
          <w:bCs/>
          <w:sz w:val="28"/>
          <w:szCs w:val="28"/>
          <w:lang w:eastAsia="lv-LV"/>
        </w:rPr>
        <w:t>” sākotnējās ietekmes novērtējuma ziņojums (anotācija)</w:t>
      </w:r>
    </w:p>
    <w:p w14:paraId="09A91F11" w14:textId="77777777" w:rsidR="00462A8F" w:rsidRDefault="00462A8F" w:rsidP="00BA4EF1">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Style w:val="TableGrid"/>
        <w:tblW w:w="5019" w:type="pct"/>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978"/>
        <w:gridCol w:w="5111"/>
      </w:tblGrid>
      <w:tr w:rsidR="0001319C" w:rsidRPr="00BA4EF1" w14:paraId="47AD1BB5" w14:textId="77777777" w:rsidTr="0022409B">
        <w:trPr>
          <w:trHeight w:val="324"/>
          <w:tblCellSpacing w:w="20" w:type="dxa"/>
        </w:trPr>
        <w:tc>
          <w:tcPr>
            <w:tcW w:w="4956" w:type="pct"/>
            <w:gridSpan w:val="2"/>
            <w:hideMark/>
          </w:tcPr>
          <w:p w14:paraId="38198FC4" w14:textId="77777777" w:rsidR="0001319C" w:rsidRPr="0022409B" w:rsidRDefault="0001319C" w:rsidP="0022409B">
            <w:pPr>
              <w:jc w:val="center"/>
              <w:rPr>
                <w:rFonts w:ascii="Times New Roman" w:eastAsia="Times New Roman" w:hAnsi="Times New Roman" w:cs="Times New Roman"/>
                <w:b/>
                <w:bCs/>
                <w:sz w:val="28"/>
                <w:szCs w:val="28"/>
                <w:lang w:eastAsia="lv-LV"/>
              </w:rPr>
            </w:pPr>
            <w:r w:rsidRPr="0022409B">
              <w:rPr>
                <w:rFonts w:ascii="Times New Roman" w:eastAsia="Times New Roman" w:hAnsi="Times New Roman" w:cs="Times New Roman"/>
                <w:b/>
                <w:bCs/>
                <w:sz w:val="28"/>
                <w:szCs w:val="28"/>
                <w:lang w:eastAsia="lv-LV"/>
              </w:rPr>
              <w:t>Tiesību akta projekta anotācijas kopsavilkums</w:t>
            </w:r>
          </w:p>
        </w:tc>
      </w:tr>
      <w:tr w:rsidR="0001319C" w:rsidRPr="007016A9" w14:paraId="3B564A3D" w14:textId="77777777" w:rsidTr="0022409B">
        <w:trPr>
          <w:tblCellSpacing w:w="20" w:type="dxa"/>
        </w:trPr>
        <w:tc>
          <w:tcPr>
            <w:tcW w:w="2165" w:type="pct"/>
            <w:hideMark/>
          </w:tcPr>
          <w:p w14:paraId="570CCFDC" w14:textId="77777777" w:rsidR="0001319C" w:rsidRPr="0022409B" w:rsidRDefault="0001319C" w:rsidP="0001319C">
            <w:pPr>
              <w:rPr>
                <w:rFonts w:ascii="Times New Roman" w:eastAsia="Times New Roman" w:hAnsi="Times New Roman" w:cs="Times New Roman"/>
                <w:iCs/>
                <w:sz w:val="28"/>
                <w:szCs w:val="28"/>
                <w:lang w:eastAsia="lv-LV"/>
              </w:rPr>
            </w:pPr>
            <w:r w:rsidRPr="0022409B">
              <w:rPr>
                <w:rFonts w:ascii="Times New Roman" w:eastAsia="Times New Roman" w:hAnsi="Times New Roman" w:cs="Times New Roman"/>
                <w:iCs/>
                <w:sz w:val="28"/>
                <w:szCs w:val="28"/>
                <w:lang w:eastAsia="lv-LV"/>
              </w:rPr>
              <w:t>Mērķis, risinājums un projekta spēkā stāšanās laiks (500 zīmes bez atstarpēm)</w:t>
            </w:r>
          </w:p>
        </w:tc>
        <w:tc>
          <w:tcPr>
            <w:tcW w:w="2769" w:type="pct"/>
            <w:hideMark/>
          </w:tcPr>
          <w:p w14:paraId="218F1459" w14:textId="0263C5DE" w:rsidR="0001319C" w:rsidRDefault="0001319C" w:rsidP="00842ECB">
            <w:pPr>
              <w:jc w:val="both"/>
              <w:rPr>
                <w:rFonts w:ascii="Times New Roman" w:hAnsi="Times New Roman" w:cs="Times New Roman"/>
                <w:sz w:val="28"/>
                <w:szCs w:val="28"/>
              </w:rPr>
            </w:pPr>
            <w:r w:rsidRPr="0022409B">
              <w:rPr>
                <w:rFonts w:ascii="Times New Roman" w:hAnsi="Times New Roman" w:cs="Times New Roman"/>
                <w:sz w:val="28"/>
                <w:szCs w:val="28"/>
              </w:rPr>
              <w:t xml:space="preserve">Ministru kabineta noteikumu projekta </w:t>
            </w:r>
            <w:r w:rsidR="007A1EBC">
              <w:rPr>
                <w:rFonts w:ascii="Times New Roman" w:hAnsi="Times New Roman" w:cs="Times New Roman"/>
                <w:sz w:val="28"/>
                <w:szCs w:val="28"/>
              </w:rPr>
              <w:t>“</w:t>
            </w:r>
            <w:r w:rsidRPr="0022409B">
              <w:rPr>
                <w:rFonts w:ascii="Times New Roman" w:hAnsi="Times New Roman" w:cs="Times New Roman"/>
                <w:sz w:val="28"/>
                <w:szCs w:val="28"/>
              </w:rPr>
              <w:t>Eiropas Ekonomikas zonas finanšu instrumenta 2014.</w:t>
            </w:r>
            <w:r>
              <w:rPr>
                <w:rFonts w:ascii="Times New Roman" w:hAnsi="Times New Roman" w:cs="Times New Roman"/>
                <w:sz w:val="28"/>
                <w:szCs w:val="28"/>
              </w:rPr>
              <w:t> </w:t>
            </w:r>
            <w:r w:rsidRPr="0022409B">
              <w:rPr>
                <w:rFonts w:ascii="Times New Roman" w:hAnsi="Times New Roman" w:cs="Times New Roman"/>
                <w:sz w:val="28"/>
                <w:szCs w:val="28"/>
              </w:rPr>
              <w:t>–</w:t>
            </w:r>
            <w:r>
              <w:rPr>
                <w:rFonts w:ascii="Times New Roman" w:hAnsi="Times New Roman" w:cs="Times New Roman"/>
                <w:sz w:val="28"/>
                <w:szCs w:val="28"/>
              </w:rPr>
              <w:t> </w:t>
            </w:r>
            <w:r w:rsidRPr="0022409B">
              <w:rPr>
                <w:rFonts w:ascii="Times New Roman" w:hAnsi="Times New Roman" w:cs="Times New Roman"/>
                <w:sz w:val="28"/>
                <w:szCs w:val="28"/>
              </w:rPr>
              <w:t xml:space="preserve">2021.gada perioda programmas </w:t>
            </w:r>
            <w:r w:rsidR="007A1EBC">
              <w:rPr>
                <w:rFonts w:ascii="Times New Roman" w:hAnsi="Times New Roman" w:cs="Times New Roman"/>
                <w:sz w:val="28"/>
                <w:szCs w:val="28"/>
              </w:rPr>
              <w:t>“</w:t>
            </w:r>
            <w:r w:rsidRPr="0022409B">
              <w:rPr>
                <w:rFonts w:ascii="Times New Roman" w:hAnsi="Times New Roman" w:cs="Times New Roman"/>
                <w:sz w:val="28"/>
                <w:szCs w:val="28"/>
              </w:rPr>
              <w:t>Vietējā attīstība, nabadzības mazināšana un kultūras sadarbība” projektu iesniegumu atklāta konkursa „Atbalsts profesionālās mākslas un kultūras produktu radīšanai bērnu un jauniešu auditorijai” īstenošanas noteikumi” (turpmāk –</w:t>
            </w:r>
            <w:r>
              <w:rPr>
                <w:rFonts w:ascii="Times New Roman" w:hAnsi="Times New Roman" w:cs="Times New Roman"/>
                <w:sz w:val="28"/>
                <w:szCs w:val="28"/>
              </w:rPr>
              <w:t xml:space="preserve"> </w:t>
            </w:r>
            <w:r w:rsidR="003F230E">
              <w:rPr>
                <w:rFonts w:ascii="Times New Roman" w:hAnsi="Times New Roman" w:cs="Times New Roman"/>
                <w:sz w:val="28"/>
                <w:szCs w:val="28"/>
              </w:rPr>
              <w:t>Noteikumu p</w:t>
            </w:r>
            <w:r w:rsidRPr="0022409B">
              <w:rPr>
                <w:rFonts w:ascii="Times New Roman" w:hAnsi="Times New Roman" w:cs="Times New Roman"/>
                <w:sz w:val="28"/>
                <w:szCs w:val="28"/>
              </w:rPr>
              <w:t xml:space="preserve">rojekts) mērķis ir noteikt </w:t>
            </w:r>
            <w:r w:rsidRPr="00246C9A">
              <w:rPr>
                <w:rFonts w:ascii="Times New Roman" w:hAnsi="Times New Roman" w:cs="Times New Roman"/>
                <w:sz w:val="28"/>
                <w:szCs w:val="28"/>
              </w:rPr>
              <w:t>Eiropas Ekonomikas zonas finanšu instrumenta 2014.</w:t>
            </w:r>
            <w:r>
              <w:rPr>
                <w:rFonts w:ascii="Times New Roman" w:hAnsi="Times New Roman" w:cs="Times New Roman"/>
                <w:sz w:val="28"/>
                <w:szCs w:val="28"/>
              </w:rPr>
              <w:t> </w:t>
            </w:r>
            <w:r w:rsidRPr="00246C9A">
              <w:rPr>
                <w:rFonts w:ascii="Times New Roman" w:hAnsi="Times New Roman" w:cs="Times New Roman"/>
                <w:sz w:val="28"/>
                <w:szCs w:val="28"/>
              </w:rPr>
              <w:t>–</w:t>
            </w:r>
            <w:r>
              <w:rPr>
                <w:rFonts w:ascii="Times New Roman" w:hAnsi="Times New Roman" w:cs="Times New Roman"/>
                <w:sz w:val="28"/>
                <w:szCs w:val="28"/>
              </w:rPr>
              <w:t> </w:t>
            </w:r>
            <w:r w:rsidRPr="00246C9A">
              <w:rPr>
                <w:rFonts w:ascii="Times New Roman" w:hAnsi="Times New Roman" w:cs="Times New Roman"/>
                <w:sz w:val="28"/>
                <w:szCs w:val="28"/>
              </w:rPr>
              <w:t xml:space="preserve">2021.gada perioda programmas </w:t>
            </w:r>
            <w:r w:rsidR="007A1EBC">
              <w:rPr>
                <w:rFonts w:ascii="Times New Roman" w:hAnsi="Times New Roman" w:cs="Times New Roman"/>
                <w:sz w:val="28"/>
                <w:szCs w:val="28"/>
              </w:rPr>
              <w:t>“</w:t>
            </w:r>
            <w:r w:rsidRPr="00246C9A">
              <w:rPr>
                <w:rFonts w:ascii="Times New Roman" w:hAnsi="Times New Roman" w:cs="Times New Roman"/>
                <w:sz w:val="28"/>
                <w:szCs w:val="28"/>
              </w:rPr>
              <w:t xml:space="preserve">Vietējā attīstība, nabadzības mazināšana un kultūras sadarbība” </w:t>
            </w:r>
            <w:r>
              <w:rPr>
                <w:rFonts w:ascii="Times New Roman" w:hAnsi="Times New Roman" w:cs="Times New Roman"/>
                <w:sz w:val="28"/>
                <w:szCs w:val="28"/>
              </w:rPr>
              <w:t xml:space="preserve">(turpmāk – programma) </w:t>
            </w:r>
            <w:r w:rsidRPr="00246C9A">
              <w:rPr>
                <w:rFonts w:ascii="Times New Roman" w:hAnsi="Times New Roman" w:cs="Times New Roman"/>
                <w:sz w:val="28"/>
                <w:szCs w:val="28"/>
              </w:rPr>
              <w:t>projektu iesniegumu atklāt</w:t>
            </w:r>
            <w:r w:rsidR="0022409B">
              <w:rPr>
                <w:rFonts w:ascii="Times New Roman" w:hAnsi="Times New Roman" w:cs="Times New Roman"/>
                <w:sz w:val="28"/>
                <w:szCs w:val="28"/>
              </w:rPr>
              <w:t>ā</w:t>
            </w:r>
            <w:r w:rsidRPr="00246C9A">
              <w:rPr>
                <w:rFonts w:ascii="Times New Roman" w:hAnsi="Times New Roman" w:cs="Times New Roman"/>
                <w:sz w:val="28"/>
                <w:szCs w:val="28"/>
              </w:rPr>
              <w:t xml:space="preserve"> konkursa </w:t>
            </w:r>
            <w:r w:rsidR="007A1EBC">
              <w:rPr>
                <w:rFonts w:ascii="Times New Roman" w:hAnsi="Times New Roman" w:cs="Times New Roman"/>
                <w:sz w:val="28"/>
                <w:szCs w:val="28"/>
              </w:rPr>
              <w:t>“</w:t>
            </w:r>
            <w:r w:rsidRPr="00246C9A">
              <w:rPr>
                <w:rFonts w:ascii="Times New Roman" w:hAnsi="Times New Roman" w:cs="Times New Roman"/>
                <w:sz w:val="28"/>
                <w:szCs w:val="28"/>
              </w:rPr>
              <w:t>Atbalsts profesionālās mākslas un kultūras produktu radīšanai bērnu un jauniešu auditorijai</w:t>
            </w:r>
            <w:r>
              <w:rPr>
                <w:rFonts w:ascii="Times New Roman" w:hAnsi="Times New Roman" w:cs="Times New Roman"/>
                <w:sz w:val="28"/>
                <w:szCs w:val="28"/>
              </w:rPr>
              <w:t xml:space="preserve">” (turpmāk – atklātais konkurss) </w:t>
            </w:r>
            <w:r w:rsidRPr="0022409B">
              <w:rPr>
                <w:rFonts w:ascii="Times New Roman" w:hAnsi="Times New Roman" w:cs="Times New Roman"/>
                <w:sz w:val="28"/>
                <w:szCs w:val="28"/>
              </w:rPr>
              <w:t>īstenošanas</w:t>
            </w:r>
            <w:r w:rsidR="00F05E2E">
              <w:rPr>
                <w:rFonts w:ascii="Times New Roman" w:hAnsi="Times New Roman" w:cs="Times New Roman"/>
                <w:sz w:val="28"/>
                <w:szCs w:val="28"/>
              </w:rPr>
              <w:t xml:space="preserve"> noteikumus</w:t>
            </w:r>
            <w:r w:rsidRPr="0022409B">
              <w:rPr>
                <w:rFonts w:ascii="Times New Roman" w:hAnsi="Times New Roman" w:cs="Times New Roman"/>
                <w:sz w:val="28"/>
                <w:szCs w:val="28"/>
              </w:rPr>
              <w:t xml:space="preserve">. </w:t>
            </w:r>
          </w:p>
          <w:p w14:paraId="090C639E" w14:textId="20E6510A" w:rsidR="0001319C" w:rsidRPr="0022409B" w:rsidRDefault="0001319C" w:rsidP="00842ECB">
            <w:pPr>
              <w:jc w:val="both"/>
              <w:rPr>
                <w:rFonts w:ascii="Times New Roman" w:hAnsi="Times New Roman" w:cs="Times New Roman"/>
                <w:sz w:val="28"/>
                <w:szCs w:val="28"/>
              </w:rPr>
            </w:pPr>
            <w:r w:rsidRPr="0022409B">
              <w:rPr>
                <w:rFonts w:ascii="Times New Roman" w:hAnsi="Times New Roman" w:cs="Times New Roman"/>
                <w:sz w:val="28"/>
                <w:szCs w:val="28"/>
              </w:rPr>
              <w:t>Ministru kabineta noteikumi stā</w:t>
            </w:r>
            <w:r>
              <w:rPr>
                <w:rFonts w:ascii="Times New Roman" w:hAnsi="Times New Roman" w:cs="Times New Roman"/>
                <w:sz w:val="28"/>
                <w:szCs w:val="28"/>
              </w:rPr>
              <w:t xml:space="preserve">sies </w:t>
            </w:r>
            <w:r w:rsidRPr="0022409B">
              <w:rPr>
                <w:rFonts w:ascii="Times New Roman" w:hAnsi="Times New Roman" w:cs="Times New Roman"/>
                <w:sz w:val="28"/>
                <w:szCs w:val="28"/>
              </w:rPr>
              <w:t>spēkā nākamajā dienā pēc to izsludināšanas</w:t>
            </w:r>
            <w:r>
              <w:t xml:space="preserve"> </w:t>
            </w:r>
            <w:r w:rsidRPr="0001319C">
              <w:rPr>
                <w:rFonts w:ascii="Times New Roman" w:hAnsi="Times New Roman" w:cs="Times New Roman"/>
                <w:sz w:val="28"/>
                <w:szCs w:val="28"/>
              </w:rPr>
              <w:t xml:space="preserve">oficiālajā izdevumā </w:t>
            </w:r>
            <w:r w:rsidR="007A1EBC">
              <w:rPr>
                <w:rFonts w:ascii="Times New Roman" w:hAnsi="Times New Roman" w:cs="Times New Roman"/>
                <w:sz w:val="28"/>
                <w:szCs w:val="28"/>
              </w:rPr>
              <w:t>“</w:t>
            </w:r>
            <w:r w:rsidRPr="0001319C">
              <w:rPr>
                <w:rFonts w:ascii="Times New Roman" w:hAnsi="Times New Roman" w:cs="Times New Roman"/>
                <w:sz w:val="28"/>
                <w:szCs w:val="28"/>
              </w:rPr>
              <w:t>Latvijas Vēstnesis”</w:t>
            </w:r>
            <w:r w:rsidRPr="0022409B">
              <w:rPr>
                <w:rFonts w:ascii="Times New Roman" w:hAnsi="Times New Roman" w:cs="Times New Roman"/>
                <w:sz w:val="28"/>
                <w:szCs w:val="28"/>
              </w:rPr>
              <w:t>.</w:t>
            </w:r>
          </w:p>
        </w:tc>
      </w:tr>
    </w:tbl>
    <w:p w14:paraId="3590A3A6" w14:textId="77777777" w:rsidR="0001319C" w:rsidRPr="0001319C" w:rsidRDefault="0001319C" w:rsidP="00BA4EF1">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Style w:val="TableGrid"/>
        <w:tblW w:w="5004" w:type="pct"/>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73"/>
        <w:gridCol w:w="3193"/>
        <w:gridCol w:w="5196"/>
      </w:tblGrid>
      <w:tr w:rsidR="00152C21" w:rsidRPr="00BA4EF1" w14:paraId="04D6EF4A" w14:textId="77777777" w:rsidTr="00676AB9">
        <w:trPr>
          <w:trHeight w:val="324"/>
          <w:tblCellSpacing w:w="20" w:type="dxa"/>
        </w:trPr>
        <w:tc>
          <w:tcPr>
            <w:tcW w:w="4956" w:type="pct"/>
            <w:gridSpan w:val="3"/>
            <w:hideMark/>
          </w:tcPr>
          <w:p w14:paraId="08E2EE26" w14:textId="77777777" w:rsidR="00894C55" w:rsidRPr="0022409B" w:rsidRDefault="00B32BBE" w:rsidP="0022409B">
            <w:pPr>
              <w:jc w:val="center"/>
              <w:rPr>
                <w:rFonts w:ascii="Times New Roman" w:eastAsia="Times New Roman" w:hAnsi="Times New Roman" w:cs="Times New Roman"/>
                <w:b/>
                <w:bCs/>
                <w:sz w:val="28"/>
                <w:szCs w:val="28"/>
                <w:lang w:eastAsia="lv-LV"/>
              </w:rPr>
            </w:pPr>
            <w:r w:rsidRPr="0022409B">
              <w:rPr>
                <w:rFonts w:ascii="Times New Roman" w:eastAsia="Times New Roman" w:hAnsi="Times New Roman" w:cs="Times New Roman"/>
                <w:b/>
                <w:bCs/>
                <w:sz w:val="28"/>
                <w:szCs w:val="28"/>
                <w:lang w:eastAsia="lv-LV"/>
              </w:rPr>
              <w:t>I.</w:t>
            </w:r>
            <w:r w:rsidR="0050178F" w:rsidRPr="0022409B">
              <w:rPr>
                <w:rFonts w:ascii="Times New Roman" w:eastAsia="Times New Roman" w:hAnsi="Times New Roman" w:cs="Times New Roman"/>
                <w:b/>
                <w:bCs/>
                <w:sz w:val="28"/>
                <w:szCs w:val="28"/>
                <w:lang w:eastAsia="lv-LV"/>
              </w:rPr>
              <w:t> </w:t>
            </w:r>
            <w:r w:rsidRPr="0022409B">
              <w:rPr>
                <w:rFonts w:ascii="Times New Roman" w:eastAsia="Times New Roman" w:hAnsi="Times New Roman" w:cs="Times New Roman"/>
                <w:b/>
                <w:bCs/>
                <w:sz w:val="28"/>
                <w:szCs w:val="28"/>
                <w:lang w:eastAsia="lv-LV"/>
              </w:rPr>
              <w:t>Tiesību akta projekta izstrādes nepieciešamība</w:t>
            </w:r>
          </w:p>
        </w:tc>
      </w:tr>
      <w:tr w:rsidR="00B6303F" w:rsidRPr="007016A9" w14:paraId="3CB7EC00" w14:textId="77777777" w:rsidTr="00676AB9">
        <w:trPr>
          <w:trHeight w:val="324"/>
          <w:tblCellSpacing w:w="20" w:type="dxa"/>
        </w:trPr>
        <w:tc>
          <w:tcPr>
            <w:tcW w:w="341" w:type="pct"/>
            <w:hideMark/>
          </w:tcPr>
          <w:p w14:paraId="44A6A84C" w14:textId="77777777" w:rsidR="00894C55" w:rsidRPr="0022409B" w:rsidRDefault="00B32BBE" w:rsidP="0022409B">
            <w:pPr>
              <w:jc w:val="center"/>
              <w:rPr>
                <w:rFonts w:ascii="Times New Roman" w:eastAsia="Times New Roman" w:hAnsi="Times New Roman" w:cs="Times New Roman"/>
                <w:sz w:val="28"/>
                <w:szCs w:val="28"/>
                <w:lang w:eastAsia="lv-LV"/>
              </w:rPr>
            </w:pPr>
            <w:r w:rsidRPr="0022409B">
              <w:rPr>
                <w:rFonts w:ascii="Times New Roman" w:eastAsia="Times New Roman" w:hAnsi="Times New Roman" w:cs="Times New Roman"/>
                <w:sz w:val="28"/>
                <w:szCs w:val="28"/>
                <w:lang w:eastAsia="lv-LV"/>
              </w:rPr>
              <w:t>1.</w:t>
            </w:r>
          </w:p>
        </w:tc>
        <w:tc>
          <w:tcPr>
            <w:tcW w:w="1755" w:type="pct"/>
            <w:hideMark/>
          </w:tcPr>
          <w:p w14:paraId="48935136" w14:textId="77777777" w:rsidR="00894C55" w:rsidRPr="0022409B" w:rsidRDefault="00B32BBE" w:rsidP="00BA4EF1">
            <w:pPr>
              <w:rPr>
                <w:rFonts w:ascii="Times New Roman" w:eastAsia="Times New Roman" w:hAnsi="Times New Roman" w:cs="Times New Roman"/>
                <w:sz w:val="28"/>
                <w:szCs w:val="28"/>
                <w:lang w:eastAsia="lv-LV"/>
              </w:rPr>
            </w:pPr>
            <w:r w:rsidRPr="0022409B">
              <w:rPr>
                <w:rFonts w:ascii="Times New Roman" w:eastAsia="Times New Roman" w:hAnsi="Times New Roman" w:cs="Times New Roman"/>
                <w:sz w:val="28"/>
                <w:szCs w:val="28"/>
                <w:lang w:eastAsia="lv-LV"/>
              </w:rPr>
              <w:t>Pamatojums</w:t>
            </w:r>
          </w:p>
        </w:tc>
        <w:tc>
          <w:tcPr>
            <w:tcW w:w="2815" w:type="pct"/>
            <w:hideMark/>
          </w:tcPr>
          <w:p w14:paraId="569F6A25" w14:textId="4A95CBD2" w:rsidR="00432655" w:rsidRPr="0022409B" w:rsidRDefault="00DF5713" w:rsidP="00BA4EF1">
            <w:pPr>
              <w:jc w:val="both"/>
              <w:rPr>
                <w:rFonts w:ascii="Times New Roman" w:eastAsia="Times New Roman" w:hAnsi="Times New Roman" w:cs="Times New Roman"/>
                <w:sz w:val="28"/>
                <w:szCs w:val="28"/>
                <w:lang w:eastAsia="lv-LV"/>
              </w:rPr>
            </w:pPr>
            <w:r w:rsidRPr="0022409B">
              <w:rPr>
                <w:rFonts w:ascii="Times New Roman" w:hAnsi="Times New Roman" w:cs="Times New Roman"/>
                <w:sz w:val="28"/>
                <w:szCs w:val="28"/>
              </w:rPr>
              <w:t>Eiropas Ekonomikas zonas finanšu instrumenta un Norvēģijas finanšu instrumenta 2014.</w:t>
            </w:r>
            <w:r w:rsidR="0001319C">
              <w:rPr>
                <w:rFonts w:ascii="Times New Roman" w:hAnsi="Times New Roman" w:cs="Times New Roman"/>
                <w:sz w:val="28"/>
                <w:szCs w:val="28"/>
              </w:rPr>
              <w:t> </w:t>
            </w:r>
            <w:r w:rsidRPr="0022409B">
              <w:rPr>
                <w:rFonts w:ascii="Times New Roman" w:hAnsi="Times New Roman" w:cs="Times New Roman"/>
                <w:sz w:val="28"/>
                <w:szCs w:val="28"/>
              </w:rPr>
              <w:t>–</w:t>
            </w:r>
            <w:r w:rsidR="0001319C">
              <w:rPr>
                <w:rFonts w:ascii="Times New Roman" w:hAnsi="Times New Roman" w:cs="Times New Roman"/>
                <w:sz w:val="28"/>
                <w:szCs w:val="28"/>
              </w:rPr>
              <w:t> </w:t>
            </w:r>
            <w:r w:rsidRPr="0022409B">
              <w:rPr>
                <w:rFonts w:ascii="Times New Roman" w:hAnsi="Times New Roman" w:cs="Times New Roman"/>
                <w:sz w:val="28"/>
                <w:szCs w:val="28"/>
              </w:rPr>
              <w:t xml:space="preserve">2021.gada perioda vadības likuma 15.panta </w:t>
            </w:r>
            <w:r w:rsidR="001C3F99" w:rsidRPr="0022409B">
              <w:rPr>
                <w:rFonts w:ascii="Times New Roman" w:hAnsi="Times New Roman" w:cs="Times New Roman"/>
                <w:sz w:val="28"/>
                <w:szCs w:val="28"/>
              </w:rPr>
              <w:t>2.punkts</w:t>
            </w:r>
            <w:r w:rsidR="00ED1E21" w:rsidRPr="0022409B">
              <w:rPr>
                <w:rFonts w:ascii="Times New Roman" w:hAnsi="Times New Roman" w:cs="Times New Roman"/>
                <w:sz w:val="28"/>
                <w:szCs w:val="28"/>
              </w:rPr>
              <w:t xml:space="preserve"> un </w:t>
            </w:r>
            <w:r w:rsidR="001C3F99" w:rsidRPr="0022409B">
              <w:rPr>
                <w:rFonts w:ascii="Times New Roman" w:hAnsi="Times New Roman" w:cs="Times New Roman"/>
                <w:sz w:val="28"/>
                <w:szCs w:val="28"/>
              </w:rPr>
              <w:t>12.punkts.</w:t>
            </w:r>
          </w:p>
        </w:tc>
      </w:tr>
      <w:tr w:rsidR="00B6303F" w:rsidRPr="007016A9" w14:paraId="524F147E" w14:textId="77777777" w:rsidTr="00676AB9">
        <w:trPr>
          <w:trHeight w:val="372"/>
          <w:tblCellSpacing w:w="20" w:type="dxa"/>
        </w:trPr>
        <w:tc>
          <w:tcPr>
            <w:tcW w:w="341" w:type="pct"/>
            <w:hideMark/>
          </w:tcPr>
          <w:p w14:paraId="76E59EAD" w14:textId="77777777" w:rsidR="00894C55" w:rsidRPr="0022409B" w:rsidRDefault="00B32BBE" w:rsidP="0022409B">
            <w:pPr>
              <w:jc w:val="center"/>
              <w:rPr>
                <w:rFonts w:ascii="Times New Roman" w:eastAsia="Times New Roman" w:hAnsi="Times New Roman" w:cs="Times New Roman"/>
                <w:sz w:val="28"/>
                <w:szCs w:val="28"/>
                <w:lang w:eastAsia="lv-LV"/>
              </w:rPr>
            </w:pPr>
            <w:r w:rsidRPr="0022409B">
              <w:rPr>
                <w:rFonts w:ascii="Times New Roman" w:eastAsia="Times New Roman" w:hAnsi="Times New Roman" w:cs="Times New Roman"/>
                <w:sz w:val="28"/>
                <w:szCs w:val="28"/>
                <w:lang w:eastAsia="lv-LV"/>
              </w:rPr>
              <w:lastRenderedPageBreak/>
              <w:t>2.</w:t>
            </w:r>
          </w:p>
        </w:tc>
        <w:tc>
          <w:tcPr>
            <w:tcW w:w="1755" w:type="pct"/>
            <w:hideMark/>
          </w:tcPr>
          <w:p w14:paraId="0283DC45" w14:textId="5940D7EE" w:rsidR="00BA4EF1" w:rsidRPr="0022409B" w:rsidRDefault="00B32BBE" w:rsidP="00676AB9">
            <w:pPr>
              <w:rPr>
                <w:rFonts w:ascii="Times New Roman" w:eastAsia="Times New Roman" w:hAnsi="Times New Roman" w:cs="Times New Roman"/>
                <w:sz w:val="28"/>
                <w:szCs w:val="28"/>
                <w:lang w:eastAsia="lv-LV"/>
              </w:rPr>
            </w:pPr>
            <w:r w:rsidRPr="0022409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2815" w:type="pct"/>
            <w:shd w:val="clear" w:color="auto" w:fill="auto"/>
            <w:hideMark/>
          </w:tcPr>
          <w:p w14:paraId="5543606B" w14:textId="682B2FBD" w:rsidR="0001319C" w:rsidRPr="0022409B" w:rsidRDefault="0032237F" w:rsidP="00842ECB">
            <w:pPr>
              <w:jc w:val="both"/>
              <w:rPr>
                <w:rFonts w:ascii="Times New Roman" w:hAnsi="Times New Roman" w:cs="Times New Roman"/>
                <w:sz w:val="28"/>
                <w:szCs w:val="28"/>
                <w:shd w:val="clear" w:color="auto" w:fill="FFFFFF"/>
              </w:rPr>
            </w:pPr>
            <w:r w:rsidRPr="0022409B">
              <w:rPr>
                <w:rFonts w:ascii="Times New Roman" w:hAnsi="Times New Roman" w:cs="Times New Roman"/>
                <w:sz w:val="28"/>
                <w:szCs w:val="28"/>
                <w:shd w:val="clear" w:color="auto" w:fill="FFFFFF"/>
              </w:rPr>
              <w:t xml:space="preserve">2020.gada </w:t>
            </w:r>
            <w:r w:rsidR="00190386" w:rsidRPr="0022409B">
              <w:rPr>
                <w:rFonts w:ascii="Times New Roman" w:hAnsi="Times New Roman" w:cs="Times New Roman"/>
                <w:sz w:val="28"/>
                <w:szCs w:val="28"/>
                <w:shd w:val="clear" w:color="auto" w:fill="FFFFFF"/>
              </w:rPr>
              <w:t xml:space="preserve">21.maijā </w:t>
            </w:r>
            <w:r w:rsidRPr="0022409B">
              <w:rPr>
                <w:rFonts w:ascii="Times New Roman" w:hAnsi="Times New Roman" w:cs="Times New Roman"/>
                <w:sz w:val="28"/>
                <w:szCs w:val="28"/>
                <w:shd w:val="clear" w:color="auto" w:fill="FFFFFF"/>
              </w:rPr>
              <w:t>starp Finanšu ministriju un Finanšu instrumentu komiteju tika parakstīts līgums par programmas finansēšanu.</w:t>
            </w:r>
          </w:p>
          <w:p w14:paraId="10B0327F" w14:textId="340706A1" w:rsidR="008C1F43" w:rsidRPr="0022409B" w:rsidRDefault="00362506" w:rsidP="00842ECB">
            <w:pPr>
              <w:jc w:val="both"/>
              <w:rPr>
                <w:rFonts w:ascii="Times New Roman" w:eastAsia="Times New Roman" w:hAnsi="Times New Roman" w:cs="Times New Roman"/>
                <w:sz w:val="28"/>
                <w:szCs w:val="28"/>
                <w:lang w:eastAsia="lv-LV"/>
              </w:rPr>
            </w:pPr>
            <w:r w:rsidRPr="0022409B">
              <w:rPr>
                <w:rFonts w:ascii="Times New Roman" w:eastAsia="Times New Roman" w:hAnsi="Times New Roman" w:cs="Times New Roman"/>
                <w:sz w:val="28"/>
                <w:szCs w:val="28"/>
                <w:lang w:eastAsia="lv-LV"/>
              </w:rPr>
              <w:t xml:space="preserve">Saskaņā ar </w:t>
            </w:r>
            <w:r w:rsidR="007D3BAE" w:rsidRPr="007D3BAE">
              <w:rPr>
                <w:rFonts w:ascii="Times New Roman" w:eastAsia="Times New Roman" w:hAnsi="Times New Roman" w:cs="Times New Roman"/>
                <w:sz w:val="28"/>
                <w:szCs w:val="28"/>
                <w:lang w:eastAsia="lv-LV"/>
              </w:rPr>
              <w:t>Latvijas Republikas un Īslandes, Lihtenšteinas Firstistes</w:t>
            </w:r>
            <w:r w:rsidR="007D3BAE">
              <w:rPr>
                <w:rFonts w:ascii="Times New Roman" w:eastAsia="Times New Roman" w:hAnsi="Times New Roman" w:cs="Times New Roman"/>
                <w:sz w:val="28"/>
                <w:szCs w:val="28"/>
                <w:lang w:eastAsia="lv-LV"/>
              </w:rPr>
              <w:t xml:space="preserve"> </w:t>
            </w:r>
            <w:r w:rsidR="007D3BAE" w:rsidRPr="007D3BAE">
              <w:rPr>
                <w:rFonts w:ascii="Times New Roman" w:eastAsia="Times New Roman" w:hAnsi="Times New Roman" w:cs="Times New Roman"/>
                <w:sz w:val="28"/>
                <w:szCs w:val="28"/>
                <w:lang w:eastAsia="lv-LV"/>
              </w:rPr>
              <w:t xml:space="preserve">un Norvēģijas Karalistes </w:t>
            </w:r>
            <w:r w:rsidRPr="0022409B">
              <w:rPr>
                <w:rFonts w:ascii="Times New Roman" w:eastAsia="Times New Roman" w:hAnsi="Times New Roman" w:cs="Times New Roman"/>
                <w:sz w:val="28"/>
                <w:szCs w:val="28"/>
                <w:lang w:eastAsia="lv-LV"/>
              </w:rPr>
              <w:t>saprašanās memorandu</w:t>
            </w:r>
            <w:r w:rsidR="008C1F43" w:rsidRPr="0022409B">
              <w:rPr>
                <w:rFonts w:ascii="Times New Roman" w:eastAsia="Times New Roman" w:hAnsi="Times New Roman" w:cs="Times New Roman"/>
                <w:sz w:val="28"/>
                <w:szCs w:val="28"/>
                <w:lang w:eastAsia="lv-LV"/>
              </w:rPr>
              <w:t xml:space="preserve"> par </w:t>
            </w:r>
            <w:r w:rsidR="00F62753" w:rsidRPr="0022409B">
              <w:rPr>
                <w:rFonts w:ascii="Times New Roman" w:eastAsia="Times New Roman" w:hAnsi="Times New Roman" w:cs="Times New Roman"/>
                <w:sz w:val="28"/>
                <w:szCs w:val="28"/>
                <w:lang w:eastAsia="lv-LV"/>
              </w:rPr>
              <w:t>Eiropas Ekonomikas zonas</w:t>
            </w:r>
            <w:r w:rsidR="008C1F43" w:rsidRPr="0022409B">
              <w:rPr>
                <w:rFonts w:ascii="Times New Roman" w:eastAsia="Times New Roman" w:hAnsi="Times New Roman" w:cs="Times New Roman"/>
                <w:sz w:val="28"/>
                <w:szCs w:val="28"/>
                <w:lang w:eastAsia="lv-LV"/>
              </w:rPr>
              <w:t xml:space="preserve"> finanšu instrumenta ieviešanu 2014.</w:t>
            </w:r>
            <w:r w:rsidR="0001319C">
              <w:t> </w:t>
            </w:r>
            <w:r w:rsidR="0001319C">
              <w:rPr>
                <w:rFonts w:ascii="Times New Roman" w:eastAsia="Times New Roman" w:hAnsi="Times New Roman" w:cs="Times New Roman"/>
                <w:sz w:val="28"/>
                <w:szCs w:val="28"/>
                <w:lang w:eastAsia="lv-LV"/>
              </w:rPr>
              <w:t>– </w:t>
            </w:r>
            <w:r w:rsidR="008C1F43" w:rsidRPr="0022409B">
              <w:rPr>
                <w:rFonts w:ascii="Times New Roman" w:eastAsia="Times New Roman" w:hAnsi="Times New Roman" w:cs="Times New Roman"/>
                <w:sz w:val="28"/>
                <w:szCs w:val="28"/>
                <w:lang w:eastAsia="lv-LV"/>
              </w:rPr>
              <w:t>2021.gadā</w:t>
            </w:r>
            <w:r w:rsidR="006E23E3" w:rsidRPr="0022409B">
              <w:rPr>
                <w:rFonts w:ascii="Times New Roman" w:eastAsia="Times New Roman" w:hAnsi="Times New Roman" w:cs="Times New Roman"/>
                <w:sz w:val="28"/>
                <w:szCs w:val="28"/>
                <w:lang w:eastAsia="lv-LV"/>
              </w:rPr>
              <w:t xml:space="preserve"> (apstiprināts ar Ministru kabineta 2017.gada 5.decembra noteikum</w:t>
            </w:r>
            <w:r w:rsidR="00A11487" w:rsidRPr="0022409B">
              <w:rPr>
                <w:rFonts w:ascii="Times New Roman" w:eastAsia="Times New Roman" w:hAnsi="Times New Roman" w:cs="Times New Roman"/>
                <w:sz w:val="28"/>
                <w:szCs w:val="28"/>
                <w:lang w:eastAsia="lv-LV"/>
              </w:rPr>
              <w:t>iem Nr.712</w:t>
            </w:r>
            <w:r w:rsidR="006E23E3" w:rsidRPr="0022409B">
              <w:rPr>
                <w:rFonts w:ascii="Times New Roman" w:eastAsia="Times New Roman" w:hAnsi="Times New Roman" w:cs="Times New Roman"/>
                <w:sz w:val="28"/>
                <w:szCs w:val="28"/>
                <w:lang w:eastAsia="lv-LV"/>
              </w:rPr>
              <w:t xml:space="preserve"> </w:t>
            </w:r>
            <w:r w:rsidR="0001319C" w:rsidRPr="0001319C">
              <w:rPr>
                <w:rFonts w:ascii="Times New Roman" w:hAnsi="Times New Roman" w:cs="Times New Roman"/>
                <w:sz w:val="28"/>
                <w:szCs w:val="28"/>
              </w:rPr>
              <w:t>„</w:t>
            </w:r>
            <w:r w:rsidR="006E23E3" w:rsidRPr="0022409B">
              <w:rPr>
                <w:rFonts w:ascii="Times New Roman" w:eastAsia="Times New Roman" w:hAnsi="Times New Roman" w:cs="Times New Roman"/>
                <w:sz w:val="28"/>
                <w:szCs w:val="28"/>
                <w:lang w:eastAsia="lv-LV"/>
              </w:rPr>
              <w:t xml:space="preserve">Par Latvijas Republikas un </w:t>
            </w:r>
            <w:r w:rsidR="00822383" w:rsidRPr="0022409B">
              <w:rPr>
                <w:rFonts w:ascii="Times New Roman" w:eastAsia="Times New Roman" w:hAnsi="Times New Roman" w:cs="Times New Roman"/>
                <w:sz w:val="28"/>
                <w:szCs w:val="28"/>
                <w:lang w:eastAsia="lv-LV"/>
              </w:rPr>
              <w:t xml:space="preserve">Islandes, </w:t>
            </w:r>
            <w:r w:rsidR="0001319C" w:rsidRPr="0001319C">
              <w:rPr>
                <w:rFonts w:ascii="Times New Roman" w:eastAsia="Times New Roman" w:hAnsi="Times New Roman" w:cs="Times New Roman"/>
                <w:sz w:val="28"/>
                <w:szCs w:val="28"/>
                <w:lang w:eastAsia="lv-LV"/>
              </w:rPr>
              <w:t>Lihtenšteinas Firstistes</w:t>
            </w:r>
            <w:r w:rsidR="00822383" w:rsidRPr="0022409B">
              <w:rPr>
                <w:rFonts w:ascii="Times New Roman" w:eastAsia="Times New Roman" w:hAnsi="Times New Roman" w:cs="Times New Roman"/>
                <w:sz w:val="28"/>
                <w:szCs w:val="28"/>
                <w:lang w:eastAsia="lv-LV"/>
              </w:rPr>
              <w:t xml:space="preserve"> un Norvēģijas </w:t>
            </w:r>
            <w:r w:rsidR="0001319C">
              <w:rPr>
                <w:rFonts w:ascii="Times New Roman" w:eastAsia="Times New Roman" w:hAnsi="Times New Roman" w:cs="Times New Roman"/>
                <w:sz w:val="28"/>
                <w:szCs w:val="28"/>
                <w:lang w:eastAsia="lv-LV"/>
              </w:rPr>
              <w:t>K</w:t>
            </w:r>
            <w:r w:rsidR="00822383" w:rsidRPr="0022409B">
              <w:rPr>
                <w:rFonts w:ascii="Times New Roman" w:eastAsia="Times New Roman" w:hAnsi="Times New Roman" w:cs="Times New Roman"/>
                <w:sz w:val="28"/>
                <w:szCs w:val="28"/>
                <w:lang w:eastAsia="lv-LV"/>
              </w:rPr>
              <w:t>aralistes</w:t>
            </w:r>
            <w:r w:rsidR="006E23E3" w:rsidRPr="0022409B">
              <w:rPr>
                <w:rFonts w:ascii="Times New Roman" w:eastAsia="Times New Roman" w:hAnsi="Times New Roman" w:cs="Times New Roman"/>
                <w:sz w:val="28"/>
                <w:szCs w:val="28"/>
                <w:lang w:eastAsia="lv-LV"/>
              </w:rPr>
              <w:t xml:space="preserve"> saprašanās memorandu par </w:t>
            </w:r>
            <w:r w:rsidR="0032237F" w:rsidRPr="0022409B">
              <w:rPr>
                <w:rFonts w:ascii="Times New Roman" w:eastAsia="Times New Roman" w:hAnsi="Times New Roman" w:cs="Times New Roman"/>
                <w:sz w:val="28"/>
                <w:szCs w:val="28"/>
                <w:lang w:eastAsia="lv-LV"/>
              </w:rPr>
              <w:t>Eiropas Ekonomikas zonas</w:t>
            </w:r>
            <w:r w:rsidR="006E23E3" w:rsidRPr="0022409B">
              <w:rPr>
                <w:rFonts w:ascii="Times New Roman" w:eastAsia="Times New Roman" w:hAnsi="Times New Roman" w:cs="Times New Roman"/>
                <w:sz w:val="28"/>
                <w:szCs w:val="28"/>
                <w:lang w:eastAsia="lv-LV"/>
              </w:rPr>
              <w:t xml:space="preserve"> finanšu instrumenta ieviešanu 2014.</w:t>
            </w:r>
            <w:r w:rsidR="0001319C">
              <w:rPr>
                <w:rFonts w:ascii="Times New Roman" w:eastAsia="Times New Roman" w:hAnsi="Times New Roman" w:cs="Times New Roman"/>
                <w:sz w:val="28"/>
                <w:szCs w:val="28"/>
                <w:lang w:eastAsia="lv-LV"/>
              </w:rPr>
              <w:t xml:space="preserve"> – </w:t>
            </w:r>
            <w:r w:rsidR="006E23E3" w:rsidRPr="0022409B">
              <w:rPr>
                <w:rFonts w:ascii="Times New Roman" w:eastAsia="Times New Roman" w:hAnsi="Times New Roman" w:cs="Times New Roman"/>
                <w:sz w:val="28"/>
                <w:szCs w:val="28"/>
                <w:lang w:eastAsia="lv-LV"/>
              </w:rPr>
              <w:t>2021.gadā”)</w:t>
            </w:r>
            <w:r w:rsidR="00975314" w:rsidRPr="0022409B">
              <w:rPr>
                <w:rFonts w:ascii="Times New Roman" w:eastAsia="Times New Roman" w:hAnsi="Times New Roman" w:cs="Times New Roman"/>
                <w:sz w:val="28"/>
                <w:szCs w:val="28"/>
                <w:lang w:eastAsia="lv-LV"/>
              </w:rPr>
              <w:t xml:space="preserve"> (turpmāk – </w:t>
            </w:r>
            <w:r w:rsidR="007D3BAE">
              <w:rPr>
                <w:rFonts w:ascii="Times New Roman" w:eastAsia="Times New Roman" w:hAnsi="Times New Roman" w:cs="Times New Roman"/>
                <w:sz w:val="28"/>
                <w:szCs w:val="28"/>
                <w:lang w:eastAsia="lv-LV"/>
              </w:rPr>
              <w:t>s</w:t>
            </w:r>
            <w:r w:rsidR="007D3BAE" w:rsidRPr="0022409B">
              <w:rPr>
                <w:rFonts w:ascii="Times New Roman" w:eastAsia="Times New Roman" w:hAnsi="Times New Roman" w:cs="Times New Roman"/>
                <w:sz w:val="28"/>
                <w:szCs w:val="28"/>
                <w:lang w:eastAsia="lv-LV"/>
              </w:rPr>
              <w:t xml:space="preserve">aprašanās </w:t>
            </w:r>
            <w:r w:rsidR="00975314" w:rsidRPr="0022409B">
              <w:rPr>
                <w:rFonts w:ascii="Times New Roman" w:eastAsia="Times New Roman" w:hAnsi="Times New Roman" w:cs="Times New Roman"/>
                <w:sz w:val="28"/>
                <w:szCs w:val="28"/>
                <w:lang w:eastAsia="lv-LV"/>
              </w:rPr>
              <w:t>memorands)</w:t>
            </w:r>
            <w:r w:rsidRPr="0022409B">
              <w:rPr>
                <w:rFonts w:ascii="Times New Roman" w:eastAsia="Times New Roman" w:hAnsi="Times New Roman" w:cs="Times New Roman"/>
                <w:sz w:val="28"/>
                <w:szCs w:val="28"/>
                <w:lang w:eastAsia="lv-LV"/>
              </w:rPr>
              <w:t xml:space="preserve">, </w:t>
            </w:r>
            <w:r w:rsidR="0032237F" w:rsidRPr="0022409B">
              <w:rPr>
                <w:rFonts w:ascii="Times New Roman" w:eastAsia="Times New Roman" w:hAnsi="Times New Roman" w:cs="Times New Roman"/>
                <w:sz w:val="28"/>
                <w:szCs w:val="28"/>
                <w:lang w:eastAsia="lv-LV"/>
              </w:rPr>
              <w:t>programmai noteiktas trīs</w:t>
            </w:r>
            <w:r w:rsidR="00A953B8" w:rsidRPr="0022409B">
              <w:rPr>
                <w:rFonts w:ascii="Times New Roman" w:eastAsia="Times New Roman" w:hAnsi="Times New Roman" w:cs="Times New Roman"/>
                <w:sz w:val="28"/>
                <w:szCs w:val="28"/>
                <w:lang w:eastAsia="lv-LV"/>
              </w:rPr>
              <w:t xml:space="preserve"> atbalsta</w:t>
            </w:r>
            <w:r w:rsidR="0032237F" w:rsidRPr="0022409B">
              <w:rPr>
                <w:rFonts w:ascii="Times New Roman" w:eastAsia="Times New Roman" w:hAnsi="Times New Roman" w:cs="Times New Roman"/>
                <w:sz w:val="28"/>
                <w:szCs w:val="28"/>
                <w:lang w:eastAsia="lv-LV"/>
              </w:rPr>
              <w:t xml:space="preserve"> jomas:</w:t>
            </w:r>
          </w:p>
          <w:p w14:paraId="528DE550" w14:textId="6FC7BB6B" w:rsidR="0032237F" w:rsidRPr="0022409B" w:rsidRDefault="007D3BAE" w:rsidP="0022409B">
            <w:pPr>
              <w:pStyle w:val="ListParagraph"/>
              <w:numPr>
                <w:ilvl w:val="0"/>
                <w:numId w:val="6"/>
              </w:numPr>
              <w:ind w:left="316" w:hanging="31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0032237F" w:rsidRPr="0022409B">
              <w:rPr>
                <w:rFonts w:ascii="Times New Roman" w:eastAsia="Times New Roman" w:hAnsi="Times New Roman" w:cs="Times New Roman"/>
                <w:sz w:val="28"/>
                <w:szCs w:val="28"/>
                <w:lang w:eastAsia="lv-LV"/>
              </w:rPr>
              <w:t>ietējā attīstība un nabadzības mazināšana;</w:t>
            </w:r>
          </w:p>
          <w:p w14:paraId="28A30A3A" w14:textId="5C6DDFF2" w:rsidR="0032237F" w:rsidRPr="0022409B" w:rsidRDefault="007D3BAE" w:rsidP="0022409B">
            <w:pPr>
              <w:pStyle w:val="ListParagraph"/>
              <w:numPr>
                <w:ilvl w:val="0"/>
                <w:numId w:val="6"/>
              </w:numPr>
              <w:ind w:left="316" w:hanging="31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w:t>
            </w:r>
            <w:r w:rsidR="0032237F" w:rsidRPr="0022409B">
              <w:rPr>
                <w:rFonts w:ascii="Times New Roman" w:eastAsia="Times New Roman" w:hAnsi="Times New Roman" w:cs="Times New Roman"/>
                <w:sz w:val="28"/>
                <w:szCs w:val="28"/>
                <w:lang w:eastAsia="lv-LV"/>
              </w:rPr>
              <w:t>aba pārvaldība, atbildīgas institūcijas, caurspīdīgums;</w:t>
            </w:r>
          </w:p>
          <w:p w14:paraId="11CC1695" w14:textId="7E352C4A" w:rsidR="0032237F" w:rsidRPr="0022409B" w:rsidRDefault="007D3BAE" w:rsidP="0022409B">
            <w:pPr>
              <w:pStyle w:val="ListParagraph"/>
              <w:numPr>
                <w:ilvl w:val="0"/>
                <w:numId w:val="6"/>
              </w:numPr>
              <w:ind w:left="316" w:hanging="31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w:t>
            </w:r>
            <w:r w:rsidR="0032237F" w:rsidRPr="0022409B">
              <w:rPr>
                <w:rFonts w:ascii="Times New Roman" w:eastAsia="Times New Roman" w:hAnsi="Times New Roman" w:cs="Times New Roman"/>
                <w:sz w:val="28"/>
                <w:szCs w:val="28"/>
                <w:lang w:eastAsia="lv-LV"/>
              </w:rPr>
              <w:t>ultūras uzņēmējdarbība, kultūras mantojums un kultūras sadarbība.</w:t>
            </w:r>
          </w:p>
          <w:p w14:paraId="2E396AA3" w14:textId="60A27F8F" w:rsidR="005F4D01" w:rsidRPr="0022409B" w:rsidRDefault="004243FB" w:rsidP="00842ECB">
            <w:pPr>
              <w:jc w:val="both"/>
              <w:rPr>
                <w:rFonts w:ascii="Times New Roman" w:eastAsia="Times New Roman" w:hAnsi="Times New Roman" w:cs="Times New Roman"/>
                <w:sz w:val="28"/>
                <w:szCs w:val="28"/>
                <w:lang w:eastAsia="lv-LV"/>
              </w:rPr>
            </w:pPr>
            <w:r w:rsidRPr="0022409B">
              <w:rPr>
                <w:rFonts w:ascii="Times New Roman" w:eastAsia="Times New Roman" w:hAnsi="Times New Roman" w:cs="Times New Roman"/>
                <w:sz w:val="28"/>
                <w:szCs w:val="28"/>
                <w:lang w:eastAsia="lv-LV"/>
              </w:rPr>
              <w:t xml:space="preserve">Saskaņā ar </w:t>
            </w:r>
            <w:r w:rsidR="00190BD7">
              <w:rPr>
                <w:rFonts w:ascii="Times New Roman" w:eastAsia="Times New Roman" w:hAnsi="Times New Roman" w:cs="Times New Roman"/>
                <w:sz w:val="28"/>
                <w:szCs w:val="28"/>
                <w:lang w:eastAsia="lv-LV"/>
              </w:rPr>
              <w:t>s</w:t>
            </w:r>
            <w:r w:rsidRPr="0022409B">
              <w:rPr>
                <w:rFonts w:ascii="Times New Roman" w:eastAsia="Times New Roman" w:hAnsi="Times New Roman" w:cs="Times New Roman"/>
                <w:sz w:val="28"/>
                <w:szCs w:val="28"/>
                <w:lang w:eastAsia="lv-LV"/>
              </w:rPr>
              <w:t>aprašanās memoranda B</w:t>
            </w:r>
            <w:r w:rsidR="007D3BAE">
              <w:rPr>
                <w:rFonts w:ascii="Times New Roman" w:eastAsia="Times New Roman" w:hAnsi="Times New Roman" w:cs="Times New Roman"/>
                <w:sz w:val="28"/>
                <w:szCs w:val="28"/>
                <w:lang w:eastAsia="lv-LV"/>
              </w:rPr>
              <w:t> </w:t>
            </w:r>
            <w:r w:rsidRPr="0022409B">
              <w:rPr>
                <w:rFonts w:ascii="Times New Roman" w:eastAsia="Times New Roman" w:hAnsi="Times New Roman" w:cs="Times New Roman"/>
                <w:sz w:val="28"/>
                <w:szCs w:val="28"/>
                <w:lang w:eastAsia="lv-LV"/>
              </w:rPr>
              <w:t>pielikumu</w:t>
            </w:r>
            <w:r w:rsidR="005F4D01">
              <w:rPr>
                <w:rFonts w:ascii="Times New Roman" w:eastAsia="Times New Roman" w:hAnsi="Times New Roman" w:cs="Times New Roman"/>
                <w:sz w:val="28"/>
                <w:szCs w:val="28"/>
                <w:lang w:eastAsia="lv-LV"/>
              </w:rPr>
              <w:t xml:space="preserve"> un </w:t>
            </w:r>
            <w:r w:rsidR="005F4D01" w:rsidRPr="0022409B">
              <w:rPr>
                <w:rFonts w:ascii="Times New Roman" w:eastAsia="Times New Roman" w:hAnsi="Times New Roman" w:cs="Times New Roman"/>
                <w:sz w:val="28"/>
                <w:szCs w:val="28"/>
                <w:lang w:eastAsia="lv-LV"/>
              </w:rPr>
              <w:t>Eiropas Ekonomikas zonas finanšu instrumenta un Norvēģijas finanšu instrumenta 2014.</w:t>
            </w:r>
            <w:r w:rsidR="005F4D01">
              <w:rPr>
                <w:rFonts w:ascii="Times New Roman" w:eastAsia="Times New Roman" w:hAnsi="Times New Roman" w:cs="Times New Roman"/>
                <w:sz w:val="28"/>
                <w:szCs w:val="28"/>
                <w:lang w:eastAsia="lv-LV"/>
              </w:rPr>
              <w:t> </w:t>
            </w:r>
            <w:r w:rsidR="005F4D01" w:rsidRPr="0022409B">
              <w:rPr>
                <w:rFonts w:ascii="Times New Roman" w:eastAsia="Times New Roman" w:hAnsi="Times New Roman" w:cs="Times New Roman"/>
                <w:sz w:val="28"/>
                <w:szCs w:val="28"/>
                <w:lang w:eastAsia="lv-LV"/>
              </w:rPr>
              <w:t>–</w:t>
            </w:r>
            <w:r w:rsidR="005F4D01">
              <w:rPr>
                <w:rFonts w:ascii="Times New Roman" w:eastAsia="Times New Roman" w:hAnsi="Times New Roman" w:cs="Times New Roman"/>
                <w:sz w:val="28"/>
                <w:szCs w:val="28"/>
                <w:lang w:eastAsia="lv-LV"/>
              </w:rPr>
              <w:t> </w:t>
            </w:r>
            <w:r w:rsidR="005F4D01" w:rsidRPr="0022409B">
              <w:rPr>
                <w:rFonts w:ascii="Times New Roman" w:eastAsia="Times New Roman" w:hAnsi="Times New Roman" w:cs="Times New Roman"/>
                <w:sz w:val="28"/>
                <w:szCs w:val="28"/>
                <w:lang w:eastAsia="lv-LV"/>
              </w:rPr>
              <w:t xml:space="preserve">2021.gada perioda vadības </w:t>
            </w:r>
            <w:r w:rsidR="005F4D01">
              <w:rPr>
                <w:rFonts w:ascii="Times New Roman" w:eastAsia="Times New Roman" w:hAnsi="Times New Roman" w:cs="Times New Roman"/>
                <w:sz w:val="28"/>
                <w:szCs w:val="28"/>
                <w:lang w:eastAsia="lv-LV"/>
              </w:rPr>
              <w:t>likumu</w:t>
            </w:r>
            <w:r w:rsidRPr="0022409B">
              <w:rPr>
                <w:rFonts w:ascii="Times New Roman" w:eastAsia="Times New Roman" w:hAnsi="Times New Roman" w:cs="Times New Roman"/>
                <w:sz w:val="28"/>
                <w:szCs w:val="28"/>
                <w:lang w:eastAsia="lv-LV"/>
              </w:rPr>
              <w:t xml:space="preserve"> </w:t>
            </w:r>
            <w:r w:rsidR="00CF15C2" w:rsidRPr="0022409B">
              <w:rPr>
                <w:rFonts w:ascii="Times New Roman" w:eastAsia="Times New Roman" w:hAnsi="Times New Roman" w:cs="Times New Roman"/>
                <w:sz w:val="28"/>
                <w:szCs w:val="28"/>
                <w:lang w:eastAsia="lv-LV"/>
              </w:rPr>
              <w:t>programmas apsaimniekotājs ir Vides aizsardzības un reģionālās attīstības ministrija</w:t>
            </w:r>
            <w:r w:rsidR="00CF15C2">
              <w:rPr>
                <w:rFonts w:ascii="Times New Roman" w:eastAsia="Times New Roman" w:hAnsi="Times New Roman" w:cs="Times New Roman"/>
                <w:sz w:val="28"/>
                <w:szCs w:val="28"/>
                <w:lang w:eastAsia="lv-LV"/>
              </w:rPr>
              <w:t xml:space="preserve"> (turpmāk –</w:t>
            </w:r>
            <w:r w:rsidR="005F4D01">
              <w:rPr>
                <w:rFonts w:ascii="Times New Roman" w:eastAsia="Times New Roman" w:hAnsi="Times New Roman" w:cs="Times New Roman"/>
                <w:sz w:val="28"/>
                <w:szCs w:val="28"/>
                <w:lang w:eastAsia="lv-LV"/>
              </w:rPr>
              <w:t xml:space="preserve"> programmas apsaimniekotājs) un programmas partneris ir </w:t>
            </w:r>
            <w:r w:rsidR="00CF15C2">
              <w:rPr>
                <w:rFonts w:ascii="Times New Roman" w:eastAsia="Times New Roman" w:hAnsi="Times New Roman" w:cs="Times New Roman"/>
                <w:sz w:val="28"/>
                <w:szCs w:val="28"/>
                <w:lang w:eastAsia="lv-LV"/>
              </w:rPr>
              <w:t>Kultūras ministrija.</w:t>
            </w:r>
            <w:r w:rsidR="00AD6319" w:rsidRPr="0022409B">
              <w:rPr>
                <w:rFonts w:ascii="Times New Roman" w:eastAsia="Times New Roman" w:hAnsi="Times New Roman" w:cs="Times New Roman"/>
                <w:sz w:val="28"/>
                <w:szCs w:val="28"/>
                <w:lang w:eastAsia="lv-LV"/>
              </w:rPr>
              <w:t xml:space="preserve"> </w:t>
            </w:r>
            <w:r w:rsidR="005F4D01" w:rsidRPr="0022409B">
              <w:rPr>
                <w:rFonts w:ascii="Times New Roman" w:eastAsia="Times New Roman" w:hAnsi="Times New Roman" w:cs="Times New Roman"/>
                <w:sz w:val="28"/>
                <w:szCs w:val="28"/>
                <w:lang w:eastAsia="lv-LV"/>
              </w:rPr>
              <w:t xml:space="preserve">Ministru kabineta </w:t>
            </w:r>
            <w:r w:rsidR="005F4D01" w:rsidRPr="00A56E64">
              <w:rPr>
                <w:rFonts w:ascii="Times New Roman" w:eastAsia="Times New Roman" w:hAnsi="Times New Roman" w:cs="Times New Roman"/>
                <w:sz w:val="28"/>
                <w:szCs w:val="28"/>
                <w:lang w:eastAsia="lv-LV"/>
              </w:rPr>
              <w:t xml:space="preserve">2018.gada 13.novembra </w:t>
            </w:r>
            <w:r w:rsidR="005F4D01" w:rsidRPr="0022409B">
              <w:rPr>
                <w:rFonts w:ascii="Times New Roman" w:eastAsia="Times New Roman" w:hAnsi="Times New Roman" w:cs="Times New Roman"/>
                <w:sz w:val="28"/>
                <w:szCs w:val="28"/>
                <w:lang w:eastAsia="lv-LV"/>
              </w:rPr>
              <w:t>noteikum</w:t>
            </w:r>
            <w:r w:rsidR="00190BD7">
              <w:rPr>
                <w:rFonts w:ascii="Times New Roman" w:eastAsia="Times New Roman" w:hAnsi="Times New Roman" w:cs="Times New Roman"/>
                <w:sz w:val="28"/>
                <w:szCs w:val="28"/>
                <w:lang w:eastAsia="lv-LV"/>
              </w:rPr>
              <w:t>u</w:t>
            </w:r>
            <w:r w:rsidR="005F4D01" w:rsidRPr="0022409B">
              <w:rPr>
                <w:rFonts w:ascii="Times New Roman" w:eastAsia="Times New Roman" w:hAnsi="Times New Roman" w:cs="Times New Roman"/>
                <w:sz w:val="28"/>
                <w:szCs w:val="28"/>
                <w:lang w:eastAsia="lv-LV"/>
              </w:rPr>
              <w:t xml:space="preserve"> Nr.683 </w:t>
            </w:r>
            <w:r w:rsidR="007A1EBC">
              <w:rPr>
                <w:rFonts w:ascii="Times New Roman" w:hAnsi="Times New Roman" w:cs="Times New Roman"/>
                <w:sz w:val="28"/>
                <w:szCs w:val="28"/>
              </w:rPr>
              <w:t>“</w:t>
            </w:r>
            <w:r w:rsidR="005F4D01" w:rsidRPr="0022409B">
              <w:rPr>
                <w:rFonts w:ascii="Times New Roman" w:eastAsia="Times New Roman" w:hAnsi="Times New Roman" w:cs="Times New Roman"/>
                <w:sz w:val="28"/>
                <w:szCs w:val="28"/>
                <w:lang w:eastAsia="lv-LV"/>
              </w:rPr>
              <w:t>Eiropas Ekonomikas zonas finanšu instrumenta un Norvēģijas finanšu instrumenta 2014.</w:t>
            </w:r>
            <w:r w:rsidR="005F4D01">
              <w:rPr>
                <w:rFonts w:ascii="Times New Roman" w:eastAsia="Times New Roman" w:hAnsi="Times New Roman" w:cs="Times New Roman"/>
                <w:sz w:val="28"/>
                <w:szCs w:val="28"/>
                <w:lang w:eastAsia="lv-LV"/>
              </w:rPr>
              <w:t> </w:t>
            </w:r>
            <w:r w:rsidR="005F4D01" w:rsidRPr="0022409B">
              <w:rPr>
                <w:rFonts w:ascii="Times New Roman" w:eastAsia="Times New Roman" w:hAnsi="Times New Roman" w:cs="Times New Roman"/>
                <w:sz w:val="28"/>
                <w:szCs w:val="28"/>
                <w:lang w:eastAsia="lv-LV"/>
              </w:rPr>
              <w:t>–</w:t>
            </w:r>
            <w:r w:rsidR="005F4D01">
              <w:rPr>
                <w:rFonts w:ascii="Times New Roman" w:eastAsia="Times New Roman" w:hAnsi="Times New Roman" w:cs="Times New Roman"/>
                <w:sz w:val="28"/>
                <w:szCs w:val="28"/>
                <w:lang w:eastAsia="lv-LV"/>
              </w:rPr>
              <w:t> </w:t>
            </w:r>
            <w:r w:rsidR="005F4D01" w:rsidRPr="0022409B">
              <w:rPr>
                <w:rFonts w:ascii="Times New Roman" w:eastAsia="Times New Roman" w:hAnsi="Times New Roman" w:cs="Times New Roman"/>
                <w:sz w:val="28"/>
                <w:szCs w:val="28"/>
                <w:lang w:eastAsia="lv-LV"/>
              </w:rPr>
              <w:t xml:space="preserve">2021.gada perioda vadības noteikumi” (turpmāk – </w:t>
            </w:r>
            <w:r w:rsidR="005F4D01">
              <w:rPr>
                <w:rFonts w:ascii="Times New Roman" w:eastAsia="Times New Roman" w:hAnsi="Times New Roman" w:cs="Times New Roman"/>
                <w:sz w:val="28"/>
                <w:szCs w:val="28"/>
                <w:lang w:eastAsia="lv-LV"/>
              </w:rPr>
              <w:t>v</w:t>
            </w:r>
            <w:r w:rsidR="005F4D01" w:rsidRPr="0022409B">
              <w:rPr>
                <w:rFonts w:ascii="Times New Roman" w:eastAsia="Times New Roman" w:hAnsi="Times New Roman" w:cs="Times New Roman"/>
                <w:sz w:val="28"/>
                <w:szCs w:val="28"/>
                <w:lang w:eastAsia="lv-LV"/>
              </w:rPr>
              <w:t>adības noteikumi)</w:t>
            </w:r>
            <w:r w:rsidR="00190BD7">
              <w:rPr>
                <w:rFonts w:ascii="Times New Roman" w:eastAsia="Times New Roman" w:hAnsi="Times New Roman" w:cs="Times New Roman"/>
                <w:sz w:val="28"/>
                <w:szCs w:val="28"/>
                <w:lang w:eastAsia="lv-LV"/>
              </w:rPr>
              <w:t xml:space="preserve"> 5. punkts </w:t>
            </w:r>
            <w:r w:rsidR="005F4D01" w:rsidRPr="0022409B">
              <w:rPr>
                <w:rFonts w:ascii="Times New Roman" w:eastAsia="Times New Roman" w:hAnsi="Times New Roman" w:cs="Times New Roman"/>
                <w:sz w:val="28"/>
                <w:szCs w:val="28"/>
                <w:lang w:eastAsia="lv-LV"/>
              </w:rPr>
              <w:t>nosaka, ka programmas partnera funkcijas nosaka normatīvajā aktā par programmas ieviešanu.</w:t>
            </w:r>
          </w:p>
          <w:p w14:paraId="5A3173E1" w14:textId="23F79807" w:rsidR="00D24EE7" w:rsidRDefault="005F4D01" w:rsidP="00842ECB">
            <w:pPr>
              <w:jc w:val="both"/>
              <w:rPr>
                <w:rFonts w:ascii="Times New Roman" w:eastAsia="Times New Roman" w:hAnsi="Times New Roman" w:cs="Times New Roman"/>
                <w:sz w:val="28"/>
                <w:szCs w:val="28"/>
                <w:lang w:eastAsia="lv-LV"/>
              </w:rPr>
            </w:pPr>
            <w:r w:rsidRPr="0022409B">
              <w:rPr>
                <w:rFonts w:ascii="Times New Roman" w:hAnsi="Times New Roman" w:cs="Times New Roman"/>
                <w:sz w:val="28"/>
                <w:szCs w:val="28"/>
              </w:rPr>
              <w:t xml:space="preserve">Vienlaikus programmas apsaimniekotājs izstrādā programmas </w:t>
            </w:r>
            <w:r w:rsidR="00D24EE7">
              <w:rPr>
                <w:rFonts w:ascii="Times New Roman" w:eastAsia="Times New Roman" w:hAnsi="Times New Roman" w:cs="Times New Roman"/>
                <w:sz w:val="28"/>
                <w:szCs w:val="28"/>
                <w:lang w:eastAsia="lv-LV"/>
              </w:rPr>
              <w:t xml:space="preserve">Ministru kabineta </w:t>
            </w:r>
            <w:r w:rsidR="00403647">
              <w:rPr>
                <w:rFonts w:ascii="Times New Roman" w:eastAsia="Times New Roman" w:hAnsi="Times New Roman" w:cs="Times New Roman"/>
                <w:sz w:val="28"/>
                <w:szCs w:val="28"/>
                <w:lang w:eastAsia="lv-LV"/>
              </w:rPr>
              <w:t xml:space="preserve"> </w:t>
            </w:r>
            <w:r w:rsidR="00403647">
              <w:rPr>
                <w:rFonts w:ascii="Times New Roman" w:eastAsia="Times New Roman" w:hAnsi="Times New Roman" w:cs="Times New Roman"/>
                <w:sz w:val="28"/>
                <w:szCs w:val="28"/>
                <w:lang w:eastAsia="lv-LV"/>
              </w:rPr>
              <w:lastRenderedPageBreak/>
              <w:t>noteikumus</w:t>
            </w:r>
            <w:r w:rsidR="00D24EE7">
              <w:rPr>
                <w:rFonts w:ascii="Times New Roman" w:eastAsia="Times New Roman" w:hAnsi="Times New Roman" w:cs="Times New Roman"/>
                <w:sz w:val="28"/>
                <w:szCs w:val="28"/>
                <w:lang w:eastAsia="lv-LV"/>
              </w:rPr>
              <w:t xml:space="preserve"> </w:t>
            </w:r>
            <w:r w:rsidR="00CF15C2">
              <w:rPr>
                <w:rFonts w:ascii="Times New Roman" w:eastAsia="Times New Roman" w:hAnsi="Times New Roman" w:cs="Times New Roman"/>
                <w:sz w:val="28"/>
                <w:szCs w:val="28"/>
                <w:lang w:eastAsia="lv-LV"/>
              </w:rPr>
              <w:t>(turpmāk – programmas īstenošanas noteikumi)</w:t>
            </w:r>
            <w:r w:rsidR="00403647">
              <w:rPr>
                <w:rFonts w:ascii="Times New Roman" w:eastAsia="Times New Roman" w:hAnsi="Times New Roman" w:cs="Times New Roman"/>
                <w:sz w:val="28"/>
                <w:szCs w:val="28"/>
                <w:lang w:eastAsia="lv-LV"/>
              </w:rPr>
              <w:t>, kuri</w:t>
            </w:r>
            <w:r w:rsidR="00CF15C2">
              <w:rPr>
                <w:rFonts w:ascii="Times New Roman" w:eastAsia="Times New Roman" w:hAnsi="Times New Roman" w:cs="Times New Roman"/>
                <w:sz w:val="28"/>
                <w:szCs w:val="28"/>
                <w:lang w:eastAsia="lv-LV"/>
              </w:rPr>
              <w:t xml:space="preserve"> nosaka programmas partnera pienākumus.</w:t>
            </w:r>
          </w:p>
          <w:p w14:paraId="6CF7C8CE" w14:textId="68322264" w:rsidR="00CF15C2" w:rsidRDefault="00CF15C2" w:rsidP="00CF15C2">
            <w:p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 xml:space="preserve">Programmas īstenošanas noteikumi nosaka šādus </w:t>
            </w:r>
            <w:r>
              <w:rPr>
                <w:rFonts w:ascii="Times New Roman" w:eastAsia="Times New Roman" w:hAnsi="Times New Roman" w:cs="Times New Roman"/>
                <w:sz w:val="28"/>
                <w:szCs w:val="28"/>
                <w:lang w:eastAsia="lv-LV"/>
              </w:rPr>
              <w:t>programmas partnera</w:t>
            </w:r>
            <w:r w:rsidRPr="00CF15C2">
              <w:rPr>
                <w:rFonts w:ascii="Times New Roman" w:eastAsia="Times New Roman" w:hAnsi="Times New Roman" w:cs="Times New Roman"/>
                <w:sz w:val="28"/>
                <w:szCs w:val="28"/>
                <w:lang w:eastAsia="lv-LV"/>
              </w:rPr>
              <w:t xml:space="preserve"> pienākumus:</w:t>
            </w:r>
          </w:p>
          <w:p w14:paraId="2FD3318B" w14:textId="77777777" w:rsidR="00CF15C2" w:rsidRDefault="00CF15C2" w:rsidP="00CF15C2">
            <w:pPr>
              <w:pStyle w:val="ListParagraph"/>
              <w:numPr>
                <w:ilvl w:val="0"/>
                <w:numId w:val="10"/>
              </w:num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sadarbībā ar programmas apsaimniekotāju izstrādā</w:t>
            </w:r>
            <w:r>
              <w:rPr>
                <w:rFonts w:ascii="Times New Roman" w:eastAsia="Times New Roman" w:hAnsi="Times New Roman" w:cs="Times New Roman"/>
                <w:sz w:val="28"/>
                <w:szCs w:val="28"/>
                <w:lang w:eastAsia="lv-LV"/>
              </w:rPr>
              <w:t>t</w:t>
            </w:r>
            <w:r w:rsidRPr="00CF15C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Noteikumu projektu</w:t>
            </w:r>
            <w:r w:rsidRPr="00CF15C2">
              <w:rPr>
                <w:rFonts w:ascii="Times New Roman" w:eastAsia="Times New Roman" w:hAnsi="Times New Roman" w:cs="Times New Roman"/>
                <w:sz w:val="28"/>
                <w:szCs w:val="28"/>
                <w:lang w:eastAsia="lv-LV"/>
              </w:rPr>
              <w:t>;</w:t>
            </w:r>
          </w:p>
          <w:p w14:paraId="6FE3DB51" w14:textId="77777777" w:rsidR="00CF15C2" w:rsidRDefault="00CF15C2" w:rsidP="00CF15C2">
            <w:pPr>
              <w:pStyle w:val="ListParagraph"/>
              <w:numPr>
                <w:ilvl w:val="0"/>
                <w:numId w:val="10"/>
              </w:num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izstrādā</w:t>
            </w:r>
            <w:r>
              <w:rPr>
                <w:rFonts w:ascii="Times New Roman" w:eastAsia="Times New Roman" w:hAnsi="Times New Roman" w:cs="Times New Roman"/>
                <w:sz w:val="28"/>
                <w:szCs w:val="28"/>
                <w:lang w:eastAsia="lv-LV"/>
              </w:rPr>
              <w:t>t</w:t>
            </w:r>
            <w:r w:rsidRPr="00CF15C2">
              <w:rPr>
                <w:rFonts w:ascii="Times New Roman" w:eastAsia="Times New Roman" w:hAnsi="Times New Roman" w:cs="Times New Roman"/>
                <w:sz w:val="28"/>
                <w:szCs w:val="28"/>
                <w:lang w:eastAsia="lv-LV"/>
              </w:rPr>
              <w:t xml:space="preserve"> projektu iesniegumu atlases nolikumu, kuru pirms apstiprināšanas saskaņo ar programmas apsaimniekotāju;</w:t>
            </w:r>
          </w:p>
          <w:p w14:paraId="0BC06B9B" w14:textId="77777777" w:rsidR="00CF15C2" w:rsidRPr="00CF15C2" w:rsidRDefault="00CF15C2" w:rsidP="00CF15C2">
            <w:pPr>
              <w:pStyle w:val="ListParagraph"/>
              <w:numPr>
                <w:ilvl w:val="0"/>
                <w:numId w:val="10"/>
              </w:num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izveido</w:t>
            </w:r>
            <w:r>
              <w:rPr>
                <w:rFonts w:ascii="Times New Roman" w:eastAsia="Times New Roman" w:hAnsi="Times New Roman" w:cs="Times New Roman"/>
                <w:sz w:val="28"/>
                <w:szCs w:val="28"/>
                <w:lang w:eastAsia="lv-LV"/>
              </w:rPr>
              <w:t>t</w:t>
            </w:r>
            <w:r w:rsidRPr="00CF15C2">
              <w:rPr>
                <w:rFonts w:ascii="Times New Roman" w:eastAsia="Times New Roman" w:hAnsi="Times New Roman" w:cs="Times New Roman"/>
                <w:sz w:val="28"/>
                <w:szCs w:val="28"/>
                <w:lang w:eastAsia="lv-LV"/>
              </w:rPr>
              <w:t xml:space="preserve"> projektu iesniegumu vērtēšanas komisiju;</w:t>
            </w:r>
          </w:p>
          <w:p w14:paraId="76E8F0DC" w14:textId="49E88C5E" w:rsidR="00CF15C2" w:rsidRDefault="00CF15C2" w:rsidP="00CF15C2">
            <w:pPr>
              <w:pStyle w:val="ListParagraph"/>
              <w:numPr>
                <w:ilvl w:val="0"/>
                <w:numId w:val="10"/>
              </w:num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veikt projektu iesniegumu atlasi, pieņem</w:t>
            </w:r>
            <w:r w:rsidR="00902138">
              <w:rPr>
                <w:rFonts w:ascii="Times New Roman" w:eastAsia="Times New Roman" w:hAnsi="Times New Roman" w:cs="Times New Roman"/>
                <w:sz w:val="28"/>
                <w:szCs w:val="28"/>
                <w:lang w:eastAsia="lv-LV"/>
              </w:rPr>
              <w:t>t</w:t>
            </w:r>
            <w:r w:rsidRPr="00CF15C2">
              <w:rPr>
                <w:rFonts w:ascii="Times New Roman" w:eastAsia="Times New Roman" w:hAnsi="Times New Roman" w:cs="Times New Roman"/>
                <w:sz w:val="28"/>
                <w:szCs w:val="28"/>
                <w:lang w:eastAsia="lv-LV"/>
              </w:rPr>
              <w:t xml:space="preserve"> lēmumu</w:t>
            </w:r>
            <w:r w:rsidR="00902138">
              <w:rPr>
                <w:rFonts w:ascii="Times New Roman" w:eastAsia="Times New Roman" w:hAnsi="Times New Roman" w:cs="Times New Roman"/>
                <w:sz w:val="28"/>
                <w:szCs w:val="28"/>
                <w:lang w:eastAsia="lv-LV"/>
              </w:rPr>
              <w:t>s</w:t>
            </w:r>
            <w:r w:rsidRPr="00CF15C2">
              <w:rPr>
                <w:rFonts w:ascii="Times New Roman" w:eastAsia="Times New Roman" w:hAnsi="Times New Roman" w:cs="Times New Roman"/>
                <w:sz w:val="28"/>
                <w:szCs w:val="28"/>
                <w:lang w:eastAsia="lv-LV"/>
              </w:rPr>
              <w:t xml:space="preserve"> un paziņo</w:t>
            </w:r>
            <w:r w:rsidR="00902138">
              <w:rPr>
                <w:rFonts w:ascii="Times New Roman" w:eastAsia="Times New Roman" w:hAnsi="Times New Roman" w:cs="Times New Roman"/>
                <w:sz w:val="28"/>
                <w:szCs w:val="28"/>
                <w:lang w:eastAsia="lv-LV"/>
              </w:rPr>
              <w:t>t</w:t>
            </w:r>
            <w:r w:rsidRPr="00CF15C2">
              <w:rPr>
                <w:rFonts w:ascii="Times New Roman" w:eastAsia="Times New Roman" w:hAnsi="Times New Roman" w:cs="Times New Roman"/>
                <w:sz w:val="28"/>
                <w:szCs w:val="28"/>
                <w:lang w:eastAsia="lv-LV"/>
              </w:rPr>
              <w:t xml:space="preserve"> to</w:t>
            </w:r>
            <w:r w:rsidR="00902138">
              <w:rPr>
                <w:rFonts w:ascii="Times New Roman" w:eastAsia="Times New Roman" w:hAnsi="Times New Roman" w:cs="Times New Roman"/>
                <w:sz w:val="28"/>
                <w:szCs w:val="28"/>
                <w:lang w:eastAsia="lv-LV"/>
              </w:rPr>
              <w:t>s</w:t>
            </w:r>
            <w:r w:rsidRPr="00CF15C2">
              <w:rPr>
                <w:rFonts w:ascii="Times New Roman" w:eastAsia="Times New Roman" w:hAnsi="Times New Roman" w:cs="Times New Roman"/>
                <w:sz w:val="28"/>
                <w:szCs w:val="28"/>
                <w:lang w:eastAsia="lv-LV"/>
              </w:rPr>
              <w:t xml:space="preserve"> projekt</w:t>
            </w:r>
            <w:r w:rsidR="002D7102">
              <w:rPr>
                <w:rFonts w:ascii="Times New Roman" w:eastAsia="Times New Roman" w:hAnsi="Times New Roman" w:cs="Times New Roman"/>
                <w:sz w:val="28"/>
                <w:szCs w:val="28"/>
                <w:lang w:eastAsia="lv-LV"/>
              </w:rPr>
              <w:t>u</w:t>
            </w:r>
            <w:r w:rsidRPr="00CF15C2">
              <w:rPr>
                <w:rFonts w:ascii="Times New Roman" w:eastAsia="Times New Roman" w:hAnsi="Times New Roman" w:cs="Times New Roman"/>
                <w:sz w:val="28"/>
                <w:szCs w:val="28"/>
                <w:lang w:eastAsia="lv-LV"/>
              </w:rPr>
              <w:t xml:space="preserve"> iesniegum</w:t>
            </w:r>
            <w:r w:rsidR="002D7102">
              <w:rPr>
                <w:rFonts w:ascii="Times New Roman" w:eastAsia="Times New Roman" w:hAnsi="Times New Roman" w:cs="Times New Roman"/>
                <w:sz w:val="28"/>
                <w:szCs w:val="28"/>
                <w:lang w:eastAsia="lv-LV"/>
              </w:rPr>
              <w:t>u</w:t>
            </w:r>
            <w:r w:rsidRPr="00CF15C2">
              <w:rPr>
                <w:rFonts w:ascii="Times New Roman" w:eastAsia="Times New Roman" w:hAnsi="Times New Roman" w:cs="Times New Roman"/>
                <w:sz w:val="28"/>
                <w:szCs w:val="28"/>
                <w:lang w:eastAsia="lv-LV"/>
              </w:rPr>
              <w:t xml:space="preserve"> iesniedzēj</w:t>
            </w:r>
            <w:r w:rsidR="002D7102">
              <w:rPr>
                <w:rFonts w:ascii="Times New Roman" w:eastAsia="Times New Roman" w:hAnsi="Times New Roman" w:cs="Times New Roman"/>
                <w:sz w:val="28"/>
                <w:szCs w:val="28"/>
                <w:lang w:eastAsia="lv-LV"/>
              </w:rPr>
              <w:t>ie</w:t>
            </w:r>
            <w:r w:rsidRPr="00CF15C2">
              <w:rPr>
                <w:rFonts w:ascii="Times New Roman" w:eastAsia="Times New Roman" w:hAnsi="Times New Roman" w:cs="Times New Roman"/>
                <w:sz w:val="28"/>
                <w:szCs w:val="28"/>
                <w:lang w:eastAsia="lv-LV"/>
              </w:rPr>
              <w:t>m;</w:t>
            </w:r>
          </w:p>
          <w:p w14:paraId="647A146F" w14:textId="3520EF93" w:rsidR="00CF15C2" w:rsidRDefault="003F230E" w:rsidP="00CF15C2">
            <w:pPr>
              <w:pStyle w:val="ListParagraph"/>
              <w:numPr>
                <w:ilvl w:val="0"/>
                <w:numId w:val="10"/>
              </w:num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slēgt</w:t>
            </w:r>
            <w:r w:rsidR="00CF15C2" w:rsidRPr="00CF15C2">
              <w:rPr>
                <w:rFonts w:ascii="Times New Roman" w:eastAsia="Times New Roman" w:hAnsi="Times New Roman" w:cs="Times New Roman"/>
                <w:sz w:val="28"/>
                <w:szCs w:val="28"/>
                <w:lang w:eastAsia="lv-LV"/>
              </w:rPr>
              <w:t xml:space="preserve"> projekta līgumu</w:t>
            </w:r>
            <w:r w:rsidR="002D7102">
              <w:rPr>
                <w:rFonts w:ascii="Times New Roman" w:eastAsia="Times New Roman" w:hAnsi="Times New Roman" w:cs="Times New Roman"/>
                <w:sz w:val="28"/>
                <w:szCs w:val="28"/>
                <w:lang w:eastAsia="lv-LV"/>
              </w:rPr>
              <w:t>s</w:t>
            </w:r>
            <w:r w:rsidR="00CF15C2" w:rsidRPr="00CF15C2">
              <w:rPr>
                <w:rFonts w:ascii="Times New Roman" w:eastAsia="Times New Roman" w:hAnsi="Times New Roman" w:cs="Times New Roman"/>
                <w:sz w:val="28"/>
                <w:szCs w:val="28"/>
                <w:lang w:eastAsia="lv-LV"/>
              </w:rPr>
              <w:t xml:space="preserve"> ar līdzfinansējuma saņēmēj</w:t>
            </w:r>
            <w:r w:rsidR="002D7102">
              <w:rPr>
                <w:rFonts w:ascii="Times New Roman" w:eastAsia="Times New Roman" w:hAnsi="Times New Roman" w:cs="Times New Roman"/>
                <w:sz w:val="28"/>
                <w:szCs w:val="28"/>
                <w:lang w:eastAsia="lv-LV"/>
              </w:rPr>
              <w:t>iem</w:t>
            </w:r>
            <w:r w:rsidR="00CF15C2" w:rsidRPr="00CF15C2">
              <w:rPr>
                <w:rFonts w:ascii="Times New Roman" w:eastAsia="Times New Roman" w:hAnsi="Times New Roman" w:cs="Times New Roman"/>
                <w:sz w:val="28"/>
                <w:szCs w:val="28"/>
                <w:lang w:eastAsia="lv-LV"/>
              </w:rPr>
              <w:t>;</w:t>
            </w:r>
          </w:p>
          <w:p w14:paraId="44334649" w14:textId="0C6B52AE" w:rsidR="00CF15C2" w:rsidRDefault="00CF15C2" w:rsidP="00CF15C2">
            <w:pPr>
              <w:pStyle w:val="ListParagraph"/>
              <w:numPr>
                <w:ilvl w:val="0"/>
                <w:numId w:val="10"/>
              </w:num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veikt projekt</w:t>
            </w:r>
            <w:r w:rsidR="002D7102">
              <w:rPr>
                <w:rFonts w:ascii="Times New Roman" w:eastAsia="Times New Roman" w:hAnsi="Times New Roman" w:cs="Times New Roman"/>
                <w:sz w:val="28"/>
                <w:szCs w:val="28"/>
                <w:lang w:eastAsia="lv-LV"/>
              </w:rPr>
              <w:t>u</w:t>
            </w:r>
            <w:r w:rsidRPr="00CF15C2">
              <w:rPr>
                <w:rFonts w:ascii="Times New Roman" w:eastAsia="Times New Roman" w:hAnsi="Times New Roman" w:cs="Times New Roman"/>
                <w:sz w:val="28"/>
                <w:szCs w:val="28"/>
                <w:lang w:eastAsia="lv-LV"/>
              </w:rPr>
              <w:t xml:space="preserve"> īstenošanas uzraudzību un kontroli, tai skaitā veikt projektu iepirkumu pirmspārbaudes un pārbaudes projekt</w:t>
            </w:r>
            <w:r w:rsidR="002D7102">
              <w:rPr>
                <w:rFonts w:ascii="Times New Roman" w:eastAsia="Times New Roman" w:hAnsi="Times New Roman" w:cs="Times New Roman"/>
                <w:sz w:val="28"/>
                <w:szCs w:val="28"/>
                <w:lang w:eastAsia="lv-LV"/>
              </w:rPr>
              <w:t>u</w:t>
            </w:r>
            <w:r w:rsidRPr="00CF15C2">
              <w:rPr>
                <w:rFonts w:ascii="Times New Roman" w:eastAsia="Times New Roman" w:hAnsi="Times New Roman" w:cs="Times New Roman"/>
                <w:sz w:val="28"/>
                <w:szCs w:val="28"/>
                <w:lang w:eastAsia="lv-LV"/>
              </w:rPr>
              <w:t xml:space="preserve"> īstenošanas vietā;</w:t>
            </w:r>
          </w:p>
          <w:p w14:paraId="39B8028A" w14:textId="77777777" w:rsidR="00CF15C2" w:rsidRDefault="00CF15C2" w:rsidP="00CF15C2">
            <w:pPr>
              <w:pStyle w:val="ListParagraph"/>
              <w:numPr>
                <w:ilvl w:val="0"/>
                <w:numId w:val="10"/>
              </w:num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veikt maksājumus līdzfinansējuma saņēmējiem;</w:t>
            </w:r>
          </w:p>
          <w:p w14:paraId="1059914A" w14:textId="77777777" w:rsidR="00CF15C2" w:rsidRDefault="00CF15C2" w:rsidP="00CF15C2">
            <w:pPr>
              <w:pStyle w:val="ListParagraph"/>
              <w:numPr>
                <w:ilvl w:val="0"/>
                <w:numId w:val="10"/>
              </w:num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nodrošin</w:t>
            </w:r>
            <w:r>
              <w:rPr>
                <w:rFonts w:ascii="Times New Roman" w:eastAsia="Times New Roman" w:hAnsi="Times New Roman" w:cs="Times New Roman"/>
                <w:sz w:val="28"/>
                <w:szCs w:val="28"/>
                <w:lang w:eastAsia="lv-LV"/>
              </w:rPr>
              <w:t>āt</w:t>
            </w:r>
            <w:r w:rsidRPr="00CF15C2">
              <w:rPr>
                <w:rFonts w:ascii="Times New Roman" w:eastAsia="Times New Roman" w:hAnsi="Times New Roman" w:cs="Times New Roman"/>
                <w:sz w:val="28"/>
                <w:szCs w:val="28"/>
                <w:lang w:eastAsia="lv-LV"/>
              </w:rPr>
              <w:t xml:space="preserve"> neatbilstību konstatēšanu, atgūšanu un uzskaiti;</w:t>
            </w:r>
          </w:p>
          <w:p w14:paraId="6375257F" w14:textId="79AD0A04" w:rsidR="00CF15C2" w:rsidRPr="00CF15C2" w:rsidRDefault="00CF15C2" w:rsidP="00CF15C2">
            <w:pPr>
              <w:pStyle w:val="ListParagraph"/>
              <w:numPr>
                <w:ilvl w:val="0"/>
                <w:numId w:val="10"/>
              </w:numPr>
              <w:jc w:val="both"/>
              <w:rPr>
                <w:rFonts w:ascii="Times New Roman" w:eastAsia="Times New Roman" w:hAnsi="Times New Roman" w:cs="Times New Roman"/>
                <w:sz w:val="28"/>
                <w:szCs w:val="28"/>
                <w:lang w:eastAsia="lv-LV"/>
              </w:rPr>
            </w:pPr>
            <w:r w:rsidRPr="00CF15C2">
              <w:rPr>
                <w:rFonts w:ascii="Times New Roman" w:eastAsia="Times New Roman" w:hAnsi="Times New Roman" w:cs="Times New Roman"/>
                <w:sz w:val="28"/>
                <w:szCs w:val="28"/>
                <w:lang w:eastAsia="lv-LV"/>
              </w:rPr>
              <w:t>veikt projekt</w:t>
            </w:r>
            <w:r w:rsidR="002D7102">
              <w:rPr>
                <w:rFonts w:ascii="Times New Roman" w:eastAsia="Times New Roman" w:hAnsi="Times New Roman" w:cs="Times New Roman"/>
                <w:sz w:val="28"/>
                <w:szCs w:val="28"/>
                <w:lang w:eastAsia="lv-LV"/>
              </w:rPr>
              <w:t>u</w:t>
            </w:r>
            <w:r w:rsidRPr="00CF15C2">
              <w:rPr>
                <w:rFonts w:ascii="Times New Roman" w:eastAsia="Times New Roman" w:hAnsi="Times New Roman" w:cs="Times New Roman"/>
                <w:sz w:val="28"/>
                <w:szCs w:val="28"/>
                <w:lang w:eastAsia="lv-LV"/>
              </w:rPr>
              <w:t xml:space="preserve"> rezultātu ilgtspējas uzraudzību. </w:t>
            </w:r>
          </w:p>
          <w:p w14:paraId="5746779A" w14:textId="483CE99C" w:rsidR="00CF15C2" w:rsidRDefault="005F4D01" w:rsidP="00CF15C2">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Starp programmas apsaimniekotāju un programmas partneri tiks noslēgta starpresoru v</w:t>
            </w:r>
            <w:r w:rsidR="00942269">
              <w:rPr>
                <w:rFonts w:ascii="Times New Roman" w:eastAsia="Times New Roman" w:hAnsi="Times New Roman" w:cs="Times New Roman"/>
                <w:sz w:val="28"/>
                <w:szCs w:val="28"/>
                <w:lang w:eastAsia="lv-LV"/>
              </w:rPr>
              <w:t>ienošanās, kurā tiks detalizēti noteikta</w:t>
            </w:r>
            <w:r>
              <w:rPr>
                <w:rFonts w:ascii="Times New Roman" w:eastAsia="Times New Roman" w:hAnsi="Times New Roman" w:cs="Times New Roman"/>
                <w:sz w:val="28"/>
                <w:szCs w:val="28"/>
                <w:lang w:eastAsia="lv-LV"/>
              </w:rPr>
              <w:t xml:space="preserve"> programmas </w:t>
            </w:r>
            <w:r w:rsidR="00942269">
              <w:rPr>
                <w:rFonts w:ascii="Times New Roman" w:eastAsia="Times New Roman" w:hAnsi="Times New Roman" w:cs="Times New Roman"/>
                <w:sz w:val="28"/>
                <w:szCs w:val="28"/>
                <w:lang w:eastAsia="lv-LV"/>
              </w:rPr>
              <w:t>apsaimniekotāja</w:t>
            </w:r>
            <w:r>
              <w:rPr>
                <w:rFonts w:ascii="Times New Roman" w:eastAsia="Times New Roman" w:hAnsi="Times New Roman" w:cs="Times New Roman"/>
                <w:sz w:val="28"/>
                <w:szCs w:val="28"/>
                <w:lang w:eastAsia="lv-LV"/>
              </w:rPr>
              <w:t xml:space="preserve"> un programmas partnera sadarbība programmas ieviešanā.</w:t>
            </w:r>
          </w:p>
          <w:p w14:paraId="50F555FD" w14:textId="77777777" w:rsidR="005F4D01" w:rsidRPr="00CF15C2" w:rsidRDefault="005F4D01" w:rsidP="00CF15C2">
            <w:pPr>
              <w:jc w:val="both"/>
              <w:rPr>
                <w:rFonts w:ascii="Times New Roman" w:eastAsia="Times New Roman" w:hAnsi="Times New Roman" w:cs="Times New Roman"/>
                <w:sz w:val="28"/>
                <w:szCs w:val="28"/>
                <w:lang w:eastAsia="lv-LV"/>
              </w:rPr>
            </w:pPr>
          </w:p>
          <w:p w14:paraId="70CD8898" w14:textId="4A95E94F" w:rsidR="00FC2D54" w:rsidRPr="0022409B" w:rsidRDefault="00FC2D54" w:rsidP="00842ECB">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Ņemot vērā minēto</w:t>
            </w:r>
            <w:r w:rsidR="007209D4" w:rsidRPr="0022409B">
              <w:rPr>
                <w:rFonts w:ascii="Times New Roman" w:hAnsi="Times New Roman" w:cs="Times New Roman"/>
                <w:sz w:val="28"/>
                <w:szCs w:val="28"/>
                <w:shd w:val="clear" w:color="auto" w:fill="FFFFFF"/>
              </w:rPr>
              <w:t xml:space="preserve"> un</w:t>
            </w:r>
            <w:r>
              <w:rPr>
                <w:rFonts w:ascii="Times New Roman" w:hAnsi="Times New Roman" w:cs="Times New Roman"/>
                <w:sz w:val="28"/>
                <w:szCs w:val="28"/>
                <w:shd w:val="clear" w:color="auto" w:fill="FFFFFF"/>
              </w:rPr>
              <w:t>,</w:t>
            </w:r>
            <w:r w:rsidR="007209D4" w:rsidRPr="0022409B">
              <w:rPr>
                <w:rFonts w:ascii="Times New Roman" w:hAnsi="Times New Roman" w:cs="Times New Roman"/>
                <w:sz w:val="28"/>
                <w:szCs w:val="28"/>
                <w:shd w:val="clear" w:color="auto" w:fill="FFFFFF"/>
              </w:rPr>
              <w:t xml:space="preserve"> lai nodrošinātu efektīvāku programmas īstenošanu</w:t>
            </w:r>
            <w:r>
              <w:rPr>
                <w:rFonts w:ascii="Times New Roman" w:hAnsi="Times New Roman" w:cs="Times New Roman"/>
                <w:sz w:val="28"/>
                <w:szCs w:val="28"/>
                <w:shd w:val="clear" w:color="auto" w:fill="FFFFFF"/>
              </w:rPr>
              <w:t xml:space="preserve"> un</w:t>
            </w:r>
            <w:r w:rsidR="007209D4" w:rsidRPr="0022409B">
              <w:rPr>
                <w:rFonts w:ascii="Times New Roman" w:hAnsi="Times New Roman" w:cs="Times New Roman"/>
                <w:sz w:val="28"/>
                <w:szCs w:val="28"/>
                <w:shd w:val="clear" w:color="auto" w:fill="FFFFFF"/>
              </w:rPr>
              <w:t xml:space="preserve"> projektu </w:t>
            </w:r>
            <w:r w:rsidR="00403647">
              <w:rPr>
                <w:rFonts w:ascii="Times New Roman" w:hAnsi="Times New Roman" w:cs="Times New Roman"/>
                <w:sz w:val="28"/>
                <w:szCs w:val="28"/>
                <w:shd w:val="clear" w:color="auto" w:fill="FFFFFF"/>
              </w:rPr>
              <w:t>iesniegumu iesniedzējiem</w:t>
            </w:r>
            <w:r w:rsidR="00403647" w:rsidRPr="0022409B">
              <w:rPr>
                <w:rFonts w:ascii="Times New Roman" w:hAnsi="Times New Roman" w:cs="Times New Roman"/>
                <w:sz w:val="28"/>
                <w:szCs w:val="28"/>
                <w:shd w:val="clear" w:color="auto" w:fill="FFFFFF"/>
              </w:rPr>
              <w:t xml:space="preserve"> </w:t>
            </w:r>
            <w:r w:rsidR="007209D4" w:rsidRPr="0022409B">
              <w:rPr>
                <w:rFonts w:ascii="Times New Roman" w:hAnsi="Times New Roman" w:cs="Times New Roman"/>
                <w:sz w:val="28"/>
                <w:szCs w:val="28"/>
                <w:shd w:val="clear" w:color="auto" w:fill="FFFFFF"/>
              </w:rPr>
              <w:t xml:space="preserve">plānoto programmas atklāto konkursu skaidru uztveramību un nodalītību, programmas partneris sadarbībā ar programmas apsaimniekotāju </w:t>
            </w:r>
            <w:r w:rsidR="007209D4" w:rsidRPr="00CA5111">
              <w:rPr>
                <w:rFonts w:ascii="Times New Roman" w:hAnsi="Times New Roman" w:cs="Times New Roman"/>
                <w:sz w:val="28"/>
                <w:szCs w:val="28"/>
              </w:rPr>
              <w:t xml:space="preserve">izstrādā atsevišķu </w:t>
            </w:r>
            <w:r w:rsidR="003F230E" w:rsidRPr="00CA5111">
              <w:rPr>
                <w:rFonts w:ascii="Times New Roman" w:eastAsia="Times New Roman" w:hAnsi="Times New Roman" w:cs="Times New Roman"/>
                <w:sz w:val="28"/>
                <w:szCs w:val="28"/>
                <w:lang w:eastAsia="lv-LV"/>
              </w:rPr>
              <w:lastRenderedPageBreak/>
              <w:t>Noteikumu projektu</w:t>
            </w:r>
            <w:r w:rsidR="007209D4" w:rsidRPr="00CA5111">
              <w:rPr>
                <w:rFonts w:ascii="Times New Roman" w:hAnsi="Times New Roman" w:cs="Times New Roman"/>
                <w:sz w:val="28"/>
                <w:szCs w:val="28"/>
              </w:rPr>
              <w:t>, kas nosaka atklātā projektu konkursa īstenošanas kārtību.</w:t>
            </w:r>
          </w:p>
          <w:p w14:paraId="4556B0A5" w14:textId="77102064" w:rsidR="00FC2D54" w:rsidRPr="0022409B" w:rsidRDefault="008F3F64" w:rsidP="00842ECB">
            <w:pPr>
              <w:widowControl w:val="0"/>
              <w:jc w:val="both"/>
              <w:rPr>
                <w:rFonts w:ascii="Times New Roman" w:hAnsi="Times New Roman" w:cs="Times New Roman"/>
                <w:sz w:val="28"/>
                <w:szCs w:val="28"/>
                <w:shd w:val="clear" w:color="auto" w:fill="FFFFFF"/>
              </w:rPr>
            </w:pPr>
            <w:r w:rsidRPr="0022409B">
              <w:rPr>
                <w:rFonts w:ascii="Times New Roman" w:hAnsi="Times New Roman" w:cs="Times New Roman"/>
                <w:sz w:val="28"/>
                <w:szCs w:val="28"/>
                <w:shd w:val="clear" w:color="auto" w:fill="FFFFFF"/>
              </w:rPr>
              <w:t xml:space="preserve">Kultūras uzņēmējdarbības, kultūras mantojuma un kultūras sadarbības jomā īstenos </w:t>
            </w:r>
            <w:r w:rsidR="00FC2D54" w:rsidRPr="0022409B">
              <w:rPr>
                <w:rFonts w:ascii="Times New Roman" w:hAnsi="Times New Roman" w:cs="Times New Roman"/>
                <w:sz w:val="28"/>
                <w:szCs w:val="28"/>
                <w:shd w:val="clear" w:color="auto" w:fill="FFFFFF"/>
              </w:rPr>
              <w:t>atklāt</w:t>
            </w:r>
            <w:r w:rsidR="00FC2D54">
              <w:rPr>
                <w:rFonts w:ascii="Times New Roman" w:hAnsi="Times New Roman" w:cs="Times New Roman"/>
                <w:sz w:val="28"/>
                <w:szCs w:val="28"/>
                <w:shd w:val="clear" w:color="auto" w:fill="FFFFFF"/>
              </w:rPr>
              <w:t>o</w:t>
            </w:r>
            <w:r w:rsidR="00FC2D54" w:rsidRPr="0022409B">
              <w:rPr>
                <w:rFonts w:ascii="Times New Roman" w:hAnsi="Times New Roman" w:cs="Times New Roman"/>
                <w:sz w:val="28"/>
                <w:szCs w:val="28"/>
                <w:shd w:val="clear" w:color="auto" w:fill="FFFFFF"/>
              </w:rPr>
              <w:t xml:space="preserve"> </w:t>
            </w:r>
            <w:r w:rsidRPr="0022409B">
              <w:rPr>
                <w:rFonts w:ascii="Times New Roman" w:hAnsi="Times New Roman" w:cs="Times New Roman"/>
                <w:sz w:val="28"/>
                <w:szCs w:val="28"/>
                <w:shd w:val="clear" w:color="auto" w:fill="FFFFFF"/>
              </w:rPr>
              <w:t xml:space="preserve">projektu </w:t>
            </w:r>
            <w:r w:rsidR="00FC2D54" w:rsidRPr="0022409B">
              <w:rPr>
                <w:rFonts w:ascii="Times New Roman" w:hAnsi="Times New Roman" w:cs="Times New Roman"/>
                <w:sz w:val="28"/>
                <w:szCs w:val="28"/>
                <w:shd w:val="clear" w:color="auto" w:fill="FFFFFF"/>
              </w:rPr>
              <w:t>konkurs</w:t>
            </w:r>
            <w:r w:rsidR="00FC2D54">
              <w:rPr>
                <w:rFonts w:ascii="Times New Roman" w:hAnsi="Times New Roman" w:cs="Times New Roman"/>
                <w:sz w:val="28"/>
                <w:szCs w:val="28"/>
                <w:shd w:val="clear" w:color="auto" w:fill="FFFFFF"/>
              </w:rPr>
              <w:t>u</w:t>
            </w:r>
            <w:r w:rsidR="00FC2D54" w:rsidRPr="0022409B">
              <w:rPr>
                <w:rFonts w:ascii="Times New Roman" w:hAnsi="Times New Roman" w:cs="Times New Roman"/>
                <w:sz w:val="28"/>
                <w:szCs w:val="28"/>
                <w:shd w:val="clear" w:color="auto" w:fill="FFFFFF"/>
              </w:rPr>
              <w:t xml:space="preserve"> </w:t>
            </w:r>
            <w:r w:rsidRPr="0022409B">
              <w:rPr>
                <w:rFonts w:ascii="Times New Roman" w:hAnsi="Times New Roman" w:cs="Times New Roman"/>
                <w:sz w:val="28"/>
                <w:szCs w:val="28"/>
                <w:shd w:val="clear" w:color="auto" w:fill="FFFFFF"/>
              </w:rPr>
              <w:t>divās kārtās ar mērķi uzlabot pieejamību profesionālajai laikmetīgajai mākslai un kultūrai Latvijas reģionos, atbalstot profesionālās laikmetīgās mākslas un kultūras produktu radīšanu un veicinot auditorijas attīstības un kultūras izpratnes un izpausmju kompetenču uzlabošanos visos Latvijas reģionos.</w:t>
            </w:r>
          </w:p>
          <w:p w14:paraId="5465F50F" w14:textId="4050DADE" w:rsidR="00FC2D54" w:rsidRPr="0022409B" w:rsidRDefault="003F230E" w:rsidP="00842ECB">
            <w:pPr>
              <w:widowControl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w:t>
            </w:r>
            <w:r w:rsidRPr="003F230E">
              <w:rPr>
                <w:rFonts w:ascii="Times New Roman" w:eastAsia="Times New Roman" w:hAnsi="Times New Roman" w:cs="Times New Roman"/>
                <w:sz w:val="28"/>
                <w:szCs w:val="28"/>
                <w:lang w:eastAsia="lv-LV"/>
              </w:rPr>
              <w:t>rojekts</w:t>
            </w:r>
            <w:r w:rsidRPr="0022409B">
              <w:rPr>
                <w:rFonts w:ascii="Times New Roman" w:eastAsia="Times New Roman" w:hAnsi="Times New Roman" w:cs="Times New Roman"/>
                <w:sz w:val="28"/>
                <w:szCs w:val="28"/>
                <w:lang w:eastAsia="lv-LV"/>
              </w:rPr>
              <w:t xml:space="preserve"> </w:t>
            </w:r>
            <w:r w:rsidR="005504F2" w:rsidRPr="0022409B">
              <w:rPr>
                <w:rFonts w:ascii="Times New Roman" w:eastAsia="Times New Roman" w:hAnsi="Times New Roman" w:cs="Times New Roman"/>
                <w:sz w:val="28"/>
                <w:szCs w:val="28"/>
                <w:lang w:eastAsia="lv-LV"/>
              </w:rPr>
              <w:t>nosaka</w:t>
            </w:r>
            <w:r w:rsidR="007C73F8" w:rsidRPr="0022409B">
              <w:rPr>
                <w:rFonts w:ascii="Times New Roman" w:eastAsia="Times New Roman" w:hAnsi="Times New Roman" w:cs="Times New Roman"/>
                <w:sz w:val="28"/>
                <w:szCs w:val="28"/>
                <w:lang w:eastAsia="lv-LV"/>
              </w:rPr>
              <w:t xml:space="preserve"> programmas</w:t>
            </w:r>
            <w:r w:rsidR="007209D4" w:rsidRPr="0022409B">
              <w:rPr>
                <w:rFonts w:ascii="Times New Roman" w:eastAsia="Times New Roman" w:hAnsi="Times New Roman" w:cs="Times New Roman"/>
                <w:sz w:val="28"/>
                <w:szCs w:val="28"/>
                <w:lang w:eastAsia="lv-LV"/>
              </w:rPr>
              <w:t xml:space="preserve"> atklātā konkursa</w:t>
            </w:r>
            <w:r w:rsidR="007C73F8" w:rsidRPr="0022409B">
              <w:rPr>
                <w:rFonts w:ascii="Times New Roman" w:eastAsia="Times New Roman" w:hAnsi="Times New Roman" w:cs="Times New Roman"/>
                <w:sz w:val="28"/>
                <w:szCs w:val="28"/>
                <w:lang w:eastAsia="lv-LV"/>
              </w:rPr>
              <w:t xml:space="preserve"> mērķi</w:t>
            </w:r>
            <w:r w:rsidR="005504F2" w:rsidRPr="0022409B">
              <w:rPr>
                <w:rFonts w:ascii="Times New Roman" w:eastAsia="Times New Roman" w:hAnsi="Times New Roman" w:cs="Times New Roman"/>
                <w:sz w:val="28"/>
                <w:szCs w:val="28"/>
                <w:lang w:eastAsia="lv-LV"/>
              </w:rPr>
              <w:t xml:space="preserve">, pieejamo finansējumu, </w:t>
            </w:r>
            <w:r w:rsidR="007209D4" w:rsidRPr="0022409B">
              <w:rPr>
                <w:rFonts w:ascii="Times New Roman" w:eastAsia="Times New Roman" w:hAnsi="Times New Roman" w:cs="Times New Roman"/>
                <w:sz w:val="28"/>
                <w:szCs w:val="28"/>
                <w:lang w:eastAsia="lv-LV"/>
              </w:rPr>
              <w:t>atklātā konkursa projektu atbalstāmās darbības, attiecināmās izmaksas un projektu attiecināmības nosacījumus, prasības projektu iesniegum</w:t>
            </w:r>
            <w:r w:rsidR="00565169">
              <w:rPr>
                <w:rFonts w:ascii="Times New Roman" w:eastAsia="Times New Roman" w:hAnsi="Times New Roman" w:cs="Times New Roman"/>
                <w:sz w:val="28"/>
                <w:szCs w:val="28"/>
                <w:lang w:eastAsia="lv-LV"/>
              </w:rPr>
              <w:t>u</w:t>
            </w:r>
            <w:r w:rsidR="007209D4" w:rsidRPr="0022409B">
              <w:rPr>
                <w:rFonts w:ascii="Times New Roman" w:eastAsia="Times New Roman" w:hAnsi="Times New Roman" w:cs="Times New Roman"/>
                <w:sz w:val="28"/>
                <w:szCs w:val="28"/>
                <w:lang w:eastAsia="lv-LV"/>
              </w:rPr>
              <w:t xml:space="preserve"> iesniedzējiem un projekt</w:t>
            </w:r>
            <w:r w:rsidR="00565169">
              <w:rPr>
                <w:rFonts w:ascii="Times New Roman" w:eastAsia="Times New Roman" w:hAnsi="Times New Roman" w:cs="Times New Roman"/>
                <w:sz w:val="28"/>
                <w:szCs w:val="28"/>
                <w:lang w:eastAsia="lv-LV"/>
              </w:rPr>
              <w:t>u</w:t>
            </w:r>
            <w:r w:rsidR="007209D4" w:rsidRPr="0022409B">
              <w:rPr>
                <w:rFonts w:ascii="Times New Roman" w:eastAsia="Times New Roman" w:hAnsi="Times New Roman" w:cs="Times New Roman"/>
                <w:sz w:val="28"/>
                <w:szCs w:val="28"/>
                <w:lang w:eastAsia="lv-LV"/>
              </w:rPr>
              <w:t xml:space="preserve"> partneriem</w:t>
            </w:r>
            <w:r w:rsidR="007C73F8" w:rsidRPr="0022409B">
              <w:rPr>
                <w:rFonts w:ascii="Times New Roman" w:eastAsia="Times New Roman" w:hAnsi="Times New Roman" w:cs="Times New Roman"/>
                <w:sz w:val="28"/>
                <w:szCs w:val="28"/>
                <w:lang w:eastAsia="lv-LV"/>
              </w:rPr>
              <w:t>,</w:t>
            </w:r>
            <w:r w:rsidR="007209D4" w:rsidRPr="0022409B">
              <w:rPr>
                <w:rFonts w:ascii="Times New Roman" w:eastAsia="Times New Roman" w:hAnsi="Times New Roman" w:cs="Times New Roman"/>
                <w:sz w:val="28"/>
                <w:szCs w:val="28"/>
                <w:lang w:eastAsia="lv-LV"/>
              </w:rPr>
              <w:t xml:space="preserve"> kā arī</w:t>
            </w:r>
            <w:r w:rsidR="007C73F8" w:rsidRPr="0022409B">
              <w:rPr>
                <w:rFonts w:ascii="Times New Roman" w:eastAsia="Times New Roman" w:hAnsi="Times New Roman" w:cs="Times New Roman"/>
                <w:sz w:val="28"/>
                <w:szCs w:val="28"/>
                <w:lang w:eastAsia="lv-LV"/>
              </w:rPr>
              <w:t xml:space="preserve"> projektu līguma </w:t>
            </w:r>
            <w:r w:rsidR="005504F2" w:rsidRPr="0022409B">
              <w:rPr>
                <w:rFonts w:ascii="Times New Roman" w:eastAsia="Times New Roman" w:hAnsi="Times New Roman" w:cs="Times New Roman"/>
                <w:sz w:val="28"/>
                <w:szCs w:val="28"/>
                <w:lang w:eastAsia="lv-LV"/>
              </w:rPr>
              <w:t>grozījumu veikšanas kārtību</w:t>
            </w:r>
            <w:r w:rsidR="007C73F8" w:rsidRPr="0022409B">
              <w:rPr>
                <w:rFonts w:ascii="Times New Roman" w:eastAsia="Times New Roman" w:hAnsi="Times New Roman" w:cs="Times New Roman"/>
                <w:sz w:val="28"/>
                <w:szCs w:val="28"/>
                <w:lang w:eastAsia="lv-LV"/>
              </w:rPr>
              <w:t xml:space="preserve"> un projekta līguma </w:t>
            </w:r>
            <w:r w:rsidR="005504F2" w:rsidRPr="0022409B">
              <w:rPr>
                <w:rFonts w:ascii="Times New Roman" w:eastAsia="Times New Roman" w:hAnsi="Times New Roman" w:cs="Times New Roman"/>
                <w:sz w:val="28"/>
                <w:szCs w:val="28"/>
                <w:lang w:eastAsia="lv-LV"/>
              </w:rPr>
              <w:t>vienpusēja uzteikuma nosacījumus</w:t>
            </w:r>
            <w:r w:rsidR="007209D4" w:rsidRPr="0022409B">
              <w:rPr>
                <w:rFonts w:ascii="Times New Roman" w:eastAsia="Times New Roman" w:hAnsi="Times New Roman" w:cs="Times New Roman"/>
                <w:sz w:val="28"/>
                <w:szCs w:val="28"/>
                <w:lang w:eastAsia="lv-LV"/>
              </w:rPr>
              <w:t xml:space="preserve">. </w:t>
            </w:r>
            <w:r w:rsidR="007C73F8" w:rsidRPr="0022409B">
              <w:rPr>
                <w:rFonts w:ascii="Times New Roman" w:eastAsia="Times New Roman" w:hAnsi="Times New Roman" w:cs="Times New Roman"/>
                <w:sz w:val="28"/>
                <w:szCs w:val="28"/>
                <w:lang w:eastAsia="lv-LV"/>
              </w:rPr>
              <w:t xml:space="preserve"> </w:t>
            </w:r>
          </w:p>
          <w:p w14:paraId="13EF48E4" w14:textId="457CD81C" w:rsidR="00FC2D54" w:rsidRDefault="008A427E" w:rsidP="00842ECB">
            <w:pPr>
              <w:widowControl w:val="0"/>
              <w:jc w:val="both"/>
              <w:rPr>
                <w:rFonts w:ascii="Times New Roman" w:hAnsi="Times New Roman" w:cs="Times New Roman"/>
                <w:sz w:val="28"/>
                <w:szCs w:val="28"/>
                <w:shd w:val="clear" w:color="auto" w:fill="FFFFFF"/>
              </w:rPr>
            </w:pPr>
            <w:r w:rsidRPr="0022409B">
              <w:rPr>
                <w:rFonts w:ascii="Times New Roman" w:hAnsi="Times New Roman" w:cs="Times New Roman"/>
                <w:sz w:val="28"/>
                <w:szCs w:val="28"/>
                <w:shd w:val="clear" w:color="auto" w:fill="FFFFFF"/>
              </w:rPr>
              <w:t>Latvijā šobrīd ir jārisina vairāki reģionāli izaicinājumi, piemēram, iedzīvotāju skaita samazināšanās, ievērojamas reģionālas atšķirības un vāja reģionu starptautiskā konkurētspēj</w:t>
            </w:r>
            <w:r w:rsidR="00452166" w:rsidRPr="0022409B">
              <w:rPr>
                <w:rFonts w:ascii="Times New Roman" w:hAnsi="Times New Roman" w:cs="Times New Roman"/>
                <w:sz w:val="28"/>
                <w:szCs w:val="28"/>
                <w:shd w:val="clear" w:color="auto" w:fill="FFFFFF"/>
              </w:rPr>
              <w:t>a.</w:t>
            </w:r>
            <w:r w:rsidR="00FC2D54">
              <w:rPr>
                <w:rFonts w:ascii="Times New Roman" w:hAnsi="Times New Roman" w:cs="Times New Roman"/>
                <w:sz w:val="28"/>
                <w:szCs w:val="28"/>
                <w:shd w:val="clear" w:color="auto" w:fill="FFFFFF"/>
              </w:rPr>
              <w:t xml:space="preserve"> </w:t>
            </w:r>
            <w:r w:rsidRPr="0022409B">
              <w:rPr>
                <w:rFonts w:ascii="Times New Roman" w:hAnsi="Times New Roman" w:cs="Times New Roman"/>
                <w:sz w:val="28"/>
                <w:szCs w:val="28"/>
                <w:shd w:val="clear" w:color="auto" w:fill="FFFFFF"/>
              </w:rPr>
              <w:t xml:space="preserve">Pieejamība profesionālajai laikmetīgajai mākslai un kultūrai ir būtisks aspekts, lai </w:t>
            </w:r>
            <w:r w:rsidR="00565169">
              <w:rPr>
                <w:rFonts w:ascii="Times New Roman" w:hAnsi="Times New Roman" w:cs="Times New Roman"/>
                <w:sz w:val="28"/>
                <w:szCs w:val="28"/>
                <w:shd w:val="clear" w:color="auto" w:fill="FFFFFF"/>
              </w:rPr>
              <w:t>veici</w:t>
            </w:r>
            <w:r w:rsidR="00565169" w:rsidRPr="0022409B">
              <w:rPr>
                <w:rFonts w:ascii="Times New Roman" w:hAnsi="Times New Roman" w:cs="Times New Roman"/>
                <w:sz w:val="28"/>
                <w:szCs w:val="28"/>
                <w:shd w:val="clear" w:color="auto" w:fill="FFFFFF"/>
              </w:rPr>
              <w:t xml:space="preserve">nātu </w:t>
            </w:r>
            <w:r w:rsidRPr="0022409B">
              <w:rPr>
                <w:rFonts w:ascii="Times New Roman" w:hAnsi="Times New Roman" w:cs="Times New Roman"/>
                <w:sz w:val="28"/>
                <w:szCs w:val="28"/>
                <w:shd w:val="clear" w:color="auto" w:fill="FFFFFF"/>
              </w:rPr>
              <w:t>reģionālo konkurētspēju un sociālo saliedētību, kā arī personīgo izaugsmi, kritisko domāšanu, līdzdalību un demokrātiskās vērtības. Pieejamība profesionālajai laikmetīgajai mākslai un kultūrai, kā arī līdzdalība radošajos procesos veicinās izpratni par starpkultūru kompetencēm un viedokļu daudzveidību.</w:t>
            </w:r>
            <w:r w:rsidR="00FC2D54">
              <w:rPr>
                <w:rFonts w:ascii="Times New Roman" w:hAnsi="Times New Roman" w:cs="Times New Roman"/>
                <w:sz w:val="28"/>
                <w:szCs w:val="28"/>
                <w:shd w:val="clear" w:color="auto" w:fill="FFFFFF"/>
              </w:rPr>
              <w:t xml:space="preserve"> </w:t>
            </w:r>
            <w:r w:rsidR="00FF5C28" w:rsidRPr="0022409B">
              <w:rPr>
                <w:rFonts w:ascii="Times New Roman" w:hAnsi="Times New Roman" w:cs="Times New Roman"/>
                <w:sz w:val="28"/>
                <w:szCs w:val="28"/>
                <w:shd w:val="clear" w:color="auto" w:fill="FFFFFF"/>
              </w:rPr>
              <w:t xml:space="preserve">Ar </w:t>
            </w:r>
            <w:r w:rsidR="00FB4D4C" w:rsidRPr="0022409B">
              <w:rPr>
                <w:rFonts w:ascii="Times New Roman" w:hAnsi="Times New Roman" w:cs="Times New Roman"/>
                <w:sz w:val="28"/>
                <w:szCs w:val="28"/>
                <w:shd w:val="clear" w:color="auto" w:fill="FFFFFF"/>
              </w:rPr>
              <w:t>profesionāl</w:t>
            </w:r>
            <w:r w:rsidR="00193B23" w:rsidRPr="0022409B">
              <w:rPr>
                <w:rFonts w:ascii="Times New Roman" w:hAnsi="Times New Roman" w:cs="Times New Roman"/>
                <w:sz w:val="28"/>
                <w:szCs w:val="28"/>
                <w:shd w:val="clear" w:color="auto" w:fill="FFFFFF"/>
              </w:rPr>
              <w:t>iem</w:t>
            </w:r>
            <w:r w:rsidR="00FB4D4C" w:rsidRPr="0022409B">
              <w:rPr>
                <w:rFonts w:ascii="Times New Roman" w:hAnsi="Times New Roman" w:cs="Times New Roman"/>
                <w:sz w:val="28"/>
                <w:szCs w:val="28"/>
                <w:shd w:val="clear" w:color="auto" w:fill="FFFFFF"/>
              </w:rPr>
              <w:t xml:space="preserve"> </w:t>
            </w:r>
            <w:r w:rsidR="00FF5C28" w:rsidRPr="0022409B">
              <w:rPr>
                <w:rFonts w:ascii="Times New Roman" w:hAnsi="Times New Roman" w:cs="Times New Roman"/>
                <w:sz w:val="28"/>
                <w:szCs w:val="28"/>
                <w:shd w:val="clear" w:color="auto" w:fill="FFFFFF"/>
              </w:rPr>
              <w:t>laikmetīg</w:t>
            </w:r>
            <w:r w:rsidR="00193B23" w:rsidRPr="0022409B">
              <w:rPr>
                <w:rFonts w:ascii="Times New Roman" w:hAnsi="Times New Roman" w:cs="Times New Roman"/>
                <w:sz w:val="28"/>
                <w:szCs w:val="28"/>
                <w:shd w:val="clear" w:color="auto" w:fill="FFFFFF"/>
              </w:rPr>
              <w:t>iem</w:t>
            </w:r>
            <w:r w:rsidR="00FF5C28" w:rsidRPr="0022409B">
              <w:rPr>
                <w:rFonts w:ascii="Times New Roman" w:hAnsi="Times New Roman" w:cs="Times New Roman"/>
                <w:sz w:val="28"/>
                <w:szCs w:val="28"/>
                <w:shd w:val="clear" w:color="auto" w:fill="FFFFFF"/>
              </w:rPr>
              <w:t xml:space="preserve"> māksl</w:t>
            </w:r>
            <w:r w:rsidR="00193B23" w:rsidRPr="0022409B">
              <w:rPr>
                <w:rFonts w:ascii="Times New Roman" w:hAnsi="Times New Roman" w:cs="Times New Roman"/>
                <w:sz w:val="28"/>
                <w:szCs w:val="28"/>
                <w:shd w:val="clear" w:color="auto" w:fill="FFFFFF"/>
              </w:rPr>
              <w:t>as</w:t>
            </w:r>
            <w:r w:rsidR="00FF5C28" w:rsidRPr="0022409B">
              <w:rPr>
                <w:rFonts w:ascii="Times New Roman" w:hAnsi="Times New Roman" w:cs="Times New Roman"/>
                <w:sz w:val="28"/>
                <w:szCs w:val="28"/>
                <w:shd w:val="clear" w:color="auto" w:fill="FFFFFF"/>
              </w:rPr>
              <w:t xml:space="preserve"> un kultūr</w:t>
            </w:r>
            <w:r w:rsidR="00193B23" w:rsidRPr="0022409B">
              <w:rPr>
                <w:rFonts w:ascii="Times New Roman" w:hAnsi="Times New Roman" w:cs="Times New Roman"/>
                <w:sz w:val="28"/>
                <w:szCs w:val="28"/>
                <w:shd w:val="clear" w:color="auto" w:fill="FFFFFF"/>
              </w:rPr>
              <w:t xml:space="preserve">as produktiem </w:t>
            </w:r>
            <w:r w:rsidR="00FF5C28" w:rsidRPr="0022409B">
              <w:rPr>
                <w:rFonts w:ascii="Times New Roman" w:hAnsi="Times New Roman" w:cs="Times New Roman"/>
                <w:sz w:val="28"/>
                <w:szCs w:val="28"/>
                <w:shd w:val="clear" w:color="auto" w:fill="FFFFFF"/>
              </w:rPr>
              <w:t>šīs programmas ietvaros sapr</w:t>
            </w:r>
            <w:r w:rsidR="00D343CA">
              <w:rPr>
                <w:rFonts w:ascii="Times New Roman" w:hAnsi="Times New Roman" w:cs="Times New Roman"/>
                <w:sz w:val="28"/>
                <w:szCs w:val="28"/>
                <w:shd w:val="clear" w:color="auto" w:fill="FFFFFF"/>
              </w:rPr>
              <w:t>o</w:t>
            </w:r>
            <w:r w:rsidR="00FF5C28" w:rsidRPr="0022409B">
              <w:rPr>
                <w:rFonts w:ascii="Times New Roman" w:hAnsi="Times New Roman" w:cs="Times New Roman"/>
                <w:sz w:val="28"/>
                <w:szCs w:val="28"/>
                <w:shd w:val="clear" w:color="auto" w:fill="FFFFFF"/>
              </w:rPr>
              <w:t>t tād</w:t>
            </w:r>
            <w:r w:rsidR="00FC2D54">
              <w:rPr>
                <w:rFonts w:ascii="Times New Roman" w:hAnsi="Times New Roman" w:cs="Times New Roman"/>
                <w:sz w:val="28"/>
                <w:szCs w:val="28"/>
                <w:shd w:val="clear" w:color="auto" w:fill="FFFFFF"/>
              </w:rPr>
              <w:t>us</w:t>
            </w:r>
            <w:r w:rsidR="00FF5C28" w:rsidRPr="0022409B">
              <w:rPr>
                <w:rFonts w:ascii="Times New Roman" w:hAnsi="Times New Roman" w:cs="Times New Roman"/>
                <w:sz w:val="28"/>
                <w:szCs w:val="28"/>
                <w:shd w:val="clear" w:color="auto" w:fill="FFFFFF"/>
              </w:rPr>
              <w:t xml:space="preserve"> kultūras un mākslas </w:t>
            </w:r>
            <w:r w:rsidR="00FB4D4C" w:rsidRPr="0022409B">
              <w:rPr>
                <w:rFonts w:ascii="Times New Roman" w:hAnsi="Times New Roman" w:cs="Times New Roman"/>
                <w:sz w:val="28"/>
                <w:szCs w:val="28"/>
                <w:shd w:val="clear" w:color="auto" w:fill="FFFFFF"/>
              </w:rPr>
              <w:t>produkt</w:t>
            </w:r>
            <w:r w:rsidR="00FC2D54">
              <w:rPr>
                <w:rFonts w:ascii="Times New Roman" w:hAnsi="Times New Roman" w:cs="Times New Roman"/>
                <w:sz w:val="28"/>
                <w:szCs w:val="28"/>
                <w:shd w:val="clear" w:color="auto" w:fill="FFFFFF"/>
              </w:rPr>
              <w:t>us</w:t>
            </w:r>
            <w:r w:rsidR="00FF5C28" w:rsidRPr="0022409B">
              <w:rPr>
                <w:rFonts w:ascii="Times New Roman" w:hAnsi="Times New Roman" w:cs="Times New Roman"/>
                <w:sz w:val="28"/>
                <w:szCs w:val="28"/>
                <w:shd w:val="clear" w:color="auto" w:fill="FFFFFF"/>
              </w:rPr>
              <w:t>, kas</w:t>
            </w:r>
            <w:r w:rsidR="006D1C76" w:rsidRPr="0022409B">
              <w:rPr>
                <w:rFonts w:ascii="Times New Roman" w:hAnsi="Times New Roman" w:cs="Times New Roman"/>
                <w:sz w:val="28"/>
                <w:szCs w:val="28"/>
                <w:shd w:val="clear" w:color="auto" w:fill="FFFFFF"/>
              </w:rPr>
              <w:t xml:space="preserve"> </w:t>
            </w:r>
            <w:r w:rsidR="000800E8" w:rsidRPr="0022409B">
              <w:rPr>
                <w:rFonts w:ascii="Times New Roman" w:hAnsi="Times New Roman" w:cs="Times New Roman"/>
                <w:sz w:val="28"/>
                <w:szCs w:val="28"/>
                <w:shd w:val="clear" w:color="auto" w:fill="FFFFFF"/>
              </w:rPr>
              <w:t>ir</w:t>
            </w:r>
            <w:r w:rsidR="00FB4D4C" w:rsidRPr="0022409B">
              <w:rPr>
                <w:rFonts w:ascii="Times New Roman" w:hAnsi="Times New Roman" w:cs="Times New Roman"/>
                <w:sz w:val="28"/>
                <w:szCs w:val="28"/>
                <w:shd w:val="clear" w:color="auto" w:fill="FFFFFF"/>
              </w:rPr>
              <w:t xml:space="preserve"> laikmetam </w:t>
            </w:r>
            <w:r w:rsidR="00FB4D4C" w:rsidRPr="0022409B">
              <w:rPr>
                <w:rFonts w:ascii="Times New Roman" w:hAnsi="Times New Roman" w:cs="Times New Roman"/>
                <w:color w:val="000000" w:themeColor="text1"/>
                <w:sz w:val="28"/>
                <w:szCs w:val="28"/>
                <w:shd w:val="clear" w:color="auto" w:fill="FFFFFF"/>
              </w:rPr>
              <w:t>atbilstoš</w:t>
            </w:r>
            <w:r w:rsidR="000800E8" w:rsidRPr="0022409B">
              <w:rPr>
                <w:rFonts w:ascii="Times New Roman" w:hAnsi="Times New Roman" w:cs="Times New Roman"/>
                <w:color w:val="000000" w:themeColor="text1"/>
                <w:sz w:val="28"/>
                <w:szCs w:val="28"/>
                <w:shd w:val="clear" w:color="auto" w:fill="FFFFFF"/>
              </w:rPr>
              <w:t>i</w:t>
            </w:r>
            <w:r w:rsidR="00FB4D4C" w:rsidRPr="0022409B">
              <w:rPr>
                <w:rFonts w:ascii="Times New Roman" w:hAnsi="Times New Roman" w:cs="Times New Roman"/>
                <w:color w:val="000000" w:themeColor="text1"/>
                <w:sz w:val="28"/>
                <w:szCs w:val="28"/>
                <w:shd w:val="clear" w:color="auto" w:fill="FFFFFF"/>
              </w:rPr>
              <w:t xml:space="preserve">, </w:t>
            </w:r>
            <w:r w:rsidR="00193B23" w:rsidRPr="0022409B">
              <w:rPr>
                <w:rFonts w:ascii="Times New Roman" w:hAnsi="Times New Roman" w:cs="Times New Roman"/>
                <w:sz w:val="28"/>
                <w:szCs w:val="28"/>
                <w:shd w:val="clear" w:color="auto" w:fill="FFFFFF"/>
              </w:rPr>
              <w:t xml:space="preserve">veicina kultūras izpratni, līdzpārdzīvojumu un kritisko domāšanu, </w:t>
            </w:r>
            <w:r w:rsidR="006D1C76" w:rsidRPr="0022409B">
              <w:rPr>
                <w:rFonts w:ascii="Times New Roman" w:hAnsi="Times New Roman" w:cs="Times New Roman"/>
                <w:sz w:val="28"/>
                <w:szCs w:val="28"/>
                <w:shd w:val="clear" w:color="auto" w:fill="FFFFFF"/>
              </w:rPr>
              <w:t>dod iespēju</w:t>
            </w:r>
            <w:r w:rsidR="00FB4D4C" w:rsidRPr="0022409B">
              <w:rPr>
                <w:rFonts w:ascii="Times New Roman" w:hAnsi="Times New Roman" w:cs="Times New Roman"/>
                <w:sz w:val="28"/>
                <w:szCs w:val="28"/>
                <w:shd w:val="clear" w:color="auto" w:fill="FFFFFF"/>
              </w:rPr>
              <w:t xml:space="preserve"> interpretēt </w:t>
            </w:r>
            <w:r w:rsidR="006D1C76" w:rsidRPr="0022409B">
              <w:rPr>
                <w:rFonts w:ascii="Times New Roman" w:hAnsi="Times New Roman" w:cs="Times New Roman"/>
                <w:sz w:val="28"/>
                <w:szCs w:val="28"/>
                <w:shd w:val="clear" w:color="auto" w:fill="FFFFFF"/>
              </w:rPr>
              <w:t xml:space="preserve">mākslas </w:t>
            </w:r>
            <w:r w:rsidR="006D1C76" w:rsidRPr="0022409B">
              <w:rPr>
                <w:rFonts w:ascii="Times New Roman" w:hAnsi="Times New Roman" w:cs="Times New Roman"/>
                <w:sz w:val="28"/>
                <w:szCs w:val="28"/>
                <w:shd w:val="clear" w:color="auto" w:fill="FFFFFF"/>
              </w:rPr>
              <w:lastRenderedPageBreak/>
              <w:t>un kultūras produktu</w:t>
            </w:r>
            <w:r w:rsidR="000644F3" w:rsidRPr="0022409B">
              <w:rPr>
                <w:rFonts w:ascii="Times New Roman" w:hAnsi="Times New Roman" w:cs="Times New Roman"/>
                <w:sz w:val="28"/>
                <w:szCs w:val="28"/>
                <w:shd w:val="clear" w:color="auto" w:fill="FFFFFF"/>
              </w:rPr>
              <w:t>,</w:t>
            </w:r>
            <w:r w:rsidR="00193B23" w:rsidRPr="0022409B">
              <w:rPr>
                <w:rFonts w:ascii="Times New Roman" w:hAnsi="Times New Roman" w:cs="Times New Roman"/>
                <w:sz w:val="28"/>
                <w:szCs w:val="28"/>
                <w:shd w:val="clear" w:color="auto" w:fill="FFFFFF"/>
              </w:rPr>
              <w:t xml:space="preserve"> </w:t>
            </w:r>
            <w:r w:rsidR="000800E8" w:rsidRPr="0022409B">
              <w:rPr>
                <w:rFonts w:ascii="Times New Roman" w:hAnsi="Times New Roman" w:cs="Times New Roman"/>
                <w:sz w:val="28"/>
                <w:szCs w:val="28"/>
                <w:shd w:val="clear" w:color="auto" w:fill="FFFFFF"/>
              </w:rPr>
              <w:t>ietver</w:t>
            </w:r>
            <w:r w:rsidR="00193B23" w:rsidRPr="0022409B">
              <w:rPr>
                <w:rFonts w:ascii="Times New Roman" w:hAnsi="Times New Roman" w:cs="Times New Roman"/>
                <w:sz w:val="28"/>
                <w:szCs w:val="28"/>
                <w:shd w:val="clear" w:color="auto" w:fill="FFFFFF"/>
              </w:rPr>
              <w:t xml:space="preserve"> aktuāla</w:t>
            </w:r>
            <w:r w:rsidR="000800E8" w:rsidRPr="0022409B">
              <w:rPr>
                <w:rFonts w:ascii="Times New Roman" w:hAnsi="Times New Roman" w:cs="Times New Roman"/>
                <w:sz w:val="28"/>
                <w:szCs w:val="28"/>
                <w:shd w:val="clear" w:color="auto" w:fill="FFFFFF"/>
              </w:rPr>
              <w:t>s</w:t>
            </w:r>
            <w:r w:rsidR="000644F3" w:rsidRPr="0022409B">
              <w:rPr>
                <w:rFonts w:ascii="Times New Roman" w:hAnsi="Times New Roman" w:cs="Times New Roman"/>
                <w:sz w:val="28"/>
                <w:szCs w:val="28"/>
                <w:shd w:val="clear" w:color="auto" w:fill="FFFFFF"/>
              </w:rPr>
              <w:t xml:space="preserve"> tēm</w:t>
            </w:r>
            <w:r w:rsidR="000800E8" w:rsidRPr="0022409B">
              <w:rPr>
                <w:rFonts w:ascii="Times New Roman" w:hAnsi="Times New Roman" w:cs="Times New Roman"/>
                <w:sz w:val="28"/>
                <w:szCs w:val="28"/>
                <w:shd w:val="clear" w:color="auto" w:fill="FFFFFF"/>
              </w:rPr>
              <w:t>as</w:t>
            </w:r>
            <w:r w:rsidR="000644F3" w:rsidRPr="0022409B">
              <w:rPr>
                <w:rFonts w:ascii="Times New Roman" w:hAnsi="Times New Roman" w:cs="Times New Roman"/>
                <w:sz w:val="28"/>
                <w:szCs w:val="28"/>
                <w:shd w:val="clear" w:color="auto" w:fill="FFFFFF"/>
              </w:rPr>
              <w:t xml:space="preserve">, </w:t>
            </w:r>
            <w:r w:rsidR="000800E8" w:rsidRPr="0022409B">
              <w:rPr>
                <w:rFonts w:ascii="Times New Roman" w:hAnsi="Times New Roman" w:cs="Times New Roman"/>
                <w:sz w:val="28"/>
                <w:szCs w:val="28"/>
                <w:shd w:val="clear" w:color="auto" w:fill="FFFFFF"/>
              </w:rPr>
              <w:t xml:space="preserve">runā par sabiedrībai svarīgiem </w:t>
            </w:r>
            <w:r w:rsidR="00193B23" w:rsidRPr="0022409B">
              <w:rPr>
                <w:rFonts w:ascii="Times New Roman" w:hAnsi="Times New Roman" w:cs="Times New Roman"/>
                <w:sz w:val="28"/>
                <w:szCs w:val="28"/>
                <w:shd w:val="clear" w:color="auto" w:fill="FFFFFF"/>
              </w:rPr>
              <w:t xml:space="preserve">kopīgiem </w:t>
            </w:r>
            <w:r w:rsidR="000644F3" w:rsidRPr="0022409B">
              <w:rPr>
                <w:rFonts w:ascii="Times New Roman" w:hAnsi="Times New Roman" w:cs="Times New Roman"/>
                <w:sz w:val="28"/>
                <w:szCs w:val="28"/>
                <w:shd w:val="clear" w:color="auto" w:fill="FFFFFF"/>
              </w:rPr>
              <w:t>uzskatiem un vērtībām</w:t>
            </w:r>
            <w:r w:rsidR="00193B23" w:rsidRPr="0022409B">
              <w:rPr>
                <w:rFonts w:ascii="Times New Roman" w:hAnsi="Times New Roman" w:cs="Times New Roman"/>
                <w:sz w:val="28"/>
                <w:szCs w:val="28"/>
                <w:shd w:val="clear" w:color="auto" w:fill="FFFFFF"/>
              </w:rPr>
              <w:t xml:space="preserve">, kā arī </w:t>
            </w:r>
            <w:r w:rsidR="006D1C76" w:rsidRPr="0022409B">
              <w:rPr>
                <w:rFonts w:ascii="Times New Roman" w:hAnsi="Times New Roman" w:cs="Times New Roman"/>
                <w:sz w:val="28"/>
                <w:szCs w:val="28"/>
                <w:shd w:val="clear" w:color="auto" w:fill="FFFFFF"/>
              </w:rPr>
              <w:t>nav amatiermāksla</w:t>
            </w:r>
            <w:r w:rsidR="00193B23" w:rsidRPr="0022409B">
              <w:rPr>
                <w:rFonts w:ascii="Times New Roman" w:hAnsi="Times New Roman" w:cs="Times New Roman"/>
                <w:sz w:val="28"/>
                <w:szCs w:val="28"/>
                <w:shd w:val="clear" w:color="auto" w:fill="FFFFFF"/>
              </w:rPr>
              <w:t>.</w:t>
            </w:r>
            <w:r w:rsidR="00FC2D54">
              <w:rPr>
                <w:rFonts w:ascii="Times New Roman" w:hAnsi="Times New Roman" w:cs="Times New Roman"/>
                <w:sz w:val="28"/>
                <w:szCs w:val="28"/>
                <w:shd w:val="clear" w:color="auto" w:fill="FFFFFF"/>
              </w:rPr>
              <w:t xml:space="preserve"> </w:t>
            </w:r>
          </w:p>
          <w:p w14:paraId="24F27E5B" w14:textId="3ED19239" w:rsidR="00FC2D54" w:rsidRPr="0022409B" w:rsidRDefault="00FC2D54" w:rsidP="00842ECB">
            <w:pPr>
              <w:widowControl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w:t>
            </w:r>
            <w:bookmarkStart w:id="1" w:name="_Hlk38966036"/>
            <w:r w:rsidR="00E87885" w:rsidRPr="0022409B">
              <w:rPr>
                <w:rFonts w:ascii="Times New Roman" w:hAnsi="Times New Roman" w:cs="Times New Roman"/>
                <w:sz w:val="28"/>
                <w:szCs w:val="28"/>
                <w:shd w:val="clear" w:color="auto" w:fill="FFFFFF"/>
              </w:rPr>
              <w:t xml:space="preserve">rojekta iesnieguma iesniedzējs </w:t>
            </w:r>
            <w:r w:rsidR="00E26661" w:rsidRPr="0022409B">
              <w:rPr>
                <w:rFonts w:ascii="Times New Roman" w:hAnsi="Times New Roman" w:cs="Times New Roman"/>
                <w:sz w:val="28"/>
                <w:szCs w:val="28"/>
                <w:shd w:val="clear" w:color="auto" w:fill="FFFFFF"/>
              </w:rPr>
              <w:t>var būt</w:t>
            </w:r>
            <w:r w:rsidR="00E87885" w:rsidRPr="0022409B">
              <w:rPr>
                <w:rFonts w:ascii="Times New Roman" w:hAnsi="Times New Roman" w:cs="Times New Roman"/>
                <w:sz w:val="28"/>
                <w:szCs w:val="28"/>
                <w:shd w:val="clear" w:color="auto" w:fill="FFFFFF"/>
              </w:rPr>
              <w:t xml:space="preserve"> Latvijas Republikas publisko vai privāto tiesību juridiskā persona, tiešās vai pastarpinātās pārvaldes iestāde, </w:t>
            </w:r>
            <w:bookmarkStart w:id="2" w:name="_Hlk38966272"/>
            <w:bookmarkEnd w:id="1"/>
            <w:r w:rsidR="00E87885" w:rsidRPr="0022409B">
              <w:rPr>
                <w:rFonts w:ascii="Times New Roman" w:hAnsi="Times New Roman" w:cs="Times New Roman"/>
                <w:sz w:val="28"/>
                <w:szCs w:val="28"/>
                <w:shd w:val="clear" w:color="auto" w:fill="FFFFFF"/>
              </w:rPr>
              <w:t xml:space="preserve">kuru pamatdarbība ir kultūras vai radošajā nozarē </w:t>
            </w:r>
            <w:bookmarkEnd w:id="2"/>
            <w:r w:rsidR="00E87885" w:rsidRPr="0022409B">
              <w:rPr>
                <w:rFonts w:ascii="Times New Roman" w:hAnsi="Times New Roman" w:cs="Times New Roman"/>
                <w:sz w:val="28"/>
                <w:szCs w:val="28"/>
                <w:shd w:val="clear" w:color="auto" w:fill="FFFFFF"/>
              </w:rPr>
              <w:t xml:space="preserve">saskaņā ar Eiropas Parlamenta un Padomes </w:t>
            </w:r>
            <w:r w:rsidRPr="0094185B">
              <w:rPr>
                <w:rFonts w:ascii="Times New Roman" w:hAnsi="Times New Roman" w:cs="Times New Roman"/>
                <w:sz w:val="28"/>
                <w:szCs w:val="28"/>
                <w:shd w:val="clear" w:color="auto" w:fill="FFFFFF"/>
              </w:rPr>
              <w:t>2013.gada 11.decembr</w:t>
            </w:r>
            <w:r>
              <w:rPr>
                <w:rFonts w:ascii="Times New Roman" w:hAnsi="Times New Roman" w:cs="Times New Roman"/>
                <w:sz w:val="28"/>
                <w:szCs w:val="28"/>
                <w:shd w:val="clear" w:color="auto" w:fill="FFFFFF"/>
              </w:rPr>
              <w:t>a</w:t>
            </w:r>
            <w:r w:rsidRPr="00FC2D54">
              <w:rPr>
                <w:rFonts w:ascii="Times New Roman" w:hAnsi="Times New Roman" w:cs="Times New Roman"/>
                <w:sz w:val="28"/>
                <w:szCs w:val="28"/>
                <w:shd w:val="clear" w:color="auto" w:fill="FFFFFF"/>
              </w:rPr>
              <w:t xml:space="preserve"> </w:t>
            </w:r>
            <w:r w:rsidR="00E87885" w:rsidRPr="0022409B">
              <w:rPr>
                <w:rFonts w:ascii="Times New Roman" w:hAnsi="Times New Roman" w:cs="Times New Roman"/>
                <w:sz w:val="28"/>
                <w:szCs w:val="28"/>
                <w:shd w:val="clear" w:color="auto" w:fill="FFFFFF"/>
              </w:rPr>
              <w:t>Regula</w:t>
            </w:r>
            <w:r>
              <w:rPr>
                <w:rFonts w:ascii="Times New Roman" w:hAnsi="Times New Roman" w:cs="Times New Roman"/>
                <w:sz w:val="28"/>
                <w:szCs w:val="28"/>
                <w:shd w:val="clear" w:color="auto" w:fill="FFFFFF"/>
              </w:rPr>
              <w:t>s</w:t>
            </w:r>
            <w:r w:rsidR="00E87885" w:rsidRPr="0022409B">
              <w:rPr>
                <w:rFonts w:ascii="Times New Roman" w:hAnsi="Times New Roman" w:cs="Times New Roman"/>
                <w:sz w:val="28"/>
                <w:szCs w:val="28"/>
                <w:shd w:val="clear" w:color="auto" w:fill="FFFFFF"/>
              </w:rPr>
              <w:t xml:space="preserve"> (ES) Nr.1295/2013</w:t>
            </w:r>
            <w:r>
              <w:rPr>
                <w:rFonts w:ascii="Times New Roman" w:hAnsi="Times New Roman" w:cs="Times New Roman"/>
                <w:sz w:val="28"/>
                <w:szCs w:val="28"/>
                <w:shd w:val="clear" w:color="auto" w:fill="FFFFFF"/>
              </w:rPr>
              <w:t>,</w:t>
            </w:r>
            <w:r w:rsidR="00E87885" w:rsidRPr="0022409B">
              <w:rPr>
                <w:rFonts w:ascii="Times New Roman" w:hAnsi="Times New Roman" w:cs="Times New Roman"/>
                <w:sz w:val="28"/>
                <w:szCs w:val="28"/>
                <w:shd w:val="clear" w:color="auto" w:fill="FFFFFF"/>
              </w:rPr>
              <w:t xml:space="preserve"> ar ko izveido programmu </w:t>
            </w:r>
            <w:r w:rsidR="007A1EBC">
              <w:rPr>
                <w:rFonts w:ascii="Times New Roman" w:hAnsi="Times New Roman" w:cs="Times New Roman"/>
                <w:sz w:val="28"/>
                <w:szCs w:val="28"/>
                <w:shd w:val="clear" w:color="auto" w:fill="FFFFFF"/>
              </w:rPr>
              <w:t>“</w:t>
            </w:r>
            <w:r w:rsidR="00E87885" w:rsidRPr="0022409B">
              <w:rPr>
                <w:rFonts w:ascii="Times New Roman" w:hAnsi="Times New Roman" w:cs="Times New Roman"/>
                <w:sz w:val="28"/>
                <w:szCs w:val="28"/>
                <w:shd w:val="clear" w:color="auto" w:fill="FFFFFF"/>
              </w:rPr>
              <w:t>Radošā Eiropa</w:t>
            </w:r>
            <w:r>
              <w:rPr>
                <w:rFonts w:ascii="Times New Roman" w:hAnsi="Times New Roman" w:cs="Times New Roman"/>
                <w:sz w:val="28"/>
                <w:szCs w:val="28"/>
                <w:shd w:val="clear" w:color="auto" w:fill="FFFFFF"/>
              </w:rPr>
              <w:t>”</w:t>
            </w:r>
            <w:r w:rsidR="00E87885" w:rsidRPr="0022409B">
              <w:rPr>
                <w:rFonts w:ascii="Times New Roman" w:hAnsi="Times New Roman" w:cs="Times New Roman"/>
                <w:sz w:val="28"/>
                <w:szCs w:val="28"/>
                <w:shd w:val="clear" w:color="auto" w:fill="FFFFFF"/>
              </w:rPr>
              <w:t xml:space="preserve"> (2014.</w:t>
            </w:r>
            <w:r>
              <w:rPr>
                <w:rFonts w:ascii="Times New Roman" w:hAnsi="Times New Roman" w:cs="Times New Roman"/>
                <w:sz w:val="28"/>
                <w:szCs w:val="28"/>
                <w:shd w:val="clear" w:color="auto" w:fill="FFFFFF"/>
              </w:rPr>
              <w:t> </w:t>
            </w:r>
            <w:r w:rsidR="00E87885" w:rsidRPr="0022409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w:t>
            </w:r>
            <w:r w:rsidR="00E87885" w:rsidRPr="0022409B">
              <w:rPr>
                <w:rFonts w:ascii="Times New Roman" w:hAnsi="Times New Roman" w:cs="Times New Roman"/>
                <w:sz w:val="28"/>
                <w:szCs w:val="28"/>
                <w:shd w:val="clear" w:color="auto" w:fill="FFFFFF"/>
              </w:rPr>
              <w:t>2020.gads) un atceļ Lēmumu Nr.1718/2006/EK, Lēmumu Nr.1855/2006/EK un Lēmumu Nr.1041/2009/EK</w:t>
            </w:r>
            <w:r w:rsidR="00E456AE">
              <w:rPr>
                <w:rFonts w:ascii="Times New Roman" w:hAnsi="Times New Roman" w:cs="Times New Roman"/>
                <w:sz w:val="28"/>
                <w:szCs w:val="28"/>
                <w:shd w:val="clear" w:color="auto" w:fill="FFFFFF"/>
              </w:rPr>
              <w:t xml:space="preserve"> (</w:t>
            </w:r>
            <w:r w:rsidR="00E456AE" w:rsidRPr="00B52256">
              <w:rPr>
                <w:rFonts w:ascii="Times New Roman" w:eastAsia="Times New Roman" w:hAnsi="Times New Roman" w:cs="Times New Roman"/>
                <w:sz w:val="28"/>
                <w:szCs w:val="28"/>
                <w:lang w:eastAsia="lv-LV"/>
              </w:rPr>
              <w:t>turpmāk – Regula Nr. 1295/2013</w:t>
            </w:r>
            <w:r w:rsidR="00E456AE">
              <w:rPr>
                <w:rFonts w:ascii="Times New Roman" w:eastAsia="Times New Roman" w:hAnsi="Times New Roman" w:cs="Times New Roman"/>
                <w:sz w:val="28"/>
                <w:szCs w:val="28"/>
                <w:lang w:eastAsia="lv-LV"/>
              </w:rPr>
              <w:t>)</w:t>
            </w:r>
            <w:r w:rsidR="00E87885" w:rsidRPr="0022409B">
              <w:rPr>
                <w:rFonts w:ascii="Times New Roman" w:hAnsi="Times New Roman" w:cs="Times New Roman"/>
                <w:sz w:val="28"/>
                <w:szCs w:val="28"/>
                <w:shd w:val="clear" w:color="auto" w:fill="FFFFFF"/>
              </w:rPr>
              <w:t>, 2.panta 1.punktā noteikto definīciju ar pieredzi profesionālās mākslas un kultūras jomā.</w:t>
            </w:r>
          </w:p>
          <w:p w14:paraId="3B5E5C51" w14:textId="0DFF2D3D" w:rsidR="00FC2D54" w:rsidRPr="0022409B" w:rsidRDefault="00911B03" w:rsidP="00842ECB">
            <w:pPr>
              <w:widowControl w:val="0"/>
              <w:jc w:val="both"/>
              <w:rPr>
                <w:rFonts w:ascii="Times New Roman" w:hAnsi="Times New Roman" w:cs="Times New Roman"/>
                <w:sz w:val="28"/>
                <w:szCs w:val="28"/>
                <w:shd w:val="clear" w:color="auto" w:fill="FFFFFF"/>
              </w:rPr>
            </w:pPr>
            <w:r w:rsidRPr="00911B03">
              <w:rPr>
                <w:rFonts w:ascii="Times New Roman" w:hAnsi="Times New Roman" w:cs="Times New Roman"/>
                <w:sz w:val="28"/>
                <w:szCs w:val="28"/>
                <w:shd w:val="clear" w:color="auto" w:fill="FFFFFF"/>
              </w:rPr>
              <w:t xml:space="preserve">Gadījumā, ja projekta iesnieguma iesniedzējs ir pašvaldība, tad tai ir obligāta prasība izveidot partnerību ar kultūras organizāciju, kas ir </w:t>
            </w:r>
            <w:r w:rsidR="00753331" w:rsidRPr="00911B03">
              <w:rPr>
                <w:rFonts w:ascii="Times New Roman" w:hAnsi="Times New Roman" w:cs="Times New Roman"/>
                <w:sz w:val="28"/>
                <w:szCs w:val="28"/>
                <w:shd w:val="clear" w:color="auto" w:fill="FFFFFF"/>
              </w:rPr>
              <w:t>Latvijas Republikas publisko vai privāto tiesību juridiskā persona, tiešās vai pastarpinātās pārvaldes iestāde, kuru pamatdarbība ir kultūras vai radošajā nozarē saskaņā ar</w:t>
            </w:r>
            <w:r w:rsidR="00E456AE" w:rsidRPr="00B52256">
              <w:rPr>
                <w:rFonts w:ascii="Times New Roman" w:eastAsia="Times New Roman" w:hAnsi="Times New Roman" w:cs="Times New Roman"/>
                <w:sz w:val="28"/>
                <w:szCs w:val="28"/>
                <w:lang w:eastAsia="lv-LV"/>
              </w:rPr>
              <w:t xml:space="preserve"> Regula</w:t>
            </w:r>
            <w:r w:rsidR="00E456AE">
              <w:rPr>
                <w:rFonts w:ascii="Times New Roman" w:eastAsia="Times New Roman" w:hAnsi="Times New Roman" w:cs="Times New Roman"/>
                <w:sz w:val="28"/>
                <w:szCs w:val="28"/>
                <w:lang w:eastAsia="lv-LV"/>
              </w:rPr>
              <w:t>s</w:t>
            </w:r>
            <w:r w:rsidR="00E456AE" w:rsidRPr="00B52256">
              <w:rPr>
                <w:rFonts w:ascii="Times New Roman" w:eastAsia="Times New Roman" w:hAnsi="Times New Roman" w:cs="Times New Roman"/>
                <w:sz w:val="28"/>
                <w:szCs w:val="28"/>
                <w:lang w:eastAsia="lv-LV"/>
              </w:rPr>
              <w:t xml:space="preserve"> Nr. 1295/2013</w:t>
            </w:r>
            <w:r w:rsidR="00753331" w:rsidRPr="00911B03">
              <w:rPr>
                <w:rFonts w:ascii="Times New Roman" w:hAnsi="Times New Roman" w:cs="Times New Roman"/>
                <w:sz w:val="28"/>
                <w:szCs w:val="28"/>
                <w:shd w:val="clear" w:color="auto" w:fill="FFFFFF"/>
              </w:rPr>
              <w:t xml:space="preserve"> 2.panta 1.punktā noteikto definīciju ar pieredzi profesionālās mākslas un kultūras jomā</w:t>
            </w:r>
            <w:r w:rsidR="00E87885" w:rsidRPr="0022409B">
              <w:rPr>
                <w:rFonts w:ascii="Times New Roman" w:hAnsi="Times New Roman" w:cs="Times New Roman"/>
                <w:sz w:val="28"/>
                <w:szCs w:val="28"/>
                <w:shd w:val="clear" w:color="auto" w:fill="FFFFFF"/>
              </w:rPr>
              <w:t>.</w:t>
            </w:r>
            <w:r w:rsidR="00FC2D54">
              <w:rPr>
                <w:rFonts w:ascii="Times New Roman" w:hAnsi="Times New Roman" w:cs="Times New Roman"/>
                <w:sz w:val="28"/>
                <w:szCs w:val="28"/>
                <w:shd w:val="clear" w:color="auto" w:fill="FFFFFF"/>
              </w:rPr>
              <w:t xml:space="preserve"> </w:t>
            </w:r>
            <w:r w:rsidR="00E87885" w:rsidRPr="0022409B">
              <w:rPr>
                <w:rFonts w:ascii="Times New Roman" w:hAnsi="Times New Roman" w:cs="Times New Roman"/>
                <w:sz w:val="28"/>
                <w:szCs w:val="28"/>
                <w:shd w:val="clear" w:color="auto" w:fill="FFFFFF"/>
              </w:rPr>
              <w:t xml:space="preserve">Projekta iesnieguma iesniedzējs projektu īsteno kopā ar vienu vai vairākiem projekta donorvalstu partneriem, kas ir donorvalstu publisko vai privāto tiesību juridiskā persona, kuru pamatdarbība ir kultūras vai radošajā nozarē saskaņā ar </w:t>
            </w:r>
            <w:r w:rsidR="003F230E">
              <w:rPr>
                <w:rFonts w:ascii="Times New Roman" w:hAnsi="Times New Roman" w:cs="Times New Roman"/>
                <w:sz w:val="28"/>
                <w:szCs w:val="28"/>
                <w:shd w:val="clear" w:color="auto" w:fill="FFFFFF"/>
              </w:rPr>
              <w:t>Regulas</w:t>
            </w:r>
            <w:r w:rsidR="00E456AE" w:rsidRPr="00B52256">
              <w:rPr>
                <w:rFonts w:ascii="Times New Roman" w:eastAsia="Times New Roman" w:hAnsi="Times New Roman" w:cs="Times New Roman"/>
                <w:sz w:val="28"/>
                <w:szCs w:val="28"/>
                <w:lang w:eastAsia="lv-LV"/>
              </w:rPr>
              <w:t xml:space="preserve"> Nr. 1295/2013</w:t>
            </w:r>
            <w:r w:rsidR="00E87885" w:rsidRPr="0022409B">
              <w:rPr>
                <w:rFonts w:ascii="Times New Roman" w:hAnsi="Times New Roman" w:cs="Times New Roman"/>
                <w:sz w:val="28"/>
                <w:szCs w:val="28"/>
                <w:shd w:val="clear" w:color="auto" w:fill="FFFFFF"/>
              </w:rPr>
              <w:t xml:space="preserve"> 2.pantā noteikto definīciju, kā arī fiziskas personas, kas ir Lihtenšteinas likumīgie rezidenti.</w:t>
            </w:r>
          </w:p>
          <w:p w14:paraId="374879E4" w14:textId="4E769F6B" w:rsidR="007D2A46" w:rsidRPr="000B304A" w:rsidRDefault="00340CC7" w:rsidP="000B304A">
            <w:pPr>
              <w:shd w:val="clear" w:color="auto" w:fill="FFFFFF"/>
              <w:jc w:val="both"/>
              <w:rPr>
                <w:rFonts w:ascii="Times New Roman" w:eastAsia="Times New Roman" w:hAnsi="Times New Roman" w:cs="Times New Roman"/>
                <w:bCs/>
                <w:sz w:val="24"/>
                <w:szCs w:val="24"/>
                <w:lang w:eastAsia="lv-LV"/>
              </w:rPr>
            </w:pPr>
            <w:r w:rsidRPr="0022409B">
              <w:rPr>
                <w:rFonts w:ascii="Times New Roman" w:hAnsi="Times New Roman" w:cs="Times New Roman"/>
                <w:sz w:val="28"/>
                <w:szCs w:val="28"/>
                <w:shd w:val="clear" w:color="auto" w:fill="FFFFFF"/>
              </w:rPr>
              <w:t xml:space="preserve">Lihtenšteinas </w:t>
            </w:r>
            <w:r w:rsidR="00FC2D54" w:rsidRPr="00FC2D54">
              <w:rPr>
                <w:rFonts w:ascii="Times New Roman" w:hAnsi="Times New Roman" w:cs="Times New Roman"/>
                <w:sz w:val="28"/>
                <w:szCs w:val="28"/>
                <w:shd w:val="clear" w:color="auto" w:fill="FFFFFF"/>
              </w:rPr>
              <w:t xml:space="preserve">Firstistes </w:t>
            </w:r>
            <w:r w:rsidRPr="0022409B">
              <w:rPr>
                <w:rFonts w:ascii="Times New Roman" w:hAnsi="Times New Roman" w:cs="Times New Roman"/>
                <w:sz w:val="28"/>
                <w:szCs w:val="28"/>
                <w:shd w:val="clear" w:color="auto" w:fill="FFFFFF"/>
              </w:rPr>
              <w:t xml:space="preserve">gadījumā </w:t>
            </w:r>
            <w:r w:rsidR="00CF46F8" w:rsidRPr="0022409B">
              <w:rPr>
                <w:rFonts w:ascii="Times New Roman" w:hAnsi="Times New Roman" w:cs="Times New Roman"/>
                <w:sz w:val="28"/>
                <w:szCs w:val="28"/>
                <w:shd w:val="clear" w:color="auto" w:fill="FFFFFF"/>
              </w:rPr>
              <w:t xml:space="preserve">attiecībā uz projekta donorvalstu partneru juridisko statusu </w:t>
            </w:r>
            <w:r w:rsidRPr="0022409B">
              <w:rPr>
                <w:rFonts w:ascii="Times New Roman" w:hAnsi="Times New Roman" w:cs="Times New Roman"/>
                <w:sz w:val="28"/>
                <w:szCs w:val="28"/>
                <w:shd w:val="clear" w:color="auto" w:fill="FFFFFF"/>
              </w:rPr>
              <w:t xml:space="preserve">pieļaujams izņēmums, ņemot vērā Lihtenšteinas </w:t>
            </w:r>
            <w:r w:rsidR="00FC2D54" w:rsidRPr="00FC2D54">
              <w:rPr>
                <w:rFonts w:ascii="Times New Roman" w:hAnsi="Times New Roman" w:cs="Times New Roman"/>
                <w:sz w:val="28"/>
                <w:szCs w:val="28"/>
                <w:shd w:val="clear" w:color="auto" w:fill="FFFFFF"/>
              </w:rPr>
              <w:t xml:space="preserve">Firstistes </w:t>
            </w:r>
            <w:r w:rsidR="003D4723" w:rsidRPr="0022409B">
              <w:rPr>
                <w:rFonts w:ascii="Times New Roman" w:hAnsi="Times New Roman" w:cs="Times New Roman"/>
                <w:sz w:val="28"/>
                <w:szCs w:val="28"/>
                <w:shd w:val="clear" w:color="auto" w:fill="FFFFFF"/>
              </w:rPr>
              <w:t xml:space="preserve">kultūras jomas spēlētāju </w:t>
            </w:r>
            <w:r w:rsidRPr="0022409B">
              <w:rPr>
                <w:rFonts w:ascii="Times New Roman" w:hAnsi="Times New Roman" w:cs="Times New Roman"/>
                <w:sz w:val="28"/>
                <w:szCs w:val="28"/>
                <w:shd w:val="clear" w:color="auto" w:fill="FFFFFF"/>
              </w:rPr>
              <w:t xml:space="preserve">specifiku. </w:t>
            </w:r>
            <w:r w:rsidR="0073493A" w:rsidRPr="0022409B">
              <w:rPr>
                <w:rFonts w:ascii="Times New Roman" w:hAnsi="Times New Roman" w:cs="Times New Roman"/>
                <w:sz w:val="28"/>
                <w:szCs w:val="28"/>
                <w:shd w:val="clear" w:color="auto" w:fill="FFFFFF"/>
              </w:rPr>
              <w:t xml:space="preserve">Programmas koncepcijas </w:t>
            </w:r>
            <w:r w:rsidR="00FC2D54">
              <w:rPr>
                <w:rFonts w:ascii="Times New Roman" w:hAnsi="Times New Roman" w:cs="Times New Roman"/>
                <w:sz w:val="28"/>
                <w:szCs w:val="28"/>
                <w:shd w:val="clear" w:color="auto" w:fill="FFFFFF"/>
              </w:rPr>
              <w:t xml:space="preserve">(apstiprināta ar Ministru </w:t>
            </w:r>
            <w:r w:rsidR="00FC2D54">
              <w:rPr>
                <w:rFonts w:ascii="Times New Roman" w:hAnsi="Times New Roman" w:cs="Times New Roman"/>
                <w:sz w:val="28"/>
                <w:szCs w:val="28"/>
                <w:shd w:val="clear" w:color="auto" w:fill="FFFFFF"/>
              </w:rPr>
              <w:lastRenderedPageBreak/>
              <w:t>kabineta 2019</w:t>
            </w:r>
            <w:r w:rsidR="007D2A46">
              <w:rPr>
                <w:rFonts w:ascii="Times New Roman" w:hAnsi="Times New Roman" w:cs="Times New Roman"/>
                <w:sz w:val="28"/>
                <w:szCs w:val="28"/>
                <w:shd w:val="clear" w:color="auto" w:fill="FFFFFF"/>
              </w:rPr>
              <w:t>.</w:t>
            </w:r>
            <w:r w:rsidR="00FC2D54">
              <w:rPr>
                <w:rFonts w:ascii="Times New Roman" w:hAnsi="Times New Roman" w:cs="Times New Roman"/>
                <w:sz w:val="28"/>
                <w:szCs w:val="28"/>
                <w:shd w:val="clear" w:color="auto" w:fill="FFFFFF"/>
              </w:rPr>
              <w:t>gada 16</w:t>
            </w:r>
            <w:r w:rsidR="007D2A46">
              <w:rPr>
                <w:rFonts w:ascii="Times New Roman" w:hAnsi="Times New Roman" w:cs="Times New Roman"/>
                <w:sz w:val="28"/>
                <w:szCs w:val="28"/>
                <w:shd w:val="clear" w:color="auto" w:fill="FFFFFF"/>
              </w:rPr>
              <w:t>.</w:t>
            </w:r>
            <w:r w:rsidR="00FC2D54">
              <w:rPr>
                <w:rFonts w:ascii="Times New Roman" w:hAnsi="Times New Roman" w:cs="Times New Roman"/>
                <w:sz w:val="28"/>
                <w:szCs w:val="28"/>
                <w:shd w:val="clear" w:color="auto" w:fill="FFFFFF"/>
              </w:rPr>
              <w:t>aprī</w:t>
            </w:r>
            <w:r w:rsidR="007D2A46">
              <w:rPr>
                <w:rFonts w:ascii="Times New Roman" w:hAnsi="Times New Roman" w:cs="Times New Roman"/>
                <w:sz w:val="28"/>
                <w:szCs w:val="28"/>
                <w:shd w:val="clear" w:color="auto" w:fill="FFFFFF"/>
              </w:rPr>
              <w:t>ļa</w:t>
            </w:r>
            <w:r w:rsidR="00FC2D54">
              <w:rPr>
                <w:rFonts w:ascii="Times New Roman" w:hAnsi="Times New Roman" w:cs="Times New Roman"/>
                <w:sz w:val="28"/>
                <w:szCs w:val="28"/>
                <w:shd w:val="clear" w:color="auto" w:fill="FFFFFF"/>
              </w:rPr>
              <w:t xml:space="preserve"> rīkojumu Nr.185</w:t>
            </w:r>
            <w:r w:rsidR="007A1EBC">
              <w:rPr>
                <w:rFonts w:ascii="Times New Roman" w:hAnsi="Times New Roman" w:cs="Times New Roman"/>
                <w:sz w:val="28"/>
                <w:szCs w:val="28"/>
                <w:shd w:val="clear" w:color="auto" w:fill="FFFFFF"/>
              </w:rPr>
              <w:t xml:space="preserve"> </w:t>
            </w:r>
            <w:r w:rsidR="007A1EBC" w:rsidRPr="007A1EBC">
              <w:rPr>
                <w:rFonts w:ascii="Times New Roman" w:hAnsi="Times New Roman" w:cs="Times New Roman"/>
                <w:sz w:val="28"/>
                <w:szCs w:val="28"/>
                <w:shd w:val="clear" w:color="auto" w:fill="FFFFFF"/>
              </w:rPr>
              <w:t>“</w:t>
            </w:r>
            <w:r w:rsidR="007A1EBC" w:rsidRPr="000B304A">
              <w:rPr>
                <w:rFonts w:ascii="Times New Roman" w:eastAsia="Times New Roman" w:hAnsi="Times New Roman" w:cs="Times New Roman"/>
                <w:bCs/>
                <w:sz w:val="28"/>
                <w:szCs w:val="28"/>
                <w:lang w:eastAsia="lv-LV"/>
              </w:rPr>
              <w:t>Par Eiropas Ekonomikas zonas finanšu instrumenta līdzfinansētās programmas "Vietējā attīstība, nabadzības mazināšana un kultūras sadarbība" koncepcijas projektu</w:t>
            </w:r>
            <w:r w:rsidR="007A1EBC" w:rsidRPr="007A1EBC">
              <w:rPr>
                <w:rFonts w:ascii="Times New Roman" w:hAnsi="Times New Roman" w:cs="Times New Roman"/>
                <w:sz w:val="28"/>
                <w:szCs w:val="28"/>
                <w:shd w:val="clear" w:color="auto" w:fill="FFFFFF"/>
              </w:rPr>
              <w:t>”</w:t>
            </w:r>
            <w:r w:rsidR="00FC2D54" w:rsidRPr="007A1EBC">
              <w:rPr>
                <w:rFonts w:ascii="Times New Roman" w:hAnsi="Times New Roman" w:cs="Times New Roman"/>
                <w:sz w:val="28"/>
                <w:szCs w:val="28"/>
                <w:shd w:val="clear" w:color="auto" w:fill="FFFFFF"/>
              </w:rPr>
              <w:t>)</w:t>
            </w:r>
            <w:r w:rsidR="00FC2D54">
              <w:rPr>
                <w:rFonts w:ascii="Times New Roman" w:hAnsi="Times New Roman" w:cs="Times New Roman"/>
                <w:sz w:val="28"/>
                <w:szCs w:val="28"/>
                <w:shd w:val="clear" w:color="auto" w:fill="FFFFFF"/>
              </w:rPr>
              <w:t xml:space="preserve"> </w:t>
            </w:r>
            <w:r w:rsidR="0073493A" w:rsidRPr="0022409B">
              <w:rPr>
                <w:rFonts w:ascii="Times New Roman" w:hAnsi="Times New Roman" w:cs="Times New Roman"/>
                <w:sz w:val="28"/>
                <w:szCs w:val="28"/>
                <w:shd w:val="clear" w:color="auto" w:fill="FFFFFF"/>
              </w:rPr>
              <w:t xml:space="preserve">izstrādes gaitā, definējot atbalstāmo projektu donorvalstu partneru veidu, Norvēģijas </w:t>
            </w:r>
            <w:r w:rsidR="007D2A46">
              <w:rPr>
                <w:rFonts w:ascii="Times New Roman" w:hAnsi="Times New Roman" w:cs="Times New Roman"/>
                <w:sz w:val="28"/>
                <w:szCs w:val="28"/>
                <w:shd w:val="clear" w:color="auto" w:fill="FFFFFF"/>
              </w:rPr>
              <w:t xml:space="preserve">Karalistes </w:t>
            </w:r>
            <w:r w:rsidR="0073493A" w:rsidRPr="0022409B">
              <w:rPr>
                <w:rFonts w:ascii="Times New Roman" w:hAnsi="Times New Roman" w:cs="Times New Roman"/>
                <w:sz w:val="28"/>
                <w:szCs w:val="28"/>
                <w:shd w:val="clear" w:color="auto" w:fill="FFFFFF"/>
              </w:rPr>
              <w:t>Mākslas padome, kas ir donorvalsts partneris</w:t>
            </w:r>
            <w:r w:rsidR="000800E8" w:rsidRPr="0022409B">
              <w:rPr>
                <w:rFonts w:ascii="Times New Roman" w:hAnsi="Times New Roman" w:cs="Times New Roman"/>
                <w:sz w:val="28"/>
                <w:szCs w:val="28"/>
                <w:shd w:val="clear" w:color="auto" w:fill="FFFFFF"/>
              </w:rPr>
              <w:t xml:space="preserve"> un aktīvi piedalījās programmas koncepcijas izstrādē</w:t>
            </w:r>
            <w:r w:rsidR="0073493A" w:rsidRPr="0022409B">
              <w:rPr>
                <w:rFonts w:ascii="Times New Roman" w:hAnsi="Times New Roman" w:cs="Times New Roman"/>
                <w:sz w:val="28"/>
                <w:szCs w:val="28"/>
                <w:shd w:val="clear" w:color="auto" w:fill="FFFFFF"/>
              </w:rPr>
              <w:t xml:space="preserve">, </w:t>
            </w:r>
            <w:r w:rsidRPr="0022409B">
              <w:rPr>
                <w:rFonts w:ascii="Times New Roman" w:hAnsi="Times New Roman" w:cs="Times New Roman"/>
                <w:sz w:val="28"/>
                <w:szCs w:val="28"/>
                <w:shd w:val="clear" w:color="auto" w:fill="FFFFFF"/>
              </w:rPr>
              <w:t xml:space="preserve">vērsa uzmanību uz to, ka potenciālie projektu partneri </w:t>
            </w:r>
            <w:r w:rsidR="007D2A46" w:rsidRPr="0022409B">
              <w:rPr>
                <w:rFonts w:ascii="Times New Roman" w:hAnsi="Times New Roman" w:cs="Times New Roman"/>
                <w:sz w:val="28"/>
                <w:szCs w:val="28"/>
                <w:shd w:val="clear" w:color="auto" w:fill="FFFFFF"/>
              </w:rPr>
              <w:t>Lihtenštein</w:t>
            </w:r>
            <w:r w:rsidR="007D2A46">
              <w:rPr>
                <w:rFonts w:ascii="Times New Roman" w:hAnsi="Times New Roman" w:cs="Times New Roman"/>
                <w:sz w:val="28"/>
                <w:szCs w:val="28"/>
                <w:shd w:val="clear" w:color="auto" w:fill="FFFFFF"/>
              </w:rPr>
              <w:t>as Firstistē</w:t>
            </w:r>
            <w:r w:rsidR="007D2A46" w:rsidRPr="0022409B">
              <w:rPr>
                <w:rFonts w:ascii="Times New Roman" w:hAnsi="Times New Roman" w:cs="Times New Roman"/>
                <w:sz w:val="28"/>
                <w:szCs w:val="28"/>
                <w:shd w:val="clear" w:color="auto" w:fill="FFFFFF"/>
              </w:rPr>
              <w:t xml:space="preserve"> </w:t>
            </w:r>
            <w:r w:rsidRPr="0022409B">
              <w:rPr>
                <w:rFonts w:ascii="Times New Roman" w:hAnsi="Times New Roman" w:cs="Times New Roman"/>
                <w:sz w:val="28"/>
                <w:szCs w:val="28"/>
                <w:shd w:val="clear" w:color="auto" w:fill="FFFFFF"/>
              </w:rPr>
              <w:t>nav reģistrēti kā juridiskas personas</w:t>
            </w:r>
            <w:r w:rsidR="00CF46F8" w:rsidRPr="0022409B">
              <w:rPr>
                <w:rFonts w:ascii="Times New Roman" w:hAnsi="Times New Roman" w:cs="Times New Roman"/>
                <w:sz w:val="28"/>
                <w:szCs w:val="28"/>
                <w:shd w:val="clear" w:color="auto" w:fill="FFFFFF"/>
              </w:rPr>
              <w:t xml:space="preserve">, bet gan kā fiziskas personas. </w:t>
            </w:r>
            <w:r w:rsidRPr="0022409B">
              <w:rPr>
                <w:rFonts w:ascii="Times New Roman" w:hAnsi="Times New Roman" w:cs="Times New Roman"/>
                <w:sz w:val="28"/>
                <w:szCs w:val="28"/>
                <w:shd w:val="clear" w:color="auto" w:fill="FFFFFF"/>
              </w:rPr>
              <w:t xml:space="preserve"> </w:t>
            </w:r>
            <w:r w:rsidR="00CF46F8" w:rsidRPr="0022409B">
              <w:rPr>
                <w:rFonts w:ascii="Times New Roman" w:hAnsi="Times New Roman" w:cs="Times New Roman"/>
                <w:sz w:val="28"/>
                <w:szCs w:val="28"/>
                <w:shd w:val="clear" w:color="auto" w:fill="FFFFFF"/>
              </w:rPr>
              <w:t>Tādējādi, lai projektu ietvaros būtu iespējams piesaistīt projekta donorvalstu pa</w:t>
            </w:r>
            <w:r w:rsidR="007A1EBC">
              <w:rPr>
                <w:rFonts w:ascii="Times New Roman" w:hAnsi="Times New Roman" w:cs="Times New Roman"/>
                <w:sz w:val="28"/>
                <w:szCs w:val="28"/>
                <w:shd w:val="clear" w:color="auto" w:fill="FFFFFF"/>
              </w:rPr>
              <w:t>r</w:t>
            </w:r>
            <w:r w:rsidR="00CF46F8" w:rsidRPr="0022409B">
              <w:rPr>
                <w:rFonts w:ascii="Times New Roman" w:hAnsi="Times New Roman" w:cs="Times New Roman"/>
                <w:sz w:val="28"/>
                <w:szCs w:val="28"/>
                <w:shd w:val="clear" w:color="auto" w:fill="FFFFFF"/>
              </w:rPr>
              <w:t>t</w:t>
            </w:r>
            <w:r w:rsidR="007A1EBC">
              <w:rPr>
                <w:rFonts w:ascii="Times New Roman" w:hAnsi="Times New Roman" w:cs="Times New Roman"/>
                <w:sz w:val="28"/>
                <w:szCs w:val="28"/>
                <w:shd w:val="clear" w:color="auto" w:fill="FFFFFF"/>
              </w:rPr>
              <w:t>n</w:t>
            </w:r>
            <w:r w:rsidR="00CF46F8" w:rsidRPr="0022409B">
              <w:rPr>
                <w:rFonts w:ascii="Times New Roman" w:hAnsi="Times New Roman" w:cs="Times New Roman"/>
                <w:sz w:val="28"/>
                <w:szCs w:val="28"/>
                <w:shd w:val="clear" w:color="auto" w:fill="FFFFFF"/>
              </w:rPr>
              <w:t>erus no Lihtenšteinas</w:t>
            </w:r>
            <w:r w:rsidR="007D2A46">
              <w:rPr>
                <w:rFonts w:ascii="Times New Roman" w:hAnsi="Times New Roman" w:cs="Times New Roman"/>
                <w:sz w:val="28"/>
                <w:szCs w:val="28"/>
                <w:shd w:val="clear" w:color="auto" w:fill="FFFFFF"/>
              </w:rPr>
              <w:t xml:space="preserve"> Firstistes</w:t>
            </w:r>
            <w:r w:rsidR="00CF46F8" w:rsidRPr="0022409B">
              <w:rPr>
                <w:rFonts w:ascii="Times New Roman" w:hAnsi="Times New Roman" w:cs="Times New Roman"/>
                <w:sz w:val="28"/>
                <w:szCs w:val="28"/>
                <w:shd w:val="clear" w:color="auto" w:fill="FFFFFF"/>
              </w:rPr>
              <w:t>,</w:t>
            </w:r>
            <w:r w:rsidRPr="0022409B">
              <w:rPr>
                <w:rFonts w:ascii="Times New Roman" w:hAnsi="Times New Roman" w:cs="Times New Roman"/>
                <w:sz w:val="28"/>
                <w:szCs w:val="28"/>
                <w:shd w:val="clear" w:color="auto" w:fill="FFFFFF"/>
              </w:rPr>
              <w:t xml:space="preserve"> ir nepieciešams pieļaut iespēju piesaistīt arī fiziskas personas, kas ir Lihtenšteinas </w:t>
            </w:r>
            <w:r w:rsidR="007D2A46">
              <w:rPr>
                <w:rFonts w:ascii="Times New Roman" w:hAnsi="Times New Roman" w:cs="Times New Roman"/>
                <w:sz w:val="28"/>
                <w:szCs w:val="28"/>
                <w:shd w:val="clear" w:color="auto" w:fill="FFFFFF"/>
              </w:rPr>
              <w:t>Firstistes</w:t>
            </w:r>
            <w:r w:rsidR="007D2A46" w:rsidRPr="007D2A46">
              <w:rPr>
                <w:rFonts w:ascii="Times New Roman" w:hAnsi="Times New Roman" w:cs="Times New Roman"/>
                <w:sz w:val="28"/>
                <w:szCs w:val="28"/>
                <w:shd w:val="clear" w:color="auto" w:fill="FFFFFF"/>
              </w:rPr>
              <w:t xml:space="preserve"> </w:t>
            </w:r>
            <w:r w:rsidRPr="0022409B">
              <w:rPr>
                <w:rFonts w:ascii="Times New Roman" w:hAnsi="Times New Roman" w:cs="Times New Roman"/>
                <w:sz w:val="28"/>
                <w:szCs w:val="28"/>
                <w:shd w:val="clear" w:color="auto" w:fill="FFFFFF"/>
              </w:rPr>
              <w:t>likumīgie rezidenti</w:t>
            </w:r>
            <w:r w:rsidR="007A1EBC">
              <w:rPr>
                <w:rFonts w:ascii="Times New Roman" w:hAnsi="Times New Roman" w:cs="Times New Roman"/>
                <w:sz w:val="28"/>
                <w:szCs w:val="28"/>
                <w:shd w:val="clear" w:color="auto" w:fill="FFFFFF"/>
              </w:rPr>
              <w:t>.</w:t>
            </w:r>
            <w:r w:rsidRPr="0022409B">
              <w:rPr>
                <w:rFonts w:ascii="Times New Roman" w:hAnsi="Times New Roman" w:cs="Times New Roman"/>
                <w:sz w:val="28"/>
                <w:szCs w:val="28"/>
                <w:shd w:val="clear" w:color="auto" w:fill="FFFFFF"/>
              </w:rPr>
              <w:t xml:space="preserve"> Šāds formulējums iekļauts arī citu </w:t>
            </w:r>
            <w:r w:rsidR="007D2A46">
              <w:rPr>
                <w:rFonts w:ascii="Times New Roman" w:hAnsi="Times New Roman" w:cs="Times New Roman"/>
                <w:sz w:val="28"/>
                <w:szCs w:val="28"/>
                <w:shd w:val="clear" w:color="auto" w:fill="FFFFFF"/>
              </w:rPr>
              <w:t>Eiropas Ekonomikas zonas</w:t>
            </w:r>
            <w:r w:rsidR="00D343CA">
              <w:rPr>
                <w:rFonts w:ascii="Times New Roman" w:hAnsi="Times New Roman" w:cs="Times New Roman"/>
                <w:sz w:val="28"/>
                <w:szCs w:val="28"/>
                <w:shd w:val="clear" w:color="auto" w:fill="FFFFFF"/>
              </w:rPr>
              <w:t xml:space="preserve"> finanšu instrumenta</w:t>
            </w:r>
            <w:r w:rsidR="007D2A46" w:rsidRPr="0022409B">
              <w:rPr>
                <w:rFonts w:ascii="Times New Roman" w:hAnsi="Times New Roman" w:cs="Times New Roman"/>
                <w:sz w:val="28"/>
                <w:szCs w:val="28"/>
                <w:shd w:val="clear" w:color="auto" w:fill="FFFFFF"/>
              </w:rPr>
              <w:t xml:space="preserve"> </w:t>
            </w:r>
            <w:r w:rsidRPr="0022409B">
              <w:rPr>
                <w:rFonts w:ascii="Times New Roman" w:hAnsi="Times New Roman" w:cs="Times New Roman"/>
                <w:sz w:val="28"/>
                <w:szCs w:val="28"/>
                <w:shd w:val="clear" w:color="auto" w:fill="FFFFFF"/>
              </w:rPr>
              <w:t xml:space="preserve">saņēmējvalstu kultūras programmās. </w:t>
            </w:r>
          </w:p>
          <w:p w14:paraId="56916C0D" w14:textId="280E942D" w:rsidR="007D2A46" w:rsidRPr="0022409B" w:rsidRDefault="007A1EBC" w:rsidP="00842ECB">
            <w:pPr>
              <w:widowControl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Noteikumu p</w:t>
            </w:r>
            <w:r w:rsidR="00E26661" w:rsidRPr="0022409B">
              <w:rPr>
                <w:rFonts w:ascii="Times New Roman" w:hAnsi="Times New Roman" w:cs="Times New Roman"/>
                <w:sz w:val="28"/>
                <w:szCs w:val="28"/>
                <w:shd w:val="clear" w:color="auto" w:fill="FFFFFF"/>
              </w:rPr>
              <w:t>rojektā paredzēts, ka projekta administrēšanas izmaksas nepārsniedz 20</w:t>
            </w:r>
            <w:r w:rsidR="007D2A46">
              <w:rPr>
                <w:rFonts w:ascii="Times New Roman" w:hAnsi="Times New Roman" w:cs="Times New Roman"/>
                <w:sz w:val="28"/>
                <w:szCs w:val="28"/>
                <w:shd w:val="clear" w:color="auto" w:fill="FFFFFF"/>
              </w:rPr>
              <w:t> </w:t>
            </w:r>
            <w:r w:rsidR="00E26661" w:rsidRPr="0022409B">
              <w:rPr>
                <w:rFonts w:ascii="Times New Roman" w:hAnsi="Times New Roman" w:cs="Times New Roman"/>
                <w:sz w:val="28"/>
                <w:szCs w:val="28"/>
                <w:shd w:val="clear" w:color="auto" w:fill="FFFFFF"/>
              </w:rPr>
              <w:t xml:space="preserve">procentus no projekta kopējām attiecināmajām izmaksām. Šāds slieksnis paredzēts, jo </w:t>
            </w:r>
            <w:r w:rsidR="00E26661" w:rsidRPr="0022409B" w:rsidDel="008F6190">
              <w:rPr>
                <w:rFonts w:ascii="Times New Roman" w:hAnsi="Times New Roman" w:cs="Times New Roman"/>
                <w:sz w:val="28"/>
                <w:szCs w:val="28"/>
                <w:shd w:val="clear" w:color="auto" w:fill="FFFFFF"/>
              </w:rPr>
              <w:t>vienam projektam minimāli pieļaujamais programmas līdzfinansējums ir 100 000 </w:t>
            </w:r>
            <w:r w:rsidR="00E26661" w:rsidRPr="0022409B" w:rsidDel="008F6190">
              <w:rPr>
                <w:rFonts w:ascii="Times New Roman" w:hAnsi="Times New Roman" w:cs="Times New Roman"/>
                <w:i/>
                <w:iCs/>
                <w:sz w:val="28"/>
                <w:szCs w:val="28"/>
                <w:shd w:val="clear" w:color="auto" w:fill="FFFFFF"/>
              </w:rPr>
              <w:t>euro</w:t>
            </w:r>
            <w:r w:rsidR="00E26661" w:rsidRPr="0022409B" w:rsidDel="008F6190">
              <w:rPr>
                <w:rFonts w:ascii="Times New Roman" w:hAnsi="Times New Roman" w:cs="Times New Roman"/>
                <w:sz w:val="28"/>
                <w:szCs w:val="28"/>
                <w:shd w:val="clear" w:color="auto" w:fill="FFFFFF"/>
              </w:rPr>
              <w:t xml:space="preserve">, </w:t>
            </w:r>
            <w:r w:rsidR="003D4723" w:rsidRPr="0022409B" w:rsidDel="008F6190">
              <w:rPr>
                <w:rFonts w:ascii="Times New Roman" w:hAnsi="Times New Roman" w:cs="Times New Roman"/>
                <w:sz w:val="28"/>
                <w:szCs w:val="28"/>
                <w:shd w:val="clear" w:color="auto" w:fill="FFFFFF"/>
              </w:rPr>
              <w:t xml:space="preserve">savukārt </w:t>
            </w:r>
            <w:r w:rsidR="00E26661" w:rsidRPr="0022409B" w:rsidDel="008F6190">
              <w:rPr>
                <w:rFonts w:ascii="Times New Roman" w:hAnsi="Times New Roman" w:cs="Times New Roman"/>
                <w:sz w:val="28"/>
                <w:szCs w:val="28"/>
                <w:shd w:val="clear" w:color="auto" w:fill="FFFFFF"/>
              </w:rPr>
              <w:t>maksimāli pieļaujamais programmas līdzfinansējums ir 250 000 </w:t>
            </w:r>
            <w:r w:rsidR="00E26661" w:rsidRPr="0022409B" w:rsidDel="008F6190">
              <w:rPr>
                <w:rFonts w:ascii="Times New Roman" w:hAnsi="Times New Roman" w:cs="Times New Roman"/>
                <w:i/>
                <w:iCs/>
                <w:sz w:val="28"/>
                <w:szCs w:val="28"/>
                <w:shd w:val="clear" w:color="auto" w:fill="FFFFFF"/>
              </w:rPr>
              <w:t>euro</w:t>
            </w:r>
            <w:r w:rsidR="00E26661" w:rsidRPr="0022409B" w:rsidDel="008F6190">
              <w:rPr>
                <w:rFonts w:ascii="Times New Roman" w:hAnsi="Times New Roman" w:cs="Times New Roman"/>
                <w:sz w:val="28"/>
                <w:szCs w:val="28"/>
                <w:shd w:val="clear" w:color="auto" w:fill="FFFFFF"/>
              </w:rPr>
              <w:t>. Tā kā līdzfinansējums ir neliels un</w:t>
            </w:r>
            <w:r w:rsidR="007D2A46">
              <w:rPr>
                <w:rFonts w:ascii="Times New Roman" w:hAnsi="Times New Roman" w:cs="Times New Roman"/>
                <w:sz w:val="28"/>
                <w:szCs w:val="28"/>
                <w:shd w:val="clear" w:color="auto" w:fill="FFFFFF"/>
              </w:rPr>
              <w:t>,</w:t>
            </w:r>
            <w:r w:rsidR="00E26661" w:rsidRPr="0022409B" w:rsidDel="008F6190">
              <w:rPr>
                <w:rFonts w:ascii="Times New Roman" w:hAnsi="Times New Roman" w:cs="Times New Roman"/>
                <w:sz w:val="28"/>
                <w:szCs w:val="28"/>
                <w:shd w:val="clear" w:color="auto" w:fill="FFFFFF"/>
              </w:rPr>
              <w:t xml:space="preserve"> ņemot vērā projektu aktivitāšu specifiku, projekt</w:t>
            </w:r>
            <w:r w:rsidR="00111DC5" w:rsidRPr="0022409B" w:rsidDel="008F6190">
              <w:rPr>
                <w:rFonts w:ascii="Times New Roman" w:hAnsi="Times New Roman" w:cs="Times New Roman"/>
                <w:sz w:val="28"/>
                <w:szCs w:val="28"/>
                <w:shd w:val="clear" w:color="auto" w:fill="FFFFFF"/>
              </w:rPr>
              <w:t>o</w:t>
            </w:r>
            <w:r w:rsidR="00E26661" w:rsidRPr="0022409B" w:rsidDel="008F6190">
              <w:rPr>
                <w:rFonts w:ascii="Times New Roman" w:hAnsi="Times New Roman" w:cs="Times New Roman"/>
                <w:sz w:val="28"/>
                <w:szCs w:val="28"/>
                <w:shd w:val="clear" w:color="auto" w:fill="FFFFFF"/>
              </w:rPr>
              <w:t xml:space="preserve">s nepieciešams </w:t>
            </w:r>
            <w:r w:rsidR="00111DC5" w:rsidRPr="0022409B" w:rsidDel="008F6190">
              <w:rPr>
                <w:rFonts w:ascii="Times New Roman" w:hAnsi="Times New Roman" w:cs="Times New Roman"/>
                <w:sz w:val="28"/>
                <w:szCs w:val="28"/>
                <w:shd w:val="clear" w:color="auto" w:fill="FFFFFF"/>
              </w:rPr>
              <w:t>pieļaut</w:t>
            </w:r>
            <w:r w:rsidR="00E26661" w:rsidRPr="0022409B" w:rsidDel="008F6190">
              <w:rPr>
                <w:rFonts w:ascii="Times New Roman" w:hAnsi="Times New Roman" w:cs="Times New Roman"/>
                <w:sz w:val="28"/>
                <w:szCs w:val="28"/>
                <w:shd w:val="clear" w:color="auto" w:fill="FFFFFF"/>
              </w:rPr>
              <w:t xml:space="preserve"> 20</w:t>
            </w:r>
            <w:r w:rsidR="007D2A46">
              <w:rPr>
                <w:rFonts w:ascii="Times New Roman" w:hAnsi="Times New Roman" w:cs="Times New Roman"/>
                <w:sz w:val="28"/>
                <w:szCs w:val="28"/>
                <w:shd w:val="clear" w:color="auto" w:fill="FFFFFF"/>
              </w:rPr>
              <w:t> </w:t>
            </w:r>
            <w:r w:rsidR="00E26661" w:rsidRPr="0022409B" w:rsidDel="008F6190">
              <w:rPr>
                <w:rFonts w:ascii="Times New Roman" w:hAnsi="Times New Roman" w:cs="Times New Roman"/>
                <w:sz w:val="28"/>
                <w:szCs w:val="28"/>
                <w:shd w:val="clear" w:color="auto" w:fill="FFFFFF"/>
              </w:rPr>
              <w:t xml:space="preserve">procentu slieksni administrēšanas izmaksām. </w:t>
            </w:r>
            <w:r w:rsidR="00E26661" w:rsidRPr="0022409B">
              <w:rPr>
                <w:rFonts w:ascii="Times New Roman" w:hAnsi="Times New Roman" w:cs="Times New Roman"/>
                <w:sz w:val="28"/>
                <w:szCs w:val="28"/>
                <w:shd w:val="clear" w:color="auto" w:fill="FFFFFF"/>
              </w:rPr>
              <w:t>Cit</w:t>
            </w:r>
            <w:r w:rsidR="003D4723" w:rsidRPr="0022409B">
              <w:rPr>
                <w:rFonts w:ascii="Times New Roman" w:hAnsi="Times New Roman" w:cs="Times New Roman"/>
                <w:sz w:val="28"/>
                <w:szCs w:val="28"/>
                <w:shd w:val="clear" w:color="auto" w:fill="FFFFFF"/>
              </w:rPr>
              <w:t>ās</w:t>
            </w:r>
            <w:r w:rsidR="00E26661" w:rsidRPr="0022409B">
              <w:rPr>
                <w:rFonts w:ascii="Times New Roman" w:hAnsi="Times New Roman" w:cs="Times New Roman"/>
                <w:sz w:val="28"/>
                <w:szCs w:val="28"/>
                <w:shd w:val="clear" w:color="auto" w:fill="FFFFFF"/>
              </w:rPr>
              <w:t xml:space="preserve"> līdzīga veida </w:t>
            </w:r>
            <w:r w:rsidR="007D2A46">
              <w:rPr>
                <w:rFonts w:ascii="Times New Roman" w:hAnsi="Times New Roman" w:cs="Times New Roman"/>
                <w:sz w:val="28"/>
                <w:szCs w:val="28"/>
                <w:shd w:val="clear" w:color="auto" w:fill="FFFFFF"/>
              </w:rPr>
              <w:t>Eiropas Ekonomikas zonas</w:t>
            </w:r>
            <w:r w:rsidR="00BF7402">
              <w:rPr>
                <w:rFonts w:ascii="Times New Roman" w:hAnsi="Times New Roman" w:cs="Times New Roman"/>
                <w:sz w:val="28"/>
                <w:szCs w:val="28"/>
                <w:shd w:val="clear" w:color="auto" w:fill="FFFFFF"/>
              </w:rPr>
              <w:t xml:space="preserve"> finanšu instrumenta</w:t>
            </w:r>
            <w:r w:rsidR="00E26661" w:rsidRPr="0022409B">
              <w:rPr>
                <w:rFonts w:ascii="Times New Roman" w:hAnsi="Times New Roman" w:cs="Times New Roman"/>
                <w:sz w:val="28"/>
                <w:szCs w:val="28"/>
                <w:shd w:val="clear" w:color="auto" w:fill="FFFFFF"/>
              </w:rPr>
              <w:t xml:space="preserve"> saņēmējvalstu kultūras programmās tiek paredzēti līdz 30</w:t>
            </w:r>
            <w:r w:rsidR="005A0602" w:rsidRPr="0022409B">
              <w:rPr>
                <w:rFonts w:ascii="Times New Roman" w:hAnsi="Times New Roman" w:cs="Times New Roman"/>
                <w:sz w:val="28"/>
                <w:szCs w:val="28"/>
                <w:shd w:val="clear" w:color="auto" w:fill="FFFFFF"/>
              </w:rPr>
              <w:t xml:space="preserve"> procentiem</w:t>
            </w:r>
            <w:r w:rsidR="00E26661" w:rsidRPr="0022409B">
              <w:rPr>
                <w:rFonts w:ascii="Times New Roman" w:hAnsi="Times New Roman" w:cs="Times New Roman"/>
                <w:sz w:val="28"/>
                <w:szCs w:val="28"/>
                <w:shd w:val="clear" w:color="auto" w:fill="FFFFFF"/>
              </w:rPr>
              <w:t xml:space="preserve"> no administratīvajām izmaksām. </w:t>
            </w:r>
          </w:p>
          <w:p w14:paraId="6DABC6D6" w14:textId="316E3624" w:rsidR="007D2A46" w:rsidRPr="0022409B" w:rsidRDefault="00991904" w:rsidP="00842ECB">
            <w:pPr>
              <w:widowControl w:val="0"/>
              <w:jc w:val="both"/>
              <w:rPr>
                <w:rFonts w:ascii="Times New Roman" w:eastAsia="Times New Roman" w:hAnsi="Times New Roman" w:cs="Times New Roman"/>
                <w:sz w:val="28"/>
                <w:szCs w:val="28"/>
                <w:lang w:eastAsia="lv-LV"/>
              </w:rPr>
            </w:pPr>
            <w:r w:rsidRPr="0022409B">
              <w:rPr>
                <w:rFonts w:ascii="Times New Roman" w:hAnsi="Times New Roman" w:cs="Times New Roman"/>
                <w:sz w:val="28"/>
                <w:szCs w:val="28"/>
                <w:lang w:eastAsia="lv-LV"/>
              </w:rPr>
              <w:t>Vadības noteikumu</w:t>
            </w:r>
            <w:r w:rsidR="008B1680" w:rsidRPr="0022409B">
              <w:rPr>
                <w:rFonts w:ascii="Times New Roman" w:hAnsi="Times New Roman" w:cs="Times New Roman"/>
                <w:sz w:val="28"/>
                <w:szCs w:val="28"/>
                <w:lang w:eastAsia="lv-LV"/>
              </w:rPr>
              <w:t xml:space="preserve"> </w:t>
            </w:r>
            <w:r w:rsidR="00BE6AF2" w:rsidRPr="0022409B">
              <w:rPr>
                <w:rFonts w:ascii="Times New Roman" w:hAnsi="Times New Roman" w:cs="Times New Roman"/>
                <w:sz w:val="28"/>
                <w:szCs w:val="28"/>
                <w:lang w:eastAsia="lv-LV"/>
              </w:rPr>
              <w:t>18.punkts paredz,</w:t>
            </w:r>
            <w:r w:rsidR="008B1680" w:rsidRPr="0022409B">
              <w:rPr>
                <w:rFonts w:ascii="Times New Roman" w:hAnsi="Times New Roman" w:cs="Times New Roman"/>
                <w:sz w:val="28"/>
                <w:szCs w:val="28"/>
                <w:lang w:eastAsia="lv-LV"/>
              </w:rPr>
              <w:t xml:space="preserve"> ja pēc projekta līguma noslēgšanas tajā ir nepieciešami grozījumi, programmas </w:t>
            </w:r>
            <w:r w:rsidR="00573A47">
              <w:rPr>
                <w:rFonts w:ascii="Times New Roman" w:hAnsi="Times New Roman" w:cs="Times New Roman"/>
                <w:sz w:val="28"/>
                <w:szCs w:val="28"/>
                <w:lang w:eastAsia="lv-LV"/>
              </w:rPr>
              <w:t>partneris</w:t>
            </w:r>
            <w:r w:rsidR="008B1680" w:rsidRPr="0022409B">
              <w:rPr>
                <w:rFonts w:ascii="Times New Roman" w:hAnsi="Times New Roman" w:cs="Times New Roman"/>
                <w:sz w:val="28"/>
                <w:szCs w:val="28"/>
                <w:lang w:eastAsia="lv-LV"/>
              </w:rPr>
              <w:t xml:space="preserve"> vai līdzfinansējuma saņēmējs </w:t>
            </w:r>
            <w:r w:rsidR="008B1680" w:rsidRPr="0022409B">
              <w:rPr>
                <w:rFonts w:ascii="Times New Roman" w:hAnsi="Times New Roman" w:cs="Times New Roman"/>
                <w:sz w:val="28"/>
                <w:szCs w:val="28"/>
                <w:lang w:eastAsia="lv-LV"/>
              </w:rPr>
              <w:lastRenderedPageBreak/>
              <w:t xml:space="preserve">ierosina projekta līguma grozījumus. </w:t>
            </w:r>
            <w:r w:rsidR="00573A47">
              <w:rPr>
                <w:rFonts w:ascii="Times New Roman" w:hAnsi="Times New Roman" w:cs="Times New Roman"/>
                <w:sz w:val="28"/>
                <w:szCs w:val="28"/>
                <w:lang w:eastAsia="lv-LV"/>
              </w:rPr>
              <w:t>Programmas partneris</w:t>
            </w:r>
            <w:r w:rsidR="008B1680" w:rsidRPr="0022409B">
              <w:rPr>
                <w:rFonts w:ascii="Times New Roman" w:hAnsi="Times New Roman" w:cs="Times New Roman"/>
                <w:sz w:val="28"/>
                <w:szCs w:val="28"/>
                <w:lang w:eastAsia="lv-LV"/>
              </w:rPr>
              <w:t xml:space="preserve"> lemj par grozījumu veikšanu projektā un minētos grozījumus veic šajā nodaļā noteiktajā kārtībā, ja vien normatīvajā aktā par programmas ieviešanu netiek paredzēta cita kārtība</w:t>
            </w:r>
            <w:r w:rsidR="002F6716" w:rsidRPr="0022409B">
              <w:rPr>
                <w:rFonts w:ascii="Times New Roman" w:hAnsi="Times New Roman" w:cs="Times New Roman"/>
                <w:sz w:val="28"/>
                <w:szCs w:val="28"/>
                <w:lang w:eastAsia="lv-LV"/>
              </w:rPr>
              <w:t xml:space="preserve">. </w:t>
            </w:r>
            <w:r w:rsidR="008B1680" w:rsidRPr="0022409B">
              <w:rPr>
                <w:rFonts w:ascii="Times New Roman" w:eastAsia="Times New Roman" w:hAnsi="Times New Roman" w:cs="Times New Roman"/>
                <w:sz w:val="28"/>
                <w:szCs w:val="28"/>
                <w:lang w:eastAsia="lv-LV"/>
              </w:rPr>
              <w:t>Ņemot vērā programmas specifi</w:t>
            </w:r>
            <w:r w:rsidR="002F6716" w:rsidRPr="0022409B">
              <w:rPr>
                <w:rFonts w:ascii="Times New Roman" w:eastAsia="Times New Roman" w:hAnsi="Times New Roman" w:cs="Times New Roman"/>
                <w:sz w:val="28"/>
                <w:szCs w:val="28"/>
                <w:lang w:eastAsia="lv-LV"/>
              </w:rPr>
              <w:t>k</w:t>
            </w:r>
            <w:r w:rsidR="00CC34F8" w:rsidRPr="0022409B">
              <w:rPr>
                <w:rFonts w:ascii="Times New Roman" w:eastAsia="Times New Roman" w:hAnsi="Times New Roman" w:cs="Times New Roman"/>
                <w:sz w:val="28"/>
                <w:szCs w:val="28"/>
                <w:lang w:eastAsia="lv-LV"/>
              </w:rPr>
              <w:t xml:space="preserve">u, </w:t>
            </w:r>
            <w:r w:rsidR="003F230E">
              <w:rPr>
                <w:rFonts w:ascii="Times New Roman" w:eastAsia="Times New Roman" w:hAnsi="Times New Roman" w:cs="Times New Roman"/>
                <w:sz w:val="28"/>
                <w:szCs w:val="28"/>
                <w:lang w:eastAsia="lv-LV"/>
              </w:rPr>
              <w:t>Noteikumu p</w:t>
            </w:r>
            <w:r w:rsidR="003F230E" w:rsidRPr="003F230E">
              <w:rPr>
                <w:rFonts w:ascii="Times New Roman" w:eastAsia="Times New Roman" w:hAnsi="Times New Roman" w:cs="Times New Roman"/>
                <w:sz w:val="28"/>
                <w:szCs w:val="28"/>
                <w:lang w:eastAsia="lv-LV"/>
              </w:rPr>
              <w:t>rojekts</w:t>
            </w:r>
            <w:r w:rsidR="008B1680" w:rsidRPr="0022409B">
              <w:rPr>
                <w:rFonts w:ascii="Times New Roman" w:eastAsia="Times New Roman" w:hAnsi="Times New Roman" w:cs="Times New Roman"/>
                <w:sz w:val="28"/>
                <w:szCs w:val="28"/>
                <w:lang w:eastAsia="lv-LV"/>
              </w:rPr>
              <w:t xml:space="preserve"> paredz atkāpes no vispārējās projekta līguma grozīšanas kārtības</w:t>
            </w:r>
            <w:r w:rsidR="002F6716" w:rsidRPr="0022409B">
              <w:rPr>
                <w:rFonts w:ascii="Times New Roman" w:eastAsia="Times New Roman" w:hAnsi="Times New Roman" w:cs="Times New Roman"/>
                <w:sz w:val="28"/>
                <w:szCs w:val="28"/>
                <w:lang w:eastAsia="lv-LV"/>
              </w:rPr>
              <w:t>, kas noteikta Vadības noteikumos.</w:t>
            </w:r>
          </w:p>
          <w:p w14:paraId="0781A698" w14:textId="762391B9" w:rsidR="007D2A46" w:rsidRPr="00B52256" w:rsidRDefault="000B7753" w:rsidP="00842ECB">
            <w:pPr>
              <w:widowControl w:val="0"/>
              <w:jc w:val="both"/>
              <w:rPr>
                <w:rFonts w:ascii="Times New Roman" w:hAnsi="Times New Roman" w:cs="Times New Roman"/>
                <w:sz w:val="28"/>
                <w:szCs w:val="28"/>
              </w:rPr>
            </w:pPr>
            <w:r w:rsidRPr="0022409B">
              <w:rPr>
                <w:rFonts w:ascii="Times New Roman" w:eastAsia="Times New Roman" w:hAnsi="Times New Roman" w:cs="Times New Roman"/>
                <w:sz w:val="28"/>
                <w:szCs w:val="28"/>
                <w:lang w:eastAsia="lv-LV"/>
              </w:rPr>
              <w:t xml:space="preserve">Ievērojot to, ka projekta </w:t>
            </w:r>
            <w:r w:rsidR="007D2A46" w:rsidRPr="0022409B">
              <w:rPr>
                <w:rFonts w:ascii="Times New Roman" w:eastAsia="Times New Roman" w:hAnsi="Times New Roman" w:cs="Times New Roman"/>
                <w:sz w:val="28"/>
                <w:szCs w:val="28"/>
                <w:lang w:eastAsia="lv-LV"/>
              </w:rPr>
              <w:t>detalizēt</w:t>
            </w:r>
            <w:r w:rsidR="007D2A46">
              <w:rPr>
                <w:rFonts w:ascii="Times New Roman" w:eastAsia="Times New Roman" w:hAnsi="Times New Roman" w:cs="Times New Roman"/>
                <w:sz w:val="28"/>
                <w:szCs w:val="28"/>
                <w:lang w:eastAsia="lv-LV"/>
              </w:rPr>
              <w:t>o</w:t>
            </w:r>
            <w:r w:rsidR="007D2A46" w:rsidRPr="0022409B">
              <w:rPr>
                <w:rFonts w:ascii="Times New Roman" w:eastAsia="Times New Roman" w:hAnsi="Times New Roman" w:cs="Times New Roman"/>
                <w:sz w:val="28"/>
                <w:szCs w:val="28"/>
                <w:lang w:eastAsia="lv-LV"/>
              </w:rPr>
              <w:t xml:space="preserve"> budžet</w:t>
            </w:r>
            <w:r w:rsidR="007D2A46">
              <w:rPr>
                <w:rFonts w:ascii="Times New Roman" w:eastAsia="Times New Roman" w:hAnsi="Times New Roman" w:cs="Times New Roman"/>
                <w:sz w:val="28"/>
                <w:szCs w:val="28"/>
                <w:lang w:eastAsia="lv-LV"/>
              </w:rPr>
              <w:t>u</w:t>
            </w:r>
            <w:r w:rsidR="007D2A46" w:rsidRPr="0022409B">
              <w:rPr>
                <w:rFonts w:ascii="Times New Roman" w:eastAsia="Times New Roman" w:hAnsi="Times New Roman" w:cs="Times New Roman"/>
                <w:sz w:val="28"/>
                <w:szCs w:val="28"/>
                <w:lang w:eastAsia="lv-LV"/>
              </w:rPr>
              <w:t xml:space="preserve"> </w:t>
            </w:r>
            <w:r w:rsidR="007D2A46">
              <w:rPr>
                <w:rFonts w:ascii="Times New Roman" w:eastAsia="Times New Roman" w:hAnsi="Times New Roman" w:cs="Times New Roman"/>
                <w:sz w:val="28"/>
                <w:szCs w:val="28"/>
                <w:lang w:eastAsia="lv-LV"/>
              </w:rPr>
              <w:t>sagatavo</w:t>
            </w:r>
            <w:r w:rsidR="001D4D36">
              <w:rPr>
                <w:rFonts w:ascii="Times New Roman" w:eastAsia="Times New Roman" w:hAnsi="Times New Roman" w:cs="Times New Roman"/>
                <w:sz w:val="28"/>
                <w:szCs w:val="28"/>
                <w:lang w:eastAsia="lv-LV"/>
              </w:rPr>
              <w:t>,</w:t>
            </w:r>
            <w:r w:rsidRPr="0022409B">
              <w:rPr>
                <w:rFonts w:ascii="Times New Roman" w:eastAsia="Times New Roman" w:hAnsi="Times New Roman" w:cs="Times New Roman"/>
                <w:sz w:val="28"/>
                <w:szCs w:val="28"/>
                <w:lang w:eastAsia="lv-LV"/>
              </w:rPr>
              <w:t xml:space="preserve"> balstoties uz pieņēmumiem par izmaksām, kādas radīsies projekta īstenošanas laikā, īstenojot projektu</w:t>
            </w:r>
            <w:r w:rsidR="007D2A46">
              <w:rPr>
                <w:rFonts w:ascii="Times New Roman" w:eastAsia="Times New Roman" w:hAnsi="Times New Roman" w:cs="Times New Roman"/>
                <w:sz w:val="28"/>
                <w:szCs w:val="28"/>
                <w:lang w:eastAsia="lv-LV"/>
              </w:rPr>
              <w:t>,</w:t>
            </w:r>
            <w:r w:rsidRPr="0022409B">
              <w:rPr>
                <w:rFonts w:ascii="Times New Roman" w:eastAsia="Times New Roman" w:hAnsi="Times New Roman" w:cs="Times New Roman"/>
                <w:sz w:val="28"/>
                <w:szCs w:val="28"/>
                <w:lang w:eastAsia="lv-LV"/>
              </w:rPr>
              <w:t xml:space="preserve"> bieži rodas situācijas, kad kādā no budžeta pozīcijām izmaksas ir ieplānotas pārāk maz, vienlaikus citās pozīcijās veidojas atlikums. Vadības noteikumu 20.punkts paredz vispārēju kārtību, kādā saskaņo</w:t>
            </w:r>
            <w:r w:rsidR="007D2A46">
              <w:rPr>
                <w:rFonts w:ascii="Times New Roman" w:eastAsia="Times New Roman" w:hAnsi="Times New Roman" w:cs="Times New Roman"/>
                <w:sz w:val="28"/>
                <w:szCs w:val="28"/>
                <w:lang w:eastAsia="lv-LV"/>
              </w:rPr>
              <w:t xml:space="preserve"> </w:t>
            </w:r>
            <w:r w:rsidRPr="0022409B">
              <w:rPr>
                <w:rFonts w:ascii="Times New Roman" w:eastAsia="Times New Roman" w:hAnsi="Times New Roman" w:cs="Times New Roman"/>
                <w:sz w:val="28"/>
                <w:szCs w:val="28"/>
                <w:lang w:eastAsia="lv-LV"/>
              </w:rPr>
              <w:t>projekta līguma grozījum</w:t>
            </w:r>
            <w:r w:rsidR="00C61807">
              <w:rPr>
                <w:rFonts w:ascii="Times New Roman" w:eastAsia="Times New Roman" w:hAnsi="Times New Roman" w:cs="Times New Roman"/>
                <w:sz w:val="28"/>
                <w:szCs w:val="28"/>
                <w:lang w:eastAsia="lv-LV"/>
              </w:rPr>
              <w:t>us</w:t>
            </w:r>
            <w:r w:rsidRPr="0022409B">
              <w:rPr>
                <w:rFonts w:ascii="Times New Roman" w:eastAsia="Times New Roman" w:hAnsi="Times New Roman" w:cs="Times New Roman"/>
                <w:sz w:val="28"/>
                <w:szCs w:val="28"/>
                <w:lang w:eastAsia="lv-LV"/>
              </w:rPr>
              <w:t xml:space="preserve">, proti, līdzfinansējuma saņēmējs šādos gadījumos iesniedz līguma grozījumu pieprasījumu un programmas </w:t>
            </w:r>
            <w:r w:rsidR="00C61807">
              <w:rPr>
                <w:rFonts w:ascii="Times New Roman" w:eastAsia="Times New Roman" w:hAnsi="Times New Roman" w:cs="Times New Roman"/>
                <w:sz w:val="28"/>
                <w:szCs w:val="28"/>
                <w:lang w:eastAsia="lv-LV"/>
              </w:rPr>
              <w:t>partneris</w:t>
            </w:r>
            <w:r w:rsidR="00753331" w:rsidRPr="0022409B">
              <w:rPr>
                <w:rFonts w:ascii="Times New Roman" w:eastAsia="Times New Roman" w:hAnsi="Times New Roman" w:cs="Times New Roman"/>
                <w:sz w:val="28"/>
                <w:szCs w:val="28"/>
                <w:lang w:eastAsia="lv-LV"/>
              </w:rPr>
              <w:t xml:space="preserve"> </w:t>
            </w:r>
            <w:r w:rsidRPr="0022409B">
              <w:rPr>
                <w:rFonts w:ascii="Times New Roman" w:eastAsia="Times New Roman" w:hAnsi="Times New Roman" w:cs="Times New Roman"/>
                <w:sz w:val="28"/>
                <w:szCs w:val="28"/>
                <w:lang w:eastAsia="lv-LV"/>
              </w:rPr>
              <w:t xml:space="preserve">20 darbdienu laikā, izvērtējot šādu grozījumu lietderību, pamatotību un nepieciešamību projekta sākotnējā mērķa sasniegšanai, izdara atbilstošus projekta līguma grozījumus vai noraida grozījumu priekšlikumu. </w:t>
            </w:r>
            <w:r w:rsidR="00850444" w:rsidRPr="0022409B">
              <w:rPr>
                <w:rFonts w:ascii="Times New Roman" w:hAnsi="Times New Roman" w:cs="Times New Roman"/>
                <w:sz w:val="28"/>
                <w:szCs w:val="28"/>
              </w:rPr>
              <w:t>Gadījumos, kad projekts pamatā ietver t</w:t>
            </w:r>
            <w:r w:rsidR="007D2A46">
              <w:rPr>
                <w:rFonts w:ascii="Times New Roman" w:hAnsi="Times New Roman" w:cs="Times New Roman"/>
                <w:sz w:val="28"/>
                <w:szCs w:val="28"/>
              </w:rPr>
              <w:t>ā sauktās</w:t>
            </w:r>
            <w:r w:rsidR="00850444" w:rsidRPr="00B52256">
              <w:rPr>
                <w:rFonts w:ascii="Times New Roman" w:hAnsi="Times New Roman" w:cs="Times New Roman"/>
                <w:sz w:val="28"/>
                <w:szCs w:val="28"/>
              </w:rPr>
              <w:t xml:space="preserve"> </w:t>
            </w:r>
            <w:r w:rsidR="005A0602" w:rsidRPr="00B52256">
              <w:rPr>
                <w:rFonts w:ascii="Times New Roman" w:hAnsi="Times New Roman" w:cs="Times New Roman"/>
                <w:sz w:val="28"/>
                <w:szCs w:val="28"/>
              </w:rPr>
              <w:t>„</w:t>
            </w:r>
            <w:r w:rsidR="00850444" w:rsidRPr="00B52256">
              <w:rPr>
                <w:rFonts w:ascii="Times New Roman" w:hAnsi="Times New Roman" w:cs="Times New Roman"/>
                <w:sz w:val="28"/>
                <w:szCs w:val="28"/>
              </w:rPr>
              <w:t>mīkstās aktivitātes</w:t>
            </w:r>
            <w:r w:rsidR="00F3055D">
              <w:rPr>
                <w:rStyle w:val="FootnoteReference"/>
                <w:rFonts w:ascii="Times New Roman" w:hAnsi="Times New Roman" w:cs="Times New Roman"/>
                <w:sz w:val="28"/>
                <w:szCs w:val="28"/>
              </w:rPr>
              <w:footnoteReference w:id="1"/>
            </w:r>
            <w:r w:rsidR="00850444" w:rsidRPr="00B52256">
              <w:rPr>
                <w:rFonts w:ascii="Times New Roman" w:hAnsi="Times New Roman" w:cs="Times New Roman"/>
                <w:sz w:val="28"/>
                <w:szCs w:val="28"/>
              </w:rPr>
              <w:t xml:space="preserve">”, projekta budžeta detalizācijas pakāpe ir augsta, tādējādi projekta līguma grozīšana var būt nepieciešama pat vairākas reizes viena pārskata periodā laikā. Ja izmaiņas projekta budžetā ir maznozīmīgas, grozījumu veikšana projekta līgumā rada nesamērīgu administratīvu slogu gan līdzfinansējuma saņēmējam, gan programmas partnerim. Paredzams, ka programmā šāda situācija veidosies, ņemot vērā, ka kultūras jomas projekti ietver tikai </w:t>
            </w:r>
            <w:r w:rsidR="005A0602" w:rsidRPr="00B52256">
              <w:rPr>
                <w:rFonts w:ascii="Times New Roman" w:hAnsi="Times New Roman" w:cs="Times New Roman"/>
                <w:sz w:val="28"/>
                <w:szCs w:val="28"/>
              </w:rPr>
              <w:lastRenderedPageBreak/>
              <w:t>„</w:t>
            </w:r>
            <w:r w:rsidR="00850444" w:rsidRPr="00B52256">
              <w:rPr>
                <w:rFonts w:ascii="Times New Roman" w:hAnsi="Times New Roman" w:cs="Times New Roman"/>
                <w:sz w:val="28"/>
                <w:szCs w:val="28"/>
              </w:rPr>
              <w:t>mīkstās aktivitātes”.</w:t>
            </w:r>
          </w:p>
          <w:p w14:paraId="51D5A448" w14:textId="7ED9FD8C" w:rsidR="007D2A46" w:rsidRPr="00B52256" w:rsidRDefault="00850444" w:rsidP="00842ECB">
            <w:pPr>
              <w:widowControl w:val="0"/>
              <w:jc w:val="both"/>
              <w:rPr>
                <w:rFonts w:ascii="Times New Roman" w:hAnsi="Times New Roman" w:cs="Times New Roman"/>
                <w:sz w:val="28"/>
                <w:szCs w:val="28"/>
              </w:rPr>
            </w:pPr>
            <w:r w:rsidRPr="00B52256">
              <w:rPr>
                <w:rFonts w:ascii="Times New Roman" w:hAnsi="Times New Roman" w:cs="Times New Roman"/>
                <w:sz w:val="28"/>
                <w:szCs w:val="28"/>
              </w:rPr>
              <w:t xml:space="preserve">Ievērojot minēto, lai mazinātu administratīvo slogu, </w:t>
            </w:r>
            <w:r w:rsidR="003D1DD9">
              <w:rPr>
                <w:rFonts w:ascii="Times New Roman" w:hAnsi="Times New Roman" w:cs="Times New Roman"/>
                <w:sz w:val="28"/>
                <w:szCs w:val="28"/>
              </w:rPr>
              <w:t>Noteikumu p</w:t>
            </w:r>
            <w:r w:rsidRPr="00B52256">
              <w:rPr>
                <w:rFonts w:ascii="Times New Roman" w:hAnsi="Times New Roman" w:cs="Times New Roman"/>
                <w:sz w:val="28"/>
                <w:szCs w:val="28"/>
              </w:rPr>
              <w:t>rojektā ir iekļauts projekta budžeta elastības noteikums, kas pieļauj tādas atkāpes no projekta budžetā plānotā, kas vienlaikus nav lielākas par 10</w:t>
            </w:r>
            <w:r w:rsidR="007D2A46">
              <w:rPr>
                <w:rFonts w:ascii="Times New Roman" w:hAnsi="Times New Roman" w:cs="Times New Roman"/>
                <w:sz w:val="28"/>
                <w:szCs w:val="28"/>
              </w:rPr>
              <w:t> procentiem</w:t>
            </w:r>
            <w:r w:rsidR="007D2A46" w:rsidRPr="00B52256">
              <w:rPr>
                <w:rFonts w:ascii="Times New Roman" w:hAnsi="Times New Roman" w:cs="Times New Roman"/>
                <w:sz w:val="28"/>
                <w:szCs w:val="28"/>
              </w:rPr>
              <w:t xml:space="preserve"> </w:t>
            </w:r>
            <w:r w:rsidRPr="00B52256">
              <w:rPr>
                <w:rFonts w:ascii="Times New Roman" w:hAnsi="Times New Roman" w:cs="Times New Roman"/>
                <w:sz w:val="28"/>
                <w:szCs w:val="28"/>
              </w:rPr>
              <w:t xml:space="preserve">no attiecīgās budžeta pozīcijas un to iespējams segt no ietaupījumiem citā budžeta pozīcijā, kas paredzēta tās pašas aktivitātes īstenošanai. Jāņem vērā, ka programmas partnera kontrole pār izmaiņām projektā būtiski nesamazinās, jo gadījumā, ja pārsniegtas attiecīgās aktivitātes kopējās izmaksas, līdzfinansējuma saņēmējam joprojām ir pienākums šīs izmaiņas saskaņot ar programmas </w:t>
            </w:r>
            <w:r w:rsidR="00753331">
              <w:rPr>
                <w:rFonts w:ascii="Times New Roman" w:hAnsi="Times New Roman" w:cs="Times New Roman"/>
                <w:sz w:val="28"/>
                <w:szCs w:val="28"/>
              </w:rPr>
              <w:t>partneri</w:t>
            </w:r>
            <w:r w:rsidRPr="00B52256">
              <w:rPr>
                <w:rFonts w:ascii="Times New Roman" w:hAnsi="Times New Roman" w:cs="Times New Roman"/>
                <w:sz w:val="28"/>
                <w:szCs w:val="28"/>
              </w:rPr>
              <w:t xml:space="preserve"> atbilstoši vispārējai kārtībai, kas paredzēta </w:t>
            </w:r>
            <w:r w:rsidR="003D1DD9">
              <w:rPr>
                <w:rFonts w:ascii="Times New Roman" w:hAnsi="Times New Roman" w:cs="Times New Roman"/>
                <w:sz w:val="28"/>
                <w:szCs w:val="28"/>
              </w:rPr>
              <w:t>V</w:t>
            </w:r>
            <w:r w:rsidRPr="00B52256">
              <w:rPr>
                <w:rFonts w:ascii="Times New Roman" w:hAnsi="Times New Roman" w:cs="Times New Roman"/>
                <w:sz w:val="28"/>
                <w:szCs w:val="28"/>
              </w:rPr>
              <w:t xml:space="preserve">adības noteikumos. </w:t>
            </w:r>
          </w:p>
          <w:p w14:paraId="73BCBA51" w14:textId="61ADADAE" w:rsidR="00AA7C99" w:rsidRPr="00907B43" w:rsidRDefault="000B7753" w:rsidP="006702BA">
            <w:pPr>
              <w:jc w:val="both"/>
            </w:pPr>
            <w:r w:rsidRPr="00B52256">
              <w:rPr>
                <w:rFonts w:ascii="Times New Roman" w:eastAsia="Times New Roman" w:hAnsi="Times New Roman" w:cs="Times New Roman"/>
                <w:sz w:val="28"/>
                <w:szCs w:val="28"/>
                <w:lang w:eastAsia="lv-LV"/>
              </w:rPr>
              <w:t xml:space="preserve">Atbilstoši </w:t>
            </w:r>
            <w:r w:rsidR="00593B8C" w:rsidRPr="00593B8C">
              <w:rPr>
                <w:rFonts w:ascii="Times New Roman" w:eastAsia="Times New Roman" w:hAnsi="Times New Roman" w:cs="Times New Roman"/>
                <w:sz w:val="28"/>
                <w:szCs w:val="28"/>
                <w:lang w:eastAsia="lv-LV"/>
              </w:rPr>
              <w:t>Noteikum</w:t>
            </w:r>
            <w:r w:rsidR="007721FC">
              <w:rPr>
                <w:rFonts w:ascii="Times New Roman" w:eastAsia="Times New Roman" w:hAnsi="Times New Roman" w:cs="Times New Roman"/>
                <w:sz w:val="28"/>
                <w:szCs w:val="28"/>
                <w:lang w:eastAsia="lv-LV"/>
              </w:rPr>
              <w:t>u</w:t>
            </w:r>
            <w:r w:rsidR="00593B8C" w:rsidRPr="00593B8C">
              <w:rPr>
                <w:rFonts w:ascii="Times New Roman" w:eastAsia="Times New Roman" w:hAnsi="Times New Roman" w:cs="Times New Roman"/>
                <w:sz w:val="28"/>
                <w:szCs w:val="28"/>
                <w:lang w:eastAsia="lv-LV"/>
              </w:rPr>
              <w:t xml:space="preserve"> par Eiropas Ekonomikas zonas finanšu instrumenta ieviešanu 2014.–2021. gadā (</w:t>
            </w:r>
            <w:r w:rsidR="00593B8C" w:rsidRPr="00907B43">
              <w:rPr>
                <w:rFonts w:ascii="Times New Roman" w:eastAsia="Times New Roman" w:hAnsi="Times New Roman" w:cs="Times New Roman"/>
                <w:i/>
                <w:iCs/>
                <w:sz w:val="28"/>
                <w:szCs w:val="28"/>
                <w:lang w:eastAsia="lv-LV"/>
              </w:rPr>
              <w:t xml:space="preserve">Regulation on the </w:t>
            </w:r>
            <w:r w:rsidR="00593B8C" w:rsidRPr="00C61807">
              <w:rPr>
                <w:rFonts w:ascii="Times New Roman" w:eastAsia="Times New Roman" w:hAnsi="Times New Roman" w:cs="Times New Roman"/>
                <w:i/>
                <w:iCs/>
                <w:sz w:val="28"/>
                <w:szCs w:val="28"/>
                <w:lang w:eastAsia="lv-LV"/>
              </w:rPr>
              <w:t>implementation of the European Economic Area (EEA) Financial Mechanism 2014-2021</w:t>
            </w:r>
            <w:r w:rsidR="00593B8C" w:rsidRPr="00676AB9">
              <w:rPr>
                <w:rFonts w:ascii="Times New Roman" w:hAnsi="Times New Roman" w:cs="Times New Roman"/>
                <w:sz w:val="28"/>
                <w:szCs w:val="28"/>
              </w:rPr>
              <w:t>)</w:t>
            </w:r>
            <w:r w:rsidR="00C61807">
              <w:rPr>
                <w:rFonts w:ascii="Times New Roman" w:hAnsi="Times New Roman" w:cs="Times New Roman"/>
                <w:sz w:val="28"/>
                <w:szCs w:val="28"/>
              </w:rPr>
              <w:t xml:space="preserve"> </w:t>
            </w:r>
            <w:r w:rsidRPr="00C61807">
              <w:rPr>
                <w:rFonts w:ascii="Times New Roman" w:eastAsia="Times New Roman" w:hAnsi="Times New Roman" w:cs="Times New Roman"/>
                <w:sz w:val="28"/>
                <w:szCs w:val="28"/>
                <w:lang w:eastAsia="lv-LV"/>
              </w:rPr>
              <w:t>4.4.panta 2.</w:t>
            </w:r>
            <w:r w:rsidR="00C61807">
              <w:rPr>
                <w:rFonts w:ascii="Times New Roman" w:eastAsia="Times New Roman" w:hAnsi="Times New Roman" w:cs="Times New Roman"/>
                <w:sz w:val="28"/>
                <w:szCs w:val="28"/>
                <w:lang w:eastAsia="lv-LV"/>
              </w:rPr>
              <w:t> </w:t>
            </w:r>
            <w:r w:rsidRPr="00C61807">
              <w:rPr>
                <w:rFonts w:ascii="Times New Roman" w:eastAsia="Times New Roman" w:hAnsi="Times New Roman" w:cs="Times New Roman"/>
                <w:sz w:val="28"/>
                <w:szCs w:val="28"/>
                <w:lang w:eastAsia="lv-LV"/>
              </w:rPr>
              <w:t>i)</w:t>
            </w:r>
            <w:r w:rsidR="00C61807">
              <w:rPr>
                <w:rFonts w:ascii="Times New Roman" w:eastAsia="Times New Roman" w:hAnsi="Times New Roman" w:cs="Times New Roman"/>
                <w:sz w:val="28"/>
                <w:szCs w:val="28"/>
                <w:lang w:eastAsia="lv-LV"/>
              </w:rPr>
              <w:t> </w:t>
            </w:r>
            <w:r w:rsidRPr="00C61807">
              <w:rPr>
                <w:rFonts w:ascii="Times New Roman" w:eastAsia="Times New Roman" w:hAnsi="Times New Roman" w:cs="Times New Roman"/>
                <w:sz w:val="28"/>
                <w:szCs w:val="28"/>
                <w:lang w:eastAsia="lv-LV"/>
              </w:rPr>
              <w:t>punktā noteiktajam</w:t>
            </w:r>
            <w:r w:rsidR="0029235C">
              <w:rPr>
                <w:rFonts w:ascii="Times New Roman" w:eastAsia="Times New Roman" w:hAnsi="Times New Roman" w:cs="Times New Roman"/>
                <w:sz w:val="28"/>
                <w:szCs w:val="28"/>
                <w:lang w:eastAsia="lv-LV"/>
              </w:rPr>
              <w:t>,</w:t>
            </w:r>
            <w:r w:rsidRPr="00B52256">
              <w:rPr>
                <w:rFonts w:ascii="Times New Roman" w:eastAsia="Times New Roman" w:hAnsi="Times New Roman" w:cs="Times New Roman"/>
                <w:sz w:val="28"/>
                <w:szCs w:val="28"/>
                <w:lang w:eastAsia="lv-LV"/>
              </w:rPr>
              <w:t xml:space="preserve"> Sadarbības komitejas uzdevums ir konsultēt programmas apsaimniekotāju par jebkurām izmaiņām programmā, kas var ietekmēt programmas sasniedzamos rezultātus. Ja līdzfinansējuma saņēmējs ierosina projekta līguma grozījumus, kas ietekmē programmas rezultāta un iznākuma rādītājus,</w:t>
            </w:r>
            <w:r w:rsidR="00C712F6"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 xml:space="preserve">projekta līgumu grozījumu procesā ir jāiesaista </w:t>
            </w:r>
            <w:r w:rsidR="00CC34F8" w:rsidRPr="00B52256">
              <w:rPr>
                <w:rFonts w:ascii="Times New Roman" w:eastAsia="Times New Roman" w:hAnsi="Times New Roman" w:cs="Times New Roman"/>
                <w:sz w:val="28"/>
                <w:szCs w:val="28"/>
                <w:lang w:eastAsia="lv-LV"/>
              </w:rPr>
              <w:t xml:space="preserve">Sadarbības komiteja. Attiecīgi </w:t>
            </w:r>
            <w:r w:rsidR="003F230E">
              <w:rPr>
                <w:rFonts w:ascii="Times New Roman" w:eastAsia="Times New Roman" w:hAnsi="Times New Roman" w:cs="Times New Roman"/>
                <w:sz w:val="28"/>
                <w:szCs w:val="28"/>
                <w:lang w:eastAsia="lv-LV"/>
              </w:rPr>
              <w:t>Noteikumu p</w:t>
            </w:r>
            <w:r w:rsidR="003F230E" w:rsidRPr="003F230E">
              <w:rPr>
                <w:rFonts w:ascii="Times New Roman" w:eastAsia="Times New Roman" w:hAnsi="Times New Roman" w:cs="Times New Roman"/>
                <w:sz w:val="28"/>
                <w:szCs w:val="28"/>
                <w:lang w:eastAsia="lv-LV"/>
              </w:rPr>
              <w:t>rojekts</w:t>
            </w:r>
            <w:r w:rsidRPr="00B52256">
              <w:rPr>
                <w:rFonts w:ascii="Times New Roman" w:eastAsia="Times New Roman" w:hAnsi="Times New Roman" w:cs="Times New Roman"/>
                <w:sz w:val="28"/>
                <w:szCs w:val="28"/>
                <w:lang w:eastAsia="lv-LV"/>
              </w:rPr>
              <w:t xml:space="preserve"> paredz, ka programmas </w:t>
            </w:r>
            <w:r w:rsidR="00753331">
              <w:rPr>
                <w:rFonts w:ascii="Times New Roman" w:eastAsia="Times New Roman" w:hAnsi="Times New Roman" w:cs="Times New Roman"/>
                <w:sz w:val="28"/>
                <w:szCs w:val="28"/>
                <w:lang w:eastAsia="lv-LV"/>
              </w:rPr>
              <w:t>partneris</w:t>
            </w:r>
            <w:r w:rsidRPr="00B52256">
              <w:rPr>
                <w:rFonts w:ascii="Times New Roman" w:eastAsia="Times New Roman" w:hAnsi="Times New Roman" w:cs="Times New Roman"/>
                <w:sz w:val="28"/>
                <w:szCs w:val="28"/>
                <w:lang w:eastAsia="lv-LV"/>
              </w:rPr>
              <w:t xml:space="preserve"> šādus grozījumus projekta līgumā papildus saskaņo ar </w:t>
            </w:r>
            <w:r w:rsidR="00753331">
              <w:rPr>
                <w:rFonts w:ascii="Times New Roman" w:eastAsia="Times New Roman" w:hAnsi="Times New Roman" w:cs="Times New Roman"/>
                <w:sz w:val="28"/>
                <w:szCs w:val="28"/>
                <w:lang w:eastAsia="lv-LV"/>
              </w:rPr>
              <w:t>programmas apsaimniekotāju</w:t>
            </w:r>
            <w:r w:rsidRPr="00B52256">
              <w:rPr>
                <w:rFonts w:ascii="Times New Roman" w:eastAsia="Times New Roman" w:hAnsi="Times New Roman" w:cs="Times New Roman"/>
                <w:sz w:val="28"/>
                <w:szCs w:val="28"/>
                <w:lang w:eastAsia="lv-LV"/>
              </w:rPr>
              <w:t>.</w:t>
            </w:r>
          </w:p>
          <w:p w14:paraId="13CA5046" w14:textId="5FE60785" w:rsidR="00AA7C99" w:rsidRPr="00B52256" w:rsidRDefault="00452166" w:rsidP="00842ECB">
            <w:pPr>
              <w:widowControl w:val="0"/>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Kultūras jomas projektu mērķis ir uzlabot pieejamību profesionālajai un laikmetīgajai mākslai un kultūrai visos Latvijas reģionos, un mērķa</w:t>
            </w:r>
            <w:r w:rsidR="00C61807">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 xml:space="preserve">grupa (gala saņēmēji) būs </w:t>
            </w:r>
            <w:r w:rsidR="00560B17">
              <w:rPr>
                <w:rFonts w:ascii="Times New Roman" w:eastAsia="Times New Roman" w:hAnsi="Times New Roman" w:cs="Times New Roman"/>
                <w:sz w:val="28"/>
                <w:szCs w:val="28"/>
                <w:lang w:eastAsia="lv-LV"/>
              </w:rPr>
              <w:t>bērni un jaunieši</w:t>
            </w:r>
            <w:r w:rsidR="00907B43" w:rsidRPr="00907B43">
              <w:rPr>
                <w:rFonts w:ascii="Times New Roman" w:eastAsia="Times New Roman" w:hAnsi="Times New Roman" w:cs="Times New Roman"/>
                <w:sz w:val="28"/>
                <w:szCs w:val="28"/>
                <w:lang w:eastAsia="lv-LV"/>
              </w:rPr>
              <w:t xml:space="preserve"> vecuma grupā </w:t>
            </w:r>
            <w:r w:rsidR="00560B17">
              <w:rPr>
                <w:rFonts w:ascii="Times New Roman" w:eastAsia="Times New Roman" w:hAnsi="Times New Roman" w:cs="Times New Roman"/>
                <w:sz w:val="28"/>
                <w:szCs w:val="28"/>
                <w:lang w:eastAsia="lv-LV"/>
              </w:rPr>
              <w:t>no</w:t>
            </w:r>
            <w:r w:rsidR="00907B43" w:rsidRPr="00907B43">
              <w:rPr>
                <w:rFonts w:ascii="Times New Roman" w:eastAsia="Times New Roman" w:hAnsi="Times New Roman" w:cs="Times New Roman"/>
                <w:sz w:val="28"/>
                <w:szCs w:val="28"/>
                <w:lang w:eastAsia="lv-LV"/>
              </w:rPr>
              <w:t xml:space="preserve"> </w:t>
            </w:r>
            <w:r w:rsidR="00C61807">
              <w:rPr>
                <w:rFonts w:ascii="Times New Roman" w:eastAsia="Times New Roman" w:hAnsi="Times New Roman" w:cs="Times New Roman"/>
                <w:sz w:val="28"/>
                <w:szCs w:val="28"/>
                <w:lang w:eastAsia="lv-LV"/>
              </w:rPr>
              <w:t>sešiem</w:t>
            </w:r>
            <w:r w:rsidR="00907B43" w:rsidRPr="00907B43">
              <w:rPr>
                <w:rFonts w:ascii="Times New Roman" w:eastAsia="Times New Roman" w:hAnsi="Times New Roman" w:cs="Times New Roman"/>
                <w:sz w:val="28"/>
                <w:szCs w:val="28"/>
                <w:lang w:eastAsia="lv-LV"/>
              </w:rPr>
              <w:t xml:space="preserve"> </w:t>
            </w:r>
            <w:r w:rsidR="00560B17">
              <w:rPr>
                <w:rFonts w:ascii="Times New Roman" w:eastAsia="Times New Roman" w:hAnsi="Times New Roman" w:cs="Times New Roman"/>
                <w:sz w:val="28"/>
                <w:szCs w:val="28"/>
                <w:lang w:eastAsia="lv-LV"/>
              </w:rPr>
              <w:t>līdz</w:t>
            </w:r>
            <w:r w:rsidR="00907B43" w:rsidRPr="00907B43">
              <w:rPr>
                <w:rFonts w:ascii="Times New Roman" w:eastAsia="Times New Roman" w:hAnsi="Times New Roman" w:cs="Times New Roman"/>
                <w:sz w:val="28"/>
                <w:szCs w:val="28"/>
                <w:lang w:eastAsia="lv-LV"/>
              </w:rPr>
              <w:t xml:space="preserve"> 18 gadi</w:t>
            </w:r>
            <w:r w:rsidR="00560B17">
              <w:rPr>
                <w:rFonts w:ascii="Times New Roman" w:eastAsia="Times New Roman" w:hAnsi="Times New Roman" w:cs="Times New Roman"/>
                <w:sz w:val="28"/>
                <w:szCs w:val="28"/>
                <w:lang w:eastAsia="lv-LV"/>
              </w:rPr>
              <w:t>em</w:t>
            </w:r>
            <w:r w:rsidR="00907B43" w:rsidRPr="00907B43">
              <w:rPr>
                <w:rFonts w:ascii="Times New Roman" w:eastAsia="Times New Roman" w:hAnsi="Times New Roman" w:cs="Times New Roman"/>
                <w:sz w:val="28"/>
                <w:szCs w:val="28"/>
                <w:lang w:eastAsia="lv-LV"/>
              </w:rPr>
              <w:t>).</w:t>
            </w:r>
            <w:r w:rsidRPr="00B52256">
              <w:rPr>
                <w:rFonts w:ascii="Times New Roman" w:eastAsia="Times New Roman" w:hAnsi="Times New Roman" w:cs="Times New Roman"/>
                <w:sz w:val="28"/>
                <w:szCs w:val="28"/>
                <w:lang w:eastAsia="lv-LV"/>
              </w:rPr>
              <w:t xml:space="preserve"> Projektu rezultāts būs kultūras </w:t>
            </w:r>
            <w:r w:rsidRPr="00B52256">
              <w:rPr>
                <w:rFonts w:ascii="Times New Roman" w:eastAsia="Times New Roman" w:hAnsi="Times New Roman" w:cs="Times New Roman"/>
                <w:sz w:val="28"/>
                <w:szCs w:val="28"/>
                <w:lang w:eastAsia="lv-LV"/>
              </w:rPr>
              <w:lastRenderedPageBreak/>
              <w:t>produkts (produkti un pakalpojumi, kas ietver mākslu</w:t>
            </w:r>
            <w:r w:rsidR="00907B43">
              <w:rPr>
                <w:rFonts w:ascii="Times New Roman" w:eastAsia="Times New Roman" w:hAnsi="Times New Roman" w:cs="Times New Roman"/>
                <w:sz w:val="28"/>
                <w:szCs w:val="28"/>
                <w:lang w:eastAsia="lv-LV"/>
              </w:rPr>
              <w:t>)</w:t>
            </w:r>
            <w:r w:rsidRPr="00B52256">
              <w:rPr>
                <w:rFonts w:ascii="Times New Roman" w:eastAsia="Times New Roman" w:hAnsi="Times New Roman" w:cs="Times New Roman"/>
                <w:sz w:val="28"/>
                <w:szCs w:val="28"/>
                <w:lang w:eastAsia="lv-LV"/>
              </w:rPr>
              <w:t xml:space="preserve">, un to galvenais uzdevums būs nodrošināt kvalitatīvu kultūras piedāvājumu </w:t>
            </w:r>
            <w:r w:rsidR="00560B17">
              <w:rPr>
                <w:rFonts w:ascii="Times New Roman" w:eastAsia="Times New Roman" w:hAnsi="Times New Roman" w:cs="Times New Roman"/>
                <w:sz w:val="28"/>
                <w:szCs w:val="28"/>
                <w:lang w:eastAsia="lv-LV"/>
              </w:rPr>
              <w:t xml:space="preserve">bērniem un jauniešiem vecuma grupā no </w:t>
            </w:r>
            <w:r w:rsidR="00C61807">
              <w:rPr>
                <w:rFonts w:ascii="Times New Roman" w:eastAsia="Times New Roman" w:hAnsi="Times New Roman" w:cs="Times New Roman"/>
                <w:sz w:val="28"/>
                <w:szCs w:val="28"/>
                <w:lang w:eastAsia="lv-LV"/>
              </w:rPr>
              <w:t>sešiem</w:t>
            </w:r>
            <w:r w:rsidR="00560B17">
              <w:rPr>
                <w:rFonts w:ascii="Times New Roman" w:eastAsia="Times New Roman" w:hAnsi="Times New Roman" w:cs="Times New Roman"/>
                <w:sz w:val="28"/>
                <w:szCs w:val="28"/>
                <w:lang w:eastAsia="lv-LV"/>
              </w:rPr>
              <w:t xml:space="preserve"> līdz 18 gadiem</w:t>
            </w:r>
            <w:r w:rsidR="00907B43" w:rsidRPr="00B52256" w:rsidDel="00907B43">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visā Latvijā.</w:t>
            </w:r>
            <w:r w:rsidR="00907B43">
              <w:rPr>
                <w:rFonts w:ascii="Times New Roman" w:eastAsia="Times New Roman" w:hAnsi="Times New Roman" w:cs="Times New Roman"/>
                <w:sz w:val="28"/>
                <w:szCs w:val="28"/>
                <w:lang w:eastAsia="lv-LV"/>
              </w:rPr>
              <w:t xml:space="preserve"> Programmas ietvaros nav paredzēts sniegt atbalstu televīzijas pārraižu un filmu veidošanai.</w:t>
            </w:r>
            <w:r w:rsidRPr="00B52256">
              <w:rPr>
                <w:rFonts w:ascii="Times New Roman" w:eastAsia="Times New Roman" w:hAnsi="Times New Roman" w:cs="Times New Roman"/>
                <w:sz w:val="28"/>
                <w:szCs w:val="28"/>
                <w:lang w:eastAsia="lv-LV"/>
              </w:rPr>
              <w:t xml:space="preserve"> Komponentes, </w:t>
            </w:r>
            <w:r w:rsidR="00AA7C99" w:rsidRPr="00B52256">
              <w:rPr>
                <w:rFonts w:ascii="Times New Roman" w:eastAsia="Times New Roman" w:hAnsi="Times New Roman" w:cs="Times New Roman"/>
                <w:sz w:val="28"/>
                <w:szCs w:val="28"/>
                <w:lang w:eastAsia="lv-LV"/>
              </w:rPr>
              <w:t>k</w:t>
            </w:r>
            <w:r w:rsidR="00AA7C99">
              <w:rPr>
                <w:rFonts w:ascii="Times New Roman" w:eastAsia="Times New Roman" w:hAnsi="Times New Roman" w:cs="Times New Roman"/>
                <w:sz w:val="28"/>
                <w:szCs w:val="28"/>
                <w:lang w:eastAsia="lv-LV"/>
              </w:rPr>
              <w:t>o plānots</w:t>
            </w:r>
            <w:r w:rsidR="00AA7C99"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ietvert projektos, ir kultūras produkta izstrāde, kas piemērota mērķa</w:t>
            </w:r>
            <w:r w:rsidR="00C61807">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grupai, kā arī auditorijas attīstība, kas ietver  diskusijas, seminārus</w:t>
            </w:r>
            <w:r w:rsidR="007721FC">
              <w:rPr>
                <w:rFonts w:ascii="Times New Roman" w:eastAsia="Times New Roman" w:hAnsi="Times New Roman" w:cs="Times New Roman"/>
                <w:sz w:val="28"/>
                <w:szCs w:val="28"/>
                <w:lang w:eastAsia="lv-LV"/>
              </w:rPr>
              <w:t>,</w:t>
            </w:r>
            <w:r w:rsidRPr="00B52256">
              <w:rPr>
                <w:rFonts w:ascii="Times New Roman" w:eastAsia="Times New Roman" w:hAnsi="Times New Roman" w:cs="Times New Roman"/>
                <w:sz w:val="28"/>
                <w:szCs w:val="28"/>
                <w:lang w:eastAsia="lv-LV"/>
              </w:rPr>
              <w:t xml:space="preserve"> mācības, t</w:t>
            </w:r>
            <w:r w:rsidR="00AA7C99">
              <w:rPr>
                <w:rFonts w:ascii="Times New Roman" w:eastAsia="Times New Roman" w:hAnsi="Times New Roman" w:cs="Times New Roman"/>
                <w:sz w:val="28"/>
                <w:szCs w:val="28"/>
                <w:lang w:eastAsia="lv-LV"/>
              </w:rPr>
              <w:t>ai skaitā</w:t>
            </w:r>
            <w:r w:rsidRPr="00B52256">
              <w:rPr>
                <w:rFonts w:ascii="Times New Roman" w:eastAsia="Times New Roman" w:hAnsi="Times New Roman" w:cs="Times New Roman"/>
                <w:sz w:val="28"/>
                <w:szCs w:val="28"/>
                <w:lang w:eastAsia="lv-LV"/>
              </w:rPr>
              <w:t xml:space="preserve"> izglītības un kultūras jomas speciālistiem, kas nodrošinās labāku kultūras izpratnes kompetenci. Lai nodrošinātu projektu ilgtspēju un nodrošinātu plašāku kultūras pieejamību skolēniem, mērķis ir apstiprināt projektus, ko būs iespējams iekļaut Latvijas Skolas somas programmā. </w:t>
            </w:r>
            <w:r w:rsidR="0081794B" w:rsidRPr="00B52256">
              <w:rPr>
                <w:rFonts w:ascii="Times New Roman" w:eastAsia="Times New Roman" w:hAnsi="Times New Roman" w:cs="Times New Roman"/>
                <w:sz w:val="28"/>
                <w:szCs w:val="28"/>
                <w:lang w:eastAsia="lv-LV"/>
              </w:rPr>
              <w:t xml:space="preserve">Atklātā konkursa projektu pamatmērķis nav gūt peļņu (projektam ir nekomerciāls raksturs, to īstenojot </w:t>
            </w:r>
            <w:r w:rsidR="00AA7C99">
              <w:rPr>
                <w:rFonts w:ascii="Times New Roman" w:eastAsia="Times New Roman" w:hAnsi="Times New Roman" w:cs="Times New Roman"/>
                <w:sz w:val="28"/>
                <w:szCs w:val="28"/>
                <w:lang w:eastAsia="lv-LV"/>
              </w:rPr>
              <w:t>nav plānots</w:t>
            </w:r>
            <w:r w:rsidR="00AA7C99" w:rsidRPr="00B52256">
              <w:rPr>
                <w:rFonts w:ascii="Times New Roman" w:eastAsia="Times New Roman" w:hAnsi="Times New Roman" w:cs="Times New Roman"/>
                <w:sz w:val="28"/>
                <w:szCs w:val="28"/>
                <w:lang w:eastAsia="lv-LV"/>
              </w:rPr>
              <w:t xml:space="preserve"> </w:t>
            </w:r>
            <w:r w:rsidR="0081794B" w:rsidRPr="00B52256">
              <w:rPr>
                <w:rFonts w:ascii="Times New Roman" w:eastAsia="Times New Roman" w:hAnsi="Times New Roman" w:cs="Times New Roman"/>
                <w:sz w:val="28"/>
                <w:szCs w:val="28"/>
                <w:lang w:eastAsia="lv-LV"/>
              </w:rPr>
              <w:t xml:space="preserve">gūt </w:t>
            </w:r>
            <w:r w:rsidR="00AA7C99" w:rsidRPr="00B52256">
              <w:rPr>
                <w:rFonts w:ascii="Times New Roman" w:eastAsia="Times New Roman" w:hAnsi="Times New Roman" w:cs="Times New Roman"/>
                <w:sz w:val="28"/>
                <w:szCs w:val="28"/>
                <w:lang w:eastAsia="lv-LV"/>
              </w:rPr>
              <w:t>ieņēmum</w:t>
            </w:r>
            <w:r w:rsidR="00AA7C99">
              <w:rPr>
                <w:rFonts w:ascii="Times New Roman" w:eastAsia="Times New Roman" w:hAnsi="Times New Roman" w:cs="Times New Roman"/>
                <w:sz w:val="28"/>
                <w:szCs w:val="28"/>
                <w:lang w:eastAsia="lv-LV"/>
              </w:rPr>
              <w:t>us</w:t>
            </w:r>
            <w:r w:rsidR="00AA7C99" w:rsidRPr="00B52256">
              <w:rPr>
                <w:rFonts w:ascii="Times New Roman" w:eastAsia="Times New Roman" w:hAnsi="Times New Roman" w:cs="Times New Roman"/>
                <w:sz w:val="28"/>
                <w:szCs w:val="28"/>
                <w:lang w:eastAsia="lv-LV"/>
              </w:rPr>
              <w:t xml:space="preserve"> </w:t>
            </w:r>
            <w:r w:rsidR="0081794B" w:rsidRPr="00B52256">
              <w:rPr>
                <w:rFonts w:ascii="Times New Roman" w:eastAsia="Times New Roman" w:hAnsi="Times New Roman" w:cs="Times New Roman"/>
                <w:sz w:val="28"/>
                <w:szCs w:val="28"/>
                <w:lang w:eastAsia="lv-LV"/>
              </w:rPr>
              <w:t>(biļešu ieņēmumi, maksas pakalpojumi u.c. pašu ieņēmumi)</w:t>
            </w:r>
            <w:r w:rsidR="003E12A3">
              <w:rPr>
                <w:rFonts w:ascii="Times New Roman" w:eastAsia="Times New Roman" w:hAnsi="Times New Roman" w:cs="Times New Roman"/>
                <w:sz w:val="28"/>
                <w:szCs w:val="28"/>
                <w:lang w:eastAsia="lv-LV"/>
              </w:rPr>
              <w:t xml:space="preserve">, kas </w:t>
            </w:r>
            <w:r w:rsidR="0081794B" w:rsidRPr="00B52256">
              <w:rPr>
                <w:rFonts w:ascii="Times New Roman" w:eastAsia="Times New Roman" w:hAnsi="Times New Roman" w:cs="Times New Roman"/>
                <w:sz w:val="28"/>
                <w:szCs w:val="28"/>
                <w:lang w:eastAsia="lv-LV"/>
              </w:rPr>
              <w:t>pārsni</w:t>
            </w:r>
            <w:r w:rsidR="003E12A3">
              <w:rPr>
                <w:rFonts w:ascii="Times New Roman" w:eastAsia="Times New Roman" w:hAnsi="Times New Roman" w:cs="Times New Roman"/>
                <w:sz w:val="28"/>
                <w:szCs w:val="28"/>
                <w:lang w:eastAsia="lv-LV"/>
              </w:rPr>
              <w:t>eg</w:t>
            </w:r>
            <w:r w:rsidR="00403A27">
              <w:rPr>
                <w:rFonts w:ascii="Times New Roman" w:eastAsia="Times New Roman" w:hAnsi="Times New Roman" w:cs="Times New Roman"/>
                <w:sz w:val="28"/>
                <w:szCs w:val="28"/>
                <w:lang w:eastAsia="lv-LV"/>
              </w:rPr>
              <w:t>tu</w:t>
            </w:r>
            <w:r w:rsidR="0081794B" w:rsidRPr="00B52256">
              <w:rPr>
                <w:rFonts w:ascii="Times New Roman" w:eastAsia="Times New Roman" w:hAnsi="Times New Roman" w:cs="Times New Roman"/>
                <w:sz w:val="28"/>
                <w:szCs w:val="28"/>
                <w:lang w:eastAsia="lv-LV"/>
              </w:rPr>
              <w:t xml:space="preserve"> 50</w:t>
            </w:r>
            <w:r w:rsidR="00AA7C99">
              <w:rPr>
                <w:rFonts w:ascii="Times New Roman" w:eastAsia="Times New Roman" w:hAnsi="Times New Roman" w:cs="Times New Roman"/>
                <w:sz w:val="28"/>
                <w:szCs w:val="28"/>
                <w:lang w:eastAsia="lv-LV"/>
              </w:rPr>
              <w:t xml:space="preserve"> procentus</w:t>
            </w:r>
            <w:r w:rsidR="00AA7C99" w:rsidRPr="00B52256">
              <w:rPr>
                <w:rFonts w:ascii="Times New Roman" w:eastAsia="Times New Roman" w:hAnsi="Times New Roman" w:cs="Times New Roman"/>
                <w:sz w:val="28"/>
                <w:szCs w:val="28"/>
                <w:lang w:eastAsia="lv-LV"/>
              </w:rPr>
              <w:t xml:space="preserve"> </w:t>
            </w:r>
            <w:r w:rsidR="0081794B" w:rsidRPr="00B52256">
              <w:rPr>
                <w:rFonts w:ascii="Times New Roman" w:eastAsia="Times New Roman" w:hAnsi="Times New Roman" w:cs="Times New Roman"/>
                <w:sz w:val="28"/>
                <w:szCs w:val="28"/>
                <w:lang w:eastAsia="lv-LV"/>
              </w:rPr>
              <w:t>no projekta īstenošanai kopējām nepieciešamām izmaksām).</w:t>
            </w:r>
          </w:p>
          <w:p w14:paraId="6307DDB5" w14:textId="2768C67D" w:rsidR="00C51E7F" w:rsidRPr="00B52256" w:rsidRDefault="00452166" w:rsidP="00842ECB">
            <w:pPr>
              <w:widowControl w:val="0"/>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Aktīvi iesaistot mērķa grupu</w:t>
            </w:r>
            <w:r w:rsidR="00C51E7F">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veicinot mērķa grupas sadarbību ar radošajiem profesionāļiem</w:t>
            </w:r>
            <w:r w:rsidR="00C51E7F">
              <w:rPr>
                <w:rFonts w:ascii="Times New Roman" w:eastAsia="Times New Roman" w:hAnsi="Times New Roman" w:cs="Times New Roman"/>
                <w:sz w:val="28"/>
                <w:szCs w:val="28"/>
                <w:lang w:eastAsia="lv-LV"/>
              </w:rPr>
              <w:t xml:space="preserve"> un</w:t>
            </w:r>
            <w:r w:rsidRPr="00B52256">
              <w:rPr>
                <w:rFonts w:ascii="Times New Roman" w:eastAsia="Times New Roman" w:hAnsi="Times New Roman" w:cs="Times New Roman"/>
                <w:sz w:val="28"/>
                <w:szCs w:val="28"/>
                <w:lang w:eastAsia="lv-LV"/>
              </w:rPr>
              <w:t xml:space="preserve"> </w:t>
            </w:r>
            <w:r w:rsidR="00AA7C99" w:rsidRPr="00B52256">
              <w:rPr>
                <w:rFonts w:ascii="Times New Roman" w:eastAsia="Times New Roman" w:hAnsi="Times New Roman" w:cs="Times New Roman"/>
                <w:sz w:val="28"/>
                <w:szCs w:val="28"/>
                <w:lang w:eastAsia="lv-LV"/>
              </w:rPr>
              <w:t>rad</w:t>
            </w:r>
            <w:r w:rsidR="00C51E7F">
              <w:rPr>
                <w:rFonts w:ascii="Times New Roman" w:eastAsia="Times New Roman" w:hAnsi="Times New Roman" w:cs="Times New Roman"/>
                <w:sz w:val="28"/>
                <w:szCs w:val="28"/>
                <w:lang w:eastAsia="lv-LV"/>
              </w:rPr>
              <w:t>ot</w:t>
            </w:r>
            <w:r w:rsidR="00AA7C99" w:rsidRPr="00B52256">
              <w:rPr>
                <w:rFonts w:ascii="Times New Roman" w:eastAsia="Times New Roman" w:hAnsi="Times New Roman" w:cs="Times New Roman"/>
                <w:sz w:val="28"/>
                <w:szCs w:val="28"/>
                <w:lang w:eastAsia="lv-LV"/>
              </w:rPr>
              <w:t xml:space="preserve"> jaun</w:t>
            </w:r>
            <w:r w:rsidR="00AA7C99">
              <w:rPr>
                <w:rFonts w:ascii="Times New Roman" w:eastAsia="Times New Roman" w:hAnsi="Times New Roman" w:cs="Times New Roman"/>
                <w:sz w:val="28"/>
                <w:szCs w:val="28"/>
                <w:lang w:eastAsia="lv-LV"/>
              </w:rPr>
              <w:t>us</w:t>
            </w:r>
            <w:r w:rsidR="00AA7C99"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kultūras produkt</w:t>
            </w:r>
            <w:r w:rsidR="00AA7C99">
              <w:rPr>
                <w:rFonts w:ascii="Times New Roman" w:eastAsia="Times New Roman" w:hAnsi="Times New Roman" w:cs="Times New Roman"/>
                <w:sz w:val="28"/>
                <w:szCs w:val="28"/>
                <w:lang w:eastAsia="lv-LV"/>
              </w:rPr>
              <w:t>us</w:t>
            </w:r>
            <w:r w:rsidRPr="00B52256">
              <w:rPr>
                <w:rFonts w:ascii="Times New Roman" w:eastAsia="Times New Roman" w:hAnsi="Times New Roman" w:cs="Times New Roman"/>
                <w:sz w:val="28"/>
                <w:szCs w:val="28"/>
                <w:lang w:eastAsia="lv-LV"/>
              </w:rPr>
              <w:t xml:space="preserve">, </w:t>
            </w:r>
            <w:r w:rsidR="00412254">
              <w:rPr>
                <w:rFonts w:ascii="Times New Roman" w:eastAsia="Times New Roman" w:hAnsi="Times New Roman" w:cs="Times New Roman"/>
                <w:sz w:val="28"/>
                <w:szCs w:val="28"/>
                <w:lang w:eastAsia="lv-LV"/>
              </w:rPr>
              <w:t xml:space="preserve">tiks </w:t>
            </w:r>
            <w:r w:rsidR="00AA7C99" w:rsidRPr="00B52256">
              <w:rPr>
                <w:rFonts w:ascii="Times New Roman" w:eastAsia="Times New Roman" w:hAnsi="Times New Roman" w:cs="Times New Roman"/>
                <w:sz w:val="28"/>
                <w:szCs w:val="28"/>
                <w:lang w:eastAsia="lv-LV"/>
              </w:rPr>
              <w:t>veicinā</w:t>
            </w:r>
            <w:r w:rsidR="00412254">
              <w:rPr>
                <w:rFonts w:ascii="Times New Roman" w:eastAsia="Times New Roman" w:hAnsi="Times New Roman" w:cs="Times New Roman"/>
                <w:sz w:val="28"/>
                <w:szCs w:val="28"/>
                <w:lang w:eastAsia="lv-LV"/>
              </w:rPr>
              <w:t>ta</w:t>
            </w:r>
            <w:r w:rsidR="00AA7C99" w:rsidRPr="00B52256">
              <w:rPr>
                <w:rFonts w:ascii="Times New Roman" w:eastAsia="Times New Roman" w:hAnsi="Times New Roman" w:cs="Times New Roman"/>
                <w:sz w:val="28"/>
                <w:szCs w:val="28"/>
                <w:lang w:eastAsia="lv-LV"/>
              </w:rPr>
              <w:t xml:space="preserve"> </w:t>
            </w:r>
            <w:r w:rsidR="0029235C" w:rsidRPr="00B52256">
              <w:rPr>
                <w:rFonts w:ascii="Times New Roman" w:eastAsia="Times New Roman" w:hAnsi="Times New Roman" w:cs="Times New Roman"/>
                <w:sz w:val="28"/>
                <w:szCs w:val="28"/>
                <w:lang w:eastAsia="lv-LV"/>
              </w:rPr>
              <w:t>plašāk</w:t>
            </w:r>
            <w:r w:rsidR="0029235C">
              <w:rPr>
                <w:rFonts w:ascii="Times New Roman" w:eastAsia="Times New Roman" w:hAnsi="Times New Roman" w:cs="Times New Roman"/>
                <w:sz w:val="28"/>
                <w:szCs w:val="28"/>
                <w:lang w:eastAsia="lv-LV"/>
              </w:rPr>
              <w:t>a</w:t>
            </w:r>
            <w:r w:rsidR="0029235C"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 xml:space="preserve">kultūras </w:t>
            </w:r>
            <w:r w:rsidR="0029235C" w:rsidRPr="00B52256">
              <w:rPr>
                <w:rFonts w:ascii="Times New Roman" w:eastAsia="Times New Roman" w:hAnsi="Times New Roman" w:cs="Times New Roman"/>
                <w:sz w:val="28"/>
                <w:szCs w:val="28"/>
                <w:lang w:eastAsia="lv-LV"/>
              </w:rPr>
              <w:t>pieejamīb</w:t>
            </w:r>
            <w:r w:rsidR="0029235C">
              <w:rPr>
                <w:rFonts w:ascii="Times New Roman" w:eastAsia="Times New Roman" w:hAnsi="Times New Roman" w:cs="Times New Roman"/>
                <w:sz w:val="28"/>
                <w:szCs w:val="28"/>
                <w:lang w:eastAsia="lv-LV"/>
              </w:rPr>
              <w:t>a</w:t>
            </w:r>
            <w:r w:rsidR="0029235C"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visos Latvijas reģionos. Projekt</w:t>
            </w:r>
            <w:r w:rsidR="00AA7C99">
              <w:rPr>
                <w:rFonts w:ascii="Times New Roman" w:eastAsia="Times New Roman" w:hAnsi="Times New Roman" w:cs="Times New Roman"/>
                <w:sz w:val="28"/>
                <w:szCs w:val="28"/>
                <w:lang w:eastAsia="lv-LV"/>
              </w:rPr>
              <w:t>us</w:t>
            </w:r>
            <w:r w:rsidR="0093304A">
              <w:rPr>
                <w:rFonts w:ascii="Times New Roman" w:eastAsia="Times New Roman" w:hAnsi="Times New Roman" w:cs="Times New Roman"/>
                <w:sz w:val="28"/>
                <w:szCs w:val="28"/>
                <w:lang w:eastAsia="lv-LV"/>
              </w:rPr>
              <w:t xml:space="preserve"> varēs</w:t>
            </w:r>
            <w:r w:rsidRPr="00B52256">
              <w:rPr>
                <w:rFonts w:ascii="Times New Roman" w:eastAsia="Times New Roman" w:hAnsi="Times New Roman" w:cs="Times New Roman"/>
                <w:sz w:val="28"/>
                <w:szCs w:val="28"/>
                <w:lang w:eastAsia="lv-LV"/>
              </w:rPr>
              <w:t xml:space="preserve"> īsteno</w:t>
            </w:r>
            <w:r w:rsidR="0093304A">
              <w:rPr>
                <w:rFonts w:ascii="Times New Roman" w:eastAsia="Times New Roman" w:hAnsi="Times New Roman" w:cs="Times New Roman"/>
                <w:sz w:val="28"/>
                <w:szCs w:val="28"/>
                <w:lang w:eastAsia="lv-LV"/>
              </w:rPr>
              <w:t>t</w:t>
            </w:r>
            <w:r w:rsidRPr="00B52256">
              <w:rPr>
                <w:rFonts w:ascii="Times New Roman" w:eastAsia="Times New Roman" w:hAnsi="Times New Roman" w:cs="Times New Roman"/>
                <w:sz w:val="28"/>
                <w:szCs w:val="28"/>
                <w:lang w:eastAsia="lv-LV"/>
              </w:rPr>
              <w:t xml:space="preserve"> sadarbībā ar kultūras organizācijām, vietējām pašvaldībām, izglītības iestādēm</w:t>
            </w:r>
            <w:r w:rsidR="0093304A">
              <w:rPr>
                <w:rFonts w:ascii="Times New Roman" w:eastAsia="Times New Roman" w:hAnsi="Times New Roman" w:cs="Times New Roman"/>
                <w:sz w:val="28"/>
                <w:szCs w:val="28"/>
                <w:lang w:eastAsia="lv-LV"/>
              </w:rPr>
              <w:t>,</w:t>
            </w:r>
            <w:r w:rsidRPr="00B52256">
              <w:rPr>
                <w:rFonts w:ascii="Times New Roman" w:eastAsia="Times New Roman" w:hAnsi="Times New Roman" w:cs="Times New Roman"/>
                <w:sz w:val="28"/>
                <w:szCs w:val="28"/>
                <w:lang w:eastAsia="lv-LV"/>
              </w:rPr>
              <w:t xml:space="preserve"> </w:t>
            </w:r>
            <w:r w:rsidR="00C51E7F">
              <w:rPr>
                <w:rFonts w:ascii="Times New Roman" w:eastAsia="Times New Roman" w:hAnsi="Times New Roman" w:cs="Times New Roman"/>
                <w:sz w:val="28"/>
                <w:szCs w:val="28"/>
                <w:lang w:eastAsia="lv-LV"/>
              </w:rPr>
              <w:t>biedrībām un nodibinājumiem</w:t>
            </w:r>
            <w:r w:rsidRPr="00B52256">
              <w:rPr>
                <w:rFonts w:ascii="Times New Roman" w:eastAsia="Times New Roman" w:hAnsi="Times New Roman" w:cs="Times New Roman"/>
                <w:sz w:val="28"/>
                <w:szCs w:val="28"/>
                <w:lang w:eastAsia="lv-LV"/>
              </w:rPr>
              <w:t xml:space="preserve">. Projektu ietvaros veidotie kultūras produkti </w:t>
            </w:r>
            <w:r w:rsidR="00C51E7F">
              <w:rPr>
                <w:rFonts w:ascii="Times New Roman" w:eastAsia="Times New Roman" w:hAnsi="Times New Roman" w:cs="Times New Roman"/>
                <w:sz w:val="28"/>
                <w:szCs w:val="28"/>
                <w:lang w:eastAsia="lv-LV"/>
              </w:rPr>
              <w:t>būs</w:t>
            </w:r>
            <w:r w:rsidR="00C51E7F"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fokusēti uz izpratnes veidošanu bērnu un jauniešu auditorijai par kultūras procesiem, zināšanu palielināšanu un kompetences celšanas aktivitātēm, tādējādi var secināt, ka šāda veida aktivitātes kalpo sociālam un kultūras mērķim, kam nav saimnieciska rakstura pazīmes</w:t>
            </w:r>
            <w:r w:rsidR="008C320B">
              <w:rPr>
                <w:rFonts w:ascii="Times New Roman" w:eastAsia="Times New Roman" w:hAnsi="Times New Roman" w:cs="Times New Roman"/>
                <w:sz w:val="28"/>
                <w:szCs w:val="28"/>
                <w:lang w:eastAsia="lv-LV"/>
              </w:rPr>
              <w:t>,</w:t>
            </w:r>
            <w:r w:rsidR="00C51E7F">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 xml:space="preserve">attiecīgi komercdarbības atbalsta </w:t>
            </w:r>
            <w:r w:rsidRPr="00B52256">
              <w:rPr>
                <w:rFonts w:ascii="Times New Roman" w:eastAsia="Times New Roman" w:hAnsi="Times New Roman" w:cs="Times New Roman"/>
                <w:sz w:val="28"/>
                <w:szCs w:val="28"/>
                <w:lang w:eastAsia="lv-LV"/>
              </w:rPr>
              <w:lastRenderedPageBreak/>
              <w:t>noteikumi nav jāpiemēro.</w:t>
            </w:r>
          </w:p>
          <w:p w14:paraId="3FD14FA1" w14:textId="77777777" w:rsidR="00644224" w:rsidRPr="00B52256" w:rsidRDefault="00402005" w:rsidP="00842ECB">
            <w:pPr>
              <w:widowControl w:val="0"/>
              <w:jc w:val="both"/>
              <w:rPr>
                <w:rFonts w:ascii="Times New Roman" w:hAnsi="Times New Roman"/>
                <w:sz w:val="28"/>
                <w:szCs w:val="28"/>
                <w:lang w:eastAsia="lv-LV"/>
              </w:rPr>
            </w:pPr>
            <w:r w:rsidRPr="00B52256">
              <w:rPr>
                <w:rFonts w:ascii="Times New Roman" w:hAnsi="Times New Roman" w:cs="Times New Roman"/>
                <w:sz w:val="28"/>
                <w:szCs w:val="28"/>
                <w:lang w:eastAsia="lv-LV"/>
              </w:rPr>
              <w:t xml:space="preserve">Atbilstoši Starptautisko un </w:t>
            </w:r>
            <w:r w:rsidR="00B12E4B" w:rsidRPr="00B52256">
              <w:rPr>
                <w:rFonts w:ascii="Times New Roman" w:hAnsi="Times New Roman" w:cs="Times New Roman"/>
                <w:sz w:val="28"/>
                <w:szCs w:val="28"/>
                <w:lang w:eastAsia="lv-LV"/>
              </w:rPr>
              <w:t>Latvijas nacionālo sankciju likumam</w:t>
            </w:r>
            <w:r w:rsidR="009A7115" w:rsidRPr="00B52256">
              <w:rPr>
                <w:rFonts w:ascii="Times New Roman" w:hAnsi="Times New Roman" w:cs="Times New Roman"/>
                <w:sz w:val="28"/>
                <w:szCs w:val="28"/>
                <w:lang w:eastAsia="lv-LV"/>
              </w:rPr>
              <w:t xml:space="preserve"> (turpmāk – Sankciju likums)</w:t>
            </w:r>
            <w:r w:rsidR="00B12E4B" w:rsidRPr="00B52256">
              <w:rPr>
                <w:rFonts w:ascii="Times New Roman" w:hAnsi="Times New Roman" w:cs="Times New Roman"/>
                <w:sz w:val="28"/>
                <w:szCs w:val="28"/>
                <w:lang w:eastAsia="lv-LV"/>
              </w:rPr>
              <w:t>, lai gūtu pārliecību, ka programmas līdzekļi netiek izmaksāti</w:t>
            </w:r>
            <w:r w:rsidR="00E93523" w:rsidRPr="00B52256">
              <w:rPr>
                <w:rFonts w:ascii="Times New Roman" w:hAnsi="Times New Roman" w:cs="Times New Roman"/>
                <w:sz w:val="28"/>
                <w:szCs w:val="28"/>
                <w:lang w:eastAsia="lv-LV"/>
              </w:rPr>
              <w:t xml:space="preserve"> </w:t>
            </w:r>
            <w:r w:rsidR="00B12E4B" w:rsidRPr="00B52256">
              <w:rPr>
                <w:rFonts w:ascii="Times New Roman" w:hAnsi="Times New Roman" w:cs="Times New Roman"/>
                <w:sz w:val="28"/>
                <w:szCs w:val="28"/>
                <w:lang w:eastAsia="lv-LV"/>
              </w:rPr>
              <w:t xml:space="preserve">sankciju </w:t>
            </w:r>
            <w:r w:rsidR="00E93523" w:rsidRPr="00B52256">
              <w:rPr>
                <w:rFonts w:ascii="Times New Roman" w:hAnsi="Times New Roman" w:cs="Times New Roman"/>
                <w:sz w:val="28"/>
                <w:szCs w:val="28"/>
                <w:lang w:eastAsia="lv-LV"/>
              </w:rPr>
              <w:t xml:space="preserve">sarakstā esošiem </w:t>
            </w:r>
            <w:r w:rsidR="00B12E4B" w:rsidRPr="00B52256">
              <w:rPr>
                <w:rFonts w:ascii="Times New Roman" w:hAnsi="Times New Roman" w:cs="Times New Roman"/>
                <w:sz w:val="28"/>
                <w:szCs w:val="28"/>
                <w:lang w:eastAsia="lv-LV"/>
              </w:rPr>
              <w:t>subje</w:t>
            </w:r>
            <w:r w:rsidR="00644224" w:rsidRPr="00B52256">
              <w:rPr>
                <w:rFonts w:ascii="Times New Roman" w:hAnsi="Times New Roman" w:cs="Times New Roman"/>
                <w:sz w:val="28"/>
                <w:szCs w:val="28"/>
                <w:lang w:eastAsia="lv-LV"/>
              </w:rPr>
              <w:t>ktiem:</w:t>
            </w:r>
          </w:p>
          <w:p w14:paraId="5BE8BC63" w14:textId="03BD6A85" w:rsidR="009A7115" w:rsidRPr="00B52256" w:rsidRDefault="00644224" w:rsidP="00BA4EF1">
            <w:pPr>
              <w:pStyle w:val="tvhtml1"/>
              <w:numPr>
                <w:ilvl w:val="0"/>
                <w:numId w:val="1"/>
              </w:numPr>
              <w:spacing w:before="0" w:beforeAutospacing="0" w:line="240" w:lineRule="auto"/>
              <w:ind w:left="317" w:hanging="283"/>
              <w:jc w:val="both"/>
              <w:rPr>
                <w:rFonts w:ascii="Times New Roman" w:hAnsi="Times New Roman"/>
                <w:sz w:val="28"/>
                <w:szCs w:val="28"/>
                <w:lang w:val="lv-LV" w:eastAsia="lv-LV"/>
              </w:rPr>
            </w:pPr>
            <w:r w:rsidRPr="00B52256">
              <w:rPr>
                <w:rFonts w:ascii="Times New Roman" w:hAnsi="Times New Roman"/>
                <w:sz w:val="28"/>
                <w:szCs w:val="28"/>
                <w:lang w:val="lv-LV" w:eastAsia="lv-LV"/>
              </w:rPr>
              <w:t xml:space="preserve">pirms </w:t>
            </w:r>
            <w:r w:rsidR="009A7115" w:rsidRPr="00B52256">
              <w:rPr>
                <w:rFonts w:ascii="Times New Roman" w:hAnsi="Times New Roman"/>
                <w:sz w:val="28"/>
                <w:szCs w:val="28"/>
                <w:lang w:val="lv-LV" w:eastAsia="lv-LV"/>
              </w:rPr>
              <w:t xml:space="preserve">projekta līguma noslēgšanas </w:t>
            </w:r>
            <w:r w:rsidR="00D03423" w:rsidRPr="00B52256">
              <w:rPr>
                <w:rFonts w:ascii="Times New Roman" w:hAnsi="Times New Roman"/>
                <w:sz w:val="28"/>
                <w:szCs w:val="28"/>
                <w:lang w:val="lv-LV" w:eastAsia="lv-LV"/>
              </w:rPr>
              <w:t>programmas partneris</w:t>
            </w:r>
            <w:r w:rsidRPr="00B52256">
              <w:rPr>
                <w:rFonts w:ascii="Times New Roman" w:hAnsi="Times New Roman"/>
                <w:sz w:val="28"/>
                <w:szCs w:val="28"/>
                <w:lang w:val="lv-LV" w:eastAsia="lv-LV"/>
              </w:rPr>
              <w:t xml:space="preserve"> pārliecināsies, ka nav noteiktas starptautiskās vai nacionālās sankcijas vai būtiskas finanšu un kapitāla tirgus intereses ietekmējošas Eiropas Savienības vai Ziemeļatlantijas līguma organizācijas dalībvalsts sankcijas</w:t>
            </w:r>
            <w:r w:rsidR="009A7115" w:rsidRPr="00B52256">
              <w:rPr>
                <w:rFonts w:ascii="Times New Roman" w:hAnsi="Times New Roman"/>
                <w:sz w:val="28"/>
                <w:szCs w:val="28"/>
                <w:lang w:val="lv-LV" w:eastAsia="lv-LV"/>
              </w:rPr>
              <w:t xml:space="preserve"> (turpmāk – sankcijas)</w:t>
            </w:r>
            <w:r w:rsidR="00976261" w:rsidRPr="00B52256">
              <w:rPr>
                <w:rFonts w:ascii="Times New Roman" w:hAnsi="Times New Roman"/>
                <w:sz w:val="28"/>
                <w:szCs w:val="28"/>
                <w:lang w:val="lv-LV" w:eastAsia="lv-LV"/>
              </w:rPr>
              <w:t>, a</w:t>
            </w:r>
            <w:r w:rsidR="00366897" w:rsidRPr="00B52256">
              <w:rPr>
                <w:rFonts w:ascii="Times New Roman" w:hAnsi="Times New Roman"/>
                <w:sz w:val="28"/>
                <w:szCs w:val="28"/>
                <w:lang w:val="lv-LV" w:eastAsia="lv-LV"/>
              </w:rPr>
              <w:t>tbilstoši Sankciju likuma 11.</w:t>
            </w:r>
            <w:r w:rsidR="00366897" w:rsidRPr="00B52256">
              <w:rPr>
                <w:rFonts w:ascii="Times New Roman" w:hAnsi="Times New Roman"/>
                <w:sz w:val="28"/>
                <w:szCs w:val="28"/>
                <w:vertAlign w:val="superscript"/>
                <w:lang w:val="lv-LV" w:eastAsia="lv-LV"/>
              </w:rPr>
              <w:t>2</w:t>
            </w:r>
            <w:r w:rsidR="00C51E7F">
              <w:rPr>
                <w:rFonts w:ascii="Times New Roman" w:hAnsi="Times New Roman"/>
                <w:sz w:val="28"/>
                <w:szCs w:val="28"/>
                <w:lang w:val="lv-LV" w:eastAsia="lv-LV"/>
              </w:rPr>
              <w:t> </w:t>
            </w:r>
            <w:r w:rsidR="00366897" w:rsidRPr="00B52256">
              <w:rPr>
                <w:rFonts w:ascii="Times New Roman" w:hAnsi="Times New Roman"/>
                <w:sz w:val="28"/>
                <w:szCs w:val="28"/>
                <w:lang w:val="lv-LV" w:eastAsia="lv-LV"/>
              </w:rPr>
              <w:t>panta pirmaj</w:t>
            </w:r>
            <w:r w:rsidR="00976261" w:rsidRPr="00B52256">
              <w:rPr>
                <w:rFonts w:ascii="Times New Roman" w:hAnsi="Times New Roman"/>
                <w:sz w:val="28"/>
                <w:szCs w:val="28"/>
                <w:lang w:val="lv-LV" w:eastAsia="lv-LV"/>
              </w:rPr>
              <w:t>ai daļai</w:t>
            </w:r>
            <w:r w:rsidR="009A7115" w:rsidRPr="00B52256">
              <w:rPr>
                <w:rFonts w:ascii="Times New Roman" w:hAnsi="Times New Roman"/>
                <w:sz w:val="28"/>
                <w:szCs w:val="28"/>
                <w:lang w:val="lv-LV" w:eastAsia="lv-LV"/>
              </w:rPr>
              <w:t>;</w:t>
            </w:r>
          </w:p>
          <w:p w14:paraId="0A900732" w14:textId="724FD3B3" w:rsidR="00EA7C00" w:rsidRPr="00B52256" w:rsidRDefault="00EA7C00" w:rsidP="00BA4EF1">
            <w:pPr>
              <w:pStyle w:val="tvhtml1"/>
              <w:numPr>
                <w:ilvl w:val="0"/>
                <w:numId w:val="1"/>
              </w:numPr>
              <w:spacing w:before="0" w:beforeAutospacing="0" w:line="240" w:lineRule="auto"/>
              <w:ind w:left="317" w:hanging="283"/>
              <w:jc w:val="both"/>
              <w:rPr>
                <w:rFonts w:ascii="Times New Roman" w:hAnsi="Times New Roman"/>
                <w:sz w:val="28"/>
                <w:szCs w:val="28"/>
                <w:lang w:val="lv-LV" w:eastAsia="lv-LV"/>
              </w:rPr>
            </w:pPr>
            <w:bookmarkStart w:id="3" w:name="_Hlk39577968"/>
            <w:r w:rsidRPr="00B52256">
              <w:rPr>
                <w:rFonts w:ascii="Times New Roman" w:hAnsi="Times New Roman"/>
                <w:sz w:val="28"/>
                <w:szCs w:val="28"/>
                <w:lang w:val="lv-LV" w:eastAsia="lv-LV"/>
              </w:rPr>
              <w:t xml:space="preserve">sankciju pārbaude ir paredzēta arī </w:t>
            </w:r>
            <w:r w:rsidR="008832D8" w:rsidRPr="00B52256">
              <w:rPr>
                <w:rFonts w:ascii="Times New Roman" w:hAnsi="Times New Roman"/>
                <w:sz w:val="28"/>
                <w:szCs w:val="28"/>
                <w:lang w:val="lv-LV" w:eastAsia="lv-LV"/>
              </w:rPr>
              <w:t xml:space="preserve">projektu </w:t>
            </w:r>
            <w:r w:rsidRPr="00B52256">
              <w:rPr>
                <w:rFonts w:ascii="Times New Roman" w:hAnsi="Times New Roman"/>
                <w:sz w:val="28"/>
                <w:szCs w:val="28"/>
                <w:lang w:val="lv-LV" w:eastAsia="lv-LV"/>
              </w:rPr>
              <w:t>uzraudzības posmā, proti, veicot pārskat</w:t>
            </w:r>
            <w:r w:rsidR="00366897" w:rsidRPr="00B52256">
              <w:rPr>
                <w:rFonts w:ascii="Times New Roman" w:hAnsi="Times New Roman"/>
                <w:sz w:val="28"/>
                <w:szCs w:val="28"/>
                <w:lang w:val="lv-LV" w:eastAsia="lv-LV"/>
              </w:rPr>
              <w:t>a</w:t>
            </w:r>
            <w:r w:rsidRPr="00B52256">
              <w:rPr>
                <w:rFonts w:ascii="Times New Roman" w:hAnsi="Times New Roman"/>
                <w:sz w:val="28"/>
                <w:szCs w:val="28"/>
                <w:lang w:val="lv-LV" w:eastAsia="lv-LV"/>
              </w:rPr>
              <w:t xml:space="preserve"> pārbaud</w:t>
            </w:r>
            <w:r w:rsidR="00366897" w:rsidRPr="00B52256">
              <w:rPr>
                <w:rFonts w:ascii="Times New Roman" w:hAnsi="Times New Roman"/>
                <w:sz w:val="28"/>
                <w:szCs w:val="28"/>
                <w:lang w:val="lv-LV" w:eastAsia="lv-LV"/>
              </w:rPr>
              <w:t>i (pirms maksājuma veikšanas)</w:t>
            </w:r>
            <w:r w:rsidRPr="00B52256">
              <w:rPr>
                <w:rFonts w:ascii="Times New Roman" w:hAnsi="Times New Roman"/>
                <w:sz w:val="28"/>
                <w:szCs w:val="28"/>
                <w:lang w:val="lv-LV" w:eastAsia="lv-LV"/>
              </w:rPr>
              <w:t xml:space="preserve">, pārbaudīs vai attiecībā uz līdzfinansējuma saņēmēju vai </w:t>
            </w:r>
            <w:r w:rsidR="008832D8" w:rsidRPr="00B52256">
              <w:rPr>
                <w:rFonts w:ascii="Times New Roman" w:hAnsi="Times New Roman"/>
                <w:sz w:val="28"/>
                <w:szCs w:val="28"/>
                <w:lang w:val="lv-LV" w:eastAsia="lv-LV"/>
              </w:rPr>
              <w:t>tā</w:t>
            </w:r>
            <w:r w:rsidRPr="00B52256">
              <w:rPr>
                <w:rFonts w:ascii="Times New Roman" w:hAnsi="Times New Roman"/>
                <w:sz w:val="28"/>
                <w:szCs w:val="28"/>
                <w:lang w:val="lv-LV" w:eastAsia="lv-LV"/>
              </w:rPr>
              <w:t xml:space="preserve"> partneri (vai to attiecīgajām amatpersonām) nav noteiktas sankcijas;</w:t>
            </w:r>
          </w:p>
          <w:bookmarkEnd w:id="3"/>
          <w:p w14:paraId="5270CBD9" w14:textId="02E8C47D" w:rsidR="00A92559" w:rsidRPr="00B52256" w:rsidRDefault="00644224" w:rsidP="00B6303F">
            <w:pPr>
              <w:pStyle w:val="tvhtml1"/>
              <w:numPr>
                <w:ilvl w:val="0"/>
                <w:numId w:val="1"/>
              </w:numPr>
              <w:spacing w:before="0" w:beforeAutospacing="0" w:line="240" w:lineRule="auto"/>
              <w:ind w:left="317" w:hanging="283"/>
              <w:jc w:val="both"/>
              <w:rPr>
                <w:rFonts w:ascii="Times New Roman" w:hAnsi="Times New Roman"/>
                <w:sz w:val="28"/>
                <w:szCs w:val="28"/>
                <w:lang w:val="lv-LV" w:eastAsia="lv-LV"/>
              </w:rPr>
            </w:pPr>
            <w:r w:rsidRPr="00B52256">
              <w:rPr>
                <w:rFonts w:ascii="Times New Roman" w:hAnsi="Times New Roman"/>
                <w:sz w:val="28"/>
                <w:szCs w:val="28"/>
                <w:lang w:val="lv-LV" w:eastAsia="lv-LV"/>
              </w:rPr>
              <w:t xml:space="preserve">projektu līgumos paredzēta iespēja </w:t>
            </w:r>
            <w:r w:rsidR="00907B43">
              <w:rPr>
                <w:rFonts w:ascii="Times New Roman" w:hAnsi="Times New Roman"/>
                <w:sz w:val="28"/>
                <w:szCs w:val="28"/>
                <w:lang w:val="lv-LV" w:eastAsia="lv-LV"/>
              </w:rPr>
              <w:t xml:space="preserve">programmas partnerim </w:t>
            </w:r>
            <w:r w:rsidRPr="00B52256">
              <w:rPr>
                <w:rFonts w:ascii="Times New Roman" w:hAnsi="Times New Roman"/>
                <w:sz w:val="28"/>
                <w:szCs w:val="28"/>
                <w:lang w:val="lv-LV" w:eastAsia="lv-LV"/>
              </w:rPr>
              <w:t xml:space="preserve">vienpusēji atkāpties no </w:t>
            </w:r>
            <w:r w:rsidR="00366897" w:rsidRPr="00B52256">
              <w:rPr>
                <w:rFonts w:ascii="Times New Roman" w:hAnsi="Times New Roman"/>
                <w:sz w:val="28"/>
                <w:szCs w:val="28"/>
                <w:lang w:val="lv-LV" w:eastAsia="lv-LV"/>
              </w:rPr>
              <w:t xml:space="preserve">projekta </w:t>
            </w:r>
            <w:r w:rsidRPr="00B52256">
              <w:rPr>
                <w:rFonts w:ascii="Times New Roman" w:hAnsi="Times New Roman"/>
                <w:sz w:val="28"/>
                <w:szCs w:val="28"/>
                <w:lang w:val="lv-LV" w:eastAsia="lv-LV"/>
              </w:rPr>
              <w:t>līguma atbilstoši Sankciju likuma 11.</w:t>
            </w:r>
            <w:r w:rsidRPr="00B52256">
              <w:rPr>
                <w:rFonts w:ascii="Times New Roman" w:hAnsi="Times New Roman"/>
                <w:sz w:val="28"/>
                <w:szCs w:val="28"/>
                <w:vertAlign w:val="superscript"/>
                <w:lang w:val="lv-LV" w:eastAsia="lv-LV"/>
              </w:rPr>
              <w:t>2</w:t>
            </w:r>
            <w:r w:rsidR="00C51E7F">
              <w:rPr>
                <w:rFonts w:ascii="Times New Roman" w:hAnsi="Times New Roman"/>
                <w:sz w:val="28"/>
                <w:szCs w:val="28"/>
                <w:lang w:val="lv-LV" w:eastAsia="lv-LV"/>
              </w:rPr>
              <w:t> </w:t>
            </w:r>
            <w:r w:rsidRPr="00B52256">
              <w:rPr>
                <w:rFonts w:ascii="Times New Roman" w:hAnsi="Times New Roman"/>
                <w:sz w:val="28"/>
                <w:szCs w:val="28"/>
                <w:lang w:val="lv-LV" w:eastAsia="lv-LV"/>
              </w:rPr>
              <w:t>panta trešajai daļai</w:t>
            </w:r>
            <w:r w:rsidR="00366897" w:rsidRPr="00B52256">
              <w:rPr>
                <w:rFonts w:ascii="Times New Roman" w:hAnsi="Times New Roman"/>
                <w:sz w:val="28"/>
                <w:szCs w:val="28"/>
                <w:lang w:val="lv-LV" w:eastAsia="lv-LV"/>
              </w:rPr>
              <w:t xml:space="preserve">, ja </w:t>
            </w:r>
            <w:r w:rsidR="008B1680" w:rsidRPr="00B52256">
              <w:rPr>
                <w:rFonts w:ascii="Times New Roman" w:hAnsi="Times New Roman"/>
                <w:sz w:val="28"/>
                <w:szCs w:val="28"/>
                <w:lang w:val="lv-LV" w:eastAsia="lv-LV"/>
              </w:rPr>
              <w:t xml:space="preserve">to </w:t>
            </w:r>
            <w:r w:rsidR="00366897" w:rsidRPr="00B52256">
              <w:rPr>
                <w:rFonts w:ascii="Times New Roman" w:hAnsi="Times New Roman"/>
                <w:sz w:val="28"/>
                <w:szCs w:val="28"/>
                <w:lang w:val="lv-LV" w:eastAsia="lv-LV"/>
              </w:rPr>
              <w:t>nav iespējams izpildīt tādēļ, ka ir piemērotas sankcijas</w:t>
            </w:r>
            <w:r w:rsidR="00402005" w:rsidRPr="00B52256">
              <w:rPr>
                <w:rFonts w:ascii="Times New Roman" w:hAnsi="Times New Roman"/>
                <w:sz w:val="28"/>
                <w:szCs w:val="28"/>
                <w:lang w:val="lv-LV" w:eastAsia="lv-LV"/>
              </w:rPr>
              <w:t>.</w:t>
            </w:r>
          </w:p>
          <w:p w14:paraId="7D2C4611" w14:textId="19A6232B" w:rsidR="00190386" w:rsidRDefault="00842ECB" w:rsidP="00842ECB">
            <w:pPr>
              <w:tabs>
                <w:tab w:val="left" w:pos="5460"/>
              </w:tabs>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643F9C" w:rsidRPr="00B52256">
              <w:rPr>
                <w:rFonts w:ascii="Times New Roman" w:eastAsia="Times New Roman" w:hAnsi="Times New Roman" w:cs="Times New Roman"/>
                <w:sz w:val="28"/>
                <w:szCs w:val="28"/>
                <w:lang w:eastAsia="lv-LV"/>
              </w:rPr>
              <w:t>r</w:t>
            </w:r>
            <w:r w:rsidR="00C51E7F">
              <w:rPr>
                <w:rFonts w:ascii="Times New Roman" w:eastAsia="Times New Roman" w:hAnsi="Times New Roman" w:cs="Times New Roman"/>
                <w:sz w:val="28"/>
                <w:szCs w:val="28"/>
                <w:lang w:eastAsia="lv-LV"/>
              </w:rPr>
              <w:t xml:space="preserve"> </w:t>
            </w:r>
            <w:r w:rsidR="00643F9C" w:rsidRPr="00B52256">
              <w:rPr>
                <w:rFonts w:ascii="Times New Roman" w:eastAsia="Times New Roman" w:hAnsi="Times New Roman" w:cs="Times New Roman"/>
                <w:sz w:val="28"/>
                <w:szCs w:val="28"/>
                <w:lang w:eastAsia="lv-LV"/>
              </w:rPr>
              <w:t>a</w:t>
            </w:r>
            <w:r w:rsidR="00190386" w:rsidRPr="00B52256">
              <w:rPr>
                <w:rFonts w:ascii="Times New Roman" w:eastAsia="Times New Roman" w:hAnsi="Times New Roman" w:cs="Times New Roman"/>
                <w:sz w:val="28"/>
                <w:szCs w:val="28"/>
                <w:lang w:eastAsia="lv-LV"/>
              </w:rPr>
              <w:t>tklātā konkursa projektu iesniegumu vērtēšanas kritēriji</w:t>
            </w:r>
            <w:r w:rsidR="00643F9C" w:rsidRPr="00B52256">
              <w:rPr>
                <w:rFonts w:ascii="Times New Roman" w:eastAsia="Times New Roman" w:hAnsi="Times New Roman" w:cs="Times New Roman"/>
                <w:sz w:val="28"/>
                <w:szCs w:val="28"/>
                <w:lang w:eastAsia="lv-LV"/>
              </w:rPr>
              <w:t xml:space="preserve">em </w:t>
            </w:r>
            <w:r w:rsidR="00C51E7F">
              <w:rPr>
                <w:rFonts w:ascii="Times New Roman" w:eastAsia="Times New Roman" w:hAnsi="Times New Roman" w:cs="Times New Roman"/>
                <w:sz w:val="28"/>
                <w:szCs w:val="28"/>
                <w:lang w:eastAsia="lv-LV"/>
              </w:rPr>
              <w:t xml:space="preserve">programmas partneris </w:t>
            </w:r>
            <w:r w:rsidR="00643F9C" w:rsidRPr="00B52256">
              <w:rPr>
                <w:rFonts w:ascii="Times New Roman" w:eastAsia="Times New Roman" w:hAnsi="Times New Roman" w:cs="Times New Roman"/>
                <w:sz w:val="28"/>
                <w:szCs w:val="28"/>
                <w:lang w:eastAsia="lv-LV"/>
              </w:rPr>
              <w:t>vērtē</w:t>
            </w:r>
            <w:r w:rsidR="00C51E7F">
              <w:rPr>
                <w:rFonts w:ascii="Times New Roman" w:eastAsia="Times New Roman" w:hAnsi="Times New Roman" w:cs="Times New Roman"/>
                <w:sz w:val="28"/>
                <w:szCs w:val="28"/>
                <w:lang w:eastAsia="lv-LV"/>
              </w:rPr>
              <w:t>s</w:t>
            </w:r>
            <w:r w:rsidR="00643F9C" w:rsidRPr="00B52256">
              <w:rPr>
                <w:rFonts w:ascii="Times New Roman" w:eastAsia="Times New Roman" w:hAnsi="Times New Roman" w:cs="Times New Roman"/>
                <w:sz w:val="28"/>
                <w:szCs w:val="28"/>
                <w:lang w:eastAsia="lv-LV"/>
              </w:rPr>
              <w:t xml:space="preserve"> projekta iesniegumā iekļauto attiecināmo izmaksu </w:t>
            </w:r>
            <w:r w:rsidR="00C51E7F" w:rsidRPr="00B52256">
              <w:rPr>
                <w:rFonts w:ascii="Times New Roman" w:eastAsia="Times New Roman" w:hAnsi="Times New Roman" w:cs="Times New Roman"/>
                <w:sz w:val="28"/>
                <w:szCs w:val="28"/>
                <w:lang w:eastAsia="lv-LV"/>
              </w:rPr>
              <w:t>atbilstīb</w:t>
            </w:r>
            <w:r w:rsidR="00C51E7F">
              <w:rPr>
                <w:rFonts w:ascii="Times New Roman" w:eastAsia="Times New Roman" w:hAnsi="Times New Roman" w:cs="Times New Roman"/>
                <w:sz w:val="28"/>
                <w:szCs w:val="28"/>
                <w:lang w:eastAsia="lv-LV"/>
              </w:rPr>
              <w:t>u</w:t>
            </w:r>
            <w:r w:rsidR="00C51E7F" w:rsidRPr="00B52256">
              <w:rPr>
                <w:rFonts w:ascii="Times New Roman" w:eastAsia="Times New Roman" w:hAnsi="Times New Roman" w:cs="Times New Roman"/>
                <w:sz w:val="28"/>
                <w:szCs w:val="28"/>
                <w:lang w:eastAsia="lv-LV"/>
              </w:rPr>
              <w:t xml:space="preserve"> </w:t>
            </w:r>
            <w:r w:rsidR="00643F9C" w:rsidRPr="00B52256">
              <w:rPr>
                <w:rFonts w:ascii="Times New Roman" w:eastAsia="Times New Roman" w:hAnsi="Times New Roman" w:cs="Times New Roman"/>
                <w:sz w:val="28"/>
                <w:szCs w:val="28"/>
                <w:lang w:eastAsia="lv-LV"/>
              </w:rPr>
              <w:t xml:space="preserve">un </w:t>
            </w:r>
            <w:r w:rsidR="00C51E7F" w:rsidRPr="00B52256">
              <w:rPr>
                <w:rFonts w:ascii="Times New Roman" w:eastAsia="Times New Roman" w:hAnsi="Times New Roman" w:cs="Times New Roman"/>
                <w:sz w:val="28"/>
                <w:szCs w:val="28"/>
                <w:lang w:eastAsia="lv-LV"/>
              </w:rPr>
              <w:t>samērīgum</w:t>
            </w:r>
            <w:r w:rsidR="00C51E7F">
              <w:rPr>
                <w:rFonts w:ascii="Times New Roman" w:eastAsia="Times New Roman" w:hAnsi="Times New Roman" w:cs="Times New Roman"/>
                <w:sz w:val="28"/>
                <w:szCs w:val="28"/>
                <w:lang w:eastAsia="lv-LV"/>
              </w:rPr>
              <w:t>u</w:t>
            </w:r>
            <w:r w:rsidR="00643F9C" w:rsidRPr="00B52256">
              <w:rPr>
                <w:rFonts w:ascii="Times New Roman" w:eastAsia="Times New Roman" w:hAnsi="Times New Roman" w:cs="Times New Roman"/>
                <w:sz w:val="28"/>
                <w:szCs w:val="28"/>
                <w:lang w:eastAsia="lv-LV"/>
              </w:rPr>
              <w:t xml:space="preserve">. Samērīgas izmaksas ir tādas, kuru vērtība ir proporcionāla sagaidāmajam rezultātam. Par izmaksu samērīgumu var pārliecināties, ņemot vērā līdzīgos projektos veiktās izmaksas, ņemot vērā </w:t>
            </w:r>
            <w:r w:rsidR="005A0602" w:rsidRPr="00B52256">
              <w:rPr>
                <w:rFonts w:ascii="Times New Roman" w:eastAsia="Times New Roman" w:hAnsi="Times New Roman" w:cs="Times New Roman"/>
                <w:sz w:val="28"/>
                <w:szCs w:val="28"/>
                <w:lang w:eastAsia="lv-LV"/>
              </w:rPr>
              <w:t xml:space="preserve">vērtēšanai pieaicināto </w:t>
            </w:r>
            <w:r w:rsidR="00643F9C" w:rsidRPr="00B52256">
              <w:rPr>
                <w:rFonts w:ascii="Times New Roman" w:eastAsia="Times New Roman" w:hAnsi="Times New Roman" w:cs="Times New Roman"/>
                <w:sz w:val="28"/>
                <w:szCs w:val="28"/>
                <w:lang w:eastAsia="lv-LV"/>
              </w:rPr>
              <w:t xml:space="preserve">ekspertu profesionālo pieredzi, vērtējot, vai izmaksas būtiski nepārsniedz ierastās izmaksas par konkrētiem produktiem vai pakalpojumiem, ar kuriem būtu iespējams sasniegt projekta mērķi un sasniedzamos rezultātus tādā pašā kvalitātē. </w:t>
            </w:r>
          </w:p>
          <w:p w14:paraId="4E70A3F7" w14:textId="7FA03994" w:rsidR="00246104" w:rsidRPr="00B52256" w:rsidRDefault="00246104" w:rsidP="00842ECB">
            <w:pPr>
              <w:tabs>
                <w:tab w:val="left" w:pos="5460"/>
              </w:tabs>
              <w:jc w:val="both"/>
              <w:rPr>
                <w:rFonts w:ascii="Times New Roman" w:hAnsi="Times New Roman"/>
                <w:sz w:val="28"/>
                <w:szCs w:val="28"/>
                <w:lang w:eastAsia="lv-LV"/>
              </w:rPr>
            </w:pPr>
            <w:r w:rsidRPr="00B52256">
              <w:rPr>
                <w:rFonts w:ascii="Times New Roman" w:eastAsia="Times New Roman" w:hAnsi="Times New Roman" w:cs="Times New Roman"/>
                <w:sz w:val="28"/>
                <w:szCs w:val="28"/>
                <w:lang w:eastAsia="lv-LV"/>
              </w:rPr>
              <w:lastRenderedPageBreak/>
              <w:t>Ar</w:t>
            </w:r>
            <w:r>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 xml:space="preserve">atklātā konkursa projektu iesniegumu vērtēšanas kritērijiem </w:t>
            </w:r>
            <w:r>
              <w:rPr>
                <w:rFonts w:ascii="Times New Roman" w:eastAsia="Times New Roman" w:hAnsi="Times New Roman" w:cs="Times New Roman"/>
                <w:sz w:val="28"/>
                <w:szCs w:val="28"/>
                <w:lang w:eastAsia="lv-LV"/>
              </w:rPr>
              <w:t xml:space="preserve">programmas partneris </w:t>
            </w:r>
            <w:r w:rsidRPr="00B52256">
              <w:rPr>
                <w:rFonts w:ascii="Times New Roman" w:eastAsia="Times New Roman" w:hAnsi="Times New Roman" w:cs="Times New Roman"/>
                <w:sz w:val="28"/>
                <w:szCs w:val="28"/>
                <w:lang w:eastAsia="lv-LV"/>
              </w:rPr>
              <w:t>vērtē</w:t>
            </w:r>
            <w:r>
              <w:rPr>
                <w:rFonts w:ascii="Times New Roman" w:eastAsia="Times New Roman" w:hAnsi="Times New Roman" w:cs="Times New Roman"/>
                <w:sz w:val="28"/>
                <w:szCs w:val="28"/>
                <w:lang w:eastAsia="lv-LV"/>
              </w:rPr>
              <w:t>s</w:t>
            </w:r>
            <w:r w:rsidRPr="00B5225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arī </w:t>
            </w:r>
            <w:r w:rsidRPr="00B52256">
              <w:rPr>
                <w:rFonts w:ascii="Times New Roman" w:eastAsia="Times New Roman" w:hAnsi="Times New Roman" w:cs="Times New Roman"/>
                <w:sz w:val="28"/>
                <w:szCs w:val="28"/>
                <w:lang w:eastAsia="lv-LV"/>
              </w:rPr>
              <w:t xml:space="preserve">projekta iesniegumā iekļauto </w:t>
            </w:r>
            <w:r>
              <w:rPr>
                <w:rFonts w:ascii="Times New Roman" w:eastAsia="Times New Roman" w:hAnsi="Times New Roman" w:cs="Times New Roman"/>
                <w:sz w:val="28"/>
                <w:szCs w:val="28"/>
                <w:lang w:eastAsia="lv-LV"/>
              </w:rPr>
              <w:t>projekta aktivitāšu</w:t>
            </w:r>
            <w:r w:rsidRPr="00B52256">
              <w:rPr>
                <w:rFonts w:ascii="Times New Roman" w:eastAsia="Times New Roman" w:hAnsi="Times New Roman" w:cs="Times New Roman"/>
                <w:sz w:val="28"/>
                <w:szCs w:val="28"/>
                <w:lang w:eastAsia="lv-LV"/>
              </w:rPr>
              <w:t xml:space="preserve"> atbilstīb</w:t>
            </w:r>
            <w:r>
              <w:rPr>
                <w:rFonts w:ascii="Times New Roman" w:eastAsia="Times New Roman" w:hAnsi="Times New Roman" w:cs="Times New Roman"/>
                <w:sz w:val="28"/>
                <w:szCs w:val="28"/>
                <w:lang w:eastAsia="lv-LV"/>
              </w:rPr>
              <w:t>u</w:t>
            </w:r>
            <w:r w:rsidRPr="00B52256">
              <w:rPr>
                <w:rFonts w:ascii="Times New Roman" w:eastAsia="Times New Roman" w:hAnsi="Times New Roman" w:cs="Times New Roman"/>
                <w:sz w:val="28"/>
                <w:szCs w:val="28"/>
                <w:lang w:eastAsia="lv-LV"/>
              </w:rPr>
              <w:t xml:space="preserve"> un samērīgum</w:t>
            </w:r>
            <w:r>
              <w:rPr>
                <w:rFonts w:ascii="Times New Roman" w:eastAsia="Times New Roman" w:hAnsi="Times New Roman" w:cs="Times New Roman"/>
                <w:sz w:val="28"/>
                <w:szCs w:val="28"/>
                <w:lang w:eastAsia="lv-LV"/>
              </w:rPr>
              <w:t>u</w:t>
            </w:r>
            <w:r w:rsidRPr="00B52256">
              <w:rPr>
                <w:rFonts w:ascii="Times New Roman" w:eastAsia="Times New Roman" w:hAnsi="Times New Roman" w:cs="Times New Roman"/>
                <w:sz w:val="28"/>
                <w:szCs w:val="28"/>
                <w:lang w:eastAsia="lv-LV"/>
              </w:rPr>
              <w:t xml:space="preserve">. Samērīgas </w:t>
            </w:r>
            <w:r>
              <w:rPr>
                <w:rFonts w:ascii="Times New Roman" w:eastAsia="Times New Roman" w:hAnsi="Times New Roman" w:cs="Times New Roman"/>
                <w:sz w:val="28"/>
                <w:szCs w:val="28"/>
                <w:lang w:eastAsia="lv-LV"/>
              </w:rPr>
              <w:t>projekta aktivitātes</w:t>
            </w:r>
            <w:r w:rsidRPr="00B52256">
              <w:rPr>
                <w:rFonts w:ascii="Times New Roman" w:eastAsia="Times New Roman" w:hAnsi="Times New Roman" w:cs="Times New Roman"/>
                <w:sz w:val="28"/>
                <w:szCs w:val="28"/>
                <w:lang w:eastAsia="lv-LV"/>
              </w:rPr>
              <w:t xml:space="preserve"> ir tādas, kuru </w:t>
            </w:r>
            <w:r>
              <w:rPr>
                <w:rFonts w:ascii="Times New Roman" w:eastAsia="Times New Roman" w:hAnsi="Times New Roman" w:cs="Times New Roman"/>
                <w:sz w:val="28"/>
                <w:szCs w:val="28"/>
                <w:lang w:eastAsia="lv-LV"/>
              </w:rPr>
              <w:t xml:space="preserve">sniegtais ieguldījums </w:t>
            </w:r>
            <w:r w:rsidRPr="00B52256">
              <w:rPr>
                <w:rFonts w:ascii="Times New Roman" w:eastAsia="Times New Roman" w:hAnsi="Times New Roman" w:cs="Times New Roman"/>
                <w:sz w:val="28"/>
                <w:szCs w:val="28"/>
                <w:lang w:eastAsia="lv-LV"/>
              </w:rPr>
              <w:t>ir proporcionāl</w:t>
            </w:r>
            <w:r>
              <w:rPr>
                <w:rFonts w:ascii="Times New Roman" w:eastAsia="Times New Roman" w:hAnsi="Times New Roman" w:cs="Times New Roman"/>
                <w:sz w:val="28"/>
                <w:szCs w:val="28"/>
                <w:lang w:eastAsia="lv-LV"/>
              </w:rPr>
              <w:t>s</w:t>
            </w:r>
            <w:r w:rsidRPr="00B52256">
              <w:rPr>
                <w:rFonts w:ascii="Times New Roman" w:eastAsia="Times New Roman" w:hAnsi="Times New Roman" w:cs="Times New Roman"/>
                <w:sz w:val="28"/>
                <w:szCs w:val="28"/>
                <w:lang w:eastAsia="lv-LV"/>
              </w:rPr>
              <w:t xml:space="preserve"> sagaidāmajam rezultātam</w:t>
            </w:r>
            <w:r>
              <w:rPr>
                <w:rFonts w:ascii="Times New Roman" w:eastAsia="Times New Roman" w:hAnsi="Times New Roman" w:cs="Times New Roman"/>
                <w:sz w:val="28"/>
                <w:szCs w:val="28"/>
                <w:lang w:eastAsia="lv-LV"/>
              </w:rPr>
              <w:t>.</w:t>
            </w:r>
          </w:p>
        </w:tc>
      </w:tr>
      <w:tr w:rsidR="00B6303F" w:rsidRPr="007016A9" w14:paraId="28CA0087" w14:textId="77777777" w:rsidTr="00676AB9">
        <w:trPr>
          <w:trHeight w:val="372"/>
          <w:tblCellSpacing w:w="20" w:type="dxa"/>
        </w:trPr>
        <w:tc>
          <w:tcPr>
            <w:tcW w:w="341" w:type="pct"/>
            <w:hideMark/>
          </w:tcPr>
          <w:p w14:paraId="3ED216D7" w14:textId="6FECE103" w:rsidR="00894C55" w:rsidRPr="00B52256" w:rsidRDefault="00B32BBE" w:rsidP="00B52256">
            <w:pPr>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lastRenderedPageBreak/>
              <w:t>3.</w:t>
            </w:r>
          </w:p>
        </w:tc>
        <w:tc>
          <w:tcPr>
            <w:tcW w:w="1755" w:type="pct"/>
            <w:hideMark/>
          </w:tcPr>
          <w:p w14:paraId="1CC3139E" w14:textId="77777777" w:rsidR="00894C55" w:rsidRPr="00B52256" w:rsidRDefault="00B32BBE" w:rsidP="00BA4EF1">
            <w:pP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Projekta izstrādē iesaistītās institūcijas un publiskas personas kapitālsabiedrības</w:t>
            </w:r>
          </w:p>
        </w:tc>
        <w:tc>
          <w:tcPr>
            <w:tcW w:w="2815" w:type="pct"/>
            <w:shd w:val="clear" w:color="auto" w:fill="auto"/>
            <w:hideMark/>
          </w:tcPr>
          <w:p w14:paraId="02D46241" w14:textId="6DBFB101" w:rsidR="00894C55" w:rsidRPr="00B52256" w:rsidRDefault="009B3E3E" w:rsidP="00BA4EF1">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Programmas partneris un programmas apsaimniekotājs</w:t>
            </w:r>
            <w:r w:rsidR="002527DA" w:rsidRPr="00B52256">
              <w:rPr>
                <w:rFonts w:ascii="Times New Roman" w:eastAsia="Times New Roman" w:hAnsi="Times New Roman" w:cs="Times New Roman"/>
                <w:sz w:val="28"/>
                <w:szCs w:val="28"/>
                <w:lang w:eastAsia="lv-LV"/>
              </w:rPr>
              <w:t xml:space="preserve"> </w:t>
            </w:r>
          </w:p>
        </w:tc>
      </w:tr>
      <w:tr w:rsidR="00B6303F" w:rsidRPr="007016A9" w14:paraId="65F7FAE1" w14:textId="77777777" w:rsidTr="00676AB9">
        <w:trPr>
          <w:tblCellSpacing w:w="20" w:type="dxa"/>
        </w:trPr>
        <w:tc>
          <w:tcPr>
            <w:tcW w:w="341" w:type="pct"/>
            <w:hideMark/>
          </w:tcPr>
          <w:p w14:paraId="6882F543" w14:textId="77777777" w:rsidR="00894C55" w:rsidRPr="00B52256" w:rsidRDefault="00B32BBE" w:rsidP="00B52256">
            <w:pPr>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4.</w:t>
            </w:r>
          </w:p>
        </w:tc>
        <w:tc>
          <w:tcPr>
            <w:tcW w:w="1755" w:type="pct"/>
            <w:hideMark/>
          </w:tcPr>
          <w:p w14:paraId="0308015B" w14:textId="77777777" w:rsidR="00894C55" w:rsidRPr="00B52256" w:rsidRDefault="00B32BBE" w:rsidP="00B52256">
            <w:pPr>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Cita informācija</w:t>
            </w:r>
          </w:p>
        </w:tc>
        <w:tc>
          <w:tcPr>
            <w:tcW w:w="2815" w:type="pct"/>
            <w:hideMark/>
          </w:tcPr>
          <w:p w14:paraId="6528B6C1" w14:textId="71893DB5" w:rsidR="0001577C" w:rsidRPr="00B52256" w:rsidRDefault="000E7AAE" w:rsidP="00B52256">
            <w:pPr>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Nav</w:t>
            </w:r>
          </w:p>
        </w:tc>
      </w:tr>
    </w:tbl>
    <w:p w14:paraId="136AB64B" w14:textId="77777777" w:rsidR="00AB07CB" w:rsidRPr="00B52256" w:rsidRDefault="00AB07CB" w:rsidP="00B6303F">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52" w:type="pct"/>
        <w:tblCellSpacing w:w="20" w:type="dxa"/>
        <w:tblInd w:w="-1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07"/>
        <w:gridCol w:w="3236"/>
        <w:gridCol w:w="5106"/>
      </w:tblGrid>
      <w:tr w:rsidR="00152C21" w:rsidRPr="00BA4EF1" w14:paraId="55B7F1CE" w14:textId="77777777" w:rsidTr="00B52256">
        <w:trPr>
          <w:trHeight w:val="444"/>
          <w:tblCellSpacing w:w="20" w:type="dxa"/>
        </w:trPr>
        <w:tc>
          <w:tcPr>
            <w:tcW w:w="4956" w:type="pct"/>
            <w:gridSpan w:val="3"/>
            <w:vAlign w:val="center"/>
            <w:hideMark/>
          </w:tcPr>
          <w:p w14:paraId="7FE029FE" w14:textId="77777777" w:rsidR="00894C55" w:rsidRPr="00B52256" w:rsidRDefault="00B32BBE" w:rsidP="00B52256">
            <w:pPr>
              <w:spacing w:after="0" w:line="240" w:lineRule="auto"/>
              <w:jc w:val="center"/>
              <w:rPr>
                <w:rFonts w:ascii="Times New Roman" w:eastAsia="Times New Roman" w:hAnsi="Times New Roman" w:cs="Times New Roman"/>
                <w:b/>
                <w:bCs/>
                <w:sz w:val="28"/>
                <w:szCs w:val="28"/>
                <w:lang w:eastAsia="lv-LV"/>
              </w:rPr>
            </w:pPr>
            <w:r w:rsidRPr="00B52256">
              <w:rPr>
                <w:rFonts w:ascii="Times New Roman" w:eastAsia="Times New Roman" w:hAnsi="Times New Roman" w:cs="Times New Roman"/>
                <w:b/>
                <w:bCs/>
                <w:sz w:val="28"/>
                <w:szCs w:val="28"/>
                <w:lang w:eastAsia="lv-LV"/>
              </w:rPr>
              <w:t>II.</w:t>
            </w:r>
            <w:r w:rsidR="0050178F" w:rsidRPr="00B52256">
              <w:rPr>
                <w:rFonts w:ascii="Times New Roman" w:eastAsia="Times New Roman" w:hAnsi="Times New Roman" w:cs="Times New Roman"/>
                <w:b/>
                <w:bCs/>
                <w:sz w:val="28"/>
                <w:szCs w:val="28"/>
                <w:lang w:eastAsia="lv-LV"/>
              </w:rPr>
              <w:t> </w:t>
            </w:r>
            <w:r w:rsidRPr="00B52256">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152C21" w:rsidRPr="00BA4EF1" w14:paraId="558AAF46" w14:textId="77777777" w:rsidTr="00B52256">
        <w:trPr>
          <w:trHeight w:val="372"/>
          <w:tblCellSpacing w:w="20" w:type="dxa"/>
        </w:trPr>
        <w:tc>
          <w:tcPr>
            <w:tcW w:w="412" w:type="pct"/>
            <w:hideMark/>
          </w:tcPr>
          <w:p w14:paraId="0CC4417C" w14:textId="77777777" w:rsidR="00894C55" w:rsidRPr="00B52256" w:rsidRDefault="00B32BBE"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1.</w:t>
            </w:r>
          </w:p>
        </w:tc>
        <w:tc>
          <w:tcPr>
            <w:tcW w:w="1762" w:type="pct"/>
            <w:hideMark/>
          </w:tcPr>
          <w:p w14:paraId="6010D6C3" w14:textId="77777777" w:rsidR="00894C55" w:rsidRPr="00B52256" w:rsidRDefault="00B32BBE" w:rsidP="00B6303F">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Sabiedrības mērķgrupas, kuras tiesiskais regulējums ietekmē vai varētu ietekmēt</w:t>
            </w:r>
          </w:p>
        </w:tc>
        <w:tc>
          <w:tcPr>
            <w:tcW w:w="2738" w:type="pct"/>
            <w:hideMark/>
          </w:tcPr>
          <w:p w14:paraId="010BD0D5" w14:textId="6ADD5E5C" w:rsidR="00211D97" w:rsidRPr="00B52256" w:rsidRDefault="00211D97" w:rsidP="00842ECB">
            <w:pPr>
              <w:tabs>
                <w:tab w:val="left" w:pos="883"/>
              </w:tabs>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 xml:space="preserve">Ar programmas jomu saistītās valsts institūcijas, pašvaldības, izglītības organizācijas, </w:t>
            </w:r>
            <w:r w:rsidR="00C51E7F">
              <w:rPr>
                <w:rFonts w:ascii="Times New Roman" w:eastAsia="Times New Roman" w:hAnsi="Times New Roman" w:cs="Times New Roman"/>
                <w:sz w:val="28"/>
                <w:szCs w:val="28"/>
                <w:lang w:eastAsia="lv-LV"/>
              </w:rPr>
              <w:t>biedrības un nodibinājumi</w:t>
            </w:r>
            <w:r w:rsidRPr="00B52256">
              <w:rPr>
                <w:rFonts w:ascii="Times New Roman" w:eastAsia="Times New Roman" w:hAnsi="Times New Roman" w:cs="Times New Roman"/>
                <w:sz w:val="28"/>
                <w:szCs w:val="28"/>
                <w:lang w:eastAsia="lv-LV"/>
              </w:rPr>
              <w:t>, projektu iesniedzēji un projektu īstenotāji. To konkrēts skaits nav zināms.</w:t>
            </w:r>
          </w:p>
          <w:p w14:paraId="3D5734A0" w14:textId="57854A68" w:rsidR="00832397" w:rsidRPr="00B52256" w:rsidRDefault="00211D97" w:rsidP="00842ECB">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 xml:space="preserve">Programmā atbalstāmās </w:t>
            </w:r>
            <w:r w:rsidR="00691708">
              <w:rPr>
                <w:rFonts w:ascii="Times New Roman" w:eastAsia="Times New Roman" w:hAnsi="Times New Roman" w:cs="Times New Roman"/>
                <w:sz w:val="28"/>
                <w:szCs w:val="28"/>
                <w:lang w:eastAsia="lv-LV"/>
              </w:rPr>
              <w:t xml:space="preserve">kultūras jomas </w:t>
            </w:r>
            <w:r w:rsidRPr="00B52256">
              <w:rPr>
                <w:rFonts w:ascii="Times New Roman" w:eastAsia="Times New Roman" w:hAnsi="Times New Roman" w:cs="Times New Roman"/>
                <w:sz w:val="28"/>
                <w:szCs w:val="28"/>
                <w:lang w:eastAsia="lv-LV"/>
              </w:rPr>
              <w:t>aktivitātes ievies</w:t>
            </w:r>
            <w:r w:rsidR="00C51E7F">
              <w:rPr>
                <w:rFonts w:ascii="Times New Roman" w:eastAsia="Times New Roman" w:hAnsi="Times New Roman" w:cs="Times New Roman"/>
                <w:sz w:val="28"/>
                <w:szCs w:val="28"/>
                <w:lang w:eastAsia="lv-LV"/>
              </w:rPr>
              <w:t>īs</w:t>
            </w:r>
            <w:r w:rsidRPr="00B52256">
              <w:rPr>
                <w:rFonts w:ascii="Times New Roman" w:eastAsia="Times New Roman" w:hAnsi="Times New Roman" w:cs="Times New Roman"/>
                <w:sz w:val="28"/>
                <w:szCs w:val="28"/>
                <w:lang w:eastAsia="lv-LV"/>
              </w:rPr>
              <w:t xml:space="preserve"> visā Latvijā</w:t>
            </w:r>
            <w:r w:rsidR="003F230E">
              <w:rPr>
                <w:rFonts w:ascii="Times New Roman" w:eastAsia="Times New Roman" w:hAnsi="Times New Roman" w:cs="Times New Roman"/>
                <w:sz w:val="28"/>
                <w:szCs w:val="28"/>
                <w:lang w:eastAsia="lv-LV"/>
              </w:rPr>
              <w:t>,</w:t>
            </w:r>
            <w:r w:rsidR="00691708">
              <w:rPr>
                <w:rFonts w:ascii="Times New Roman" w:eastAsia="Times New Roman" w:hAnsi="Times New Roman" w:cs="Times New Roman"/>
                <w:sz w:val="28"/>
                <w:szCs w:val="28"/>
                <w:lang w:eastAsia="lv-LV"/>
              </w:rPr>
              <w:t xml:space="preserve"> un tās</w:t>
            </w:r>
            <w:r w:rsidRPr="00B52256">
              <w:rPr>
                <w:rFonts w:ascii="Times New Roman" w:eastAsia="Times New Roman" w:hAnsi="Times New Roman" w:cs="Times New Roman"/>
                <w:sz w:val="28"/>
                <w:szCs w:val="28"/>
                <w:lang w:eastAsia="lv-LV"/>
              </w:rPr>
              <w:t xml:space="preserve"> ir aktuālas visā valstī kopumā.</w:t>
            </w:r>
          </w:p>
        </w:tc>
      </w:tr>
      <w:tr w:rsidR="00152C21" w:rsidRPr="00BA4EF1" w14:paraId="22E19A23" w14:textId="77777777" w:rsidTr="00B52256">
        <w:trPr>
          <w:trHeight w:val="408"/>
          <w:tblCellSpacing w:w="20" w:type="dxa"/>
        </w:trPr>
        <w:tc>
          <w:tcPr>
            <w:tcW w:w="412" w:type="pct"/>
            <w:hideMark/>
          </w:tcPr>
          <w:p w14:paraId="4472EADE" w14:textId="77777777" w:rsidR="00894C55" w:rsidRPr="00B52256" w:rsidRDefault="00B32BBE"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2.</w:t>
            </w:r>
          </w:p>
        </w:tc>
        <w:tc>
          <w:tcPr>
            <w:tcW w:w="1762" w:type="pct"/>
            <w:hideMark/>
          </w:tcPr>
          <w:p w14:paraId="07A929B5" w14:textId="77777777" w:rsidR="00894C55" w:rsidRPr="00B52256" w:rsidRDefault="00B32BBE" w:rsidP="00B6303F">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Tiesiskā regulējuma ietekme uz tautsaimniecību un administratīvo slogu</w:t>
            </w:r>
          </w:p>
        </w:tc>
        <w:tc>
          <w:tcPr>
            <w:tcW w:w="2738" w:type="pct"/>
            <w:hideMark/>
          </w:tcPr>
          <w:p w14:paraId="60B33891" w14:textId="6A6D5E25" w:rsidR="00CD5244" w:rsidRPr="00B52256" w:rsidRDefault="00CD5244" w:rsidP="00842ECB">
            <w:pPr>
              <w:spacing w:after="0" w:line="240" w:lineRule="auto"/>
              <w:jc w:val="both"/>
              <w:rPr>
                <w:rFonts w:ascii="Times New Roman" w:hAnsi="Times New Roman" w:cs="Times New Roman"/>
                <w:i/>
                <w:sz w:val="28"/>
                <w:szCs w:val="28"/>
              </w:rPr>
            </w:pPr>
            <w:r w:rsidRPr="00B52256">
              <w:rPr>
                <w:rFonts w:ascii="Times New Roman" w:eastAsia="Times New Roman" w:hAnsi="Times New Roman" w:cs="Times New Roman"/>
                <w:sz w:val="28"/>
                <w:szCs w:val="28"/>
                <w:lang w:eastAsia="lv-LV"/>
              </w:rPr>
              <w:t>Kopējais atklātajā konkursā pieejamais programmas līdzfinansējums ir 3 192</w:t>
            </w:r>
            <w:r w:rsidR="00C61807">
              <w:rPr>
                <w:rFonts w:ascii="Times New Roman" w:eastAsia="Times New Roman" w:hAnsi="Times New Roman" w:cs="Times New Roman"/>
                <w:sz w:val="28"/>
                <w:szCs w:val="28"/>
                <w:lang w:eastAsia="lv-LV"/>
              </w:rPr>
              <w:t> </w:t>
            </w:r>
            <w:r w:rsidR="003E12A3" w:rsidRPr="00B52256">
              <w:rPr>
                <w:rFonts w:ascii="Times New Roman" w:eastAsia="Times New Roman" w:hAnsi="Times New Roman" w:cs="Times New Roman"/>
                <w:sz w:val="28"/>
                <w:szCs w:val="28"/>
                <w:lang w:eastAsia="lv-LV"/>
              </w:rPr>
              <w:t>35</w:t>
            </w:r>
            <w:r w:rsidR="003E12A3">
              <w:rPr>
                <w:rFonts w:ascii="Times New Roman" w:eastAsia="Times New Roman" w:hAnsi="Times New Roman" w:cs="Times New Roman"/>
                <w:sz w:val="28"/>
                <w:szCs w:val="28"/>
                <w:lang w:eastAsia="lv-LV"/>
              </w:rPr>
              <w:t>4 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 ko veido Latvijas valsts budžeta līdzfinansējums 15 procentu apmērā </w:t>
            </w:r>
            <w:r w:rsidR="00530062">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 xml:space="preserve">– </w:t>
            </w:r>
            <w:r w:rsidR="005A0602" w:rsidRPr="00B52256">
              <w:rPr>
                <w:rFonts w:ascii="Times New Roman" w:hAnsi="Times New Roman" w:cs="Times New Roman"/>
                <w:sz w:val="28"/>
                <w:szCs w:val="28"/>
              </w:rPr>
              <w:t>478 853 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 xml:space="preserve"> un </w:t>
            </w:r>
            <w:r w:rsidR="00C51E7F">
              <w:rPr>
                <w:rFonts w:ascii="Times New Roman" w:eastAsia="Times New Roman" w:hAnsi="Times New Roman" w:cs="Times New Roman"/>
                <w:sz w:val="28"/>
                <w:szCs w:val="28"/>
                <w:lang w:eastAsia="lv-LV"/>
              </w:rPr>
              <w:t>Eiropas Ekonomi</w:t>
            </w:r>
            <w:r w:rsidR="00691708">
              <w:rPr>
                <w:rFonts w:ascii="Times New Roman" w:eastAsia="Times New Roman" w:hAnsi="Times New Roman" w:cs="Times New Roman"/>
                <w:sz w:val="28"/>
                <w:szCs w:val="28"/>
                <w:lang w:eastAsia="lv-LV"/>
              </w:rPr>
              <w:t>k</w:t>
            </w:r>
            <w:r w:rsidR="00C51E7F">
              <w:rPr>
                <w:rFonts w:ascii="Times New Roman" w:eastAsia="Times New Roman" w:hAnsi="Times New Roman" w:cs="Times New Roman"/>
                <w:sz w:val="28"/>
                <w:szCs w:val="28"/>
                <w:lang w:eastAsia="lv-LV"/>
              </w:rPr>
              <w:t>as zonas</w:t>
            </w:r>
            <w:r w:rsidR="00C51E7F"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 xml:space="preserve">finanšu instrumenta līdzfinansējums 85 procentu apmērā – </w:t>
            </w:r>
            <w:r w:rsidR="005A0602" w:rsidRPr="00B52256">
              <w:rPr>
                <w:rFonts w:ascii="Times New Roman" w:hAnsi="Times New Roman" w:cs="Times New Roman"/>
                <w:sz w:val="28"/>
                <w:szCs w:val="28"/>
              </w:rPr>
              <w:t>2 713 501 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w:t>
            </w:r>
            <w:r w:rsidRPr="00B52256">
              <w:rPr>
                <w:rFonts w:ascii="Times New Roman" w:hAnsi="Times New Roman" w:cs="Times New Roman"/>
                <w:i/>
                <w:sz w:val="28"/>
                <w:szCs w:val="28"/>
              </w:rPr>
              <w:t xml:space="preserve"> </w:t>
            </w:r>
            <w:r w:rsidR="00211D97" w:rsidRPr="00B52256">
              <w:rPr>
                <w:rFonts w:ascii="Times New Roman" w:eastAsia="Times New Roman" w:hAnsi="Times New Roman" w:cs="Times New Roman"/>
                <w:sz w:val="28"/>
                <w:szCs w:val="28"/>
                <w:lang w:eastAsia="lv-LV"/>
              </w:rPr>
              <w:t xml:space="preserve">Projektu īstenošana </w:t>
            </w:r>
            <w:r w:rsidR="00C51E7F">
              <w:rPr>
                <w:rFonts w:ascii="Times New Roman" w:eastAsia="Times New Roman" w:hAnsi="Times New Roman" w:cs="Times New Roman"/>
                <w:sz w:val="28"/>
                <w:szCs w:val="28"/>
                <w:lang w:eastAsia="lv-LV"/>
              </w:rPr>
              <w:t>plānota</w:t>
            </w:r>
            <w:r w:rsidR="00211D97" w:rsidRPr="00B52256">
              <w:rPr>
                <w:rFonts w:ascii="Times New Roman" w:eastAsia="Times New Roman" w:hAnsi="Times New Roman" w:cs="Times New Roman"/>
                <w:sz w:val="28"/>
                <w:szCs w:val="28"/>
                <w:lang w:eastAsia="lv-LV"/>
              </w:rPr>
              <w:t xml:space="preserve"> līdz 2024.gada 30.aprīlim, tiesiskais regulējums pozitīvi ietekmēs tautsaimniecību kopumā, t</w:t>
            </w:r>
            <w:r w:rsidR="00C51E7F">
              <w:rPr>
                <w:rFonts w:ascii="Times New Roman" w:eastAsia="Times New Roman" w:hAnsi="Times New Roman" w:cs="Times New Roman"/>
                <w:sz w:val="28"/>
                <w:szCs w:val="28"/>
                <w:lang w:eastAsia="lv-LV"/>
              </w:rPr>
              <w:t xml:space="preserve">ai </w:t>
            </w:r>
            <w:r w:rsidR="00B52256">
              <w:rPr>
                <w:rFonts w:ascii="Times New Roman" w:eastAsia="Times New Roman" w:hAnsi="Times New Roman" w:cs="Times New Roman"/>
                <w:sz w:val="28"/>
                <w:szCs w:val="28"/>
                <w:lang w:eastAsia="lv-LV"/>
              </w:rPr>
              <w:t>s</w:t>
            </w:r>
            <w:r w:rsidR="00C51E7F">
              <w:rPr>
                <w:rFonts w:ascii="Times New Roman" w:eastAsia="Times New Roman" w:hAnsi="Times New Roman" w:cs="Times New Roman"/>
                <w:sz w:val="28"/>
                <w:szCs w:val="28"/>
                <w:lang w:eastAsia="lv-LV"/>
              </w:rPr>
              <w:t>kaitā</w:t>
            </w:r>
            <w:r w:rsidR="00211D97" w:rsidRPr="00B52256">
              <w:rPr>
                <w:rFonts w:ascii="Times New Roman" w:eastAsia="Times New Roman" w:hAnsi="Times New Roman" w:cs="Times New Roman"/>
                <w:sz w:val="28"/>
                <w:szCs w:val="28"/>
                <w:lang w:eastAsia="lv-LV"/>
              </w:rPr>
              <w:t xml:space="preserve"> tādas jomas kā </w:t>
            </w:r>
            <w:r w:rsidRPr="00B52256">
              <w:rPr>
                <w:rFonts w:ascii="Times New Roman" w:eastAsia="Times New Roman" w:hAnsi="Times New Roman" w:cs="Times New Roman"/>
                <w:sz w:val="28"/>
                <w:szCs w:val="28"/>
                <w:lang w:eastAsia="lv-LV"/>
              </w:rPr>
              <w:t>kultūras sadarbība un pieejamība</w:t>
            </w:r>
            <w:r w:rsidR="00211D97" w:rsidRPr="00B52256">
              <w:rPr>
                <w:rFonts w:ascii="Times New Roman" w:eastAsia="Times New Roman" w:hAnsi="Times New Roman" w:cs="Times New Roman"/>
                <w:sz w:val="28"/>
                <w:szCs w:val="28"/>
                <w:lang w:eastAsia="lv-LV"/>
              </w:rPr>
              <w:t xml:space="preserve">.  </w:t>
            </w:r>
          </w:p>
          <w:p w14:paraId="568E0EFB" w14:textId="6FB41735" w:rsidR="00B84CFB" w:rsidRPr="00B52256" w:rsidRDefault="00B32BBE" w:rsidP="00842ECB">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Sabiedrības grupām un institūcijām projekta tiesiskais regulējums nemaina tiesības un pienākumus, kā arī veicamās darbība</w:t>
            </w:r>
            <w:r w:rsidR="006F408F" w:rsidRPr="00B52256">
              <w:rPr>
                <w:rFonts w:ascii="Times New Roman" w:eastAsia="Times New Roman" w:hAnsi="Times New Roman" w:cs="Times New Roman"/>
                <w:sz w:val="28"/>
                <w:szCs w:val="28"/>
                <w:lang w:eastAsia="lv-LV"/>
              </w:rPr>
              <w:t>s</w:t>
            </w:r>
            <w:r w:rsidR="00C51E7F">
              <w:rPr>
                <w:rFonts w:ascii="Times New Roman" w:eastAsia="Times New Roman" w:hAnsi="Times New Roman" w:cs="Times New Roman"/>
                <w:sz w:val="28"/>
                <w:szCs w:val="28"/>
                <w:lang w:eastAsia="lv-LV"/>
              </w:rPr>
              <w:t xml:space="preserve"> un a</w:t>
            </w:r>
            <w:r w:rsidRPr="00B52256">
              <w:rPr>
                <w:rFonts w:ascii="Times New Roman" w:eastAsia="Times New Roman" w:hAnsi="Times New Roman" w:cs="Times New Roman"/>
                <w:sz w:val="28"/>
                <w:szCs w:val="28"/>
                <w:lang w:eastAsia="lv-LV"/>
              </w:rPr>
              <w:t>dministratīvais slogs nemainās.</w:t>
            </w:r>
          </w:p>
        </w:tc>
      </w:tr>
      <w:tr w:rsidR="00152C21" w:rsidRPr="00BA4EF1" w14:paraId="15E91440" w14:textId="77777777" w:rsidTr="00B52256">
        <w:trPr>
          <w:trHeight w:val="408"/>
          <w:tblCellSpacing w:w="20" w:type="dxa"/>
        </w:trPr>
        <w:tc>
          <w:tcPr>
            <w:tcW w:w="412" w:type="pct"/>
            <w:hideMark/>
          </w:tcPr>
          <w:p w14:paraId="43E2FA38" w14:textId="77777777" w:rsidR="00894C55" w:rsidRPr="00B52256" w:rsidRDefault="00B32BBE" w:rsidP="00B52256">
            <w:pPr>
              <w:spacing w:after="0" w:line="240" w:lineRule="auto"/>
              <w:jc w:val="center"/>
              <w:rPr>
                <w:rFonts w:ascii="Times New Roman" w:eastAsia="Times New Roman" w:hAnsi="Times New Roman" w:cs="Times New Roman"/>
                <w:sz w:val="28"/>
                <w:szCs w:val="28"/>
                <w:lang w:eastAsia="lv-LV"/>
              </w:rPr>
            </w:pPr>
            <w:bookmarkStart w:id="4" w:name="_Hlk40087601"/>
            <w:r w:rsidRPr="00B52256">
              <w:rPr>
                <w:rFonts w:ascii="Times New Roman" w:eastAsia="Times New Roman" w:hAnsi="Times New Roman" w:cs="Times New Roman"/>
                <w:sz w:val="28"/>
                <w:szCs w:val="28"/>
                <w:lang w:eastAsia="lv-LV"/>
              </w:rPr>
              <w:t>3.</w:t>
            </w:r>
          </w:p>
        </w:tc>
        <w:tc>
          <w:tcPr>
            <w:tcW w:w="1762" w:type="pct"/>
            <w:hideMark/>
          </w:tcPr>
          <w:p w14:paraId="75A61773" w14:textId="77777777" w:rsidR="00894C55" w:rsidRPr="00B52256" w:rsidRDefault="00B32BBE" w:rsidP="00B6303F">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Administratīvo izmaksu monetārs novērtējums</w:t>
            </w:r>
          </w:p>
        </w:tc>
        <w:tc>
          <w:tcPr>
            <w:tcW w:w="2738" w:type="pct"/>
            <w:hideMark/>
          </w:tcPr>
          <w:p w14:paraId="7FDE8033" w14:textId="7EB22B9F" w:rsidR="00F710BC" w:rsidRPr="00B52256" w:rsidRDefault="003F230E" w:rsidP="00B5225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w:t>
            </w:r>
            <w:r w:rsidRPr="003F230E">
              <w:rPr>
                <w:rFonts w:ascii="Times New Roman" w:eastAsia="Times New Roman" w:hAnsi="Times New Roman" w:cs="Times New Roman"/>
                <w:sz w:val="28"/>
                <w:szCs w:val="28"/>
                <w:lang w:eastAsia="lv-LV"/>
              </w:rPr>
              <w:t>rojekts</w:t>
            </w:r>
            <w:r w:rsidRPr="00B52256">
              <w:rPr>
                <w:rFonts w:ascii="Times New Roman" w:hAnsi="Times New Roman" w:cs="Times New Roman"/>
                <w:sz w:val="28"/>
                <w:szCs w:val="28"/>
              </w:rPr>
              <w:t xml:space="preserve"> šo jomu neskar</w:t>
            </w:r>
            <w:r w:rsidR="00C61807">
              <w:rPr>
                <w:rFonts w:ascii="Times New Roman" w:eastAsia="Times New Roman" w:hAnsi="Times New Roman" w:cs="Times New Roman"/>
                <w:sz w:val="28"/>
                <w:szCs w:val="28"/>
                <w:lang w:eastAsia="lv-LV"/>
              </w:rPr>
              <w:t>.</w:t>
            </w:r>
          </w:p>
        </w:tc>
      </w:tr>
      <w:bookmarkEnd w:id="4"/>
      <w:tr w:rsidR="00152C21" w:rsidRPr="00BA4EF1" w14:paraId="1F65C377" w14:textId="77777777" w:rsidTr="00B52256">
        <w:trPr>
          <w:trHeight w:val="408"/>
          <w:tblCellSpacing w:w="20" w:type="dxa"/>
        </w:trPr>
        <w:tc>
          <w:tcPr>
            <w:tcW w:w="412" w:type="pct"/>
          </w:tcPr>
          <w:p w14:paraId="29BA8822" w14:textId="77777777" w:rsidR="00462A8F" w:rsidRPr="00B52256" w:rsidRDefault="00B32BBE"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lastRenderedPageBreak/>
              <w:t>4.</w:t>
            </w:r>
          </w:p>
        </w:tc>
        <w:tc>
          <w:tcPr>
            <w:tcW w:w="1762" w:type="pct"/>
          </w:tcPr>
          <w:p w14:paraId="7405529F" w14:textId="77777777" w:rsidR="00462A8F" w:rsidRPr="00B52256" w:rsidRDefault="00B32BBE" w:rsidP="00B6303F">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Atbilstības izmaksu monetārs novērtējums</w:t>
            </w:r>
          </w:p>
        </w:tc>
        <w:tc>
          <w:tcPr>
            <w:tcW w:w="2738" w:type="pct"/>
          </w:tcPr>
          <w:p w14:paraId="0B3F888A" w14:textId="0D5861BD" w:rsidR="00462A8F" w:rsidRPr="00B52256" w:rsidRDefault="003F230E" w:rsidP="00B6303F">
            <w:pPr>
              <w:pStyle w:val="CommentText"/>
              <w:spacing w:after="0"/>
              <w:rPr>
                <w:rFonts w:ascii="Times New Roman" w:hAnsi="Times New Roman" w:cs="Times New Roman"/>
                <w:sz w:val="28"/>
                <w:szCs w:val="28"/>
              </w:rPr>
            </w:pPr>
            <w:r>
              <w:rPr>
                <w:rFonts w:ascii="Times New Roman" w:eastAsia="Times New Roman" w:hAnsi="Times New Roman" w:cs="Times New Roman"/>
                <w:sz w:val="28"/>
                <w:szCs w:val="28"/>
                <w:lang w:eastAsia="lv-LV"/>
              </w:rPr>
              <w:t>Noteikumu p</w:t>
            </w:r>
            <w:r w:rsidRPr="003F230E">
              <w:rPr>
                <w:rFonts w:ascii="Times New Roman" w:eastAsia="Times New Roman" w:hAnsi="Times New Roman" w:cs="Times New Roman"/>
                <w:sz w:val="28"/>
                <w:szCs w:val="28"/>
                <w:lang w:eastAsia="lv-LV"/>
              </w:rPr>
              <w:t>rojekts</w:t>
            </w:r>
            <w:r w:rsidR="00B32BBE" w:rsidRPr="00B52256">
              <w:rPr>
                <w:rFonts w:ascii="Times New Roman" w:hAnsi="Times New Roman" w:cs="Times New Roman"/>
                <w:sz w:val="28"/>
                <w:szCs w:val="28"/>
              </w:rPr>
              <w:t xml:space="preserve"> šo jomu neskar</w:t>
            </w:r>
            <w:r w:rsidR="00B32BBE" w:rsidRPr="00B52256">
              <w:rPr>
                <w:rFonts w:ascii="Times New Roman" w:eastAsiaTheme="minorEastAsia" w:hAnsi="Times New Roman" w:cs="Times New Roman"/>
                <w:sz w:val="28"/>
                <w:szCs w:val="28"/>
                <w:lang w:eastAsia="lv-LV"/>
              </w:rPr>
              <w:t>.</w:t>
            </w:r>
          </w:p>
        </w:tc>
      </w:tr>
      <w:tr w:rsidR="00152C21" w:rsidRPr="00BA4EF1" w14:paraId="3886AECD" w14:textId="77777777" w:rsidTr="00B52256">
        <w:trPr>
          <w:trHeight w:val="276"/>
          <w:tblCellSpacing w:w="20" w:type="dxa"/>
        </w:trPr>
        <w:tc>
          <w:tcPr>
            <w:tcW w:w="412" w:type="pct"/>
            <w:hideMark/>
          </w:tcPr>
          <w:p w14:paraId="1E0881F3" w14:textId="77777777" w:rsidR="00894C55" w:rsidRPr="00B52256" w:rsidRDefault="00B32BBE"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5.</w:t>
            </w:r>
          </w:p>
        </w:tc>
        <w:tc>
          <w:tcPr>
            <w:tcW w:w="1762" w:type="pct"/>
            <w:hideMark/>
          </w:tcPr>
          <w:p w14:paraId="476E1953" w14:textId="77777777" w:rsidR="00894C55" w:rsidRPr="00B52256" w:rsidRDefault="00B32BBE" w:rsidP="00B6303F">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Cita informācija</w:t>
            </w:r>
          </w:p>
        </w:tc>
        <w:tc>
          <w:tcPr>
            <w:tcW w:w="2738" w:type="pct"/>
            <w:hideMark/>
          </w:tcPr>
          <w:p w14:paraId="65CE5B05" w14:textId="12927472" w:rsidR="00894C55" w:rsidRPr="00B52256" w:rsidRDefault="00B32BBE" w:rsidP="00B52256">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Nav</w:t>
            </w:r>
          </w:p>
        </w:tc>
      </w:tr>
    </w:tbl>
    <w:p w14:paraId="21ECBC1A" w14:textId="77777777" w:rsidR="00894C55" w:rsidRDefault="00894C55" w:rsidP="00BA4EF1">
      <w:pPr>
        <w:shd w:val="clear" w:color="auto" w:fill="FFFFFF"/>
        <w:spacing w:after="0" w:line="240" w:lineRule="auto"/>
        <w:ind w:firstLine="301"/>
        <w:rPr>
          <w:rFonts w:ascii="Times New Roman" w:eastAsia="Times New Roman" w:hAnsi="Times New Roman" w:cs="Times New Roman"/>
          <w:sz w:val="28"/>
          <w:szCs w:val="28"/>
          <w:lang w:eastAsia="lv-LV"/>
        </w:rPr>
      </w:pPr>
    </w:p>
    <w:p w14:paraId="11F8EBD1" w14:textId="77777777" w:rsidR="00B6303F" w:rsidRPr="00B52256" w:rsidRDefault="00B6303F" w:rsidP="00BA4EF1">
      <w:pPr>
        <w:shd w:val="clear" w:color="auto" w:fill="FFFFFF"/>
        <w:spacing w:after="0" w:line="240" w:lineRule="auto"/>
        <w:ind w:firstLine="301"/>
        <w:rPr>
          <w:rFonts w:ascii="Times New Roman" w:eastAsia="Times New Roman" w:hAnsi="Times New Roman" w:cs="Times New Roman"/>
          <w:sz w:val="28"/>
          <w:szCs w:val="28"/>
          <w:lang w:eastAsia="lv-LV"/>
        </w:rPr>
      </w:pPr>
    </w:p>
    <w:tbl>
      <w:tblPr>
        <w:tblStyle w:val="TableGrid"/>
        <w:tblW w:w="516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77"/>
        <w:gridCol w:w="992"/>
        <w:gridCol w:w="1134"/>
        <w:gridCol w:w="832"/>
        <w:gridCol w:w="1105"/>
        <w:gridCol w:w="847"/>
        <w:gridCol w:w="1186"/>
        <w:gridCol w:w="1275"/>
      </w:tblGrid>
      <w:tr w:rsidR="00152C21" w:rsidRPr="00BA4EF1" w14:paraId="3CA4941D" w14:textId="77777777" w:rsidTr="00B52256">
        <w:trPr>
          <w:tblCellSpacing w:w="20" w:type="dxa"/>
          <w:jc w:val="center"/>
        </w:trPr>
        <w:tc>
          <w:tcPr>
            <w:tcW w:w="9268" w:type="dxa"/>
            <w:gridSpan w:val="8"/>
            <w:hideMark/>
          </w:tcPr>
          <w:p w14:paraId="157B7783" w14:textId="77777777" w:rsidR="00462A8F" w:rsidRPr="00B52256" w:rsidRDefault="00B32BBE" w:rsidP="00B52256">
            <w:pPr>
              <w:jc w:val="center"/>
              <w:rPr>
                <w:rFonts w:ascii="Times New Roman" w:eastAsia="Times New Roman" w:hAnsi="Times New Roman" w:cs="Times New Roman"/>
                <w:b/>
                <w:bCs/>
                <w:iCs/>
                <w:sz w:val="28"/>
                <w:szCs w:val="28"/>
                <w:highlight w:val="yellow"/>
                <w:lang w:eastAsia="lv-LV"/>
              </w:rPr>
            </w:pPr>
            <w:r w:rsidRPr="00B52256">
              <w:rPr>
                <w:rFonts w:ascii="Times New Roman" w:eastAsia="Times New Roman" w:hAnsi="Times New Roman" w:cs="Times New Roman"/>
                <w:b/>
                <w:bCs/>
                <w:iCs/>
                <w:color w:val="0D0D0D" w:themeColor="text1" w:themeTint="F2"/>
                <w:sz w:val="28"/>
                <w:szCs w:val="28"/>
                <w:lang w:eastAsia="lv-LV"/>
              </w:rPr>
              <w:t>III. Tiesību akta projekta ietekme uz valsts budžetu un pašvaldību budžetiem</w:t>
            </w:r>
          </w:p>
        </w:tc>
      </w:tr>
      <w:tr w:rsidR="00152C21" w:rsidRPr="00BA4EF1" w14:paraId="61323180" w14:textId="77777777" w:rsidTr="00B52256">
        <w:trPr>
          <w:tblCellSpacing w:w="20" w:type="dxa"/>
          <w:jc w:val="center"/>
        </w:trPr>
        <w:tc>
          <w:tcPr>
            <w:tcW w:w="1917" w:type="dxa"/>
            <w:vMerge w:val="restart"/>
            <w:shd w:val="clear" w:color="auto" w:fill="auto"/>
            <w:vAlign w:val="center"/>
            <w:hideMark/>
          </w:tcPr>
          <w:p w14:paraId="10D2E6DE" w14:textId="77777777" w:rsidR="00462A8F" w:rsidRPr="00C51E7F" w:rsidRDefault="00B32BBE" w:rsidP="00BA4EF1">
            <w:pPr>
              <w:rPr>
                <w:rFonts w:ascii="Times New Roman" w:eastAsia="Times New Roman" w:hAnsi="Times New Roman" w:cs="Times New Roman"/>
                <w:iCs/>
                <w:sz w:val="28"/>
                <w:szCs w:val="28"/>
                <w:lang w:eastAsia="lv-LV"/>
              </w:rPr>
            </w:pPr>
            <w:r w:rsidRPr="00C51E7F">
              <w:rPr>
                <w:rFonts w:ascii="Times New Roman" w:eastAsia="Times New Roman" w:hAnsi="Times New Roman" w:cs="Times New Roman"/>
                <w:iCs/>
                <w:sz w:val="28"/>
                <w:szCs w:val="28"/>
                <w:lang w:eastAsia="lv-LV"/>
              </w:rPr>
              <w:t>Rādītāji</w:t>
            </w:r>
          </w:p>
        </w:tc>
        <w:tc>
          <w:tcPr>
            <w:tcW w:w="2086" w:type="dxa"/>
            <w:gridSpan w:val="2"/>
            <w:vMerge w:val="restart"/>
            <w:shd w:val="clear" w:color="auto" w:fill="auto"/>
            <w:vAlign w:val="center"/>
            <w:hideMark/>
          </w:tcPr>
          <w:p w14:paraId="05EF8D52" w14:textId="77777777" w:rsidR="00462A8F" w:rsidRPr="00C51E7F" w:rsidRDefault="004011DD" w:rsidP="00C51E7F">
            <w:pPr>
              <w:jc w:val="center"/>
              <w:rPr>
                <w:rFonts w:ascii="Times New Roman" w:eastAsia="Times New Roman" w:hAnsi="Times New Roman" w:cs="Times New Roman"/>
                <w:iCs/>
                <w:sz w:val="28"/>
                <w:szCs w:val="28"/>
                <w:lang w:eastAsia="lv-LV"/>
              </w:rPr>
            </w:pPr>
            <w:r w:rsidRPr="00C51E7F">
              <w:rPr>
                <w:rFonts w:ascii="Times New Roman" w:eastAsia="Times New Roman" w:hAnsi="Times New Roman" w:cs="Times New Roman"/>
                <w:iCs/>
                <w:sz w:val="28"/>
                <w:szCs w:val="28"/>
                <w:lang w:eastAsia="lv-LV"/>
              </w:rPr>
              <w:t>20</w:t>
            </w:r>
            <w:r w:rsidR="00941CE8" w:rsidRPr="00C51E7F">
              <w:rPr>
                <w:rFonts w:ascii="Times New Roman" w:eastAsia="Times New Roman" w:hAnsi="Times New Roman" w:cs="Times New Roman"/>
                <w:iCs/>
                <w:sz w:val="28"/>
                <w:szCs w:val="28"/>
                <w:lang w:eastAsia="lv-LV"/>
              </w:rPr>
              <w:t>20</w:t>
            </w:r>
            <w:r w:rsidR="00B32BBE" w:rsidRPr="00C51E7F">
              <w:rPr>
                <w:rFonts w:ascii="Times New Roman" w:eastAsia="Times New Roman" w:hAnsi="Times New Roman" w:cs="Times New Roman"/>
                <w:iCs/>
                <w:sz w:val="28"/>
                <w:szCs w:val="28"/>
                <w:lang w:eastAsia="lv-LV"/>
              </w:rPr>
              <w:t>.gads</w:t>
            </w:r>
          </w:p>
        </w:tc>
        <w:tc>
          <w:tcPr>
            <w:tcW w:w="5185" w:type="dxa"/>
            <w:gridSpan w:val="5"/>
            <w:shd w:val="clear" w:color="auto" w:fill="auto"/>
            <w:hideMark/>
          </w:tcPr>
          <w:p w14:paraId="520D3EE1" w14:textId="77777777" w:rsidR="00462A8F" w:rsidRPr="00C51E7F" w:rsidRDefault="00B32BBE" w:rsidP="00C51E7F">
            <w:pPr>
              <w:jc w:val="center"/>
              <w:rPr>
                <w:rFonts w:ascii="Times New Roman" w:eastAsia="Times New Roman" w:hAnsi="Times New Roman" w:cs="Times New Roman"/>
                <w:iCs/>
                <w:sz w:val="28"/>
                <w:szCs w:val="28"/>
                <w:lang w:eastAsia="lv-LV"/>
              </w:rPr>
            </w:pPr>
            <w:r w:rsidRPr="00C51E7F">
              <w:rPr>
                <w:rFonts w:ascii="Times New Roman" w:eastAsia="Times New Roman" w:hAnsi="Times New Roman" w:cs="Times New Roman"/>
                <w:iCs/>
                <w:sz w:val="28"/>
                <w:szCs w:val="28"/>
                <w:lang w:eastAsia="lv-LV"/>
              </w:rPr>
              <w:t>Turpmākie trīs gadi (</w:t>
            </w:r>
            <w:r w:rsidRPr="00C51E7F">
              <w:rPr>
                <w:rFonts w:ascii="Times New Roman" w:eastAsia="Times New Roman" w:hAnsi="Times New Roman" w:cs="Times New Roman"/>
                <w:i/>
                <w:iCs/>
                <w:sz w:val="28"/>
                <w:szCs w:val="28"/>
                <w:lang w:eastAsia="lv-LV"/>
              </w:rPr>
              <w:t>euro</w:t>
            </w:r>
            <w:r w:rsidRPr="00C51E7F">
              <w:rPr>
                <w:rFonts w:ascii="Times New Roman" w:eastAsia="Times New Roman" w:hAnsi="Times New Roman" w:cs="Times New Roman"/>
                <w:iCs/>
                <w:sz w:val="28"/>
                <w:szCs w:val="28"/>
                <w:lang w:eastAsia="lv-LV"/>
              </w:rPr>
              <w:t>)</w:t>
            </w:r>
          </w:p>
        </w:tc>
      </w:tr>
      <w:tr w:rsidR="00152C21" w:rsidRPr="00BA4EF1" w14:paraId="66CF4B24" w14:textId="77777777" w:rsidTr="00B52256">
        <w:trPr>
          <w:tblCellSpacing w:w="20" w:type="dxa"/>
          <w:jc w:val="center"/>
        </w:trPr>
        <w:tc>
          <w:tcPr>
            <w:tcW w:w="1917" w:type="dxa"/>
            <w:vMerge/>
            <w:shd w:val="clear" w:color="auto" w:fill="auto"/>
            <w:hideMark/>
          </w:tcPr>
          <w:p w14:paraId="5DA1EDB0" w14:textId="77777777" w:rsidR="00462A8F" w:rsidRPr="00B52256" w:rsidRDefault="00462A8F" w:rsidP="007016A9">
            <w:pPr>
              <w:rPr>
                <w:rFonts w:ascii="Times New Roman" w:eastAsia="Times New Roman" w:hAnsi="Times New Roman" w:cs="Times New Roman"/>
                <w:iCs/>
                <w:sz w:val="28"/>
                <w:szCs w:val="28"/>
                <w:lang w:eastAsia="lv-LV"/>
              </w:rPr>
            </w:pPr>
          </w:p>
        </w:tc>
        <w:tc>
          <w:tcPr>
            <w:tcW w:w="2086" w:type="dxa"/>
            <w:gridSpan w:val="2"/>
            <w:vMerge/>
            <w:shd w:val="clear" w:color="auto" w:fill="auto"/>
            <w:hideMark/>
          </w:tcPr>
          <w:p w14:paraId="28287240" w14:textId="77777777" w:rsidR="00462A8F" w:rsidRPr="00B52256" w:rsidRDefault="00462A8F" w:rsidP="007016A9">
            <w:pPr>
              <w:rPr>
                <w:rFonts w:ascii="Times New Roman" w:eastAsia="Times New Roman" w:hAnsi="Times New Roman" w:cs="Times New Roman"/>
                <w:iCs/>
                <w:sz w:val="28"/>
                <w:szCs w:val="28"/>
                <w:lang w:eastAsia="lv-LV"/>
              </w:rPr>
            </w:pPr>
          </w:p>
        </w:tc>
        <w:tc>
          <w:tcPr>
            <w:tcW w:w="1897" w:type="dxa"/>
            <w:gridSpan w:val="2"/>
            <w:shd w:val="clear" w:color="auto" w:fill="auto"/>
            <w:vAlign w:val="center"/>
            <w:hideMark/>
          </w:tcPr>
          <w:p w14:paraId="32B3B7A6" w14:textId="77777777" w:rsidR="00462A8F" w:rsidRPr="00B52256" w:rsidRDefault="004011DD"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20</w:t>
            </w:r>
            <w:r w:rsidR="00941CE8" w:rsidRPr="00B52256">
              <w:rPr>
                <w:rFonts w:ascii="Times New Roman" w:eastAsia="Times New Roman" w:hAnsi="Times New Roman" w:cs="Times New Roman"/>
                <w:iCs/>
                <w:sz w:val="28"/>
                <w:szCs w:val="28"/>
                <w:lang w:eastAsia="lv-LV"/>
              </w:rPr>
              <w:t>21</w:t>
            </w:r>
            <w:r w:rsidR="00B32BBE" w:rsidRPr="00B52256">
              <w:rPr>
                <w:rFonts w:ascii="Times New Roman" w:eastAsia="Times New Roman" w:hAnsi="Times New Roman" w:cs="Times New Roman"/>
                <w:iCs/>
                <w:sz w:val="28"/>
                <w:szCs w:val="28"/>
                <w:lang w:eastAsia="lv-LV"/>
              </w:rPr>
              <w:t>.</w:t>
            </w:r>
            <w:r w:rsidR="00C51E7F">
              <w:rPr>
                <w:rFonts w:ascii="Times New Roman" w:eastAsia="Times New Roman" w:hAnsi="Times New Roman" w:cs="Times New Roman"/>
                <w:iCs/>
                <w:sz w:val="28"/>
                <w:szCs w:val="28"/>
                <w:lang w:eastAsia="lv-LV"/>
              </w:rPr>
              <w:t>gads</w:t>
            </w:r>
          </w:p>
        </w:tc>
        <w:tc>
          <w:tcPr>
            <w:tcW w:w="1993" w:type="dxa"/>
            <w:gridSpan w:val="2"/>
            <w:shd w:val="clear" w:color="auto" w:fill="auto"/>
            <w:vAlign w:val="center"/>
            <w:hideMark/>
          </w:tcPr>
          <w:p w14:paraId="33993033" w14:textId="77777777" w:rsidR="00462A8F" w:rsidRPr="00B52256" w:rsidRDefault="004011DD"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202</w:t>
            </w:r>
            <w:r w:rsidR="00941CE8" w:rsidRPr="00B52256">
              <w:rPr>
                <w:rFonts w:ascii="Times New Roman" w:eastAsia="Times New Roman" w:hAnsi="Times New Roman" w:cs="Times New Roman"/>
                <w:iCs/>
                <w:sz w:val="28"/>
                <w:szCs w:val="28"/>
                <w:lang w:eastAsia="lv-LV"/>
              </w:rPr>
              <w:t>2</w:t>
            </w:r>
            <w:r w:rsidR="00B32BBE" w:rsidRPr="00B52256">
              <w:rPr>
                <w:rFonts w:ascii="Times New Roman" w:eastAsia="Times New Roman" w:hAnsi="Times New Roman" w:cs="Times New Roman"/>
                <w:iCs/>
                <w:sz w:val="28"/>
                <w:szCs w:val="28"/>
                <w:lang w:eastAsia="lv-LV"/>
              </w:rPr>
              <w:t>.</w:t>
            </w:r>
            <w:r w:rsidR="00C51E7F">
              <w:rPr>
                <w:rFonts w:ascii="Times New Roman" w:eastAsia="Times New Roman" w:hAnsi="Times New Roman" w:cs="Times New Roman"/>
                <w:iCs/>
                <w:sz w:val="28"/>
                <w:szCs w:val="28"/>
                <w:lang w:eastAsia="lv-LV"/>
              </w:rPr>
              <w:t>gads</w:t>
            </w:r>
          </w:p>
        </w:tc>
        <w:tc>
          <w:tcPr>
            <w:tcW w:w="1215" w:type="dxa"/>
            <w:shd w:val="clear" w:color="auto" w:fill="auto"/>
            <w:hideMark/>
          </w:tcPr>
          <w:p w14:paraId="16DAE6A7" w14:textId="77777777" w:rsidR="00462A8F" w:rsidRPr="00B52256" w:rsidRDefault="004011DD"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202</w:t>
            </w:r>
            <w:r w:rsidR="00941CE8" w:rsidRPr="00B52256">
              <w:rPr>
                <w:rFonts w:ascii="Times New Roman" w:eastAsia="Times New Roman" w:hAnsi="Times New Roman" w:cs="Times New Roman"/>
                <w:iCs/>
                <w:sz w:val="28"/>
                <w:szCs w:val="28"/>
                <w:lang w:eastAsia="lv-LV"/>
              </w:rPr>
              <w:t>3</w:t>
            </w:r>
            <w:r w:rsidR="00B32BBE" w:rsidRPr="00B52256">
              <w:rPr>
                <w:rFonts w:ascii="Times New Roman" w:eastAsia="Times New Roman" w:hAnsi="Times New Roman" w:cs="Times New Roman"/>
                <w:iCs/>
                <w:sz w:val="28"/>
                <w:szCs w:val="28"/>
                <w:lang w:eastAsia="lv-LV"/>
              </w:rPr>
              <w:t>.</w:t>
            </w:r>
            <w:r w:rsidR="00C51E7F">
              <w:rPr>
                <w:rFonts w:ascii="Times New Roman" w:eastAsia="Times New Roman" w:hAnsi="Times New Roman" w:cs="Times New Roman"/>
                <w:iCs/>
                <w:sz w:val="28"/>
                <w:szCs w:val="28"/>
                <w:lang w:eastAsia="lv-LV"/>
              </w:rPr>
              <w:t xml:space="preserve"> gads</w:t>
            </w:r>
          </w:p>
        </w:tc>
      </w:tr>
      <w:tr w:rsidR="00152C21" w:rsidRPr="00BA4EF1" w14:paraId="0AECC96E" w14:textId="77777777" w:rsidTr="00B52256">
        <w:trPr>
          <w:tblCellSpacing w:w="20" w:type="dxa"/>
          <w:jc w:val="center"/>
        </w:trPr>
        <w:tc>
          <w:tcPr>
            <w:tcW w:w="1917" w:type="dxa"/>
            <w:vMerge/>
            <w:shd w:val="clear" w:color="auto" w:fill="auto"/>
            <w:hideMark/>
          </w:tcPr>
          <w:p w14:paraId="39827FF1" w14:textId="77777777" w:rsidR="00462A8F" w:rsidRPr="00B52256" w:rsidRDefault="00462A8F" w:rsidP="007016A9">
            <w:pPr>
              <w:rPr>
                <w:rFonts w:ascii="Times New Roman" w:eastAsia="Times New Roman" w:hAnsi="Times New Roman" w:cs="Times New Roman"/>
                <w:iCs/>
                <w:sz w:val="28"/>
                <w:szCs w:val="28"/>
                <w:lang w:eastAsia="lv-LV"/>
              </w:rPr>
            </w:pPr>
          </w:p>
        </w:tc>
        <w:tc>
          <w:tcPr>
            <w:tcW w:w="952" w:type="dxa"/>
            <w:shd w:val="clear" w:color="auto" w:fill="auto"/>
            <w:hideMark/>
          </w:tcPr>
          <w:p w14:paraId="5E730E8D" w14:textId="77777777" w:rsidR="00462A8F" w:rsidRPr="00B52256" w:rsidRDefault="00B32BBE" w:rsidP="007016A9">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saskaņā ar valsts budžetu kārtējam gadam</w:t>
            </w:r>
          </w:p>
        </w:tc>
        <w:tc>
          <w:tcPr>
            <w:tcW w:w="1094" w:type="dxa"/>
            <w:shd w:val="clear" w:color="auto" w:fill="auto"/>
            <w:hideMark/>
          </w:tcPr>
          <w:p w14:paraId="7F02146E" w14:textId="77777777" w:rsidR="00462A8F" w:rsidRPr="00B52256" w:rsidRDefault="00B32BBE" w:rsidP="007016A9">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izmaiņas kārtējā gadā, salīdzinot ar valsts budžetu kārtējam gadam</w:t>
            </w:r>
          </w:p>
        </w:tc>
        <w:tc>
          <w:tcPr>
            <w:tcW w:w="792" w:type="dxa"/>
            <w:shd w:val="clear" w:color="auto" w:fill="auto"/>
            <w:hideMark/>
          </w:tcPr>
          <w:p w14:paraId="0DD6BEAB" w14:textId="77777777" w:rsidR="00462A8F" w:rsidRPr="00B52256" w:rsidRDefault="00B32BBE" w:rsidP="007016A9">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saskaņā ar vidēja termiņa budžeta ietvaru</w:t>
            </w:r>
          </w:p>
        </w:tc>
        <w:tc>
          <w:tcPr>
            <w:tcW w:w="1065" w:type="dxa"/>
            <w:shd w:val="clear" w:color="auto" w:fill="auto"/>
            <w:hideMark/>
          </w:tcPr>
          <w:p w14:paraId="025D5F98" w14:textId="77777777" w:rsidR="00462A8F" w:rsidRPr="00B52256" w:rsidRDefault="00B32BBE" w:rsidP="007016A9">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 xml:space="preserve">izmaiņas, salīdzinot ar vidēja termiņa budžeta ietvaru </w:t>
            </w:r>
            <w:r w:rsidR="00FF11A7" w:rsidRPr="00B52256">
              <w:rPr>
                <w:rFonts w:ascii="Times New Roman" w:eastAsia="Times New Roman" w:hAnsi="Times New Roman" w:cs="Times New Roman"/>
                <w:iCs/>
                <w:sz w:val="28"/>
                <w:szCs w:val="28"/>
                <w:lang w:eastAsia="lv-LV"/>
              </w:rPr>
              <w:t>2021</w:t>
            </w:r>
            <w:r w:rsidRPr="00B52256">
              <w:rPr>
                <w:rFonts w:ascii="Times New Roman" w:eastAsia="Times New Roman" w:hAnsi="Times New Roman" w:cs="Times New Roman"/>
                <w:iCs/>
                <w:sz w:val="28"/>
                <w:szCs w:val="28"/>
                <w:lang w:eastAsia="lv-LV"/>
              </w:rPr>
              <w:t>. gadam</w:t>
            </w:r>
          </w:p>
        </w:tc>
        <w:tc>
          <w:tcPr>
            <w:tcW w:w="807" w:type="dxa"/>
            <w:shd w:val="clear" w:color="auto" w:fill="auto"/>
            <w:hideMark/>
          </w:tcPr>
          <w:p w14:paraId="532909E8" w14:textId="77777777" w:rsidR="00462A8F" w:rsidRPr="00B52256" w:rsidRDefault="00B32BBE" w:rsidP="007016A9">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saskaņā ar vidēja termiņa budžeta ietvaru</w:t>
            </w:r>
          </w:p>
        </w:tc>
        <w:tc>
          <w:tcPr>
            <w:tcW w:w="1146" w:type="dxa"/>
            <w:shd w:val="clear" w:color="auto" w:fill="auto"/>
            <w:hideMark/>
          </w:tcPr>
          <w:p w14:paraId="686DF242" w14:textId="77777777" w:rsidR="00462A8F" w:rsidRPr="00B52256" w:rsidRDefault="00B32BBE" w:rsidP="007016A9">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 xml:space="preserve">izmaiņas, salīdzinot ar vidēja termiņa budžeta ietvaru </w:t>
            </w:r>
            <w:r w:rsidR="00054CF3" w:rsidRPr="00B52256">
              <w:rPr>
                <w:rFonts w:ascii="Times New Roman" w:eastAsia="Times New Roman" w:hAnsi="Times New Roman" w:cs="Times New Roman"/>
                <w:iCs/>
                <w:sz w:val="28"/>
                <w:szCs w:val="28"/>
                <w:lang w:eastAsia="lv-LV"/>
              </w:rPr>
              <w:t>2022</w:t>
            </w:r>
            <w:r w:rsidRPr="00B52256">
              <w:rPr>
                <w:rFonts w:ascii="Times New Roman" w:eastAsia="Times New Roman" w:hAnsi="Times New Roman" w:cs="Times New Roman"/>
                <w:iCs/>
                <w:sz w:val="28"/>
                <w:szCs w:val="28"/>
                <w:lang w:eastAsia="lv-LV"/>
              </w:rPr>
              <w:t>. gadam</w:t>
            </w:r>
          </w:p>
        </w:tc>
        <w:tc>
          <w:tcPr>
            <w:tcW w:w="1215" w:type="dxa"/>
            <w:shd w:val="clear" w:color="auto" w:fill="auto"/>
            <w:hideMark/>
          </w:tcPr>
          <w:p w14:paraId="5CF3AAD0" w14:textId="77777777" w:rsidR="00462A8F" w:rsidRPr="00B52256" w:rsidRDefault="00B32BBE" w:rsidP="007016A9">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 xml:space="preserve">izmaiņas, salīdzinot ar vidēja termiņa budžeta ietvaru </w:t>
            </w:r>
            <w:r w:rsidR="001C1DB0" w:rsidRPr="00B52256">
              <w:rPr>
                <w:rFonts w:ascii="Times New Roman" w:eastAsia="Times New Roman" w:hAnsi="Times New Roman" w:cs="Times New Roman"/>
                <w:iCs/>
                <w:sz w:val="28"/>
                <w:szCs w:val="28"/>
                <w:lang w:eastAsia="lv-LV"/>
              </w:rPr>
              <w:t>20</w:t>
            </w:r>
            <w:r w:rsidR="00FF11A7" w:rsidRPr="00B52256">
              <w:rPr>
                <w:rFonts w:ascii="Times New Roman" w:eastAsia="Times New Roman" w:hAnsi="Times New Roman" w:cs="Times New Roman"/>
                <w:iCs/>
                <w:sz w:val="28"/>
                <w:szCs w:val="28"/>
                <w:lang w:eastAsia="lv-LV"/>
              </w:rPr>
              <w:t>22</w:t>
            </w:r>
            <w:r w:rsidR="00036959" w:rsidRPr="00B52256">
              <w:rPr>
                <w:rFonts w:ascii="Times New Roman" w:eastAsia="Times New Roman" w:hAnsi="Times New Roman" w:cs="Times New Roman"/>
                <w:iCs/>
                <w:sz w:val="28"/>
                <w:szCs w:val="28"/>
                <w:lang w:eastAsia="lv-LV"/>
              </w:rPr>
              <w:t>.</w:t>
            </w:r>
            <w:r w:rsidR="00B6303F" w:rsidRPr="0041152A">
              <w:rPr>
                <w:rFonts w:ascii="Times New Roman" w:eastAsia="Times New Roman" w:hAnsi="Times New Roman" w:cs="Times New Roman"/>
                <w:iCs/>
                <w:sz w:val="28"/>
                <w:szCs w:val="28"/>
                <w:lang w:eastAsia="lv-LV"/>
              </w:rPr>
              <w:t xml:space="preserve"> </w:t>
            </w:r>
            <w:r w:rsidRPr="00B52256">
              <w:rPr>
                <w:rFonts w:ascii="Times New Roman" w:eastAsia="Times New Roman" w:hAnsi="Times New Roman" w:cs="Times New Roman"/>
                <w:iCs/>
                <w:sz w:val="28"/>
                <w:szCs w:val="28"/>
                <w:lang w:eastAsia="lv-LV"/>
              </w:rPr>
              <w:t>gadam</w:t>
            </w:r>
          </w:p>
        </w:tc>
      </w:tr>
      <w:tr w:rsidR="00152C21" w:rsidRPr="00BA4EF1" w14:paraId="6FFC6AF4" w14:textId="77777777" w:rsidTr="00B52256">
        <w:trPr>
          <w:tblCellSpacing w:w="20" w:type="dxa"/>
          <w:jc w:val="center"/>
        </w:trPr>
        <w:tc>
          <w:tcPr>
            <w:tcW w:w="1917" w:type="dxa"/>
            <w:shd w:val="clear" w:color="auto" w:fill="auto"/>
            <w:hideMark/>
          </w:tcPr>
          <w:p w14:paraId="38F82899" w14:textId="77777777" w:rsidR="00462A8F" w:rsidRPr="00B52256" w:rsidRDefault="00B32BBE"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1</w:t>
            </w:r>
          </w:p>
        </w:tc>
        <w:tc>
          <w:tcPr>
            <w:tcW w:w="952" w:type="dxa"/>
            <w:shd w:val="clear" w:color="auto" w:fill="auto"/>
            <w:hideMark/>
          </w:tcPr>
          <w:p w14:paraId="233A52CB" w14:textId="77777777" w:rsidR="00462A8F" w:rsidRPr="00B52256" w:rsidRDefault="00B32BBE"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2</w:t>
            </w:r>
          </w:p>
        </w:tc>
        <w:tc>
          <w:tcPr>
            <w:tcW w:w="1094" w:type="dxa"/>
            <w:shd w:val="clear" w:color="auto" w:fill="auto"/>
            <w:hideMark/>
          </w:tcPr>
          <w:p w14:paraId="0F870E17" w14:textId="77777777" w:rsidR="00462A8F" w:rsidRPr="00B52256" w:rsidRDefault="00B32BBE"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3</w:t>
            </w:r>
          </w:p>
        </w:tc>
        <w:tc>
          <w:tcPr>
            <w:tcW w:w="792" w:type="dxa"/>
            <w:shd w:val="clear" w:color="auto" w:fill="auto"/>
            <w:hideMark/>
          </w:tcPr>
          <w:p w14:paraId="4B3441C0" w14:textId="77777777" w:rsidR="00462A8F" w:rsidRPr="00B52256" w:rsidRDefault="00B32BBE"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4</w:t>
            </w:r>
          </w:p>
        </w:tc>
        <w:tc>
          <w:tcPr>
            <w:tcW w:w="1065" w:type="dxa"/>
            <w:shd w:val="clear" w:color="auto" w:fill="auto"/>
            <w:hideMark/>
          </w:tcPr>
          <w:p w14:paraId="2ECB41D6" w14:textId="77777777" w:rsidR="00462A8F" w:rsidRPr="00B52256" w:rsidRDefault="00B32BBE"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5</w:t>
            </w:r>
          </w:p>
        </w:tc>
        <w:tc>
          <w:tcPr>
            <w:tcW w:w="807" w:type="dxa"/>
            <w:shd w:val="clear" w:color="auto" w:fill="auto"/>
            <w:hideMark/>
          </w:tcPr>
          <w:p w14:paraId="46A97579" w14:textId="77777777" w:rsidR="00462A8F" w:rsidRPr="00B52256" w:rsidRDefault="00B32BBE"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6</w:t>
            </w:r>
          </w:p>
        </w:tc>
        <w:tc>
          <w:tcPr>
            <w:tcW w:w="1146" w:type="dxa"/>
            <w:shd w:val="clear" w:color="auto" w:fill="auto"/>
            <w:hideMark/>
          </w:tcPr>
          <w:p w14:paraId="6E0C8EC7" w14:textId="77777777" w:rsidR="00462A8F" w:rsidRPr="00B52256" w:rsidRDefault="00B32BBE"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7</w:t>
            </w:r>
          </w:p>
        </w:tc>
        <w:tc>
          <w:tcPr>
            <w:tcW w:w="1215" w:type="dxa"/>
            <w:shd w:val="clear" w:color="auto" w:fill="auto"/>
            <w:hideMark/>
          </w:tcPr>
          <w:p w14:paraId="72CE50BE" w14:textId="77777777" w:rsidR="00462A8F" w:rsidRPr="00B52256" w:rsidRDefault="00B32BBE" w:rsidP="00B52256">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8</w:t>
            </w:r>
          </w:p>
        </w:tc>
      </w:tr>
      <w:tr w:rsidR="004011DD" w:rsidRPr="00BA4EF1" w14:paraId="5573A8A6" w14:textId="77777777" w:rsidTr="00B52256">
        <w:trPr>
          <w:tblCellSpacing w:w="20" w:type="dxa"/>
          <w:jc w:val="center"/>
        </w:trPr>
        <w:tc>
          <w:tcPr>
            <w:tcW w:w="1917" w:type="dxa"/>
            <w:shd w:val="clear" w:color="auto" w:fill="auto"/>
            <w:hideMark/>
          </w:tcPr>
          <w:p w14:paraId="419FFC11" w14:textId="77777777" w:rsidR="004011DD" w:rsidRPr="00B52256" w:rsidRDefault="004011DD"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1. Budžeta ieņēmumi</w:t>
            </w:r>
          </w:p>
        </w:tc>
        <w:tc>
          <w:tcPr>
            <w:tcW w:w="952" w:type="dxa"/>
            <w:shd w:val="clear" w:color="auto" w:fill="auto"/>
            <w:hideMark/>
          </w:tcPr>
          <w:p w14:paraId="3195E188" w14:textId="77777777" w:rsidR="004011DD" w:rsidRPr="00B52256" w:rsidRDefault="004011DD"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shd w:val="clear" w:color="auto" w:fill="auto"/>
            <w:hideMark/>
          </w:tcPr>
          <w:p w14:paraId="5DF9F193" w14:textId="77777777" w:rsidR="004011DD" w:rsidRPr="00B52256" w:rsidRDefault="00A724BB"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shd w:val="clear" w:color="auto" w:fill="auto"/>
            <w:hideMark/>
          </w:tcPr>
          <w:p w14:paraId="58B58611" w14:textId="77777777" w:rsidR="004011DD" w:rsidRPr="00B52256" w:rsidRDefault="004011DD"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shd w:val="clear" w:color="auto" w:fill="auto"/>
          </w:tcPr>
          <w:p w14:paraId="46E52912" w14:textId="77777777" w:rsidR="004011DD" w:rsidRPr="00B52256" w:rsidRDefault="000E61A9" w:rsidP="0001319C">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542 700</w:t>
            </w:r>
          </w:p>
        </w:tc>
        <w:tc>
          <w:tcPr>
            <w:tcW w:w="807" w:type="dxa"/>
            <w:shd w:val="clear" w:color="auto" w:fill="auto"/>
            <w:hideMark/>
          </w:tcPr>
          <w:p w14:paraId="60656AC8" w14:textId="77777777" w:rsidR="004011DD" w:rsidRPr="00B52256" w:rsidRDefault="004011DD"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shd w:val="clear" w:color="auto" w:fill="auto"/>
          </w:tcPr>
          <w:p w14:paraId="2DBE734B" w14:textId="6A100A31" w:rsidR="004011DD"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 xml:space="preserve">814 </w:t>
            </w:r>
            <w:r w:rsidR="00E310A1" w:rsidRPr="00B52256">
              <w:rPr>
                <w:rFonts w:ascii="Times New Roman" w:eastAsia="Times New Roman" w:hAnsi="Times New Roman" w:cs="Times New Roman"/>
                <w:iCs/>
                <w:sz w:val="24"/>
                <w:szCs w:val="24"/>
                <w:lang w:eastAsia="lv-LV"/>
              </w:rPr>
              <w:t>0</w:t>
            </w:r>
            <w:r w:rsidR="00E310A1">
              <w:rPr>
                <w:rFonts w:ascii="Times New Roman" w:eastAsia="Times New Roman" w:hAnsi="Times New Roman" w:cs="Times New Roman"/>
                <w:iCs/>
                <w:sz w:val="24"/>
                <w:szCs w:val="24"/>
                <w:lang w:eastAsia="lv-LV"/>
              </w:rPr>
              <w:t>49</w:t>
            </w:r>
          </w:p>
        </w:tc>
        <w:tc>
          <w:tcPr>
            <w:tcW w:w="1215" w:type="dxa"/>
            <w:shd w:val="clear" w:color="auto" w:fill="auto"/>
          </w:tcPr>
          <w:p w14:paraId="7E59C8A7" w14:textId="77777777" w:rsidR="004011DD"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1 085 400</w:t>
            </w:r>
          </w:p>
        </w:tc>
      </w:tr>
      <w:tr w:rsidR="008027A1" w:rsidRPr="00BA4EF1" w14:paraId="49C2FD5D" w14:textId="77777777" w:rsidTr="00B52256">
        <w:trPr>
          <w:tblCellSpacing w:w="20" w:type="dxa"/>
          <w:jc w:val="center"/>
        </w:trPr>
        <w:tc>
          <w:tcPr>
            <w:tcW w:w="1917" w:type="dxa"/>
            <w:shd w:val="clear" w:color="auto" w:fill="auto"/>
            <w:hideMark/>
          </w:tcPr>
          <w:p w14:paraId="5119DD6B"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52" w:type="dxa"/>
            <w:shd w:val="clear" w:color="auto" w:fill="auto"/>
            <w:hideMark/>
          </w:tcPr>
          <w:p w14:paraId="68502809"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shd w:val="clear" w:color="auto" w:fill="auto"/>
            <w:hideMark/>
          </w:tcPr>
          <w:p w14:paraId="661CDD20"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 0</w:t>
            </w:r>
          </w:p>
          <w:p w14:paraId="7C5BF820" w14:textId="77777777" w:rsidR="008027A1" w:rsidRPr="00B52256" w:rsidRDefault="008027A1" w:rsidP="0001319C">
            <w:pPr>
              <w:jc w:val="center"/>
              <w:rPr>
                <w:rFonts w:ascii="Times New Roman" w:eastAsia="Times New Roman" w:hAnsi="Times New Roman" w:cs="Times New Roman"/>
                <w:iCs/>
                <w:sz w:val="28"/>
                <w:szCs w:val="28"/>
                <w:lang w:eastAsia="lv-LV"/>
              </w:rPr>
            </w:pPr>
          </w:p>
        </w:tc>
        <w:tc>
          <w:tcPr>
            <w:tcW w:w="792" w:type="dxa"/>
            <w:shd w:val="clear" w:color="auto" w:fill="auto"/>
            <w:hideMark/>
          </w:tcPr>
          <w:p w14:paraId="6F4AEC37"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shd w:val="clear" w:color="auto" w:fill="auto"/>
          </w:tcPr>
          <w:p w14:paraId="2854FF48" w14:textId="77777777" w:rsidR="008027A1" w:rsidRPr="00B52256" w:rsidRDefault="000E61A9"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542 700</w:t>
            </w:r>
          </w:p>
        </w:tc>
        <w:tc>
          <w:tcPr>
            <w:tcW w:w="807" w:type="dxa"/>
            <w:shd w:val="clear" w:color="auto" w:fill="auto"/>
            <w:hideMark/>
          </w:tcPr>
          <w:p w14:paraId="5FD22606"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shd w:val="clear" w:color="auto" w:fill="auto"/>
          </w:tcPr>
          <w:p w14:paraId="1C09AF37" w14:textId="6EA10074"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 xml:space="preserve">814 </w:t>
            </w:r>
            <w:r w:rsidR="00E310A1" w:rsidRPr="00B52256">
              <w:rPr>
                <w:rFonts w:ascii="Times New Roman" w:eastAsia="Times New Roman" w:hAnsi="Times New Roman" w:cs="Times New Roman"/>
                <w:iCs/>
                <w:sz w:val="24"/>
                <w:szCs w:val="24"/>
                <w:lang w:eastAsia="lv-LV"/>
              </w:rPr>
              <w:t>0</w:t>
            </w:r>
            <w:r w:rsidR="00E310A1">
              <w:rPr>
                <w:rFonts w:ascii="Times New Roman" w:eastAsia="Times New Roman" w:hAnsi="Times New Roman" w:cs="Times New Roman"/>
                <w:iCs/>
                <w:sz w:val="24"/>
                <w:szCs w:val="24"/>
                <w:lang w:eastAsia="lv-LV"/>
              </w:rPr>
              <w:t>49</w:t>
            </w:r>
          </w:p>
        </w:tc>
        <w:tc>
          <w:tcPr>
            <w:tcW w:w="1215" w:type="dxa"/>
            <w:shd w:val="clear" w:color="auto" w:fill="auto"/>
          </w:tcPr>
          <w:p w14:paraId="3A938E33" w14:textId="77777777"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1 085 400</w:t>
            </w:r>
          </w:p>
        </w:tc>
      </w:tr>
      <w:tr w:rsidR="008027A1" w:rsidRPr="00BA4EF1" w14:paraId="1DB730D4" w14:textId="77777777" w:rsidTr="00B52256">
        <w:trPr>
          <w:tblCellSpacing w:w="20" w:type="dxa"/>
          <w:jc w:val="center"/>
        </w:trPr>
        <w:tc>
          <w:tcPr>
            <w:tcW w:w="1917" w:type="dxa"/>
            <w:shd w:val="clear" w:color="auto" w:fill="auto"/>
            <w:hideMark/>
          </w:tcPr>
          <w:p w14:paraId="587EB386"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1.2. valsts speciālais budžets</w:t>
            </w:r>
          </w:p>
        </w:tc>
        <w:tc>
          <w:tcPr>
            <w:tcW w:w="952" w:type="dxa"/>
            <w:shd w:val="clear" w:color="auto" w:fill="auto"/>
            <w:hideMark/>
          </w:tcPr>
          <w:p w14:paraId="0FB9F440"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shd w:val="clear" w:color="auto" w:fill="auto"/>
            <w:hideMark/>
          </w:tcPr>
          <w:p w14:paraId="6BDBE32F"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shd w:val="clear" w:color="auto" w:fill="auto"/>
            <w:hideMark/>
          </w:tcPr>
          <w:p w14:paraId="6DA77B28"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shd w:val="clear" w:color="auto" w:fill="auto"/>
            <w:hideMark/>
          </w:tcPr>
          <w:p w14:paraId="4D2C9BC0"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807" w:type="dxa"/>
            <w:shd w:val="clear" w:color="auto" w:fill="auto"/>
            <w:hideMark/>
          </w:tcPr>
          <w:p w14:paraId="435FF615"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shd w:val="clear" w:color="auto" w:fill="auto"/>
            <w:hideMark/>
          </w:tcPr>
          <w:p w14:paraId="53705B98"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215" w:type="dxa"/>
            <w:shd w:val="clear" w:color="auto" w:fill="auto"/>
            <w:hideMark/>
          </w:tcPr>
          <w:p w14:paraId="1876B980"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r>
      <w:tr w:rsidR="008027A1" w:rsidRPr="00BA4EF1" w14:paraId="524A39B5" w14:textId="77777777" w:rsidTr="00B52256">
        <w:trPr>
          <w:tblCellSpacing w:w="20" w:type="dxa"/>
          <w:jc w:val="center"/>
        </w:trPr>
        <w:tc>
          <w:tcPr>
            <w:tcW w:w="1917" w:type="dxa"/>
            <w:shd w:val="clear" w:color="auto" w:fill="auto"/>
            <w:hideMark/>
          </w:tcPr>
          <w:p w14:paraId="17D8F9E1"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1.3. pašvaldību budžets</w:t>
            </w:r>
          </w:p>
        </w:tc>
        <w:tc>
          <w:tcPr>
            <w:tcW w:w="952" w:type="dxa"/>
            <w:shd w:val="clear" w:color="auto" w:fill="auto"/>
            <w:hideMark/>
          </w:tcPr>
          <w:p w14:paraId="79F6DD70"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shd w:val="clear" w:color="auto" w:fill="auto"/>
            <w:hideMark/>
          </w:tcPr>
          <w:p w14:paraId="0E9A1471"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shd w:val="clear" w:color="auto" w:fill="auto"/>
            <w:hideMark/>
          </w:tcPr>
          <w:p w14:paraId="480EE52D"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shd w:val="clear" w:color="auto" w:fill="auto"/>
            <w:hideMark/>
          </w:tcPr>
          <w:p w14:paraId="7E7ADD0A"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807" w:type="dxa"/>
            <w:shd w:val="clear" w:color="auto" w:fill="auto"/>
            <w:hideMark/>
          </w:tcPr>
          <w:p w14:paraId="4A7EC5D6"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shd w:val="clear" w:color="auto" w:fill="auto"/>
            <w:hideMark/>
          </w:tcPr>
          <w:p w14:paraId="7C7890A9"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215" w:type="dxa"/>
            <w:shd w:val="clear" w:color="auto" w:fill="auto"/>
            <w:hideMark/>
          </w:tcPr>
          <w:p w14:paraId="38528F24"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r>
      <w:tr w:rsidR="008027A1" w:rsidRPr="00BA4EF1" w14:paraId="17D7FE04" w14:textId="77777777" w:rsidTr="00B52256">
        <w:trPr>
          <w:tblCellSpacing w:w="20" w:type="dxa"/>
          <w:jc w:val="center"/>
        </w:trPr>
        <w:tc>
          <w:tcPr>
            <w:tcW w:w="1917" w:type="dxa"/>
            <w:shd w:val="clear" w:color="auto" w:fill="auto"/>
            <w:hideMark/>
          </w:tcPr>
          <w:p w14:paraId="0494C899"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2. Budžeta izdevumi</w:t>
            </w:r>
          </w:p>
        </w:tc>
        <w:tc>
          <w:tcPr>
            <w:tcW w:w="952" w:type="dxa"/>
            <w:shd w:val="clear" w:color="auto" w:fill="auto"/>
            <w:hideMark/>
          </w:tcPr>
          <w:p w14:paraId="5AE04203"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shd w:val="clear" w:color="auto" w:fill="auto"/>
            <w:hideMark/>
          </w:tcPr>
          <w:p w14:paraId="15341AEF" w14:textId="2C6AB944" w:rsidR="008027A1" w:rsidRPr="00B52256" w:rsidRDefault="008027A1" w:rsidP="00C61807">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shd w:val="clear" w:color="auto" w:fill="auto"/>
            <w:hideMark/>
          </w:tcPr>
          <w:p w14:paraId="0AF9EDD6"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shd w:val="clear" w:color="auto" w:fill="auto"/>
          </w:tcPr>
          <w:p w14:paraId="3125E842" w14:textId="77777777" w:rsidR="008027A1" w:rsidRPr="00B52256" w:rsidRDefault="000E61A9"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638 471</w:t>
            </w:r>
          </w:p>
        </w:tc>
        <w:tc>
          <w:tcPr>
            <w:tcW w:w="807" w:type="dxa"/>
            <w:shd w:val="clear" w:color="auto" w:fill="auto"/>
            <w:hideMark/>
          </w:tcPr>
          <w:p w14:paraId="164C0AB0"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shd w:val="clear" w:color="auto" w:fill="auto"/>
          </w:tcPr>
          <w:p w14:paraId="7E42CC30" w14:textId="77777777"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957 705</w:t>
            </w:r>
          </w:p>
        </w:tc>
        <w:tc>
          <w:tcPr>
            <w:tcW w:w="1215" w:type="dxa"/>
            <w:shd w:val="clear" w:color="auto" w:fill="auto"/>
          </w:tcPr>
          <w:p w14:paraId="63A04DDD" w14:textId="77777777"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1 276 941</w:t>
            </w:r>
          </w:p>
        </w:tc>
      </w:tr>
      <w:tr w:rsidR="008027A1" w:rsidRPr="00BA4EF1" w14:paraId="7C6B2A62" w14:textId="77777777" w:rsidTr="00B52256">
        <w:trPr>
          <w:tblCellSpacing w:w="20" w:type="dxa"/>
          <w:jc w:val="center"/>
        </w:trPr>
        <w:tc>
          <w:tcPr>
            <w:tcW w:w="1917" w:type="dxa"/>
            <w:shd w:val="clear" w:color="auto" w:fill="auto"/>
            <w:hideMark/>
          </w:tcPr>
          <w:p w14:paraId="5438940D"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lastRenderedPageBreak/>
              <w:t>2.1. valsts pamatbudžets</w:t>
            </w:r>
          </w:p>
        </w:tc>
        <w:tc>
          <w:tcPr>
            <w:tcW w:w="952" w:type="dxa"/>
            <w:shd w:val="clear" w:color="auto" w:fill="auto"/>
            <w:hideMark/>
          </w:tcPr>
          <w:p w14:paraId="1994A432"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shd w:val="clear" w:color="auto" w:fill="auto"/>
            <w:hideMark/>
          </w:tcPr>
          <w:p w14:paraId="766BD419"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 xml:space="preserve"> 0</w:t>
            </w:r>
          </w:p>
        </w:tc>
        <w:tc>
          <w:tcPr>
            <w:tcW w:w="792" w:type="dxa"/>
            <w:shd w:val="clear" w:color="auto" w:fill="auto"/>
            <w:hideMark/>
          </w:tcPr>
          <w:p w14:paraId="21B4BD4B"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shd w:val="clear" w:color="auto" w:fill="auto"/>
          </w:tcPr>
          <w:p w14:paraId="2DCEA39D" w14:textId="77777777" w:rsidR="008027A1" w:rsidRPr="00B52256" w:rsidRDefault="000E61A9" w:rsidP="0001319C">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638 471</w:t>
            </w:r>
          </w:p>
        </w:tc>
        <w:tc>
          <w:tcPr>
            <w:tcW w:w="807" w:type="dxa"/>
            <w:shd w:val="clear" w:color="auto" w:fill="auto"/>
            <w:hideMark/>
          </w:tcPr>
          <w:p w14:paraId="6B678ECE"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shd w:val="clear" w:color="auto" w:fill="auto"/>
          </w:tcPr>
          <w:p w14:paraId="7EDE6DB1" w14:textId="77777777"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957 705</w:t>
            </w:r>
          </w:p>
        </w:tc>
        <w:tc>
          <w:tcPr>
            <w:tcW w:w="1215" w:type="dxa"/>
            <w:shd w:val="clear" w:color="auto" w:fill="auto"/>
          </w:tcPr>
          <w:p w14:paraId="36231F0E" w14:textId="77777777"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1 276 941</w:t>
            </w:r>
          </w:p>
        </w:tc>
      </w:tr>
      <w:tr w:rsidR="008027A1" w:rsidRPr="00BA4EF1" w14:paraId="0C326030" w14:textId="77777777" w:rsidTr="00B52256">
        <w:trPr>
          <w:tblCellSpacing w:w="20" w:type="dxa"/>
          <w:jc w:val="center"/>
        </w:trPr>
        <w:tc>
          <w:tcPr>
            <w:tcW w:w="1917" w:type="dxa"/>
            <w:hideMark/>
          </w:tcPr>
          <w:p w14:paraId="3645EAB0"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2.2. valsts speciālais budžets</w:t>
            </w:r>
          </w:p>
        </w:tc>
        <w:tc>
          <w:tcPr>
            <w:tcW w:w="952" w:type="dxa"/>
            <w:hideMark/>
          </w:tcPr>
          <w:p w14:paraId="334929CB"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hideMark/>
          </w:tcPr>
          <w:p w14:paraId="18D53201"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hideMark/>
          </w:tcPr>
          <w:p w14:paraId="45EC215C"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hideMark/>
          </w:tcPr>
          <w:p w14:paraId="0EC8ADD4"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807" w:type="dxa"/>
            <w:hideMark/>
          </w:tcPr>
          <w:p w14:paraId="43C1449B"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hideMark/>
          </w:tcPr>
          <w:p w14:paraId="6871B6B0"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215" w:type="dxa"/>
            <w:hideMark/>
          </w:tcPr>
          <w:p w14:paraId="6D7A699B"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r>
      <w:tr w:rsidR="008027A1" w:rsidRPr="00BA4EF1" w14:paraId="3607EFEC" w14:textId="77777777" w:rsidTr="00B52256">
        <w:trPr>
          <w:tblCellSpacing w:w="20" w:type="dxa"/>
          <w:jc w:val="center"/>
        </w:trPr>
        <w:tc>
          <w:tcPr>
            <w:tcW w:w="1917" w:type="dxa"/>
            <w:hideMark/>
          </w:tcPr>
          <w:p w14:paraId="03A0D51A"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2.3. pašvaldību budžets</w:t>
            </w:r>
          </w:p>
        </w:tc>
        <w:tc>
          <w:tcPr>
            <w:tcW w:w="952" w:type="dxa"/>
            <w:hideMark/>
          </w:tcPr>
          <w:p w14:paraId="4C1BFABF"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hideMark/>
          </w:tcPr>
          <w:p w14:paraId="686F42FB"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hideMark/>
          </w:tcPr>
          <w:p w14:paraId="0F698FF9"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hideMark/>
          </w:tcPr>
          <w:p w14:paraId="5FC4EF70"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807" w:type="dxa"/>
            <w:hideMark/>
          </w:tcPr>
          <w:p w14:paraId="21228D6E"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hideMark/>
          </w:tcPr>
          <w:p w14:paraId="45988476"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215" w:type="dxa"/>
            <w:hideMark/>
          </w:tcPr>
          <w:p w14:paraId="071E71FF"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r>
      <w:tr w:rsidR="008027A1" w:rsidRPr="00BA4EF1" w14:paraId="414D8832" w14:textId="77777777" w:rsidTr="00B52256">
        <w:trPr>
          <w:tblCellSpacing w:w="20" w:type="dxa"/>
          <w:jc w:val="center"/>
        </w:trPr>
        <w:tc>
          <w:tcPr>
            <w:tcW w:w="1917" w:type="dxa"/>
            <w:hideMark/>
          </w:tcPr>
          <w:p w14:paraId="698BF19F"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3. Finansiālā ietekme</w:t>
            </w:r>
          </w:p>
        </w:tc>
        <w:tc>
          <w:tcPr>
            <w:tcW w:w="952" w:type="dxa"/>
            <w:hideMark/>
          </w:tcPr>
          <w:p w14:paraId="38C14624"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tcPr>
          <w:p w14:paraId="69ACA3B3"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hideMark/>
          </w:tcPr>
          <w:p w14:paraId="1F10F4F4"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tcPr>
          <w:p w14:paraId="6891EFD5" w14:textId="77777777" w:rsidR="008027A1" w:rsidRPr="00B52256" w:rsidRDefault="000E61A9" w:rsidP="0001319C">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sz w:val="24"/>
                <w:szCs w:val="24"/>
                <w:lang w:eastAsia="lv-LV"/>
              </w:rPr>
              <w:t>-95 771</w:t>
            </w:r>
            <w:r w:rsidR="008027A1" w:rsidRPr="00B52256">
              <w:rPr>
                <w:rFonts w:ascii="Times New Roman" w:eastAsia="Times New Roman" w:hAnsi="Times New Roman" w:cs="Times New Roman"/>
                <w:sz w:val="24"/>
                <w:szCs w:val="24"/>
                <w:lang w:eastAsia="lv-LV"/>
              </w:rPr>
              <w:t> </w:t>
            </w:r>
          </w:p>
        </w:tc>
        <w:tc>
          <w:tcPr>
            <w:tcW w:w="807" w:type="dxa"/>
            <w:hideMark/>
          </w:tcPr>
          <w:p w14:paraId="41AAAB40"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tcPr>
          <w:p w14:paraId="4B788D2B" w14:textId="0C95EF3C"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 xml:space="preserve">-143 </w:t>
            </w:r>
            <w:r w:rsidR="00E310A1" w:rsidRPr="00B52256">
              <w:rPr>
                <w:rFonts w:ascii="Times New Roman" w:eastAsia="Times New Roman" w:hAnsi="Times New Roman" w:cs="Times New Roman"/>
                <w:iCs/>
                <w:sz w:val="24"/>
                <w:szCs w:val="24"/>
                <w:lang w:eastAsia="lv-LV"/>
              </w:rPr>
              <w:t>65</w:t>
            </w:r>
            <w:r w:rsidR="00E310A1">
              <w:rPr>
                <w:rFonts w:ascii="Times New Roman" w:eastAsia="Times New Roman" w:hAnsi="Times New Roman" w:cs="Times New Roman"/>
                <w:iCs/>
                <w:sz w:val="24"/>
                <w:szCs w:val="24"/>
                <w:lang w:eastAsia="lv-LV"/>
              </w:rPr>
              <w:t>6</w:t>
            </w:r>
          </w:p>
        </w:tc>
        <w:tc>
          <w:tcPr>
            <w:tcW w:w="1215" w:type="dxa"/>
          </w:tcPr>
          <w:p w14:paraId="6ACC7912" w14:textId="77777777"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-191 541</w:t>
            </w:r>
          </w:p>
        </w:tc>
      </w:tr>
      <w:tr w:rsidR="008027A1" w:rsidRPr="00BA4EF1" w14:paraId="7EF4D6CD" w14:textId="77777777" w:rsidTr="00B52256">
        <w:trPr>
          <w:tblCellSpacing w:w="20" w:type="dxa"/>
          <w:jc w:val="center"/>
        </w:trPr>
        <w:tc>
          <w:tcPr>
            <w:tcW w:w="1917" w:type="dxa"/>
            <w:hideMark/>
          </w:tcPr>
          <w:p w14:paraId="566ECC4A"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3.1. valsts pamatbudžets</w:t>
            </w:r>
          </w:p>
        </w:tc>
        <w:tc>
          <w:tcPr>
            <w:tcW w:w="952" w:type="dxa"/>
            <w:hideMark/>
          </w:tcPr>
          <w:p w14:paraId="73A022D3"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tcPr>
          <w:p w14:paraId="6164E0BA"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hideMark/>
          </w:tcPr>
          <w:p w14:paraId="760E24F2"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tcPr>
          <w:p w14:paraId="17AC4EE7" w14:textId="77777777" w:rsidR="008027A1" w:rsidRPr="00B52256" w:rsidRDefault="000E61A9" w:rsidP="0001319C">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-95 771</w:t>
            </w:r>
          </w:p>
        </w:tc>
        <w:tc>
          <w:tcPr>
            <w:tcW w:w="807" w:type="dxa"/>
            <w:hideMark/>
          </w:tcPr>
          <w:p w14:paraId="485BB87A"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tcPr>
          <w:p w14:paraId="01C101E2" w14:textId="2DD64921"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 xml:space="preserve">-143 </w:t>
            </w:r>
            <w:r w:rsidR="00E310A1" w:rsidRPr="00B52256">
              <w:rPr>
                <w:rFonts w:ascii="Times New Roman" w:eastAsia="Times New Roman" w:hAnsi="Times New Roman" w:cs="Times New Roman"/>
                <w:iCs/>
                <w:sz w:val="24"/>
                <w:szCs w:val="24"/>
                <w:lang w:eastAsia="lv-LV"/>
              </w:rPr>
              <w:t>65</w:t>
            </w:r>
            <w:r w:rsidR="00E310A1">
              <w:rPr>
                <w:rFonts w:ascii="Times New Roman" w:eastAsia="Times New Roman" w:hAnsi="Times New Roman" w:cs="Times New Roman"/>
                <w:iCs/>
                <w:sz w:val="24"/>
                <w:szCs w:val="24"/>
                <w:lang w:eastAsia="lv-LV"/>
              </w:rPr>
              <w:t>6</w:t>
            </w:r>
          </w:p>
        </w:tc>
        <w:tc>
          <w:tcPr>
            <w:tcW w:w="1215" w:type="dxa"/>
          </w:tcPr>
          <w:p w14:paraId="6471DB3E" w14:textId="77777777" w:rsidR="008027A1" w:rsidRPr="00B52256" w:rsidRDefault="00E47DEE" w:rsidP="007D3BAE">
            <w:pPr>
              <w:jc w:val="center"/>
              <w:rPr>
                <w:rFonts w:ascii="Times New Roman" w:eastAsia="Times New Roman" w:hAnsi="Times New Roman" w:cs="Times New Roman"/>
                <w:iCs/>
                <w:sz w:val="24"/>
                <w:szCs w:val="24"/>
                <w:lang w:eastAsia="lv-LV"/>
              </w:rPr>
            </w:pPr>
            <w:r w:rsidRPr="00B52256">
              <w:rPr>
                <w:rFonts w:ascii="Times New Roman" w:eastAsia="Times New Roman" w:hAnsi="Times New Roman" w:cs="Times New Roman"/>
                <w:iCs/>
                <w:sz w:val="24"/>
                <w:szCs w:val="24"/>
                <w:lang w:eastAsia="lv-LV"/>
              </w:rPr>
              <w:t>-191 541</w:t>
            </w:r>
          </w:p>
        </w:tc>
      </w:tr>
      <w:tr w:rsidR="008027A1" w:rsidRPr="00BA4EF1" w14:paraId="74819B79" w14:textId="77777777" w:rsidTr="00B52256">
        <w:trPr>
          <w:tblCellSpacing w:w="20" w:type="dxa"/>
          <w:jc w:val="center"/>
        </w:trPr>
        <w:tc>
          <w:tcPr>
            <w:tcW w:w="1917" w:type="dxa"/>
            <w:hideMark/>
          </w:tcPr>
          <w:p w14:paraId="11E1824B"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3.2. speciālais budžets</w:t>
            </w:r>
          </w:p>
        </w:tc>
        <w:tc>
          <w:tcPr>
            <w:tcW w:w="952" w:type="dxa"/>
            <w:hideMark/>
          </w:tcPr>
          <w:p w14:paraId="135028A0"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hideMark/>
          </w:tcPr>
          <w:p w14:paraId="05335081"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hideMark/>
          </w:tcPr>
          <w:p w14:paraId="1CA41831"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hideMark/>
          </w:tcPr>
          <w:p w14:paraId="5E40D389"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807" w:type="dxa"/>
            <w:hideMark/>
          </w:tcPr>
          <w:p w14:paraId="78001066"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hideMark/>
          </w:tcPr>
          <w:p w14:paraId="35820CE5"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215" w:type="dxa"/>
            <w:hideMark/>
          </w:tcPr>
          <w:p w14:paraId="59358023"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r>
      <w:tr w:rsidR="008027A1" w:rsidRPr="00BA4EF1" w14:paraId="62B895E1" w14:textId="77777777" w:rsidTr="00B52256">
        <w:trPr>
          <w:tblCellSpacing w:w="20" w:type="dxa"/>
          <w:jc w:val="center"/>
        </w:trPr>
        <w:tc>
          <w:tcPr>
            <w:tcW w:w="1917" w:type="dxa"/>
            <w:hideMark/>
          </w:tcPr>
          <w:p w14:paraId="2B366C37"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3.3. pašvaldību budžets</w:t>
            </w:r>
          </w:p>
        </w:tc>
        <w:tc>
          <w:tcPr>
            <w:tcW w:w="952" w:type="dxa"/>
            <w:hideMark/>
          </w:tcPr>
          <w:p w14:paraId="61E24C2D"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94" w:type="dxa"/>
            <w:hideMark/>
          </w:tcPr>
          <w:p w14:paraId="41913E27"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hideMark/>
          </w:tcPr>
          <w:p w14:paraId="7C0A35E8"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065" w:type="dxa"/>
            <w:hideMark/>
          </w:tcPr>
          <w:p w14:paraId="2EC2FA05"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807" w:type="dxa"/>
            <w:hideMark/>
          </w:tcPr>
          <w:p w14:paraId="08FE6BA9"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146" w:type="dxa"/>
            <w:hideMark/>
          </w:tcPr>
          <w:p w14:paraId="2374DDB5"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215" w:type="dxa"/>
            <w:hideMark/>
          </w:tcPr>
          <w:p w14:paraId="556A1BC7"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r>
      <w:tr w:rsidR="008027A1" w:rsidRPr="00BA4EF1" w14:paraId="22C8CA00" w14:textId="77777777" w:rsidTr="00B52256">
        <w:trPr>
          <w:tblCellSpacing w:w="20" w:type="dxa"/>
          <w:jc w:val="center"/>
        </w:trPr>
        <w:tc>
          <w:tcPr>
            <w:tcW w:w="1917" w:type="dxa"/>
            <w:hideMark/>
          </w:tcPr>
          <w:p w14:paraId="5E5ACADA"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952" w:type="dxa"/>
            <w:hideMark/>
          </w:tcPr>
          <w:p w14:paraId="5C24FF89"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X</w:t>
            </w:r>
          </w:p>
        </w:tc>
        <w:tc>
          <w:tcPr>
            <w:tcW w:w="1094" w:type="dxa"/>
            <w:hideMark/>
          </w:tcPr>
          <w:p w14:paraId="126C0BA8" w14:textId="77777777" w:rsidR="008027A1" w:rsidRPr="00B52256" w:rsidRDefault="008027A1" w:rsidP="00B6303F">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hideMark/>
          </w:tcPr>
          <w:p w14:paraId="5607DA30"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X</w:t>
            </w:r>
          </w:p>
        </w:tc>
        <w:tc>
          <w:tcPr>
            <w:tcW w:w="1065" w:type="dxa"/>
            <w:hideMark/>
          </w:tcPr>
          <w:p w14:paraId="064A3916"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807" w:type="dxa"/>
            <w:hideMark/>
          </w:tcPr>
          <w:p w14:paraId="687CA5B4" w14:textId="77777777" w:rsidR="008027A1" w:rsidRPr="00B52256" w:rsidRDefault="008027A1" w:rsidP="0001319C">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X</w:t>
            </w:r>
          </w:p>
        </w:tc>
        <w:tc>
          <w:tcPr>
            <w:tcW w:w="1146" w:type="dxa"/>
            <w:hideMark/>
          </w:tcPr>
          <w:p w14:paraId="10EDEABF"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215" w:type="dxa"/>
            <w:hideMark/>
          </w:tcPr>
          <w:p w14:paraId="12535AA3"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r>
      <w:tr w:rsidR="008027A1" w:rsidRPr="00BA4EF1" w14:paraId="182D30FB" w14:textId="77777777" w:rsidTr="00B52256">
        <w:trPr>
          <w:tblCellSpacing w:w="20" w:type="dxa"/>
          <w:jc w:val="center"/>
        </w:trPr>
        <w:tc>
          <w:tcPr>
            <w:tcW w:w="1917" w:type="dxa"/>
            <w:hideMark/>
          </w:tcPr>
          <w:p w14:paraId="0BFA30FA"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5. Precizēta finansiālā ietekme</w:t>
            </w:r>
          </w:p>
        </w:tc>
        <w:tc>
          <w:tcPr>
            <w:tcW w:w="952" w:type="dxa"/>
            <w:vMerge w:val="restart"/>
            <w:hideMark/>
          </w:tcPr>
          <w:p w14:paraId="1835AB88" w14:textId="77777777" w:rsidR="008027A1" w:rsidRPr="00B52256" w:rsidRDefault="008027A1" w:rsidP="00B6303F">
            <w:pPr>
              <w:jc w:val="center"/>
              <w:rPr>
                <w:rFonts w:ascii="Times New Roman" w:eastAsia="Times New Roman" w:hAnsi="Times New Roman" w:cs="Times New Roman"/>
                <w:iCs/>
                <w:sz w:val="28"/>
                <w:szCs w:val="28"/>
                <w:lang w:eastAsia="lv-LV"/>
              </w:rPr>
            </w:pPr>
          </w:p>
          <w:p w14:paraId="5E024989" w14:textId="77777777" w:rsidR="008027A1" w:rsidRPr="00B52256" w:rsidRDefault="008027A1" w:rsidP="0001319C">
            <w:pPr>
              <w:jc w:val="center"/>
              <w:rPr>
                <w:rFonts w:ascii="Times New Roman" w:eastAsia="Times New Roman" w:hAnsi="Times New Roman" w:cs="Times New Roman"/>
                <w:iCs/>
                <w:sz w:val="28"/>
                <w:szCs w:val="28"/>
                <w:lang w:eastAsia="lv-LV"/>
              </w:rPr>
            </w:pPr>
          </w:p>
          <w:p w14:paraId="18CBF167" w14:textId="77777777" w:rsidR="008027A1" w:rsidRPr="00B52256" w:rsidRDefault="008027A1" w:rsidP="0001319C">
            <w:pPr>
              <w:jc w:val="center"/>
              <w:rPr>
                <w:rFonts w:ascii="Times New Roman" w:eastAsia="Times New Roman" w:hAnsi="Times New Roman" w:cs="Times New Roman"/>
                <w:iCs/>
                <w:sz w:val="28"/>
                <w:szCs w:val="28"/>
                <w:lang w:eastAsia="lv-LV"/>
              </w:rPr>
            </w:pPr>
          </w:p>
          <w:p w14:paraId="62F8ADB8" w14:textId="77777777" w:rsidR="008027A1" w:rsidRPr="00B52256" w:rsidRDefault="008027A1" w:rsidP="0001319C">
            <w:pPr>
              <w:jc w:val="center"/>
              <w:rPr>
                <w:rFonts w:ascii="Times New Roman" w:eastAsia="Times New Roman" w:hAnsi="Times New Roman" w:cs="Times New Roman"/>
                <w:iCs/>
                <w:sz w:val="28"/>
                <w:szCs w:val="28"/>
                <w:lang w:eastAsia="lv-LV"/>
              </w:rPr>
            </w:pPr>
          </w:p>
          <w:p w14:paraId="792D599C" w14:textId="77777777" w:rsidR="008027A1" w:rsidRPr="00B52256" w:rsidRDefault="008027A1" w:rsidP="007D3BAE">
            <w:pPr>
              <w:jc w:val="center"/>
              <w:rPr>
                <w:rFonts w:ascii="Times New Roman" w:eastAsia="Times New Roman" w:hAnsi="Times New Roman" w:cs="Times New Roman"/>
                <w:iCs/>
                <w:sz w:val="28"/>
                <w:szCs w:val="28"/>
                <w:lang w:eastAsia="lv-LV"/>
              </w:rPr>
            </w:pPr>
          </w:p>
          <w:p w14:paraId="5BD3B9D8"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X</w:t>
            </w:r>
          </w:p>
        </w:tc>
        <w:tc>
          <w:tcPr>
            <w:tcW w:w="1094" w:type="dxa"/>
          </w:tcPr>
          <w:p w14:paraId="648D7D31" w14:textId="77777777" w:rsidR="008027A1" w:rsidRPr="00B52256" w:rsidRDefault="008027A1" w:rsidP="007D3BAE">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vMerge w:val="restart"/>
            <w:hideMark/>
          </w:tcPr>
          <w:p w14:paraId="2308A5F5" w14:textId="77777777" w:rsidR="008027A1" w:rsidRPr="00B52256" w:rsidRDefault="008027A1" w:rsidP="007D3BAE">
            <w:pPr>
              <w:jc w:val="center"/>
              <w:rPr>
                <w:rFonts w:ascii="Times New Roman" w:eastAsia="Times New Roman" w:hAnsi="Times New Roman" w:cs="Times New Roman"/>
                <w:iCs/>
                <w:sz w:val="28"/>
                <w:szCs w:val="28"/>
                <w:lang w:eastAsia="lv-LV"/>
              </w:rPr>
            </w:pPr>
          </w:p>
          <w:p w14:paraId="1DD363B9" w14:textId="77777777" w:rsidR="008027A1" w:rsidRPr="00B52256" w:rsidRDefault="008027A1" w:rsidP="007D3BAE">
            <w:pPr>
              <w:jc w:val="center"/>
              <w:rPr>
                <w:rFonts w:ascii="Times New Roman" w:eastAsia="Times New Roman" w:hAnsi="Times New Roman" w:cs="Times New Roman"/>
                <w:iCs/>
                <w:sz w:val="28"/>
                <w:szCs w:val="28"/>
                <w:lang w:eastAsia="lv-LV"/>
              </w:rPr>
            </w:pPr>
          </w:p>
          <w:p w14:paraId="51A58121" w14:textId="77777777" w:rsidR="008027A1" w:rsidRPr="00B52256" w:rsidRDefault="008027A1" w:rsidP="007D3BAE">
            <w:pPr>
              <w:jc w:val="center"/>
              <w:rPr>
                <w:rFonts w:ascii="Times New Roman" w:eastAsia="Times New Roman" w:hAnsi="Times New Roman" w:cs="Times New Roman"/>
                <w:iCs/>
                <w:sz w:val="28"/>
                <w:szCs w:val="28"/>
                <w:lang w:eastAsia="lv-LV"/>
              </w:rPr>
            </w:pPr>
          </w:p>
          <w:p w14:paraId="5557AF6C" w14:textId="77777777" w:rsidR="008027A1" w:rsidRPr="00B52256" w:rsidRDefault="008027A1" w:rsidP="007D3BAE">
            <w:pPr>
              <w:jc w:val="center"/>
              <w:rPr>
                <w:rFonts w:ascii="Times New Roman" w:eastAsia="Times New Roman" w:hAnsi="Times New Roman" w:cs="Times New Roman"/>
                <w:iCs/>
                <w:sz w:val="28"/>
                <w:szCs w:val="28"/>
                <w:lang w:eastAsia="lv-LV"/>
              </w:rPr>
            </w:pPr>
          </w:p>
          <w:p w14:paraId="1FF1934F" w14:textId="77777777" w:rsidR="008027A1" w:rsidRPr="00B52256" w:rsidRDefault="008027A1" w:rsidP="007D3BAE">
            <w:pPr>
              <w:jc w:val="center"/>
              <w:rPr>
                <w:rFonts w:ascii="Times New Roman" w:eastAsia="Times New Roman" w:hAnsi="Times New Roman" w:cs="Times New Roman"/>
                <w:iCs/>
                <w:sz w:val="28"/>
                <w:szCs w:val="28"/>
                <w:lang w:eastAsia="lv-LV"/>
              </w:rPr>
            </w:pPr>
          </w:p>
          <w:p w14:paraId="11AD05B5" w14:textId="77777777" w:rsidR="008027A1" w:rsidRPr="00B52256" w:rsidRDefault="008027A1" w:rsidP="00BD5533">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X</w:t>
            </w:r>
          </w:p>
        </w:tc>
        <w:tc>
          <w:tcPr>
            <w:tcW w:w="1065" w:type="dxa"/>
          </w:tcPr>
          <w:p w14:paraId="35C0B996" w14:textId="77777777" w:rsidR="008027A1" w:rsidRPr="00B52256" w:rsidRDefault="008027A1" w:rsidP="00FC2D54">
            <w:pPr>
              <w:jc w:val="center"/>
              <w:rPr>
                <w:rFonts w:ascii="Times New Roman" w:eastAsia="Times New Roman" w:hAnsi="Times New Roman" w:cs="Times New Roman"/>
                <w:iCs/>
                <w:sz w:val="28"/>
                <w:szCs w:val="28"/>
                <w:lang w:eastAsia="lv-LV"/>
              </w:rPr>
            </w:pPr>
          </w:p>
        </w:tc>
        <w:tc>
          <w:tcPr>
            <w:tcW w:w="807" w:type="dxa"/>
            <w:vMerge w:val="restart"/>
            <w:hideMark/>
          </w:tcPr>
          <w:p w14:paraId="3D9C783F" w14:textId="77777777" w:rsidR="008027A1" w:rsidRPr="00B52256" w:rsidRDefault="008027A1" w:rsidP="007D2A46">
            <w:pPr>
              <w:jc w:val="center"/>
              <w:rPr>
                <w:rFonts w:ascii="Times New Roman" w:eastAsia="Times New Roman" w:hAnsi="Times New Roman" w:cs="Times New Roman"/>
                <w:iCs/>
                <w:sz w:val="28"/>
                <w:szCs w:val="28"/>
                <w:lang w:eastAsia="lv-LV"/>
              </w:rPr>
            </w:pPr>
          </w:p>
          <w:p w14:paraId="36BDF10A" w14:textId="77777777" w:rsidR="008027A1" w:rsidRPr="00B52256" w:rsidRDefault="008027A1" w:rsidP="007D2A46">
            <w:pPr>
              <w:jc w:val="center"/>
              <w:rPr>
                <w:rFonts w:ascii="Times New Roman" w:eastAsia="Times New Roman" w:hAnsi="Times New Roman" w:cs="Times New Roman"/>
                <w:iCs/>
                <w:sz w:val="28"/>
                <w:szCs w:val="28"/>
                <w:lang w:eastAsia="lv-LV"/>
              </w:rPr>
            </w:pPr>
          </w:p>
          <w:p w14:paraId="2FD4D28B" w14:textId="77777777" w:rsidR="008027A1" w:rsidRPr="00B52256" w:rsidRDefault="008027A1" w:rsidP="00AA7C99">
            <w:pPr>
              <w:jc w:val="center"/>
              <w:rPr>
                <w:rFonts w:ascii="Times New Roman" w:eastAsia="Times New Roman" w:hAnsi="Times New Roman" w:cs="Times New Roman"/>
                <w:iCs/>
                <w:sz w:val="28"/>
                <w:szCs w:val="28"/>
                <w:lang w:eastAsia="lv-LV"/>
              </w:rPr>
            </w:pPr>
          </w:p>
          <w:p w14:paraId="129DE408" w14:textId="77777777" w:rsidR="008027A1" w:rsidRPr="00B52256" w:rsidRDefault="008027A1" w:rsidP="00AA7C99">
            <w:pPr>
              <w:jc w:val="center"/>
              <w:rPr>
                <w:rFonts w:ascii="Times New Roman" w:eastAsia="Times New Roman" w:hAnsi="Times New Roman" w:cs="Times New Roman"/>
                <w:iCs/>
                <w:sz w:val="28"/>
                <w:szCs w:val="28"/>
                <w:lang w:eastAsia="lv-LV"/>
              </w:rPr>
            </w:pPr>
          </w:p>
          <w:p w14:paraId="4E41CFF6" w14:textId="77777777" w:rsidR="008027A1" w:rsidRPr="00B52256" w:rsidRDefault="008027A1" w:rsidP="00AA7C99">
            <w:pPr>
              <w:jc w:val="center"/>
              <w:rPr>
                <w:rFonts w:ascii="Times New Roman" w:eastAsia="Times New Roman" w:hAnsi="Times New Roman" w:cs="Times New Roman"/>
                <w:iCs/>
                <w:sz w:val="28"/>
                <w:szCs w:val="28"/>
                <w:lang w:eastAsia="lv-LV"/>
              </w:rPr>
            </w:pPr>
          </w:p>
          <w:p w14:paraId="4DD3EE07" w14:textId="77777777" w:rsidR="008027A1" w:rsidRPr="00B52256" w:rsidRDefault="008027A1" w:rsidP="00AA7C9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X</w:t>
            </w:r>
          </w:p>
        </w:tc>
        <w:tc>
          <w:tcPr>
            <w:tcW w:w="1146" w:type="dxa"/>
          </w:tcPr>
          <w:p w14:paraId="565F5E54" w14:textId="77777777" w:rsidR="008027A1" w:rsidRPr="00B52256" w:rsidRDefault="008027A1" w:rsidP="00C51E7F">
            <w:pPr>
              <w:jc w:val="center"/>
              <w:rPr>
                <w:rFonts w:ascii="Times New Roman" w:eastAsia="Times New Roman" w:hAnsi="Times New Roman" w:cs="Times New Roman"/>
                <w:iCs/>
                <w:sz w:val="28"/>
                <w:szCs w:val="28"/>
                <w:lang w:eastAsia="lv-LV"/>
              </w:rPr>
            </w:pPr>
          </w:p>
        </w:tc>
        <w:tc>
          <w:tcPr>
            <w:tcW w:w="1215" w:type="dxa"/>
          </w:tcPr>
          <w:p w14:paraId="23B2A9EA" w14:textId="77777777" w:rsidR="008027A1" w:rsidRPr="00B52256" w:rsidRDefault="008027A1" w:rsidP="00C51E7F">
            <w:pPr>
              <w:jc w:val="center"/>
              <w:rPr>
                <w:rFonts w:ascii="Times New Roman" w:eastAsia="Times New Roman" w:hAnsi="Times New Roman" w:cs="Times New Roman"/>
                <w:iCs/>
                <w:sz w:val="28"/>
                <w:szCs w:val="28"/>
                <w:lang w:eastAsia="lv-LV"/>
              </w:rPr>
            </w:pPr>
          </w:p>
        </w:tc>
      </w:tr>
      <w:tr w:rsidR="008027A1" w:rsidRPr="00BA4EF1" w14:paraId="4FFD15C3" w14:textId="77777777" w:rsidTr="00B52256">
        <w:trPr>
          <w:tblCellSpacing w:w="20" w:type="dxa"/>
          <w:jc w:val="center"/>
        </w:trPr>
        <w:tc>
          <w:tcPr>
            <w:tcW w:w="1917" w:type="dxa"/>
            <w:hideMark/>
          </w:tcPr>
          <w:p w14:paraId="18BCBECA"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5.1. valsts pamatbudžets</w:t>
            </w:r>
          </w:p>
        </w:tc>
        <w:tc>
          <w:tcPr>
            <w:tcW w:w="952" w:type="dxa"/>
            <w:vMerge/>
            <w:hideMark/>
          </w:tcPr>
          <w:p w14:paraId="1BF0084D"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094" w:type="dxa"/>
          </w:tcPr>
          <w:p w14:paraId="627B3F4C" w14:textId="77777777" w:rsidR="008027A1" w:rsidRPr="00B52256" w:rsidRDefault="008027A1" w:rsidP="007016A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vMerge/>
            <w:hideMark/>
          </w:tcPr>
          <w:p w14:paraId="2D3831D5"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065" w:type="dxa"/>
          </w:tcPr>
          <w:p w14:paraId="5FDC8F72"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807" w:type="dxa"/>
            <w:vMerge/>
            <w:hideMark/>
          </w:tcPr>
          <w:p w14:paraId="2B77E4CD"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146" w:type="dxa"/>
          </w:tcPr>
          <w:p w14:paraId="319164E4"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215" w:type="dxa"/>
          </w:tcPr>
          <w:p w14:paraId="31D83F31" w14:textId="77777777" w:rsidR="008027A1" w:rsidRPr="00B52256" w:rsidRDefault="008027A1" w:rsidP="007016A9">
            <w:pPr>
              <w:jc w:val="center"/>
              <w:rPr>
                <w:rFonts w:ascii="Times New Roman" w:eastAsia="Times New Roman" w:hAnsi="Times New Roman" w:cs="Times New Roman"/>
                <w:iCs/>
                <w:sz w:val="28"/>
                <w:szCs w:val="28"/>
                <w:lang w:eastAsia="lv-LV"/>
              </w:rPr>
            </w:pPr>
          </w:p>
        </w:tc>
      </w:tr>
      <w:tr w:rsidR="008027A1" w:rsidRPr="00BA4EF1" w14:paraId="7163F222" w14:textId="77777777" w:rsidTr="00B52256">
        <w:trPr>
          <w:tblCellSpacing w:w="20" w:type="dxa"/>
          <w:jc w:val="center"/>
        </w:trPr>
        <w:tc>
          <w:tcPr>
            <w:tcW w:w="1917" w:type="dxa"/>
            <w:hideMark/>
          </w:tcPr>
          <w:p w14:paraId="3B38C750"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5.2. speciālais budžets</w:t>
            </w:r>
          </w:p>
        </w:tc>
        <w:tc>
          <w:tcPr>
            <w:tcW w:w="952" w:type="dxa"/>
            <w:vMerge/>
            <w:hideMark/>
          </w:tcPr>
          <w:p w14:paraId="0C430A01"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094" w:type="dxa"/>
            <w:hideMark/>
          </w:tcPr>
          <w:p w14:paraId="02E375D9" w14:textId="77777777" w:rsidR="008027A1" w:rsidRPr="00B52256" w:rsidRDefault="008027A1" w:rsidP="007016A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vMerge/>
            <w:hideMark/>
          </w:tcPr>
          <w:p w14:paraId="6B2CC31F"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065" w:type="dxa"/>
            <w:hideMark/>
          </w:tcPr>
          <w:p w14:paraId="2F466C6F" w14:textId="77777777" w:rsidR="008027A1" w:rsidRPr="00B52256" w:rsidRDefault="008027A1" w:rsidP="007016A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807" w:type="dxa"/>
            <w:vMerge/>
            <w:hideMark/>
          </w:tcPr>
          <w:p w14:paraId="3BBAA595"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146" w:type="dxa"/>
            <w:hideMark/>
          </w:tcPr>
          <w:p w14:paraId="026F1502" w14:textId="77777777" w:rsidR="008027A1" w:rsidRPr="00B52256" w:rsidRDefault="008027A1" w:rsidP="007016A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215" w:type="dxa"/>
            <w:hideMark/>
          </w:tcPr>
          <w:p w14:paraId="7A8592F6" w14:textId="77777777" w:rsidR="008027A1" w:rsidRPr="00B52256" w:rsidRDefault="008027A1" w:rsidP="007016A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r>
      <w:tr w:rsidR="008027A1" w:rsidRPr="00BA4EF1" w14:paraId="6BDB6276" w14:textId="77777777" w:rsidTr="00B52256">
        <w:trPr>
          <w:tblCellSpacing w:w="20" w:type="dxa"/>
          <w:jc w:val="center"/>
        </w:trPr>
        <w:tc>
          <w:tcPr>
            <w:tcW w:w="1917" w:type="dxa"/>
            <w:hideMark/>
          </w:tcPr>
          <w:p w14:paraId="224D028E"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5.3. pašvaldību budžets</w:t>
            </w:r>
          </w:p>
        </w:tc>
        <w:tc>
          <w:tcPr>
            <w:tcW w:w="952" w:type="dxa"/>
            <w:vMerge/>
            <w:hideMark/>
          </w:tcPr>
          <w:p w14:paraId="7F67D354"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094" w:type="dxa"/>
            <w:hideMark/>
          </w:tcPr>
          <w:p w14:paraId="4D23443C" w14:textId="77777777" w:rsidR="008027A1" w:rsidRPr="00B52256" w:rsidRDefault="008027A1" w:rsidP="007016A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792" w:type="dxa"/>
            <w:vMerge/>
            <w:hideMark/>
          </w:tcPr>
          <w:p w14:paraId="5CFDA26A"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065" w:type="dxa"/>
            <w:hideMark/>
          </w:tcPr>
          <w:p w14:paraId="094C9693" w14:textId="77777777" w:rsidR="008027A1" w:rsidRPr="00B52256" w:rsidRDefault="008027A1" w:rsidP="007016A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807" w:type="dxa"/>
            <w:vMerge/>
            <w:hideMark/>
          </w:tcPr>
          <w:p w14:paraId="5A39459D" w14:textId="77777777" w:rsidR="008027A1" w:rsidRPr="00B52256" w:rsidRDefault="008027A1" w:rsidP="007016A9">
            <w:pPr>
              <w:jc w:val="center"/>
              <w:rPr>
                <w:rFonts w:ascii="Times New Roman" w:eastAsia="Times New Roman" w:hAnsi="Times New Roman" w:cs="Times New Roman"/>
                <w:iCs/>
                <w:sz w:val="28"/>
                <w:szCs w:val="28"/>
                <w:lang w:eastAsia="lv-LV"/>
              </w:rPr>
            </w:pPr>
          </w:p>
        </w:tc>
        <w:tc>
          <w:tcPr>
            <w:tcW w:w="1146" w:type="dxa"/>
            <w:hideMark/>
          </w:tcPr>
          <w:p w14:paraId="62308B6C" w14:textId="77777777" w:rsidR="008027A1" w:rsidRPr="00B52256" w:rsidRDefault="008027A1" w:rsidP="007016A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c>
          <w:tcPr>
            <w:tcW w:w="1215" w:type="dxa"/>
            <w:hideMark/>
          </w:tcPr>
          <w:p w14:paraId="7B61A3F2" w14:textId="77777777" w:rsidR="008027A1" w:rsidRPr="00B52256" w:rsidRDefault="008027A1" w:rsidP="007016A9">
            <w:pPr>
              <w:jc w:val="cente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0</w:t>
            </w:r>
          </w:p>
        </w:tc>
      </w:tr>
      <w:tr w:rsidR="008027A1" w:rsidRPr="00BA4EF1" w14:paraId="67781ECE" w14:textId="77777777" w:rsidTr="00B52256">
        <w:trPr>
          <w:tblCellSpacing w:w="20" w:type="dxa"/>
          <w:jc w:val="center"/>
        </w:trPr>
        <w:tc>
          <w:tcPr>
            <w:tcW w:w="1917" w:type="dxa"/>
            <w:hideMark/>
          </w:tcPr>
          <w:p w14:paraId="5A5D4A44"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 xml:space="preserve">6. Detalizēts ieņēmumu un izdevumu aprēķins (ja </w:t>
            </w:r>
            <w:r w:rsidRPr="00B52256">
              <w:rPr>
                <w:rFonts w:ascii="Times New Roman" w:eastAsia="Times New Roman" w:hAnsi="Times New Roman" w:cs="Times New Roman"/>
                <w:iCs/>
                <w:sz w:val="28"/>
                <w:szCs w:val="28"/>
                <w:lang w:eastAsia="lv-LV"/>
              </w:rPr>
              <w:lastRenderedPageBreak/>
              <w:t>nepieciešams, detalizētu ieņēmumu un izdevumu aprēķinu var pievienot anotācijas pielikumā)</w:t>
            </w:r>
          </w:p>
        </w:tc>
        <w:tc>
          <w:tcPr>
            <w:tcW w:w="7311" w:type="dxa"/>
            <w:gridSpan w:val="7"/>
            <w:vMerge w:val="restart"/>
            <w:hideMark/>
          </w:tcPr>
          <w:p w14:paraId="6ADCB420" w14:textId="629993C3" w:rsidR="0041152A" w:rsidRPr="00B52256" w:rsidRDefault="008027A1" w:rsidP="00842ECB">
            <w:pPr>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lastRenderedPageBreak/>
              <w:t>Kopējais atklātajā konkursā pieejamais programmas līdzfinansējums ir 3 192 35</w:t>
            </w:r>
            <w:r w:rsidR="000E61A9" w:rsidRPr="00B52256">
              <w:rPr>
                <w:rFonts w:ascii="Times New Roman" w:eastAsia="Times New Roman" w:hAnsi="Times New Roman" w:cs="Times New Roman"/>
                <w:sz w:val="28"/>
                <w:szCs w:val="28"/>
                <w:lang w:eastAsia="lv-LV"/>
              </w:rPr>
              <w:t>4</w:t>
            </w:r>
            <w:r w:rsidRPr="00B52256">
              <w:rPr>
                <w:rFonts w:ascii="Times New Roman" w:eastAsia="Times New Roman" w:hAnsi="Times New Roman" w:cs="Times New Roman"/>
                <w:sz w:val="28"/>
                <w:szCs w:val="28"/>
                <w:lang w:eastAsia="lv-LV"/>
              </w:rPr>
              <w:t>,00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 ko veido Latvijas valsts budžeta līdzfinansējums 15 procentu apmērā – 478 85</w:t>
            </w:r>
            <w:r w:rsidR="000E61A9" w:rsidRPr="00B52256">
              <w:rPr>
                <w:rFonts w:ascii="Times New Roman" w:eastAsia="Times New Roman" w:hAnsi="Times New Roman" w:cs="Times New Roman"/>
                <w:sz w:val="28"/>
                <w:szCs w:val="28"/>
                <w:lang w:eastAsia="lv-LV"/>
              </w:rPr>
              <w:t>3</w:t>
            </w:r>
            <w:r w:rsidRPr="00B52256">
              <w:rPr>
                <w:rFonts w:ascii="Times New Roman" w:eastAsia="Times New Roman" w:hAnsi="Times New Roman" w:cs="Times New Roman"/>
                <w:sz w:val="28"/>
                <w:szCs w:val="28"/>
                <w:lang w:eastAsia="lv-LV"/>
              </w:rPr>
              <w:t>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 xml:space="preserve"> un </w:t>
            </w:r>
            <w:r w:rsidR="0041152A" w:rsidRPr="008D4CDE">
              <w:rPr>
                <w:rFonts w:ascii="Times New Roman" w:eastAsia="Times New Roman" w:hAnsi="Times New Roman" w:cs="Times New Roman"/>
                <w:sz w:val="28"/>
                <w:szCs w:val="28"/>
                <w:lang w:eastAsia="lv-LV"/>
              </w:rPr>
              <w:lastRenderedPageBreak/>
              <w:t>Eiropas Ekonomikas zonas</w:t>
            </w:r>
            <w:r w:rsidRPr="00B52256">
              <w:rPr>
                <w:rFonts w:ascii="Times New Roman" w:eastAsia="Times New Roman" w:hAnsi="Times New Roman" w:cs="Times New Roman"/>
                <w:sz w:val="28"/>
                <w:szCs w:val="28"/>
                <w:lang w:eastAsia="lv-LV"/>
              </w:rPr>
              <w:t xml:space="preserve"> finanšu instrumenta līdzfinansējums 85 procentu apmērā – 2 713 50</w:t>
            </w:r>
            <w:r w:rsidR="000E61A9" w:rsidRPr="00B52256">
              <w:rPr>
                <w:rFonts w:ascii="Times New Roman" w:eastAsia="Times New Roman" w:hAnsi="Times New Roman" w:cs="Times New Roman"/>
                <w:sz w:val="28"/>
                <w:szCs w:val="28"/>
                <w:lang w:eastAsia="lv-LV"/>
              </w:rPr>
              <w:t>1</w:t>
            </w:r>
            <w:r w:rsidRPr="00B52256">
              <w:rPr>
                <w:rFonts w:ascii="Times New Roman" w:eastAsia="Times New Roman" w:hAnsi="Times New Roman" w:cs="Times New Roman"/>
                <w:sz w:val="28"/>
                <w:szCs w:val="28"/>
                <w:lang w:eastAsia="lv-LV"/>
              </w:rPr>
              <w:t>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w:t>
            </w:r>
          </w:p>
          <w:p w14:paraId="377CFA93" w14:textId="77777777" w:rsidR="008027A1" w:rsidRPr="00B52256" w:rsidRDefault="008027A1" w:rsidP="00842ECB">
            <w:pPr>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Atklātais konkurss tiek īstenots divās atlases kārtās:</w:t>
            </w:r>
          </w:p>
          <w:p w14:paraId="00A07A47" w14:textId="20B43A6B" w:rsidR="0041152A" w:rsidRPr="00B52256" w:rsidRDefault="008027A1" w:rsidP="00B52256">
            <w:pPr>
              <w:pStyle w:val="ListParagraph"/>
              <w:numPr>
                <w:ilvl w:val="0"/>
                <w:numId w:val="8"/>
              </w:numPr>
              <w:tabs>
                <w:tab w:val="left" w:pos="848"/>
              </w:tabs>
              <w:ind w:left="0" w:firstLine="565"/>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pirmajā atlases kārtā pieejamais programmas līdzfinansējums ir 1 915 41</w:t>
            </w:r>
            <w:r w:rsidR="00FD3D70" w:rsidRPr="00B52256">
              <w:rPr>
                <w:rFonts w:ascii="Times New Roman" w:eastAsia="Times New Roman" w:hAnsi="Times New Roman" w:cs="Times New Roman"/>
                <w:sz w:val="28"/>
                <w:szCs w:val="28"/>
                <w:lang w:eastAsia="lv-LV"/>
              </w:rPr>
              <w:t>3</w:t>
            </w:r>
            <w:r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 ko veido Latvijas valsts budžeta līdzfinansējums 15 procentu apmērā –</w:t>
            </w:r>
            <w:r w:rsidR="0041152A" w:rsidRPr="008D4CDE">
              <w:rPr>
                <w:rFonts w:ascii="Times New Roman" w:eastAsia="Times New Roman" w:hAnsi="Times New Roman" w:cs="Times New Roman"/>
                <w:sz w:val="28"/>
                <w:szCs w:val="28"/>
                <w:lang w:eastAsia="lv-LV"/>
              </w:rPr>
              <w:t> </w:t>
            </w:r>
            <w:r w:rsidRPr="00B52256">
              <w:rPr>
                <w:rFonts w:ascii="Times New Roman" w:eastAsia="Times New Roman" w:hAnsi="Times New Roman" w:cs="Times New Roman"/>
                <w:sz w:val="28"/>
                <w:szCs w:val="28"/>
                <w:lang w:eastAsia="lv-LV"/>
              </w:rPr>
              <w:t>287 31</w:t>
            </w:r>
            <w:r w:rsidR="00FD3D70" w:rsidRPr="00B52256">
              <w:rPr>
                <w:rFonts w:ascii="Times New Roman" w:eastAsia="Times New Roman" w:hAnsi="Times New Roman" w:cs="Times New Roman"/>
                <w:sz w:val="28"/>
                <w:szCs w:val="28"/>
                <w:lang w:eastAsia="lv-LV"/>
              </w:rPr>
              <w:t>2</w:t>
            </w:r>
            <w:r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 xml:space="preserve"> un </w:t>
            </w:r>
            <w:r w:rsidR="0041152A" w:rsidRPr="008D4CDE">
              <w:rPr>
                <w:rFonts w:ascii="Times New Roman" w:eastAsia="Times New Roman" w:hAnsi="Times New Roman" w:cs="Times New Roman"/>
                <w:sz w:val="28"/>
                <w:szCs w:val="28"/>
                <w:lang w:eastAsia="lv-LV"/>
              </w:rPr>
              <w:t>Eiropas Ekonomikas zonas</w:t>
            </w:r>
            <w:r w:rsidRPr="00B52256">
              <w:rPr>
                <w:rFonts w:ascii="Times New Roman" w:eastAsia="Times New Roman" w:hAnsi="Times New Roman" w:cs="Times New Roman"/>
                <w:sz w:val="28"/>
                <w:szCs w:val="28"/>
                <w:lang w:eastAsia="lv-LV"/>
              </w:rPr>
              <w:t xml:space="preserve"> finanšu instrumenta līdzfinansējums 85 procentu apmērā – 1 628 10</w:t>
            </w:r>
            <w:r w:rsidR="00FD3D70" w:rsidRPr="00B52256">
              <w:rPr>
                <w:rFonts w:ascii="Times New Roman" w:eastAsia="Times New Roman" w:hAnsi="Times New Roman" w:cs="Times New Roman"/>
                <w:sz w:val="28"/>
                <w:szCs w:val="28"/>
                <w:lang w:eastAsia="lv-LV"/>
              </w:rPr>
              <w:t>1</w:t>
            </w:r>
            <w:r w:rsidRPr="00B52256">
              <w:rPr>
                <w:rFonts w:ascii="Times New Roman" w:eastAsia="Times New Roman" w:hAnsi="Times New Roman" w:cs="Times New Roman"/>
                <w:sz w:val="28"/>
                <w:szCs w:val="28"/>
                <w:lang w:eastAsia="lv-LV"/>
              </w:rPr>
              <w:t> </w:t>
            </w:r>
            <w:r w:rsidRPr="00B52256">
              <w:rPr>
                <w:rFonts w:ascii="Times New Roman" w:eastAsia="Times New Roman" w:hAnsi="Times New Roman" w:cs="Times New Roman"/>
                <w:i/>
                <w:iCs/>
                <w:sz w:val="28"/>
                <w:szCs w:val="28"/>
                <w:lang w:eastAsia="lv-LV"/>
              </w:rPr>
              <w:t>euro</w:t>
            </w:r>
            <w:r w:rsidR="001F1297">
              <w:rPr>
                <w:rFonts w:ascii="Times New Roman" w:eastAsia="Times New Roman" w:hAnsi="Times New Roman" w:cs="Times New Roman"/>
                <w:i/>
                <w:iCs/>
                <w:sz w:val="28"/>
                <w:szCs w:val="28"/>
                <w:lang w:eastAsia="lv-LV"/>
              </w:rPr>
              <w:t>.</w:t>
            </w:r>
          </w:p>
          <w:p w14:paraId="651DC9CD" w14:textId="1BA89988" w:rsidR="0041152A" w:rsidRPr="00B52256" w:rsidRDefault="008027A1" w:rsidP="00B52256">
            <w:pPr>
              <w:pStyle w:val="ListParagraph"/>
              <w:numPr>
                <w:ilvl w:val="0"/>
                <w:numId w:val="8"/>
              </w:numPr>
              <w:tabs>
                <w:tab w:val="left" w:pos="848"/>
              </w:tabs>
              <w:ind w:left="0" w:firstLine="565"/>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 xml:space="preserve">otrajā atlases kārtā pieejamais programmas līdzfinansējums ir 1 276 941,00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 xml:space="preserve">, ko veido Latvijas valsts budžeta līdzfinansējums 15 procentu apmērā – 191 541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 xml:space="preserve"> un </w:t>
            </w:r>
            <w:r w:rsidR="0041152A" w:rsidRPr="008D4CDE">
              <w:rPr>
                <w:rFonts w:ascii="Times New Roman" w:eastAsia="Times New Roman" w:hAnsi="Times New Roman" w:cs="Times New Roman"/>
                <w:sz w:val="28"/>
                <w:szCs w:val="28"/>
                <w:lang w:eastAsia="lv-LV"/>
              </w:rPr>
              <w:t>Eiropas Ekonomikas zonas</w:t>
            </w:r>
            <w:r w:rsidRPr="00B52256">
              <w:rPr>
                <w:rFonts w:ascii="Times New Roman" w:eastAsia="Times New Roman" w:hAnsi="Times New Roman" w:cs="Times New Roman"/>
                <w:sz w:val="28"/>
                <w:szCs w:val="28"/>
                <w:lang w:eastAsia="lv-LV"/>
              </w:rPr>
              <w:t xml:space="preserve"> finanšu instrumenta līdzfinansējums 85 procentu apmērā – 1 085 </w:t>
            </w:r>
            <w:r w:rsidR="00FD3D70" w:rsidRPr="00B52256">
              <w:rPr>
                <w:rFonts w:ascii="Times New Roman" w:eastAsia="Times New Roman" w:hAnsi="Times New Roman" w:cs="Times New Roman"/>
                <w:sz w:val="28"/>
                <w:szCs w:val="28"/>
                <w:lang w:eastAsia="lv-LV"/>
              </w:rPr>
              <w:t>400</w:t>
            </w:r>
            <w:r w:rsidRPr="00B52256">
              <w:rPr>
                <w:rFonts w:ascii="Times New Roman" w:eastAsia="Times New Roman" w:hAnsi="Times New Roman" w:cs="Times New Roman"/>
                <w:sz w:val="28"/>
                <w:szCs w:val="28"/>
                <w:lang w:eastAsia="lv-LV"/>
              </w:rPr>
              <w:t> </w:t>
            </w:r>
            <w:r w:rsidRPr="00B52256">
              <w:rPr>
                <w:rFonts w:ascii="Times New Roman" w:eastAsia="Times New Roman" w:hAnsi="Times New Roman" w:cs="Times New Roman"/>
                <w:i/>
                <w:iCs/>
                <w:sz w:val="28"/>
                <w:szCs w:val="28"/>
                <w:lang w:eastAsia="lv-LV"/>
              </w:rPr>
              <w:t>euro</w:t>
            </w:r>
            <w:r w:rsidRPr="00B52256">
              <w:rPr>
                <w:rFonts w:ascii="Times New Roman" w:eastAsia="Times New Roman" w:hAnsi="Times New Roman" w:cs="Times New Roman"/>
                <w:sz w:val="28"/>
                <w:szCs w:val="28"/>
                <w:lang w:eastAsia="lv-LV"/>
              </w:rPr>
              <w:t>.</w:t>
            </w:r>
          </w:p>
          <w:p w14:paraId="00A8C23E" w14:textId="25D5BBF4" w:rsidR="0041152A" w:rsidRPr="00B52256" w:rsidRDefault="008027A1" w:rsidP="00842ECB">
            <w:pPr>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Projektu īstenošana plānota līdz 2024. gada 30.aprīlim</w:t>
            </w:r>
            <w:r w:rsidR="00E47DEE" w:rsidRPr="00B52256">
              <w:rPr>
                <w:rFonts w:ascii="Times New Roman" w:eastAsia="Times New Roman" w:hAnsi="Times New Roman" w:cs="Times New Roman"/>
                <w:sz w:val="28"/>
                <w:szCs w:val="28"/>
                <w:lang w:eastAsia="lv-LV"/>
              </w:rPr>
              <w:t>.</w:t>
            </w:r>
            <w:r w:rsidRPr="00B52256">
              <w:rPr>
                <w:rFonts w:ascii="Times New Roman" w:eastAsia="Times New Roman" w:hAnsi="Times New Roman" w:cs="Times New Roman"/>
                <w:sz w:val="28"/>
                <w:szCs w:val="28"/>
                <w:lang w:eastAsia="lv-LV"/>
              </w:rPr>
              <w:t xml:space="preserve"> </w:t>
            </w:r>
            <w:r w:rsidR="00E47DEE" w:rsidRPr="00B52256">
              <w:rPr>
                <w:rFonts w:ascii="Times New Roman" w:eastAsia="Times New Roman" w:hAnsi="Times New Roman" w:cs="Times New Roman"/>
                <w:sz w:val="28"/>
                <w:szCs w:val="28"/>
                <w:lang w:eastAsia="lv-LV"/>
              </w:rPr>
              <w:t xml:space="preserve">Projekta ieņēmumus veido </w:t>
            </w:r>
            <w:r w:rsidR="0041152A" w:rsidRPr="008D4CDE">
              <w:rPr>
                <w:rFonts w:ascii="Times New Roman" w:eastAsia="Times New Roman" w:hAnsi="Times New Roman" w:cs="Times New Roman"/>
                <w:sz w:val="28"/>
                <w:szCs w:val="28"/>
                <w:lang w:eastAsia="lv-LV"/>
              </w:rPr>
              <w:t>Eiropas Ekonomikas zonas</w:t>
            </w:r>
            <w:r w:rsidR="00E47DEE" w:rsidRPr="00B52256">
              <w:rPr>
                <w:rFonts w:ascii="Times New Roman" w:eastAsia="Times New Roman" w:hAnsi="Times New Roman" w:cs="Times New Roman"/>
                <w:sz w:val="28"/>
                <w:szCs w:val="28"/>
                <w:lang w:eastAsia="lv-LV"/>
              </w:rPr>
              <w:t xml:space="preserve"> finanšu instrumenta līdzfinansējums un izdevumus kopīgie nepieciešamie finanšu līdzekļi attiecīgajā gadā</w:t>
            </w:r>
            <w:r w:rsidR="0011089B">
              <w:rPr>
                <w:rFonts w:ascii="Times New Roman" w:eastAsia="Times New Roman" w:hAnsi="Times New Roman" w:cs="Times New Roman"/>
                <w:sz w:val="28"/>
                <w:szCs w:val="28"/>
                <w:lang w:eastAsia="lv-LV"/>
              </w:rPr>
              <w:t>.</w:t>
            </w:r>
          </w:p>
          <w:p w14:paraId="10DFB983" w14:textId="0BD02F40" w:rsidR="008027A1" w:rsidRPr="00B52256" w:rsidRDefault="008027A1" w:rsidP="00842ECB">
            <w:pPr>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Provizoriski plānotā naudas plūsma 2021.</w:t>
            </w:r>
            <w:r w:rsidR="0041152A" w:rsidRPr="008D4CDE">
              <w:rPr>
                <w:rFonts w:ascii="Times New Roman" w:eastAsia="Times New Roman" w:hAnsi="Times New Roman" w:cs="Times New Roman"/>
                <w:sz w:val="28"/>
                <w:szCs w:val="28"/>
                <w:lang w:eastAsia="lv-LV"/>
              </w:rPr>
              <w:t> – </w:t>
            </w:r>
            <w:r w:rsidRPr="00B52256">
              <w:rPr>
                <w:rFonts w:ascii="Times New Roman" w:eastAsia="Times New Roman" w:hAnsi="Times New Roman" w:cs="Times New Roman"/>
                <w:sz w:val="28"/>
                <w:szCs w:val="28"/>
                <w:lang w:eastAsia="lv-LV"/>
              </w:rPr>
              <w:t>2024.gadā:</w:t>
            </w:r>
          </w:p>
          <w:p w14:paraId="71DC84AB" w14:textId="4CB14F90" w:rsidR="008027A1" w:rsidRPr="00B52256" w:rsidRDefault="008027A1" w:rsidP="00B52256">
            <w:pPr>
              <w:pStyle w:val="ListParagraph"/>
              <w:numPr>
                <w:ilvl w:val="0"/>
                <w:numId w:val="9"/>
              </w:numPr>
              <w:tabs>
                <w:tab w:val="left" w:pos="848"/>
              </w:tabs>
              <w:ind w:left="-2" w:firstLine="567"/>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u w:val="single"/>
                <w:lang w:eastAsia="lv-LV"/>
              </w:rPr>
              <w:t>2021. gadā</w:t>
            </w:r>
            <w:r w:rsidRPr="00B52256">
              <w:rPr>
                <w:rFonts w:ascii="Times New Roman" w:eastAsia="Times New Roman" w:hAnsi="Times New Roman" w:cs="Times New Roman"/>
                <w:sz w:val="28"/>
                <w:szCs w:val="28"/>
                <w:lang w:eastAsia="lv-LV"/>
              </w:rPr>
              <w:t xml:space="preserve"> projektu īstenošanai – </w:t>
            </w:r>
            <w:r w:rsidRPr="00B52256">
              <w:rPr>
                <w:rFonts w:ascii="Times New Roman" w:hAnsi="Times New Roman" w:cs="Times New Roman"/>
                <w:sz w:val="28"/>
                <w:szCs w:val="28"/>
              </w:rPr>
              <w:t>638 47</w:t>
            </w:r>
            <w:r w:rsidR="000E61A9" w:rsidRPr="00B52256">
              <w:rPr>
                <w:rFonts w:ascii="Times New Roman" w:hAnsi="Times New Roman" w:cs="Times New Roman"/>
                <w:sz w:val="28"/>
                <w:szCs w:val="28"/>
              </w:rPr>
              <w:t>1</w:t>
            </w:r>
            <w:r w:rsidRPr="00B52256">
              <w:rPr>
                <w:rFonts w:ascii="Times New Roman" w:hAnsi="Times New Roman" w:cs="Times New Roman"/>
                <w:sz w:val="28"/>
                <w:szCs w:val="28"/>
              </w:rPr>
              <w:t xml:space="preserve"> </w:t>
            </w:r>
            <w:r w:rsidRPr="00B52256">
              <w:rPr>
                <w:rFonts w:ascii="Times New Roman" w:eastAsia="Times New Roman" w:hAnsi="Times New Roman" w:cs="Times New Roman"/>
                <w:i/>
                <w:sz w:val="28"/>
                <w:szCs w:val="28"/>
                <w:lang w:eastAsia="lv-LV"/>
              </w:rPr>
              <w:t>euro</w:t>
            </w:r>
            <w:r w:rsidRPr="00B52256">
              <w:rPr>
                <w:rFonts w:ascii="Times New Roman" w:eastAsia="Times New Roman" w:hAnsi="Times New Roman" w:cs="Times New Roman"/>
                <w:sz w:val="28"/>
                <w:szCs w:val="28"/>
                <w:lang w:eastAsia="lv-LV"/>
              </w:rPr>
              <w:t xml:space="preserve"> (</w:t>
            </w:r>
            <w:r w:rsidR="0041152A" w:rsidRPr="00B52256">
              <w:rPr>
                <w:rFonts w:ascii="Times New Roman" w:eastAsia="Times New Roman" w:hAnsi="Times New Roman" w:cs="Times New Roman"/>
                <w:sz w:val="28"/>
                <w:szCs w:val="28"/>
                <w:lang w:eastAsia="lv-LV"/>
              </w:rPr>
              <w:t>Eiropas Ekonomikas zonas</w:t>
            </w:r>
            <w:r w:rsidRPr="00B52256">
              <w:rPr>
                <w:rFonts w:ascii="Times New Roman" w:eastAsia="Times New Roman" w:hAnsi="Times New Roman" w:cs="Times New Roman"/>
                <w:sz w:val="28"/>
                <w:szCs w:val="28"/>
                <w:lang w:eastAsia="lv-LV"/>
              </w:rPr>
              <w:t xml:space="preserve"> </w:t>
            </w:r>
            <w:r w:rsidRPr="00B52256">
              <w:rPr>
                <w:rFonts w:ascii="Times New Roman" w:hAnsi="Times New Roman" w:cs="Times New Roman"/>
                <w:sz w:val="28"/>
                <w:szCs w:val="28"/>
              </w:rPr>
              <w:t>finanšu instrumenta piešķīrums</w:t>
            </w:r>
            <w:r w:rsidRPr="00B52256">
              <w:rPr>
                <w:rFonts w:ascii="Times New Roman" w:eastAsia="Times New Roman" w:hAnsi="Times New Roman" w:cs="Times New Roman"/>
                <w:sz w:val="28"/>
                <w:szCs w:val="28"/>
                <w:lang w:eastAsia="lv-LV"/>
              </w:rPr>
              <w:t xml:space="preserve"> </w:t>
            </w:r>
            <w:r w:rsidRPr="00B52256">
              <w:rPr>
                <w:rFonts w:ascii="Times New Roman" w:hAnsi="Times New Roman" w:cs="Times New Roman"/>
                <w:sz w:val="28"/>
                <w:szCs w:val="28"/>
              </w:rPr>
              <w:t>542 </w:t>
            </w:r>
            <w:r w:rsidR="000E61A9" w:rsidRPr="00B52256">
              <w:rPr>
                <w:rFonts w:ascii="Times New Roman" w:hAnsi="Times New Roman" w:cs="Times New Roman"/>
                <w:sz w:val="28"/>
                <w:szCs w:val="28"/>
              </w:rPr>
              <w:t>700</w:t>
            </w:r>
            <w:r w:rsidRPr="00B52256">
              <w:rPr>
                <w:rFonts w:ascii="Times New Roman" w:eastAsia="Times New Roman" w:hAnsi="Times New Roman" w:cs="Times New Roman"/>
                <w:i/>
                <w:sz w:val="28"/>
                <w:szCs w:val="28"/>
                <w:lang w:eastAsia="lv-LV"/>
              </w:rPr>
              <w:t xml:space="preserve"> euro</w:t>
            </w:r>
            <w:r w:rsidRPr="00B52256">
              <w:rPr>
                <w:rFonts w:ascii="Times New Roman" w:eastAsia="Times New Roman" w:hAnsi="Times New Roman" w:cs="Times New Roman"/>
                <w:sz w:val="28"/>
                <w:szCs w:val="28"/>
                <w:lang w:eastAsia="lv-LV"/>
              </w:rPr>
              <w:t xml:space="preserve">, nacionālais programmas līdzfinansējums </w:t>
            </w:r>
            <w:r w:rsidRPr="00B52256">
              <w:rPr>
                <w:rFonts w:ascii="Times New Roman" w:hAnsi="Times New Roman" w:cs="Times New Roman"/>
                <w:sz w:val="28"/>
                <w:szCs w:val="28"/>
              </w:rPr>
              <w:t>95 77</w:t>
            </w:r>
            <w:r w:rsidR="000E61A9" w:rsidRPr="00B52256">
              <w:rPr>
                <w:rFonts w:ascii="Times New Roman" w:hAnsi="Times New Roman" w:cs="Times New Roman"/>
                <w:sz w:val="28"/>
                <w:szCs w:val="28"/>
              </w:rPr>
              <w:t>1</w:t>
            </w:r>
            <w:r w:rsidRPr="00B52256">
              <w:rPr>
                <w:rFonts w:ascii="Times New Roman" w:eastAsia="Times New Roman" w:hAnsi="Times New Roman" w:cs="Times New Roman"/>
                <w:sz w:val="28"/>
                <w:szCs w:val="28"/>
                <w:lang w:eastAsia="lv-LV"/>
              </w:rPr>
              <w:t> </w:t>
            </w:r>
            <w:r w:rsidRPr="00B52256">
              <w:rPr>
                <w:rFonts w:ascii="Times New Roman" w:eastAsia="Times New Roman" w:hAnsi="Times New Roman" w:cs="Times New Roman"/>
                <w:i/>
                <w:sz w:val="28"/>
                <w:szCs w:val="28"/>
                <w:lang w:eastAsia="lv-LV"/>
              </w:rPr>
              <w:t>euro)</w:t>
            </w:r>
            <w:r w:rsidRPr="00B52256">
              <w:rPr>
                <w:rFonts w:ascii="Times New Roman" w:eastAsia="Times New Roman" w:hAnsi="Times New Roman" w:cs="Times New Roman"/>
                <w:sz w:val="28"/>
                <w:szCs w:val="28"/>
                <w:lang w:eastAsia="lv-LV"/>
              </w:rPr>
              <w:t>;</w:t>
            </w:r>
          </w:p>
          <w:p w14:paraId="33DA8929" w14:textId="70A468FE" w:rsidR="008027A1" w:rsidRPr="00B52256" w:rsidRDefault="008027A1" w:rsidP="00B52256">
            <w:pPr>
              <w:pStyle w:val="ListParagraph"/>
              <w:numPr>
                <w:ilvl w:val="0"/>
                <w:numId w:val="9"/>
              </w:numPr>
              <w:tabs>
                <w:tab w:val="left" w:pos="848"/>
              </w:tabs>
              <w:ind w:left="-2" w:firstLine="567"/>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u w:val="single"/>
                <w:lang w:eastAsia="lv-LV"/>
              </w:rPr>
              <w:t>2022. gadā</w:t>
            </w:r>
            <w:r w:rsidRPr="00B52256">
              <w:rPr>
                <w:rFonts w:ascii="Times New Roman" w:eastAsia="Times New Roman" w:hAnsi="Times New Roman" w:cs="Times New Roman"/>
                <w:sz w:val="28"/>
                <w:szCs w:val="28"/>
                <w:lang w:eastAsia="lv-LV"/>
              </w:rPr>
              <w:t xml:space="preserve"> projektu īstenošanai – </w:t>
            </w:r>
            <w:r w:rsidRPr="00B52256">
              <w:rPr>
                <w:rFonts w:ascii="Times New Roman" w:hAnsi="Times New Roman" w:cs="Times New Roman"/>
                <w:sz w:val="28"/>
                <w:szCs w:val="28"/>
              </w:rPr>
              <w:t xml:space="preserve">957 705 </w:t>
            </w:r>
            <w:r w:rsidRPr="00B52256">
              <w:rPr>
                <w:rFonts w:ascii="Times New Roman" w:eastAsia="Times New Roman" w:hAnsi="Times New Roman" w:cs="Times New Roman"/>
                <w:i/>
                <w:sz w:val="28"/>
                <w:szCs w:val="28"/>
                <w:lang w:eastAsia="lv-LV"/>
              </w:rPr>
              <w:t>euro</w:t>
            </w:r>
            <w:r w:rsidRPr="00B52256">
              <w:rPr>
                <w:rFonts w:ascii="Times New Roman" w:eastAsia="Times New Roman" w:hAnsi="Times New Roman" w:cs="Times New Roman"/>
                <w:sz w:val="28"/>
                <w:szCs w:val="28"/>
                <w:lang w:eastAsia="lv-LV"/>
              </w:rPr>
              <w:t xml:space="preserve"> (</w:t>
            </w:r>
            <w:r w:rsidR="0041152A" w:rsidRPr="00B52256">
              <w:rPr>
                <w:rFonts w:ascii="Times New Roman" w:eastAsia="Times New Roman" w:hAnsi="Times New Roman" w:cs="Times New Roman"/>
                <w:sz w:val="28"/>
                <w:szCs w:val="28"/>
                <w:lang w:eastAsia="lv-LV"/>
              </w:rPr>
              <w:t>Eiropas Ekonomikas zonas</w:t>
            </w:r>
            <w:r w:rsidRPr="00B52256">
              <w:rPr>
                <w:rFonts w:ascii="Times New Roman" w:eastAsia="Times New Roman" w:hAnsi="Times New Roman" w:cs="Times New Roman"/>
                <w:sz w:val="28"/>
                <w:szCs w:val="28"/>
                <w:lang w:eastAsia="lv-LV"/>
              </w:rPr>
              <w:t xml:space="preserve"> </w:t>
            </w:r>
            <w:r w:rsidRPr="00B52256">
              <w:rPr>
                <w:rFonts w:ascii="Times New Roman" w:hAnsi="Times New Roman" w:cs="Times New Roman"/>
                <w:sz w:val="28"/>
                <w:szCs w:val="28"/>
              </w:rPr>
              <w:t>finanšu instrumenta piešķīrums</w:t>
            </w:r>
            <w:r w:rsidRPr="00B52256">
              <w:rPr>
                <w:rFonts w:ascii="Times New Roman" w:eastAsia="Times New Roman" w:hAnsi="Times New Roman" w:cs="Times New Roman"/>
                <w:sz w:val="28"/>
                <w:szCs w:val="28"/>
                <w:lang w:eastAsia="lv-LV"/>
              </w:rPr>
              <w:t xml:space="preserve"> </w:t>
            </w:r>
            <w:r w:rsidRPr="00B52256">
              <w:rPr>
                <w:rFonts w:ascii="Times New Roman" w:hAnsi="Times New Roman" w:cs="Times New Roman"/>
                <w:sz w:val="28"/>
                <w:szCs w:val="28"/>
              </w:rPr>
              <w:t>814</w:t>
            </w:r>
            <w:r w:rsidR="0041152A" w:rsidRPr="008D4CDE">
              <w:rPr>
                <w:rFonts w:ascii="Times New Roman" w:hAnsi="Times New Roman" w:cs="Times New Roman"/>
                <w:sz w:val="28"/>
                <w:szCs w:val="28"/>
              </w:rPr>
              <w:t> </w:t>
            </w:r>
            <w:r w:rsidR="00E310A1" w:rsidRPr="00B52256">
              <w:rPr>
                <w:rFonts w:ascii="Times New Roman" w:hAnsi="Times New Roman" w:cs="Times New Roman"/>
                <w:sz w:val="28"/>
                <w:szCs w:val="28"/>
              </w:rPr>
              <w:t>0</w:t>
            </w:r>
            <w:r w:rsidR="00E310A1">
              <w:rPr>
                <w:rFonts w:ascii="Times New Roman" w:hAnsi="Times New Roman" w:cs="Times New Roman"/>
                <w:sz w:val="28"/>
                <w:szCs w:val="28"/>
              </w:rPr>
              <w:t>49</w:t>
            </w:r>
            <w:r w:rsidR="00E310A1" w:rsidRPr="008D4CDE">
              <w:rPr>
                <w:rFonts w:ascii="Times New Roman" w:eastAsia="Times New Roman" w:hAnsi="Times New Roman" w:cs="Times New Roman"/>
                <w:i/>
                <w:sz w:val="28"/>
                <w:szCs w:val="28"/>
                <w:lang w:eastAsia="lv-LV"/>
              </w:rPr>
              <w:t> </w:t>
            </w:r>
            <w:r w:rsidRPr="00B52256">
              <w:rPr>
                <w:rFonts w:ascii="Times New Roman" w:eastAsia="Times New Roman" w:hAnsi="Times New Roman" w:cs="Times New Roman"/>
                <w:i/>
                <w:sz w:val="28"/>
                <w:szCs w:val="28"/>
                <w:lang w:eastAsia="lv-LV"/>
              </w:rPr>
              <w:t>euro</w:t>
            </w:r>
            <w:r w:rsidRPr="00B52256">
              <w:rPr>
                <w:rFonts w:ascii="Times New Roman" w:eastAsia="Times New Roman" w:hAnsi="Times New Roman" w:cs="Times New Roman"/>
                <w:sz w:val="28"/>
                <w:szCs w:val="28"/>
                <w:lang w:eastAsia="lv-LV"/>
              </w:rPr>
              <w:t xml:space="preserve">, nacionālais programmas līdzfinansējums </w:t>
            </w:r>
            <w:r w:rsidRPr="00B52256">
              <w:rPr>
                <w:rFonts w:ascii="Times New Roman" w:hAnsi="Times New Roman" w:cs="Times New Roman"/>
                <w:sz w:val="28"/>
                <w:szCs w:val="28"/>
              </w:rPr>
              <w:t>143 </w:t>
            </w:r>
            <w:r w:rsidR="00E310A1" w:rsidRPr="00B52256">
              <w:rPr>
                <w:rFonts w:ascii="Times New Roman" w:hAnsi="Times New Roman" w:cs="Times New Roman"/>
                <w:sz w:val="28"/>
                <w:szCs w:val="28"/>
              </w:rPr>
              <w:t>65</w:t>
            </w:r>
            <w:r w:rsidR="00E310A1">
              <w:rPr>
                <w:rFonts w:ascii="Times New Roman" w:hAnsi="Times New Roman" w:cs="Times New Roman"/>
                <w:sz w:val="28"/>
                <w:szCs w:val="28"/>
              </w:rPr>
              <w:t>6</w:t>
            </w:r>
            <w:r w:rsidR="00E310A1" w:rsidRPr="00B52256">
              <w:rPr>
                <w:rFonts w:ascii="Times New Roman" w:eastAsia="Times New Roman" w:hAnsi="Times New Roman" w:cs="Times New Roman"/>
                <w:i/>
                <w:sz w:val="28"/>
                <w:szCs w:val="28"/>
                <w:lang w:eastAsia="lv-LV"/>
              </w:rPr>
              <w:t xml:space="preserve"> </w:t>
            </w:r>
            <w:r w:rsidRPr="00B52256">
              <w:rPr>
                <w:rFonts w:ascii="Times New Roman" w:eastAsia="Times New Roman" w:hAnsi="Times New Roman" w:cs="Times New Roman"/>
                <w:i/>
                <w:sz w:val="28"/>
                <w:szCs w:val="28"/>
                <w:lang w:eastAsia="lv-LV"/>
              </w:rPr>
              <w:t>euro</w:t>
            </w:r>
            <w:r w:rsidRPr="00B52256">
              <w:rPr>
                <w:rFonts w:ascii="Times New Roman" w:eastAsia="Times New Roman" w:hAnsi="Times New Roman" w:cs="Times New Roman"/>
                <w:sz w:val="28"/>
                <w:szCs w:val="28"/>
                <w:lang w:eastAsia="lv-LV"/>
              </w:rPr>
              <w:t>);</w:t>
            </w:r>
          </w:p>
          <w:p w14:paraId="05EB6714" w14:textId="56EF73AD" w:rsidR="0041152A" w:rsidRPr="00B52256" w:rsidRDefault="008027A1" w:rsidP="00B52256">
            <w:pPr>
              <w:pStyle w:val="ListParagraph"/>
              <w:numPr>
                <w:ilvl w:val="0"/>
                <w:numId w:val="9"/>
              </w:numPr>
              <w:tabs>
                <w:tab w:val="left" w:pos="848"/>
              </w:tabs>
              <w:ind w:left="-2" w:firstLine="567"/>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u w:val="single"/>
                <w:lang w:eastAsia="lv-LV"/>
              </w:rPr>
              <w:t>2023. gadā</w:t>
            </w:r>
            <w:r w:rsidRPr="00B52256">
              <w:rPr>
                <w:rFonts w:ascii="Times New Roman" w:eastAsia="Times New Roman" w:hAnsi="Times New Roman" w:cs="Times New Roman"/>
                <w:sz w:val="28"/>
                <w:szCs w:val="28"/>
                <w:lang w:eastAsia="lv-LV"/>
              </w:rPr>
              <w:t xml:space="preserve"> projektu īstenošanai – </w:t>
            </w:r>
            <w:r w:rsidRPr="00B52256">
              <w:rPr>
                <w:rFonts w:ascii="Times New Roman" w:hAnsi="Times New Roman" w:cs="Times New Roman"/>
                <w:sz w:val="28"/>
                <w:szCs w:val="28"/>
              </w:rPr>
              <w:t xml:space="preserve">1 276 941 </w:t>
            </w:r>
            <w:r w:rsidRPr="00B52256">
              <w:rPr>
                <w:rFonts w:ascii="Times New Roman" w:eastAsia="Times New Roman" w:hAnsi="Times New Roman" w:cs="Times New Roman"/>
                <w:i/>
                <w:sz w:val="28"/>
                <w:szCs w:val="28"/>
                <w:lang w:eastAsia="lv-LV"/>
              </w:rPr>
              <w:t>euro</w:t>
            </w:r>
            <w:r w:rsidRPr="00B52256">
              <w:rPr>
                <w:rFonts w:ascii="Times New Roman" w:eastAsia="Times New Roman" w:hAnsi="Times New Roman" w:cs="Times New Roman"/>
                <w:sz w:val="28"/>
                <w:szCs w:val="28"/>
                <w:lang w:eastAsia="lv-LV"/>
              </w:rPr>
              <w:t xml:space="preserve"> (</w:t>
            </w:r>
            <w:r w:rsidR="0041152A" w:rsidRPr="00B52256">
              <w:rPr>
                <w:rFonts w:ascii="Times New Roman" w:eastAsia="Times New Roman" w:hAnsi="Times New Roman" w:cs="Times New Roman"/>
                <w:sz w:val="28"/>
                <w:szCs w:val="28"/>
                <w:lang w:eastAsia="lv-LV"/>
              </w:rPr>
              <w:t>Eiropas Ekonomikas zonas</w:t>
            </w:r>
            <w:r w:rsidRPr="00B52256">
              <w:rPr>
                <w:rFonts w:ascii="Times New Roman" w:eastAsia="Times New Roman" w:hAnsi="Times New Roman" w:cs="Times New Roman"/>
                <w:sz w:val="28"/>
                <w:szCs w:val="28"/>
                <w:lang w:eastAsia="lv-LV"/>
              </w:rPr>
              <w:t xml:space="preserve"> </w:t>
            </w:r>
            <w:r w:rsidRPr="00B52256">
              <w:rPr>
                <w:rFonts w:ascii="Times New Roman" w:hAnsi="Times New Roman" w:cs="Times New Roman"/>
                <w:sz w:val="28"/>
                <w:szCs w:val="28"/>
              </w:rPr>
              <w:t>finanšu instrumenta piešķīrums</w:t>
            </w:r>
            <w:r w:rsidRPr="00B52256">
              <w:rPr>
                <w:rFonts w:ascii="Times New Roman" w:eastAsia="Times New Roman" w:hAnsi="Times New Roman" w:cs="Times New Roman"/>
                <w:sz w:val="28"/>
                <w:szCs w:val="28"/>
                <w:lang w:eastAsia="lv-LV"/>
              </w:rPr>
              <w:t xml:space="preserve"> </w:t>
            </w:r>
            <w:r w:rsidRPr="00B52256">
              <w:rPr>
                <w:rFonts w:ascii="Times New Roman" w:hAnsi="Times New Roman" w:cs="Times New Roman"/>
                <w:sz w:val="28"/>
                <w:szCs w:val="28"/>
              </w:rPr>
              <w:t>1 085 </w:t>
            </w:r>
            <w:r w:rsidR="000E61A9" w:rsidRPr="00B52256">
              <w:rPr>
                <w:rFonts w:ascii="Times New Roman" w:hAnsi="Times New Roman" w:cs="Times New Roman"/>
                <w:sz w:val="28"/>
                <w:szCs w:val="28"/>
              </w:rPr>
              <w:t>400</w:t>
            </w:r>
            <w:r w:rsidRPr="00B52256">
              <w:rPr>
                <w:rFonts w:ascii="Times New Roman" w:eastAsia="Times New Roman" w:hAnsi="Times New Roman" w:cs="Times New Roman"/>
                <w:i/>
                <w:sz w:val="28"/>
                <w:szCs w:val="28"/>
                <w:lang w:eastAsia="lv-LV"/>
              </w:rPr>
              <w:t xml:space="preserve"> euro</w:t>
            </w:r>
            <w:r w:rsidRPr="00B52256">
              <w:rPr>
                <w:rFonts w:ascii="Times New Roman" w:eastAsia="Times New Roman" w:hAnsi="Times New Roman" w:cs="Times New Roman"/>
                <w:sz w:val="28"/>
                <w:szCs w:val="28"/>
                <w:lang w:eastAsia="lv-LV"/>
              </w:rPr>
              <w:t xml:space="preserve">, nacionālais programmas līdzfinansējums </w:t>
            </w:r>
            <w:r w:rsidRPr="00B52256">
              <w:rPr>
                <w:rFonts w:ascii="Times New Roman" w:hAnsi="Times New Roman" w:cs="Times New Roman"/>
                <w:sz w:val="28"/>
                <w:szCs w:val="28"/>
              </w:rPr>
              <w:t>191 541</w:t>
            </w:r>
            <w:r w:rsidRPr="00B52256">
              <w:rPr>
                <w:rFonts w:ascii="Times New Roman" w:eastAsia="Times New Roman" w:hAnsi="Times New Roman" w:cs="Times New Roman"/>
                <w:i/>
                <w:sz w:val="28"/>
                <w:szCs w:val="28"/>
                <w:lang w:eastAsia="lv-LV"/>
              </w:rPr>
              <w:t xml:space="preserve"> euro</w:t>
            </w:r>
            <w:r w:rsidRPr="00B52256">
              <w:rPr>
                <w:rFonts w:ascii="Times New Roman" w:eastAsia="Times New Roman" w:hAnsi="Times New Roman" w:cs="Times New Roman"/>
                <w:sz w:val="28"/>
                <w:szCs w:val="28"/>
                <w:lang w:eastAsia="lv-LV"/>
              </w:rPr>
              <w:t>);</w:t>
            </w:r>
          </w:p>
          <w:p w14:paraId="0E5011E3" w14:textId="3177A2E8" w:rsidR="008D4CDE" w:rsidRPr="00B52256" w:rsidRDefault="008027A1" w:rsidP="00B52256">
            <w:pPr>
              <w:pStyle w:val="ListParagraph"/>
              <w:numPr>
                <w:ilvl w:val="0"/>
                <w:numId w:val="9"/>
              </w:numPr>
              <w:tabs>
                <w:tab w:val="left" w:pos="848"/>
              </w:tabs>
              <w:ind w:left="-2" w:firstLine="567"/>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u w:val="single"/>
                <w:lang w:eastAsia="lv-LV"/>
              </w:rPr>
              <w:t>2024. gadā</w:t>
            </w:r>
            <w:r w:rsidRPr="00B52256">
              <w:rPr>
                <w:rFonts w:ascii="Times New Roman" w:eastAsia="Times New Roman" w:hAnsi="Times New Roman" w:cs="Times New Roman"/>
                <w:sz w:val="28"/>
                <w:szCs w:val="28"/>
                <w:lang w:eastAsia="lv-LV"/>
              </w:rPr>
              <w:t xml:space="preserve"> projektu īstenošanai – </w:t>
            </w:r>
            <w:r w:rsidRPr="00B52256">
              <w:rPr>
                <w:rFonts w:ascii="Times New Roman" w:hAnsi="Times New Roman" w:cs="Times New Roman"/>
                <w:sz w:val="28"/>
                <w:szCs w:val="28"/>
              </w:rPr>
              <w:t>319 237</w:t>
            </w:r>
            <w:r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i/>
                <w:sz w:val="28"/>
                <w:szCs w:val="28"/>
                <w:lang w:eastAsia="lv-LV"/>
              </w:rPr>
              <w:t>euro</w:t>
            </w:r>
            <w:r w:rsidRPr="00B52256">
              <w:rPr>
                <w:rFonts w:ascii="Times New Roman" w:eastAsia="Times New Roman" w:hAnsi="Times New Roman" w:cs="Times New Roman"/>
                <w:sz w:val="28"/>
                <w:szCs w:val="28"/>
                <w:lang w:eastAsia="lv-LV"/>
              </w:rPr>
              <w:t xml:space="preserve"> (</w:t>
            </w:r>
            <w:r w:rsidR="0041152A" w:rsidRPr="008D4CDE">
              <w:rPr>
                <w:rFonts w:ascii="Times New Roman" w:eastAsia="Times New Roman" w:hAnsi="Times New Roman" w:cs="Times New Roman"/>
                <w:sz w:val="28"/>
                <w:szCs w:val="28"/>
                <w:lang w:eastAsia="lv-LV"/>
              </w:rPr>
              <w:t>Eiropas Ekonomikas zonas</w:t>
            </w:r>
            <w:r w:rsidRPr="00B52256">
              <w:rPr>
                <w:rFonts w:ascii="Times New Roman" w:eastAsia="Times New Roman" w:hAnsi="Times New Roman" w:cs="Times New Roman"/>
                <w:sz w:val="28"/>
                <w:szCs w:val="28"/>
                <w:lang w:eastAsia="lv-LV"/>
              </w:rPr>
              <w:t xml:space="preserve"> </w:t>
            </w:r>
            <w:r w:rsidRPr="00B52256">
              <w:rPr>
                <w:rFonts w:ascii="Times New Roman" w:hAnsi="Times New Roman" w:cs="Times New Roman"/>
                <w:sz w:val="28"/>
                <w:szCs w:val="28"/>
              </w:rPr>
              <w:t>finanšu instrumenta piešķīrums</w:t>
            </w:r>
            <w:r w:rsidRPr="00B52256">
              <w:rPr>
                <w:rFonts w:ascii="Times New Roman" w:eastAsia="Times New Roman" w:hAnsi="Times New Roman" w:cs="Times New Roman"/>
                <w:sz w:val="28"/>
                <w:szCs w:val="28"/>
                <w:lang w:eastAsia="lv-LV"/>
              </w:rPr>
              <w:t xml:space="preserve"> </w:t>
            </w:r>
            <w:r w:rsidRPr="00B52256">
              <w:rPr>
                <w:rFonts w:ascii="Times New Roman" w:hAnsi="Times New Roman" w:cs="Times New Roman"/>
                <w:sz w:val="28"/>
                <w:szCs w:val="28"/>
              </w:rPr>
              <w:t>271 351</w:t>
            </w:r>
            <w:r w:rsidRPr="00B52256">
              <w:rPr>
                <w:rFonts w:ascii="Times New Roman" w:eastAsia="Times New Roman" w:hAnsi="Times New Roman" w:cs="Times New Roman"/>
                <w:i/>
                <w:sz w:val="28"/>
                <w:szCs w:val="28"/>
                <w:lang w:eastAsia="lv-LV"/>
              </w:rPr>
              <w:t xml:space="preserve"> euro</w:t>
            </w:r>
            <w:r w:rsidRPr="00B52256">
              <w:rPr>
                <w:rFonts w:ascii="Times New Roman" w:eastAsia="Times New Roman" w:hAnsi="Times New Roman" w:cs="Times New Roman"/>
                <w:sz w:val="28"/>
                <w:szCs w:val="28"/>
                <w:lang w:eastAsia="lv-LV"/>
              </w:rPr>
              <w:t xml:space="preserve">, nacionālais programmas līdzfinansējums </w:t>
            </w:r>
            <w:r w:rsidRPr="00B52256">
              <w:rPr>
                <w:rFonts w:ascii="Times New Roman" w:hAnsi="Times New Roman" w:cs="Times New Roman"/>
                <w:sz w:val="28"/>
                <w:szCs w:val="28"/>
              </w:rPr>
              <w:t>47 88</w:t>
            </w:r>
            <w:r w:rsidR="000E61A9" w:rsidRPr="00B52256">
              <w:rPr>
                <w:rFonts w:ascii="Times New Roman" w:hAnsi="Times New Roman" w:cs="Times New Roman"/>
                <w:sz w:val="28"/>
                <w:szCs w:val="28"/>
              </w:rPr>
              <w:t>6</w:t>
            </w:r>
            <w:r w:rsidRPr="00B52256">
              <w:rPr>
                <w:rFonts w:ascii="Times New Roman" w:eastAsia="Times New Roman" w:hAnsi="Times New Roman" w:cs="Times New Roman"/>
                <w:sz w:val="28"/>
                <w:szCs w:val="28"/>
                <w:lang w:eastAsia="lv-LV"/>
              </w:rPr>
              <w:t> </w:t>
            </w:r>
            <w:r w:rsidRPr="00B52256">
              <w:rPr>
                <w:rFonts w:ascii="Times New Roman" w:eastAsia="Times New Roman" w:hAnsi="Times New Roman" w:cs="Times New Roman"/>
                <w:i/>
                <w:sz w:val="28"/>
                <w:szCs w:val="28"/>
                <w:lang w:eastAsia="lv-LV"/>
              </w:rPr>
              <w:t>euro</w:t>
            </w:r>
            <w:r w:rsidRPr="00B52256">
              <w:rPr>
                <w:rFonts w:ascii="Times New Roman" w:eastAsia="Times New Roman" w:hAnsi="Times New Roman" w:cs="Times New Roman"/>
                <w:sz w:val="28"/>
                <w:szCs w:val="28"/>
                <w:lang w:eastAsia="lv-LV"/>
              </w:rPr>
              <w:t>).</w:t>
            </w:r>
          </w:p>
          <w:p w14:paraId="492DCFFB" w14:textId="7D5D342F" w:rsidR="008D4CDE" w:rsidRPr="00B52256" w:rsidRDefault="008027A1" w:rsidP="00842ECB">
            <w:pPr>
              <w:pStyle w:val="ListParagraph"/>
              <w:tabs>
                <w:tab w:val="left" w:pos="848"/>
              </w:tabs>
              <w:ind w:left="0"/>
              <w:jc w:val="both"/>
              <w:rPr>
                <w:rFonts w:ascii="Times New Roman" w:hAnsi="Times New Roman" w:cs="Times New Roman"/>
                <w:sz w:val="28"/>
                <w:szCs w:val="28"/>
                <w:lang w:eastAsia="lv-LV"/>
              </w:rPr>
            </w:pPr>
            <w:r w:rsidRPr="00B52256">
              <w:rPr>
                <w:rFonts w:ascii="Times New Roman" w:hAnsi="Times New Roman" w:cs="Times New Roman"/>
                <w:sz w:val="28"/>
                <w:szCs w:val="28"/>
                <w:lang w:eastAsia="lv-LV"/>
              </w:rPr>
              <w:t xml:space="preserve">Programmas provizoriskā naudas plūsma ir sagatavota, pamatojoties uz programmas izstrādes un īstenošanas laika grafiku. </w:t>
            </w:r>
          </w:p>
          <w:p w14:paraId="3289B1D6" w14:textId="0FFF99F3" w:rsidR="008027A1" w:rsidRPr="00B52256" w:rsidRDefault="008027A1" w:rsidP="00842ECB">
            <w:pPr>
              <w:pStyle w:val="ListParagraph"/>
              <w:tabs>
                <w:tab w:val="left" w:pos="848"/>
              </w:tabs>
              <w:ind w:left="0"/>
              <w:jc w:val="both"/>
              <w:rPr>
                <w:rFonts w:ascii="Times New Roman" w:hAnsi="Times New Roman" w:cs="Times New Roman"/>
                <w:sz w:val="28"/>
                <w:szCs w:val="28"/>
                <w:lang w:eastAsia="lv-LV"/>
              </w:rPr>
            </w:pPr>
            <w:r w:rsidRPr="00B52256">
              <w:rPr>
                <w:rFonts w:ascii="Times New Roman" w:hAnsi="Times New Roman" w:cs="Times New Roman"/>
                <w:sz w:val="28"/>
                <w:szCs w:val="28"/>
                <w:lang w:eastAsia="lv-LV"/>
              </w:rPr>
              <w:t>2020.gadā plānots izsludināt atklātā projektu konkursa pirmo kārtu un 2021.gadā plānots izsludināt atklātā projektu konkursa otro kārtu. 2021</w:t>
            </w:r>
            <w:r w:rsidR="008D4CDE" w:rsidRPr="00B52256">
              <w:rPr>
                <w:rFonts w:ascii="Times New Roman" w:hAnsi="Times New Roman" w:cs="Times New Roman"/>
                <w:sz w:val="28"/>
                <w:szCs w:val="28"/>
                <w:lang w:eastAsia="lv-LV"/>
              </w:rPr>
              <w:t>.</w:t>
            </w:r>
            <w:r w:rsidR="008D4CDE">
              <w:rPr>
                <w:rFonts w:ascii="Times New Roman" w:hAnsi="Times New Roman" w:cs="Times New Roman"/>
                <w:sz w:val="28"/>
                <w:szCs w:val="28"/>
                <w:lang w:eastAsia="lv-LV"/>
              </w:rPr>
              <w:t> – </w:t>
            </w:r>
            <w:r w:rsidRPr="00B52256">
              <w:rPr>
                <w:rFonts w:ascii="Times New Roman" w:hAnsi="Times New Roman" w:cs="Times New Roman"/>
                <w:sz w:val="28"/>
                <w:szCs w:val="28"/>
                <w:lang w:eastAsia="lv-LV"/>
              </w:rPr>
              <w:t>2024.gadā paredzēta projektu aktivitāšu īstenošana, kur naudas plūsma plānota</w:t>
            </w:r>
            <w:r w:rsidR="00467000">
              <w:rPr>
                <w:rFonts w:ascii="Times New Roman" w:hAnsi="Times New Roman" w:cs="Times New Roman"/>
                <w:sz w:val="28"/>
                <w:szCs w:val="28"/>
                <w:lang w:eastAsia="lv-LV"/>
              </w:rPr>
              <w:t>,</w:t>
            </w:r>
            <w:r w:rsidRPr="00B52256">
              <w:rPr>
                <w:rFonts w:ascii="Times New Roman" w:hAnsi="Times New Roman" w:cs="Times New Roman"/>
                <w:sz w:val="28"/>
                <w:szCs w:val="28"/>
                <w:lang w:eastAsia="lv-LV"/>
              </w:rPr>
              <w:t xml:space="preserve"> balstoties uz iepriekšējo pieredzi. 2024.gadā plānots veikt projektu noslēgumu maksājumus.  </w:t>
            </w:r>
          </w:p>
        </w:tc>
      </w:tr>
      <w:tr w:rsidR="008027A1" w:rsidRPr="00BA4EF1" w14:paraId="77FDF8C1" w14:textId="77777777" w:rsidTr="00B52256">
        <w:trPr>
          <w:tblCellSpacing w:w="20" w:type="dxa"/>
          <w:jc w:val="center"/>
        </w:trPr>
        <w:tc>
          <w:tcPr>
            <w:tcW w:w="1917" w:type="dxa"/>
            <w:hideMark/>
          </w:tcPr>
          <w:p w14:paraId="0642AA4B"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lastRenderedPageBreak/>
              <w:t>6.1. detalizēts ieņēmumu aprēķins</w:t>
            </w:r>
          </w:p>
        </w:tc>
        <w:tc>
          <w:tcPr>
            <w:tcW w:w="7311" w:type="dxa"/>
            <w:gridSpan w:val="7"/>
            <w:vMerge/>
            <w:hideMark/>
          </w:tcPr>
          <w:p w14:paraId="468BB079" w14:textId="77777777" w:rsidR="008027A1" w:rsidRPr="00B52256" w:rsidRDefault="008027A1" w:rsidP="007016A9">
            <w:pPr>
              <w:rPr>
                <w:rFonts w:ascii="Times New Roman" w:eastAsia="Times New Roman" w:hAnsi="Times New Roman" w:cs="Times New Roman"/>
                <w:iCs/>
                <w:sz w:val="28"/>
                <w:szCs w:val="28"/>
                <w:lang w:eastAsia="lv-LV"/>
              </w:rPr>
            </w:pPr>
          </w:p>
        </w:tc>
      </w:tr>
      <w:tr w:rsidR="008027A1" w:rsidRPr="00BA4EF1" w14:paraId="32134989" w14:textId="77777777" w:rsidTr="00B52256">
        <w:trPr>
          <w:tblCellSpacing w:w="20" w:type="dxa"/>
          <w:jc w:val="center"/>
        </w:trPr>
        <w:tc>
          <w:tcPr>
            <w:tcW w:w="1917" w:type="dxa"/>
            <w:hideMark/>
          </w:tcPr>
          <w:p w14:paraId="653D0C68"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sz w:val="28"/>
                <w:szCs w:val="28"/>
                <w:lang w:eastAsia="lv-LV"/>
              </w:rPr>
              <w:t>6.2. detalizēts izdevumu aprēķins</w:t>
            </w:r>
          </w:p>
        </w:tc>
        <w:tc>
          <w:tcPr>
            <w:tcW w:w="7311" w:type="dxa"/>
            <w:gridSpan w:val="7"/>
            <w:vMerge/>
            <w:hideMark/>
          </w:tcPr>
          <w:p w14:paraId="7211DB34" w14:textId="77777777" w:rsidR="008027A1" w:rsidRPr="00B52256" w:rsidRDefault="008027A1" w:rsidP="007016A9">
            <w:pPr>
              <w:rPr>
                <w:rFonts w:ascii="Times New Roman" w:eastAsia="Times New Roman" w:hAnsi="Times New Roman" w:cs="Times New Roman"/>
                <w:iCs/>
                <w:sz w:val="28"/>
                <w:szCs w:val="28"/>
                <w:lang w:eastAsia="lv-LV"/>
              </w:rPr>
            </w:pPr>
          </w:p>
        </w:tc>
      </w:tr>
      <w:tr w:rsidR="008027A1" w:rsidRPr="00BA4EF1" w14:paraId="5464550A" w14:textId="77777777" w:rsidTr="00B52256">
        <w:trPr>
          <w:tblCellSpacing w:w="20" w:type="dxa"/>
          <w:jc w:val="center"/>
        </w:trPr>
        <w:tc>
          <w:tcPr>
            <w:tcW w:w="1917" w:type="dxa"/>
            <w:hideMark/>
          </w:tcPr>
          <w:p w14:paraId="28F8D920"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color w:val="0D0D0D" w:themeColor="text1" w:themeTint="F2"/>
                <w:sz w:val="28"/>
                <w:szCs w:val="28"/>
                <w:lang w:eastAsia="lv-LV"/>
              </w:rPr>
              <w:lastRenderedPageBreak/>
              <w:t>7. Amata vietu skaita izmaiņas</w:t>
            </w:r>
          </w:p>
        </w:tc>
        <w:tc>
          <w:tcPr>
            <w:tcW w:w="7311" w:type="dxa"/>
            <w:gridSpan w:val="7"/>
            <w:hideMark/>
          </w:tcPr>
          <w:p w14:paraId="6DAE579F" w14:textId="47FA24D7" w:rsidR="008027A1" w:rsidRPr="00B52256" w:rsidRDefault="003F230E" w:rsidP="00B6303F">
            <w:pP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Noteikumu p</w:t>
            </w:r>
            <w:r w:rsidRPr="003F230E">
              <w:rPr>
                <w:rFonts w:ascii="Times New Roman" w:eastAsia="Times New Roman" w:hAnsi="Times New Roman" w:cs="Times New Roman"/>
                <w:sz w:val="28"/>
                <w:szCs w:val="28"/>
                <w:lang w:eastAsia="lv-LV"/>
              </w:rPr>
              <w:t>rojekts</w:t>
            </w:r>
            <w:r w:rsidR="008027A1" w:rsidRPr="00B52256">
              <w:rPr>
                <w:rFonts w:ascii="Times New Roman" w:hAnsi="Times New Roman" w:cs="Times New Roman"/>
                <w:sz w:val="28"/>
                <w:szCs w:val="28"/>
              </w:rPr>
              <w:t xml:space="preserve"> šo jomu neskar</w:t>
            </w:r>
            <w:r w:rsidR="008027A1" w:rsidRPr="00B52256">
              <w:rPr>
                <w:rFonts w:ascii="Times New Roman" w:eastAsiaTheme="minorEastAsia" w:hAnsi="Times New Roman" w:cs="Times New Roman"/>
                <w:sz w:val="28"/>
                <w:szCs w:val="28"/>
                <w:lang w:eastAsia="lv-LV"/>
              </w:rPr>
              <w:t>.</w:t>
            </w:r>
          </w:p>
        </w:tc>
      </w:tr>
      <w:tr w:rsidR="008027A1" w:rsidRPr="00BA4EF1" w14:paraId="758B6228" w14:textId="77777777" w:rsidTr="00B52256">
        <w:trPr>
          <w:tblCellSpacing w:w="20" w:type="dxa"/>
          <w:jc w:val="center"/>
        </w:trPr>
        <w:tc>
          <w:tcPr>
            <w:tcW w:w="1917" w:type="dxa"/>
            <w:hideMark/>
          </w:tcPr>
          <w:p w14:paraId="281F383A" w14:textId="77777777" w:rsidR="008027A1" w:rsidRPr="00B52256" w:rsidRDefault="008027A1" w:rsidP="00BA4EF1">
            <w:pPr>
              <w:rPr>
                <w:rFonts w:ascii="Times New Roman" w:eastAsia="Times New Roman" w:hAnsi="Times New Roman" w:cs="Times New Roman"/>
                <w:iCs/>
                <w:sz w:val="28"/>
                <w:szCs w:val="28"/>
                <w:lang w:eastAsia="lv-LV"/>
              </w:rPr>
            </w:pPr>
            <w:r w:rsidRPr="00B52256">
              <w:rPr>
                <w:rFonts w:ascii="Times New Roman" w:eastAsia="Times New Roman" w:hAnsi="Times New Roman" w:cs="Times New Roman"/>
                <w:iCs/>
                <w:color w:val="0D0D0D" w:themeColor="text1" w:themeTint="F2"/>
                <w:sz w:val="28"/>
                <w:szCs w:val="28"/>
                <w:lang w:eastAsia="lv-LV"/>
              </w:rPr>
              <w:t>8. Cita informācija</w:t>
            </w:r>
          </w:p>
        </w:tc>
        <w:tc>
          <w:tcPr>
            <w:tcW w:w="7311" w:type="dxa"/>
            <w:gridSpan w:val="7"/>
            <w:hideMark/>
          </w:tcPr>
          <w:p w14:paraId="50BCC982" w14:textId="264D585B" w:rsidR="008027A1" w:rsidRPr="00B52256" w:rsidRDefault="002D24B6" w:rsidP="00B6303F">
            <w:pPr>
              <w:jc w:val="both"/>
              <w:rPr>
                <w:rFonts w:ascii="Times New Roman" w:eastAsia="Times New Roman" w:hAnsi="Times New Roman" w:cs="Times New Roman"/>
                <w:iCs/>
                <w:sz w:val="28"/>
                <w:szCs w:val="28"/>
                <w:lang w:eastAsia="lv-LV"/>
              </w:rPr>
            </w:pPr>
            <w:r w:rsidRPr="00E310A1">
              <w:rPr>
                <w:rFonts w:ascii="Times New Roman" w:eastAsia="Times New Roman" w:hAnsi="Times New Roman" w:cs="Times New Roman"/>
                <w:sz w:val="28"/>
                <w:szCs w:val="28"/>
                <w:lang w:eastAsia="lv-LV"/>
              </w:rPr>
              <w:t xml:space="preserve"> Nav</w:t>
            </w:r>
            <w:r w:rsidR="0063759D">
              <w:rPr>
                <w:rFonts w:ascii="Times New Roman" w:eastAsia="Times New Roman" w:hAnsi="Times New Roman" w:cs="Times New Roman"/>
                <w:sz w:val="28"/>
                <w:szCs w:val="28"/>
                <w:lang w:eastAsia="lv-LV"/>
              </w:rPr>
              <w:t>.</w:t>
            </w:r>
          </w:p>
        </w:tc>
      </w:tr>
    </w:tbl>
    <w:p w14:paraId="7F4181E0" w14:textId="77777777" w:rsidR="00DA06D8" w:rsidRPr="00B52256" w:rsidRDefault="00DA06D8" w:rsidP="00BA4EF1">
      <w:pPr>
        <w:shd w:val="clear" w:color="auto" w:fill="FFFFFF"/>
        <w:spacing w:after="0" w:line="240" w:lineRule="auto"/>
        <w:rPr>
          <w:rFonts w:ascii="Times New Roman" w:eastAsia="Times New Roman" w:hAnsi="Times New Roman" w:cs="Times New Roman"/>
          <w:sz w:val="28"/>
          <w:szCs w:val="28"/>
          <w:lang w:eastAsia="lv-LV"/>
        </w:rPr>
      </w:pPr>
    </w:p>
    <w:tbl>
      <w:tblPr>
        <w:tblW w:w="514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743"/>
        <w:gridCol w:w="2737"/>
        <w:gridCol w:w="5829"/>
      </w:tblGrid>
      <w:tr w:rsidR="00E93523" w:rsidRPr="00BA4EF1" w14:paraId="6C7DDBA5" w14:textId="77777777" w:rsidTr="00676AB9">
        <w:trPr>
          <w:tblCellSpacing w:w="20" w:type="dxa"/>
          <w:jc w:val="center"/>
        </w:trPr>
        <w:tc>
          <w:tcPr>
            <w:tcW w:w="4957" w:type="pct"/>
            <w:gridSpan w:val="3"/>
            <w:vAlign w:val="center"/>
            <w:hideMark/>
          </w:tcPr>
          <w:p w14:paraId="0F207D91" w14:textId="77777777" w:rsidR="00E93523" w:rsidRPr="00B52256" w:rsidRDefault="00E93523" w:rsidP="00B6303F">
            <w:pPr>
              <w:spacing w:after="0" w:line="240" w:lineRule="auto"/>
              <w:ind w:firstLine="301"/>
              <w:jc w:val="center"/>
              <w:rPr>
                <w:rFonts w:ascii="Times New Roman" w:eastAsia="Times New Roman" w:hAnsi="Times New Roman" w:cs="Times New Roman"/>
                <w:b/>
                <w:bCs/>
                <w:color w:val="000000" w:themeColor="text1"/>
                <w:sz w:val="28"/>
                <w:szCs w:val="28"/>
                <w:lang w:eastAsia="lv-LV"/>
              </w:rPr>
            </w:pPr>
            <w:r w:rsidRPr="00B52256">
              <w:rPr>
                <w:rFonts w:ascii="Times New Roman" w:eastAsia="Times New Roman" w:hAnsi="Times New Roman" w:cs="Times New Roman"/>
                <w:b/>
                <w:bCs/>
                <w:color w:val="000000" w:themeColor="text1"/>
                <w:sz w:val="28"/>
                <w:szCs w:val="28"/>
                <w:lang w:eastAsia="lv-LV"/>
              </w:rPr>
              <w:t>IV. Tiesību akta projekta ietekme uz spēkā esošo tiesību normu sistēmu</w:t>
            </w:r>
          </w:p>
        </w:tc>
      </w:tr>
      <w:tr w:rsidR="006702BA" w:rsidRPr="00BA4EF1" w14:paraId="0E141717" w14:textId="6E4F7BEA" w:rsidTr="00676AB9">
        <w:trPr>
          <w:tblCellSpacing w:w="20" w:type="dxa"/>
          <w:jc w:val="center"/>
        </w:trPr>
        <w:tc>
          <w:tcPr>
            <w:tcW w:w="370" w:type="pct"/>
            <w:tcBorders>
              <w:right w:val="outset" w:sz="6" w:space="0" w:color="auto"/>
            </w:tcBorders>
          </w:tcPr>
          <w:p w14:paraId="33603D15" w14:textId="7E39AB37" w:rsidR="006702BA" w:rsidRPr="00B52256" w:rsidRDefault="006702BA" w:rsidP="006702BA">
            <w:pPr>
              <w:spacing w:after="0" w:line="240" w:lineRule="auto"/>
              <w:ind w:firstLine="300"/>
              <w:jc w:val="both"/>
              <w:rPr>
                <w:rFonts w:ascii="Times New Roman" w:eastAsia="Times New Roman" w:hAnsi="Times New Roman" w:cs="Times New Roman"/>
                <w:bCs/>
                <w:color w:val="000000" w:themeColor="text1"/>
                <w:sz w:val="28"/>
                <w:szCs w:val="28"/>
                <w:lang w:eastAsia="lv-LV"/>
              </w:rPr>
            </w:pPr>
            <w:r w:rsidRPr="00B52256">
              <w:rPr>
                <w:rFonts w:ascii="Times New Roman" w:eastAsia="Times New Roman" w:hAnsi="Times New Roman" w:cs="Times New Roman"/>
                <w:sz w:val="28"/>
                <w:szCs w:val="28"/>
                <w:lang w:eastAsia="lv-LV"/>
              </w:rPr>
              <w:t>1.</w:t>
            </w:r>
          </w:p>
        </w:tc>
        <w:tc>
          <w:tcPr>
            <w:tcW w:w="1461" w:type="pct"/>
            <w:tcBorders>
              <w:left w:val="outset" w:sz="6" w:space="0" w:color="auto"/>
              <w:right w:val="outset" w:sz="6" w:space="0" w:color="auto"/>
            </w:tcBorders>
            <w:vAlign w:val="center"/>
          </w:tcPr>
          <w:p w14:paraId="61A70D76" w14:textId="4E0ADACE" w:rsidR="006702BA" w:rsidRPr="006702BA" w:rsidRDefault="006702BA" w:rsidP="006702BA">
            <w:pPr>
              <w:spacing w:after="0" w:line="240" w:lineRule="auto"/>
              <w:jc w:val="both"/>
              <w:rPr>
                <w:rFonts w:ascii="Times New Roman" w:eastAsia="Times New Roman" w:hAnsi="Times New Roman" w:cs="Times New Roman"/>
                <w:sz w:val="28"/>
                <w:szCs w:val="28"/>
                <w:lang w:eastAsia="lv-LV"/>
              </w:rPr>
            </w:pPr>
            <w:r w:rsidRPr="006702BA">
              <w:rPr>
                <w:rFonts w:ascii="Times New Roman" w:eastAsia="Times New Roman" w:hAnsi="Times New Roman" w:cs="Times New Roman"/>
                <w:sz w:val="28"/>
                <w:szCs w:val="28"/>
                <w:lang w:eastAsia="lv-LV"/>
              </w:rPr>
              <w:t>Saistītie tiesību aktu projekti</w:t>
            </w:r>
          </w:p>
        </w:tc>
        <w:tc>
          <w:tcPr>
            <w:tcW w:w="3083" w:type="pct"/>
            <w:tcBorders>
              <w:left w:val="outset" w:sz="6" w:space="0" w:color="auto"/>
            </w:tcBorders>
            <w:vAlign w:val="center"/>
          </w:tcPr>
          <w:p w14:paraId="7A51ABC0" w14:textId="1A3A1BD8" w:rsidR="006702BA" w:rsidRPr="00860FE3" w:rsidRDefault="0063759D" w:rsidP="00860FE3">
            <w:pPr>
              <w:widowControl w:val="0"/>
              <w:jc w:val="both"/>
              <w:rPr>
                <w:rFonts w:ascii="Times New Roman" w:hAnsi="Times New Roman" w:cs="Times New Roman"/>
                <w:sz w:val="28"/>
                <w:szCs w:val="28"/>
                <w:shd w:val="clear" w:color="auto" w:fill="FFFFFF"/>
              </w:rPr>
            </w:pPr>
            <w:r w:rsidRPr="00860FE3">
              <w:rPr>
                <w:rFonts w:ascii="Times New Roman" w:hAnsi="Times New Roman" w:cs="Times New Roman"/>
                <w:sz w:val="28"/>
                <w:szCs w:val="28"/>
                <w:shd w:val="clear" w:color="auto" w:fill="FFFFFF"/>
              </w:rPr>
              <w:t>P</w:t>
            </w:r>
            <w:r w:rsidR="00E268FD" w:rsidRPr="00860FE3">
              <w:rPr>
                <w:rFonts w:ascii="Times New Roman" w:hAnsi="Times New Roman" w:cs="Times New Roman"/>
                <w:sz w:val="28"/>
                <w:szCs w:val="28"/>
              </w:rPr>
              <w:t>rogrammas īstenošanas noteikum</w:t>
            </w:r>
            <w:r w:rsidRPr="00860FE3">
              <w:rPr>
                <w:rFonts w:ascii="Times New Roman" w:hAnsi="Times New Roman" w:cs="Times New Roman"/>
                <w:sz w:val="28"/>
                <w:szCs w:val="28"/>
              </w:rPr>
              <w:t>i</w:t>
            </w:r>
            <w:r w:rsidR="00E268FD" w:rsidRPr="00860FE3">
              <w:rPr>
                <w:rFonts w:ascii="Times New Roman" w:hAnsi="Times New Roman" w:cs="Times New Roman"/>
                <w:sz w:val="28"/>
                <w:szCs w:val="28"/>
              </w:rPr>
              <w:t xml:space="preserve"> „</w:t>
            </w:r>
            <w:r w:rsidR="00E268FD" w:rsidRPr="00860FE3">
              <w:rPr>
                <w:rFonts w:ascii="Times New Roman" w:hAnsi="Times New Roman" w:cs="Times New Roman"/>
                <w:sz w:val="28"/>
                <w:szCs w:val="28"/>
                <w:shd w:val="clear" w:color="auto" w:fill="FFFFFF"/>
              </w:rPr>
              <w:t xml:space="preserve">Eiropas Ekonomikas zonas finanšu instrumenta 2014. – 2021.gada perioda programmas </w:t>
            </w:r>
            <w:r w:rsidR="00E268FD" w:rsidRPr="00860FE3">
              <w:rPr>
                <w:rFonts w:ascii="Times New Roman" w:hAnsi="Times New Roman" w:cs="Times New Roman"/>
                <w:sz w:val="28"/>
                <w:szCs w:val="28"/>
              </w:rPr>
              <w:t>„</w:t>
            </w:r>
            <w:r w:rsidR="00E268FD" w:rsidRPr="00860FE3">
              <w:rPr>
                <w:rFonts w:ascii="Times New Roman" w:hAnsi="Times New Roman" w:cs="Times New Roman"/>
                <w:sz w:val="28"/>
                <w:szCs w:val="28"/>
                <w:shd w:val="clear" w:color="auto" w:fill="FFFFFF"/>
              </w:rPr>
              <w:t>Vietējā attīstība, nabadzības mazināšana un kultūras sadarbība” īstenošanas noteikumi”</w:t>
            </w:r>
            <w:r w:rsidR="0016544B" w:rsidRPr="00860FE3">
              <w:rPr>
                <w:rFonts w:ascii="Times New Roman" w:hAnsi="Times New Roman" w:cs="Times New Roman"/>
                <w:sz w:val="28"/>
                <w:szCs w:val="28"/>
                <w:shd w:val="clear" w:color="auto" w:fill="FFFFFF"/>
              </w:rPr>
              <w:t xml:space="preserve"> (VSS-505, prot.Nr. 25; 29.§)</w:t>
            </w:r>
            <w:r w:rsidR="00860FE3" w:rsidRPr="00860FE3">
              <w:rPr>
                <w:rFonts w:ascii="Times New Roman" w:hAnsi="Times New Roman" w:cs="Times New Roman"/>
                <w:sz w:val="28"/>
                <w:szCs w:val="28"/>
                <w:shd w:val="clear" w:color="auto" w:fill="FFFFFF"/>
              </w:rPr>
              <w:t>, kas no</w:t>
            </w:r>
            <w:r w:rsidR="00860FE3">
              <w:rPr>
                <w:rFonts w:ascii="Times New Roman" w:hAnsi="Times New Roman" w:cs="Times New Roman"/>
                <w:sz w:val="28"/>
                <w:szCs w:val="28"/>
                <w:shd w:val="clear" w:color="auto" w:fill="FFFFFF"/>
              </w:rPr>
              <w:t>teiks</w:t>
            </w:r>
            <w:r w:rsidR="00860FE3" w:rsidRPr="00860FE3">
              <w:rPr>
                <w:rFonts w:ascii="Times New Roman" w:hAnsi="Times New Roman" w:cs="Times New Roman"/>
                <w:sz w:val="28"/>
                <w:szCs w:val="28"/>
                <w:shd w:val="clear" w:color="auto" w:fill="FFFFFF"/>
              </w:rPr>
              <w:t xml:space="preserve"> programmas </w:t>
            </w:r>
            <w:r w:rsidR="00860FE3" w:rsidRPr="00490F6D">
              <w:rPr>
                <w:rFonts w:ascii="Times New Roman" w:hAnsi="Times New Roman" w:cs="Times New Roman"/>
                <w:sz w:val="28"/>
                <w:szCs w:val="28"/>
              </w:rPr>
              <w:t>mērķi, pieejamo finansējumu, sasniedzamos rezultātus un apsaimniekotāju; programmas partneri, neliela apjoma grantu shēmas apsaimniekotāju un to pienākumus; iepriekš noteiktos projektus, to iesniedzējus un partnerus; iepriekš noteikto projektu atbalstāmās darbības; iepriekš noteikto projektu izmaksu attiecināmības nosacījumus; projekta līguma grozījumu veikšanas kārtību un projekta līguma vienpusēja uzteikuma nosacījumus iepriekš noteiktajiem projektiem; divpusējās sadarbības fonda aktivitāšu ieviešanas kārtību; komercdarbības atbalsta kontroles nosacījumus.</w:t>
            </w:r>
          </w:p>
        </w:tc>
      </w:tr>
      <w:tr w:rsidR="006702BA" w:rsidRPr="00BA4EF1" w14:paraId="0F54115F" w14:textId="5A67347A" w:rsidTr="00676AB9">
        <w:trPr>
          <w:tblCellSpacing w:w="20" w:type="dxa"/>
          <w:jc w:val="center"/>
        </w:trPr>
        <w:tc>
          <w:tcPr>
            <w:tcW w:w="370" w:type="pct"/>
            <w:tcBorders>
              <w:right w:val="outset" w:sz="6" w:space="0" w:color="auto"/>
            </w:tcBorders>
          </w:tcPr>
          <w:p w14:paraId="275F5531" w14:textId="056A697A" w:rsidR="006702BA" w:rsidRPr="00B52256" w:rsidRDefault="006702BA" w:rsidP="006702BA">
            <w:pPr>
              <w:spacing w:after="0" w:line="240" w:lineRule="auto"/>
              <w:ind w:firstLine="300"/>
              <w:jc w:val="both"/>
              <w:rPr>
                <w:rFonts w:ascii="Times New Roman" w:hAnsi="Times New Roman" w:cs="Times New Roman"/>
                <w:sz w:val="28"/>
                <w:szCs w:val="28"/>
                <w:shd w:val="clear" w:color="auto" w:fill="FFFFFF"/>
              </w:rPr>
            </w:pPr>
            <w:r w:rsidRPr="00B52256">
              <w:rPr>
                <w:rFonts w:ascii="Times New Roman" w:eastAsia="Times New Roman" w:hAnsi="Times New Roman" w:cs="Times New Roman"/>
                <w:sz w:val="28"/>
                <w:szCs w:val="28"/>
                <w:lang w:eastAsia="lv-LV"/>
              </w:rPr>
              <w:t>2.</w:t>
            </w:r>
          </w:p>
        </w:tc>
        <w:tc>
          <w:tcPr>
            <w:tcW w:w="1461" w:type="pct"/>
            <w:tcBorders>
              <w:left w:val="outset" w:sz="6" w:space="0" w:color="auto"/>
              <w:right w:val="outset" w:sz="6" w:space="0" w:color="auto"/>
            </w:tcBorders>
            <w:vAlign w:val="center"/>
          </w:tcPr>
          <w:p w14:paraId="066A0653" w14:textId="00E0A2EB" w:rsidR="006702BA" w:rsidRPr="006702BA" w:rsidRDefault="006702BA" w:rsidP="006702BA">
            <w:pPr>
              <w:spacing w:after="0" w:line="240" w:lineRule="auto"/>
              <w:jc w:val="both"/>
              <w:rPr>
                <w:rFonts w:ascii="Times New Roman" w:eastAsia="Times New Roman" w:hAnsi="Times New Roman" w:cs="Times New Roman"/>
                <w:sz w:val="28"/>
                <w:szCs w:val="28"/>
                <w:lang w:eastAsia="lv-LV"/>
              </w:rPr>
            </w:pPr>
            <w:r w:rsidRPr="006702BA">
              <w:rPr>
                <w:rFonts w:ascii="Times New Roman" w:eastAsia="Times New Roman" w:hAnsi="Times New Roman" w:cs="Times New Roman"/>
                <w:sz w:val="28"/>
                <w:szCs w:val="28"/>
                <w:lang w:eastAsia="lv-LV"/>
              </w:rPr>
              <w:t>Atbildīgā institūcija</w:t>
            </w:r>
          </w:p>
        </w:tc>
        <w:tc>
          <w:tcPr>
            <w:tcW w:w="3083" w:type="pct"/>
            <w:tcBorders>
              <w:left w:val="outset" w:sz="6" w:space="0" w:color="auto"/>
            </w:tcBorders>
            <w:vAlign w:val="center"/>
          </w:tcPr>
          <w:p w14:paraId="44552089" w14:textId="45B56B8B" w:rsidR="006702BA" w:rsidRPr="00B52256" w:rsidRDefault="009B3E3E" w:rsidP="00C618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Programmas apsaimniekotājs</w:t>
            </w:r>
          </w:p>
        </w:tc>
      </w:tr>
      <w:tr w:rsidR="006702BA" w:rsidRPr="00BA4EF1" w14:paraId="3A493B80" w14:textId="3612C408" w:rsidTr="00676AB9">
        <w:trPr>
          <w:tblCellSpacing w:w="20" w:type="dxa"/>
          <w:jc w:val="center"/>
        </w:trPr>
        <w:tc>
          <w:tcPr>
            <w:tcW w:w="370" w:type="pct"/>
            <w:tcBorders>
              <w:right w:val="outset" w:sz="6" w:space="0" w:color="auto"/>
            </w:tcBorders>
          </w:tcPr>
          <w:p w14:paraId="272B1173" w14:textId="5E5D109C" w:rsidR="006702BA" w:rsidRPr="00B52256" w:rsidRDefault="006702BA" w:rsidP="006702BA">
            <w:pPr>
              <w:spacing w:after="0" w:line="240" w:lineRule="auto"/>
              <w:ind w:firstLine="300"/>
              <w:jc w:val="both"/>
              <w:rPr>
                <w:rFonts w:ascii="Times New Roman" w:hAnsi="Times New Roman" w:cs="Times New Roman"/>
                <w:sz w:val="28"/>
                <w:szCs w:val="28"/>
                <w:shd w:val="clear" w:color="auto" w:fill="FFFFFF"/>
              </w:rPr>
            </w:pPr>
            <w:r w:rsidRPr="00AD3391">
              <w:rPr>
                <w:rFonts w:ascii="Times New Roman" w:eastAsia="Times New Roman" w:hAnsi="Times New Roman" w:cs="Times New Roman"/>
                <w:sz w:val="28"/>
                <w:szCs w:val="28"/>
                <w:lang w:eastAsia="lv-LV"/>
              </w:rPr>
              <w:t>3.</w:t>
            </w:r>
          </w:p>
        </w:tc>
        <w:tc>
          <w:tcPr>
            <w:tcW w:w="1461" w:type="pct"/>
            <w:tcBorders>
              <w:left w:val="outset" w:sz="6" w:space="0" w:color="auto"/>
              <w:right w:val="outset" w:sz="6" w:space="0" w:color="auto"/>
            </w:tcBorders>
            <w:vAlign w:val="center"/>
          </w:tcPr>
          <w:p w14:paraId="46BA0DB5" w14:textId="19823830" w:rsidR="006702BA" w:rsidRPr="006702BA" w:rsidRDefault="006702BA" w:rsidP="006702BA">
            <w:pPr>
              <w:jc w:val="both"/>
              <w:rPr>
                <w:rFonts w:ascii="Times New Roman" w:eastAsia="Times New Roman" w:hAnsi="Times New Roman" w:cs="Times New Roman"/>
                <w:sz w:val="28"/>
                <w:szCs w:val="28"/>
                <w:lang w:eastAsia="lv-LV"/>
              </w:rPr>
            </w:pPr>
            <w:r w:rsidRPr="006702BA">
              <w:rPr>
                <w:rFonts w:ascii="Times New Roman" w:eastAsia="Times New Roman" w:hAnsi="Times New Roman" w:cs="Times New Roman"/>
                <w:sz w:val="28"/>
                <w:szCs w:val="28"/>
                <w:lang w:eastAsia="lv-LV"/>
              </w:rPr>
              <w:t>Cita informācija</w:t>
            </w:r>
          </w:p>
        </w:tc>
        <w:tc>
          <w:tcPr>
            <w:tcW w:w="3083" w:type="pct"/>
            <w:tcBorders>
              <w:left w:val="outset" w:sz="6" w:space="0" w:color="auto"/>
            </w:tcBorders>
            <w:vAlign w:val="center"/>
          </w:tcPr>
          <w:p w14:paraId="08F728C6" w14:textId="3137E3C6" w:rsidR="006702BA" w:rsidRPr="00B52256" w:rsidRDefault="006702BA" w:rsidP="006702B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Nav</w:t>
            </w:r>
          </w:p>
        </w:tc>
      </w:tr>
    </w:tbl>
    <w:p w14:paraId="5F40F475" w14:textId="77777777" w:rsidR="00E93523" w:rsidRPr="00B52256" w:rsidRDefault="00E93523" w:rsidP="00B6303F">
      <w:pPr>
        <w:shd w:val="clear" w:color="auto" w:fill="FFFFFF"/>
        <w:spacing w:after="0" w:line="240" w:lineRule="auto"/>
        <w:rPr>
          <w:rFonts w:ascii="Times New Roman" w:eastAsia="Times New Roman" w:hAnsi="Times New Roman" w:cs="Times New Roman"/>
          <w:sz w:val="28"/>
          <w:szCs w:val="28"/>
          <w:lang w:eastAsia="lv-LV"/>
        </w:rPr>
      </w:pPr>
    </w:p>
    <w:tbl>
      <w:tblPr>
        <w:tblW w:w="5083" w:type="pct"/>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637"/>
        <w:gridCol w:w="2551"/>
        <w:gridCol w:w="6017"/>
      </w:tblGrid>
      <w:tr w:rsidR="00152C21" w:rsidRPr="00BA4EF1" w14:paraId="444E730F" w14:textId="77777777" w:rsidTr="009773F0">
        <w:trPr>
          <w:tblCellSpacing w:w="20" w:type="dxa"/>
        </w:trPr>
        <w:tc>
          <w:tcPr>
            <w:tcW w:w="4957" w:type="pct"/>
            <w:gridSpan w:val="3"/>
            <w:vAlign w:val="center"/>
            <w:hideMark/>
          </w:tcPr>
          <w:p w14:paraId="59EF16E7" w14:textId="77777777" w:rsidR="00894C55" w:rsidRPr="00B52256" w:rsidRDefault="00B32BBE" w:rsidP="00B52256">
            <w:pPr>
              <w:spacing w:after="0" w:line="240" w:lineRule="auto"/>
              <w:jc w:val="center"/>
              <w:rPr>
                <w:rFonts w:ascii="Times New Roman" w:eastAsia="Times New Roman" w:hAnsi="Times New Roman" w:cs="Times New Roman"/>
                <w:b/>
                <w:bCs/>
                <w:sz w:val="28"/>
                <w:szCs w:val="28"/>
                <w:lang w:eastAsia="lv-LV"/>
              </w:rPr>
            </w:pPr>
            <w:r w:rsidRPr="00B52256">
              <w:rPr>
                <w:rFonts w:ascii="Times New Roman" w:eastAsia="Times New Roman" w:hAnsi="Times New Roman" w:cs="Times New Roman"/>
                <w:b/>
                <w:bCs/>
                <w:sz w:val="28"/>
                <w:szCs w:val="28"/>
                <w:lang w:eastAsia="lv-LV"/>
              </w:rPr>
              <w:t>V.</w:t>
            </w:r>
            <w:r w:rsidR="003E0791" w:rsidRPr="00B52256">
              <w:rPr>
                <w:rFonts w:ascii="Times New Roman" w:eastAsia="Times New Roman" w:hAnsi="Times New Roman" w:cs="Times New Roman"/>
                <w:b/>
                <w:bCs/>
                <w:sz w:val="28"/>
                <w:szCs w:val="28"/>
                <w:lang w:eastAsia="lv-LV"/>
              </w:rPr>
              <w:t> </w:t>
            </w:r>
            <w:r w:rsidRPr="00B52256">
              <w:rPr>
                <w:rFonts w:ascii="Times New Roman" w:eastAsia="Times New Roman" w:hAnsi="Times New Roman" w:cs="Times New Roman"/>
                <w:b/>
                <w:bCs/>
                <w:sz w:val="28"/>
                <w:szCs w:val="28"/>
                <w:lang w:eastAsia="lv-LV"/>
              </w:rPr>
              <w:t>Tiesību akta projekta atbilstība Latvijas Republikas starptautiskajām saistībām</w:t>
            </w:r>
          </w:p>
        </w:tc>
      </w:tr>
      <w:tr w:rsidR="00152C21" w:rsidRPr="00BA4EF1" w14:paraId="506536CC" w14:textId="77777777" w:rsidTr="009773F0">
        <w:trPr>
          <w:tblCellSpacing w:w="20" w:type="dxa"/>
        </w:trPr>
        <w:tc>
          <w:tcPr>
            <w:tcW w:w="316" w:type="pct"/>
            <w:hideMark/>
          </w:tcPr>
          <w:p w14:paraId="10A0E9CF" w14:textId="77777777" w:rsidR="00894C55" w:rsidRPr="00B52256" w:rsidRDefault="00B32BBE"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1.</w:t>
            </w:r>
          </w:p>
        </w:tc>
        <w:tc>
          <w:tcPr>
            <w:tcW w:w="1376" w:type="pct"/>
            <w:hideMark/>
          </w:tcPr>
          <w:p w14:paraId="08365822" w14:textId="77777777" w:rsidR="00894C55" w:rsidRPr="00B52256" w:rsidRDefault="00B32BBE" w:rsidP="00B6303F">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Saistības pret Eiropas Savienību</w:t>
            </w:r>
          </w:p>
        </w:tc>
        <w:tc>
          <w:tcPr>
            <w:tcW w:w="3221" w:type="pct"/>
            <w:hideMark/>
          </w:tcPr>
          <w:p w14:paraId="27DFD117" w14:textId="6D82B5C3" w:rsidR="00894C55" w:rsidRPr="00B52256" w:rsidRDefault="003F230E" w:rsidP="0001319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w:t>
            </w:r>
            <w:r w:rsidRPr="003F230E">
              <w:rPr>
                <w:rFonts w:ascii="Times New Roman" w:eastAsia="Times New Roman" w:hAnsi="Times New Roman" w:cs="Times New Roman"/>
                <w:sz w:val="28"/>
                <w:szCs w:val="28"/>
                <w:lang w:eastAsia="lv-LV"/>
              </w:rPr>
              <w:t>rojekts</w:t>
            </w:r>
            <w:r w:rsidR="0013617A" w:rsidRPr="00B52256">
              <w:rPr>
                <w:rFonts w:ascii="Times New Roman" w:eastAsia="Times New Roman" w:hAnsi="Times New Roman" w:cs="Times New Roman"/>
                <w:sz w:val="28"/>
                <w:szCs w:val="28"/>
                <w:lang w:eastAsia="lv-LV"/>
              </w:rPr>
              <w:t xml:space="preserve"> šo jomu neskar</w:t>
            </w:r>
            <w:r w:rsidR="0032176C" w:rsidRPr="00B52256">
              <w:rPr>
                <w:rFonts w:ascii="Times New Roman" w:eastAsia="Times New Roman" w:hAnsi="Times New Roman" w:cs="Times New Roman"/>
                <w:sz w:val="28"/>
                <w:szCs w:val="28"/>
                <w:lang w:eastAsia="lv-LV"/>
              </w:rPr>
              <w:t>.</w:t>
            </w:r>
          </w:p>
        </w:tc>
      </w:tr>
      <w:tr w:rsidR="00152C21" w:rsidRPr="00BA4EF1" w14:paraId="182032B7" w14:textId="77777777" w:rsidTr="009773F0">
        <w:trPr>
          <w:tblCellSpacing w:w="20" w:type="dxa"/>
        </w:trPr>
        <w:tc>
          <w:tcPr>
            <w:tcW w:w="316" w:type="pct"/>
            <w:hideMark/>
          </w:tcPr>
          <w:p w14:paraId="55F408F9" w14:textId="77777777" w:rsidR="00894C55" w:rsidRPr="00B52256" w:rsidRDefault="00B32BBE"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2.</w:t>
            </w:r>
          </w:p>
        </w:tc>
        <w:tc>
          <w:tcPr>
            <w:tcW w:w="1376" w:type="pct"/>
            <w:hideMark/>
          </w:tcPr>
          <w:p w14:paraId="0E0922A2" w14:textId="77777777" w:rsidR="00894C55" w:rsidRPr="00B52256" w:rsidRDefault="00B32BBE" w:rsidP="00B6303F">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Citas starptautiskās saistības</w:t>
            </w:r>
          </w:p>
        </w:tc>
        <w:tc>
          <w:tcPr>
            <w:tcW w:w="3221" w:type="pct"/>
            <w:hideMark/>
          </w:tcPr>
          <w:p w14:paraId="0F826317" w14:textId="7CB7A970" w:rsidR="00AB4FC9" w:rsidRPr="00B52256" w:rsidRDefault="003F230E" w:rsidP="0001319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w:t>
            </w:r>
            <w:r w:rsidRPr="003F230E">
              <w:rPr>
                <w:rFonts w:ascii="Times New Roman" w:eastAsia="Times New Roman" w:hAnsi="Times New Roman" w:cs="Times New Roman"/>
                <w:sz w:val="28"/>
                <w:szCs w:val="28"/>
                <w:lang w:eastAsia="lv-LV"/>
              </w:rPr>
              <w:t>rojekts</w:t>
            </w:r>
            <w:r w:rsidR="00AB4FC9" w:rsidRPr="00B52256">
              <w:rPr>
                <w:rFonts w:ascii="Times New Roman" w:eastAsia="Times New Roman" w:hAnsi="Times New Roman" w:cs="Times New Roman"/>
                <w:sz w:val="28"/>
                <w:szCs w:val="28"/>
                <w:lang w:eastAsia="lv-LV"/>
              </w:rPr>
              <w:t xml:space="preserve"> izstrādāts, lai nodrošinātu saprašanās memoranda B pielikumā noteiktā uzdevuma izpildi. </w:t>
            </w:r>
          </w:p>
        </w:tc>
      </w:tr>
      <w:tr w:rsidR="00152C21" w:rsidRPr="00BA4EF1" w14:paraId="4ABB3357" w14:textId="77777777" w:rsidTr="009773F0">
        <w:trPr>
          <w:tblCellSpacing w:w="20" w:type="dxa"/>
        </w:trPr>
        <w:tc>
          <w:tcPr>
            <w:tcW w:w="316" w:type="pct"/>
            <w:hideMark/>
          </w:tcPr>
          <w:p w14:paraId="2646434A" w14:textId="77777777" w:rsidR="00894C55" w:rsidRPr="00AD3391" w:rsidRDefault="00B32BBE" w:rsidP="00B52256">
            <w:pPr>
              <w:spacing w:after="0" w:line="240" w:lineRule="auto"/>
              <w:jc w:val="center"/>
              <w:rPr>
                <w:rFonts w:ascii="Times New Roman" w:eastAsia="Times New Roman" w:hAnsi="Times New Roman" w:cs="Times New Roman"/>
                <w:sz w:val="28"/>
                <w:szCs w:val="28"/>
                <w:lang w:eastAsia="lv-LV"/>
              </w:rPr>
            </w:pPr>
            <w:r w:rsidRPr="00AD3391">
              <w:rPr>
                <w:rFonts w:ascii="Times New Roman" w:eastAsia="Times New Roman" w:hAnsi="Times New Roman" w:cs="Times New Roman"/>
                <w:sz w:val="28"/>
                <w:szCs w:val="28"/>
                <w:lang w:eastAsia="lv-LV"/>
              </w:rPr>
              <w:t>3.</w:t>
            </w:r>
          </w:p>
        </w:tc>
        <w:tc>
          <w:tcPr>
            <w:tcW w:w="1376" w:type="pct"/>
            <w:hideMark/>
          </w:tcPr>
          <w:p w14:paraId="7090392F" w14:textId="77777777" w:rsidR="00894C55" w:rsidRPr="00AD3391" w:rsidRDefault="00B32BBE" w:rsidP="00B6303F">
            <w:pPr>
              <w:spacing w:after="0" w:line="240" w:lineRule="auto"/>
              <w:rPr>
                <w:rFonts w:ascii="Times New Roman" w:eastAsia="Times New Roman" w:hAnsi="Times New Roman" w:cs="Times New Roman"/>
                <w:sz w:val="28"/>
                <w:szCs w:val="28"/>
                <w:lang w:eastAsia="lv-LV"/>
              </w:rPr>
            </w:pPr>
            <w:r w:rsidRPr="00AD3391">
              <w:rPr>
                <w:rFonts w:ascii="Times New Roman" w:eastAsia="Times New Roman" w:hAnsi="Times New Roman" w:cs="Times New Roman"/>
                <w:sz w:val="28"/>
                <w:szCs w:val="28"/>
                <w:lang w:eastAsia="lv-LV"/>
              </w:rPr>
              <w:t>Cita informācija</w:t>
            </w:r>
          </w:p>
        </w:tc>
        <w:tc>
          <w:tcPr>
            <w:tcW w:w="3221" w:type="pct"/>
            <w:hideMark/>
          </w:tcPr>
          <w:p w14:paraId="67EEAEF7" w14:textId="07D57AF4" w:rsidR="00894C55" w:rsidRPr="00AD3391" w:rsidRDefault="00B32BBE" w:rsidP="00B6303F">
            <w:pPr>
              <w:spacing w:after="0" w:line="240" w:lineRule="auto"/>
              <w:jc w:val="both"/>
              <w:rPr>
                <w:rFonts w:ascii="Times New Roman" w:eastAsia="Times New Roman" w:hAnsi="Times New Roman" w:cs="Times New Roman"/>
                <w:sz w:val="28"/>
                <w:szCs w:val="28"/>
                <w:lang w:eastAsia="lv-LV"/>
              </w:rPr>
            </w:pPr>
            <w:r w:rsidRPr="00AD3391">
              <w:rPr>
                <w:rFonts w:ascii="Times New Roman" w:eastAsia="Times New Roman" w:hAnsi="Times New Roman" w:cs="Times New Roman"/>
                <w:sz w:val="28"/>
                <w:szCs w:val="28"/>
                <w:lang w:eastAsia="lv-LV"/>
              </w:rPr>
              <w:t>Nav</w:t>
            </w:r>
          </w:p>
        </w:tc>
      </w:tr>
      <w:tr w:rsidR="00AD3391" w:rsidRPr="007016A9" w14:paraId="485E6882" w14:textId="77777777" w:rsidTr="009773F0">
        <w:trPr>
          <w:tblCellSpacing w:w="20" w:type="dxa"/>
        </w:trPr>
        <w:tc>
          <w:tcPr>
            <w:tcW w:w="316" w:type="pct"/>
          </w:tcPr>
          <w:p w14:paraId="73D614E4" w14:textId="77777777" w:rsidR="00AD3391" w:rsidRPr="00AD3391" w:rsidRDefault="00AD3391" w:rsidP="00BA4EF1">
            <w:pPr>
              <w:spacing w:after="0" w:line="240" w:lineRule="auto"/>
              <w:rPr>
                <w:rFonts w:ascii="Times New Roman" w:eastAsia="Times New Roman" w:hAnsi="Times New Roman" w:cs="Times New Roman"/>
                <w:sz w:val="28"/>
                <w:szCs w:val="28"/>
                <w:lang w:eastAsia="lv-LV"/>
              </w:rPr>
            </w:pPr>
          </w:p>
        </w:tc>
        <w:tc>
          <w:tcPr>
            <w:tcW w:w="1376" w:type="pct"/>
          </w:tcPr>
          <w:p w14:paraId="76EC6D61" w14:textId="77777777" w:rsidR="00AD3391" w:rsidRPr="00AD3391" w:rsidRDefault="00AD3391" w:rsidP="00B6303F">
            <w:pPr>
              <w:spacing w:after="0" w:line="240" w:lineRule="auto"/>
              <w:rPr>
                <w:rFonts w:ascii="Times New Roman" w:eastAsia="Times New Roman" w:hAnsi="Times New Roman" w:cs="Times New Roman"/>
                <w:sz w:val="28"/>
                <w:szCs w:val="28"/>
                <w:lang w:eastAsia="lv-LV"/>
              </w:rPr>
            </w:pPr>
          </w:p>
        </w:tc>
        <w:tc>
          <w:tcPr>
            <w:tcW w:w="3221" w:type="pct"/>
          </w:tcPr>
          <w:p w14:paraId="672D1A7F" w14:textId="77777777" w:rsidR="00AD3391" w:rsidRPr="00AD3391" w:rsidRDefault="00AD3391" w:rsidP="00B6303F">
            <w:pPr>
              <w:spacing w:after="0" w:line="240" w:lineRule="auto"/>
              <w:jc w:val="both"/>
              <w:rPr>
                <w:rFonts w:ascii="Times New Roman" w:eastAsia="Times New Roman" w:hAnsi="Times New Roman" w:cs="Times New Roman"/>
                <w:sz w:val="28"/>
                <w:szCs w:val="28"/>
                <w:lang w:eastAsia="lv-LV"/>
              </w:rPr>
            </w:pPr>
          </w:p>
        </w:tc>
      </w:tr>
      <w:tr w:rsidR="00AD3391" w:rsidRPr="007016A9" w14:paraId="03D67E56" w14:textId="77777777" w:rsidTr="009773F0">
        <w:trPr>
          <w:tblCellSpacing w:w="20" w:type="dxa"/>
        </w:trPr>
        <w:tc>
          <w:tcPr>
            <w:tcW w:w="4957" w:type="pct"/>
            <w:gridSpan w:val="3"/>
          </w:tcPr>
          <w:tbl>
            <w:tblPr>
              <w:tblW w:w="505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2318"/>
              <w:gridCol w:w="2198"/>
              <w:gridCol w:w="2291"/>
              <w:gridCol w:w="2318"/>
            </w:tblGrid>
            <w:tr w:rsidR="00AD3391" w:rsidRPr="00BA4EF1" w14:paraId="217097F3" w14:textId="77777777" w:rsidTr="00B52256">
              <w:trPr>
                <w:tblCellSpacing w:w="20" w:type="dxa"/>
              </w:trPr>
              <w:tc>
                <w:tcPr>
                  <w:tcW w:w="4956" w:type="pct"/>
                  <w:gridSpan w:val="4"/>
                  <w:hideMark/>
                </w:tcPr>
                <w:p w14:paraId="352D2EFE" w14:textId="77777777" w:rsidR="00AD3391" w:rsidRPr="00B52256" w:rsidRDefault="00AD3391" w:rsidP="00B52256">
                  <w:pPr>
                    <w:spacing w:after="0" w:line="240" w:lineRule="auto"/>
                    <w:jc w:val="center"/>
                    <w:rPr>
                      <w:rFonts w:ascii="Times New Roman" w:eastAsia="Times New Roman" w:hAnsi="Times New Roman" w:cs="Times New Roman"/>
                      <w:b/>
                      <w:sz w:val="28"/>
                      <w:szCs w:val="28"/>
                      <w:lang w:eastAsia="lv-LV"/>
                    </w:rPr>
                  </w:pPr>
                  <w:r w:rsidRPr="00B52256">
                    <w:rPr>
                      <w:rFonts w:ascii="Times New Roman" w:eastAsia="Times New Roman" w:hAnsi="Times New Roman" w:cs="Times New Roman"/>
                      <w:b/>
                      <w:sz w:val="28"/>
                      <w:szCs w:val="28"/>
                      <w:lang w:eastAsia="lv-LV"/>
                    </w:rPr>
                    <w:lastRenderedPageBreak/>
                    <w:t>1. tabula</w:t>
                  </w:r>
                  <w:r w:rsidRPr="00B52256">
                    <w:rPr>
                      <w:rFonts w:ascii="Times New Roman" w:eastAsia="Times New Roman" w:hAnsi="Times New Roman" w:cs="Times New Roman"/>
                      <w:b/>
                      <w:sz w:val="28"/>
                      <w:szCs w:val="28"/>
                      <w:lang w:eastAsia="lv-LV"/>
                    </w:rPr>
                    <w:br/>
                    <w:t>Tiesību akta projekta atbilstība ES tiesību aktiem</w:t>
                  </w:r>
                </w:p>
              </w:tc>
            </w:tr>
            <w:tr w:rsidR="00AD3391" w:rsidRPr="00BA4EF1" w14:paraId="6560FF0C" w14:textId="77777777" w:rsidTr="00B52256">
              <w:trPr>
                <w:trHeight w:val="1233"/>
                <w:tblCellSpacing w:w="20" w:type="dxa"/>
              </w:trPr>
              <w:tc>
                <w:tcPr>
                  <w:tcW w:w="1254" w:type="pct"/>
                  <w:hideMark/>
                </w:tcPr>
                <w:p w14:paraId="66DFDE10" w14:textId="6513530F" w:rsidR="00AD3391" w:rsidRPr="00B52256" w:rsidRDefault="00AD3391" w:rsidP="009773F0">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Attiecīgā ES tiesību akta datums, numurs un nosaukums</w:t>
                  </w:r>
                </w:p>
              </w:tc>
              <w:tc>
                <w:tcPr>
                  <w:tcW w:w="3681" w:type="pct"/>
                  <w:gridSpan w:val="3"/>
                  <w:hideMark/>
                </w:tcPr>
                <w:p w14:paraId="3556FE27" w14:textId="7624E045" w:rsidR="00AD3391" w:rsidRPr="00B52256" w:rsidRDefault="00AD3391" w:rsidP="00AD3391">
                  <w:pPr>
                    <w:shd w:val="clear" w:color="auto" w:fill="FFFFFF"/>
                    <w:tabs>
                      <w:tab w:val="left" w:pos="426"/>
                    </w:tabs>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Regula Nr. 1295/2013)</w:t>
                  </w:r>
                  <w:r w:rsidR="009773F0">
                    <w:rPr>
                      <w:rFonts w:ascii="Times New Roman" w:eastAsia="Times New Roman" w:hAnsi="Times New Roman" w:cs="Times New Roman"/>
                      <w:sz w:val="28"/>
                      <w:szCs w:val="28"/>
                      <w:lang w:eastAsia="lv-LV"/>
                    </w:rPr>
                    <w:t>.</w:t>
                  </w:r>
                </w:p>
              </w:tc>
            </w:tr>
            <w:tr w:rsidR="00AD3391" w:rsidRPr="00BA4EF1" w14:paraId="172B9810" w14:textId="77777777" w:rsidTr="00B52256">
              <w:trPr>
                <w:tblCellSpacing w:w="20" w:type="dxa"/>
              </w:trPr>
              <w:tc>
                <w:tcPr>
                  <w:tcW w:w="1254" w:type="pct"/>
                  <w:vAlign w:val="bottom"/>
                  <w:hideMark/>
                </w:tcPr>
                <w:p w14:paraId="55256A3E"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A</w:t>
                  </w:r>
                </w:p>
              </w:tc>
              <w:tc>
                <w:tcPr>
                  <w:tcW w:w="1198" w:type="pct"/>
                  <w:vAlign w:val="bottom"/>
                  <w:hideMark/>
                </w:tcPr>
                <w:p w14:paraId="1769A22B"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B</w:t>
                  </w:r>
                </w:p>
              </w:tc>
              <w:tc>
                <w:tcPr>
                  <w:tcW w:w="1250" w:type="pct"/>
                  <w:vAlign w:val="bottom"/>
                  <w:hideMark/>
                </w:tcPr>
                <w:p w14:paraId="4A7F16B3"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C</w:t>
                  </w:r>
                </w:p>
              </w:tc>
              <w:tc>
                <w:tcPr>
                  <w:tcW w:w="1189" w:type="pct"/>
                  <w:vAlign w:val="bottom"/>
                </w:tcPr>
                <w:p w14:paraId="0896AB05"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D</w:t>
                  </w:r>
                </w:p>
              </w:tc>
            </w:tr>
            <w:tr w:rsidR="00AD3391" w:rsidRPr="00BA4EF1" w14:paraId="150517C3" w14:textId="77777777" w:rsidTr="00B52256">
              <w:trPr>
                <w:tblCellSpacing w:w="20" w:type="dxa"/>
              </w:trPr>
              <w:tc>
                <w:tcPr>
                  <w:tcW w:w="1254" w:type="pct"/>
                  <w:hideMark/>
                </w:tcPr>
                <w:p w14:paraId="7A2EA257" w14:textId="3F49542E" w:rsidR="00AD3391" w:rsidRPr="00B52256" w:rsidRDefault="00AD3391" w:rsidP="009773F0">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Attiecīgā ES tiesību akta panta numurs (uzskaitot katru tiesību akta vienību – pantu, daļu, punktu, apakšpunktu)</w:t>
                  </w:r>
                </w:p>
              </w:tc>
              <w:tc>
                <w:tcPr>
                  <w:tcW w:w="1198" w:type="pct"/>
                  <w:hideMark/>
                </w:tcPr>
                <w:p w14:paraId="6A16CED3"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1250" w:type="pct"/>
                  <w:hideMark/>
                </w:tcPr>
                <w:p w14:paraId="3859F58E" w14:textId="7B2F2EB1" w:rsidR="009773F0"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Informācija par to, vai šīs tabulas A ailē minētās ES tiesību akta vienības tiek pārņemtas vai ieviestas pilnībā vai daļēji.</w:t>
                  </w:r>
                </w:p>
                <w:p w14:paraId="08097229" w14:textId="5C1F2F2A"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Ja attiecīgā ES tiesību akta vienība tiek pārņemta vai ieviesta daļēji, sniedz attiecīgu skaidrojumu, kā arī precīzi norāda, kad un kādā veidā ES tiesību akta vienība tiks pārņemta vai ieviesta pilnībā.</w:t>
                  </w:r>
                  <w:r w:rsidR="009773F0">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Norāda institūciju, kas ir atbildīga par šo saistību izpildi pilnībā</w:t>
                  </w:r>
                </w:p>
              </w:tc>
              <w:tc>
                <w:tcPr>
                  <w:tcW w:w="1189" w:type="pct"/>
                </w:tcPr>
                <w:p w14:paraId="026010FE" w14:textId="336149A2" w:rsidR="009773F0"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Informācija par to, vai šīs tabulas B ailē minētās projekta vienības paredz stingrākas prasības nekā šīs tabulas A ailē minētās ES tiesību akta vienības.</w:t>
                  </w:r>
                </w:p>
                <w:p w14:paraId="6D6D4BE2" w14:textId="36528A7E"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Ja projekts satur stingrākas prasības nekā attiecīgais ES tiesību akts, norāda pamatojumu un samērīgumu.</w:t>
                  </w:r>
                  <w:r w:rsidR="009773F0">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AD3391" w:rsidRPr="00BA4EF1" w14:paraId="14F36AA7" w14:textId="77777777" w:rsidTr="00B52256">
              <w:trPr>
                <w:tblCellSpacing w:w="20" w:type="dxa"/>
              </w:trPr>
              <w:tc>
                <w:tcPr>
                  <w:tcW w:w="1254" w:type="pct"/>
                  <w:hideMark/>
                </w:tcPr>
                <w:p w14:paraId="7F6D54A6"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Regulas Nr. 1295/2013</w:t>
                  </w:r>
                </w:p>
                <w:p w14:paraId="20556914"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2.panta 1.punkts</w:t>
                  </w:r>
                </w:p>
                <w:p w14:paraId="07ACF903"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Vispārēja atsauce</w:t>
                  </w:r>
                </w:p>
              </w:tc>
              <w:tc>
                <w:tcPr>
                  <w:tcW w:w="1198" w:type="pct"/>
                  <w:hideMark/>
                </w:tcPr>
                <w:p w14:paraId="11D9AC47"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hAnsi="Times New Roman" w:cs="Times New Roman"/>
                      <w:bCs/>
                      <w:sz w:val="28"/>
                      <w:szCs w:val="28"/>
                    </w:rPr>
                    <w:t>Noteikumu projekta 17.punkts</w:t>
                  </w:r>
                </w:p>
              </w:tc>
              <w:tc>
                <w:tcPr>
                  <w:tcW w:w="1250" w:type="pct"/>
                  <w:hideMark/>
                </w:tcPr>
                <w:p w14:paraId="66B2DE82"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hAnsi="Times New Roman" w:cs="Times New Roman"/>
                      <w:bCs/>
                      <w:sz w:val="28"/>
                      <w:szCs w:val="28"/>
                    </w:rPr>
                    <w:t>Ieviesta pilnībā</w:t>
                  </w:r>
                </w:p>
              </w:tc>
              <w:tc>
                <w:tcPr>
                  <w:tcW w:w="1189" w:type="pct"/>
                </w:tcPr>
                <w:p w14:paraId="770EFC56"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hAnsi="Times New Roman" w:cs="Times New Roman"/>
                      <w:bCs/>
                      <w:sz w:val="28"/>
                      <w:szCs w:val="28"/>
                    </w:rPr>
                    <w:t>Neparedz stingrākas prasības</w:t>
                  </w:r>
                </w:p>
              </w:tc>
            </w:tr>
          </w:tbl>
          <w:p w14:paraId="50B49E40" w14:textId="77777777" w:rsidR="00AD3391" w:rsidRDefault="00AD3391" w:rsidP="00B6303F">
            <w:pPr>
              <w:spacing w:after="0" w:line="240" w:lineRule="auto"/>
              <w:jc w:val="both"/>
              <w:rPr>
                <w:rFonts w:ascii="Times New Roman" w:eastAsia="Times New Roman" w:hAnsi="Times New Roman" w:cs="Times New Roman"/>
                <w:sz w:val="28"/>
                <w:szCs w:val="28"/>
                <w:lang w:eastAsia="lv-LV"/>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2852"/>
              <w:gridCol w:w="2283"/>
              <w:gridCol w:w="3896"/>
            </w:tblGrid>
            <w:tr w:rsidR="00AD3391" w:rsidRPr="00BA4EF1" w14:paraId="3255498E" w14:textId="77777777" w:rsidTr="009773F0">
              <w:trPr>
                <w:trHeight w:val="1253"/>
                <w:tblCellSpacing w:w="20" w:type="dxa"/>
                <w:jc w:val="center"/>
              </w:trPr>
              <w:tc>
                <w:tcPr>
                  <w:tcW w:w="4979" w:type="pct"/>
                  <w:gridSpan w:val="3"/>
                  <w:vAlign w:val="center"/>
                  <w:hideMark/>
                </w:tcPr>
                <w:p w14:paraId="22C2548F" w14:textId="37432B89" w:rsidR="009773F0" w:rsidRDefault="00AD3391" w:rsidP="00B52256">
                  <w:pPr>
                    <w:spacing w:after="0" w:line="240" w:lineRule="auto"/>
                    <w:jc w:val="center"/>
                    <w:rPr>
                      <w:rFonts w:ascii="Times New Roman" w:eastAsia="Times New Roman" w:hAnsi="Times New Roman" w:cs="Times New Roman"/>
                      <w:b/>
                      <w:bCs/>
                      <w:sz w:val="28"/>
                      <w:szCs w:val="28"/>
                      <w:lang w:eastAsia="lv-LV"/>
                    </w:rPr>
                  </w:pPr>
                  <w:r w:rsidRPr="00B52256">
                    <w:rPr>
                      <w:rFonts w:ascii="Times New Roman" w:eastAsia="Times New Roman" w:hAnsi="Times New Roman" w:cs="Times New Roman"/>
                      <w:b/>
                      <w:bCs/>
                      <w:sz w:val="28"/>
                      <w:szCs w:val="28"/>
                      <w:lang w:eastAsia="lv-LV"/>
                    </w:rPr>
                    <w:lastRenderedPageBreak/>
                    <w:t>2.tabula</w:t>
                  </w:r>
                </w:p>
                <w:p w14:paraId="3F015CE3" w14:textId="7B066841" w:rsidR="00AD3391" w:rsidRPr="00B52256" w:rsidRDefault="00AD3391" w:rsidP="00676AB9">
                  <w:pPr>
                    <w:spacing w:after="0" w:line="240" w:lineRule="auto"/>
                    <w:ind w:left="-30"/>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b/>
                      <w:bCs/>
                      <w:sz w:val="28"/>
                      <w:szCs w:val="28"/>
                      <w:lang w:eastAsia="lv-LV"/>
                    </w:rPr>
                    <w:t>Ar tiesību akta projektu izpildītās vai uzņemtās saistības, kas izriet no starptautiskajiem tiesību aktiem vai starptautiskas institūcijas vai organizācijas dokumentiem.</w:t>
                  </w:r>
                  <w:r w:rsidR="009773F0">
                    <w:rPr>
                      <w:rFonts w:ascii="Times New Roman" w:eastAsia="Times New Roman" w:hAnsi="Times New Roman" w:cs="Times New Roman"/>
                      <w:b/>
                      <w:bCs/>
                      <w:sz w:val="28"/>
                      <w:szCs w:val="28"/>
                      <w:lang w:eastAsia="lv-LV"/>
                    </w:rPr>
                    <w:t xml:space="preserve"> </w:t>
                  </w:r>
                  <w:r w:rsidRPr="00B52256">
                    <w:rPr>
                      <w:rFonts w:ascii="Times New Roman" w:eastAsia="Times New Roman" w:hAnsi="Times New Roman" w:cs="Times New Roman"/>
                      <w:b/>
                      <w:bCs/>
                      <w:sz w:val="28"/>
                      <w:szCs w:val="28"/>
                      <w:lang w:eastAsia="lv-LV"/>
                    </w:rPr>
                    <w:t>Pasākumi šo saistību izpildei</w:t>
                  </w:r>
                </w:p>
              </w:tc>
            </w:tr>
            <w:tr w:rsidR="00AD3391" w:rsidRPr="00BA4EF1" w14:paraId="39337D19" w14:textId="77777777" w:rsidTr="009773F0">
              <w:trPr>
                <w:trHeight w:val="2254"/>
                <w:tblCellSpacing w:w="20" w:type="dxa"/>
                <w:jc w:val="center"/>
              </w:trPr>
              <w:tc>
                <w:tcPr>
                  <w:tcW w:w="1567" w:type="pct"/>
                  <w:vAlign w:val="center"/>
                  <w:hideMark/>
                </w:tcPr>
                <w:p w14:paraId="0CF3A54E"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Attiecīgā starptautiskā tiesību akta vai starptautiskas institūcijas vai organizācijas dokumenta (turpmāk – starptautiskais dokuments) datums, numurs un nosaukums</w:t>
                  </w:r>
                </w:p>
              </w:tc>
              <w:tc>
                <w:tcPr>
                  <w:tcW w:w="3401" w:type="pct"/>
                  <w:gridSpan w:val="2"/>
                  <w:hideMark/>
                </w:tcPr>
                <w:p w14:paraId="7A195735" w14:textId="49EC3C7F" w:rsidR="00AD3391" w:rsidRPr="00B52256" w:rsidRDefault="00AD3391" w:rsidP="00B52256">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S</w:t>
                  </w:r>
                  <w:r w:rsidRPr="00B52256">
                    <w:rPr>
                      <w:rFonts w:ascii="Times New Roman" w:hAnsi="Times New Roman" w:cs="Times New Roman"/>
                      <w:sz w:val="28"/>
                      <w:szCs w:val="28"/>
                    </w:rPr>
                    <w:t xml:space="preserve">aprašanās memoranda </w:t>
                  </w:r>
                  <w:r w:rsidRPr="00B52256">
                    <w:rPr>
                      <w:rFonts w:ascii="Times New Roman" w:hAnsi="Times New Roman" w:cs="Times New Roman"/>
                      <w:color w:val="000000"/>
                      <w:spacing w:val="-2"/>
                      <w:sz w:val="28"/>
                      <w:szCs w:val="28"/>
                      <w:shd w:val="clear" w:color="auto" w:fill="FFFFFF"/>
                    </w:rPr>
                    <w:t>B pielikums</w:t>
                  </w:r>
                  <w:r>
                    <w:rPr>
                      <w:rFonts w:ascii="Times New Roman" w:hAnsi="Times New Roman" w:cs="Times New Roman"/>
                      <w:sz w:val="28"/>
                      <w:szCs w:val="28"/>
                    </w:rPr>
                    <w:t>.</w:t>
                  </w:r>
                </w:p>
              </w:tc>
            </w:tr>
            <w:tr w:rsidR="00AD3391" w:rsidRPr="00BA4EF1" w14:paraId="09D936FB" w14:textId="77777777" w:rsidTr="009773F0">
              <w:trPr>
                <w:trHeight w:val="291"/>
                <w:tblCellSpacing w:w="20" w:type="dxa"/>
                <w:jc w:val="center"/>
              </w:trPr>
              <w:tc>
                <w:tcPr>
                  <w:tcW w:w="1567" w:type="pct"/>
                  <w:vAlign w:val="center"/>
                  <w:hideMark/>
                </w:tcPr>
                <w:p w14:paraId="0752F0D7" w14:textId="77777777" w:rsidR="00AD3391" w:rsidRPr="00B52256" w:rsidRDefault="00AD3391"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A</w:t>
                  </w:r>
                </w:p>
              </w:tc>
              <w:tc>
                <w:tcPr>
                  <w:tcW w:w="1259" w:type="pct"/>
                  <w:vAlign w:val="center"/>
                  <w:hideMark/>
                </w:tcPr>
                <w:p w14:paraId="13EE29E5" w14:textId="77777777" w:rsidR="00AD3391" w:rsidRPr="00B52256" w:rsidRDefault="00AD3391"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B</w:t>
                  </w:r>
                </w:p>
              </w:tc>
              <w:tc>
                <w:tcPr>
                  <w:tcW w:w="2132" w:type="pct"/>
                  <w:vAlign w:val="center"/>
                  <w:hideMark/>
                </w:tcPr>
                <w:p w14:paraId="32C9FC1A" w14:textId="77777777" w:rsidR="00AD3391" w:rsidRPr="00B52256" w:rsidRDefault="00AD3391"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C</w:t>
                  </w:r>
                </w:p>
              </w:tc>
            </w:tr>
            <w:tr w:rsidR="00AD3391" w:rsidRPr="00BA4EF1" w14:paraId="242B61EB" w14:textId="77777777" w:rsidTr="00676AB9">
              <w:trPr>
                <w:tblCellSpacing w:w="20" w:type="dxa"/>
                <w:jc w:val="center"/>
              </w:trPr>
              <w:tc>
                <w:tcPr>
                  <w:tcW w:w="1567" w:type="pct"/>
                </w:tcPr>
                <w:p w14:paraId="6D1F043C" w14:textId="77777777" w:rsidR="00AD3391" w:rsidRPr="00B52256" w:rsidRDefault="00AD3391" w:rsidP="00B52256">
                  <w:pPr>
                    <w:spacing w:after="0" w:line="240" w:lineRule="auto"/>
                    <w:rPr>
                      <w:rFonts w:ascii="Times New Roman" w:hAnsi="Times New Roman" w:cs="Times New Roman"/>
                      <w:sz w:val="28"/>
                      <w:szCs w:val="28"/>
                    </w:rPr>
                  </w:pPr>
                  <w:r w:rsidRPr="00B52256">
                    <w:rPr>
                      <w:rFonts w:ascii="Times New Roman" w:hAnsi="Times New Roman" w:cs="Times New Roman"/>
                      <w:sz w:val="28"/>
                      <w:szCs w:val="28"/>
                    </w:rPr>
                    <w:t>Starptautiskās saistības (pēc būtības), kas izriet no norādītā starptautiskā dokumenta.</w:t>
                  </w:r>
                </w:p>
                <w:p w14:paraId="59F275D2" w14:textId="77777777" w:rsidR="00AD3391" w:rsidRPr="00B52256" w:rsidRDefault="00AD3391" w:rsidP="00B52256">
                  <w:pPr>
                    <w:spacing w:after="0" w:line="240" w:lineRule="auto"/>
                    <w:rPr>
                      <w:rFonts w:ascii="Times New Roman" w:hAnsi="Times New Roman" w:cs="Times New Roman"/>
                      <w:sz w:val="28"/>
                      <w:szCs w:val="28"/>
                    </w:rPr>
                  </w:pPr>
                  <w:r w:rsidRPr="00B52256">
                    <w:rPr>
                      <w:rFonts w:ascii="Times New Roman" w:hAnsi="Times New Roman" w:cs="Times New Roman"/>
                      <w:sz w:val="28"/>
                      <w:szCs w:val="28"/>
                    </w:rPr>
                    <w:t>Konkrēti veicamie pasākumi vai uzdevumi, kas nepieciešami šo starptautisko saistību izpildei</w:t>
                  </w:r>
                </w:p>
              </w:tc>
              <w:tc>
                <w:tcPr>
                  <w:tcW w:w="1259" w:type="pct"/>
                </w:tcPr>
                <w:p w14:paraId="459ED53A" w14:textId="77777777" w:rsidR="00AD3391" w:rsidRPr="00B52256" w:rsidRDefault="00AD3391" w:rsidP="00AD3391">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32" w:type="pct"/>
                </w:tcPr>
                <w:p w14:paraId="7966E709" w14:textId="77777777" w:rsidR="00AD3391" w:rsidRPr="00B52256" w:rsidRDefault="00AD3391" w:rsidP="00B52256">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Informācija par to, vai starptautiskās saistības, kas minētas šīs tabulas A ailē, tiek izpildītas pilnībā vai daļēji.</w:t>
                  </w:r>
                </w:p>
                <w:p w14:paraId="7BBA43B8" w14:textId="77777777" w:rsidR="00AD3391" w:rsidRPr="00B52256" w:rsidRDefault="00AD3391" w:rsidP="00B52256">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Ja attiecīgās starptautiskās saistības tiek izpildītas daļēji, sniedz skaidrojumu, kā arī precīzi norāda, kad un kādā veidā starptautiskās saistības tiks izpildītas pilnībā.</w:t>
                  </w:r>
                </w:p>
                <w:p w14:paraId="33C4E900" w14:textId="77777777" w:rsidR="00AD3391" w:rsidRPr="00B52256" w:rsidRDefault="00AD3391" w:rsidP="00B52256">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Norāda institūciju, kas ir atbildīga par šo saistību izpildi pilnībā</w:t>
                  </w:r>
                </w:p>
              </w:tc>
            </w:tr>
            <w:tr w:rsidR="00AD3391" w:rsidRPr="00BA4EF1" w14:paraId="17BAA0CC" w14:textId="77777777" w:rsidTr="009773F0">
              <w:trPr>
                <w:trHeight w:val="2254"/>
                <w:tblCellSpacing w:w="20" w:type="dxa"/>
                <w:jc w:val="center"/>
              </w:trPr>
              <w:tc>
                <w:tcPr>
                  <w:tcW w:w="1567" w:type="pct"/>
                  <w:hideMark/>
                </w:tcPr>
                <w:p w14:paraId="2F5841B3" w14:textId="77777777" w:rsidR="00AD3391" w:rsidRPr="00B52256" w:rsidRDefault="00AD3391" w:rsidP="00B52256">
                  <w:pPr>
                    <w:spacing w:after="0" w:line="240" w:lineRule="auto"/>
                    <w:rPr>
                      <w:rFonts w:ascii="Times New Roman" w:hAnsi="Times New Roman" w:cs="Times New Roman"/>
                      <w:sz w:val="28"/>
                      <w:szCs w:val="28"/>
                    </w:rPr>
                  </w:pPr>
                  <w:r w:rsidRPr="00B52256">
                    <w:rPr>
                      <w:rFonts w:ascii="Times New Roman" w:hAnsi="Times New Roman" w:cs="Times New Roman"/>
                      <w:sz w:val="28"/>
                      <w:szCs w:val="28"/>
                    </w:rPr>
                    <w:t xml:space="preserve">Saskaņā ar Saprašanās memoranda Ieviešanas ietvaru (B pielikums 3. daļas B. punktu) Latvijas Republikas Kultūras ministrija pilda programmas partnera funkciju </w:t>
                  </w:r>
                </w:p>
              </w:tc>
              <w:tc>
                <w:tcPr>
                  <w:tcW w:w="1259" w:type="pct"/>
                  <w:hideMark/>
                </w:tcPr>
                <w:p w14:paraId="67DD34E2" w14:textId="2840DF6D" w:rsidR="00AD3391" w:rsidRPr="00B52256" w:rsidRDefault="00AD3391" w:rsidP="00AD3391">
                  <w:pPr>
                    <w:spacing w:after="0" w:line="240" w:lineRule="auto"/>
                    <w:jc w:val="both"/>
                    <w:rPr>
                      <w:rFonts w:ascii="Times New Roman" w:hAnsi="Times New Roman" w:cs="Times New Roman"/>
                      <w:sz w:val="28"/>
                      <w:szCs w:val="28"/>
                    </w:rPr>
                  </w:pPr>
                  <w:r w:rsidRPr="00B52256">
                    <w:rPr>
                      <w:rFonts w:ascii="Times New Roman" w:hAnsi="Times New Roman" w:cs="Times New Roman"/>
                      <w:sz w:val="28"/>
                      <w:szCs w:val="28"/>
                    </w:rPr>
                    <w:t xml:space="preserve">Viss </w:t>
                  </w:r>
                  <w:r w:rsidR="003F230E">
                    <w:rPr>
                      <w:rFonts w:ascii="Times New Roman" w:eastAsia="Times New Roman" w:hAnsi="Times New Roman" w:cs="Times New Roman"/>
                      <w:sz w:val="28"/>
                      <w:szCs w:val="28"/>
                      <w:lang w:eastAsia="lv-LV"/>
                    </w:rPr>
                    <w:t>Noteikumu p</w:t>
                  </w:r>
                  <w:r w:rsidR="003F230E" w:rsidRPr="003F230E">
                    <w:rPr>
                      <w:rFonts w:ascii="Times New Roman" w:eastAsia="Times New Roman" w:hAnsi="Times New Roman" w:cs="Times New Roman"/>
                      <w:sz w:val="28"/>
                      <w:szCs w:val="28"/>
                      <w:lang w:eastAsia="lv-LV"/>
                    </w:rPr>
                    <w:t>rojekts</w:t>
                  </w:r>
                  <w:r w:rsidRPr="00B52256">
                    <w:rPr>
                      <w:rFonts w:ascii="Times New Roman" w:hAnsi="Times New Roman" w:cs="Times New Roman"/>
                      <w:sz w:val="28"/>
                      <w:szCs w:val="28"/>
                    </w:rPr>
                    <w:t xml:space="preserve"> kopumā.</w:t>
                  </w:r>
                </w:p>
              </w:tc>
              <w:tc>
                <w:tcPr>
                  <w:tcW w:w="2132" w:type="pct"/>
                  <w:hideMark/>
                </w:tcPr>
                <w:p w14:paraId="2C42BF88" w14:textId="3FDA76D5" w:rsidR="00AD3391" w:rsidRPr="00B52256" w:rsidRDefault="00AD3391" w:rsidP="00B52256">
                  <w:pPr>
                    <w:spacing w:after="0" w:line="240" w:lineRule="auto"/>
                    <w:jc w:val="both"/>
                    <w:rPr>
                      <w:rFonts w:ascii="Times New Roman" w:hAnsi="Times New Roman" w:cs="Times New Roman"/>
                      <w:sz w:val="28"/>
                      <w:szCs w:val="28"/>
                    </w:rPr>
                  </w:pPr>
                  <w:r w:rsidRPr="00B52256">
                    <w:rPr>
                      <w:rFonts w:ascii="Times New Roman" w:hAnsi="Times New Roman" w:cs="Times New Roman"/>
                      <w:sz w:val="28"/>
                      <w:szCs w:val="28"/>
                    </w:rPr>
                    <w:t>Starptautiskās saistības izpildītas pilnībā.</w:t>
                  </w:r>
                </w:p>
              </w:tc>
            </w:tr>
            <w:tr w:rsidR="00AD3391" w:rsidRPr="00BA4EF1" w14:paraId="6A8331CC" w14:textId="77777777" w:rsidTr="009773F0">
              <w:trPr>
                <w:trHeight w:val="2254"/>
                <w:tblCellSpacing w:w="20" w:type="dxa"/>
                <w:jc w:val="center"/>
              </w:trPr>
              <w:tc>
                <w:tcPr>
                  <w:tcW w:w="1567" w:type="pct"/>
                  <w:hideMark/>
                </w:tcPr>
                <w:p w14:paraId="6DB76429"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lastRenderedPageBreak/>
                    <w:t>Vai starptautiskajā dokumentā paredzētās saistības nav pretrunā ar jau esošajām Latvijas Republikas starptautiskajām saistībām</w:t>
                  </w:r>
                </w:p>
              </w:tc>
              <w:tc>
                <w:tcPr>
                  <w:tcW w:w="3401" w:type="pct"/>
                  <w:gridSpan w:val="2"/>
                  <w:hideMark/>
                </w:tcPr>
                <w:p w14:paraId="2F8A5F9F" w14:textId="77777777" w:rsidR="00AD3391" w:rsidRPr="00B52256" w:rsidRDefault="00AD3391" w:rsidP="00AD3391">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Saprašanās memorandā paredzētās saistības nav pretrunā ar jau esošajām Latvijas Republikas starptautiskajām saistībām.</w:t>
                  </w:r>
                </w:p>
              </w:tc>
            </w:tr>
            <w:tr w:rsidR="00AD3391" w:rsidRPr="00BA4EF1" w14:paraId="646881DA" w14:textId="77777777" w:rsidTr="00676AB9">
              <w:trPr>
                <w:trHeight w:val="330"/>
                <w:tblCellSpacing w:w="20" w:type="dxa"/>
                <w:jc w:val="center"/>
              </w:trPr>
              <w:tc>
                <w:tcPr>
                  <w:tcW w:w="1567" w:type="pct"/>
                  <w:hideMark/>
                </w:tcPr>
                <w:p w14:paraId="461A538C" w14:textId="77777777" w:rsidR="00AD3391" w:rsidRPr="00B52256" w:rsidRDefault="00AD3391" w:rsidP="00AD339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Cita informācija</w:t>
                  </w:r>
                </w:p>
              </w:tc>
              <w:tc>
                <w:tcPr>
                  <w:tcW w:w="3401" w:type="pct"/>
                  <w:gridSpan w:val="2"/>
                  <w:hideMark/>
                </w:tcPr>
                <w:p w14:paraId="7B040609" w14:textId="3B0D8E8A" w:rsidR="00AD3391" w:rsidRPr="00B52256" w:rsidRDefault="00AD3391" w:rsidP="00B52256">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Nav</w:t>
                  </w:r>
                </w:p>
              </w:tc>
            </w:tr>
          </w:tbl>
          <w:p w14:paraId="3A9F1431" w14:textId="594F4270" w:rsidR="00AD3391" w:rsidRPr="00AD3391" w:rsidRDefault="00AD3391" w:rsidP="00B6303F">
            <w:pPr>
              <w:spacing w:after="0" w:line="240" w:lineRule="auto"/>
              <w:jc w:val="both"/>
              <w:rPr>
                <w:rFonts w:ascii="Times New Roman" w:eastAsia="Times New Roman" w:hAnsi="Times New Roman" w:cs="Times New Roman"/>
                <w:sz w:val="28"/>
                <w:szCs w:val="28"/>
                <w:lang w:eastAsia="lv-LV"/>
              </w:rPr>
            </w:pPr>
          </w:p>
        </w:tc>
      </w:tr>
    </w:tbl>
    <w:p w14:paraId="4C7D113D" w14:textId="77777777" w:rsidR="00DA06D8" w:rsidRPr="00B52256" w:rsidRDefault="00DA06D8" w:rsidP="00BA4EF1">
      <w:pPr>
        <w:shd w:val="clear" w:color="auto" w:fill="FFFFFF"/>
        <w:spacing w:after="0" w:line="240" w:lineRule="auto"/>
        <w:rPr>
          <w:rFonts w:ascii="Times New Roman" w:eastAsia="Times New Roman" w:hAnsi="Times New Roman" w:cs="Times New Roman"/>
          <w:sz w:val="28"/>
          <w:szCs w:val="28"/>
          <w:lang w:eastAsia="lv-LV"/>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760"/>
        <w:gridCol w:w="2963"/>
        <w:gridCol w:w="5482"/>
      </w:tblGrid>
      <w:tr w:rsidR="00152C21" w:rsidRPr="00BA4EF1" w14:paraId="47BCD956" w14:textId="77777777" w:rsidTr="00676AB9">
        <w:trPr>
          <w:trHeight w:val="336"/>
          <w:tblCellSpacing w:w="20" w:type="dxa"/>
          <w:jc w:val="center"/>
        </w:trPr>
        <w:tc>
          <w:tcPr>
            <w:tcW w:w="4957" w:type="pct"/>
            <w:gridSpan w:val="3"/>
            <w:vAlign w:val="center"/>
            <w:hideMark/>
          </w:tcPr>
          <w:p w14:paraId="750B25FA" w14:textId="77777777" w:rsidR="00894C55" w:rsidRPr="00B52256" w:rsidRDefault="00B32BBE" w:rsidP="00B52256">
            <w:pPr>
              <w:spacing w:after="0" w:line="240" w:lineRule="auto"/>
              <w:jc w:val="center"/>
              <w:rPr>
                <w:rFonts w:ascii="Times New Roman" w:eastAsia="Times New Roman" w:hAnsi="Times New Roman" w:cs="Times New Roman"/>
                <w:b/>
                <w:bCs/>
                <w:sz w:val="28"/>
                <w:szCs w:val="28"/>
                <w:lang w:eastAsia="lv-LV"/>
              </w:rPr>
            </w:pPr>
            <w:r w:rsidRPr="00B52256">
              <w:rPr>
                <w:rFonts w:ascii="Times New Roman" w:eastAsia="Times New Roman" w:hAnsi="Times New Roman" w:cs="Times New Roman"/>
                <w:b/>
                <w:bCs/>
                <w:sz w:val="28"/>
                <w:szCs w:val="28"/>
                <w:lang w:eastAsia="lv-LV"/>
              </w:rPr>
              <w:t>VI.</w:t>
            </w:r>
            <w:r w:rsidR="00816C11" w:rsidRPr="00B52256">
              <w:rPr>
                <w:rFonts w:ascii="Times New Roman" w:eastAsia="Times New Roman" w:hAnsi="Times New Roman" w:cs="Times New Roman"/>
                <w:b/>
                <w:bCs/>
                <w:sz w:val="28"/>
                <w:szCs w:val="28"/>
                <w:lang w:eastAsia="lv-LV"/>
              </w:rPr>
              <w:t> </w:t>
            </w:r>
            <w:r w:rsidRPr="00B52256">
              <w:rPr>
                <w:rFonts w:ascii="Times New Roman" w:eastAsia="Times New Roman" w:hAnsi="Times New Roman" w:cs="Times New Roman"/>
                <w:b/>
                <w:bCs/>
                <w:sz w:val="28"/>
                <w:szCs w:val="28"/>
                <w:lang w:eastAsia="lv-LV"/>
              </w:rPr>
              <w:t>Sabiedrības līdzdalība un komunikācijas aktivitātes</w:t>
            </w:r>
          </w:p>
        </w:tc>
      </w:tr>
      <w:tr w:rsidR="00412E16" w:rsidRPr="00BA4EF1" w14:paraId="77B21F5A" w14:textId="77777777" w:rsidTr="007C7951">
        <w:trPr>
          <w:trHeight w:val="432"/>
          <w:tblCellSpacing w:w="20" w:type="dxa"/>
          <w:jc w:val="center"/>
        </w:trPr>
        <w:tc>
          <w:tcPr>
            <w:tcW w:w="384" w:type="pct"/>
            <w:hideMark/>
          </w:tcPr>
          <w:p w14:paraId="32EA9947" w14:textId="77777777" w:rsidR="00412E16" w:rsidRPr="00B52256" w:rsidRDefault="00412E16" w:rsidP="00B52256">
            <w:pPr>
              <w:spacing w:after="0" w:line="240" w:lineRule="auto"/>
              <w:jc w:val="center"/>
              <w:rPr>
                <w:rFonts w:ascii="Times New Roman" w:eastAsia="Times New Roman" w:hAnsi="Times New Roman" w:cs="Times New Roman"/>
                <w:sz w:val="28"/>
                <w:szCs w:val="28"/>
                <w:lang w:eastAsia="lv-LV"/>
              </w:rPr>
            </w:pPr>
            <w:bookmarkStart w:id="5" w:name="_Hlk40089235"/>
            <w:r w:rsidRPr="00B52256">
              <w:rPr>
                <w:rFonts w:ascii="Times New Roman" w:eastAsia="Times New Roman" w:hAnsi="Times New Roman" w:cs="Times New Roman"/>
                <w:sz w:val="28"/>
                <w:szCs w:val="28"/>
                <w:lang w:eastAsia="lv-LV"/>
              </w:rPr>
              <w:t>1.</w:t>
            </w:r>
          </w:p>
        </w:tc>
        <w:tc>
          <w:tcPr>
            <w:tcW w:w="1602" w:type="pct"/>
            <w:hideMark/>
          </w:tcPr>
          <w:p w14:paraId="6D06F4E2" w14:textId="77777777" w:rsidR="00412E16" w:rsidRPr="00B52256" w:rsidRDefault="00412E16" w:rsidP="00412E16">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Plānotās sabiedrības līdzdalības un komunikācijas aktivitātes saistībā ar projektu</w:t>
            </w:r>
          </w:p>
        </w:tc>
        <w:tc>
          <w:tcPr>
            <w:tcW w:w="2927" w:type="pct"/>
            <w:shd w:val="clear" w:color="auto" w:fill="auto"/>
            <w:hideMark/>
          </w:tcPr>
          <w:p w14:paraId="540FA823" w14:textId="7EF58389" w:rsidR="00412E16" w:rsidRPr="00842ECB" w:rsidRDefault="003F230E" w:rsidP="001338BD">
            <w:pPr>
              <w:spacing w:after="0" w:line="240" w:lineRule="auto"/>
              <w:jc w:val="both"/>
              <w:rPr>
                <w:rFonts w:ascii="Times New Roman" w:hAnsi="Times New Roman" w:cs="Times New Roman"/>
                <w:sz w:val="28"/>
                <w:szCs w:val="28"/>
              </w:rPr>
            </w:pPr>
            <w:r w:rsidRPr="00842ECB">
              <w:rPr>
                <w:rFonts w:ascii="Times New Roman" w:eastAsia="Times New Roman" w:hAnsi="Times New Roman" w:cs="Times New Roman"/>
                <w:sz w:val="28"/>
                <w:szCs w:val="28"/>
                <w:lang w:eastAsia="lv-LV"/>
              </w:rPr>
              <w:t>Noteikumu projekts</w:t>
            </w:r>
            <w:r w:rsidR="00412E16" w:rsidRPr="00842ECB">
              <w:rPr>
                <w:rFonts w:ascii="Times New Roman" w:hAnsi="Times New Roman"/>
                <w:iCs/>
                <w:sz w:val="28"/>
                <w:szCs w:val="28"/>
              </w:rPr>
              <w:t xml:space="preserve"> 2020.ga</w:t>
            </w:r>
            <w:r w:rsidR="00412E16" w:rsidRPr="00490F6D">
              <w:rPr>
                <w:rFonts w:ascii="Times New Roman" w:hAnsi="Times New Roman"/>
                <w:iCs/>
                <w:sz w:val="28"/>
                <w:szCs w:val="28"/>
              </w:rPr>
              <w:t xml:space="preserve">da </w:t>
            </w:r>
            <w:r w:rsidR="001338BD">
              <w:rPr>
                <w:rFonts w:ascii="Times New Roman" w:hAnsi="Times New Roman"/>
                <w:iCs/>
                <w:sz w:val="28"/>
                <w:szCs w:val="28"/>
              </w:rPr>
              <w:t>15</w:t>
            </w:r>
            <w:r w:rsidR="00842ECB" w:rsidRPr="00490F6D">
              <w:rPr>
                <w:rFonts w:ascii="Times New Roman" w:hAnsi="Times New Roman"/>
                <w:iCs/>
                <w:sz w:val="28"/>
                <w:szCs w:val="28"/>
              </w:rPr>
              <w:t>.jūl</w:t>
            </w:r>
            <w:r w:rsidR="00412E16" w:rsidRPr="00490F6D">
              <w:rPr>
                <w:rFonts w:ascii="Times New Roman" w:hAnsi="Times New Roman"/>
                <w:iCs/>
                <w:sz w:val="28"/>
                <w:szCs w:val="28"/>
              </w:rPr>
              <w:t>ijā</w:t>
            </w:r>
            <w:r w:rsidR="00412E16" w:rsidRPr="00842ECB">
              <w:rPr>
                <w:rFonts w:ascii="Times New Roman" w:hAnsi="Times New Roman"/>
                <w:iCs/>
                <w:sz w:val="28"/>
                <w:szCs w:val="28"/>
              </w:rPr>
              <w:t xml:space="preserve"> ievietots </w:t>
            </w:r>
            <w:r w:rsidR="009B3E3E" w:rsidRPr="00842ECB">
              <w:rPr>
                <w:rFonts w:ascii="Times New Roman" w:hAnsi="Times New Roman"/>
                <w:iCs/>
                <w:sz w:val="28"/>
                <w:szCs w:val="28"/>
              </w:rPr>
              <w:t xml:space="preserve">programmas </w:t>
            </w:r>
            <w:r w:rsidR="00E456AE" w:rsidRPr="00842ECB">
              <w:rPr>
                <w:rFonts w:ascii="Times New Roman" w:hAnsi="Times New Roman"/>
                <w:iCs/>
                <w:sz w:val="28"/>
                <w:szCs w:val="28"/>
              </w:rPr>
              <w:t xml:space="preserve">apsaimniekotāja </w:t>
            </w:r>
            <w:r w:rsidR="00412E16" w:rsidRPr="00842ECB">
              <w:rPr>
                <w:rFonts w:ascii="Times New Roman" w:hAnsi="Times New Roman"/>
                <w:iCs/>
                <w:sz w:val="28"/>
                <w:szCs w:val="28"/>
              </w:rPr>
              <w:t xml:space="preserve">tīmekļvietnes </w:t>
            </w:r>
            <w:hyperlink r:id="rId11" w:history="1">
              <w:r w:rsidR="00E456AE" w:rsidRPr="00842ECB">
                <w:rPr>
                  <w:rStyle w:val="Hyperlink"/>
                  <w:rFonts w:ascii="Times New Roman" w:hAnsi="Times New Roman" w:cs="Times New Roman"/>
                  <w:iCs/>
                  <w:sz w:val="28"/>
                  <w:szCs w:val="28"/>
                </w:rPr>
                <w:t>www.varam.gov.lv</w:t>
              </w:r>
            </w:hyperlink>
            <w:r w:rsidR="00412E16" w:rsidRPr="00842ECB">
              <w:rPr>
                <w:rFonts w:ascii="Times New Roman" w:hAnsi="Times New Roman"/>
                <w:sz w:val="28"/>
                <w:szCs w:val="28"/>
              </w:rPr>
              <w:t xml:space="preserve"> </w:t>
            </w:r>
            <w:r w:rsidR="00412E16" w:rsidRPr="00842ECB">
              <w:rPr>
                <w:rFonts w:ascii="Times New Roman" w:hAnsi="Times New Roman"/>
                <w:iCs/>
                <w:sz w:val="28"/>
                <w:szCs w:val="28"/>
              </w:rPr>
              <w:t xml:space="preserve">sadaļā </w:t>
            </w:r>
            <w:r w:rsidR="00467000">
              <w:rPr>
                <w:rFonts w:ascii="Times New Roman" w:hAnsi="Times New Roman"/>
                <w:iCs/>
                <w:sz w:val="28"/>
                <w:szCs w:val="28"/>
              </w:rPr>
              <w:t>“</w:t>
            </w:r>
            <w:r w:rsidR="00412E16" w:rsidRPr="00842ECB">
              <w:rPr>
                <w:rFonts w:ascii="Times New Roman" w:hAnsi="Times New Roman"/>
                <w:iCs/>
                <w:sz w:val="28"/>
                <w:szCs w:val="28"/>
              </w:rPr>
              <w:t>Sabiedrības līdzdalība”</w:t>
            </w:r>
            <w:r w:rsidR="00412E16" w:rsidRPr="00842ECB">
              <w:rPr>
                <w:rFonts w:ascii="Times New Roman" w:hAnsi="Times New Roman" w:cs="Times New Roman"/>
                <w:iCs/>
                <w:sz w:val="28"/>
                <w:szCs w:val="28"/>
              </w:rPr>
              <w:t xml:space="preserve"> </w:t>
            </w:r>
            <w:r w:rsidR="00412E16" w:rsidRPr="00842ECB">
              <w:rPr>
                <w:rFonts w:ascii="Times New Roman" w:hAnsi="Times New Roman"/>
                <w:iCs/>
                <w:sz w:val="28"/>
                <w:szCs w:val="28"/>
              </w:rPr>
              <w:t xml:space="preserve">un Valsts kancelejas tīmekļvietnes </w:t>
            </w:r>
            <w:hyperlink r:id="rId12" w:history="1">
              <w:r w:rsidR="00412E16" w:rsidRPr="00842ECB">
                <w:rPr>
                  <w:rStyle w:val="Hyperlink"/>
                  <w:rFonts w:ascii="Times New Roman" w:hAnsi="Times New Roman"/>
                  <w:iCs/>
                  <w:sz w:val="28"/>
                  <w:szCs w:val="28"/>
                </w:rPr>
                <w:t>www.mk.gov.lv</w:t>
              </w:r>
            </w:hyperlink>
            <w:r w:rsidR="00412E16" w:rsidRPr="00842ECB">
              <w:rPr>
                <w:rFonts w:ascii="Times New Roman" w:hAnsi="Times New Roman"/>
                <w:iCs/>
                <w:sz w:val="28"/>
                <w:szCs w:val="28"/>
              </w:rPr>
              <w:t xml:space="preserve"> sadaļā </w:t>
            </w:r>
            <w:r w:rsidR="00467000">
              <w:rPr>
                <w:rFonts w:ascii="Times New Roman" w:hAnsi="Times New Roman"/>
                <w:iCs/>
                <w:sz w:val="28"/>
                <w:szCs w:val="28"/>
              </w:rPr>
              <w:t>“</w:t>
            </w:r>
            <w:r w:rsidR="00412E16" w:rsidRPr="00842ECB">
              <w:rPr>
                <w:rFonts w:ascii="Times New Roman" w:hAnsi="Times New Roman"/>
                <w:iCs/>
                <w:sz w:val="28"/>
                <w:szCs w:val="28"/>
              </w:rPr>
              <w:t>Sabiedrības līdzdalība” ar aicinājumu sabiedrības pārstāvjiem līdzdarboties</w:t>
            </w:r>
            <w:r w:rsidR="00467000">
              <w:rPr>
                <w:rFonts w:ascii="Times New Roman" w:hAnsi="Times New Roman"/>
                <w:iCs/>
                <w:sz w:val="28"/>
                <w:szCs w:val="28"/>
              </w:rPr>
              <w:t xml:space="preserve"> Noteikumu p</w:t>
            </w:r>
            <w:r w:rsidR="00412E16" w:rsidRPr="00842ECB">
              <w:rPr>
                <w:rFonts w:ascii="Times New Roman" w:hAnsi="Times New Roman"/>
                <w:iCs/>
                <w:sz w:val="28"/>
                <w:szCs w:val="28"/>
              </w:rPr>
              <w:t xml:space="preserve">rojekta izstrādē, sniedzot viedokli par </w:t>
            </w:r>
            <w:r w:rsidR="00467000">
              <w:rPr>
                <w:rFonts w:ascii="Times New Roman" w:hAnsi="Times New Roman"/>
                <w:iCs/>
                <w:sz w:val="28"/>
                <w:szCs w:val="28"/>
              </w:rPr>
              <w:t>Noteikumu p</w:t>
            </w:r>
            <w:r w:rsidR="00412E16" w:rsidRPr="00842ECB">
              <w:rPr>
                <w:rFonts w:ascii="Times New Roman" w:hAnsi="Times New Roman"/>
                <w:iCs/>
                <w:sz w:val="28"/>
                <w:szCs w:val="28"/>
              </w:rPr>
              <w:t xml:space="preserve">rojektu atbilstoši Ministru kabineta 2009.gada 25.augusta noteikumu Nr.970 </w:t>
            </w:r>
            <w:r w:rsidR="00467000">
              <w:rPr>
                <w:rFonts w:ascii="Times New Roman" w:hAnsi="Times New Roman"/>
                <w:iCs/>
                <w:sz w:val="28"/>
                <w:szCs w:val="28"/>
              </w:rPr>
              <w:t>“</w:t>
            </w:r>
            <w:r w:rsidR="00412E16" w:rsidRPr="00842ECB">
              <w:rPr>
                <w:rFonts w:ascii="Times New Roman" w:hAnsi="Times New Roman"/>
                <w:iCs/>
                <w:sz w:val="28"/>
                <w:szCs w:val="28"/>
              </w:rPr>
              <w:t>Sabiedrības līdzdalības kārtība attīstības plānošanas procesā” 5. un 7.4.</w:t>
            </w:r>
            <w:r w:rsidR="00412E16" w:rsidRPr="00842ECB">
              <w:rPr>
                <w:rFonts w:ascii="Times New Roman" w:hAnsi="Times New Roman"/>
                <w:iCs/>
                <w:sz w:val="28"/>
                <w:szCs w:val="28"/>
                <w:vertAlign w:val="superscript"/>
              </w:rPr>
              <w:t>1</w:t>
            </w:r>
            <w:r w:rsidR="00412E16" w:rsidRPr="00842ECB">
              <w:rPr>
                <w:rFonts w:ascii="Times New Roman" w:hAnsi="Times New Roman"/>
                <w:iCs/>
                <w:sz w:val="28"/>
                <w:szCs w:val="28"/>
              </w:rPr>
              <w:t> punktam.</w:t>
            </w:r>
          </w:p>
        </w:tc>
      </w:tr>
      <w:bookmarkEnd w:id="5"/>
      <w:tr w:rsidR="00412E16" w:rsidRPr="00BA4EF1" w14:paraId="60F41629" w14:textId="77777777" w:rsidTr="007C7951">
        <w:trPr>
          <w:trHeight w:val="264"/>
          <w:tblCellSpacing w:w="20" w:type="dxa"/>
          <w:jc w:val="center"/>
        </w:trPr>
        <w:tc>
          <w:tcPr>
            <w:tcW w:w="384" w:type="pct"/>
            <w:hideMark/>
          </w:tcPr>
          <w:p w14:paraId="0769BB55" w14:textId="77777777" w:rsidR="00412E16" w:rsidRPr="00B52256" w:rsidRDefault="00412E16" w:rsidP="00B52256">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2.</w:t>
            </w:r>
          </w:p>
        </w:tc>
        <w:tc>
          <w:tcPr>
            <w:tcW w:w="1602" w:type="pct"/>
            <w:hideMark/>
          </w:tcPr>
          <w:p w14:paraId="7E445443" w14:textId="77777777" w:rsidR="00412E16" w:rsidRPr="00B52256" w:rsidRDefault="00412E16" w:rsidP="00412E16">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color w:val="0D0D0D" w:themeColor="text1" w:themeTint="F2"/>
                <w:sz w:val="28"/>
                <w:szCs w:val="28"/>
                <w:lang w:eastAsia="lv-LV"/>
              </w:rPr>
              <w:t>Sabiedrības līdzdalība projekta izstrādē</w:t>
            </w:r>
          </w:p>
        </w:tc>
        <w:tc>
          <w:tcPr>
            <w:tcW w:w="2927" w:type="pct"/>
            <w:shd w:val="clear" w:color="auto" w:fill="auto"/>
            <w:hideMark/>
          </w:tcPr>
          <w:p w14:paraId="1E618AE0" w14:textId="36D13186" w:rsidR="00412E16" w:rsidRPr="00B52256" w:rsidRDefault="00412E16" w:rsidP="00842ECB">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 xml:space="preserve">Sabiedrības līdzdalības un komunikācijas aktivitātes veiktas jau 2018.gadā un 2019.gadā, kad izstrādāta un apstiprināta programmas koncepcija. 2018.gada 20.februārī Rīgā organizēta programmas nozares konsultācijas, sniedzot savus ieteikumus programmas satura izstrādei, kā arī 2019.gada 6.martā programmas koncepcija saskaņota ar Nevalstisko organizāciju un Ministru kabineta sadarbības memoranda īstenošanas padomi. Pamatojoties uz programmas koncepcijā noteikto programmas saturu, izstrādāts </w:t>
            </w:r>
            <w:r w:rsidR="003F230E">
              <w:rPr>
                <w:rFonts w:ascii="Times New Roman" w:eastAsia="Times New Roman" w:hAnsi="Times New Roman" w:cs="Times New Roman"/>
                <w:sz w:val="28"/>
                <w:szCs w:val="28"/>
                <w:lang w:eastAsia="lv-LV"/>
              </w:rPr>
              <w:t>Noteikumu p</w:t>
            </w:r>
            <w:r w:rsidR="003F230E" w:rsidRPr="003F230E">
              <w:rPr>
                <w:rFonts w:ascii="Times New Roman" w:eastAsia="Times New Roman" w:hAnsi="Times New Roman" w:cs="Times New Roman"/>
                <w:sz w:val="28"/>
                <w:szCs w:val="28"/>
                <w:lang w:eastAsia="lv-LV"/>
              </w:rPr>
              <w:t>rojekts</w:t>
            </w:r>
            <w:r w:rsidRPr="00B52256">
              <w:rPr>
                <w:rFonts w:ascii="Times New Roman" w:eastAsia="Times New Roman" w:hAnsi="Times New Roman" w:cs="Times New Roman"/>
                <w:sz w:val="28"/>
                <w:szCs w:val="28"/>
                <w:lang w:eastAsia="lv-LV"/>
              </w:rPr>
              <w:t>.</w:t>
            </w:r>
          </w:p>
          <w:p w14:paraId="36F7E83F" w14:textId="50341365" w:rsidR="002005CF" w:rsidRDefault="00412E16" w:rsidP="00842ECB">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 xml:space="preserve">Tāpat notikušas diskusijas 2018.gada decembrī ar kultūras un izglītības jomu ekspertiem, kā arī organizēti </w:t>
            </w:r>
            <w:r w:rsidR="002005CF">
              <w:rPr>
                <w:rFonts w:ascii="Times New Roman" w:eastAsia="Times New Roman" w:hAnsi="Times New Roman" w:cs="Times New Roman"/>
                <w:sz w:val="28"/>
                <w:szCs w:val="28"/>
                <w:lang w:eastAsia="lv-LV"/>
              </w:rPr>
              <w:t>divi</w:t>
            </w:r>
            <w:r w:rsidR="002005CF" w:rsidRPr="00B52256">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pasākumi</w:t>
            </w:r>
            <w:r w:rsidR="00A62A6F">
              <w:rPr>
                <w:rFonts w:ascii="Times New Roman" w:eastAsia="Times New Roman" w:hAnsi="Times New Roman" w:cs="Times New Roman"/>
                <w:sz w:val="28"/>
                <w:szCs w:val="28"/>
                <w:lang w:eastAsia="lv-LV"/>
              </w:rPr>
              <w:t xml:space="preserve"> </w:t>
            </w:r>
            <w:r w:rsidRPr="00B52256">
              <w:rPr>
                <w:rFonts w:ascii="Times New Roman" w:eastAsia="Times New Roman" w:hAnsi="Times New Roman" w:cs="Times New Roman"/>
                <w:sz w:val="28"/>
                <w:szCs w:val="28"/>
                <w:lang w:eastAsia="lv-LV"/>
              </w:rPr>
              <w:t xml:space="preserve">2019.gada martā un novembrī, kur potenciālie projektu iesniedzēji </w:t>
            </w:r>
            <w:r w:rsidRPr="00B52256">
              <w:rPr>
                <w:rFonts w:ascii="Times New Roman" w:eastAsia="Times New Roman" w:hAnsi="Times New Roman" w:cs="Times New Roman"/>
                <w:sz w:val="28"/>
                <w:szCs w:val="28"/>
                <w:lang w:eastAsia="lv-LV"/>
              </w:rPr>
              <w:lastRenderedPageBreak/>
              <w:t>tikuši informēti par programmas atklātā konkursa plāno</w:t>
            </w:r>
            <w:r w:rsidR="00A62A6F">
              <w:rPr>
                <w:rFonts w:ascii="Times New Roman" w:eastAsia="Times New Roman" w:hAnsi="Times New Roman" w:cs="Times New Roman"/>
                <w:sz w:val="28"/>
                <w:szCs w:val="28"/>
                <w:lang w:eastAsia="lv-LV"/>
              </w:rPr>
              <w:t>šanu</w:t>
            </w:r>
            <w:r w:rsidRPr="00B52256">
              <w:rPr>
                <w:rFonts w:ascii="Times New Roman" w:eastAsia="Times New Roman" w:hAnsi="Times New Roman" w:cs="Times New Roman"/>
                <w:sz w:val="28"/>
                <w:szCs w:val="28"/>
                <w:lang w:eastAsia="lv-LV"/>
              </w:rPr>
              <w:t>.</w:t>
            </w:r>
          </w:p>
          <w:p w14:paraId="2BEA921C" w14:textId="673B62D8" w:rsidR="00412E16" w:rsidRPr="00B52256" w:rsidRDefault="003F230E" w:rsidP="00490F6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w:t>
            </w:r>
            <w:r w:rsidRPr="003F230E">
              <w:rPr>
                <w:rFonts w:ascii="Times New Roman" w:eastAsia="Times New Roman" w:hAnsi="Times New Roman" w:cs="Times New Roman"/>
                <w:sz w:val="28"/>
                <w:szCs w:val="28"/>
                <w:lang w:eastAsia="lv-LV"/>
              </w:rPr>
              <w:t>rojekts</w:t>
            </w:r>
            <w:r w:rsidR="00BD48DD">
              <w:rPr>
                <w:rFonts w:ascii="Times New Roman" w:eastAsia="Times New Roman" w:hAnsi="Times New Roman" w:cs="Times New Roman"/>
                <w:sz w:val="28"/>
                <w:szCs w:val="28"/>
                <w:lang w:eastAsia="lv-LV"/>
              </w:rPr>
              <w:t xml:space="preserve"> </w:t>
            </w:r>
            <w:r w:rsidR="002005CF">
              <w:rPr>
                <w:rFonts w:ascii="Times New Roman" w:eastAsia="Times New Roman" w:hAnsi="Times New Roman" w:cs="Times New Roman"/>
                <w:sz w:val="28"/>
                <w:szCs w:val="28"/>
                <w:lang w:eastAsia="lv-LV"/>
              </w:rPr>
              <w:t>sagatavots sadarbībā</w:t>
            </w:r>
            <w:r w:rsidR="00BD48DD">
              <w:rPr>
                <w:rFonts w:ascii="Times New Roman" w:eastAsia="Times New Roman" w:hAnsi="Times New Roman" w:cs="Times New Roman"/>
                <w:sz w:val="28"/>
                <w:szCs w:val="28"/>
                <w:lang w:eastAsia="lv-LV"/>
              </w:rPr>
              <w:t xml:space="preserve"> ar Norvēģijas Mākslas padomi.</w:t>
            </w:r>
          </w:p>
        </w:tc>
      </w:tr>
      <w:tr w:rsidR="007C7951" w:rsidRPr="00BA4EF1" w14:paraId="13972AE4" w14:textId="77777777" w:rsidTr="007C7951">
        <w:trPr>
          <w:trHeight w:val="372"/>
          <w:tblCellSpacing w:w="20" w:type="dxa"/>
          <w:jc w:val="center"/>
        </w:trPr>
        <w:tc>
          <w:tcPr>
            <w:tcW w:w="384" w:type="pct"/>
            <w:hideMark/>
          </w:tcPr>
          <w:p w14:paraId="0F030282" w14:textId="77777777" w:rsidR="007C7951" w:rsidRPr="00B52256" w:rsidRDefault="007C7951" w:rsidP="007C7951">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lastRenderedPageBreak/>
              <w:t>3.</w:t>
            </w:r>
          </w:p>
        </w:tc>
        <w:tc>
          <w:tcPr>
            <w:tcW w:w="1602" w:type="pct"/>
            <w:hideMark/>
          </w:tcPr>
          <w:p w14:paraId="0183E004" w14:textId="77777777" w:rsidR="007C7951" w:rsidRPr="00842ECB" w:rsidRDefault="007C7951" w:rsidP="007C7951">
            <w:pPr>
              <w:spacing w:after="0" w:line="240" w:lineRule="auto"/>
              <w:rPr>
                <w:rFonts w:ascii="Times New Roman" w:eastAsia="Times New Roman" w:hAnsi="Times New Roman" w:cs="Times New Roman"/>
                <w:sz w:val="28"/>
                <w:szCs w:val="28"/>
                <w:lang w:eastAsia="lv-LV"/>
              </w:rPr>
            </w:pPr>
            <w:r w:rsidRPr="00842ECB">
              <w:rPr>
                <w:rFonts w:ascii="Times New Roman" w:eastAsia="Times New Roman" w:hAnsi="Times New Roman" w:cs="Times New Roman"/>
                <w:color w:val="0D0D0D" w:themeColor="text1" w:themeTint="F2"/>
                <w:sz w:val="28"/>
                <w:szCs w:val="28"/>
                <w:lang w:eastAsia="lv-LV"/>
              </w:rPr>
              <w:t>Sabiedrības līdzdalības rezultāti</w:t>
            </w:r>
          </w:p>
        </w:tc>
        <w:tc>
          <w:tcPr>
            <w:tcW w:w="2927" w:type="pct"/>
            <w:hideMark/>
          </w:tcPr>
          <w:p w14:paraId="3B35A211" w14:textId="3B8AE818" w:rsidR="007C7951" w:rsidRPr="00842ECB" w:rsidRDefault="00B31741" w:rsidP="007C795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r w:rsidR="007C7951" w:rsidRPr="00BA4EF1" w14:paraId="077FDEEF" w14:textId="77777777" w:rsidTr="007C7951">
        <w:trPr>
          <w:trHeight w:val="230"/>
          <w:tblCellSpacing w:w="20" w:type="dxa"/>
          <w:jc w:val="center"/>
        </w:trPr>
        <w:tc>
          <w:tcPr>
            <w:tcW w:w="384" w:type="pct"/>
            <w:hideMark/>
          </w:tcPr>
          <w:p w14:paraId="29551B10" w14:textId="77777777" w:rsidR="007C7951" w:rsidRPr="00B52256" w:rsidRDefault="007C7951" w:rsidP="007C7951">
            <w:pPr>
              <w:spacing w:after="0" w:line="240" w:lineRule="auto"/>
              <w:jc w:val="center"/>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4.</w:t>
            </w:r>
          </w:p>
        </w:tc>
        <w:tc>
          <w:tcPr>
            <w:tcW w:w="1602" w:type="pct"/>
            <w:hideMark/>
          </w:tcPr>
          <w:p w14:paraId="40FBEB10" w14:textId="77777777" w:rsidR="007C7951" w:rsidRPr="00B52256" w:rsidRDefault="007C7951" w:rsidP="007C795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Cita informācija</w:t>
            </w:r>
          </w:p>
        </w:tc>
        <w:tc>
          <w:tcPr>
            <w:tcW w:w="2927" w:type="pct"/>
            <w:hideMark/>
          </w:tcPr>
          <w:p w14:paraId="1B758BC6" w14:textId="25EB7703" w:rsidR="007C7951" w:rsidRPr="00B52256" w:rsidRDefault="007C7951" w:rsidP="007C7951">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Nav</w:t>
            </w:r>
          </w:p>
        </w:tc>
      </w:tr>
    </w:tbl>
    <w:p w14:paraId="64EE0E13" w14:textId="77777777" w:rsidR="002005CF" w:rsidRPr="00B52256" w:rsidRDefault="002005CF" w:rsidP="00BA4EF1">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83" w:type="pct"/>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22"/>
        <w:gridCol w:w="3048"/>
        <w:gridCol w:w="5335"/>
      </w:tblGrid>
      <w:tr w:rsidR="00152C21" w:rsidRPr="00BA4EF1" w14:paraId="283C050D" w14:textId="77777777" w:rsidTr="00687359">
        <w:trPr>
          <w:trHeight w:val="300"/>
          <w:tblCellSpacing w:w="20" w:type="dxa"/>
        </w:trPr>
        <w:tc>
          <w:tcPr>
            <w:tcW w:w="4957" w:type="pct"/>
            <w:gridSpan w:val="3"/>
            <w:vAlign w:val="center"/>
            <w:hideMark/>
          </w:tcPr>
          <w:p w14:paraId="1BF1D9C4" w14:textId="77777777" w:rsidR="00894C55" w:rsidRPr="00B52256" w:rsidRDefault="00B32BBE" w:rsidP="00B52256">
            <w:pPr>
              <w:spacing w:after="0" w:line="240" w:lineRule="auto"/>
              <w:jc w:val="center"/>
              <w:rPr>
                <w:rFonts w:ascii="Times New Roman" w:eastAsia="Times New Roman" w:hAnsi="Times New Roman" w:cs="Times New Roman"/>
                <w:b/>
                <w:bCs/>
                <w:sz w:val="28"/>
                <w:szCs w:val="28"/>
                <w:lang w:eastAsia="lv-LV"/>
              </w:rPr>
            </w:pPr>
            <w:r w:rsidRPr="00B52256">
              <w:rPr>
                <w:rFonts w:ascii="Times New Roman" w:eastAsia="Times New Roman" w:hAnsi="Times New Roman" w:cs="Times New Roman"/>
                <w:b/>
                <w:bCs/>
                <w:sz w:val="28"/>
                <w:szCs w:val="28"/>
                <w:lang w:eastAsia="lv-LV"/>
              </w:rPr>
              <w:t>VII.</w:t>
            </w:r>
            <w:r w:rsidR="00816C11" w:rsidRPr="00B52256">
              <w:rPr>
                <w:rFonts w:ascii="Times New Roman" w:eastAsia="Times New Roman" w:hAnsi="Times New Roman" w:cs="Times New Roman"/>
                <w:b/>
                <w:bCs/>
                <w:sz w:val="28"/>
                <w:szCs w:val="28"/>
                <w:lang w:eastAsia="lv-LV"/>
              </w:rPr>
              <w:t> </w:t>
            </w:r>
            <w:r w:rsidRPr="00B52256">
              <w:rPr>
                <w:rFonts w:ascii="Times New Roman" w:eastAsia="Times New Roman" w:hAnsi="Times New Roman" w:cs="Times New Roman"/>
                <w:b/>
                <w:bCs/>
                <w:sz w:val="28"/>
                <w:szCs w:val="28"/>
                <w:lang w:eastAsia="lv-LV"/>
              </w:rPr>
              <w:t>Tiesību akta projekta izpildes nodrošināšana un tās ietekme uz institūcijām</w:t>
            </w:r>
          </w:p>
        </w:tc>
      </w:tr>
      <w:tr w:rsidR="00FE7493" w:rsidRPr="00FE7493" w14:paraId="567D3E66" w14:textId="77777777" w:rsidTr="00FE7493">
        <w:trPr>
          <w:trHeight w:val="336"/>
          <w:tblCellSpacing w:w="20" w:type="dxa"/>
        </w:trPr>
        <w:tc>
          <w:tcPr>
            <w:tcW w:w="417" w:type="pct"/>
            <w:hideMark/>
          </w:tcPr>
          <w:p w14:paraId="219A9D30" w14:textId="77777777" w:rsidR="00894C55" w:rsidRPr="00B52256" w:rsidRDefault="00B32BBE" w:rsidP="00BA4EF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1.</w:t>
            </w:r>
          </w:p>
        </w:tc>
        <w:tc>
          <w:tcPr>
            <w:tcW w:w="1649" w:type="pct"/>
            <w:hideMark/>
          </w:tcPr>
          <w:p w14:paraId="438D0FA2" w14:textId="77777777" w:rsidR="00894C55" w:rsidRPr="00B52256" w:rsidRDefault="00B32BBE" w:rsidP="00B6303F">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Projekta izpildē iesaistītās institūcijas</w:t>
            </w:r>
          </w:p>
        </w:tc>
        <w:tc>
          <w:tcPr>
            <w:tcW w:w="2848" w:type="pct"/>
            <w:hideMark/>
          </w:tcPr>
          <w:p w14:paraId="159D817C" w14:textId="63051218" w:rsidR="00C17171" w:rsidRPr="00B52256" w:rsidRDefault="00B32BBE" w:rsidP="00B52256">
            <w:pPr>
              <w:spacing w:after="0" w:line="240" w:lineRule="auto"/>
              <w:jc w:val="both"/>
              <w:rPr>
                <w:rFonts w:ascii="Times New Roman" w:hAnsi="Times New Roman" w:cs="Times New Roman"/>
                <w:sz w:val="28"/>
                <w:szCs w:val="28"/>
              </w:rPr>
            </w:pPr>
            <w:r w:rsidRPr="00B52256">
              <w:rPr>
                <w:rFonts w:ascii="Times New Roman" w:hAnsi="Times New Roman" w:cs="Times New Roman"/>
                <w:color w:val="0D0D0D" w:themeColor="text1" w:themeTint="F2"/>
                <w:sz w:val="28"/>
                <w:szCs w:val="28"/>
              </w:rPr>
              <w:t xml:space="preserve">Finanšu ministrija kā vadošā iestāde, </w:t>
            </w:r>
            <w:r w:rsidR="00044D81" w:rsidRPr="00B52256">
              <w:rPr>
                <w:rFonts w:ascii="Times New Roman" w:hAnsi="Times New Roman" w:cs="Times New Roman"/>
                <w:sz w:val="28"/>
                <w:szCs w:val="28"/>
              </w:rPr>
              <w:t>programmas apsaimniekotājs</w:t>
            </w:r>
            <w:r w:rsidR="00FE7493">
              <w:rPr>
                <w:rFonts w:ascii="Times New Roman" w:hAnsi="Times New Roman" w:cs="Times New Roman"/>
                <w:sz w:val="28"/>
                <w:szCs w:val="28"/>
              </w:rPr>
              <w:t xml:space="preserve"> un</w:t>
            </w:r>
            <w:r w:rsidR="00044D81" w:rsidRPr="00B52256">
              <w:rPr>
                <w:rFonts w:ascii="Times New Roman" w:hAnsi="Times New Roman" w:cs="Times New Roman"/>
                <w:sz w:val="28"/>
                <w:szCs w:val="28"/>
              </w:rPr>
              <w:t xml:space="preserve"> </w:t>
            </w:r>
            <w:r w:rsidR="008B7308" w:rsidRPr="00B52256">
              <w:rPr>
                <w:rFonts w:ascii="Times New Roman" w:hAnsi="Times New Roman" w:cs="Times New Roman"/>
                <w:sz w:val="28"/>
                <w:szCs w:val="28"/>
              </w:rPr>
              <w:t>programmas partneris</w:t>
            </w:r>
            <w:r w:rsidR="00044D81" w:rsidRPr="00B52256">
              <w:rPr>
                <w:rFonts w:ascii="Times New Roman" w:hAnsi="Times New Roman" w:cs="Times New Roman"/>
                <w:sz w:val="28"/>
                <w:szCs w:val="28"/>
              </w:rPr>
              <w:t>.</w:t>
            </w:r>
          </w:p>
        </w:tc>
      </w:tr>
      <w:tr w:rsidR="00FE7493" w:rsidRPr="00FE7493" w14:paraId="320FC59D" w14:textId="77777777" w:rsidTr="00FE7493">
        <w:trPr>
          <w:trHeight w:val="360"/>
          <w:tblCellSpacing w:w="20" w:type="dxa"/>
        </w:trPr>
        <w:tc>
          <w:tcPr>
            <w:tcW w:w="417" w:type="pct"/>
            <w:hideMark/>
          </w:tcPr>
          <w:p w14:paraId="1DCFAC6B" w14:textId="77777777" w:rsidR="00894C55" w:rsidRPr="00B52256" w:rsidRDefault="00B32BBE" w:rsidP="00BA4EF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2.</w:t>
            </w:r>
          </w:p>
        </w:tc>
        <w:tc>
          <w:tcPr>
            <w:tcW w:w="1649" w:type="pct"/>
            <w:hideMark/>
          </w:tcPr>
          <w:p w14:paraId="431644C9" w14:textId="77777777" w:rsidR="00BA4EF1" w:rsidRDefault="00B32BBE" w:rsidP="00BA4EF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Projekta izpildes ietekme uz pārvaldes funkcijām un institucionālo struktūru.</w:t>
            </w:r>
            <w:r w:rsidR="003F5B81" w:rsidRPr="00B52256">
              <w:rPr>
                <w:rFonts w:ascii="Times New Roman" w:eastAsia="Times New Roman" w:hAnsi="Times New Roman" w:cs="Times New Roman"/>
                <w:sz w:val="28"/>
                <w:szCs w:val="28"/>
                <w:lang w:eastAsia="lv-LV"/>
              </w:rPr>
              <w:t xml:space="preserve"> </w:t>
            </w:r>
          </w:p>
          <w:p w14:paraId="32F0299B" w14:textId="77777777" w:rsidR="00894C55" w:rsidRPr="00B52256" w:rsidRDefault="00B32BBE" w:rsidP="00BA4EF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48" w:type="pct"/>
            <w:hideMark/>
          </w:tcPr>
          <w:p w14:paraId="4278DEFF" w14:textId="67F5C3D0" w:rsidR="005561F1" w:rsidRPr="0063759D" w:rsidRDefault="0063759D" w:rsidP="00B52256">
            <w:pPr>
              <w:spacing w:after="0" w:line="240" w:lineRule="auto"/>
              <w:jc w:val="both"/>
              <w:rPr>
                <w:rFonts w:ascii="Times New Roman" w:eastAsia="Times New Roman" w:hAnsi="Times New Roman" w:cs="Times New Roman"/>
                <w:sz w:val="28"/>
                <w:szCs w:val="28"/>
                <w:lang w:eastAsia="lv-LV"/>
              </w:rPr>
            </w:pPr>
            <w:r w:rsidRPr="00C36C47">
              <w:rPr>
                <w:rFonts w:ascii="Times New Roman" w:hAnsi="Times New Roman" w:cs="Times New Roman"/>
                <w:spacing w:val="-4"/>
                <w:sz w:val="28"/>
                <w:szCs w:val="28"/>
              </w:rPr>
              <w:t xml:space="preserve">Noteikumu </w:t>
            </w:r>
            <w:r w:rsidRPr="00C36C47">
              <w:rPr>
                <w:rFonts w:ascii="Times New Roman" w:hAnsi="Times New Roman" w:cs="Times New Roman"/>
                <w:bCs/>
                <w:iCs/>
                <w:sz w:val="28"/>
                <w:szCs w:val="28"/>
              </w:rPr>
              <w:t>projekta īstenošana tiks veikta esošo cilvē</w:t>
            </w:r>
            <w:r>
              <w:rPr>
                <w:rFonts w:ascii="Times New Roman" w:hAnsi="Times New Roman" w:cs="Times New Roman"/>
                <w:bCs/>
                <w:iCs/>
                <w:sz w:val="28"/>
                <w:szCs w:val="28"/>
              </w:rPr>
              <w:t>kresursu ietvaros. Saistībā ar N</w:t>
            </w:r>
            <w:r w:rsidRPr="00C36C47">
              <w:rPr>
                <w:rFonts w:ascii="Times New Roman" w:hAnsi="Times New Roman" w:cs="Times New Roman"/>
                <w:bCs/>
                <w:iCs/>
                <w:sz w:val="28"/>
                <w:szCs w:val="28"/>
              </w:rPr>
              <w:t>oteikumu projekta izpildi nebūs nepieciešams veidot jaunas institūcijas vai likvidēt, reorganizēt esošās.</w:t>
            </w:r>
          </w:p>
        </w:tc>
      </w:tr>
      <w:tr w:rsidR="00FE7493" w:rsidRPr="00FE7493" w14:paraId="08BD4ED7" w14:textId="77777777" w:rsidTr="00FE7493">
        <w:trPr>
          <w:trHeight w:val="312"/>
          <w:tblCellSpacing w:w="20" w:type="dxa"/>
        </w:trPr>
        <w:tc>
          <w:tcPr>
            <w:tcW w:w="417" w:type="pct"/>
            <w:hideMark/>
          </w:tcPr>
          <w:p w14:paraId="221CDDDF" w14:textId="77777777" w:rsidR="00894C55" w:rsidRPr="00B52256" w:rsidRDefault="00B32BBE" w:rsidP="00BA4EF1">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3.</w:t>
            </w:r>
          </w:p>
        </w:tc>
        <w:tc>
          <w:tcPr>
            <w:tcW w:w="1649" w:type="pct"/>
            <w:hideMark/>
          </w:tcPr>
          <w:p w14:paraId="48787294" w14:textId="77777777" w:rsidR="00894C55" w:rsidRPr="00B52256" w:rsidRDefault="00B32BBE" w:rsidP="00B6303F">
            <w:pPr>
              <w:spacing w:after="0" w:line="240" w:lineRule="auto"/>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Cita informācija</w:t>
            </w:r>
          </w:p>
        </w:tc>
        <w:tc>
          <w:tcPr>
            <w:tcW w:w="2848" w:type="pct"/>
          </w:tcPr>
          <w:p w14:paraId="4FD064F1" w14:textId="32CBB344" w:rsidR="00894C55" w:rsidRPr="00B52256" w:rsidRDefault="00CD67FF" w:rsidP="00B52256">
            <w:pPr>
              <w:spacing w:after="0" w:line="240" w:lineRule="auto"/>
              <w:jc w:val="both"/>
              <w:rPr>
                <w:rFonts w:ascii="Times New Roman" w:eastAsia="Times New Roman" w:hAnsi="Times New Roman" w:cs="Times New Roman"/>
                <w:sz w:val="28"/>
                <w:szCs w:val="28"/>
                <w:lang w:eastAsia="lv-LV"/>
              </w:rPr>
            </w:pPr>
            <w:r w:rsidRPr="00B52256">
              <w:rPr>
                <w:rFonts w:ascii="Times New Roman" w:eastAsia="Times New Roman" w:hAnsi="Times New Roman" w:cs="Times New Roman"/>
                <w:sz w:val="28"/>
                <w:szCs w:val="28"/>
                <w:lang w:eastAsia="lv-LV"/>
              </w:rPr>
              <w:t>Nav</w:t>
            </w:r>
          </w:p>
        </w:tc>
      </w:tr>
    </w:tbl>
    <w:p w14:paraId="6186470D" w14:textId="77777777" w:rsidR="003C7FB7" w:rsidRDefault="003C7FB7" w:rsidP="00BA4EF1">
      <w:pPr>
        <w:spacing w:after="0" w:line="240" w:lineRule="auto"/>
        <w:rPr>
          <w:rFonts w:ascii="Times New Roman" w:hAnsi="Times New Roman" w:cs="Times New Roman"/>
          <w:sz w:val="28"/>
          <w:szCs w:val="28"/>
        </w:rPr>
      </w:pPr>
    </w:p>
    <w:p w14:paraId="7760995B" w14:textId="77777777" w:rsidR="00BA4EF1" w:rsidRPr="00BA4EF1" w:rsidRDefault="00BA4EF1" w:rsidP="00BA4EF1">
      <w:pPr>
        <w:spacing w:after="0" w:line="240" w:lineRule="auto"/>
        <w:rPr>
          <w:rFonts w:ascii="Times New Roman" w:hAnsi="Times New Roman" w:cs="Times New Roman"/>
          <w:sz w:val="28"/>
          <w:szCs w:val="28"/>
        </w:rPr>
      </w:pPr>
    </w:p>
    <w:p w14:paraId="4FE83DE1" w14:textId="0CB6E973" w:rsidR="00BA4EF1" w:rsidRPr="00BA4EF1" w:rsidRDefault="00842ECB" w:rsidP="00BA4EF1">
      <w:pPr>
        <w:widowControl w:val="0"/>
        <w:tabs>
          <w:tab w:val="left" w:pos="7371"/>
        </w:tabs>
        <w:spacing w:after="0" w:line="240" w:lineRule="auto"/>
        <w:ind w:left="284"/>
        <w:rPr>
          <w:rFonts w:ascii="Times New Roman" w:eastAsia="Calibri" w:hAnsi="Times New Roman" w:cs="Times New Roman"/>
          <w:bCs/>
          <w:iCs/>
          <w:sz w:val="28"/>
          <w:szCs w:val="28"/>
          <w:lang w:eastAsia="lv-LV"/>
        </w:rPr>
      </w:pPr>
      <w:r>
        <w:rPr>
          <w:rFonts w:ascii="Times New Roman" w:eastAsia="Calibri" w:hAnsi="Times New Roman" w:cs="Times New Roman"/>
          <w:bCs/>
          <w:iCs/>
          <w:sz w:val="28"/>
          <w:szCs w:val="28"/>
          <w:lang w:eastAsia="lv-LV"/>
        </w:rPr>
        <w:t>Vides aizsardzības un reģionālās attīstības</w:t>
      </w:r>
      <w:r w:rsidR="00BA4EF1" w:rsidRPr="00BA4EF1">
        <w:rPr>
          <w:rFonts w:ascii="Times New Roman" w:eastAsia="Calibri" w:hAnsi="Times New Roman" w:cs="Times New Roman"/>
          <w:bCs/>
          <w:iCs/>
          <w:sz w:val="28"/>
          <w:szCs w:val="28"/>
          <w:lang w:eastAsia="lv-LV"/>
        </w:rPr>
        <w:t xml:space="preserve"> ministrs</w:t>
      </w:r>
      <w:r w:rsidR="00BA4EF1" w:rsidRPr="00BA4EF1">
        <w:rPr>
          <w:rFonts w:ascii="Times New Roman" w:eastAsia="Calibri" w:hAnsi="Times New Roman" w:cs="Times New Roman"/>
          <w:bCs/>
          <w:iCs/>
          <w:sz w:val="28"/>
          <w:szCs w:val="28"/>
          <w:lang w:eastAsia="lv-LV"/>
        </w:rPr>
        <w:tab/>
      </w:r>
      <w:r>
        <w:rPr>
          <w:rFonts w:ascii="Times New Roman" w:eastAsia="Times New Roman" w:hAnsi="Times New Roman" w:cs="Times New Roman"/>
          <w:sz w:val="28"/>
          <w:szCs w:val="28"/>
          <w:lang w:eastAsia="lv-LV"/>
        </w:rPr>
        <w:t>J.Pūce</w:t>
      </w:r>
    </w:p>
    <w:p w14:paraId="1B9ACA77" w14:textId="77777777" w:rsidR="00BA4EF1" w:rsidRPr="00BA4EF1" w:rsidRDefault="00BA4EF1" w:rsidP="00BA4EF1">
      <w:pPr>
        <w:widowControl w:val="0"/>
        <w:tabs>
          <w:tab w:val="left" w:pos="7371"/>
        </w:tabs>
        <w:spacing w:after="0" w:line="240" w:lineRule="auto"/>
        <w:ind w:left="284" w:firstLine="142"/>
        <w:rPr>
          <w:rFonts w:ascii="Times New Roman" w:eastAsia="Calibri" w:hAnsi="Times New Roman" w:cs="Times New Roman"/>
          <w:sz w:val="28"/>
          <w:szCs w:val="28"/>
          <w:lang w:eastAsia="lv-LV"/>
        </w:rPr>
      </w:pPr>
    </w:p>
    <w:p w14:paraId="31C76907" w14:textId="77777777" w:rsidR="0063759D" w:rsidRDefault="0063759D" w:rsidP="00BA4EF1">
      <w:pPr>
        <w:tabs>
          <w:tab w:val="left" w:pos="6237"/>
        </w:tabs>
        <w:spacing w:after="0" w:line="240" w:lineRule="auto"/>
        <w:rPr>
          <w:rFonts w:ascii="Times New Roman" w:eastAsia="Calibri" w:hAnsi="Times New Roman" w:cs="Times New Roman"/>
          <w:sz w:val="28"/>
          <w:szCs w:val="28"/>
          <w:lang w:eastAsia="lv-LV"/>
        </w:rPr>
      </w:pPr>
    </w:p>
    <w:p w14:paraId="4A150D1B" w14:textId="77777777" w:rsidR="0063759D" w:rsidRDefault="0063759D" w:rsidP="00BA4EF1">
      <w:pPr>
        <w:tabs>
          <w:tab w:val="left" w:pos="6237"/>
        </w:tabs>
        <w:spacing w:after="0" w:line="240" w:lineRule="auto"/>
        <w:rPr>
          <w:rFonts w:ascii="Times New Roman" w:eastAsia="Calibri" w:hAnsi="Times New Roman" w:cs="Times New Roman"/>
          <w:sz w:val="28"/>
          <w:szCs w:val="28"/>
          <w:lang w:eastAsia="lv-LV"/>
        </w:rPr>
      </w:pPr>
    </w:p>
    <w:p w14:paraId="24A49D4D" w14:textId="77777777" w:rsidR="0063759D" w:rsidRDefault="0063759D" w:rsidP="00BA4EF1">
      <w:pPr>
        <w:tabs>
          <w:tab w:val="left" w:pos="6237"/>
        </w:tabs>
        <w:spacing w:after="0" w:line="240" w:lineRule="auto"/>
        <w:rPr>
          <w:rFonts w:ascii="Times New Roman" w:eastAsia="Calibri" w:hAnsi="Times New Roman" w:cs="Times New Roman"/>
          <w:sz w:val="28"/>
          <w:szCs w:val="28"/>
          <w:lang w:eastAsia="lv-LV"/>
        </w:rPr>
      </w:pPr>
    </w:p>
    <w:p w14:paraId="5A335A4E" w14:textId="77777777" w:rsidR="0063759D" w:rsidRDefault="0063759D" w:rsidP="00BA4EF1">
      <w:pPr>
        <w:tabs>
          <w:tab w:val="left" w:pos="6237"/>
        </w:tabs>
        <w:spacing w:after="0" w:line="240" w:lineRule="auto"/>
        <w:rPr>
          <w:rFonts w:ascii="Times New Roman" w:eastAsia="Calibri" w:hAnsi="Times New Roman" w:cs="Times New Roman"/>
          <w:sz w:val="28"/>
          <w:szCs w:val="28"/>
          <w:lang w:eastAsia="lv-LV"/>
        </w:rPr>
      </w:pPr>
    </w:p>
    <w:p w14:paraId="3524EB7A" w14:textId="3C8D0F0F" w:rsidR="005561F1" w:rsidRPr="00842ECB" w:rsidRDefault="00842ECB" w:rsidP="00BA4EF1">
      <w:pPr>
        <w:tabs>
          <w:tab w:val="left" w:pos="6237"/>
        </w:tabs>
        <w:spacing w:after="0" w:line="240" w:lineRule="auto"/>
        <w:rPr>
          <w:rFonts w:ascii="Times New Roman" w:hAnsi="Times New Roman" w:cs="Times New Roman"/>
          <w:sz w:val="20"/>
          <w:szCs w:val="20"/>
        </w:rPr>
      </w:pPr>
      <w:r w:rsidRPr="00842ECB">
        <w:rPr>
          <w:rFonts w:ascii="Times New Roman" w:hAnsi="Times New Roman" w:cs="Times New Roman"/>
          <w:sz w:val="20"/>
          <w:szCs w:val="20"/>
        </w:rPr>
        <w:t>Andžāne 67026469</w:t>
      </w:r>
    </w:p>
    <w:p w14:paraId="0A877583" w14:textId="37BD2FAB" w:rsidR="00842ECB" w:rsidRDefault="00E12D6C" w:rsidP="00BA4EF1">
      <w:pPr>
        <w:tabs>
          <w:tab w:val="left" w:pos="6237"/>
        </w:tabs>
        <w:spacing w:after="0" w:line="240" w:lineRule="auto"/>
        <w:rPr>
          <w:rFonts w:ascii="Times New Roman" w:hAnsi="Times New Roman" w:cs="Times New Roman"/>
          <w:sz w:val="20"/>
          <w:szCs w:val="20"/>
        </w:rPr>
      </w:pPr>
      <w:hyperlink r:id="rId13" w:history="1">
        <w:r w:rsidR="00842ECB" w:rsidRPr="008953DA">
          <w:rPr>
            <w:rStyle w:val="Hyperlink"/>
            <w:rFonts w:ascii="Times New Roman" w:hAnsi="Times New Roman" w:cs="Times New Roman"/>
            <w:sz w:val="20"/>
            <w:szCs w:val="20"/>
          </w:rPr>
          <w:t>agnese.andzane@varam.gov.lv</w:t>
        </w:r>
      </w:hyperlink>
    </w:p>
    <w:p w14:paraId="5E941979" w14:textId="77777777" w:rsidR="00842ECB" w:rsidRPr="00842ECB" w:rsidRDefault="00842ECB" w:rsidP="00BA4EF1">
      <w:pPr>
        <w:tabs>
          <w:tab w:val="left" w:pos="6237"/>
        </w:tabs>
        <w:spacing w:after="0" w:line="240" w:lineRule="auto"/>
        <w:rPr>
          <w:rFonts w:ascii="Times New Roman" w:hAnsi="Times New Roman" w:cs="Times New Roman"/>
          <w:sz w:val="20"/>
          <w:szCs w:val="20"/>
        </w:rPr>
      </w:pPr>
    </w:p>
    <w:p w14:paraId="646A87C0" w14:textId="1B9EE092" w:rsidR="009B6E73" w:rsidRDefault="009B6E73" w:rsidP="00BA4EF1">
      <w:pPr>
        <w:tabs>
          <w:tab w:val="left" w:pos="6237"/>
        </w:tabs>
        <w:spacing w:after="0" w:line="240" w:lineRule="auto"/>
        <w:rPr>
          <w:rFonts w:ascii="Times New Roman" w:hAnsi="Times New Roman" w:cs="Times New Roman"/>
          <w:sz w:val="28"/>
          <w:szCs w:val="28"/>
        </w:rPr>
      </w:pPr>
    </w:p>
    <w:p w14:paraId="0E490DB4" w14:textId="239F5AC7" w:rsidR="002005CF" w:rsidRDefault="002005CF" w:rsidP="00BA4EF1">
      <w:pPr>
        <w:tabs>
          <w:tab w:val="left" w:pos="6237"/>
        </w:tabs>
        <w:spacing w:after="0" w:line="240" w:lineRule="auto"/>
        <w:rPr>
          <w:rFonts w:ascii="Times New Roman" w:hAnsi="Times New Roman" w:cs="Times New Roman"/>
          <w:sz w:val="28"/>
          <w:szCs w:val="28"/>
        </w:rPr>
      </w:pPr>
    </w:p>
    <w:p w14:paraId="336A5A76" w14:textId="121D365D" w:rsidR="002005CF" w:rsidRDefault="002005CF" w:rsidP="00BA4EF1">
      <w:pPr>
        <w:tabs>
          <w:tab w:val="left" w:pos="6237"/>
        </w:tabs>
        <w:spacing w:after="0" w:line="240" w:lineRule="auto"/>
        <w:rPr>
          <w:rFonts w:ascii="Times New Roman" w:hAnsi="Times New Roman" w:cs="Times New Roman"/>
          <w:sz w:val="28"/>
          <w:szCs w:val="28"/>
        </w:rPr>
      </w:pPr>
    </w:p>
    <w:p w14:paraId="05BB4AEE" w14:textId="7D364853" w:rsidR="002005CF" w:rsidRDefault="002005CF" w:rsidP="00BA4EF1">
      <w:pPr>
        <w:tabs>
          <w:tab w:val="left" w:pos="6237"/>
        </w:tabs>
        <w:spacing w:after="0" w:line="240" w:lineRule="auto"/>
        <w:rPr>
          <w:rFonts w:ascii="Times New Roman" w:hAnsi="Times New Roman" w:cs="Times New Roman"/>
          <w:sz w:val="28"/>
          <w:szCs w:val="28"/>
        </w:rPr>
      </w:pPr>
    </w:p>
    <w:p w14:paraId="26819D60" w14:textId="557F4437" w:rsidR="002005CF" w:rsidRDefault="002005CF" w:rsidP="00BA4EF1">
      <w:pPr>
        <w:tabs>
          <w:tab w:val="left" w:pos="6237"/>
        </w:tabs>
        <w:spacing w:after="0" w:line="240" w:lineRule="auto"/>
        <w:rPr>
          <w:rFonts w:ascii="Times New Roman" w:hAnsi="Times New Roman" w:cs="Times New Roman"/>
          <w:sz w:val="28"/>
          <w:szCs w:val="28"/>
        </w:rPr>
      </w:pPr>
    </w:p>
    <w:p w14:paraId="0E68D1BE" w14:textId="66431EBE" w:rsidR="002005CF" w:rsidRDefault="002005CF" w:rsidP="00BA4EF1">
      <w:pPr>
        <w:tabs>
          <w:tab w:val="left" w:pos="6237"/>
        </w:tabs>
        <w:spacing w:after="0" w:line="240" w:lineRule="auto"/>
        <w:rPr>
          <w:rFonts w:ascii="Times New Roman" w:hAnsi="Times New Roman" w:cs="Times New Roman"/>
          <w:sz w:val="28"/>
          <w:szCs w:val="28"/>
        </w:rPr>
      </w:pPr>
    </w:p>
    <w:sectPr w:rsidR="002005CF" w:rsidSect="0001319C">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41FBB" w16cid:durableId="22B2EFE9"/>
  <w16cid:commentId w16cid:paraId="265766AE" w16cid:durableId="22B2F009"/>
  <w16cid:commentId w16cid:paraId="0EAE874D" w16cid:durableId="22B6B1B4"/>
  <w16cid:commentId w16cid:paraId="177AE216" w16cid:durableId="22B6B1B5"/>
  <w16cid:commentId w16cid:paraId="467EF0D3" w16cid:durableId="22B2EFEA"/>
  <w16cid:commentId w16cid:paraId="1502BDFB" w16cid:durableId="22B6B1B7"/>
  <w16cid:commentId w16cid:paraId="037A30AC" w16cid:durableId="22B6B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5952" w14:textId="77777777" w:rsidR="00E12D6C" w:rsidRDefault="00E12D6C">
      <w:pPr>
        <w:spacing w:after="0" w:line="240" w:lineRule="auto"/>
      </w:pPr>
      <w:r>
        <w:separator/>
      </w:r>
    </w:p>
  </w:endnote>
  <w:endnote w:type="continuationSeparator" w:id="0">
    <w:p w14:paraId="1DF5E976" w14:textId="77777777" w:rsidR="00E12D6C" w:rsidRDefault="00E1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15E7" w14:textId="6288C80E" w:rsidR="0093304A" w:rsidRPr="00842ECB" w:rsidRDefault="00696D59" w:rsidP="00842EC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VARAMAnot_28</w:t>
    </w:r>
    <w:r w:rsidR="0093304A">
      <w:rPr>
        <w:rFonts w:ascii="Times New Roman" w:hAnsi="Times New Roman" w:cs="Times New Roman"/>
        <w:bCs/>
        <w:sz w:val="20"/>
        <w:szCs w:val="20"/>
      </w:rPr>
      <w:t>072020</w:t>
    </w:r>
    <w:r w:rsidR="0093304A" w:rsidRPr="00B76C27">
      <w:rPr>
        <w:rFonts w:ascii="Times New Roman" w:hAnsi="Times New Roman" w:cs="Times New Roman"/>
        <w:bCs/>
        <w:sz w:val="20"/>
        <w:szCs w:val="20"/>
      </w:rPr>
      <w:t>_LVLOCALDEV</w:t>
    </w:r>
    <w:r w:rsidR="00711C14">
      <w:rPr>
        <w:rFonts w:ascii="Times New Roman" w:hAnsi="Times New Roman" w:cs="Times New Roman"/>
        <w:bCs/>
        <w:sz w:val="20"/>
        <w:szCs w:val="20"/>
      </w:rPr>
      <w:t>_kult</w:t>
    </w:r>
    <w:r w:rsidR="00965BB8">
      <w:rPr>
        <w:rFonts w:ascii="Times New Roman" w:hAnsi="Times New Roman" w:cs="Times New Roman"/>
        <w:bCs/>
        <w:sz w:val="20"/>
        <w:szCs w:val="20"/>
      </w:rPr>
      <w:t>u</w:t>
    </w:r>
    <w:r w:rsidR="00711C14">
      <w:rPr>
        <w:rFonts w:ascii="Times New Roman" w:hAnsi="Times New Roman" w:cs="Times New Roman"/>
        <w:bCs/>
        <w:sz w:val="20"/>
        <w:szCs w:val="20"/>
      </w:rPr>
      <w:t>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10341"/>
      <w:docPartObj>
        <w:docPartGallery w:val="Page Numbers (Top of Page)"/>
        <w:docPartUnique/>
      </w:docPartObj>
    </w:sdtPr>
    <w:sdtEndPr>
      <w:rPr>
        <w:rFonts w:ascii="Times New Roman" w:hAnsi="Times New Roman" w:cs="Times New Roman"/>
        <w:noProof/>
        <w:sz w:val="24"/>
        <w:szCs w:val="20"/>
      </w:rPr>
    </w:sdtEndPr>
    <w:sdtContent>
      <w:p w14:paraId="6C7DA6DB" w14:textId="285F1F05" w:rsidR="00711C14" w:rsidRPr="00C25B49" w:rsidRDefault="00711C14" w:rsidP="00711C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443A">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p w14:paraId="2B7716D9" w14:textId="77777777" w:rsidR="00711C14" w:rsidRDefault="00711C14" w:rsidP="00711C14"/>
  <w:p w14:paraId="12B43CE8" w14:textId="77777777" w:rsidR="00711C14" w:rsidRDefault="00711C14" w:rsidP="00711C14">
    <w:pPr>
      <w:pStyle w:val="Footer"/>
    </w:pPr>
  </w:p>
  <w:p w14:paraId="27913AFE" w14:textId="77777777" w:rsidR="00711C14" w:rsidRDefault="00711C14" w:rsidP="00711C14"/>
  <w:p w14:paraId="1C39D931" w14:textId="062A7C81" w:rsidR="0093304A" w:rsidRPr="00711C14" w:rsidRDefault="00696D59" w:rsidP="00711C1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VARAMAnot_28</w:t>
    </w:r>
    <w:r w:rsidR="00711C14">
      <w:rPr>
        <w:rFonts w:ascii="Times New Roman" w:hAnsi="Times New Roman" w:cs="Times New Roman"/>
        <w:bCs/>
        <w:sz w:val="20"/>
        <w:szCs w:val="20"/>
      </w:rPr>
      <w:t>072020</w:t>
    </w:r>
    <w:r w:rsidR="00711C14" w:rsidRPr="00B76C27">
      <w:rPr>
        <w:rFonts w:ascii="Times New Roman" w:hAnsi="Times New Roman" w:cs="Times New Roman"/>
        <w:bCs/>
        <w:sz w:val="20"/>
        <w:szCs w:val="20"/>
      </w:rPr>
      <w:t>_LVLOCALDEV</w:t>
    </w:r>
    <w:r w:rsidR="00711C14">
      <w:rPr>
        <w:rFonts w:ascii="Times New Roman" w:hAnsi="Times New Roman" w:cs="Times New Roman"/>
        <w:bCs/>
        <w:sz w:val="20"/>
        <w:szCs w:val="20"/>
      </w:rPr>
      <w:t>_kult</w:t>
    </w:r>
    <w:r w:rsidR="00965BB8">
      <w:rPr>
        <w:rFonts w:ascii="Times New Roman" w:hAnsi="Times New Roman" w:cs="Times New Roman"/>
        <w:bCs/>
        <w:sz w:val="20"/>
        <w:szCs w:val="20"/>
      </w:rPr>
      <w:t>u</w:t>
    </w:r>
    <w:r w:rsidR="00711C14">
      <w:rPr>
        <w:rFonts w:ascii="Times New Roman" w:hAnsi="Times New Roman" w:cs="Times New Roman"/>
        <w:bCs/>
        <w:sz w:val="20"/>
        <w:szCs w:val="20"/>
      </w:rPr>
      <w:t>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478E5" w14:textId="77777777" w:rsidR="00E12D6C" w:rsidRDefault="00E12D6C">
      <w:pPr>
        <w:spacing w:after="0" w:line="240" w:lineRule="auto"/>
      </w:pPr>
      <w:r>
        <w:separator/>
      </w:r>
    </w:p>
  </w:footnote>
  <w:footnote w:type="continuationSeparator" w:id="0">
    <w:p w14:paraId="4505A6B3" w14:textId="77777777" w:rsidR="00E12D6C" w:rsidRDefault="00E12D6C">
      <w:pPr>
        <w:spacing w:after="0" w:line="240" w:lineRule="auto"/>
      </w:pPr>
      <w:r>
        <w:continuationSeparator/>
      </w:r>
    </w:p>
  </w:footnote>
  <w:footnote w:id="1">
    <w:p w14:paraId="1F4820F9" w14:textId="6C6C66D0" w:rsidR="0093304A" w:rsidRDefault="0093304A" w:rsidP="00593B8C">
      <w:pPr>
        <w:pStyle w:val="FootnoteText"/>
        <w:jc w:val="both"/>
      </w:pPr>
      <w:r>
        <w:rPr>
          <w:rStyle w:val="FootnoteReference"/>
        </w:rPr>
        <w:footnoteRef/>
      </w:r>
      <w:r>
        <w:t xml:space="preserve"> Ar </w:t>
      </w:r>
      <w:r w:rsidRPr="00C61807">
        <w:t>„</w:t>
      </w:r>
      <w:r>
        <w:t>mīkstajām aktivitātēm” šī atklātā konkursa ietvaros tiek saprastas tādas projekta aktivitātes, kas ir vērstas uz mērķa grupas kultūras izpratnes un izpausmju kompetenču uzlabošanos un kuru īstenošanas rezultāts pats par sevi nav materiāla vērtība, piemēram, tiek radīts profesionālās laikmetīgās mākslas un kultūras produkts, ekspertiem ieguldot intelektuālo un radošo kapitālu.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61634"/>
      <w:docPartObj>
        <w:docPartGallery w:val="Page Numbers (Top of Page)"/>
        <w:docPartUnique/>
      </w:docPartObj>
    </w:sdtPr>
    <w:sdtEndPr>
      <w:rPr>
        <w:rFonts w:ascii="Times New Roman" w:hAnsi="Times New Roman" w:cs="Times New Roman"/>
        <w:noProof/>
        <w:sz w:val="24"/>
        <w:szCs w:val="20"/>
      </w:rPr>
    </w:sdtEndPr>
    <w:sdtContent>
      <w:p w14:paraId="186B4880" w14:textId="33E11A57" w:rsidR="0093304A" w:rsidRPr="00C25B49" w:rsidRDefault="009330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443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B40B9"/>
    <w:multiLevelType w:val="hybridMultilevel"/>
    <w:tmpl w:val="50D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C9C"/>
    <w:multiLevelType w:val="multilevel"/>
    <w:tmpl w:val="3E68A0AC"/>
    <w:lvl w:ilvl="0">
      <w:start w:val="1"/>
      <w:numFmt w:val="decimal"/>
      <w:lvlText w:val="%1."/>
      <w:lvlJc w:val="left"/>
      <w:pPr>
        <w:ind w:left="1061" w:hanging="919"/>
      </w:pPr>
      <w:rPr>
        <w:rFonts w:hint="default"/>
        <w:i w:val="0"/>
        <w:iCs/>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DF35F3"/>
    <w:multiLevelType w:val="hybridMultilevel"/>
    <w:tmpl w:val="D0E0AC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47985DB7"/>
    <w:multiLevelType w:val="hybridMultilevel"/>
    <w:tmpl w:val="49AE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8"/>
  </w:num>
  <w:num w:numId="2">
    <w:abstractNumId w:val="7"/>
  </w:num>
  <w:num w:numId="3">
    <w:abstractNumId w:val="2"/>
  </w:num>
  <w:num w:numId="4">
    <w:abstractNumId w:val="3"/>
  </w:num>
  <w:num w:numId="5">
    <w:abstractNumId w:val="4"/>
  </w:num>
  <w:num w:numId="6">
    <w:abstractNumId w:val="5"/>
  </w:num>
  <w:num w:numId="7">
    <w:abstractNumId w:val="0"/>
  </w:num>
  <w:num w:numId="8">
    <w:abstractNumId w:val="9"/>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42"/>
    <w:rsid w:val="0000183F"/>
    <w:rsid w:val="00006149"/>
    <w:rsid w:val="0001319C"/>
    <w:rsid w:val="00014632"/>
    <w:rsid w:val="0001577C"/>
    <w:rsid w:val="000223AA"/>
    <w:rsid w:val="000256BC"/>
    <w:rsid w:val="00031BAD"/>
    <w:rsid w:val="000342BB"/>
    <w:rsid w:val="00035545"/>
    <w:rsid w:val="00036959"/>
    <w:rsid w:val="0003710F"/>
    <w:rsid w:val="00041D61"/>
    <w:rsid w:val="0004234E"/>
    <w:rsid w:val="000428E7"/>
    <w:rsid w:val="00044D81"/>
    <w:rsid w:val="00045313"/>
    <w:rsid w:val="00052DF6"/>
    <w:rsid w:val="00054310"/>
    <w:rsid w:val="00054CF3"/>
    <w:rsid w:val="00061C3F"/>
    <w:rsid w:val="000644F3"/>
    <w:rsid w:val="00066072"/>
    <w:rsid w:val="000703CD"/>
    <w:rsid w:val="00070F37"/>
    <w:rsid w:val="00071142"/>
    <w:rsid w:val="00071B5B"/>
    <w:rsid w:val="0007223F"/>
    <w:rsid w:val="00077835"/>
    <w:rsid w:val="000800E8"/>
    <w:rsid w:val="000814AB"/>
    <w:rsid w:val="00082CD9"/>
    <w:rsid w:val="0008443A"/>
    <w:rsid w:val="0008517F"/>
    <w:rsid w:val="00087E50"/>
    <w:rsid w:val="00093C93"/>
    <w:rsid w:val="0009435F"/>
    <w:rsid w:val="000A4C7D"/>
    <w:rsid w:val="000A4E02"/>
    <w:rsid w:val="000A4E8D"/>
    <w:rsid w:val="000B1CE4"/>
    <w:rsid w:val="000B304A"/>
    <w:rsid w:val="000B36F2"/>
    <w:rsid w:val="000B6B7B"/>
    <w:rsid w:val="000B71C6"/>
    <w:rsid w:val="000B74D8"/>
    <w:rsid w:val="000B7753"/>
    <w:rsid w:val="000C2AFB"/>
    <w:rsid w:val="000C2F8D"/>
    <w:rsid w:val="000C3C36"/>
    <w:rsid w:val="000C3C3E"/>
    <w:rsid w:val="000C6F3E"/>
    <w:rsid w:val="000D09AC"/>
    <w:rsid w:val="000D1180"/>
    <w:rsid w:val="000D3F03"/>
    <w:rsid w:val="000E2ADB"/>
    <w:rsid w:val="000E2D63"/>
    <w:rsid w:val="000E61A9"/>
    <w:rsid w:val="000E7AAE"/>
    <w:rsid w:val="000E7F60"/>
    <w:rsid w:val="000F1BF4"/>
    <w:rsid w:val="000F3137"/>
    <w:rsid w:val="000F3DCD"/>
    <w:rsid w:val="00100338"/>
    <w:rsid w:val="00103033"/>
    <w:rsid w:val="00103F25"/>
    <w:rsid w:val="00104964"/>
    <w:rsid w:val="001075CC"/>
    <w:rsid w:val="0011089B"/>
    <w:rsid w:val="00111DC5"/>
    <w:rsid w:val="00111FD7"/>
    <w:rsid w:val="00115CA0"/>
    <w:rsid w:val="00115D5E"/>
    <w:rsid w:val="00124C45"/>
    <w:rsid w:val="00126C06"/>
    <w:rsid w:val="0013379E"/>
    <w:rsid w:val="001338BD"/>
    <w:rsid w:val="0013617A"/>
    <w:rsid w:val="00143943"/>
    <w:rsid w:val="00143B7D"/>
    <w:rsid w:val="001448E1"/>
    <w:rsid w:val="00145CB1"/>
    <w:rsid w:val="00145FD8"/>
    <w:rsid w:val="00146880"/>
    <w:rsid w:val="00147A5C"/>
    <w:rsid w:val="00152C21"/>
    <w:rsid w:val="00154D23"/>
    <w:rsid w:val="001634EA"/>
    <w:rsid w:val="0016380E"/>
    <w:rsid w:val="00163A00"/>
    <w:rsid w:val="00164017"/>
    <w:rsid w:val="00164B3E"/>
    <w:rsid w:val="0016544B"/>
    <w:rsid w:val="00165C1C"/>
    <w:rsid w:val="00167A1F"/>
    <w:rsid w:val="00167AE7"/>
    <w:rsid w:val="00171C72"/>
    <w:rsid w:val="001727CD"/>
    <w:rsid w:val="00176A45"/>
    <w:rsid w:val="00177B3F"/>
    <w:rsid w:val="00180CFD"/>
    <w:rsid w:val="00180EEC"/>
    <w:rsid w:val="00181907"/>
    <w:rsid w:val="00184E92"/>
    <w:rsid w:val="001878CB"/>
    <w:rsid w:val="00190386"/>
    <w:rsid w:val="00190BD7"/>
    <w:rsid w:val="00191B3D"/>
    <w:rsid w:val="0019325A"/>
    <w:rsid w:val="00193B23"/>
    <w:rsid w:val="00195A39"/>
    <w:rsid w:val="001A3723"/>
    <w:rsid w:val="001A3C52"/>
    <w:rsid w:val="001A4BB9"/>
    <w:rsid w:val="001A69CE"/>
    <w:rsid w:val="001A6D9D"/>
    <w:rsid w:val="001B1BB0"/>
    <w:rsid w:val="001B25A3"/>
    <w:rsid w:val="001B585A"/>
    <w:rsid w:val="001B73E8"/>
    <w:rsid w:val="001B7C55"/>
    <w:rsid w:val="001B7E4C"/>
    <w:rsid w:val="001C1DB0"/>
    <w:rsid w:val="001C3F99"/>
    <w:rsid w:val="001C41B0"/>
    <w:rsid w:val="001D08BE"/>
    <w:rsid w:val="001D09AC"/>
    <w:rsid w:val="001D1158"/>
    <w:rsid w:val="001D23D1"/>
    <w:rsid w:val="001D4181"/>
    <w:rsid w:val="001D4D36"/>
    <w:rsid w:val="001D536E"/>
    <w:rsid w:val="001E0861"/>
    <w:rsid w:val="001E096B"/>
    <w:rsid w:val="001E3354"/>
    <w:rsid w:val="001E4FF2"/>
    <w:rsid w:val="001E6F87"/>
    <w:rsid w:val="001F1297"/>
    <w:rsid w:val="001F38F7"/>
    <w:rsid w:val="001F3C98"/>
    <w:rsid w:val="002005CF"/>
    <w:rsid w:val="00201AD2"/>
    <w:rsid w:val="002027DC"/>
    <w:rsid w:val="002064D9"/>
    <w:rsid w:val="002103B1"/>
    <w:rsid w:val="002104EC"/>
    <w:rsid w:val="00211D97"/>
    <w:rsid w:val="002136CC"/>
    <w:rsid w:val="00217841"/>
    <w:rsid w:val="00221134"/>
    <w:rsid w:val="00221208"/>
    <w:rsid w:val="0022409B"/>
    <w:rsid w:val="00225DF7"/>
    <w:rsid w:val="002274D1"/>
    <w:rsid w:val="00227ED4"/>
    <w:rsid w:val="00230C27"/>
    <w:rsid w:val="0023219F"/>
    <w:rsid w:val="0023339E"/>
    <w:rsid w:val="00233705"/>
    <w:rsid w:val="0024048A"/>
    <w:rsid w:val="0024128C"/>
    <w:rsid w:val="00243426"/>
    <w:rsid w:val="00246104"/>
    <w:rsid w:val="002527DA"/>
    <w:rsid w:val="00252931"/>
    <w:rsid w:val="00255022"/>
    <w:rsid w:val="002551F6"/>
    <w:rsid w:val="00261B1D"/>
    <w:rsid w:val="00261BB7"/>
    <w:rsid w:val="00263F72"/>
    <w:rsid w:val="00270BF2"/>
    <w:rsid w:val="00272D51"/>
    <w:rsid w:val="00273BC3"/>
    <w:rsid w:val="00275AAA"/>
    <w:rsid w:val="00277F0C"/>
    <w:rsid w:val="0028133D"/>
    <w:rsid w:val="00281D8E"/>
    <w:rsid w:val="0028214B"/>
    <w:rsid w:val="002829B6"/>
    <w:rsid w:val="00282C5F"/>
    <w:rsid w:val="002834B1"/>
    <w:rsid w:val="00285D09"/>
    <w:rsid w:val="0029235C"/>
    <w:rsid w:val="00292379"/>
    <w:rsid w:val="002933B1"/>
    <w:rsid w:val="00297A41"/>
    <w:rsid w:val="002A06CA"/>
    <w:rsid w:val="002A1380"/>
    <w:rsid w:val="002A4978"/>
    <w:rsid w:val="002A5739"/>
    <w:rsid w:val="002B18CA"/>
    <w:rsid w:val="002B4862"/>
    <w:rsid w:val="002B493F"/>
    <w:rsid w:val="002B6813"/>
    <w:rsid w:val="002B6D92"/>
    <w:rsid w:val="002C0C77"/>
    <w:rsid w:val="002C21FA"/>
    <w:rsid w:val="002C2968"/>
    <w:rsid w:val="002C64D4"/>
    <w:rsid w:val="002C6CC9"/>
    <w:rsid w:val="002C7524"/>
    <w:rsid w:val="002D0253"/>
    <w:rsid w:val="002D24B6"/>
    <w:rsid w:val="002D2D8C"/>
    <w:rsid w:val="002D4B1D"/>
    <w:rsid w:val="002D7102"/>
    <w:rsid w:val="002E05E5"/>
    <w:rsid w:val="002E0A47"/>
    <w:rsid w:val="002E12DB"/>
    <w:rsid w:val="002E1C05"/>
    <w:rsid w:val="002E35B7"/>
    <w:rsid w:val="002F0310"/>
    <w:rsid w:val="002F42F0"/>
    <w:rsid w:val="002F5C89"/>
    <w:rsid w:val="002F6716"/>
    <w:rsid w:val="002F715D"/>
    <w:rsid w:val="00306C46"/>
    <w:rsid w:val="00307494"/>
    <w:rsid w:val="003102F5"/>
    <w:rsid w:val="00311D3D"/>
    <w:rsid w:val="00312F2F"/>
    <w:rsid w:val="0031458B"/>
    <w:rsid w:val="00315762"/>
    <w:rsid w:val="0031749D"/>
    <w:rsid w:val="0032176C"/>
    <w:rsid w:val="0032237F"/>
    <w:rsid w:val="003251FB"/>
    <w:rsid w:val="00326EDE"/>
    <w:rsid w:val="003332C8"/>
    <w:rsid w:val="00334A92"/>
    <w:rsid w:val="00337273"/>
    <w:rsid w:val="003400A7"/>
    <w:rsid w:val="00340CC7"/>
    <w:rsid w:val="00342062"/>
    <w:rsid w:val="003427A1"/>
    <w:rsid w:val="00344186"/>
    <w:rsid w:val="0034580C"/>
    <w:rsid w:val="00346311"/>
    <w:rsid w:val="00350DDE"/>
    <w:rsid w:val="003515B8"/>
    <w:rsid w:val="00351989"/>
    <w:rsid w:val="003544C2"/>
    <w:rsid w:val="003559FD"/>
    <w:rsid w:val="00356477"/>
    <w:rsid w:val="003565E7"/>
    <w:rsid w:val="0035793C"/>
    <w:rsid w:val="0036050E"/>
    <w:rsid w:val="00362506"/>
    <w:rsid w:val="003647D7"/>
    <w:rsid w:val="00364B25"/>
    <w:rsid w:val="00365A0A"/>
    <w:rsid w:val="00366897"/>
    <w:rsid w:val="00367E49"/>
    <w:rsid w:val="00377108"/>
    <w:rsid w:val="0037748D"/>
    <w:rsid w:val="0037772D"/>
    <w:rsid w:val="00381FD9"/>
    <w:rsid w:val="003832A8"/>
    <w:rsid w:val="0038331C"/>
    <w:rsid w:val="0038381B"/>
    <w:rsid w:val="00385455"/>
    <w:rsid w:val="003878DF"/>
    <w:rsid w:val="003932BE"/>
    <w:rsid w:val="00394D76"/>
    <w:rsid w:val="003A19AF"/>
    <w:rsid w:val="003A493D"/>
    <w:rsid w:val="003A51E0"/>
    <w:rsid w:val="003A5C79"/>
    <w:rsid w:val="003A6101"/>
    <w:rsid w:val="003B0BF9"/>
    <w:rsid w:val="003B1CDC"/>
    <w:rsid w:val="003B5A5C"/>
    <w:rsid w:val="003C73A1"/>
    <w:rsid w:val="003C7FB7"/>
    <w:rsid w:val="003D1DD9"/>
    <w:rsid w:val="003D22EE"/>
    <w:rsid w:val="003D4723"/>
    <w:rsid w:val="003D4A3F"/>
    <w:rsid w:val="003D5581"/>
    <w:rsid w:val="003D5602"/>
    <w:rsid w:val="003E0791"/>
    <w:rsid w:val="003E12A3"/>
    <w:rsid w:val="003E3004"/>
    <w:rsid w:val="003E3C99"/>
    <w:rsid w:val="003E5D9B"/>
    <w:rsid w:val="003F1E85"/>
    <w:rsid w:val="003F230E"/>
    <w:rsid w:val="003F28AC"/>
    <w:rsid w:val="003F585B"/>
    <w:rsid w:val="003F5B81"/>
    <w:rsid w:val="003F68CB"/>
    <w:rsid w:val="00400160"/>
    <w:rsid w:val="004011DD"/>
    <w:rsid w:val="00402005"/>
    <w:rsid w:val="00403647"/>
    <w:rsid w:val="00403A27"/>
    <w:rsid w:val="004053A2"/>
    <w:rsid w:val="00407FE3"/>
    <w:rsid w:val="00410E7B"/>
    <w:rsid w:val="0041152A"/>
    <w:rsid w:val="00412254"/>
    <w:rsid w:val="0041266F"/>
    <w:rsid w:val="00412E16"/>
    <w:rsid w:val="00412F24"/>
    <w:rsid w:val="00415C9F"/>
    <w:rsid w:val="004161F1"/>
    <w:rsid w:val="00416ADB"/>
    <w:rsid w:val="00416E4E"/>
    <w:rsid w:val="0042005C"/>
    <w:rsid w:val="00421FBF"/>
    <w:rsid w:val="004243FB"/>
    <w:rsid w:val="004279BE"/>
    <w:rsid w:val="00427C1B"/>
    <w:rsid w:val="00432655"/>
    <w:rsid w:val="004327A1"/>
    <w:rsid w:val="0043437C"/>
    <w:rsid w:val="00434A3D"/>
    <w:rsid w:val="00437156"/>
    <w:rsid w:val="004402E0"/>
    <w:rsid w:val="00440F9B"/>
    <w:rsid w:val="00442429"/>
    <w:rsid w:val="004442E6"/>
    <w:rsid w:val="004454FE"/>
    <w:rsid w:val="00446B67"/>
    <w:rsid w:val="00452166"/>
    <w:rsid w:val="00452183"/>
    <w:rsid w:val="00453942"/>
    <w:rsid w:val="0045507E"/>
    <w:rsid w:val="00456649"/>
    <w:rsid w:val="00462A8F"/>
    <w:rsid w:val="0046369F"/>
    <w:rsid w:val="00463B89"/>
    <w:rsid w:val="00465F61"/>
    <w:rsid w:val="0046633D"/>
    <w:rsid w:val="004667A0"/>
    <w:rsid w:val="00467000"/>
    <w:rsid w:val="0047081A"/>
    <w:rsid w:val="004718F3"/>
    <w:rsid w:val="00471D86"/>
    <w:rsid w:val="00471F27"/>
    <w:rsid w:val="004720DB"/>
    <w:rsid w:val="00472186"/>
    <w:rsid w:val="00473E6C"/>
    <w:rsid w:val="00474266"/>
    <w:rsid w:val="004751DD"/>
    <w:rsid w:val="004775DC"/>
    <w:rsid w:val="004808F5"/>
    <w:rsid w:val="00483283"/>
    <w:rsid w:val="00490F6D"/>
    <w:rsid w:val="0049160F"/>
    <w:rsid w:val="00492684"/>
    <w:rsid w:val="0049320F"/>
    <w:rsid w:val="00494353"/>
    <w:rsid w:val="00495691"/>
    <w:rsid w:val="00495CF8"/>
    <w:rsid w:val="004A0481"/>
    <w:rsid w:val="004A3ACC"/>
    <w:rsid w:val="004A3BF9"/>
    <w:rsid w:val="004A7BAB"/>
    <w:rsid w:val="004B08A3"/>
    <w:rsid w:val="004B31A2"/>
    <w:rsid w:val="004B46CA"/>
    <w:rsid w:val="004B625F"/>
    <w:rsid w:val="004B7474"/>
    <w:rsid w:val="004C617B"/>
    <w:rsid w:val="004C62CC"/>
    <w:rsid w:val="004D09FE"/>
    <w:rsid w:val="004D1201"/>
    <w:rsid w:val="004D31EA"/>
    <w:rsid w:val="004D5630"/>
    <w:rsid w:val="004D7726"/>
    <w:rsid w:val="004D7E6E"/>
    <w:rsid w:val="004D7ED6"/>
    <w:rsid w:val="004E0272"/>
    <w:rsid w:val="004E06B7"/>
    <w:rsid w:val="004E0A40"/>
    <w:rsid w:val="004E1EC6"/>
    <w:rsid w:val="004E4009"/>
    <w:rsid w:val="004E4C40"/>
    <w:rsid w:val="004E51DB"/>
    <w:rsid w:val="004F37F3"/>
    <w:rsid w:val="004F3BFD"/>
    <w:rsid w:val="004F5DEE"/>
    <w:rsid w:val="0050178F"/>
    <w:rsid w:val="005017BD"/>
    <w:rsid w:val="00501C96"/>
    <w:rsid w:val="00502CDB"/>
    <w:rsid w:val="00504C35"/>
    <w:rsid w:val="00510704"/>
    <w:rsid w:val="005127EA"/>
    <w:rsid w:val="00521368"/>
    <w:rsid w:val="00523B7D"/>
    <w:rsid w:val="00526493"/>
    <w:rsid w:val="00526E05"/>
    <w:rsid w:val="00527137"/>
    <w:rsid w:val="00530062"/>
    <w:rsid w:val="005318CF"/>
    <w:rsid w:val="005328D3"/>
    <w:rsid w:val="00534135"/>
    <w:rsid w:val="00534C5A"/>
    <w:rsid w:val="005356CD"/>
    <w:rsid w:val="00540157"/>
    <w:rsid w:val="00540959"/>
    <w:rsid w:val="00542E3A"/>
    <w:rsid w:val="00543A53"/>
    <w:rsid w:val="00543E03"/>
    <w:rsid w:val="005442BC"/>
    <w:rsid w:val="00546EFB"/>
    <w:rsid w:val="005504F2"/>
    <w:rsid w:val="00551FA9"/>
    <w:rsid w:val="0055262B"/>
    <w:rsid w:val="0055588A"/>
    <w:rsid w:val="005561F1"/>
    <w:rsid w:val="005574D1"/>
    <w:rsid w:val="00557E54"/>
    <w:rsid w:val="00560393"/>
    <w:rsid w:val="00560B17"/>
    <w:rsid w:val="00561DC5"/>
    <w:rsid w:val="0056255E"/>
    <w:rsid w:val="00565169"/>
    <w:rsid w:val="00566D4C"/>
    <w:rsid w:val="00567F73"/>
    <w:rsid w:val="00572440"/>
    <w:rsid w:val="00573A47"/>
    <w:rsid w:val="00574E60"/>
    <w:rsid w:val="005760A5"/>
    <w:rsid w:val="00580551"/>
    <w:rsid w:val="005817EF"/>
    <w:rsid w:val="00581CDD"/>
    <w:rsid w:val="00581CED"/>
    <w:rsid w:val="00586E50"/>
    <w:rsid w:val="00593B8C"/>
    <w:rsid w:val="00595714"/>
    <w:rsid w:val="005A0602"/>
    <w:rsid w:val="005A0945"/>
    <w:rsid w:val="005A2C73"/>
    <w:rsid w:val="005A6246"/>
    <w:rsid w:val="005A7EAC"/>
    <w:rsid w:val="005C16FE"/>
    <w:rsid w:val="005C4C22"/>
    <w:rsid w:val="005D1AB6"/>
    <w:rsid w:val="005D6512"/>
    <w:rsid w:val="005E2420"/>
    <w:rsid w:val="005E30E1"/>
    <w:rsid w:val="005E6676"/>
    <w:rsid w:val="005E7B5C"/>
    <w:rsid w:val="005F26F4"/>
    <w:rsid w:val="005F4D01"/>
    <w:rsid w:val="005F770D"/>
    <w:rsid w:val="00601473"/>
    <w:rsid w:val="00601C90"/>
    <w:rsid w:val="00604B72"/>
    <w:rsid w:val="00605D00"/>
    <w:rsid w:val="00607CAF"/>
    <w:rsid w:val="0061056F"/>
    <w:rsid w:val="00610C5B"/>
    <w:rsid w:val="00613A49"/>
    <w:rsid w:val="006169DE"/>
    <w:rsid w:val="006215D0"/>
    <w:rsid w:val="00630F84"/>
    <w:rsid w:val="00631A54"/>
    <w:rsid w:val="006347A8"/>
    <w:rsid w:val="006373AD"/>
    <w:rsid w:val="00637477"/>
    <w:rsid w:val="0063759D"/>
    <w:rsid w:val="0064034A"/>
    <w:rsid w:val="00641FDA"/>
    <w:rsid w:val="00643ED4"/>
    <w:rsid w:val="00643F9C"/>
    <w:rsid w:val="00644224"/>
    <w:rsid w:val="006459A4"/>
    <w:rsid w:val="00650479"/>
    <w:rsid w:val="0065461E"/>
    <w:rsid w:val="00660F86"/>
    <w:rsid w:val="00661031"/>
    <w:rsid w:val="0066160F"/>
    <w:rsid w:val="0066163F"/>
    <w:rsid w:val="00661A84"/>
    <w:rsid w:val="006625CF"/>
    <w:rsid w:val="006668B7"/>
    <w:rsid w:val="006702BA"/>
    <w:rsid w:val="00670316"/>
    <w:rsid w:val="00670AD7"/>
    <w:rsid w:val="00670F3E"/>
    <w:rsid w:val="00671B1B"/>
    <w:rsid w:val="00671E9B"/>
    <w:rsid w:val="006751C7"/>
    <w:rsid w:val="00676AB9"/>
    <w:rsid w:val="00676AD8"/>
    <w:rsid w:val="006771B1"/>
    <w:rsid w:val="00677C3D"/>
    <w:rsid w:val="006806FC"/>
    <w:rsid w:val="00680A35"/>
    <w:rsid w:val="00685D3C"/>
    <w:rsid w:val="00687359"/>
    <w:rsid w:val="00691708"/>
    <w:rsid w:val="00691C60"/>
    <w:rsid w:val="0069425D"/>
    <w:rsid w:val="00696D59"/>
    <w:rsid w:val="0069793E"/>
    <w:rsid w:val="00697B12"/>
    <w:rsid w:val="00697C18"/>
    <w:rsid w:val="006A356A"/>
    <w:rsid w:val="006A49D8"/>
    <w:rsid w:val="006A603D"/>
    <w:rsid w:val="006A705C"/>
    <w:rsid w:val="006B1504"/>
    <w:rsid w:val="006B3CC2"/>
    <w:rsid w:val="006B3FC9"/>
    <w:rsid w:val="006B54B3"/>
    <w:rsid w:val="006C44E4"/>
    <w:rsid w:val="006C7BAE"/>
    <w:rsid w:val="006D1C76"/>
    <w:rsid w:val="006D20C9"/>
    <w:rsid w:val="006D2524"/>
    <w:rsid w:val="006D736D"/>
    <w:rsid w:val="006D7506"/>
    <w:rsid w:val="006E0524"/>
    <w:rsid w:val="006E0EDB"/>
    <w:rsid w:val="006E1081"/>
    <w:rsid w:val="006E17A5"/>
    <w:rsid w:val="006E23E3"/>
    <w:rsid w:val="006E2B85"/>
    <w:rsid w:val="006E34D2"/>
    <w:rsid w:val="006E4FFC"/>
    <w:rsid w:val="006E6CFC"/>
    <w:rsid w:val="006F0346"/>
    <w:rsid w:val="006F3A88"/>
    <w:rsid w:val="006F3F1F"/>
    <w:rsid w:val="006F408F"/>
    <w:rsid w:val="006F6AD9"/>
    <w:rsid w:val="006F7662"/>
    <w:rsid w:val="006F79FC"/>
    <w:rsid w:val="007016A9"/>
    <w:rsid w:val="00701D2B"/>
    <w:rsid w:val="00702931"/>
    <w:rsid w:val="00702AA1"/>
    <w:rsid w:val="00703048"/>
    <w:rsid w:val="00703B5A"/>
    <w:rsid w:val="007065F2"/>
    <w:rsid w:val="00711222"/>
    <w:rsid w:val="00711C14"/>
    <w:rsid w:val="00714357"/>
    <w:rsid w:val="00714AF4"/>
    <w:rsid w:val="00720585"/>
    <w:rsid w:val="007209D4"/>
    <w:rsid w:val="007210B5"/>
    <w:rsid w:val="007224E7"/>
    <w:rsid w:val="00722E36"/>
    <w:rsid w:val="007314FC"/>
    <w:rsid w:val="0073440E"/>
    <w:rsid w:val="0073493A"/>
    <w:rsid w:val="0073518B"/>
    <w:rsid w:val="007376BA"/>
    <w:rsid w:val="00737D63"/>
    <w:rsid w:val="007407F6"/>
    <w:rsid w:val="00740DE6"/>
    <w:rsid w:val="00741E91"/>
    <w:rsid w:val="0074218F"/>
    <w:rsid w:val="007432C8"/>
    <w:rsid w:val="00744871"/>
    <w:rsid w:val="007457E4"/>
    <w:rsid w:val="00753331"/>
    <w:rsid w:val="00760ACF"/>
    <w:rsid w:val="00762AB5"/>
    <w:rsid w:val="007651F3"/>
    <w:rsid w:val="00765C9B"/>
    <w:rsid w:val="007721FC"/>
    <w:rsid w:val="0077386E"/>
    <w:rsid w:val="00773AF6"/>
    <w:rsid w:val="0077553C"/>
    <w:rsid w:val="00781E21"/>
    <w:rsid w:val="00785E16"/>
    <w:rsid w:val="0078746B"/>
    <w:rsid w:val="00787472"/>
    <w:rsid w:val="0078781F"/>
    <w:rsid w:val="007926C1"/>
    <w:rsid w:val="0079550F"/>
    <w:rsid w:val="00795F71"/>
    <w:rsid w:val="007967A7"/>
    <w:rsid w:val="00796F32"/>
    <w:rsid w:val="007A0BA3"/>
    <w:rsid w:val="007A1EBC"/>
    <w:rsid w:val="007A2871"/>
    <w:rsid w:val="007A3A9A"/>
    <w:rsid w:val="007A66A8"/>
    <w:rsid w:val="007B20A3"/>
    <w:rsid w:val="007B2B88"/>
    <w:rsid w:val="007B3998"/>
    <w:rsid w:val="007B6AA2"/>
    <w:rsid w:val="007C0A7C"/>
    <w:rsid w:val="007C51C6"/>
    <w:rsid w:val="007C73F8"/>
    <w:rsid w:val="007C7951"/>
    <w:rsid w:val="007D0FBD"/>
    <w:rsid w:val="007D288D"/>
    <w:rsid w:val="007D2A46"/>
    <w:rsid w:val="007D3BAE"/>
    <w:rsid w:val="007D3FC1"/>
    <w:rsid w:val="007D62F0"/>
    <w:rsid w:val="007E00B7"/>
    <w:rsid w:val="007E0DC7"/>
    <w:rsid w:val="007E73AB"/>
    <w:rsid w:val="007F14C2"/>
    <w:rsid w:val="007F46C3"/>
    <w:rsid w:val="007F690D"/>
    <w:rsid w:val="007F7AF7"/>
    <w:rsid w:val="008027A1"/>
    <w:rsid w:val="00803A39"/>
    <w:rsid w:val="008057B1"/>
    <w:rsid w:val="00806469"/>
    <w:rsid w:val="008068BE"/>
    <w:rsid w:val="00811E8B"/>
    <w:rsid w:val="008123EC"/>
    <w:rsid w:val="00814BD9"/>
    <w:rsid w:val="00815B5C"/>
    <w:rsid w:val="00816C11"/>
    <w:rsid w:val="0081718C"/>
    <w:rsid w:val="0081794B"/>
    <w:rsid w:val="00821E1E"/>
    <w:rsid w:val="00822383"/>
    <w:rsid w:val="00822505"/>
    <w:rsid w:val="00826AD9"/>
    <w:rsid w:val="00831C7D"/>
    <w:rsid w:val="00832397"/>
    <w:rsid w:val="00836179"/>
    <w:rsid w:val="00836D12"/>
    <w:rsid w:val="00842ECB"/>
    <w:rsid w:val="008430BE"/>
    <w:rsid w:val="00847E7A"/>
    <w:rsid w:val="00850444"/>
    <w:rsid w:val="008504FA"/>
    <w:rsid w:val="008524B2"/>
    <w:rsid w:val="00857FEC"/>
    <w:rsid w:val="00860D33"/>
    <w:rsid w:val="00860FE3"/>
    <w:rsid w:val="00862831"/>
    <w:rsid w:val="00864370"/>
    <w:rsid w:val="0086658A"/>
    <w:rsid w:val="008671B5"/>
    <w:rsid w:val="008832D8"/>
    <w:rsid w:val="008837DF"/>
    <w:rsid w:val="008949E5"/>
    <w:rsid w:val="00894C55"/>
    <w:rsid w:val="008A07B1"/>
    <w:rsid w:val="008A2437"/>
    <w:rsid w:val="008A3487"/>
    <w:rsid w:val="008A427E"/>
    <w:rsid w:val="008A5636"/>
    <w:rsid w:val="008B1680"/>
    <w:rsid w:val="008B3D17"/>
    <w:rsid w:val="008B7308"/>
    <w:rsid w:val="008C0F4D"/>
    <w:rsid w:val="008C0FD1"/>
    <w:rsid w:val="008C1F43"/>
    <w:rsid w:val="008C2A9E"/>
    <w:rsid w:val="008C320B"/>
    <w:rsid w:val="008C6B1C"/>
    <w:rsid w:val="008C6DAA"/>
    <w:rsid w:val="008D18FE"/>
    <w:rsid w:val="008D21FA"/>
    <w:rsid w:val="008D4CDE"/>
    <w:rsid w:val="008D4E6B"/>
    <w:rsid w:val="008D6967"/>
    <w:rsid w:val="008E52F7"/>
    <w:rsid w:val="008E5F75"/>
    <w:rsid w:val="008F0BC3"/>
    <w:rsid w:val="008F258C"/>
    <w:rsid w:val="008F2EB9"/>
    <w:rsid w:val="008F3AE9"/>
    <w:rsid w:val="008F3F64"/>
    <w:rsid w:val="008F6190"/>
    <w:rsid w:val="00901858"/>
    <w:rsid w:val="00902138"/>
    <w:rsid w:val="00902513"/>
    <w:rsid w:val="00902EE6"/>
    <w:rsid w:val="0090484F"/>
    <w:rsid w:val="00906572"/>
    <w:rsid w:val="00907B43"/>
    <w:rsid w:val="00907E32"/>
    <w:rsid w:val="00911B03"/>
    <w:rsid w:val="00912D6C"/>
    <w:rsid w:val="00914795"/>
    <w:rsid w:val="00915EB5"/>
    <w:rsid w:val="00921C02"/>
    <w:rsid w:val="00922419"/>
    <w:rsid w:val="00922A7E"/>
    <w:rsid w:val="0092613B"/>
    <w:rsid w:val="00930DAF"/>
    <w:rsid w:val="00930FC6"/>
    <w:rsid w:val="0093262D"/>
    <w:rsid w:val="0093304A"/>
    <w:rsid w:val="00933B57"/>
    <w:rsid w:val="00941054"/>
    <w:rsid w:val="00941CE8"/>
    <w:rsid w:val="00942269"/>
    <w:rsid w:val="00945EA6"/>
    <w:rsid w:val="00951BC9"/>
    <w:rsid w:val="00952139"/>
    <w:rsid w:val="00955C50"/>
    <w:rsid w:val="0095761C"/>
    <w:rsid w:val="00957E0D"/>
    <w:rsid w:val="00960259"/>
    <w:rsid w:val="00961E28"/>
    <w:rsid w:val="00962CA0"/>
    <w:rsid w:val="00965BB8"/>
    <w:rsid w:val="00973F14"/>
    <w:rsid w:val="00975314"/>
    <w:rsid w:val="00976261"/>
    <w:rsid w:val="009773F0"/>
    <w:rsid w:val="009801C8"/>
    <w:rsid w:val="009839F0"/>
    <w:rsid w:val="00983B67"/>
    <w:rsid w:val="00991904"/>
    <w:rsid w:val="00992566"/>
    <w:rsid w:val="00993F52"/>
    <w:rsid w:val="0099651F"/>
    <w:rsid w:val="00996BA7"/>
    <w:rsid w:val="009A1726"/>
    <w:rsid w:val="009A2654"/>
    <w:rsid w:val="009A5823"/>
    <w:rsid w:val="009A5C30"/>
    <w:rsid w:val="009A7115"/>
    <w:rsid w:val="009B0373"/>
    <w:rsid w:val="009B06F7"/>
    <w:rsid w:val="009B1999"/>
    <w:rsid w:val="009B24D9"/>
    <w:rsid w:val="009B3E3E"/>
    <w:rsid w:val="009B4BA9"/>
    <w:rsid w:val="009B5147"/>
    <w:rsid w:val="009B6E73"/>
    <w:rsid w:val="009B7B2C"/>
    <w:rsid w:val="009C0A9F"/>
    <w:rsid w:val="009C43D9"/>
    <w:rsid w:val="009C44B3"/>
    <w:rsid w:val="009D0337"/>
    <w:rsid w:val="009D2BE2"/>
    <w:rsid w:val="009D5FA8"/>
    <w:rsid w:val="009D67F6"/>
    <w:rsid w:val="009E3552"/>
    <w:rsid w:val="009E6E86"/>
    <w:rsid w:val="009F0587"/>
    <w:rsid w:val="009F54D6"/>
    <w:rsid w:val="009F62CB"/>
    <w:rsid w:val="009F673F"/>
    <w:rsid w:val="00A01C38"/>
    <w:rsid w:val="00A02186"/>
    <w:rsid w:val="00A0506B"/>
    <w:rsid w:val="00A070EF"/>
    <w:rsid w:val="00A11487"/>
    <w:rsid w:val="00A17D9D"/>
    <w:rsid w:val="00A2169F"/>
    <w:rsid w:val="00A23C89"/>
    <w:rsid w:val="00A2594B"/>
    <w:rsid w:val="00A25DF0"/>
    <w:rsid w:val="00A2666D"/>
    <w:rsid w:val="00A268C8"/>
    <w:rsid w:val="00A26AF8"/>
    <w:rsid w:val="00A2710A"/>
    <w:rsid w:val="00A3435C"/>
    <w:rsid w:val="00A34C7F"/>
    <w:rsid w:val="00A36879"/>
    <w:rsid w:val="00A36A60"/>
    <w:rsid w:val="00A408F1"/>
    <w:rsid w:val="00A6073E"/>
    <w:rsid w:val="00A62A6F"/>
    <w:rsid w:val="00A63123"/>
    <w:rsid w:val="00A70C1E"/>
    <w:rsid w:val="00A72233"/>
    <w:rsid w:val="00A724BB"/>
    <w:rsid w:val="00A741F6"/>
    <w:rsid w:val="00A75210"/>
    <w:rsid w:val="00A75242"/>
    <w:rsid w:val="00A753E5"/>
    <w:rsid w:val="00A75C81"/>
    <w:rsid w:val="00A80AE6"/>
    <w:rsid w:val="00A81055"/>
    <w:rsid w:val="00A85E1F"/>
    <w:rsid w:val="00A8619D"/>
    <w:rsid w:val="00A87719"/>
    <w:rsid w:val="00A9214B"/>
    <w:rsid w:val="00A92559"/>
    <w:rsid w:val="00A92666"/>
    <w:rsid w:val="00A953B8"/>
    <w:rsid w:val="00A954F8"/>
    <w:rsid w:val="00A95B60"/>
    <w:rsid w:val="00A95FD9"/>
    <w:rsid w:val="00AA0BF8"/>
    <w:rsid w:val="00AA7C99"/>
    <w:rsid w:val="00AB07CB"/>
    <w:rsid w:val="00AB4FC9"/>
    <w:rsid w:val="00AB6525"/>
    <w:rsid w:val="00AC549B"/>
    <w:rsid w:val="00AC7020"/>
    <w:rsid w:val="00AD02CB"/>
    <w:rsid w:val="00AD3391"/>
    <w:rsid w:val="00AD6319"/>
    <w:rsid w:val="00AE0167"/>
    <w:rsid w:val="00AE176D"/>
    <w:rsid w:val="00AE1D2E"/>
    <w:rsid w:val="00AE36C4"/>
    <w:rsid w:val="00AE45BA"/>
    <w:rsid w:val="00AE5567"/>
    <w:rsid w:val="00AF2D5E"/>
    <w:rsid w:val="00AF54CD"/>
    <w:rsid w:val="00AF6BDE"/>
    <w:rsid w:val="00AF76C8"/>
    <w:rsid w:val="00B015A9"/>
    <w:rsid w:val="00B0280B"/>
    <w:rsid w:val="00B0620C"/>
    <w:rsid w:val="00B063A6"/>
    <w:rsid w:val="00B100DD"/>
    <w:rsid w:val="00B10AEB"/>
    <w:rsid w:val="00B11ED1"/>
    <w:rsid w:val="00B12E4B"/>
    <w:rsid w:val="00B13386"/>
    <w:rsid w:val="00B16480"/>
    <w:rsid w:val="00B16A60"/>
    <w:rsid w:val="00B20435"/>
    <w:rsid w:val="00B2165C"/>
    <w:rsid w:val="00B234E8"/>
    <w:rsid w:val="00B242FB"/>
    <w:rsid w:val="00B25BD3"/>
    <w:rsid w:val="00B30DF4"/>
    <w:rsid w:val="00B31741"/>
    <w:rsid w:val="00B32BBE"/>
    <w:rsid w:val="00B3524C"/>
    <w:rsid w:val="00B36857"/>
    <w:rsid w:val="00B40AA9"/>
    <w:rsid w:val="00B41AFE"/>
    <w:rsid w:val="00B423DC"/>
    <w:rsid w:val="00B43ED9"/>
    <w:rsid w:val="00B44A78"/>
    <w:rsid w:val="00B44B50"/>
    <w:rsid w:val="00B52256"/>
    <w:rsid w:val="00B530AE"/>
    <w:rsid w:val="00B57596"/>
    <w:rsid w:val="00B6019C"/>
    <w:rsid w:val="00B61F31"/>
    <w:rsid w:val="00B6303F"/>
    <w:rsid w:val="00B66130"/>
    <w:rsid w:val="00B674B3"/>
    <w:rsid w:val="00B738A7"/>
    <w:rsid w:val="00B76C27"/>
    <w:rsid w:val="00B80CDC"/>
    <w:rsid w:val="00B818BD"/>
    <w:rsid w:val="00B844AB"/>
    <w:rsid w:val="00B84CFB"/>
    <w:rsid w:val="00B859AA"/>
    <w:rsid w:val="00B85E3E"/>
    <w:rsid w:val="00B938F9"/>
    <w:rsid w:val="00BA20AA"/>
    <w:rsid w:val="00BA3FF8"/>
    <w:rsid w:val="00BA4EF1"/>
    <w:rsid w:val="00BA6B9C"/>
    <w:rsid w:val="00BA7C5F"/>
    <w:rsid w:val="00BB1CCA"/>
    <w:rsid w:val="00BB1D49"/>
    <w:rsid w:val="00BC3B01"/>
    <w:rsid w:val="00BC5CF6"/>
    <w:rsid w:val="00BC6E01"/>
    <w:rsid w:val="00BC6F13"/>
    <w:rsid w:val="00BD0780"/>
    <w:rsid w:val="00BD1A07"/>
    <w:rsid w:val="00BD1AAD"/>
    <w:rsid w:val="00BD1F6E"/>
    <w:rsid w:val="00BD242B"/>
    <w:rsid w:val="00BD4425"/>
    <w:rsid w:val="00BD48DD"/>
    <w:rsid w:val="00BD5533"/>
    <w:rsid w:val="00BD6C51"/>
    <w:rsid w:val="00BE08F8"/>
    <w:rsid w:val="00BE1199"/>
    <w:rsid w:val="00BE29AB"/>
    <w:rsid w:val="00BE6AF2"/>
    <w:rsid w:val="00BE7029"/>
    <w:rsid w:val="00BF0D66"/>
    <w:rsid w:val="00BF2C2E"/>
    <w:rsid w:val="00BF30FE"/>
    <w:rsid w:val="00BF6E98"/>
    <w:rsid w:val="00BF6F30"/>
    <w:rsid w:val="00BF7402"/>
    <w:rsid w:val="00C009EB"/>
    <w:rsid w:val="00C069B9"/>
    <w:rsid w:val="00C1415D"/>
    <w:rsid w:val="00C146B3"/>
    <w:rsid w:val="00C15F00"/>
    <w:rsid w:val="00C17171"/>
    <w:rsid w:val="00C20A54"/>
    <w:rsid w:val="00C20E7D"/>
    <w:rsid w:val="00C22C67"/>
    <w:rsid w:val="00C24B27"/>
    <w:rsid w:val="00C25B49"/>
    <w:rsid w:val="00C25DC6"/>
    <w:rsid w:val="00C2712E"/>
    <w:rsid w:val="00C279B2"/>
    <w:rsid w:val="00C339C2"/>
    <w:rsid w:val="00C34137"/>
    <w:rsid w:val="00C34445"/>
    <w:rsid w:val="00C36C47"/>
    <w:rsid w:val="00C36C69"/>
    <w:rsid w:val="00C36CC5"/>
    <w:rsid w:val="00C36F4F"/>
    <w:rsid w:val="00C37A6E"/>
    <w:rsid w:val="00C42C79"/>
    <w:rsid w:val="00C448A7"/>
    <w:rsid w:val="00C51E7F"/>
    <w:rsid w:val="00C54D51"/>
    <w:rsid w:val="00C56DAA"/>
    <w:rsid w:val="00C61807"/>
    <w:rsid w:val="00C62A55"/>
    <w:rsid w:val="00C62A56"/>
    <w:rsid w:val="00C64A8D"/>
    <w:rsid w:val="00C70047"/>
    <w:rsid w:val="00C70C8E"/>
    <w:rsid w:val="00C712F6"/>
    <w:rsid w:val="00C75715"/>
    <w:rsid w:val="00C75728"/>
    <w:rsid w:val="00C75733"/>
    <w:rsid w:val="00C77CDA"/>
    <w:rsid w:val="00C82BB0"/>
    <w:rsid w:val="00C85B62"/>
    <w:rsid w:val="00C86920"/>
    <w:rsid w:val="00C94DBA"/>
    <w:rsid w:val="00CA047D"/>
    <w:rsid w:val="00CA0674"/>
    <w:rsid w:val="00CA0A7B"/>
    <w:rsid w:val="00CA1563"/>
    <w:rsid w:val="00CA16BF"/>
    <w:rsid w:val="00CA5111"/>
    <w:rsid w:val="00CB1F54"/>
    <w:rsid w:val="00CB2043"/>
    <w:rsid w:val="00CC033F"/>
    <w:rsid w:val="00CC1401"/>
    <w:rsid w:val="00CC34F8"/>
    <w:rsid w:val="00CD0F81"/>
    <w:rsid w:val="00CD2C04"/>
    <w:rsid w:val="00CD3507"/>
    <w:rsid w:val="00CD3764"/>
    <w:rsid w:val="00CD5244"/>
    <w:rsid w:val="00CD56ED"/>
    <w:rsid w:val="00CD67FF"/>
    <w:rsid w:val="00CD716E"/>
    <w:rsid w:val="00CE0161"/>
    <w:rsid w:val="00CE1573"/>
    <w:rsid w:val="00CE23D5"/>
    <w:rsid w:val="00CE2888"/>
    <w:rsid w:val="00CE34E6"/>
    <w:rsid w:val="00CE4B09"/>
    <w:rsid w:val="00CE5657"/>
    <w:rsid w:val="00CE7FB1"/>
    <w:rsid w:val="00CF06B6"/>
    <w:rsid w:val="00CF15C0"/>
    <w:rsid w:val="00CF15C2"/>
    <w:rsid w:val="00CF3C0B"/>
    <w:rsid w:val="00CF46F8"/>
    <w:rsid w:val="00CF55C8"/>
    <w:rsid w:val="00CF668C"/>
    <w:rsid w:val="00CF7B1F"/>
    <w:rsid w:val="00CF7CDB"/>
    <w:rsid w:val="00D011E2"/>
    <w:rsid w:val="00D019BA"/>
    <w:rsid w:val="00D03423"/>
    <w:rsid w:val="00D037D7"/>
    <w:rsid w:val="00D07D9E"/>
    <w:rsid w:val="00D130B7"/>
    <w:rsid w:val="00D133F8"/>
    <w:rsid w:val="00D13A19"/>
    <w:rsid w:val="00D14A3E"/>
    <w:rsid w:val="00D159DD"/>
    <w:rsid w:val="00D15A48"/>
    <w:rsid w:val="00D22D6D"/>
    <w:rsid w:val="00D238D0"/>
    <w:rsid w:val="00D24EE7"/>
    <w:rsid w:val="00D251B6"/>
    <w:rsid w:val="00D31D05"/>
    <w:rsid w:val="00D343CA"/>
    <w:rsid w:val="00D344A8"/>
    <w:rsid w:val="00D34F2C"/>
    <w:rsid w:val="00D3753B"/>
    <w:rsid w:val="00D40F40"/>
    <w:rsid w:val="00D44376"/>
    <w:rsid w:val="00D45643"/>
    <w:rsid w:val="00D4630B"/>
    <w:rsid w:val="00D524FD"/>
    <w:rsid w:val="00D53AE9"/>
    <w:rsid w:val="00D53E85"/>
    <w:rsid w:val="00D554A9"/>
    <w:rsid w:val="00D60C5A"/>
    <w:rsid w:val="00D627DE"/>
    <w:rsid w:val="00D65E50"/>
    <w:rsid w:val="00D711C8"/>
    <w:rsid w:val="00D72211"/>
    <w:rsid w:val="00D733C0"/>
    <w:rsid w:val="00D743E5"/>
    <w:rsid w:val="00D77E10"/>
    <w:rsid w:val="00D805B5"/>
    <w:rsid w:val="00D81063"/>
    <w:rsid w:val="00D813F4"/>
    <w:rsid w:val="00D90676"/>
    <w:rsid w:val="00D916CB"/>
    <w:rsid w:val="00D938F4"/>
    <w:rsid w:val="00D96BF7"/>
    <w:rsid w:val="00D97054"/>
    <w:rsid w:val="00DA06D8"/>
    <w:rsid w:val="00DA3F93"/>
    <w:rsid w:val="00DA4AD6"/>
    <w:rsid w:val="00DA5B49"/>
    <w:rsid w:val="00DB5F5E"/>
    <w:rsid w:val="00DC0266"/>
    <w:rsid w:val="00DC33C5"/>
    <w:rsid w:val="00DC4AA5"/>
    <w:rsid w:val="00DD10B0"/>
    <w:rsid w:val="00DE08F9"/>
    <w:rsid w:val="00DE3768"/>
    <w:rsid w:val="00DE5870"/>
    <w:rsid w:val="00DF0D6B"/>
    <w:rsid w:val="00DF33A9"/>
    <w:rsid w:val="00DF5713"/>
    <w:rsid w:val="00DF5C63"/>
    <w:rsid w:val="00DF786C"/>
    <w:rsid w:val="00E02175"/>
    <w:rsid w:val="00E0345B"/>
    <w:rsid w:val="00E067F3"/>
    <w:rsid w:val="00E07082"/>
    <w:rsid w:val="00E102BE"/>
    <w:rsid w:val="00E10F8F"/>
    <w:rsid w:val="00E125FC"/>
    <w:rsid w:val="00E12D6C"/>
    <w:rsid w:val="00E200A2"/>
    <w:rsid w:val="00E20C2D"/>
    <w:rsid w:val="00E21BD4"/>
    <w:rsid w:val="00E21D6D"/>
    <w:rsid w:val="00E23263"/>
    <w:rsid w:val="00E235DE"/>
    <w:rsid w:val="00E2493D"/>
    <w:rsid w:val="00E24F88"/>
    <w:rsid w:val="00E26661"/>
    <w:rsid w:val="00E268FD"/>
    <w:rsid w:val="00E30066"/>
    <w:rsid w:val="00E306DA"/>
    <w:rsid w:val="00E30CAC"/>
    <w:rsid w:val="00E310A1"/>
    <w:rsid w:val="00E32702"/>
    <w:rsid w:val="00E3716B"/>
    <w:rsid w:val="00E4130E"/>
    <w:rsid w:val="00E455E9"/>
    <w:rsid w:val="00E456AE"/>
    <w:rsid w:val="00E46105"/>
    <w:rsid w:val="00E47DEE"/>
    <w:rsid w:val="00E520A9"/>
    <w:rsid w:val="00E55750"/>
    <w:rsid w:val="00E558B4"/>
    <w:rsid w:val="00E57B23"/>
    <w:rsid w:val="00E65FAD"/>
    <w:rsid w:val="00E72958"/>
    <w:rsid w:val="00E7583A"/>
    <w:rsid w:val="00E77C9D"/>
    <w:rsid w:val="00E8036E"/>
    <w:rsid w:val="00E81861"/>
    <w:rsid w:val="00E84CE7"/>
    <w:rsid w:val="00E85D62"/>
    <w:rsid w:val="00E86FD9"/>
    <w:rsid w:val="00E8749E"/>
    <w:rsid w:val="00E87885"/>
    <w:rsid w:val="00E87A75"/>
    <w:rsid w:val="00E90C01"/>
    <w:rsid w:val="00E93523"/>
    <w:rsid w:val="00E93E23"/>
    <w:rsid w:val="00E96594"/>
    <w:rsid w:val="00E9748F"/>
    <w:rsid w:val="00E97796"/>
    <w:rsid w:val="00EA0633"/>
    <w:rsid w:val="00EA26AD"/>
    <w:rsid w:val="00EA36CA"/>
    <w:rsid w:val="00EA486E"/>
    <w:rsid w:val="00EA71EA"/>
    <w:rsid w:val="00EA7C00"/>
    <w:rsid w:val="00EB0D35"/>
    <w:rsid w:val="00EB2F70"/>
    <w:rsid w:val="00EB6471"/>
    <w:rsid w:val="00EC1561"/>
    <w:rsid w:val="00EC29D2"/>
    <w:rsid w:val="00ED1E21"/>
    <w:rsid w:val="00ED3EAB"/>
    <w:rsid w:val="00ED7161"/>
    <w:rsid w:val="00EE03EA"/>
    <w:rsid w:val="00EE0655"/>
    <w:rsid w:val="00EE73F0"/>
    <w:rsid w:val="00EE7F86"/>
    <w:rsid w:val="00EF155D"/>
    <w:rsid w:val="00EF62DA"/>
    <w:rsid w:val="00EF71D9"/>
    <w:rsid w:val="00EF7CB3"/>
    <w:rsid w:val="00F04DF0"/>
    <w:rsid w:val="00F05E2E"/>
    <w:rsid w:val="00F06CC8"/>
    <w:rsid w:val="00F07F02"/>
    <w:rsid w:val="00F1268B"/>
    <w:rsid w:val="00F13789"/>
    <w:rsid w:val="00F14EA9"/>
    <w:rsid w:val="00F17DA2"/>
    <w:rsid w:val="00F22414"/>
    <w:rsid w:val="00F22AE8"/>
    <w:rsid w:val="00F23606"/>
    <w:rsid w:val="00F26F56"/>
    <w:rsid w:val="00F3055D"/>
    <w:rsid w:val="00F32B91"/>
    <w:rsid w:val="00F35BB6"/>
    <w:rsid w:val="00F37E96"/>
    <w:rsid w:val="00F44552"/>
    <w:rsid w:val="00F44BA1"/>
    <w:rsid w:val="00F46182"/>
    <w:rsid w:val="00F4625B"/>
    <w:rsid w:val="00F47A09"/>
    <w:rsid w:val="00F50838"/>
    <w:rsid w:val="00F54FD9"/>
    <w:rsid w:val="00F55C49"/>
    <w:rsid w:val="00F56A3D"/>
    <w:rsid w:val="00F57B0C"/>
    <w:rsid w:val="00F6160F"/>
    <w:rsid w:val="00F61D53"/>
    <w:rsid w:val="00F62753"/>
    <w:rsid w:val="00F62EFC"/>
    <w:rsid w:val="00F6593D"/>
    <w:rsid w:val="00F66615"/>
    <w:rsid w:val="00F67413"/>
    <w:rsid w:val="00F67C36"/>
    <w:rsid w:val="00F67FE3"/>
    <w:rsid w:val="00F700E4"/>
    <w:rsid w:val="00F710BC"/>
    <w:rsid w:val="00F71E32"/>
    <w:rsid w:val="00F7223E"/>
    <w:rsid w:val="00F752AD"/>
    <w:rsid w:val="00F7651E"/>
    <w:rsid w:val="00F8107D"/>
    <w:rsid w:val="00F85DEB"/>
    <w:rsid w:val="00F86497"/>
    <w:rsid w:val="00F90FC9"/>
    <w:rsid w:val="00F958DA"/>
    <w:rsid w:val="00F97395"/>
    <w:rsid w:val="00FA035D"/>
    <w:rsid w:val="00FA077A"/>
    <w:rsid w:val="00FA17A9"/>
    <w:rsid w:val="00FA444A"/>
    <w:rsid w:val="00FA5F64"/>
    <w:rsid w:val="00FA6F8A"/>
    <w:rsid w:val="00FA73A9"/>
    <w:rsid w:val="00FA7CC5"/>
    <w:rsid w:val="00FB01A4"/>
    <w:rsid w:val="00FB0871"/>
    <w:rsid w:val="00FB4D4C"/>
    <w:rsid w:val="00FB6044"/>
    <w:rsid w:val="00FB614F"/>
    <w:rsid w:val="00FB72CB"/>
    <w:rsid w:val="00FB7304"/>
    <w:rsid w:val="00FC016E"/>
    <w:rsid w:val="00FC04E0"/>
    <w:rsid w:val="00FC2BAB"/>
    <w:rsid w:val="00FC2D54"/>
    <w:rsid w:val="00FC5C4F"/>
    <w:rsid w:val="00FC6801"/>
    <w:rsid w:val="00FD0929"/>
    <w:rsid w:val="00FD0E82"/>
    <w:rsid w:val="00FD1E21"/>
    <w:rsid w:val="00FD1E89"/>
    <w:rsid w:val="00FD3D70"/>
    <w:rsid w:val="00FD49E2"/>
    <w:rsid w:val="00FD6297"/>
    <w:rsid w:val="00FD6AD3"/>
    <w:rsid w:val="00FD780E"/>
    <w:rsid w:val="00FE4B68"/>
    <w:rsid w:val="00FE6D12"/>
    <w:rsid w:val="00FE7493"/>
    <w:rsid w:val="00FE7C7F"/>
    <w:rsid w:val="00FF0137"/>
    <w:rsid w:val="00FF0B65"/>
    <w:rsid w:val="00FF11A7"/>
    <w:rsid w:val="00FF4174"/>
    <w:rsid w:val="00FF4728"/>
    <w:rsid w:val="00FF5C28"/>
    <w:rsid w:val="00FF5D4F"/>
    <w:rsid w:val="00FF7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510F2"/>
  <w15:docId w15:val="{3DA988BA-72A5-48D9-B594-2D522168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7A5"/>
  </w:style>
  <w:style w:type="paragraph" w:styleId="Heading2">
    <w:name w:val="heading 2"/>
    <w:basedOn w:val="Normal"/>
    <w:next w:val="Normal"/>
    <w:link w:val="Heading2Char"/>
    <w:uiPriority w:val="9"/>
    <w:semiHidden/>
    <w:unhideWhenUsed/>
    <w:qFormat/>
    <w:rsid w:val="000256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rsid w:val="00A954F8"/>
    <w:rPr>
      <w:rFonts w:ascii="Times New Roman" w:hAnsi="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qFormat/>
    <w:rsid w:val="008C6B1C"/>
    <w:pPr>
      <w:spacing w:line="240" w:lineRule="auto"/>
    </w:pPr>
    <w:rPr>
      <w:sz w:val="20"/>
      <w:szCs w:val="20"/>
    </w:rPr>
  </w:style>
  <w:style w:type="character" w:customStyle="1" w:styleId="CommentTextChar">
    <w:name w:val="Comment Text Char"/>
    <w:basedOn w:val="DefaultParagraphFont"/>
    <w:link w:val="CommentText"/>
    <w:uiPriority w:val="99"/>
    <w:qFormat/>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 w:type="paragraph" w:customStyle="1" w:styleId="tvhtml1">
    <w:name w:val="tv_html1"/>
    <w:basedOn w:val="Normal"/>
    <w:rsid w:val="00D011E2"/>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rsid w:val="00677C3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0256BC"/>
    <w:rPr>
      <w:rFonts w:asciiTheme="majorHAnsi" w:eastAsiaTheme="majorEastAsia" w:hAnsiTheme="majorHAnsi" w:cstheme="majorBidi"/>
      <w:b/>
      <w:bCs/>
      <w:color w:val="5B9BD5" w:themeColor="accent1"/>
      <w:sz w:val="26"/>
      <w:szCs w:val="26"/>
    </w:rPr>
  </w:style>
  <w:style w:type="paragraph" w:customStyle="1" w:styleId="MoUparagraphs">
    <w:name w:val="MoU paragraphs"/>
    <w:basedOn w:val="Normal"/>
    <w:rsid w:val="00CE7FB1"/>
    <w:pPr>
      <w:spacing w:before="80" w:after="60" w:line="280" w:lineRule="exact"/>
      <w:jc w:val="both"/>
    </w:pPr>
    <w:rPr>
      <w:rFonts w:ascii="Calibri" w:eastAsia="Times New Roman" w:hAnsi="Calibri" w:cs="Times New Roman"/>
      <w:lang w:eastAsia="lv-LV"/>
    </w:rPr>
  </w:style>
  <w:style w:type="table" w:styleId="TableGrid">
    <w:name w:val="Table Grid"/>
    <w:basedOn w:val="TableNormal"/>
    <w:uiPriority w:val="39"/>
    <w:rsid w:val="0046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2C8"/>
    <w:pPr>
      <w:spacing w:after="0" w:line="240" w:lineRule="auto"/>
    </w:pPr>
  </w:style>
  <w:style w:type="paragraph" w:styleId="BodyText">
    <w:name w:val="Body Text"/>
    <w:basedOn w:val="Normal"/>
    <w:link w:val="BodyTextChar"/>
    <w:rsid w:val="0079550F"/>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9550F"/>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456649"/>
    <w:rPr>
      <w:i/>
      <w:iCs/>
    </w:rPr>
  </w:style>
  <w:style w:type="paragraph" w:customStyle="1" w:styleId="tv213">
    <w:name w:val="tv213"/>
    <w:basedOn w:val="Normal"/>
    <w:qFormat/>
    <w:rsid w:val="004243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CD5244"/>
    <w:rPr>
      <w:color w:val="605E5C"/>
      <w:shd w:val="clear" w:color="auto" w:fill="E1DFDD"/>
    </w:rPr>
  </w:style>
  <w:style w:type="paragraph" w:customStyle="1" w:styleId="naiskr">
    <w:name w:val="naiskr"/>
    <w:basedOn w:val="Normal"/>
    <w:rsid w:val="006C7B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BA4EF1"/>
    <w:rPr>
      <w:color w:val="605E5C"/>
      <w:shd w:val="clear" w:color="auto" w:fill="E1DFDD"/>
    </w:rPr>
  </w:style>
  <w:style w:type="paragraph" w:styleId="Revision">
    <w:name w:val="Revision"/>
    <w:hidden/>
    <w:uiPriority w:val="99"/>
    <w:semiHidden/>
    <w:rsid w:val="007016A9"/>
    <w:pPr>
      <w:spacing w:after="0" w:line="240" w:lineRule="auto"/>
    </w:pPr>
  </w:style>
  <w:style w:type="character" w:customStyle="1" w:styleId="Neatrisintapieminana2">
    <w:name w:val="Neatrisināta pieminēšana2"/>
    <w:basedOn w:val="DefaultParagraphFont"/>
    <w:uiPriority w:val="99"/>
    <w:semiHidden/>
    <w:unhideWhenUsed/>
    <w:rsid w:val="00E4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8657">
      <w:bodyDiv w:val="1"/>
      <w:marLeft w:val="0"/>
      <w:marRight w:val="0"/>
      <w:marTop w:val="0"/>
      <w:marBottom w:val="0"/>
      <w:divBdr>
        <w:top w:val="none" w:sz="0" w:space="0" w:color="auto"/>
        <w:left w:val="none" w:sz="0" w:space="0" w:color="auto"/>
        <w:bottom w:val="none" w:sz="0" w:space="0" w:color="auto"/>
        <w:right w:val="none" w:sz="0" w:space="0" w:color="auto"/>
      </w:divBdr>
    </w:div>
    <w:div w:id="237326666">
      <w:bodyDiv w:val="1"/>
      <w:marLeft w:val="0"/>
      <w:marRight w:val="0"/>
      <w:marTop w:val="0"/>
      <w:marBottom w:val="0"/>
      <w:divBdr>
        <w:top w:val="none" w:sz="0" w:space="0" w:color="auto"/>
        <w:left w:val="none" w:sz="0" w:space="0" w:color="auto"/>
        <w:bottom w:val="none" w:sz="0" w:space="0" w:color="auto"/>
        <w:right w:val="none" w:sz="0" w:space="0" w:color="auto"/>
      </w:divBdr>
    </w:div>
    <w:div w:id="239953220">
      <w:bodyDiv w:val="1"/>
      <w:marLeft w:val="0"/>
      <w:marRight w:val="0"/>
      <w:marTop w:val="0"/>
      <w:marBottom w:val="0"/>
      <w:divBdr>
        <w:top w:val="none" w:sz="0" w:space="0" w:color="auto"/>
        <w:left w:val="none" w:sz="0" w:space="0" w:color="auto"/>
        <w:bottom w:val="none" w:sz="0" w:space="0" w:color="auto"/>
        <w:right w:val="none" w:sz="0" w:space="0" w:color="auto"/>
      </w:divBdr>
      <w:divsChild>
        <w:div w:id="1048530358">
          <w:marLeft w:val="0"/>
          <w:marRight w:val="0"/>
          <w:marTop w:val="0"/>
          <w:marBottom w:val="0"/>
          <w:divBdr>
            <w:top w:val="none" w:sz="0" w:space="0" w:color="auto"/>
            <w:left w:val="none" w:sz="0" w:space="0" w:color="auto"/>
            <w:bottom w:val="none" w:sz="0" w:space="0" w:color="auto"/>
            <w:right w:val="none" w:sz="0" w:space="0" w:color="auto"/>
          </w:divBdr>
        </w:div>
        <w:div w:id="1502812012">
          <w:marLeft w:val="0"/>
          <w:marRight w:val="0"/>
          <w:marTop w:val="0"/>
          <w:marBottom w:val="0"/>
          <w:divBdr>
            <w:top w:val="none" w:sz="0" w:space="0" w:color="auto"/>
            <w:left w:val="none" w:sz="0" w:space="0" w:color="auto"/>
            <w:bottom w:val="none" w:sz="0" w:space="0" w:color="auto"/>
            <w:right w:val="none" w:sz="0" w:space="0" w:color="auto"/>
          </w:divBdr>
        </w:div>
      </w:divsChild>
    </w:div>
    <w:div w:id="294914112">
      <w:bodyDiv w:val="1"/>
      <w:marLeft w:val="0"/>
      <w:marRight w:val="0"/>
      <w:marTop w:val="0"/>
      <w:marBottom w:val="0"/>
      <w:divBdr>
        <w:top w:val="none" w:sz="0" w:space="0" w:color="auto"/>
        <w:left w:val="none" w:sz="0" w:space="0" w:color="auto"/>
        <w:bottom w:val="none" w:sz="0" w:space="0" w:color="auto"/>
        <w:right w:val="none" w:sz="0" w:space="0" w:color="auto"/>
      </w:divBdr>
    </w:div>
    <w:div w:id="339236866">
      <w:bodyDiv w:val="1"/>
      <w:marLeft w:val="0"/>
      <w:marRight w:val="0"/>
      <w:marTop w:val="0"/>
      <w:marBottom w:val="0"/>
      <w:divBdr>
        <w:top w:val="none" w:sz="0" w:space="0" w:color="auto"/>
        <w:left w:val="none" w:sz="0" w:space="0" w:color="auto"/>
        <w:bottom w:val="none" w:sz="0" w:space="0" w:color="auto"/>
        <w:right w:val="none" w:sz="0" w:space="0" w:color="auto"/>
      </w:divBdr>
    </w:div>
    <w:div w:id="343365298">
      <w:bodyDiv w:val="1"/>
      <w:marLeft w:val="0"/>
      <w:marRight w:val="0"/>
      <w:marTop w:val="0"/>
      <w:marBottom w:val="0"/>
      <w:divBdr>
        <w:top w:val="none" w:sz="0" w:space="0" w:color="auto"/>
        <w:left w:val="none" w:sz="0" w:space="0" w:color="auto"/>
        <w:bottom w:val="none" w:sz="0" w:space="0" w:color="auto"/>
        <w:right w:val="none" w:sz="0" w:space="0" w:color="auto"/>
      </w:divBdr>
    </w:div>
    <w:div w:id="369230108">
      <w:bodyDiv w:val="1"/>
      <w:marLeft w:val="0"/>
      <w:marRight w:val="0"/>
      <w:marTop w:val="0"/>
      <w:marBottom w:val="0"/>
      <w:divBdr>
        <w:top w:val="none" w:sz="0" w:space="0" w:color="auto"/>
        <w:left w:val="none" w:sz="0" w:space="0" w:color="auto"/>
        <w:bottom w:val="none" w:sz="0" w:space="0" w:color="auto"/>
        <w:right w:val="none" w:sz="0" w:space="0" w:color="auto"/>
      </w:divBdr>
    </w:div>
    <w:div w:id="462963396">
      <w:bodyDiv w:val="1"/>
      <w:marLeft w:val="0"/>
      <w:marRight w:val="0"/>
      <w:marTop w:val="0"/>
      <w:marBottom w:val="0"/>
      <w:divBdr>
        <w:top w:val="none" w:sz="0" w:space="0" w:color="auto"/>
        <w:left w:val="none" w:sz="0" w:space="0" w:color="auto"/>
        <w:bottom w:val="none" w:sz="0" w:space="0" w:color="auto"/>
        <w:right w:val="none" w:sz="0" w:space="0" w:color="auto"/>
      </w:divBdr>
    </w:div>
    <w:div w:id="489254604">
      <w:bodyDiv w:val="1"/>
      <w:marLeft w:val="0"/>
      <w:marRight w:val="0"/>
      <w:marTop w:val="0"/>
      <w:marBottom w:val="0"/>
      <w:divBdr>
        <w:top w:val="none" w:sz="0" w:space="0" w:color="auto"/>
        <w:left w:val="none" w:sz="0" w:space="0" w:color="auto"/>
        <w:bottom w:val="none" w:sz="0" w:space="0" w:color="auto"/>
        <w:right w:val="none" w:sz="0" w:space="0" w:color="auto"/>
      </w:divBdr>
    </w:div>
    <w:div w:id="559247397">
      <w:bodyDiv w:val="1"/>
      <w:marLeft w:val="0"/>
      <w:marRight w:val="0"/>
      <w:marTop w:val="0"/>
      <w:marBottom w:val="0"/>
      <w:divBdr>
        <w:top w:val="none" w:sz="0" w:space="0" w:color="auto"/>
        <w:left w:val="none" w:sz="0" w:space="0" w:color="auto"/>
        <w:bottom w:val="none" w:sz="0" w:space="0" w:color="auto"/>
        <w:right w:val="none" w:sz="0" w:space="0" w:color="auto"/>
      </w:divBdr>
    </w:div>
    <w:div w:id="567501515">
      <w:bodyDiv w:val="1"/>
      <w:marLeft w:val="0"/>
      <w:marRight w:val="0"/>
      <w:marTop w:val="0"/>
      <w:marBottom w:val="0"/>
      <w:divBdr>
        <w:top w:val="none" w:sz="0" w:space="0" w:color="auto"/>
        <w:left w:val="none" w:sz="0" w:space="0" w:color="auto"/>
        <w:bottom w:val="none" w:sz="0" w:space="0" w:color="auto"/>
        <w:right w:val="none" w:sz="0" w:space="0" w:color="auto"/>
      </w:divBdr>
    </w:div>
    <w:div w:id="662661437">
      <w:bodyDiv w:val="1"/>
      <w:marLeft w:val="0"/>
      <w:marRight w:val="0"/>
      <w:marTop w:val="0"/>
      <w:marBottom w:val="0"/>
      <w:divBdr>
        <w:top w:val="none" w:sz="0" w:space="0" w:color="auto"/>
        <w:left w:val="none" w:sz="0" w:space="0" w:color="auto"/>
        <w:bottom w:val="none" w:sz="0" w:space="0" w:color="auto"/>
        <w:right w:val="none" w:sz="0" w:space="0" w:color="auto"/>
      </w:divBdr>
    </w:div>
    <w:div w:id="820391577">
      <w:bodyDiv w:val="1"/>
      <w:marLeft w:val="0"/>
      <w:marRight w:val="0"/>
      <w:marTop w:val="0"/>
      <w:marBottom w:val="0"/>
      <w:divBdr>
        <w:top w:val="none" w:sz="0" w:space="0" w:color="auto"/>
        <w:left w:val="none" w:sz="0" w:space="0" w:color="auto"/>
        <w:bottom w:val="none" w:sz="0" w:space="0" w:color="auto"/>
        <w:right w:val="none" w:sz="0" w:space="0" w:color="auto"/>
      </w:divBdr>
    </w:div>
    <w:div w:id="892232482">
      <w:bodyDiv w:val="1"/>
      <w:marLeft w:val="0"/>
      <w:marRight w:val="0"/>
      <w:marTop w:val="0"/>
      <w:marBottom w:val="0"/>
      <w:divBdr>
        <w:top w:val="none" w:sz="0" w:space="0" w:color="auto"/>
        <w:left w:val="none" w:sz="0" w:space="0" w:color="auto"/>
        <w:bottom w:val="none" w:sz="0" w:space="0" w:color="auto"/>
        <w:right w:val="none" w:sz="0" w:space="0" w:color="auto"/>
      </w:divBdr>
    </w:div>
    <w:div w:id="1029067194">
      <w:bodyDiv w:val="1"/>
      <w:marLeft w:val="0"/>
      <w:marRight w:val="0"/>
      <w:marTop w:val="0"/>
      <w:marBottom w:val="0"/>
      <w:divBdr>
        <w:top w:val="none" w:sz="0" w:space="0" w:color="auto"/>
        <w:left w:val="none" w:sz="0" w:space="0" w:color="auto"/>
        <w:bottom w:val="none" w:sz="0" w:space="0" w:color="auto"/>
        <w:right w:val="none" w:sz="0" w:space="0" w:color="auto"/>
      </w:divBdr>
    </w:div>
    <w:div w:id="1101532065">
      <w:bodyDiv w:val="1"/>
      <w:marLeft w:val="0"/>
      <w:marRight w:val="0"/>
      <w:marTop w:val="0"/>
      <w:marBottom w:val="0"/>
      <w:divBdr>
        <w:top w:val="none" w:sz="0" w:space="0" w:color="auto"/>
        <w:left w:val="none" w:sz="0" w:space="0" w:color="auto"/>
        <w:bottom w:val="none" w:sz="0" w:space="0" w:color="auto"/>
        <w:right w:val="none" w:sz="0" w:space="0" w:color="auto"/>
      </w:divBdr>
    </w:div>
    <w:div w:id="1198808944">
      <w:bodyDiv w:val="1"/>
      <w:marLeft w:val="0"/>
      <w:marRight w:val="0"/>
      <w:marTop w:val="0"/>
      <w:marBottom w:val="0"/>
      <w:divBdr>
        <w:top w:val="none" w:sz="0" w:space="0" w:color="auto"/>
        <w:left w:val="none" w:sz="0" w:space="0" w:color="auto"/>
        <w:bottom w:val="none" w:sz="0" w:space="0" w:color="auto"/>
        <w:right w:val="none" w:sz="0" w:space="0" w:color="auto"/>
      </w:divBdr>
      <w:divsChild>
        <w:div w:id="843670842">
          <w:marLeft w:val="0"/>
          <w:marRight w:val="0"/>
          <w:marTop w:val="0"/>
          <w:marBottom w:val="0"/>
          <w:divBdr>
            <w:top w:val="none" w:sz="0" w:space="0" w:color="auto"/>
            <w:left w:val="none" w:sz="0" w:space="0" w:color="auto"/>
            <w:bottom w:val="none" w:sz="0" w:space="0" w:color="auto"/>
            <w:right w:val="none" w:sz="0" w:space="0" w:color="auto"/>
          </w:divBdr>
          <w:divsChild>
            <w:div w:id="1821649661">
              <w:marLeft w:val="0"/>
              <w:marRight w:val="0"/>
              <w:marTop w:val="0"/>
              <w:marBottom w:val="0"/>
              <w:divBdr>
                <w:top w:val="none" w:sz="0" w:space="0" w:color="auto"/>
                <w:left w:val="none" w:sz="0" w:space="0" w:color="auto"/>
                <w:bottom w:val="none" w:sz="0" w:space="0" w:color="auto"/>
                <w:right w:val="none" w:sz="0" w:space="0" w:color="auto"/>
              </w:divBdr>
              <w:divsChild>
                <w:div w:id="1401177396">
                  <w:marLeft w:val="0"/>
                  <w:marRight w:val="0"/>
                  <w:marTop w:val="0"/>
                  <w:marBottom w:val="0"/>
                  <w:divBdr>
                    <w:top w:val="none" w:sz="0" w:space="0" w:color="auto"/>
                    <w:left w:val="none" w:sz="0" w:space="0" w:color="auto"/>
                    <w:bottom w:val="none" w:sz="0" w:space="0" w:color="auto"/>
                    <w:right w:val="none" w:sz="0" w:space="0" w:color="auto"/>
                  </w:divBdr>
                  <w:divsChild>
                    <w:div w:id="736442994">
                      <w:marLeft w:val="0"/>
                      <w:marRight w:val="0"/>
                      <w:marTop w:val="0"/>
                      <w:marBottom w:val="0"/>
                      <w:divBdr>
                        <w:top w:val="none" w:sz="0" w:space="0" w:color="auto"/>
                        <w:left w:val="none" w:sz="0" w:space="0" w:color="auto"/>
                        <w:bottom w:val="none" w:sz="0" w:space="0" w:color="auto"/>
                        <w:right w:val="none" w:sz="0" w:space="0" w:color="auto"/>
                      </w:divBdr>
                      <w:divsChild>
                        <w:div w:id="1797067885">
                          <w:marLeft w:val="0"/>
                          <w:marRight w:val="0"/>
                          <w:marTop w:val="0"/>
                          <w:marBottom w:val="0"/>
                          <w:divBdr>
                            <w:top w:val="none" w:sz="0" w:space="0" w:color="auto"/>
                            <w:left w:val="none" w:sz="0" w:space="0" w:color="auto"/>
                            <w:bottom w:val="none" w:sz="0" w:space="0" w:color="auto"/>
                            <w:right w:val="none" w:sz="0" w:space="0" w:color="auto"/>
                          </w:divBdr>
                          <w:divsChild>
                            <w:div w:id="873158725">
                              <w:marLeft w:val="0"/>
                              <w:marRight w:val="300"/>
                              <w:marTop w:val="180"/>
                              <w:marBottom w:val="0"/>
                              <w:divBdr>
                                <w:top w:val="none" w:sz="0" w:space="0" w:color="auto"/>
                                <w:left w:val="none" w:sz="0" w:space="0" w:color="auto"/>
                                <w:bottom w:val="none" w:sz="0" w:space="0" w:color="auto"/>
                                <w:right w:val="none" w:sz="0" w:space="0" w:color="auto"/>
                              </w:divBdr>
                              <w:divsChild>
                                <w:div w:id="11049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58350">
          <w:marLeft w:val="0"/>
          <w:marRight w:val="0"/>
          <w:marTop w:val="0"/>
          <w:marBottom w:val="0"/>
          <w:divBdr>
            <w:top w:val="none" w:sz="0" w:space="0" w:color="auto"/>
            <w:left w:val="none" w:sz="0" w:space="0" w:color="auto"/>
            <w:bottom w:val="none" w:sz="0" w:space="0" w:color="auto"/>
            <w:right w:val="none" w:sz="0" w:space="0" w:color="auto"/>
          </w:divBdr>
          <w:divsChild>
            <w:div w:id="1014920000">
              <w:marLeft w:val="0"/>
              <w:marRight w:val="0"/>
              <w:marTop w:val="0"/>
              <w:marBottom w:val="0"/>
              <w:divBdr>
                <w:top w:val="none" w:sz="0" w:space="0" w:color="auto"/>
                <w:left w:val="none" w:sz="0" w:space="0" w:color="auto"/>
                <w:bottom w:val="none" w:sz="0" w:space="0" w:color="auto"/>
                <w:right w:val="none" w:sz="0" w:space="0" w:color="auto"/>
              </w:divBdr>
              <w:divsChild>
                <w:div w:id="2079135263">
                  <w:marLeft w:val="0"/>
                  <w:marRight w:val="0"/>
                  <w:marTop w:val="0"/>
                  <w:marBottom w:val="0"/>
                  <w:divBdr>
                    <w:top w:val="none" w:sz="0" w:space="0" w:color="auto"/>
                    <w:left w:val="none" w:sz="0" w:space="0" w:color="auto"/>
                    <w:bottom w:val="none" w:sz="0" w:space="0" w:color="auto"/>
                    <w:right w:val="none" w:sz="0" w:space="0" w:color="auto"/>
                  </w:divBdr>
                  <w:divsChild>
                    <w:div w:id="1619989715">
                      <w:marLeft w:val="0"/>
                      <w:marRight w:val="0"/>
                      <w:marTop w:val="0"/>
                      <w:marBottom w:val="0"/>
                      <w:divBdr>
                        <w:top w:val="none" w:sz="0" w:space="0" w:color="auto"/>
                        <w:left w:val="none" w:sz="0" w:space="0" w:color="auto"/>
                        <w:bottom w:val="none" w:sz="0" w:space="0" w:color="auto"/>
                        <w:right w:val="none" w:sz="0" w:space="0" w:color="auto"/>
                      </w:divBdr>
                      <w:divsChild>
                        <w:div w:id="559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86062">
      <w:bodyDiv w:val="1"/>
      <w:marLeft w:val="0"/>
      <w:marRight w:val="0"/>
      <w:marTop w:val="0"/>
      <w:marBottom w:val="0"/>
      <w:divBdr>
        <w:top w:val="none" w:sz="0" w:space="0" w:color="auto"/>
        <w:left w:val="none" w:sz="0" w:space="0" w:color="auto"/>
        <w:bottom w:val="none" w:sz="0" w:space="0" w:color="auto"/>
        <w:right w:val="none" w:sz="0" w:space="0" w:color="auto"/>
      </w:divBdr>
    </w:div>
    <w:div w:id="1402682056">
      <w:bodyDiv w:val="1"/>
      <w:marLeft w:val="0"/>
      <w:marRight w:val="0"/>
      <w:marTop w:val="0"/>
      <w:marBottom w:val="0"/>
      <w:divBdr>
        <w:top w:val="none" w:sz="0" w:space="0" w:color="auto"/>
        <w:left w:val="none" w:sz="0" w:space="0" w:color="auto"/>
        <w:bottom w:val="none" w:sz="0" w:space="0" w:color="auto"/>
        <w:right w:val="none" w:sz="0" w:space="0" w:color="auto"/>
      </w:divBdr>
    </w:div>
    <w:div w:id="1467040705">
      <w:bodyDiv w:val="1"/>
      <w:marLeft w:val="0"/>
      <w:marRight w:val="0"/>
      <w:marTop w:val="0"/>
      <w:marBottom w:val="0"/>
      <w:divBdr>
        <w:top w:val="none" w:sz="0" w:space="0" w:color="auto"/>
        <w:left w:val="none" w:sz="0" w:space="0" w:color="auto"/>
        <w:bottom w:val="none" w:sz="0" w:space="0" w:color="auto"/>
        <w:right w:val="none" w:sz="0" w:space="0" w:color="auto"/>
      </w:divBdr>
    </w:div>
    <w:div w:id="1545753287">
      <w:bodyDiv w:val="1"/>
      <w:marLeft w:val="0"/>
      <w:marRight w:val="0"/>
      <w:marTop w:val="0"/>
      <w:marBottom w:val="0"/>
      <w:divBdr>
        <w:top w:val="none" w:sz="0" w:space="0" w:color="auto"/>
        <w:left w:val="none" w:sz="0" w:space="0" w:color="auto"/>
        <w:bottom w:val="none" w:sz="0" w:space="0" w:color="auto"/>
        <w:right w:val="none" w:sz="0" w:space="0" w:color="auto"/>
      </w:divBdr>
    </w:div>
    <w:div w:id="1794399668">
      <w:bodyDiv w:val="1"/>
      <w:marLeft w:val="0"/>
      <w:marRight w:val="0"/>
      <w:marTop w:val="0"/>
      <w:marBottom w:val="0"/>
      <w:divBdr>
        <w:top w:val="none" w:sz="0" w:space="0" w:color="auto"/>
        <w:left w:val="none" w:sz="0" w:space="0" w:color="auto"/>
        <w:bottom w:val="none" w:sz="0" w:space="0" w:color="auto"/>
        <w:right w:val="none" w:sz="0" w:space="0" w:color="auto"/>
      </w:divBdr>
    </w:div>
    <w:div w:id="1795322190">
      <w:bodyDiv w:val="1"/>
      <w:marLeft w:val="0"/>
      <w:marRight w:val="0"/>
      <w:marTop w:val="0"/>
      <w:marBottom w:val="0"/>
      <w:divBdr>
        <w:top w:val="none" w:sz="0" w:space="0" w:color="auto"/>
        <w:left w:val="none" w:sz="0" w:space="0" w:color="auto"/>
        <w:bottom w:val="none" w:sz="0" w:space="0" w:color="auto"/>
        <w:right w:val="none" w:sz="0" w:space="0" w:color="auto"/>
      </w:divBdr>
    </w:div>
    <w:div w:id="1823696822">
      <w:bodyDiv w:val="1"/>
      <w:marLeft w:val="0"/>
      <w:marRight w:val="0"/>
      <w:marTop w:val="0"/>
      <w:marBottom w:val="0"/>
      <w:divBdr>
        <w:top w:val="none" w:sz="0" w:space="0" w:color="auto"/>
        <w:left w:val="none" w:sz="0" w:space="0" w:color="auto"/>
        <w:bottom w:val="none" w:sz="0" w:space="0" w:color="auto"/>
        <w:right w:val="none" w:sz="0" w:space="0" w:color="auto"/>
      </w:divBdr>
    </w:div>
    <w:div w:id="1891383223">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 w:id="1962416485">
      <w:bodyDiv w:val="1"/>
      <w:marLeft w:val="0"/>
      <w:marRight w:val="0"/>
      <w:marTop w:val="0"/>
      <w:marBottom w:val="0"/>
      <w:divBdr>
        <w:top w:val="none" w:sz="0" w:space="0" w:color="auto"/>
        <w:left w:val="none" w:sz="0" w:space="0" w:color="auto"/>
        <w:bottom w:val="none" w:sz="0" w:space="0" w:color="auto"/>
        <w:right w:val="none" w:sz="0" w:space="0" w:color="auto"/>
      </w:divBdr>
    </w:div>
    <w:div w:id="1995643060">
      <w:bodyDiv w:val="1"/>
      <w:marLeft w:val="0"/>
      <w:marRight w:val="0"/>
      <w:marTop w:val="0"/>
      <w:marBottom w:val="0"/>
      <w:divBdr>
        <w:top w:val="none" w:sz="0" w:space="0" w:color="auto"/>
        <w:left w:val="none" w:sz="0" w:space="0" w:color="auto"/>
        <w:bottom w:val="none" w:sz="0" w:space="0" w:color="auto"/>
        <w:right w:val="none" w:sz="0" w:space="0" w:color="auto"/>
      </w:divBdr>
    </w:div>
    <w:div w:id="20669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ese.andzane@vara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79D83336CB4CF43B3BB2BF27AE34848" ma:contentTypeVersion="5" ma:contentTypeDescription="Izveidot jaunu dokumentu." ma:contentTypeScope="" ma:versionID="00b3acf63becff58a7d8e96dd6ff115a">
  <xsd:schema xmlns:xsd="http://www.w3.org/2001/XMLSchema" xmlns:xs="http://www.w3.org/2001/XMLSchema" xmlns:p="http://schemas.microsoft.com/office/2006/metadata/properties" xmlns:ns3="7318ec98-e4f3-4eb2-ba23-0a0f875bc61e" xmlns:ns4="c683a9e5-8b51-4dc8-8d66-da4e0aa2a4f1" targetNamespace="http://schemas.microsoft.com/office/2006/metadata/properties" ma:root="true" ma:fieldsID="8ee336965ef7a8a24d0ef53160024ce2" ns3:_="" ns4:_="">
    <xsd:import namespace="7318ec98-e4f3-4eb2-ba23-0a0f875bc61e"/>
    <xsd:import namespace="c683a9e5-8b51-4dc8-8d66-da4e0aa2a4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8ec98-e4f3-4eb2-ba23-0a0f875bc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3a9e5-8b51-4dc8-8d66-da4e0aa2a4f1"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9310-FAD1-4FA7-8B49-A03623DD33BF}">
  <ds:schemaRefs>
    <ds:schemaRef ds:uri="http://schemas.microsoft.com/office/2006/metadata/properties"/>
  </ds:schemaRefs>
</ds:datastoreItem>
</file>

<file path=customXml/itemProps2.xml><?xml version="1.0" encoding="utf-8"?>
<ds:datastoreItem xmlns:ds="http://schemas.openxmlformats.org/officeDocument/2006/customXml" ds:itemID="{0F8AECF4-A08A-4EA5-A6AB-83347EA5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8ec98-e4f3-4eb2-ba23-0a0f875bc61e"/>
    <ds:schemaRef ds:uri="c683a9e5-8b51-4dc8-8d66-da4e0aa2a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40CB0-E0F7-4DC4-B728-A3280D864F32}">
  <ds:schemaRefs>
    <ds:schemaRef ds:uri="http://schemas.microsoft.com/sharepoint/v3/contenttype/forms"/>
  </ds:schemaRefs>
</ds:datastoreItem>
</file>

<file path=customXml/itemProps4.xml><?xml version="1.0" encoding="utf-8"?>
<ds:datastoreItem xmlns:ds="http://schemas.openxmlformats.org/officeDocument/2006/customXml" ds:itemID="{E6E54287-6792-4F18-BC6C-1718EA09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18600</Words>
  <Characters>10602</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VARAManot</vt:lpstr>
      <vt:lpstr>VARAManot</vt:lpstr>
    </vt:vector>
  </TitlesOfParts>
  <Company>Iestādes nosaukums</Company>
  <LinksUpToDate>false</LinksUpToDate>
  <CharactersWithSpaces>29144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dc:title>
  <dc:subject>Anotācija</dc:subject>
  <dc:creator>Agnese Andžāne</dc:creator>
  <cp:lastModifiedBy>Laila Bremša</cp:lastModifiedBy>
  <cp:revision>2</cp:revision>
  <cp:lastPrinted>2020-01-21T12:25:00Z</cp:lastPrinted>
  <dcterms:created xsi:type="dcterms:W3CDTF">2020-08-03T06:49:00Z</dcterms:created>
  <dcterms:modified xsi:type="dcterms:W3CDTF">2020-08-03T06:49:00Z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0x010100E79D83336CB4CF43B3BB2BF27AE34848</vt:lpwstr>
  </property>
</Properties>
</file>