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413F8" w14:textId="77777777" w:rsidR="00894C55" w:rsidRDefault="00EC6E12" w:rsidP="00EC6E12">
      <w:pPr>
        <w:pStyle w:val="NoSpacing"/>
        <w:jc w:val="center"/>
        <w:rPr>
          <w:rFonts w:ascii="Times New Roman" w:hAnsi="Times New Roman" w:cs="Times New Roman"/>
          <w:b/>
          <w:sz w:val="28"/>
          <w:szCs w:val="24"/>
          <w:lang w:eastAsia="lv-LV"/>
        </w:rPr>
      </w:pPr>
      <w:r w:rsidRPr="00EC6E12">
        <w:rPr>
          <w:rFonts w:ascii="Times New Roman" w:hAnsi="Times New Roman" w:cs="Times New Roman"/>
          <w:b/>
          <w:sz w:val="28"/>
          <w:szCs w:val="24"/>
          <w:lang w:eastAsia="lv-LV"/>
        </w:rPr>
        <w:t xml:space="preserve">Ministru </w:t>
      </w:r>
      <w:r>
        <w:rPr>
          <w:rFonts w:ascii="Times New Roman" w:hAnsi="Times New Roman" w:cs="Times New Roman"/>
          <w:b/>
          <w:sz w:val="28"/>
          <w:szCs w:val="24"/>
          <w:lang w:eastAsia="lv-LV"/>
        </w:rPr>
        <w:t xml:space="preserve">kabineta rīkojuma projekta “Par finanšu līdzekļu piešķiršanu no valsts budžeta programmas “Līdzekļi neparedzētiem gadījumiem”” </w:t>
      </w:r>
      <w:r w:rsidR="00894C55" w:rsidRPr="00EC6E12">
        <w:rPr>
          <w:rFonts w:ascii="Times New Roman" w:hAnsi="Times New Roman" w:cs="Times New Roman"/>
          <w:b/>
          <w:sz w:val="28"/>
          <w:szCs w:val="24"/>
          <w:lang w:eastAsia="lv-LV"/>
        </w:rPr>
        <w:t>sākotnējās ietekmes novērtējuma ziņojums (anotācija)</w:t>
      </w:r>
    </w:p>
    <w:p w14:paraId="6C1F090D" w14:textId="77777777" w:rsidR="00EC6E12" w:rsidRDefault="00EC6E12" w:rsidP="00EC6E12">
      <w:pPr>
        <w:pStyle w:val="NoSpacing"/>
        <w:jc w:val="center"/>
        <w:rPr>
          <w:rFonts w:ascii="Times New Roman" w:hAnsi="Times New Roman" w:cs="Times New Roman"/>
          <w:sz w:val="24"/>
          <w:szCs w:val="24"/>
          <w:lang w:eastAsia="lv-LV"/>
        </w:rPr>
      </w:pPr>
    </w:p>
    <w:tbl>
      <w:tblPr>
        <w:tblStyle w:val="TableGrid"/>
        <w:tblW w:w="9214" w:type="dxa"/>
        <w:tblInd w:w="-147" w:type="dxa"/>
        <w:tblLook w:val="04A0" w:firstRow="1" w:lastRow="0" w:firstColumn="1" w:lastColumn="0" w:noHBand="0" w:noVBand="1"/>
      </w:tblPr>
      <w:tblGrid>
        <w:gridCol w:w="9214"/>
      </w:tblGrid>
      <w:tr w:rsidR="00EC6E12" w:rsidRPr="00515DB5" w14:paraId="2B739D85" w14:textId="77777777" w:rsidTr="00391B6A">
        <w:tc>
          <w:tcPr>
            <w:tcW w:w="9214" w:type="dxa"/>
          </w:tcPr>
          <w:p w14:paraId="7DAB3094" w14:textId="77777777" w:rsidR="00EC6E12" w:rsidRPr="00515DB5" w:rsidRDefault="00EC6E12" w:rsidP="00EC6E12">
            <w:pPr>
              <w:pStyle w:val="NoSpacing"/>
              <w:jc w:val="center"/>
              <w:rPr>
                <w:rFonts w:ascii="Times New Roman" w:hAnsi="Times New Roman" w:cs="Times New Roman"/>
                <w:b/>
                <w:sz w:val="25"/>
                <w:szCs w:val="25"/>
                <w:lang w:eastAsia="lv-LV"/>
              </w:rPr>
            </w:pPr>
            <w:r w:rsidRPr="00515DB5">
              <w:rPr>
                <w:rFonts w:ascii="Times New Roman" w:hAnsi="Times New Roman" w:cs="Times New Roman"/>
                <w:b/>
                <w:iCs/>
                <w:sz w:val="25"/>
                <w:szCs w:val="25"/>
                <w:lang w:eastAsia="lv-LV"/>
              </w:rPr>
              <w:t>Tiesību akta projekta anotācijas kopsavilkums</w:t>
            </w:r>
          </w:p>
        </w:tc>
      </w:tr>
      <w:tr w:rsidR="00130487" w:rsidRPr="00515DB5" w14:paraId="6DA0111E" w14:textId="77777777" w:rsidTr="00391B6A">
        <w:tc>
          <w:tcPr>
            <w:tcW w:w="9214" w:type="dxa"/>
          </w:tcPr>
          <w:p w14:paraId="0D6EC59F" w14:textId="77777777" w:rsidR="00130487" w:rsidRPr="00515DB5" w:rsidRDefault="00130487" w:rsidP="00EC6E12">
            <w:pPr>
              <w:pStyle w:val="NoSpacing"/>
              <w:jc w:val="center"/>
              <w:rPr>
                <w:rFonts w:ascii="Times New Roman" w:hAnsi="Times New Roman" w:cs="Times New Roman"/>
                <w:sz w:val="25"/>
                <w:szCs w:val="25"/>
                <w:lang w:eastAsia="lv-LV"/>
              </w:rPr>
            </w:pPr>
            <w:r w:rsidRPr="00515DB5">
              <w:rPr>
                <w:rFonts w:ascii="Times New Roman" w:hAnsi="Times New Roman" w:cs="Times New Roman"/>
                <w:sz w:val="25"/>
                <w:szCs w:val="25"/>
                <w:lang w:eastAsia="lv-LV"/>
              </w:rPr>
              <w:t>Projekts šo jomu neskar</w:t>
            </w:r>
            <w:r w:rsidR="007272A8" w:rsidRPr="00515DB5">
              <w:rPr>
                <w:rFonts w:ascii="Times New Roman" w:hAnsi="Times New Roman" w:cs="Times New Roman"/>
                <w:sz w:val="25"/>
                <w:szCs w:val="25"/>
                <w:lang w:eastAsia="lv-LV"/>
              </w:rPr>
              <w:t>.</w:t>
            </w:r>
          </w:p>
        </w:tc>
      </w:tr>
    </w:tbl>
    <w:p w14:paraId="30BD9A1F" w14:textId="77777777" w:rsidR="00EC6E12" w:rsidRDefault="00EC6E12" w:rsidP="00EC6E12">
      <w:pPr>
        <w:pStyle w:val="NoSpacing"/>
        <w:jc w:val="center"/>
        <w:rPr>
          <w:rFonts w:ascii="Times New Roman" w:hAnsi="Times New Roman" w:cs="Times New Roman"/>
          <w:sz w:val="24"/>
          <w:szCs w:val="24"/>
          <w:lang w:eastAsia="lv-LV"/>
        </w:rPr>
      </w:pPr>
    </w:p>
    <w:tbl>
      <w:tblPr>
        <w:tblStyle w:val="TableGrid"/>
        <w:tblW w:w="9214" w:type="dxa"/>
        <w:tblInd w:w="-147" w:type="dxa"/>
        <w:tblLayout w:type="fixed"/>
        <w:tblLook w:val="04A0" w:firstRow="1" w:lastRow="0" w:firstColumn="1" w:lastColumn="0" w:noHBand="0" w:noVBand="1"/>
      </w:tblPr>
      <w:tblGrid>
        <w:gridCol w:w="568"/>
        <w:gridCol w:w="1559"/>
        <w:gridCol w:w="7087"/>
      </w:tblGrid>
      <w:tr w:rsidR="00EC6E12" w:rsidRPr="00515DB5" w14:paraId="2A357967" w14:textId="77777777" w:rsidTr="00391B6A">
        <w:tc>
          <w:tcPr>
            <w:tcW w:w="9214" w:type="dxa"/>
            <w:gridSpan w:val="3"/>
          </w:tcPr>
          <w:p w14:paraId="74CE523A" w14:textId="77777777" w:rsidR="00EC6E12" w:rsidRPr="00515DB5" w:rsidRDefault="00EC6E12" w:rsidP="00EC6E12">
            <w:pPr>
              <w:pStyle w:val="NoSpacing"/>
              <w:jc w:val="center"/>
              <w:rPr>
                <w:rFonts w:ascii="Times New Roman" w:hAnsi="Times New Roman" w:cs="Times New Roman"/>
                <w:b/>
                <w:sz w:val="25"/>
                <w:szCs w:val="25"/>
                <w:lang w:eastAsia="lv-LV"/>
              </w:rPr>
            </w:pPr>
            <w:r w:rsidRPr="00515DB5">
              <w:rPr>
                <w:rFonts w:ascii="Times New Roman" w:hAnsi="Times New Roman" w:cs="Times New Roman"/>
                <w:b/>
                <w:iCs/>
                <w:sz w:val="25"/>
                <w:szCs w:val="25"/>
                <w:lang w:eastAsia="lv-LV"/>
              </w:rPr>
              <w:t>I. Tiesību akta projekta izstrādes nepieciešamība</w:t>
            </w:r>
          </w:p>
        </w:tc>
      </w:tr>
      <w:tr w:rsidR="00130487" w:rsidRPr="00515DB5" w14:paraId="423FA2E3" w14:textId="77777777" w:rsidTr="00391B6A">
        <w:tc>
          <w:tcPr>
            <w:tcW w:w="568" w:type="dxa"/>
          </w:tcPr>
          <w:p w14:paraId="607F217C" w14:textId="77777777" w:rsidR="00130487" w:rsidRPr="007B7D5F" w:rsidRDefault="00130487" w:rsidP="00130487">
            <w:pPr>
              <w:pStyle w:val="NoSpacing"/>
              <w:jc w:val="center"/>
              <w:rPr>
                <w:rFonts w:ascii="Times New Roman" w:hAnsi="Times New Roman" w:cs="Times New Roman"/>
                <w:sz w:val="26"/>
                <w:szCs w:val="26"/>
                <w:lang w:eastAsia="lv-LV"/>
              </w:rPr>
            </w:pPr>
            <w:r w:rsidRPr="007B7D5F">
              <w:rPr>
                <w:rFonts w:ascii="Times New Roman" w:hAnsi="Times New Roman" w:cs="Times New Roman"/>
                <w:sz w:val="26"/>
                <w:szCs w:val="26"/>
                <w:lang w:eastAsia="lv-LV"/>
              </w:rPr>
              <w:t>1.</w:t>
            </w:r>
          </w:p>
        </w:tc>
        <w:tc>
          <w:tcPr>
            <w:tcW w:w="1559" w:type="dxa"/>
          </w:tcPr>
          <w:p w14:paraId="08346D50" w14:textId="77777777" w:rsidR="00130487" w:rsidRPr="007B7D5F" w:rsidRDefault="00130487" w:rsidP="00130487">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Pamatojums</w:t>
            </w:r>
          </w:p>
        </w:tc>
        <w:tc>
          <w:tcPr>
            <w:tcW w:w="7087" w:type="dxa"/>
          </w:tcPr>
          <w:p w14:paraId="5E5252AE" w14:textId="77777777" w:rsidR="0079260F" w:rsidRPr="007B7D5F" w:rsidRDefault="0079260F" w:rsidP="00155578">
            <w:pPr>
              <w:pStyle w:val="NoSpacing"/>
              <w:ind w:firstLine="311"/>
              <w:jc w:val="both"/>
              <w:rPr>
                <w:rFonts w:ascii="Times New Roman" w:hAnsi="Times New Roman" w:cs="Times New Roman"/>
                <w:sz w:val="26"/>
                <w:szCs w:val="26"/>
              </w:rPr>
            </w:pPr>
            <w:r w:rsidRPr="007B7D5F">
              <w:rPr>
                <w:rFonts w:ascii="Times New Roman" w:hAnsi="Times New Roman" w:cs="Times New Roman"/>
                <w:sz w:val="26"/>
                <w:szCs w:val="26"/>
              </w:rPr>
              <w:t>Ministru kabineta</w:t>
            </w:r>
            <w:r w:rsidR="00270726" w:rsidRPr="007B7D5F">
              <w:rPr>
                <w:rFonts w:ascii="Times New Roman" w:hAnsi="Times New Roman" w:cs="Times New Roman"/>
                <w:sz w:val="26"/>
                <w:szCs w:val="26"/>
              </w:rPr>
              <w:t xml:space="preserve"> (turpmāk – MK)</w:t>
            </w:r>
            <w:r w:rsidRPr="007B7D5F">
              <w:rPr>
                <w:rFonts w:ascii="Times New Roman" w:hAnsi="Times New Roman" w:cs="Times New Roman"/>
                <w:sz w:val="26"/>
                <w:szCs w:val="26"/>
              </w:rPr>
              <w:t xml:space="preserve"> rīkojuma projekts “Par finanšu līdzekļu piešķiršanu no valsts budžeta programmas “Līdzekļi neparedzētiem gadījumiem”” (turpmāk – rīkojuma projekts) izstrādāts, pamatojoties uz: </w:t>
            </w:r>
          </w:p>
          <w:p w14:paraId="173AB508" w14:textId="5A63B041" w:rsidR="00C24DA1" w:rsidRPr="007B7D5F" w:rsidRDefault="00DF5C95" w:rsidP="008E4FC3">
            <w:pPr>
              <w:pStyle w:val="NoSpacing"/>
              <w:ind w:firstLine="311"/>
              <w:jc w:val="both"/>
              <w:rPr>
                <w:rFonts w:ascii="Times New Roman" w:hAnsi="Times New Roman" w:cs="Times New Roman"/>
                <w:sz w:val="26"/>
                <w:szCs w:val="26"/>
              </w:rPr>
            </w:pPr>
            <w:r w:rsidRPr="00DF5C95">
              <w:rPr>
                <w:rFonts w:ascii="Times New Roman" w:hAnsi="Times New Roman" w:cs="Times New Roman"/>
                <w:sz w:val="26"/>
                <w:szCs w:val="26"/>
              </w:rPr>
              <w:t>Covid-19 infekcijas izplatības seku pārvarēšanas likuma</w:t>
            </w:r>
            <w:r w:rsidR="00E361EA">
              <w:rPr>
                <w:rFonts w:ascii="Times New Roman" w:hAnsi="Times New Roman" w:cs="Times New Roman"/>
                <w:sz w:val="26"/>
                <w:szCs w:val="26"/>
              </w:rPr>
              <w:t xml:space="preserve"> </w:t>
            </w:r>
            <w:r w:rsidRPr="00DF5C95">
              <w:rPr>
                <w:rFonts w:ascii="Times New Roman" w:hAnsi="Times New Roman" w:cs="Times New Roman"/>
                <w:sz w:val="26"/>
                <w:szCs w:val="26"/>
              </w:rPr>
              <w:t>24.</w:t>
            </w:r>
            <w:r w:rsidR="00154FB3">
              <w:rPr>
                <w:rFonts w:ascii="Times New Roman" w:hAnsi="Times New Roman" w:cs="Times New Roman"/>
                <w:sz w:val="26"/>
                <w:szCs w:val="26"/>
              </w:rPr>
              <w:t xml:space="preserve"> un 25.</w:t>
            </w:r>
            <w:r w:rsidRPr="00DF5C95">
              <w:rPr>
                <w:rFonts w:ascii="Times New Roman" w:hAnsi="Times New Roman" w:cs="Times New Roman"/>
                <w:sz w:val="26"/>
                <w:szCs w:val="26"/>
              </w:rPr>
              <w:t>pants</w:t>
            </w:r>
            <w:r w:rsidR="00154FB3">
              <w:rPr>
                <w:rFonts w:ascii="Times New Roman" w:hAnsi="Times New Roman" w:cs="Times New Roman"/>
                <w:sz w:val="26"/>
                <w:szCs w:val="26"/>
              </w:rPr>
              <w:t>.</w:t>
            </w:r>
          </w:p>
        </w:tc>
      </w:tr>
      <w:tr w:rsidR="0079260F" w:rsidRPr="00515DB5" w14:paraId="2F02C07A" w14:textId="77777777" w:rsidTr="00391B6A">
        <w:tc>
          <w:tcPr>
            <w:tcW w:w="568" w:type="dxa"/>
          </w:tcPr>
          <w:p w14:paraId="1E58B409" w14:textId="77777777" w:rsidR="0079260F" w:rsidRPr="007B7D5F" w:rsidRDefault="0079260F" w:rsidP="0079260F">
            <w:pPr>
              <w:pStyle w:val="NoSpacing"/>
              <w:jc w:val="center"/>
              <w:rPr>
                <w:rFonts w:ascii="Times New Roman" w:hAnsi="Times New Roman" w:cs="Times New Roman"/>
                <w:sz w:val="26"/>
                <w:szCs w:val="26"/>
                <w:lang w:eastAsia="lv-LV"/>
              </w:rPr>
            </w:pPr>
            <w:r w:rsidRPr="007B7D5F">
              <w:rPr>
                <w:rFonts w:ascii="Times New Roman" w:hAnsi="Times New Roman" w:cs="Times New Roman"/>
                <w:sz w:val="26"/>
                <w:szCs w:val="26"/>
                <w:lang w:eastAsia="lv-LV"/>
              </w:rPr>
              <w:t>2.</w:t>
            </w:r>
          </w:p>
        </w:tc>
        <w:tc>
          <w:tcPr>
            <w:tcW w:w="1559" w:type="dxa"/>
          </w:tcPr>
          <w:p w14:paraId="4BFF8161" w14:textId="77777777" w:rsidR="00152501" w:rsidRPr="007B7D5F" w:rsidRDefault="0079260F" w:rsidP="0079260F">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Pašreizējā situācija un problēmas, kuru risināšanai tiesību akta projekts izstrādāts, tiesiskā regulējuma mērķis un būtība</w:t>
            </w:r>
          </w:p>
          <w:p w14:paraId="2413445A" w14:textId="77777777" w:rsidR="0079260F" w:rsidRDefault="0079260F" w:rsidP="00152501">
            <w:pPr>
              <w:jc w:val="center"/>
              <w:rPr>
                <w:sz w:val="26"/>
                <w:szCs w:val="26"/>
              </w:rPr>
            </w:pPr>
          </w:p>
          <w:p w14:paraId="1231E992" w14:textId="77777777" w:rsidR="00A40296" w:rsidRPr="00A40296" w:rsidRDefault="00A40296" w:rsidP="00A40296">
            <w:pPr>
              <w:rPr>
                <w:sz w:val="26"/>
                <w:szCs w:val="26"/>
              </w:rPr>
            </w:pPr>
          </w:p>
          <w:p w14:paraId="1FDA3459" w14:textId="77777777" w:rsidR="00A40296" w:rsidRPr="00A40296" w:rsidRDefault="00A40296" w:rsidP="00A40296">
            <w:pPr>
              <w:rPr>
                <w:sz w:val="26"/>
                <w:szCs w:val="26"/>
              </w:rPr>
            </w:pPr>
          </w:p>
          <w:p w14:paraId="1116F78D" w14:textId="77777777" w:rsidR="00A40296" w:rsidRPr="00A40296" w:rsidRDefault="00A40296" w:rsidP="00A40296">
            <w:pPr>
              <w:rPr>
                <w:sz w:val="26"/>
                <w:szCs w:val="26"/>
              </w:rPr>
            </w:pPr>
          </w:p>
          <w:p w14:paraId="39239F0F" w14:textId="77777777" w:rsidR="00A40296" w:rsidRPr="00A40296" w:rsidRDefault="00A40296" w:rsidP="00A40296">
            <w:pPr>
              <w:rPr>
                <w:sz w:val="26"/>
                <w:szCs w:val="26"/>
              </w:rPr>
            </w:pPr>
          </w:p>
          <w:p w14:paraId="2699DD30" w14:textId="77777777" w:rsidR="00A40296" w:rsidRPr="00A40296" w:rsidRDefault="00A40296" w:rsidP="00A40296">
            <w:pPr>
              <w:rPr>
                <w:sz w:val="26"/>
                <w:szCs w:val="26"/>
              </w:rPr>
            </w:pPr>
          </w:p>
          <w:p w14:paraId="77C75300" w14:textId="77777777" w:rsidR="00A40296" w:rsidRPr="00A40296" w:rsidRDefault="00A40296" w:rsidP="00A40296">
            <w:pPr>
              <w:rPr>
                <w:sz w:val="26"/>
                <w:szCs w:val="26"/>
              </w:rPr>
            </w:pPr>
          </w:p>
          <w:p w14:paraId="34C81BAA" w14:textId="77777777" w:rsidR="00A40296" w:rsidRPr="00A40296" w:rsidRDefault="00A40296" w:rsidP="00A40296">
            <w:pPr>
              <w:rPr>
                <w:sz w:val="26"/>
                <w:szCs w:val="26"/>
              </w:rPr>
            </w:pPr>
          </w:p>
          <w:p w14:paraId="7BDA1B8D" w14:textId="77777777" w:rsidR="00A40296" w:rsidRPr="00A40296" w:rsidRDefault="00A40296" w:rsidP="00A40296">
            <w:pPr>
              <w:rPr>
                <w:sz w:val="26"/>
                <w:szCs w:val="26"/>
              </w:rPr>
            </w:pPr>
          </w:p>
          <w:p w14:paraId="795FE568" w14:textId="77777777" w:rsidR="00A40296" w:rsidRPr="00A40296" w:rsidRDefault="00A40296" w:rsidP="00A40296">
            <w:pPr>
              <w:rPr>
                <w:sz w:val="26"/>
                <w:szCs w:val="26"/>
              </w:rPr>
            </w:pPr>
          </w:p>
          <w:p w14:paraId="6EF0CA47" w14:textId="77777777" w:rsidR="00A40296" w:rsidRPr="00A40296" w:rsidRDefault="00A40296" w:rsidP="00A40296">
            <w:pPr>
              <w:rPr>
                <w:sz w:val="26"/>
                <w:szCs w:val="26"/>
              </w:rPr>
            </w:pPr>
          </w:p>
          <w:p w14:paraId="268CFD9B" w14:textId="77777777" w:rsidR="00A40296" w:rsidRPr="00A40296" w:rsidRDefault="00A40296" w:rsidP="00A40296">
            <w:pPr>
              <w:rPr>
                <w:sz w:val="26"/>
                <w:szCs w:val="26"/>
              </w:rPr>
            </w:pPr>
          </w:p>
          <w:p w14:paraId="09E9E7DF" w14:textId="77777777" w:rsidR="00A40296" w:rsidRPr="00A40296" w:rsidRDefault="00A40296" w:rsidP="00A40296">
            <w:pPr>
              <w:rPr>
                <w:sz w:val="26"/>
                <w:szCs w:val="26"/>
              </w:rPr>
            </w:pPr>
          </w:p>
          <w:p w14:paraId="6D711134" w14:textId="77777777" w:rsidR="00A40296" w:rsidRPr="00A40296" w:rsidRDefault="00A40296" w:rsidP="00A40296">
            <w:pPr>
              <w:jc w:val="center"/>
              <w:rPr>
                <w:sz w:val="26"/>
                <w:szCs w:val="26"/>
              </w:rPr>
            </w:pPr>
          </w:p>
        </w:tc>
        <w:tc>
          <w:tcPr>
            <w:tcW w:w="7087" w:type="dxa"/>
          </w:tcPr>
          <w:p w14:paraId="4CD5024C" w14:textId="0940F597" w:rsidR="00ED3E28" w:rsidRDefault="00473352" w:rsidP="00ED3E28">
            <w:pPr>
              <w:suppressAutoHyphens/>
              <w:autoSpaceDN w:val="0"/>
              <w:ind w:firstLine="720"/>
              <w:jc w:val="both"/>
              <w:textAlignment w:val="baseline"/>
              <w:rPr>
                <w:rFonts w:eastAsia="Calibri"/>
                <w:sz w:val="26"/>
                <w:szCs w:val="26"/>
                <w:lang w:eastAsia="en-US"/>
              </w:rPr>
            </w:pPr>
            <w:r w:rsidRPr="00473352">
              <w:rPr>
                <w:rFonts w:eastAsia="Calibri"/>
                <w:sz w:val="26"/>
                <w:szCs w:val="26"/>
                <w:lang w:eastAsia="en-US"/>
              </w:rPr>
              <w:t xml:space="preserve">Pamatojoties uz 2020.gada 30.janvāra Pasaules Veselības organizācijas ģenerāldirektora paziņojumu, ka </w:t>
            </w:r>
            <w:proofErr w:type="spellStart"/>
            <w:r w:rsidRPr="00473352">
              <w:rPr>
                <w:rFonts w:eastAsia="Calibri"/>
                <w:sz w:val="26"/>
                <w:szCs w:val="26"/>
                <w:lang w:eastAsia="en-US"/>
              </w:rPr>
              <w:t>koronavīruss</w:t>
            </w:r>
            <w:proofErr w:type="spellEnd"/>
            <w:r w:rsidRPr="00473352">
              <w:rPr>
                <w:rFonts w:eastAsia="Calibri"/>
                <w:sz w:val="26"/>
                <w:szCs w:val="26"/>
                <w:lang w:eastAsia="en-US"/>
              </w:rPr>
              <w:t xml:space="preserve"> “Covid-19” uzliesmojums ir uzskatāms par starptautiskas nozīmes ārkārtas sabiedrības veselības apdraudējumu un Eiropas Slimību profilakses centra ieteikumiem par koronavīrusa “Covid-19”  izraisīto saslimšanas gadījumu uzraudzību, </w:t>
            </w:r>
            <w:r w:rsidR="00CE3967">
              <w:rPr>
                <w:rFonts w:eastAsia="Calibri"/>
                <w:sz w:val="26"/>
                <w:szCs w:val="26"/>
                <w:lang w:eastAsia="en-US"/>
              </w:rPr>
              <w:t xml:space="preserve">stājies spēkā </w:t>
            </w:r>
            <w:r w:rsidR="00CE3967" w:rsidRPr="00CE3967">
              <w:rPr>
                <w:rFonts w:eastAsia="Calibri"/>
                <w:sz w:val="26"/>
                <w:szCs w:val="26"/>
                <w:lang w:eastAsia="en-US"/>
              </w:rPr>
              <w:t>Covid-19 infekcijas izplatības seku pārvarēšanas likum</w:t>
            </w:r>
            <w:r w:rsidR="00CE3967">
              <w:rPr>
                <w:rFonts w:eastAsia="Calibri"/>
                <w:sz w:val="26"/>
                <w:szCs w:val="26"/>
                <w:lang w:eastAsia="en-US"/>
              </w:rPr>
              <w:t>s</w:t>
            </w:r>
            <w:r w:rsidR="00E361EA">
              <w:rPr>
                <w:rFonts w:eastAsia="Calibri"/>
                <w:sz w:val="26"/>
                <w:szCs w:val="26"/>
                <w:lang w:eastAsia="en-US"/>
              </w:rPr>
              <w:t xml:space="preserve"> (turpmāk – Likums).</w:t>
            </w:r>
          </w:p>
          <w:p w14:paraId="03462EA5" w14:textId="130FACF0" w:rsidR="0099264F" w:rsidRPr="00C6089E" w:rsidRDefault="00473352" w:rsidP="0099264F">
            <w:pPr>
              <w:suppressAutoHyphens/>
              <w:autoSpaceDN w:val="0"/>
              <w:ind w:firstLine="720"/>
              <w:jc w:val="both"/>
              <w:textAlignment w:val="baseline"/>
              <w:rPr>
                <w:rFonts w:eastAsia="Calibri"/>
                <w:color w:val="FF0000"/>
                <w:sz w:val="26"/>
                <w:szCs w:val="26"/>
                <w:lang w:eastAsia="en-US"/>
              </w:rPr>
            </w:pPr>
            <w:r w:rsidRPr="00473352">
              <w:rPr>
                <w:rFonts w:eastAsia="Calibri"/>
                <w:sz w:val="26"/>
                <w:szCs w:val="26"/>
                <w:lang w:eastAsia="en-US"/>
              </w:rPr>
              <w:t>C</w:t>
            </w:r>
            <w:r>
              <w:rPr>
                <w:rFonts w:eastAsia="Calibri"/>
                <w:sz w:val="26"/>
                <w:szCs w:val="26"/>
                <w:lang w:eastAsia="en-US"/>
              </w:rPr>
              <w:t>ovid</w:t>
            </w:r>
            <w:r w:rsidRPr="00473352">
              <w:rPr>
                <w:rFonts w:eastAsia="Calibri"/>
                <w:sz w:val="26"/>
                <w:szCs w:val="26"/>
                <w:lang w:eastAsia="en-US"/>
              </w:rPr>
              <w:t xml:space="preserve">-19 epidēmijas un ārkārtas situācijas laikā, ievērojot Pasaules Veselības organizācijas rekomendācijas un ņemot vērā Zāļu valsts aģentūras (turpmāk tekstā – Aģentūra) rīcībā pieejamo informāciju par zāļu pieejamības problēmām Latvijā un citās valstīs, tiek īpaši uzsvērta nepieciešamība palielināt un uzturēt slimnīcās lielākus zāļu krājumus antibakteriālajiem līdzekļiem, anestēzija un pretsāpju līdzekļiem, kā arī citām dzīvības glābšanā </w:t>
            </w:r>
            <w:r w:rsidRPr="00873B9A">
              <w:rPr>
                <w:rFonts w:eastAsia="Calibri"/>
                <w:sz w:val="26"/>
                <w:szCs w:val="26"/>
                <w:lang w:eastAsia="en-US"/>
              </w:rPr>
              <w:t>nepieciešamajām zālēm</w:t>
            </w:r>
            <w:r w:rsidR="00980FB4" w:rsidRPr="00873B9A">
              <w:rPr>
                <w:rFonts w:eastAsia="Calibri"/>
                <w:sz w:val="26"/>
                <w:szCs w:val="26"/>
                <w:lang w:eastAsia="en-US"/>
              </w:rPr>
              <w:t xml:space="preserve"> visu esošo pacientu ārstēšanai, kā arī pastāv iespējamība, ka šo iepriekš minēto medikamentu patēriņš </w:t>
            </w:r>
            <w:r w:rsidRPr="00873B9A">
              <w:rPr>
                <w:rFonts w:eastAsia="Calibri"/>
                <w:sz w:val="26"/>
                <w:szCs w:val="26"/>
                <w:lang w:eastAsia="en-US"/>
              </w:rPr>
              <w:t xml:space="preserve"> varētu strauji pieaugt pacientu ar Covid-19 hospitalizēšanas gadījumā. </w:t>
            </w:r>
            <w:r w:rsidR="00727C8F" w:rsidRPr="00873B9A">
              <w:rPr>
                <w:rFonts w:eastAsia="Calibri"/>
                <w:sz w:val="26"/>
                <w:szCs w:val="26"/>
                <w:lang w:eastAsia="en-US"/>
              </w:rPr>
              <w:t>Šobrīd</w:t>
            </w:r>
            <w:r w:rsidRPr="00873B9A">
              <w:rPr>
                <w:rFonts w:eastAsia="Calibri"/>
                <w:sz w:val="26"/>
                <w:szCs w:val="26"/>
                <w:lang w:eastAsia="en-US"/>
              </w:rPr>
              <w:t xml:space="preserve"> pasaulē, Eiropas Savienības valstīs un tajā skaitā Latvijā atsevišķām zālēm vērojamas pieejamības problēmas, saistītas ar </w:t>
            </w:r>
            <w:r w:rsidR="00C6089E" w:rsidRPr="00873B9A">
              <w:rPr>
                <w:rFonts w:eastAsia="Calibri"/>
                <w:sz w:val="26"/>
                <w:szCs w:val="26"/>
                <w:lang w:eastAsia="en-US"/>
              </w:rPr>
              <w:t xml:space="preserve">loģistikas, </w:t>
            </w:r>
            <w:r w:rsidRPr="00873B9A">
              <w:rPr>
                <w:rFonts w:eastAsia="Calibri"/>
                <w:sz w:val="26"/>
                <w:szCs w:val="26"/>
                <w:lang w:eastAsia="en-US"/>
              </w:rPr>
              <w:t xml:space="preserve">piegāžu problēmām un paaugstināto pieprasījumu. </w:t>
            </w:r>
            <w:r w:rsidR="0099264F" w:rsidRPr="00873B9A">
              <w:rPr>
                <w:rFonts w:eastAsia="Calibri"/>
                <w:sz w:val="26"/>
                <w:szCs w:val="26"/>
                <w:lang w:eastAsia="en-US"/>
              </w:rPr>
              <w:t xml:space="preserve">Jāapzinās, ka gadījumā, ja nākotnē epidemioloģiskā situācija tomēr būtiski pasliktinās, var rasties situācija, ka tiek traucēta </w:t>
            </w:r>
            <w:r w:rsidR="00C6089E" w:rsidRPr="00873B9A">
              <w:rPr>
                <w:rFonts w:eastAsia="Calibri"/>
                <w:sz w:val="26"/>
                <w:szCs w:val="26"/>
                <w:lang w:eastAsia="en-US"/>
              </w:rPr>
              <w:t xml:space="preserve">loģistikas piegāde </w:t>
            </w:r>
            <w:r w:rsidR="0099264F" w:rsidRPr="00873B9A">
              <w:rPr>
                <w:rFonts w:eastAsia="Calibri"/>
                <w:sz w:val="26"/>
                <w:szCs w:val="26"/>
                <w:lang w:eastAsia="en-US"/>
              </w:rPr>
              <w:t>atsevišķām zālēm</w:t>
            </w:r>
            <w:r w:rsidR="00C6089E" w:rsidRPr="00873B9A">
              <w:rPr>
                <w:rFonts w:eastAsia="Calibri"/>
                <w:sz w:val="26"/>
                <w:szCs w:val="26"/>
                <w:lang w:eastAsia="en-US"/>
              </w:rPr>
              <w:t>. Kā arī pastāv risks, ka ārstniecības iestāde nevar saņemt kārtējo iegādi ar zālēm pēc citu valstu (kuras ražo vai izplata attiecīgās zāles) aizlieguma izvest tās uz citām valstīm (attiecīgi Latviju).</w:t>
            </w:r>
          </w:p>
          <w:p w14:paraId="7DF94804" w14:textId="0C2D38A3" w:rsidR="00154FB3" w:rsidRPr="00473352" w:rsidRDefault="0099264F" w:rsidP="0099264F">
            <w:pPr>
              <w:suppressAutoHyphens/>
              <w:autoSpaceDN w:val="0"/>
              <w:ind w:firstLine="720"/>
              <w:jc w:val="both"/>
              <w:textAlignment w:val="baseline"/>
              <w:rPr>
                <w:rFonts w:eastAsia="Calibri"/>
                <w:sz w:val="26"/>
                <w:szCs w:val="26"/>
                <w:lang w:eastAsia="en-US"/>
              </w:rPr>
            </w:pPr>
            <w:r>
              <w:rPr>
                <w:rFonts w:eastAsia="Calibri"/>
                <w:sz w:val="26"/>
                <w:szCs w:val="26"/>
                <w:lang w:eastAsia="en-US"/>
              </w:rPr>
              <w:t>Vēršam uzmanību</w:t>
            </w:r>
            <w:r w:rsidR="00154FB3" w:rsidRPr="00154FB3">
              <w:rPr>
                <w:rFonts w:eastAsia="Calibri"/>
                <w:sz w:val="26"/>
                <w:szCs w:val="26"/>
                <w:lang w:eastAsia="en-US"/>
              </w:rPr>
              <w:t>, ka arī ārstniecības iestādēm, kurām ir slēgta tipa aptieka, atsevišķos gadījumos nav iespējams pilnībā nodrošināt slimnīcas vajadzības un nepieciešams lūgt citas ārstniecības iestādes palīdzību zāļu pieejamības nodrošināšanā.</w:t>
            </w:r>
          </w:p>
          <w:p w14:paraId="74D09C94" w14:textId="32E31EA9" w:rsidR="00473352" w:rsidRPr="00473352" w:rsidRDefault="00473352" w:rsidP="00473352">
            <w:pPr>
              <w:suppressAutoHyphens/>
              <w:autoSpaceDN w:val="0"/>
              <w:ind w:firstLine="720"/>
              <w:jc w:val="both"/>
              <w:textAlignment w:val="baseline"/>
              <w:rPr>
                <w:rFonts w:eastAsia="Calibri"/>
                <w:sz w:val="26"/>
                <w:szCs w:val="26"/>
                <w:lang w:eastAsia="en-US"/>
              </w:rPr>
            </w:pPr>
            <w:r w:rsidRPr="00473352">
              <w:rPr>
                <w:rFonts w:eastAsia="Calibri"/>
                <w:sz w:val="26"/>
                <w:szCs w:val="26"/>
                <w:lang w:eastAsia="en-US"/>
              </w:rPr>
              <w:lastRenderedPageBreak/>
              <w:t xml:space="preserve"> </w:t>
            </w:r>
            <w:r>
              <w:rPr>
                <w:rFonts w:eastAsia="Calibri"/>
                <w:sz w:val="26"/>
                <w:szCs w:val="26"/>
                <w:lang w:eastAsia="en-US"/>
              </w:rPr>
              <w:t>A</w:t>
            </w:r>
            <w:r w:rsidRPr="00473352">
              <w:rPr>
                <w:rFonts w:eastAsia="Calibri"/>
                <w:sz w:val="26"/>
                <w:szCs w:val="26"/>
                <w:lang w:eastAsia="en-US"/>
              </w:rPr>
              <w:t xml:space="preserve">ģentūra, sadarbībā ar lielo slimnīcu slēgta tipa aptiekām, izveidoja sarakstu ar zālēm, kuru krājumus rekomendētu slimnīcām nodrošināt apmēram 3 mēnešu patēriņa nepieciešamajam (atbilstoši plānotajai darbībai un paredzamajam pacietu skaitam, kā arī ņemot vērā risku hospitalizēto pacientu ar Covid-19 skaitam pieaugt). </w:t>
            </w:r>
          </w:p>
          <w:p w14:paraId="69FAA266" w14:textId="033275D1" w:rsidR="00473352" w:rsidRDefault="00473352" w:rsidP="00473352">
            <w:pPr>
              <w:suppressAutoHyphens/>
              <w:autoSpaceDN w:val="0"/>
              <w:ind w:firstLine="720"/>
              <w:jc w:val="both"/>
              <w:textAlignment w:val="baseline"/>
              <w:rPr>
                <w:rFonts w:eastAsia="Calibri"/>
                <w:sz w:val="26"/>
                <w:szCs w:val="26"/>
                <w:lang w:eastAsia="en-US"/>
              </w:rPr>
            </w:pPr>
            <w:r w:rsidRPr="00473352">
              <w:rPr>
                <w:rFonts w:eastAsia="Calibri"/>
                <w:sz w:val="26"/>
                <w:szCs w:val="26"/>
                <w:lang w:eastAsia="en-US"/>
              </w:rPr>
              <w:t xml:space="preserve">Pēc saņemtas informācijas no universitāšu un reģionālajām slimnīcām, var secināt, ka šobrīd zāļu krājumi lielākoties tiek uzturēti 1,5 – 2,5 mēnešu darbības nodrošināšanai nepieciešamajā apjomā. Lielāks zāļu krājums slimnīcām ir nepieciešams, lai zāļu piegāžu pārtraukuma laikā slimnīcas varētu nodrošināt nepārtrauktu </w:t>
            </w:r>
            <w:r w:rsidR="00980FB4" w:rsidRPr="00873B9A">
              <w:rPr>
                <w:rFonts w:eastAsia="Calibri"/>
                <w:sz w:val="26"/>
                <w:szCs w:val="26"/>
                <w:lang w:eastAsia="en-US"/>
              </w:rPr>
              <w:t xml:space="preserve">visu </w:t>
            </w:r>
            <w:r w:rsidRPr="00473352">
              <w:rPr>
                <w:rFonts w:eastAsia="Calibri"/>
                <w:sz w:val="26"/>
                <w:szCs w:val="26"/>
                <w:lang w:eastAsia="en-US"/>
              </w:rPr>
              <w:t>pacientu ārstniecību</w:t>
            </w:r>
            <w:r w:rsidR="00174EFB">
              <w:rPr>
                <w:rFonts w:eastAsia="Calibri"/>
                <w:sz w:val="26"/>
                <w:szCs w:val="26"/>
                <w:lang w:eastAsia="en-US"/>
              </w:rPr>
              <w:t xml:space="preserve"> </w:t>
            </w:r>
            <w:r w:rsidR="00174EFB" w:rsidRPr="00600E2F">
              <w:rPr>
                <w:rFonts w:eastAsia="Calibri"/>
                <w:sz w:val="26"/>
                <w:szCs w:val="26"/>
                <w:lang w:eastAsia="en-US"/>
              </w:rPr>
              <w:t>koronavīrusa “Covid-19” uzliesmojumu laikā.</w:t>
            </w:r>
            <w:r w:rsidRPr="00473352">
              <w:rPr>
                <w:rFonts w:eastAsia="Calibri"/>
                <w:sz w:val="26"/>
                <w:szCs w:val="26"/>
                <w:lang w:eastAsia="en-US"/>
              </w:rPr>
              <w:t xml:space="preserve">  Ar minēto krājumu, atkarībā no hospitalizēto pacientu stāvokļa smaguma, provizoriski varētu ārstēt 1000 - 2000 pacientu, kas ir šobrīd paredzamais maksimālais pacientu skaits Latvijā, ko ārkārtas situācijā spētu apkalpot veselības aprūpes kapacitāte.</w:t>
            </w:r>
          </w:p>
          <w:p w14:paraId="573D1106" w14:textId="71251FFA" w:rsidR="00727C8F" w:rsidRDefault="00154FB3" w:rsidP="00154FB3">
            <w:pPr>
              <w:suppressAutoHyphens/>
              <w:autoSpaceDN w:val="0"/>
              <w:ind w:firstLine="720"/>
              <w:jc w:val="both"/>
              <w:textAlignment w:val="baseline"/>
              <w:rPr>
                <w:rFonts w:eastAsia="Calibri"/>
                <w:sz w:val="26"/>
                <w:szCs w:val="26"/>
                <w:lang w:eastAsia="en-US"/>
              </w:rPr>
            </w:pPr>
            <w:r w:rsidRPr="00154FB3">
              <w:rPr>
                <w:rFonts w:eastAsia="Calibri"/>
                <w:sz w:val="26"/>
                <w:szCs w:val="26"/>
                <w:lang w:eastAsia="en-US"/>
              </w:rPr>
              <w:t xml:space="preserve">Zāļu iegāde uzreiz trīs mēnešu patēriņam mazina arī </w:t>
            </w:r>
            <w:r w:rsidR="00CE3967">
              <w:rPr>
                <w:rFonts w:eastAsia="Calibri"/>
                <w:sz w:val="26"/>
                <w:szCs w:val="26"/>
                <w:lang w:eastAsia="en-US"/>
              </w:rPr>
              <w:t xml:space="preserve">administratīvo </w:t>
            </w:r>
            <w:r w:rsidRPr="00154FB3">
              <w:rPr>
                <w:rFonts w:eastAsia="Calibri"/>
                <w:sz w:val="26"/>
                <w:szCs w:val="26"/>
                <w:lang w:eastAsia="en-US"/>
              </w:rPr>
              <w:t>slogu, kas rodas iegādi organizējot mazākam laika periodam.</w:t>
            </w:r>
            <w:r>
              <w:rPr>
                <w:rFonts w:eastAsia="Calibri"/>
                <w:sz w:val="26"/>
                <w:szCs w:val="26"/>
                <w:lang w:eastAsia="en-US"/>
              </w:rPr>
              <w:t xml:space="preserve"> </w:t>
            </w:r>
            <w:r w:rsidR="00727C8F" w:rsidRPr="00727C8F">
              <w:rPr>
                <w:rFonts w:eastAsia="Calibri"/>
                <w:sz w:val="26"/>
                <w:szCs w:val="26"/>
                <w:lang w:eastAsia="en-US"/>
              </w:rPr>
              <w:t>Stacionārajām ārstniecības iestādēm būs vieglāk organizēt savas darbības nodrošināšanu, jo būs pieejami zāļu krājumi trīs mēnešu patēriņam, tādējādi nodrošinoties pret neprognozējamiem zāļu piegāžu traucējumiem.</w:t>
            </w:r>
          </w:p>
          <w:p w14:paraId="411E349C" w14:textId="1C1A4C58" w:rsidR="00473352" w:rsidRDefault="00473352" w:rsidP="00154FB3">
            <w:pPr>
              <w:suppressAutoHyphens/>
              <w:autoSpaceDN w:val="0"/>
              <w:ind w:firstLine="720"/>
              <w:jc w:val="both"/>
              <w:textAlignment w:val="baseline"/>
              <w:rPr>
                <w:rFonts w:eastAsia="Calibri"/>
                <w:sz w:val="26"/>
                <w:szCs w:val="26"/>
                <w:lang w:eastAsia="en-US"/>
              </w:rPr>
            </w:pPr>
            <w:r w:rsidRPr="00473352">
              <w:rPr>
                <w:rFonts w:eastAsia="Calibri"/>
                <w:sz w:val="26"/>
                <w:szCs w:val="26"/>
                <w:lang w:eastAsia="en-US"/>
              </w:rPr>
              <w:t xml:space="preserve">Ņemot vērā to, ka ātrāka zāļu iegāde prasa papildu finansējumu, kurš šādā apjomā iepriekš netika ieplānots slimnīcu budžetos, lai sasniegtu rekomendēto </w:t>
            </w:r>
            <w:r w:rsidR="00803F7C" w:rsidRPr="00803F7C">
              <w:rPr>
                <w:rFonts w:eastAsia="Calibri"/>
                <w:sz w:val="26"/>
                <w:szCs w:val="26"/>
                <w:lang w:eastAsia="en-US"/>
              </w:rPr>
              <w:t xml:space="preserve">saistībā ar Covid-19 infekcijas izplatību valstī </w:t>
            </w:r>
            <w:r w:rsidRPr="00473352">
              <w:rPr>
                <w:rFonts w:eastAsia="Calibri"/>
                <w:sz w:val="26"/>
                <w:szCs w:val="26"/>
                <w:lang w:eastAsia="en-US"/>
              </w:rPr>
              <w:t xml:space="preserve">nepieciešamo rezervi, </w:t>
            </w:r>
            <w:r>
              <w:rPr>
                <w:rFonts w:eastAsia="Calibri"/>
                <w:sz w:val="26"/>
                <w:szCs w:val="26"/>
                <w:lang w:eastAsia="en-US"/>
              </w:rPr>
              <w:t xml:space="preserve">prognozējamās izmaksas </w:t>
            </w:r>
            <w:r w:rsidRPr="00473352">
              <w:rPr>
                <w:rFonts w:eastAsia="Calibri"/>
                <w:sz w:val="26"/>
                <w:szCs w:val="26"/>
                <w:lang w:eastAsia="en-US"/>
              </w:rPr>
              <w:t>zāļu iegādei</w:t>
            </w:r>
            <w:r>
              <w:rPr>
                <w:rFonts w:eastAsia="Calibri"/>
                <w:sz w:val="26"/>
                <w:szCs w:val="26"/>
                <w:lang w:eastAsia="en-US"/>
              </w:rPr>
              <w:t xml:space="preserve"> ir 2 054 926 </w:t>
            </w:r>
            <w:r w:rsidRPr="00473352">
              <w:rPr>
                <w:rFonts w:eastAsia="Calibri"/>
                <w:sz w:val="26"/>
                <w:szCs w:val="26"/>
                <w:lang w:eastAsia="en-US"/>
              </w:rPr>
              <w:t xml:space="preserve">EUR </w:t>
            </w:r>
            <w:r>
              <w:rPr>
                <w:rFonts w:eastAsia="Calibri"/>
                <w:sz w:val="26"/>
                <w:szCs w:val="26"/>
                <w:lang w:eastAsia="en-US"/>
              </w:rPr>
              <w:t>(ieskaitot</w:t>
            </w:r>
            <w:r w:rsidRPr="00473352">
              <w:rPr>
                <w:rFonts w:eastAsia="Calibri"/>
                <w:sz w:val="26"/>
                <w:szCs w:val="26"/>
                <w:lang w:eastAsia="en-US"/>
              </w:rPr>
              <w:t xml:space="preserve"> PVN</w:t>
            </w:r>
            <w:r>
              <w:rPr>
                <w:rFonts w:eastAsia="Calibri"/>
                <w:sz w:val="26"/>
                <w:szCs w:val="26"/>
                <w:lang w:eastAsia="en-US"/>
              </w:rPr>
              <w:t>).</w:t>
            </w:r>
          </w:p>
          <w:p w14:paraId="172579AD" w14:textId="77777777" w:rsidR="00E361EA" w:rsidRDefault="00E361EA" w:rsidP="00154FB3">
            <w:pPr>
              <w:suppressAutoHyphens/>
              <w:autoSpaceDN w:val="0"/>
              <w:ind w:firstLine="720"/>
              <w:jc w:val="both"/>
              <w:textAlignment w:val="baseline"/>
              <w:rPr>
                <w:rFonts w:eastAsia="Calibri"/>
                <w:sz w:val="26"/>
                <w:szCs w:val="26"/>
                <w:lang w:eastAsia="en-US"/>
              </w:rPr>
            </w:pPr>
            <w:r>
              <w:rPr>
                <w:rFonts w:eastAsia="Calibri"/>
                <w:sz w:val="26"/>
                <w:szCs w:val="26"/>
                <w:lang w:eastAsia="en-US"/>
              </w:rPr>
              <w:t xml:space="preserve">Likuma </w:t>
            </w:r>
            <w:r w:rsidRPr="00E361EA">
              <w:rPr>
                <w:rFonts w:eastAsia="Calibri"/>
                <w:sz w:val="26"/>
                <w:szCs w:val="26"/>
                <w:lang w:eastAsia="en-US"/>
              </w:rPr>
              <w:t>24.pants paredz, ka pasākumus ar Covid-19 izplatību saistītā valsts apdraudējuma un tā seku novēršanai un pārvarēšanai finansē no budžeta finansētajām institūcijām iedalītajiem valsts budžeta un pašvaldību budžetu līdzekļiem. Ministru kabinets pēc pamatota ministriju pieprasījuma var pieņemt lēmumu par valsts apdraudējuma seku novēršanas un pārvarēšanas pasākumiem, kā arī par finansējuma piešķiršanu no valsts budžeta programmas 02.00.00 "Līdzekļi neparedzētiem gadījumiem"</w:t>
            </w:r>
            <w:r>
              <w:rPr>
                <w:rFonts w:eastAsia="Calibri"/>
                <w:sz w:val="26"/>
                <w:szCs w:val="26"/>
                <w:lang w:eastAsia="en-US"/>
              </w:rPr>
              <w:t>.</w:t>
            </w:r>
          </w:p>
          <w:p w14:paraId="37EF7F12" w14:textId="513AE77B" w:rsidR="00E361EA" w:rsidRDefault="00E361EA" w:rsidP="00154FB3">
            <w:pPr>
              <w:suppressAutoHyphens/>
              <w:autoSpaceDN w:val="0"/>
              <w:ind w:firstLine="720"/>
              <w:jc w:val="both"/>
              <w:textAlignment w:val="baseline"/>
              <w:rPr>
                <w:rFonts w:eastAsia="Calibri"/>
                <w:sz w:val="26"/>
                <w:szCs w:val="26"/>
                <w:lang w:eastAsia="en-US"/>
              </w:rPr>
            </w:pPr>
            <w:r>
              <w:rPr>
                <w:rFonts w:eastAsia="Calibri"/>
                <w:sz w:val="26"/>
                <w:szCs w:val="26"/>
                <w:lang w:eastAsia="en-US"/>
              </w:rPr>
              <w:t>S</w:t>
            </w:r>
            <w:r w:rsidRPr="00E361EA">
              <w:rPr>
                <w:rFonts w:eastAsia="Calibri"/>
                <w:sz w:val="26"/>
                <w:szCs w:val="26"/>
                <w:lang w:eastAsia="en-US"/>
              </w:rPr>
              <w:t xml:space="preserve">avukārt likuma 25.pants paredz, ka Finanšu ministram ir tiesības veikt apropriācijas izmaiņas, tai skaitā apropriācijas samazināšanu vai pārdali starp ministrijām un citām centrālajām valsts iestādēm ar Covid-19 izplatību saistītā valsts apdraudējuma un tā seku novēršanas un pārvarēšanas pasākumiem, ja ir pieņemts attiecīgs Ministru kabineta lēmums un Saeimas Budžeta un finanšu (nodokļu) komisija piecu darbdienu laikā no attiecīgās informācijas saņemšanas dienas ir to izskatījusi un nav iebildusi, </w:t>
            </w:r>
            <w:r w:rsidRPr="00E361EA">
              <w:rPr>
                <w:rFonts w:eastAsia="Calibri"/>
                <w:sz w:val="26"/>
                <w:szCs w:val="26"/>
                <w:lang w:eastAsia="en-US"/>
              </w:rPr>
              <w:lastRenderedPageBreak/>
              <w:t>kā arī veikt apropriācijas pārdali ministrijai vai citai centrālajai valsts iestādei likumā noteiktās apropriācijas ietvaros starp programmām, apakšprogrammām un izdevumu kodiem atbilstoši ekonomiskajām kategorijām.</w:t>
            </w:r>
          </w:p>
          <w:p w14:paraId="347560E7" w14:textId="1F63D5DB" w:rsidR="00174EFB" w:rsidRDefault="000D6FF2" w:rsidP="00785233">
            <w:pPr>
              <w:tabs>
                <w:tab w:val="left" w:pos="631"/>
              </w:tabs>
              <w:ind w:firstLine="736"/>
              <w:jc w:val="both"/>
              <w:rPr>
                <w:rFonts w:eastAsia="Calibri"/>
                <w:sz w:val="26"/>
                <w:szCs w:val="26"/>
                <w:lang w:eastAsia="en-US"/>
              </w:rPr>
            </w:pPr>
            <w:r w:rsidRPr="00600E2F">
              <w:rPr>
                <w:rFonts w:eastAsia="Calibri"/>
                <w:sz w:val="26"/>
                <w:szCs w:val="26"/>
                <w:lang w:eastAsia="en-US"/>
              </w:rPr>
              <w:t xml:space="preserve">Rīkojuma projekts paredz Finanšu ministrijai </w:t>
            </w:r>
            <w:r w:rsidR="00785233" w:rsidRPr="00600E2F">
              <w:rPr>
                <w:rFonts w:eastAsia="Calibri"/>
                <w:sz w:val="26"/>
                <w:szCs w:val="26"/>
                <w:lang w:eastAsia="en-US"/>
              </w:rPr>
              <w:t xml:space="preserve">no valsts budžeta programmas 02.00.00 “Līdzekļi neparedzētiem gadījumiem” piešķirt Veselības ministrijai (Nacionālajam veselības dienestam) finansējumu, kas nepārsniedz </w:t>
            </w:r>
            <w:r w:rsidR="00174EFB">
              <w:rPr>
                <w:rFonts w:eastAsia="Calibri"/>
                <w:sz w:val="26"/>
                <w:szCs w:val="26"/>
                <w:lang w:eastAsia="en-US"/>
              </w:rPr>
              <w:t>2 054 926</w:t>
            </w:r>
            <w:r w:rsidR="00785233" w:rsidRPr="00600E2F">
              <w:rPr>
                <w:rFonts w:eastAsia="Calibri"/>
                <w:sz w:val="26"/>
                <w:szCs w:val="26"/>
                <w:lang w:eastAsia="en-US"/>
              </w:rPr>
              <w:t xml:space="preserve"> euro, </w:t>
            </w:r>
            <w:r w:rsidR="00785233" w:rsidRPr="00873B9A">
              <w:rPr>
                <w:rFonts w:eastAsia="Calibri"/>
                <w:sz w:val="26"/>
                <w:szCs w:val="26"/>
                <w:lang w:eastAsia="en-US"/>
              </w:rPr>
              <w:t xml:space="preserve">lai </w:t>
            </w:r>
            <w:r w:rsidR="00174EFB" w:rsidRPr="00873B9A">
              <w:rPr>
                <w:rFonts w:eastAsia="Calibri"/>
                <w:sz w:val="26"/>
                <w:szCs w:val="26"/>
                <w:lang w:eastAsia="en-US"/>
              </w:rPr>
              <w:t xml:space="preserve">nodrošinātu zāļu krājumus ārstniecības iestādēm </w:t>
            </w:r>
            <w:r w:rsidR="007B3999" w:rsidRPr="00873B9A">
              <w:rPr>
                <w:rFonts w:eastAsia="Calibri"/>
                <w:sz w:val="26"/>
                <w:szCs w:val="26"/>
                <w:lang w:eastAsia="en-US"/>
              </w:rPr>
              <w:t>Covid-19 infekcijas izplatīb</w:t>
            </w:r>
            <w:r w:rsidR="00C6089E" w:rsidRPr="00873B9A">
              <w:rPr>
                <w:rFonts w:eastAsia="Calibri"/>
                <w:sz w:val="26"/>
                <w:szCs w:val="26"/>
                <w:lang w:eastAsia="en-US"/>
              </w:rPr>
              <w:t>as laikā</w:t>
            </w:r>
            <w:r w:rsidR="007B3999" w:rsidRPr="00873B9A">
              <w:rPr>
                <w:rFonts w:eastAsia="Calibri"/>
                <w:sz w:val="26"/>
                <w:szCs w:val="26"/>
                <w:lang w:eastAsia="en-US"/>
              </w:rPr>
              <w:t xml:space="preserve"> valstī</w:t>
            </w:r>
            <w:r w:rsidR="00174EFB" w:rsidRPr="00873B9A">
              <w:rPr>
                <w:rFonts w:eastAsia="Calibri"/>
                <w:sz w:val="26"/>
                <w:szCs w:val="26"/>
                <w:lang w:eastAsia="en-US"/>
              </w:rPr>
              <w:t>.</w:t>
            </w:r>
          </w:p>
          <w:p w14:paraId="10B84458" w14:textId="77777777" w:rsidR="00600E2F" w:rsidRDefault="000D6FF2" w:rsidP="00174EFB">
            <w:pPr>
              <w:tabs>
                <w:tab w:val="left" w:pos="631"/>
              </w:tabs>
              <w:ind w:firstLine="736"/>
              <w:jc w:val="both"/>
              <w:rPr>
                <w:rFonts w:eastAsia="Calibri"/>
                <w:sz w:val="26"/>
                <w:szCs w:val="26"/>
                <w:lang w:eastAsia="en-US"/>
              </w:rPr>
            </w:pPr>
            <w:r w:rsidRPr="00600E2F">
              <w:rPr>
                <w:rFonts w:eastAsia="Calibri"/>
                <w:sz w:val="26"/>
                <w:szCs w:val="26"/>
                <w:lang w:eastAsia="en-US"/>
              </w:rPr>
              <w:t>Veselības ministrija normatīvajos aktos noteiktajā kārtībā sagatavos un iesniegs Finanšu ministrijā pieprasījumu par šā rīkojuma 1.punktā minēto līdzekļu piešķiršanu no līdzekļiem neparedzētiem gadījumiem atbilstoši faktiski nepieciešamajam apmēram.</w:t>
            </w:r>
          </w:p>
          <w:p w14:paraId="12826253" w14:textId="07127B83" w:rsidR="00F35602" w:rsidRPr="00174EFB" w:rsidRDefault="00F35602" w:rsidP="00174EFB">
            <w:pPr>
              <w:tabs>
                <w:tab w:val="left" w:pos="631"/>
              </w:tabs>
              <w:ind w:firstLine="736"/>
              <w:jc w:val="both"/>
              <w:rPr>
                <w:rFonts w:eastAsia="Calibri"/>
                <w:sz w:val="26"/>
                <w:szCs w:val="26"/>
                <w:lang w:eastAsia="en-US"/>
              </w:rPr>
            </w:pPr>
            <w:r w:rsidRPr="00F35602">
              <w:rPr>
                <w:rFonts w:eastAsia="Calibri"/>
                <w:sz w:val="26"/>
                <w:szCs w:val="26"/>
                <w:lang w:eastAsia="en-US"/>
              </w:rPr>
              <w:t>Finanšu ministrs normatīvajos aktos noteiktajā kārtībā informēs Saeimas Budžeta un finanšu (nodokļu) komisiju par šā rīkojuma 1.punktā minētajām apropriācijas izmaiņām un, ja Saeimas Budžeta un finanšu (nodokļu) komisija piecu darbdienu laikā no attiecīgās informācijas saņemšanas dienas nav iebildusi pret apropriācijas izmaiņām, veiks apropriācijas izmaiņas.</w:t>
            </w:r>
          </w:p>
        </w:tc>
      </w:tr>
      <w:tr w:rsidR="00130487" w:rsidRPr="00515DB5" w14:paraId="345CDE29" w14:textId="77777777" w:rsidTr="00391B6A">
        <w:tc>
          <w:tcPr>
            <w:tcW w:w="568" w:type="dxa"/>
          </w:tcPr>
          <w:p w14:paraId="179ED640" w14:textId="77777777" w:rsidR="00130487" w:rsidRPr="007B7D5F" w:rsidRDefault="00130487" w:rsidP="00130487">
            <w:pPr>
              <w:pStyle w:val="NoSpacing"/>
              <w:jc w:val="center"/>
              <w:rPr>
                <w:rFonts w:ascii="Times New Roman" w:hAnsi="Times New Roman" w:cs="Times New Roman"/>
                <w:sz w:val="26"/>
                <w:szCs w:val="26"/>
                <w:lang w:eastAsia="lv-LV"/>
              </w:rPr>
            </w:pPr>
            <w:r w:rsidRPr="007B7D5F">
              <w:rPr>
                <w:rFonts w:ascii="Times New Roman" w:hAnsi="Times New Roman" w:cs="Times New Roman"/>
                <w:sz w:val="26"/>
                <w:szCs w:val="26"/>
                <w:lang w:eastAsia="lv-LV"/>
              </w:rPr>
              <w:lastRenderedPageBreak/>
              <w:t>3.</w:t>
            </w:r>
          </w:p>
        </w:tc>
        <w:tc>
          <w:tcPr>
            <w:tcW w:w="1559" w:type="dxa"/>
          </w:tcPr>
          <w:p w14:paraId="438E0521" w14:textId="77777777" w:rsidR="00130487" w:rsidRPr="007B7D5F" w:rsidRDefault="00130487" w:rsidP="00130487">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Projekta izstrādē iesaistītās institūcijas un publiskas personas kapitālsabiedrības</w:t>
            </w:r>
          </w:p>
        </w:tc>
        <w:tc>
          <w:tcPr>
            <w:tcW w:w="7087" w:type="dxa"/>
          </w:tcPr>
          <w:p w14:paraId="3A679F73" w14:textId="1309AB8D" w:rsidR="00130487" w:rsidRPr="007B7D5F" w:rsidRDefault="0079260F" w:rsidP="006335C0">
            <w:pPr>
              <w:pStyle w:val="NoSpacing"/>
              <w:jc w:val="both"/>
              <w:rPr>
                <w:rFonts w:ascii="Times New Roman" w:hAnsi="Times New Roman" w:cs="Times New Roman"/>
                <w:sz w:val="26"/>
                <w:szCs w:val="26"/>
                <w:lang w:eastAsia="lv-LV"/>
              </w:rPr>
            </w:pPr>
            <w:r w:rsidRPr="007B7D5F">
              <w:rPr>
                <w:rFonts w:ascii="Times New Roman" w:hAnsi="Times New Roman" w:cs="Times New Roman"/>
                <w:sz w:val="26"/>
                <w:szCs w:val="26"/>
                <w:lang w:eastAsia="lv-LV"/>
              </w:rPr>
              <w:t>Veselības ministrija,</w:t>
            </w:r>
            <w:r w:rsidR="003872F2" w:rsidRPr="007B7D5F">
              <w:rPr>
                <w:rFonts w:ascii="Times New Roman" w:hAnsi="Times New Roman" w:cs="Times New Roman"/>
                <w:sz w:val="26"/>
                <w:szCs w:val="26"/>
                <w:lang w:eastAsia="lv-LV"/>
              </w:rPr>
              <w:t xml:space="preserve"> </w:t>
            </w:r>
            <w:r w:rsidR="00502D57" w:rsidRPr="007B7D5F">
              <w:rPr>
                <w:rFonts w:ascii="Times New Roman" w:hAnsi="Times New Roman" w:cs="Times New Roman"/>
                <w:sz w:val="26"/>
                <w:szCs w:val="26"/>
                <w:lang w:eastAsia="lv-LV"/>
              </w:rPr>
              <w:t xml:space="preserve">Nacionālais veselības dienests, </w:t>
            </w:r>
            <w:r w:rsidR="00174EFB" w:rsidRPr="00174EFB">
              <w:rPr>
                <w:rFonts w:ascii="Times New Roman" w:hAnsi="Times New Roman" w:cs="Times New Roman"/>
                <w:sz w:val="26"/>
                <w:szCs w:val="26"/>
                <w:lang w:eastAsia="lv-LV"/>
              </w:rPr>
              <w:t>Zāļu valsts aģentūra</w:t>
            </w:r>
            <w:r w:rsidR="00174EFB">
              <w:rPr>
                <w:rFonts w:ascii="Times New Roman" w:hAnsi="Times New Roman" w:cs="Times New Roman"/>
                <w:sz w:val="26"/>
                <w:szCs w:val="26"/>
                <w:lang w:eastAsia="lv-LV"/>
              </w:rPr>
              <w:t>.</w:t>
            </w:r>
          </w:p>
        </w:tc>
      </w:tr>
      <w:tr w:rsidR="00130487" w:rsidRPr="00515DB5" w14:paraId="5886FAFF" w14:textId="77777777" w:rsidTr="00391B6A">
        <w:tc>
          <w:tcPr>
            <w:tcW w:w="568" w:type="dxa"/>
          </w:tcPr>
          <w:p w14:paraId="69C3AD7F" w14:textId="77777777" w:rsidR="00130487" w:rsidRPr="007B7D5F" w:rsidRDefault="00130487" w:rsidP="00130487">
            <w:pPr>
              <w:pStyle w:val="NoSpacing"/>
              <w:jc w:val="center"/>
              <w:rPr>
                <w:rFonts w:ascii="Times New Roman" w:hAnsi="Times New Roman" w:cs="Times New Roman"/>
                <w:sz w:val="26"/>
                <w:szCs w:val="26"/>
                <w:lang w:eastAsia="lv-LV"/>
              </w:rPr>
            </w:pPr>
            <w:r w:rsidRPr="007B7D5F">
              <w:rPr>
                <w:rFonts w:ascii="Times New Roman" w:hAnsi="Times New Roman" w:cs="Times New Roman"/>
                <w:sz w:val="26"/>
                <w:szCs w:val="26"/>
                <w:lang w:eastAsia="lv-LV"/>
              </w:rPr>
              <w:t>4.</w:t>
            </w:r>
          </w:p>
        </w:tc>
        <w:tc>
          <w:tcPr>
            <w:tcW w:w="1559" w:type="dxa"/>
          </w:tcPr>
          <w:p w14:paraId="12E3E2D7" w14:textId="77777777" w:rsidR="00130487" w:rsidRPr="007B7D5F" w:rsidRDefault="00130487" w:rsidP="00130487">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Cita informācija</w:t>
            </w:r>
          </w:p>
        </w:tc>
        <w:tc>
          <w:tcPr>
            <w:tcW w:w="7087" w:type="dxa"/>
          </w:tcPr>
          <w:p w14:paraId="4B8215B1" w14:textId="77777777" w:rsidR="00130487" w:rsidRPr="007B7D5F" w:rsidRDefault="000777EE" w:rsidP="006335C0">
            <w:pPr>
              <w:pStyle w:val="NoSpacing"/>
              <w:jc w:val="both"/>
              <w:rPr>
                <w:rFonts w:ascii="Times New Roman" w:hAnsi="Times New Roman" w:cs="Times New Roman"/>
                <w:sz w:val="26"/>
                <w:szCs w:val="26"/>
                <w:lang w:eastAsia="lv-LV"/>
              </w:rPr>
            </w:pPr>
            <w:r>
              <w:rPr>
                <w:rFonts w:ascii="Times New Roman" w:hAnsi="Times New Roman" w:cs="Times New Roman"/>
                <w:sz w:val="26"/>
                <w:szCs w:val="26"/>
                <w:lang w:eastAsia="lv-LV"/>
              </w:rPr>
              <w:t>Nav.</w:t>
            </w:r>
          </w:p>
        </w:tc>
      </w:tr>
    </w:tbl>
    <w:p w14:paraId="4D57DE5B" w14:textId="77777777" w:rsidR="00EC6E12" w:rsidRPr="00EC6E12" w:rsidRDefault="00EC6E12" w:rsidP="00EC6E12">
      <w:pPr>
        <w:pStyle w:val="NoSpacing"/>
        <w:jc w:val="center"/>
        <w:rPr>
          <w:rFonts w:ascii="Times New Roman" w:hAnsi="Times New Roman" w:cs="Times New Roman"/>
          <w:sz w:val="24"/>
          <w:szCs w:val="24"/>
          <w:lang w:eastAsia="lv-LV"/>
        </w:rPr>
      </w:pPr>
    </w:p>
    <w:tbl>
      <w:tblPr>
        <w:tblStyle w:val="TableGrid"/>
        <w:tblW w:w="9214" w:type="dxa"/>
        <w:tblInd w:w="-147" w:type="dxa"/>
        <w:tblLook w:val="04A0" w:firstRow="1" w:lastRow="0" w:firstColumn="1" w:lastColumn="0" w:noHBand="0" w:noVBand="1"/>
      </w:tblPr>
      <w:tblGrid>
        <w:gridCol w:w="9214"/>
      </w:tblGrid>
      <w:tr w:rsidR="00EC6E12" w:rsidRPr="00515DB5" w14:paraId="1BEEB0AE" w14:textId="77777777" w:rsidTr="00AE7E7D">
        <w:tc>
          <w:tcPr>
            <w:tcW w:w="9214" w:type="dxa"/>
          </w:tcPr>
          <w:p w14:paraId="3EFA1B1B" w14:textId="77777777" w:rsidR="00EC6E12" w:rsidRPr="007B7D5F" w:rsidRDefault="00842AD1" w:rsidP="003903BF">
            <w:pPr>
              <w:pStyle w:val="NoSpacing"/>
              <w:jc w:val="center"/>
              <w:rPr>
                <w:rFonts w:ascii="Times New Roman" w:hAnsi="Times New Roman" w:cs="Times New Roman"/>
                <w:b/>
                <w:sz w:val="26"/>
                <w:szCs w:val="26"/>
                <w:lang w:eastAsia="lv-LV"/>
              </w:rPr>
            </w:pPr>
            <w:r w:rsidRPr="007B7D5F">
              <w:rPr>
                <w:rFonts w:ascii="Times New Roman" w:hAnsi="Times New Roman" w:cs="Times New Roman"/>
                <w:b/>
                <w:iCs/>
                <w:sz w:val="26"/>
                <w:szCs w:val="26"/>
                <w:lang w:eastAsia="lv-LV"/>
              </w:rPr>
              <w:t>II. Tiesību akta projekta ietekme uz sabiedrību, tautsaimniecības attīstību un administratīvo slogu</w:t>
            </w:r>
          </w:p>
        </w:tc>
      </w:tr>
      <w:tr w:rsidR="00155578" w:rsidRPr="00515DB5" w14:paraId="30E50502" w14:textId="77777777" w:rsidTr="00AE7E7D">
        <w:tc>
          <w:tcPr>
            <w:tcW w:w="9214" w:type="dxa"/>
          </w:tcPr>
          <w:p w14:paraId="2EFCBCD5" w14:textId="77777777" w:rsidR="00155578" w:rsidRPr="007B7D5F" w:rsidRDefault="00155578" w:rsidP="003903BF">
            <w:pPr>
              <w:pStyle w:val="NoSpacing"/>
              <w:jc w:val="center"/>
              <w:rPr>
                <w:rFonts w:ascii="Times New Roman" w:hAnsi="Times New Roman" w:cs="Times New Roman"/>
                <w:b/>
                <w:iCs/>
                <w:sz w:val="26"/>
                <w:szCs w:val="26"/>
                <w:lang w:eastAsia="lv-LV"/>
              </w:rPr>
            </w:pPr>
            <w:r w:rsidRPr="007B7D5F">
              <w:rPr>
                <w:rFonts w:ascii="Times New Roman" w:hAnsi="Times New Roman" w:cs="Times New Roman"/>
                <w:sz w:val="26"/>
                <w:szCs w:val="26"/>
              </w:rPr>
              <w:t>Projekts šo jomu neskar</w:t>
            </w:r>
          </w:p>
        </w:tc>
      </w:tr>
    </w:tbl>
    <w:p w14:paraId="5CFDD818" w14:textId="77777777" w:rsidR="00842AD1"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tbl>
      <w:tblPr>
        <w:tblStyle w:val="TableGrid"/>
        <w:tblW w:w="9214" w:type="dxa"/>
        <w:tblInd w:w="-147" w:type="dxa"/>
        <w:tblLayout w:type="fixed"/>
        <w:tblLook w:val="04A0" w:firstRow="1" w:lastRow="0" w:firstColumn="1" w:lastColumn="0" w:noHBand="0" w:noVBand="1"/>
      </w:tblPr>
      <w:tblGrid>
        <w:gridCol w:w="1702"/>
        <w:gridCol w:w="1134"/>
        <w:gridCol w:w="1126"/>
        <w:gridCol w:w="1000"/>
        <w:gridCol w:w="1134"/>
        <w:gridCol w:w="992"/>
        <w:gridCol w:w="992"/>
        <w:gridCol w:w="1134"/>
      </w:tblGrid>
      <w:tr w:rsidR="00842AD1" w:rsidRPr="007B7D5F" w14:paraId="77AB40A4" w14:textId="77777777" w:rsidTr="00F34AD5">
        <w:tc>
          <w:tcPr>
            <w:tcW w:w="9214" w:type="dxa"/>
            <w:gridSpan w:val="8"/>
          </w:tcPr>
          <w:p w14:paraId="1157FDAB" w14:textId="77777777" w:rsidR="00842AD1" w:rsidRPr="007B7D5F" w:rsidRDefault="00842AD1" w:rsidP="00842AD1">
            <w:pPr>
              <w:pStyle w:val="NoSpacing"/>
              <w:jc w:val="center"/>
              <w:rPr>
                <w:rFonts w:ascii="Times New Roman" w:hAnsi="Times New Roman" w:cs="Times New Roman"/>
                <w:b/>
                <w:iCs/>
                <w:sz w:val="26"/>
                <w:szCs w:val="26"/>
                <w:lang w:eastAsia="lv-LV"/>
              </w:rPr>
            </w:pPr>
            <w:r w:rsidRPr="007B7D5F">
              <w:rPr>
                <w:rFonts w:ascii="Times New Roman" w:hAnsi="Times New Roman" w:cs="Times New Roman"/>
                <w:b/>
                <w:iCs/>
                <w:sz w:val="26"/>
                <w:szCs w:val="26"/>
                <w:lang w:eastAsia="lv-LV"/>
              </w:rPr>
              <w:t>III. Tiesību akta projekta ietekme uz valsts budžetu un pašvaldību budžetiem</w:t>
            </w:r>
          </w:p>
        </w:tc>
      </w:tr>
      <w:tr w:rsidR="00842AD1" w:rsidRPr="007B7D5F" w14:paraId="5612A467" w14:textId="77777777" w:rsidTr="00F34AD5">
        <w:tc>
          <w:tcPr>
            <w:tcW w:w="1702" w:type="dxa"/>
            <w:vMerge w:val="restart"/>
          </w:tcPr>
          <w:p w14:paraId="7FDBC444" w14:textId="77777777" w:rsidR="00842AD1" w:rsidRPr="007B7D5F" w:rsidRDefault="00842AD1" w:rsidP="00EC6E1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Rādītāji</w:t>
            </w:r>
          </w:p>
        </w:tc>
        <w:tc>
          <w:tcPr>
            <w:tcW w:w="2260" w:type="dxa"/>
            <w:gridSpan w:val="2"/>
            <w:vMerge w:val="restart"/>
          </w:tcPr>
          <w:p w14:paraId="2D056C1A" w14:textId="77777777" w:rsidR="00842AD1" w:rsidRPr="007B7D5F" w:rsidRDefault="00037CA6" w:rsidP="00EC6E1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20</w:t>
            </w:r>
            <w:r w:rsidR="00517F02" w:rsidRPr="007B7D5F">
              <w:rPr>
                <w:rFonts w:ascii="Times New Roman" w:hAnsi="Times New Roman" w:cs="Times New Roman"/>
                <w:iCs/>
                <w:sz w:val="26"/>
                <w:szCs w:val="26"/>
                <w:lang w:eastAsia="lv-LV"/>
              </w:rPr>
              <w:t>20</w:t>
            </w:r>
            <w:r w:rsidRPr="007B7D5F">
              <w:rPr>
                <w:rFonts w:ascii="Times New Roman" w:hAnsi="Times New Roman" w:cs="Times New Roman"/>
                <w:iCs/>
                <w:sz w:val="26"/>
                <w:szCs w:val="26"/>
                <w:lang w:eastAsia="lv-LV"/>
              </w:rPr>
              <w:t>. gads</w:t>
            </w:r>
          </w:p>
        </w:tc>
        <w:tc>
          <w:tcPr>
            <w:tcW w:w="5252" w:type="dxa"/>
            <w:gridSpan w:val="5"/>
          </w:tcPr>
          <w:p w14:paraId="4410DD9D" w14:textId="77777777" w:rsidR="00842AD1" w:rsidRPr="007B7D5F" w:rsidRDefault="00842AD1" w:rsidP="00EC6E1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Turpmākie trīs gadi (</w:t>
            </w:r>
            <w:r w:rsidRPr="007B7D5F">
              <w:rPr>
                <w:rFonts w:ascii="Times New Roman" w:hAnsi="Times New Roman" w:cs="Times New Roman"/>
                <w:i/>
                <w:iCs/>
                <w:sz w:val="26"/>
                <w:szCs w:val="26"/>
                <w:lang w:eastAsia="lv-LV"/>
              </w:rPr>
              <w:t>euro</w:t>
            </w:r>
            <w:r w:rsidRPr="007B7D5F">
              <w:rPr>
                <w:rFonts w:ascii="Times New Roman" w:hAnsi="Times New Roman" w:cs="Times New Roman"/>
                <w:iCs/>
                <w:sz w:val="26"/>
                <w:szCs w:val="26"/>
                <w:lang w:eastAsia="lv-LV"/>
              </w:rPr>
              <w:t>)</w:t>
            </w:r>
          </w:p>
        </w:tc>
      </w:tr>
      <w:tr w:rsidR="00842AD1" w:rsidRPr="007B7D5F" w14:paraId="6620D3D8" w14:textId="77777777" w:rsidTr="00F34AD5">
        <w:tc>
          <w:tcPr>
            <w:tcW w:w="1702" w:type="dxa"/>
            <w:vMerge/>
          </w:tcPr>
          <w:p w14:paraId="2439F17D" w14:textId="77777777" w:rsidR="00842AD1" w:rsidRPr="007B7D5F" w:rsidRDefault="00842AD1" w:rsidP="00EC6E12">
            <w:pPr>
              <w:pStyle w:val="NoSpacing"/>
              <w:rPr>
                <w:rFonts w:ascii="Times New Roman" w:hAnsi="Times New Roman" w:cs="Times New Roman"/>
                <w:iCs/>
                <w:sz w:val="26"/>
                <w:szCs w:val="26"/>
                <w:lang w:eastAsia="lv-LV"/>
              </w:rPr>
            </w:pPr>
          </w:p>
        </w:tc>
        <w:tc>
          <w:tcPr>
            <w:tcW w:w="2260" w:type="dxa"/>
            <w:gridSpan w:val="2"/>
            <w:vMerge/>
          </w:tcPr>
          <w:p w14:paraId="5DF21BBB" w14:textId="77777777" w:rsidR="00842AD1" w:rsidRPr="007B7D5F" w:rsidRDefault="00842AD1" w:rsidP="00EC6E12">
            <w:pPr>
              <w:pStyle w:val="NoSpacing"/>
              <w:rPr>
                <w:rFonts w:ascii="Times New Roman" w:hAnsi="Times New Roman" w:cs="Times New Roman"/>
                <w:iCs/>
                <w:sz w:val="26"/>
                <w:szCs w:val="26"/>
                <w:lang w:eastAsia="lv-LV"/>
              </w:rPr>
            </w:pPr>
          </w:p>
        </w:tc>
        <w:tc>
          <w:tcPr>
            <w:tcW w:w="2134" w:type="dxa"/>
            <w:gridSpan w:val="2"/>
          </w:tcPr>
          <w:p w14:paraId="2C1EAE2D" w14:textId="77777777" w:rsidR="00842AD1" w:rsidRPr="007B7D5F" w:rsidRDefault="00037CA6" w:rsidP="00EC6E1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20</w:t>
            </w:r>
            <w:r w:rsidR="003872F2" w:rsidRPr="007B7D5F">
              <w:rPr>
                <w:rFonts w:ascii="Times New Roman" w:hAnsi="Times New Roman" w:cs="Times New Roman"/>
                <w:iCs/>
                <w:sz w:val="26"/>
                <w:szCs w:val="26"/>
                <w:lang w:eastAsia="lv-LV"/>
              </w:rPr>
              <w:t>2</w:t>
            </w:r>
            <w:r w:rsidR="00517F02" w:rsidRPr="007B7D5F">
              <w:rPr>
                <w:rFonts w:ascii="Times New Roman" w:hAnsi="Times New Roman" w:cs="Times New Roman"/>
                <w:iCs/>
                <w:sz w:val="26"/>
                <w:szCs w:val="26"/>
                <w:lang w:eastAsia="lv-LV"/>
              </w:rPr>
              <w:t>1</w:t>
            </w:r>
            <w:r w:rsidRPr="007B7D5F">
              <w:rPr>
                <w:rFonts w:ascii="Times New Roman" w:hAnsi="Times New Roman" w:cs="Times New Roman"/>
                <w:iCs/>
                <w:sz w:val="26"/>
                <w:szCs w:val="26"/>
                <w:lang w:eastAsia="lv-LV"/>
              </w:rPr>
              <w:t>. gads</w:t>
            </w:r>
          </w:p>
        </w:tc>
        <w:tc>
          <w:tcPr>
            <w:tcW w:w="1984" w:type="dxa"/>
            <w:gridSpan w:val="2"/>
          </w:tcPr>
          <w:p w14:paraId="300CB4A3" w14:textId="77777777" w:rsidR="00842AD1" w:rsidRPr="007B7D5F" w:rsidRDefault="00037CA6" w:rsidP="00EC6E1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202</w:t>
            </w:r>
            <w:r w:rsidR="00517F02" w:rsidRPr="007B7D5F">
              <w:rPr>
                <w:rFonts w:ascii="Times New Roman" w:hAnsi="Times New Roman" w:cs="Times New Roman"/>
                <w:iCs/>
                <w:sz w:val="26"/>
                <w:szCs w:val="26"/>
                <w:lang w:eastAsia="lv-LV"/>
              </w:rPr>
              <w:t>2</w:t>
            </w:r>
            <w:r w:rsidRPr="007B7D5F">
              <w:rPr>
                <w:rFonts w:ascii="Times New Roman" w:hAnsi="Times New Roman" w:cs="Times New Roman"/>
                <w:iCs/>
                <w:sz w:val="26"/>
                <w:szCs w:val="26"/>
                <w:lang w:eastAsia="lv-LV"/>
              </w:rPr>
              <w:t>. gads</w:t>
            </w:r>
          </w:p>
        </w:tc>
        <w:tc>
          <w:tcPr>
            <w:tcW w:w="1134" w:type="dxa"/>
          </w:tcPr>
          <w:p w14:paraId="727AA535" w14:textId="77777777" w:rsidR="00842AD1" w:rsidRPr="007B7D5F" w:rsidRDefault="00037CA6" w:rsidP="00EC6E1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202</w:t>
            </w:r>
            <w:r w:rsidR="00517F02" w:rsidRPr="007B7D5F">
              <w:rPr>
                <w:rFonts w:ascii="Times New Roman" w:hAnsi="Times New Roman" w:cs="Times New Roman"/>
                <w:iCs/>
                <w:sz w:val="26"/>
                <w:szCs w:val="26"/>
                <w:lang w:eastAsia="lv-LV"/>
              </w:rPr>
              <w:t>3</w:t>
            </w:r>
            <w:r w:rsidRPr="007B7D5F">
              <w:rPr>
                <w:rFonts w:ascii="Times New Roman" w:hAnsi="Times New Roman" w:cs="Times New Roman"/>
                <w:iCs/>
                <w:sz w:val="26"/>
                <w:szCs w:val="26"/>
                <w:lang w:eastAsia="lv-LV"/>
              </w:rPr>
              <w:t>. gads</w:t>
            </w:r>
          </w:p>
        </w:tc>
      </w:tr>
      <w:tr w:rsidR="006E71F7" w:rsidRPr="007B7D5F" w14:paraId="1E800F85" w14:textId="77777777" w:rsidTr="00F94769">
        <w:tc>
          <w:tcPr>
            <w:tcW w:w="1702" w:type="dxa"/>
            <w:vMerge/>
          </w:tcPr>
          <w:p w14:paraId="146BED66" w14:textId="77777777" w:rsidR="00842AD1" w:rsidRPr="007B7D5F" w:rsidRDefault="00842AD1" w:rsidP="00EC6E12">
            <w:pPr>
              <w:pStyle w:val="NoSpacing"/>
              <w:rPr>
                <w:rFonts w:ascii="Times New Roman" w:hAnsi="Times New Roman" w:cs="Times New Roman"/>
                <w:iCs/>
                <w:sz w:val="26"/>
                <w:szCs w:val="26"/>
                <w:lang w:eastAsia="lv-LV"/>
              </w:rPr>
            </w:pPr>
          </w:p>
        </w:tc>
        <w:tc>
          <w:tcPr>
            <w:tcW w:w="1134" w:type="dxa"/>
          </w:tcPr>
          <w:p w14:paraId="0B7F1310" w14:textId="77777777" w:rsidR="00842AD1" w:rsidRPr="007B7D5F" w:rsidRDefault="00842AD1" w:rsidP="00842AD1">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saskaņā ar valsts budžetu kārtējam gadam</w:t>
            </w:r>
          </w:p>
        </w:tc>
        <w:tc>
          <w:tcPr>
            <w:tcW w:w="1126" w:type="dxa"/>
          </w:tcPr>
          <w:p w14:paraId="250AF859" w14:textId="77777777" w:rsidR="00842AD1" w:rsidRPr="007B7D5F" w:rsidRDefault="00842AD1" w:rsidP="00842AD1">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 xml:space="preserve">izmaiņas kārtējā gadā, salīdzinot ar </w:t>
            </w:r>
            <w:r w:rsidRPr="007B7D5F">
              <w:rPr>
                <w:rFonts w:ascii="Times New Roman" w:hAnsi="Times New Roman" w:cs="Times New Roman"/>
                <w:iCs/>
                <w:sz w:val="26"/>
                <w:szCs w:val="26"/>
                <w:lang w:eastAsia="lv-LV"/>
              </w:rPr>
              <w:lastRenderedPageBreak/>
              <w:t>valsts budžetu kārtējam gadam</w:t>
            </w:r>
          </w:p>
        </w:tc>
        <w:tc>
          <w:tcPr>
            <w:tcW w:w="1000" w:type="dxa"/>
          </w:tcPr>
          <w:p w14:paraId="30E63644" w14:textId="77777777" w:rsidR="00842AD1" w:rsidRPr="007B7D5F" w:rsidRDefault="00842AD1" w:rsidP="00842AD1">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lastRenderedPageBreak/>
              <w:t xml:space="preserve">saskaņā ar vidēja termiņa </w:t>
            </w:r>
            <w:r w:rsidRPr="007B7D5F">
              <w:rPr>
                <w:rFonts w:ascii="Times New Roman" w:hAnsi="Times New Roman" w:cs="Times New Roman"/>
                <w:iCs/>
                <w:sz w:val="26"/>
                <w:szCs w:val="26"/>
                <w:lang w:eastAsia="lv-LV"/>
              </w:rPr>
              <w:lastRenderedPageBreak/>
              <w:t>budžeta ietvaru</w:t>
            </w:r>
          </w:p>
        </w:tc>
        <w:tc>
          <w:tcPr>
            <w:tcW w:w="1134" w:type="dxa"/>
          </w:tcPr>
          <w:p w14:paraId="0ABC9092" w14:textId="77777777" w:rsidR="006E71F7" w:rsidRPr="007B7D5F" w:rsidRDefault="00842AD1" w:rsidP="00842AD1">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lastRenderedPageBreak/>
              <w:t>izmaiņas, salīdzi</w:t>
            </w:r>
            <w:r w:rsidR="006E71F7" w:rsidRPr="007B7D5F">
              <w:rPr>
                <w:rFonts w:ascii="Times New Roman" w:hAnsi="Times New Roman" w:cs="Times New Roman"/>
                <w:iCs/>
                <w:sz w:val="26"/>
                <w:szCs w:val="26"/>
                <w:lang w:eastAsia="lv-LV"/>
              </w:rPr>
              <w:t>-</w:t>
            </w:r>
          </w:p>
          <w:p w14:paraId="7F02D78C" w14:textId="3C52F41A" w:rsidR="00842AD1" w:rsidRPr="007B7D5F" w:rsidRDefault="00842AD1" w:rsidP="00366568">
            <w:pPr>
              <w:pStyle w:val="NoSpacing"/>
              <w:jc w:val="both"/>
              <w:rPr>
                <w:rFonts w:ascii="Times New Roman" w:hAnsi="Times New Roman" w:cs="Times New Roman"/>
                <w:iCs/>
                <w:sz w:val="26"/>
                <w:szCs w:val="26"/>
                <w:lang w:eastAsia="lv-LV"/>
              </w:rPr>
            </w:pPr>
            <w:proofErr w:type="spellStart"/>
            <w:r w:rsidRPr="007B7D5F">
              <w:rPr>
                <w:rFonts w:ascii="Times New Roman" w:hAnsi="Times New Roman" w:cs="Times New Roman"/>
                <w:iCs/>
                <w:sz w:val="26"/>
                <w:szCs w:val="26"/>
                <w:lang w:eastAsia="lv-LV"/>
              </w:rPr>
              <w:t>not</w:t>
            </w:r>
            <w:proofErr w:type="spellEnd"/>
            <w:r w:rsidRPr="007B7D5F">
              <w:rPr>
                <w:rFonts w:ascii="Times New Roman" w:hAnsi="Times New Roman" w:cs="Times New Roman"/>
                <w:iCs/>
                <w:sz w:val="26"/>
                <w:szCs w:val="26"/>
                <w:lang w:eastAsia="lv-LV"/>
              </w:rPr>
              <w:t xml:space="preserve"> ar vidēja </w:t>
            </w:r>
            <w:r w:rsidRPr="007B7D5F">
              <w:rPr>
                <w:rFonts w:ascii="Times New Roman" w:hAnsi="Times New Roman" w:cs="Times New Roman"/>
                <w:iCs/>
                <w:sz w:val="26"/>
                <w:szCs w:val="26"/>
                <w:lang w:eastAsia="lv-LV"/>
              </w:rPr>
              <w:lastRenderedPageBreak/>
              <w:t xml:space="preserve">termiņa budžeta ietvaru </w:t>
            </w:r>
            <w:r w:rsidR="00366568" w:rsidRPr="007B7D5F">
              <w:rPr>
                <w:rFonts w:ascii="Times New Roman" w:hAnsi="Times New Roman" w:cs="Times New Roman"/>
                <w:iCs/>
                <w:sz w:val="26"/>
                <w:szCs w:val="26"/>
                <w:lang w:eastAsia="lv-LV"/>
              </w:rPr>
              <w:t>202</w:t>
            </w:r>
            <w:r w:rsidR="00F35602">
              <w:rPr>
                <w:rFonts w:ascii="Times New Roman" w:hAnsi="Times New Roman" w:cs="Times New Roman"/>
                <w:iCs/>
                <w:sz w:val="26"/>
                <w:szCs w:val="26"/>
                <w:lang w:eastAsia="lv-LV"/>
              </w:rPr>
              <w:t>1</w:t>
            </w:r>
            <w:r w:rsidR="00037CA6" w:rsidRPr="007B7D5F">
              <w:rPr>
                <w:rFonts w:ascii="Times New Roman" w:hAnsi="Times New Roman" w:cs="Times New Roman"/>
                <w:iCs/>
                <w:sz w:val="26"/>
                <w:szCs w:val="26"/>
                <w:lang w:eastAsia="lv-LV"/>
              </w:rPr>
              <w:t>.</w:t>
            </w:r>
            <w:r w:rsidRPr="007B7D5F">
              <w:rPr>
                <w:rFonts w:ascii="Times New Roman" w:hAnsi="Times New Roman" w:cs="Times New Roman"/>
                <w:iCs/>
                <w:sz w:val="26"/>
                <w:szCs w:val="26"/>
                <w:lang w:eastAsia="lv-LV"/>
              </w:rPr>
              <w:t xml:space="preserve"> gadam</w:t>
            </w:r>
          </w:p>
        </w:tc>
        <w:tc>
          <w:tcPr>
            <w:tcW w:w="992" w:type="dxa"/>
          </w:tcPr>
          <w:p w14:paraId="2B142400" w14:textId="77777777" w:rsidR="00842AD1" w:rsidRPr="007B7D5F" w:rsidRDefault="00842AD1" w:rsidP="00842AD1">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lastRenderedPageBreak/>
              <w:t xml:space="preserve">saskaņā ar vidēja termiņa </w:t>
            </w:r>
            <w:r w:rsidRPr="007B7D5F">
              <w:rPr>
                <w:rFonts w:ascii="Times New Roman" w:hAnsi="Times New Roman" w:cs="Times New Roman"/>
                <w:iCs/>
                <w:sz w:val="26"/>
                <w:szCs w:val="26"/>
                <w:lang w:eastAsia="lv-LV"/>
              </w:rPr>
              <w:lastRenderedPageBreak/>
              <w:t>budžeta ietvaru</w:t>
            </w:r>
          </w:p>
        </w:tc>
        <w:tc>
          <w:tcPr>
            <w:tcW w:w="992" w:type="dxa"/>
          </w:tcPr>
          <w:p w14:paraId="3EB5DD81" w14:textId="77777777" w:rsidR="00037CA6" w:rsidRPr="007B7D5F" w:rsidRDefault="00517F02" w:rsidP="00842AD1">
            <w:pPr>
              <w:pStyle w:val="NoSpacing"/>
              <w:jc w:val="both"/>
              <w:rPr>
                <w:rFonts w:ascii="Times New Roman" w:hAnsi="Times New Roman" w:cs="Times New Roman"/>
                <w:iCs/>
                <w:sz w:val="26"/>
                <w:szCs w:val="26"/>
                <w:lang w:eastAsia="lv-LV"/>
              </w:rPr>
            </w:pPr>
            <w:proofErr w:type="spellStart"/>
            <w:r w:rsidRPr="007B7D5F">
              <w:rPr>
                <w:rFonts w:ascii="Times New Roman" w:hAnsi="Times New Roman" w:cs="Times New Roman"/>
                <w:iCs/>
                <w:sz w:val="26"/>
                <w:szCs w:val="26"/>
                <w:lang w:eastAsia="lv-LV"/>
              </w:rPr>
              <w:lastRenderedPageBreak/>
              <w:t>i</w:t>
            </w:r>
            <w:r w:rsidR="00842AD1" w:rsidRPr="007B7D5F">
              <w:rPr>
                <w:rFonts w:ascii="Times New Roman" w:hAnsi="Times New Roman" w:cs="Times New Roman"/>
                <w:iCs/>
                <w:sz w:val="26"/>
                <w:szCs w:val="26"/>
                <w:lang w:eastAsia="lv-LV"/>
              </w:rPr>
              <w:t>zmai</w:t>
            </w:r>
            <w:proofErr w:type="spellEnd"/>
            <w:r w:rsidR="00037CA6" w:rsidRPr="007B7D5F">
              <w:rPr>
                <w:rFonts w:ascii="Times New Roman" w:hAnsi="Times New Roman" w:cs="Times New Roman"/>
                <w:iCs/>
                <w:sz w:val="26"/>
                <w:szCs w:val="26"/>
                <w:lang w:eastAsia="lv-LV"/>
              </w:rPr>
              <w:t>-</w:t>
            </w:r>
          </w:p>
          <w:p w14:paraId="61FF7EF8" w14:textId="77777777" w:rsidR="006E71F7" w:rsidRPr="007B7D5F" w:rsidRDefault="00842AD1" w:rsidP="00842AD1">
            <w:pPr>
              <w:pStyle w:val="NoSpacing"/>
              <w:jc w:val="both"/>
              <w:rPr>
                <w:rFonts w:ascii="Times New Roman" w:hAnsi="Times New Roman" w:cs="Times New Roman"/>
                <w:iCs/>
                <w:sz w:val="26"/>
                <w:szCs w:val="26"/>
                <w:lang w:eastAsia="lv-LV"/>
              </w:rPr>
            </w:pPr>
            <w:proofErr w:type="spellStart"/>
            <w:r w:rsidRPr="007B7D5F">
              <w:rPr>
                <w:rFonts w:ascii="Times New Roman" w:hAnsi="Times New Roman" w:cs="Times New Roman"/>
                <w:iCs/>
                <w:sz w:val="26"/>
                <w:szCs w:val="26"/>
                <w:lang w:eastAsia="lv-LV"/>
              </w:rPr>
              <w:t>ņas</w:t>
            </w:r>
            <w:proofErr w:type="spellEnd"/>
            <w:r w:rsidRPr="007B7D5F">
              <w:rPr>
                <w:rFonts w:ascii="Times New Roman" w:hAnsi="Times New Roman" w:cs="Times New Roman"/>
                <w:iCs/>
                <w:sz w:val="26"/>
                <w:szCs w:val="26"/>
                <w:lang w:eastAsia="lv-LV"/>
              </w:rPr>
              <w:t>, salīdzi</w:t>
            </w:r>
            <w:r w:rsidR="006E71F7" w:rsidRPr="007B7D5F">
              <w:rPr>
                <w:rFonts w:ascii="Times New Roman" w:hAnsi="Times New Roman" w:cs="Times New Roman"/>
                <w:iCs/>
                <w:sz w:val="26"/>
                <w:szCs w:val="26"/>
                <w:lang w:eastAsia="lv-LV"/>
              </w:rPr>
              <w:t>-</w:t>
            </w:r>
          </w:p>
          <w:p w14:paraId="21B6D985" w14:textId="156AA692" w:rsidR="00842AD1" w:rsidRPr="007B7D5F" w:rsidRDefault="00842AD1" w:rsidP="00037CA6">
            <w:pPr>
              <w:pStyle w:val="NoSpacing"/>
              <w:jc w:val="both"/>
              <w:rPr>
                <w:rFonts w:ascii="Times New Roman" w:hAnsi="Times New Roman" w:cs="Times New Roman"/>
                <w:iCs/>
                <w:sz w:val="26"/>
                <w:szCs w:val="26"/>
                <w:lang w:eastAsia="lv-LV"/>
              </w:rPr>
            </w:pPr>
            <w:proofErr w:type="spellStart"/>
            <w:r w:rsidRPr="007B7D5F">
              <w:rPr>
                <w:rFonts w:ascii="Times New Roman" w:hAnsi="Times New Roman" w:cs="Times New Roman"/>
                <w:iCs/>
                <w:sz w:val="26"/>
                <w:szCs w:val="26"/>
                <w:lang w:eastAsia="lv-LV"/>
              </w:rPr>
              <w:t>not</w:t>
            </w:r>
            <w:proofErr w:type="spellEnd"/>
            <w:r w:rsidRPr="007B7D5F">
              <w:rPr>
                <w:rFonts w:ascii="Times New Roman" w:hAnsi="Times New Roman" w:cs="Times New Roman"/>
                <w:iCs/>
                <w:sz w:val="26"/>
                <w:szCs w:val="26"/>
                <w:lang w:eastAsia="lv-LV"/>
              </w:rPr>
              <w:t xml:space="preserve"> ar vidēja </w:t>
            </w:r>
            <w:r w:rsidRPr="007B7D5F">
              <w:rPr>
                <w:rFonts w:ascii="Times New Roman" w:hAnsi="Times New Roman" w:cs="Times New Roman"/>
                <w:iCs/>
                <w:sz w:val="26"/>
                <w:szCs w:val="26"/>
                <w:lang w:eastAsia="lv-LV"/>
              </w:rPr>
              <w:lastRenderedPageBreak/>
              <w:t xml:space="preserve">termiņa budžeta ietvaru </w:t>
            </w:r>
            <w:r w:rsidR="00037CA6" w:rsidRPr="007B7D5F">
              <w:rPr>
                <w:rFonts w:ascii="Times New Roman" w:hAnsi="Times New Roman" w:cs="Times New Roman"/>
                <w:iCs/>
                <w:sz w:val="26"/>
                <w:szCs w:val="26"/>
                <w:lang w:eastAsia="lv-LV"/>
              </w:rPr>
              <w:t>202</w:t>
            </w:r>
            <w:r w:rsidR="00F35602">
              <w:rPr>
                <w:rFonts w:ascii="Times New Roman" w:hAnsi="Times New Roman" w:cs="Times New Roman"/>
                <w:iCs/>
                <w:sz w:val="26"/>
                <w:szCs w:val="26"/>
                <w:lang w:eastAsia="lv-LV"/>
              </w:rPr>
              <w:t>2</w:t>
            </w:r>
            <w:r w:rsidR="00037CA6" w:rsidRPr="007B7D5F">
              <w:rPr>
                <w:rFonts w:ascii="Times New Roman" w:hAnsi="Times New Roman" w:cs="Times New Roman"/>
                <w:iCs/>
                <w:sz w:val="26"/>
                <w:szCs w:val="26"/>
                <w:lang w:eastAsia="lv-LV"/>
              </w:rPr>
              <w:t>.</w:t>
            </w:r>
            <w:r w:rsidRPr="007B7D5F">
              <w:rPr>
                <w:rFonts w:ascii="Times New Roman" w:hAnsi="Times New Roman" w:cs="Times New Roman"/>
                <w:iCs/>
                <w:sz w:val="26"/>
                <w:szCs w:val="26"/>
                <w:lang w:eastAsia="lv-LV"/>
              </w:rPr>
              <w:t xml:space="preserve"> gadam</w:t>
            </w:r>
          </w:p>
        </w:tc>
        <w:tc>
          <w:tcPr>
            <w:tcW w:w="1134" w:type="dxa"/>
          </w:tcPr>
          <w:p w14:paraId="7EC38C98" w14:textId="77777777" w:rsidR="006E71F7" w:rsidRPr="007B7D5F" w:rsidRDefault="00842AD1" w:rsidP="00842AD1">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lastRenderedPageBreak/>
              <w:t>izmaiņas, salīdzi</w:t>
            </w:r>
            <w:r w:rsidR="006E71F7" w:rsidRPr="007B7D5F">
              <w:rPr>
                <w:rFonts w:ascii="Times New Roman" w:hAnsi="Times New Roman" w:cs="Times New Roman"/>
                <w:iCs/>
                <w:sz w:val="26"/>
                <w:szCs w:val="26"/>
                <w:lang w:eastAsia="lv-LV"/>
              </w:rPr>
              <w:t>-</w:t>
            </w:r>
          </w:p>
          <w:p w14:paraId="2EF595C9" w14:textId="02EF513A" w:rsidR="00842AD1" w:rsidRPr="007B7D5F" w:rsidRDefault="00842AD1" w:rsidP="00366568">
            <w:pPr>
              <w:pStyle w:val="NoSpacing"/>
              <w:jc w:val="both"/>
              <w:rPr>
                <w:rFonts w:ascii="Times New Roman" w:hAnsi="Times New Roman" w:cs="Times New Roman"/>
                <w:iCs/>
                <w:sz w:val="26"/>
                <w:szCs w:val="26"/>
                <w:lang w:eastAsia="lv-LV"/>
              </w:rPr>
            </w:pPr>
            <w:proofErr w:type="spellStart"/>
            <w:r w:rsidRPr="007B7D5F">
              <w:rPr>
                <w:rFonts w:ascii="Times New Roman" w:hAnsi="Times New Roman" w:cs="Times New Roman"/>
                <w:iCs/>
                <w:sz w:val="26"/>
                <w:szCs w:val="26"/>
                <w:lang w:eastAsia="lv-LV"/>
              </w:rPr>
              <w:t>not</w:t>
            </w:r>
            <w:proofErr w:type="spellEnd"/>
            <w:r w:rsidRPr="007B7D5F">
              <w:rPr>
                <w:rFonts w:ascii="Times New Roman" w:hAnsi="Times New Roman" w:cs="Times New Roman"/>
                <w:iCs/>
                <w:sz w:val="26"/>
                <w:szCs w:val="26"/>
                <w:lang w:eastAsia="lv-LV"/>
              </w:rPr>
              <w:t xml:space="preserve"> ar vidēja </w:t>
            </w:r>
            <w:r w:rsidRPr="007B7D5F">
              <w:rPr>
                <w:rFonts w:ascii="Times New Roman" w:hAnsi="Times New Roman" w:cs="Times New Roman"/>
                <w:iCs/>
                <w:sz w:val="26"/>
                <w:szCs w:val="26"/>
                <w:lang w:eastAsia="lv-LV"/>
              </w:rPr>
              <w:lastRenderedPageBreak/>
              <w:t xml:space="preserve">termiņa budžeta ietvaru </w:t>
            </w:r>
            <w:r w:rsidR="00366568" w:rsidRPr="007B7D5F">
              <w:rPr>
                <w:rFonts w:ascii="Times New Roman" w:hAnsi="Times New Roman" w:cs="Times New Roman"/>
                <w:iCs/>
                <w:sz w:val="26"/>
                <w:szCs w:val="26"/>
                <w:lang w:eastAsia="lv-LV"/>
              </w:rPr>
              <w:t>202</w:t>
            </w:r>
            <w:r w:rsidR="00F35602">
              <w:rPr>
                <w:rFonts w:ascii="Times New Roman" w:hAnsi="Times New Roman" w:cs="Times New Roman"/>
                <w:iCs/>
                <w:sz w:val="26"/>
                <w:szCs w:val="26"/>
                <w:lang w:eastAsia="lv-LV"/>
              </w:rPr>
              <w:t>2</w:t>
            </w:r>
            <w:r w:rsidR="00037CA6" w:rsidRPr="007B7D5F">
              <w:rPr>
                <w:rFonts w:ascii="Times New Roman" w:hAnsi="Times New Roman" w:cs="Times New Roman"/>
                <w:iCs/>
                <w:sz w:val="26"/>
                <w:szCs w:val="26"/>
                <w:lang w:eastAsia="lv-LV"/>
              </w:rPr>
              <w:t>.</w:t>
            </w:r>
            <w:r w:rsidRPr="007B7D5F">
              <w:rPr>
                <w:rFonts w:ascii="Times New Roman" w:hAnsi="Times New Roman" w:cs="Times New Roman"/>
                <w:iCs/>
                <w:sz w:val="26"/>
                <w:szCs w:val="26"/>
                <w:lang w:eastAsia="lv-LV"/>
              </w:rPr>
              <w:t xml:space="preserve"> gadam</w:t>
            </w:r>
          </w:p>
        </w:tc>
      </w:tr>
      <w:tr w:rsidR="006E71F7" w:rsidRPr="007B7D5F" w14:paraId="411E1319" w14:textId="77777777" w:rsidTr="00F94769">
        <w:tc>
          <w:tcPr>
            <w:tcW w:w="1702" w:type="dxa"/>
            <w:vAlign w:val="center"/>
          </w:tcPr>
          <w:p w14:paraId="31E03071" w14:textId="77777777" w:rsidR="00842AD1" w:rsidRPr="007B7D5F" w:rsidRDefault="00842AD1" w:rsidP="00842AD1">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lastRenderedPageBreak/>
              <w:t>1</w:t>
            </w:r>
          </w:p>
        </w:tc>
        <w:tc>
          <w:tcPr>
            <w:tcW w:w="1134" w:type="dxa"/>
            <w:vAlign w:val="center"/>
          </w:tcPr>
          <w:p w14:paraId="00AF31B3" w14:textId="77777777" w:rsidR="00842AD1" w:rsidRPr="007B7D5F" w:rsidRDefault="00842AD1" w:rsidP="00842AD1">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2</w:t>
            </w:r>
          </w:p>
        </w:tc>
        <w:tc>
          <w:tcPr>
            <w:tcW w:w="1126" w:type="dxa"/>
            <w:vAlign w:val="center"/>
          </w:tcPr>
          <w:p w14:paraId="5C1260EA" w14:textId="77777777" w:rsidR="00842AD1" w:rsidRPr="007B7D5F" w:rsidRDefault="00842AD1" w:rsidP="00842AD1">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3</w:t>
            </w:r>
          </w:p>
        </w:tc>
        <w:tc>
          <w:tcPr>
            <w:tcW w:w="1000" w:type="dxa"/>
            <w:vAlign w:val="center"/>
          </w:tcPr>
          <w:p w14:paraId="481CD663" w14:textId="77777777" w:rsidR="00842AD1" w:rsidRPr="007B7D5F" w:rsidRDefault="00842AD1" w:rsidP="00842AD1">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4</w:t>
            </w:r>
          </w:p>
        </w:tc>
        <w:tc>
          <w:tcPr>
            <w:tcW w:w="1134" w:type="dxa"/>
            <w:vAlign w:val="center"/>
          </w:tcPr>
          <w:p w14:paraId="1559700E" w14:textId="77777777" w:rsidR="00842AD1" w:rsidRPr="007B7D5F" w:rsidRDefault="00842AD1" w:rsidP="00842AD1">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5</w:t>
            </w:r>
          </w:p>
        </w:tc>
        <w:tc>
          <w:tcPr>
            <w:tcW w:w="992" w:type="dxa"/>
            <w:vAlign w:val="center"/>
          </w:tcPr>
          <w:p w14:paraId="232C85A1" w14:textId="77777777" w:rsidR="00842AD1" w:rsidRPr="007B7D5F" w:rsidRDefault="00842AD1" w:rsidP="00842AD1">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6</w:t>
            </w:r>
          </w:p>
        </w:tc>
        <w:tc>
          <w:tcPr>
            <w:tcW w:w="992" w:type="dxa"/>
            <w:vAlign w:val="center"/>
          </w:tcPr>
          <w:p w14:paraId="7E0F4255" w14:textId="77777777" w:rsidR="00842AD1" w:rsidRPr="007B7D5F" w:rsidRDefault="00842AD1" w:rsidP="00842AD1">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7</w:t>
            </w:r>
          </w:p>
        </w:tc>
        <w:tc>
          <w:tcPr>
            <w:tcW w:w="1134" w:type="dxa"/>
            <w:vAlign w:val="center"/>
          </w:tcPr>
          <w:p w14:paraId="2A70B6B5" w14:textId="77777777" w:rsidR="00842AD1" w:rsidRPr="007B7D5F" w:rsidRDefault="00842AD1" w:rsidP="00842AD1">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8</w:t>
            </w:r>
          </w:p>
        </w:tc>
      </w:tr>
      <w:tr w:rsidR="00CC0982" w:rsidRPr="007B7D5F" w14:paraId="7DD62D5E" w14:textId="77777777" w:rsidTr="00F94769">
        <w:tc>
          <w:tcPr>
            <w:tcW w:w="1702" w:type="dxa"/>
            <w:vAlign w:val="center"/>
          </w:tcPr>
          <w:p w14:paraId="39CF7BA7"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1. Budžeta ieņēmumi</w:t>
            </w:r>
          </w:p>
        </w:tc>
        <w:tc>
          <w:tcPr>
            <w:tcW w:w="1134" w:type="dxa"/>
            <w:vAlign w:val="center"/>
          </w:tcPr>
          <w:p w14:paraId="67C779C7" w14:textId="77777777" w:rsidR="00CC0982" w:rsidRPr="007B7D5F" w:rsidRDefault="00D22CB4"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26" w:type="dxa"/>
            <w:vAlign w:val="center"/>
          </w:tcPr>
          <w:p w14:paraId="6A97A567"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000" w:type="dxa"/>
            <w:vAlign w:val="center"/>
          </w:tcPr>
          <w:p w14:paraId="56B13FA7"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68E3BE56"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0409CCD3"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07037D7E"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2BF1FF26"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rsidRPr="007B7D5F" w14:paraId="5CF995F9" w14:textId="77777777" w:rsidTr="00F94769">
        <w:tc>
          <w:tcPr>
            <w:tcW w:w="1702" w:type="dxa"/>
            <w:vAlign w:val="center"/>
          </w:tcPr>
          <w:p w14:paraId="1C9763D0"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1.1. valsts pamatbudžets, tai skaitā ieņēmumi no maksas pakalpojumiem un citi pašu ieņēmumi</w:t>
            </w:r>
          </w:p>
        </w:tc>
        <w:tc>
          <w:tcPr>
            <w:tcW w:w="1134" w:type="dxa"/>
            <w:vAlign w:val="center"/>
          </w:tcPr>
          <w:p w14:paraId="76DCF55B" w14:textId="77777777" w:rsidR="00CC0982" w:rsidRPr="007B7D5F" w:rsidRDefault="00D22CB4"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26" w:type="dxa"/>
            <w:vAlign w:val="center"/>
          </w:tcPr>
          <w:p w14:paraId="15BD9940"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000" w:type="dxa"/>
            <w:vAlign w:val="center"/>
          </w:tcPr>
          <w:p w14:paraId="25ACE306"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748E2E8D"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0D9CBB1B"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50C2B33B"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5862AFA8"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rsidRPr="007B7D5F" w14:paraId="249F15FF" w14:textId="77777777" w:rsidTr="00F94769">
        <w:tc>
          <w:tcPr>
            <w:tcW w:w="1702" w:type="dxa"/>
            <w:vAlign w:val="center"/>
          </w:tcPr>
          <w:p w14:paraId="6DFB5868"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1.2. valsts speciālais budžets</w:t>
            </w:r>
          </w:p>
        </w:tc>
        <w:tc>
          <w:tcPr>
            <w:tcW w:w="1134" w:type="dxa"/>
            <w:vAlign w:val="center"/>
          </w:tcPr>
          <w:p w14:paraId="5E7B7DA6"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26" w:type="dxa"/>
            <w:vAlign w:val="center"/>
          </w:tcPr>
          <w:p w14:paraId="42902A7D"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000" w:type="dxa"/>
            <w:vAlign w:val="center"/>
          </w:tcPr>
          <w:p w14:paraId="2FBAC771"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2B81FF36"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35288732"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6ED75510"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55E74717"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rsidRPr="007B7D5F" w14:paraId="4E7B907C" w14:textId="77777777" w:rsidTr="00F94769">
        <w:tc>
          <w:tcPr>
            <w:tcW w:w="1702" w:type="dxa"/>
            <w:vAlign w:val="center"/>
          </w:tcPr>
          <w:p w14:paraId="061BACE9"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1.3. pašvaldību budžets</w:t>
            </w:r>
          </w:p>
        </w:tc>
        <w:tc>
          <w:tcPr>
            <w:tcW w:w="1134" w:type="dxa"/>
            <w:vAlign w:val="center"/>
          </w:tcPr>
          <w:p w14:paraId="6EC50EE1"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26" w:type="dxa"/>
            <w:vAlign w:val="center"/>
          </w:tcPr>
          <w:p w14:paraId="18D8BC56"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000" w:type="dxa"/>
            <w:vAlign w:val="center"/>
          </w:tcPr>
          <w:p w14:paraId="4DBDE69D"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0944F7CB"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35E2E9A8"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5D2AB3BC"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4A3E2E1B"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rsidRPr="007B7D5F" w14:paraId="6BE43218" w14:textId="77777777" w:rsidTr="00F94769">
        <w:tc>
          <w:tcPr>
            <w:tcW w:w="1702" w:type="dxa"/>
            <w:vAlign w:val="center"/>
          </w:tcPr>
          <w:p w14:paraId="7562B43E"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2. Budžeta izdevumi</w:t>
            </w:r>
          </w:p>
        </w:tc>
        <w:tc>
          <w:tcPr>
            <w:tcW w:w="1134" w:type="dxa"/>
            <w:vAlign w:val="center"/>
          </w:tcPr>
          <w:p w14:paraId="66A9AE80" w14:textId="77777777" w:rsidR="00CC0982" w:rsidRPr="007B7D5F" w:rsidRDefault="00921789"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26" w:type="dxa"/>
            <w:vAlign w:val="center"/>
          </w:tcPr>
          <w:p w14:paraId="169847A2" w14:textId="1E6643DB" w:rsidR="00CC0982" w:rsidRPr="007B7D5F" w:rsidRDefault="00174EFB" w:rsidP="00CC0982">
            <w:pPr>
              <w:pStyle w:val="NoSpacing"/>
              <w:rPr>
                <w:rFonts w:ascii="Times New Roman" w:hAnsi="Times New Roman" w:cs="Times New Roman"/>
                <w:iCs/>
                <w:sz w:val="26"/>
                <w:szCs w:val="26"/>
                <w:lang w:eastAsia="lv-LV"/>
              </w:rPr>
            </w:pPr>
            <w:r>
              <w:rPr>
                <w:rFonts w:ascii="Times New Roman" w:hAnsi="Times New Roman" w:cs="Times New Roman"/>
                <w:iCs/>
                <w:sz w:val="26"/>
                <w:szCs w:val="26"/>
                <w:lang w:eastAsia="lv-LV"/>
              </w:rPr>
              <w:t>2 054 926</w:t>
            </w:r>
          </w:p>
        </w:tc>
        <w:tc>
          <w:tcPr>
            <w:tcW w:w="1000" w:type="dxa"/>
            <w:vAlign w:val="center"/>
          </w:tcPr>
          <w:p w14:paraId="6B00D13D"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196804A1"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46864484"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27FF665A"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0C0661D7"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rsidRPr="007B7D5F" w14:paraId="44DFBABB" w14:textId="77777777" w:rsidTr="00F94769">
        <w:tc>
          <w:tcPr>
            <w:tcW w:w="1702" w:type="dxa"/>
            <w:vAlign w:val="center"/>
          </w:tcPr>
          <w:p w14:paraId="2C62BD61"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2.1. valsts pamatbudžets</w:t>
            </w:r>
          </w:p>
        </w:tc>
        <w:tc>
          <w:tcPr>
            <w:tcW w:w="1134" w:type="dxa"/>
            <w:vAlign w:val="center"/>
          </w:tcPr>
          <w:p w14:paraId="6307F30D" w14:textId="77777777" w:rsidR="00CC0982" w:rsidRPr="007B7D5F" w:rsidRDefault="00921789"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26" w:type="dxa"/>
            <w:vAlign w:val="center"/>
          </w:tcPr>
          <w:p w14:paraId="43041822" w14:textId="501FC3CF" w:rsidR="00CC0982" w:rsidRPr="007B7D5F" w:rsidRDefault="00174EFB" w:rsidP="00CC0982">
            <w:pPr>
              <w:pStyle w:val="NoSpacing"/>
              <w:rPr>
                <w:rFonts w:ascii="Times New Roman" w:hAnsi="Times New Roman" w:cs="Times New Roman"/>
                <w:iCs/>
                <w:sz w:val="26"/>
                <w:szCs w:val="26"/>
                <w:lang w:eastAsia="lv-LV"/>
              </w:rPr>
            </w:pPr>
            <w:r w:rsidRPr="00174EFB">
              <w:rPr>
                <w:rFonts w:ascii="Times New Roman" w:hAnsi="Times New Roman" w:cs="Times New Roman"/>
                <w:iCs/>
                <w:sz w:val="26"/>
                <w:szCs w:val="26"/>
                <w:lang w:eastAsia="lv-LV"/>
              </w:rPr>
              <w:t>2 054 926</w:t>
            </w:r>
          </w:p>
        </w:tc>
        <w:tc>
          <w:tcPr>
            <w:tcW w:w="1000" w:type="dxa"/>
            <w:vAlign w:val="center"/>
          </w:tcPr>
          <w:p w14:paraId="0F1EA519"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25B07445"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7D6939C7"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48DA88C5"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02BDC29D"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rsidRPr="007B7D5F" w14:paraId="1C18C2DD" w14:textId="77777777" w:rsidTr="00F94769">
        <w:tc>
          <w:tcPr>
            <w:tcW w:w="1702" w:type="dxa"/>
            <w:vAlign w:val="center"/>
          </w:tcPr>
          <w:p w14:paraId="560B6C87"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2.2. valsts speciālais budžets</w:t>
            </w:r>
          </w:p>
        </w:tc>
        <w:tc>
          <w:tcPr>
            <w:tcW w:w="1134" w:type="dxa"/>
            <w:vAlign w:val="center"/>
          </w:tcPr>
          <w:p w14:paraId="0F4F6AA9"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26" w:type="dxa"/>
            <w:vAlign w:val="center"/>
          </w:tcPr>
          <w:p w14:paraId="74BB9348"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000" w:type="dxa"/>
            <w:vAlign w:val="center"/>
          </w:tcPr>
          <w:p w14:paraId="5B0E32B5"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4ABC25D7"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2F048C03"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5C7C1FF0"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20E213A7"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rsidRPr="007B7D5F" w14:paraId="1BE0B871" w14:textId="77777777" w:rsidTr="00F94769">
        <w:tc>
          <w:tcPr>
            <w:tcW w:w="1702" w:type="dxa"/>
            <w:vAlign w:val="center"/>
          </w:tcPr>
          <w:p w14:paraId="7CF85FEA"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2.3. pašvaldību budžets</w:t>
            </w:r>
          </w:p>
        </w:tc>
        <w:tc>
          <w:tcPr>
            <w:tcW w:w="1134" w:type="dxa"/>
            <w:vAlign w:val="center"/>
          </w:tcPr>
          <w:p w14:paraId="5F8486B9"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26" w:type="dxa"/>
            <w:vAlign w:val="center"/>
          </w:tcPr>
          <w:p w14:paraId="7A3144A4"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000" w:type="dxa"/>
            <w:vAlign w:val="center"/>
          </w:tcPr>
          <w:p w14:paraId="4F2334D3"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14AE5633"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7F2DAA4E"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15EB72FE"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04A7291C"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rsidRPr="007B7D5F" w14:paraId="17DF6D01" w14:textId="77777777" w:rsidTr="00F94769">
        <w:tc>
          <w:tcPr>
            <w:tcW w:w="1702" w:type="dxa"/>
            <w:vAlign w:val="center"/>
          </w:tcPr>
          <w:p w14:paraId="17109368"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3. Finansiālā ietekme</w:t>
            </w:r>
          </w:p>
        </w:tc>
        <w:tc>
          <w:tcPr>
            <w:tcW w:w="1134" w:type="dxa"/>
            <w:vAlign w:val="center"/>
          </w:tcPr>
          <w:p w14:paraId="71F3B3C7"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26" w:type="dxa"/>
            <w:vAlign w:val="center"/>
          </w:tcPr>
          <w:p w14:paraId="2D44BF92" w14:textId="0629A92F"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sz w:val="26"/>
                <w:szCs w:val="26"/>
              </w:rPr>
              <w:t>–</w:t>
            </w:r>
            <w:r w:rsidR="00174EFB" w:rsidRPr="00174EFB">
              <w:rPr>
                <w:rFonts w:ascii="Times New Roman" w:hAnsi="Times New Roman" w:cs="Times New Roman"/>
                <w:iCs/>
                <w:sz w:val="26"/>
                <w:szCs w:val="26"/>
                <w:lang w:eastAsia="lv-LV"/>
              </w:rPr>
              <w:t>2 054 926</w:t>
            </w:r>
          </w:p>
        </w:tc>
        <w:tc>
          <w:tcPr>
            <w:tcW w:w="1000" w:type="dxa"/>
            <w:vAlign w:val="center"/>
          </w:tcPr>
          <w:p w14:paraId="41761BA1"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6B0ED64A"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333FB6D1"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2E5532FD"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1591DD31"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rsidRPr="007B7D5F" w14:paraId="47EED841" w14:textId="77777777" w:rsidTr="00F94769">
        <w:tc>
          <w:tcPr>
            <w:tcW w:w="1702" w:type="dxa"/>
            <w:vAlign w:val="center"/>
          </w:tcPr>
          <w:p w14:paraId="71658EC9"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3.1. valsts pamatbudžets</w:t>
            </w:r>
          </w:p>
        </w:tc>
        <w:tc>
          <w:tcPr>
            <w:tcW w:w="1134" w:type="dxa"/>
            <w:vAlign w:val="center"/>
          </w:tcPr>
          <w:p w14:paraId="6023A38A"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26" w:type="dxa"/>
            <w:vAlign w:val="center"/>
          </w:tcPr>
          <w:p w14:paraId="5245BBF9" w14:textId="4AF60B28"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sz w:val="26"/>
                <w:szCs w:val="26"/>
              </w:rPr>
              <w:t>–</w:t>
            </w:r>
            <w:r w:rsidR="00174EFB" w:rsidRPr="00174EFB">
              <w:rPr>
                <w:rFonts w:ascii="Times New Roman" w:hAnsi="Times New Roman" w:cs="Times New Roman"/>
                <w:iCs/>
                <w:sz w:val="26"/>
                <w:szCs w:val="26"/>
                <w:lang w:eastAsia="lv-LV"/>
              </w:rPr>
              <w:t>2 054 926</w:t>
            </w:r>
          </w:p>
        </w:tc>
        <w:tc>
          <w:tcPr>
            <w:tcW w:w="1000" w:type="dxa"/>
            <w:vAlign w:val="center"/>
          </w:tcPr>
          <w:p w14:paraId="58492D4D"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0A5BC7C1"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7E0AF659"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0599C03A"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76702957"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rsidRPr="007B7D5F" w14:paraId="28033840" w14:textId="77777777" w:rsidTr="00F94769">
        <w:tc>
          <w:tcPr>
            <w:tcW w:w="1702" w:type="dxa"/>
            <w:vAlign w:val="center"/>
          </w:tcPr>
          <w:p w14:paraId="30EB13F3"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3.2. speciālais budžets</w:t>
            </w:r>
          </w:p>
        </w:tc>
        <w:tc>
          <w:tcPr>
            <w:tcW w:w="1134" w:type="dxa"/>
            <w:vAlign w:val="center"/>
          </w:tcPr>
          <w:p w14:paraId="45691F0E"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26" w:type="dxa"/>
            <w:vAlign w:val="center"/>
          </w:tcPr>
          <w:p w14:paraId="6CD92464"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000" w:type="dxa"/>
            <w:vAlign w:val="center"/>
          </w:tcPr>
          <w:p w14:paraId="6155F508"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39A6128B"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332221C8"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3F76D3D7"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4CA9C54F"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rsidRPr="007B7D5F" w14:paraId="7A963A1B" w14:textId="77777777" w:rsidTr="00F94769">
        <w:tc>
          <w:tcPr>
            <w:tcW w:w="1702" w:type="dxa"/>
            <w:vAlign w:val="center"/>
          </w:tcPr>
          <w:p w14:paraId="1E91ACD8"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3.3. pašvaldību budžets</w:t>
            </w:r>
          </w:p>
        </w:tc>
        <w:tc>
          <w:tcPr>
            <w:tcW w:w="1134" w:type="dxa"/>
            <w:vAlign w:val="center"/>
          </w:tcPr>
          <w:p w14:paraId="55A099C8"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26" w:type="dxa"/>
            <w:vAlign w:val="center"/>
          </w:tcPr>
          <w:p w14:paraId="0D387A28"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000" w:type="dxa"/>
            <w:vAlign w:val="center"/>
          </w:tcPr>
          <w:p w14:paraId="4AB3049B"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50C4915D"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20097B92"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26D66143"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095E1D49"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rsidRPr="007B7D5F" w14:paraId="72C3E976" w14:textId="77777777" w:rsidTr="00F94769">
        <w:tc>
          <w:tcPr>
            <w:tcW w:w="1702" w:type="dxa"/>
            <w:vAlign w:val="center"/>
          </w:tcPr>
          <w:p w14:paraId="70400DAD"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lastRenderedPageBreak/>
              <w:t>4. Finanšu līdzekļi papildu izdevumu finansēšanai (kompensējošu izdevumu samazinājumu norāda ar "+" zīmi)</w:t>
            </w:r>
          </w:p>
        </w:tc>
        <w:tc>
          <w:tcPr>
            <w:tcW w:w="1134" w:type="dxa"/>
            <w:vAlign w:val="center"/>
          </w:tcPr>
          <w:p w14:paraId="64598707"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X</w:t>
            </w:r>
          </w:p>
        </w:tc>
        <w:tc>
          <w:tcPr>
            <w:tcW w:w="1126" w:type="dxa"/>
            <w:vAlign w:val="center"/>
          </w:tcPr>
          <w:p w14:paraId="599E0802" w14:textId="56B93841" w:rsidR="00CC0982" w:rsidRPr="007B7D5F" w:rsidRDefault="00174EFB" w:rsidP="00CC0982">
            <w:pPr>
              <w:pStyle w:val="NoSpacing"/>
              <w:rPr>
                <w:rFonts w:ascii="Times New Roman" w:hAnsi="Times New Roman" w:cs="Times New Roman"/>
                <w:iCs/>
                <w:sz w:val="26"/>
                <w:szCs w:val="26"/>
                <w:lang w:eastAsia="lv-LV"/>
              </w:rPr>
            </w:pPr>
            <w:r w:rsidRPr="00174EFB">
              <w:rPr>
                <w:rFonts w:ascii="Times New Roman" w:hAnsi="Times New Roman" w:cs="Times New Roman"/>
                <w:iCs/>
                <w:sz w:val="26"/>
                <w:szCs w:val="26"/>
                <w:lang w:eastAsia="lv-LV"/>
              </w:rPr>
              <w:t>2 054 926</w:t>
            </w:r>
          </w:p>
        </w:tc>
        <w:tc>
          <w:tcPr>
            <w:tcW w:w="1000" w:type="dxa"/>
            <w:vAlign w:val="center"/>
          </w:tcPr>
          <w:p w14:paraId="1EA62738"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673B57CC"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6AA41FBF"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3562DF25"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2D17527A"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rsidRPr="007B7D5F" w14:paraId="7CBA956C" w14:textId="77777777" w:rsidTr="00F94769">
        <w:tc>
          <w:tcPr>
            <w:tcW w:w="1702" w:type="dxa"/>
            <w:vAlign w:val="center"/>
          </w:tcPr>
          <w:p w14:paraId="60E03738"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5. Precizēta finansiālā ietekme</w:t>
            </w:r>
          </w:p>
        </w:tc>
        <w:tc>
          <w:tcPr>
            <w:tcW w:w="1134" w:type="dxa"/>
            <w:vMerge w:val="restart"/>
            <w:vAlign w:val="center"/>
          </w:tcPr>
          <w:p w14:paraId="14B35A27"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X</w:t>
            </w:r>
          </w:p>
        </w:tc>
        <w:tc>
          <w:tcPr>
            <w:tcW w:w="1126" w:type="dxa"/>
            <w:vAlign w:val="center"/>
          </w:tcPr>
          <w:p w14:paraId="3F9658D8"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000" w:type="dxa"/>
            <w:vMerge w:val="restart"/>
            <w:vAlign w:val="center"/>
          </w:tcPr>
          <w:p w14:paraId="05DB25AC"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4340EABC"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Merge w:val="restart"/>
            <w:vAlign w:val="center"/>
          </w:tcPr>
          <w:p w14:paraId="2C7A116E"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Align w:val="center"/>
          </w:tcPr>
          <w:p w14:paraId="61FB6859"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04DF11CD"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rsidRPr="007B7D5F" w14:paraId="79772DA5" w14:textId="77777777" w:rsidTr="00F94769">
        <w:tc>
          <w:tcPr>
            <w:tcW w:w="1702" w:type="dxa"/>
            <w:vAlign w:val="center"/>
          </w:tcPr>
          <w:p w14:paraId="1D035A08"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5.1. valsts pamatbudžets</w:t>
            </w:r>
          </w:p>
        </w:tc>
        <w:tc>
          <w:tcPr>
            <w:tcW w:w="1134" w:type="dxa"/>
            <w:vMerge/>
            <w:vAlign w:val="center"/>
          </w:tcPr>
          <w:p w14:paraId="24A199E2" w14:textId="77777777" w:rsidR="00CC0982" w:rsidRPr="007B7D5F" w:rsidRDefault="00CC0982" w:rsidP="00CC0982">
            <w:pPr>
              <w:pStyle w:val="NoSpacing"/>
              <w:rPr>
                <w:rFonts w:ascii="Times New Roman" w:hAnsi="Times New Roman" w:cs="Times New Roman"/>
                <w:iCs/>
                <w:sz w:val="26"/>
                <w:szCs w:val="26"/>
                <w:lang w:eastAsia="lv-LV"/>
              </w:rPr>
            </w:pPr>
          </w:p>
        </w:tc>
        <w:tc>
          <w:tcPr>
            <w:tcW w:w="1126" w:type="dxa"/>
            <w:vAlign w:val="center"/>
          </w:tcPr>
          <w:p w14:paraId="669936AF"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000" w:type="dxa"/>
            <w:vMerge/>
            <w:vAlign w:val="center"/>
          </w:tcPr>
          <w:p w14:paraId="1ED3D1A2" w14:textId="77777777" w:rsidR="00CC0982" w:rsidRPr="007B7D5F" w:rsidRDefault="00CC0982" w:rsidP="00CC0982">
            <w:pPr>
              <w:pStyle w:val="NoSpacing"/>
              <w:rPr>
                <w:rFonts w:ascii="Times New Roman" w:hAnsi="Times New Roman" w:cs="Times New Roman"/>
                <w:iCs/>
                <w:sz w:val="26"/>
                <w:szCs w:val="26"/>
                <w:lang w:eastAsia="lv-LV"/>
              </w:rPr>
            </w:pPr>
          </w:p>
        </w:tc>
        <w:tc>
          <w:tcPr>
            <w:tcW w:w="1134" w:type="dxa"/>
            <w:vAlign w:val="center"/>
          </w:tcPr>
          <w:p w14:paraId="3F1E0992"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Merge/>
            <w:vAlign w:val="center"/>
          </w:tcPr>
          <w:p w14:paraId="7E61F815" w14:textId="77777777" w:rsidR="00CC0982" w:rsidRPr="007B7D5F" w:rsidRDefault="00CC0982" w:rsidP="00CC0982">
            <w:pPr>
              <w:pStyle w:val="NoSpacing"/>
              <w:rPr>
                <w:rFonts w:ascii="Times New Roman" w:hAnsi="Times New Roman" w:cs="Times New Roman"/>
                <w:iCs/>
                <w:sz w:val="26"/>
                <w:szCs w:val="26"/>
                <w:lang w:eastAsia="lv-LV"/>
              </w:rPr>
            </w:pPr>
          </w:p>
        </w:tc>
        <w:tc>
          <w:tcPr>
            <w:tcW w:w="992" w:type="dxa"/>
            <w:vAlign w:val="center"/>
          </w:tcPr>
          <w:p w14:paraId="0F7739DD"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6BF38D0D"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rsidRPr="007B7D5F" w14:paraId="57EEFA51" w14:textId="77777777" w:rsidTr="00F94769">
        <w:tc>
          <w:tcPr>
            <w:tcW w:w="1702" w:type="dxa"/>
            <w:vAlign w:val="center"/>
          </w:tcPr>
          <w:p w14:paraId="6C1F11F1"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5.2. speciālais budžets</w:t>
            </w:r>
          </w:p>
        </w:tc>
        <w:tc>
          <w:tcPr>
            <w:tcW w:w="1134" w:type="dxa"/>
            <w:vMerge/>
            <w:vAlign w:val="center"/>
          </w:tcPr>
          <w:p w14:paraId="7F004641" w14:textId="77777777" w:rsidR="00CC0982" w:rsidRPr="007B7D5F" w:rsidRDefault="00CC0982" w:rsidP="00CC0982">
            <w:pPr>
              <w:pStyle w:val="NoSpacing"/>
              <w:rPr>
                <w:rFonts w:ascii="Times New Roman" w:hAnsi="Times New Roman" w:cs="Times New Roman"/>
                <w:iCs/>
                <w:sz w:val="26"/>
                <w:szCs w:val="26"/>
                <w:lang w:eastAsia="lv-LV"/>
              </w:rPr>
            </w:pPr>
          </w:p>
        </w:tc>
        <w:tc>
          <w:tcPr>
            <w:tcW w:w="1126" w:type="dxa"/>
            <w:vAlign w:val="center"/>
          </w:tcPr>
          <w:p w14:paraId="4894279F"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000" w:type="dxa"/>
            <w:vMerge/>
            <w:vAlign w:val="center"/>
          </w:tcPr>
          <w:p w14:paraId="76C0C9E9" w14:textId="77777777" w:rsidR="00CC0982" w:rsidRPr="007B7D5F" w:rsidRDefault="00CC0982" w:rsidP="00CC0982">
            <w:pPr>
              <w:pStyle w:val="NoSpacing"/>
              <w:rPr>
                <w:rFonts w:ascii="Times New Roman" w:hAnsi="Times New Roman" w:cs="Times New Roman"/>
                <w:iCs/>
                <w:sz w:val="26"/>
                <w:szCs w:val="26"/>
                <w:lang w:eastAsia="lv-LV"/>
              </w:rPr>
            </w:pPr>
          </w:p>
        </w:tc>
        <w:tc>
          <w:tcPr>
            <w:tcW w:w="1134" w:type="dxa"/>
            <w:vAlign w:val="center"/>
          </w:tcPr>
          <w:p w14:paraId="5D0EF6F7"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Merge/>
            <w:vAlign w:val="center"/>
          </w:tcPr>
          <w:p w14:paraId="22253D5F" w14:textId="77777777" w:rsidR="00CC0982" w:rsidRPr="007B7D5F" w:rsidRDefault="00CC0982" w:rsidP="00CC0982">
            <w:pPr>
              <w:pStyle w:val="NoSpacing"/>
              <w:rPr>
                <w:rFonts w:ascii="Times New Roman" w:hAnsi="Times New Roman" w:cs="Times New Roman"/>
                <w:iCs/>
                <w:sz w:val="26"/>
                <w:szCs w:val="26"/>
                <w:lang w:eastAsia="lv-LV"/>
              </w:rPr>
            </w:pPr>
          </w:p>
        </w:tc>
        <w:tc>
          <w:tcPr>
            <w:tcW w:w="992" w:type="dxa"/>
            <w:vAlign w:val="center"/>
          </w:tcPr>
          <w:p w14:paraId="09B01E9C"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449309E2"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rsidRPr="007B7D5F" w14:paraId="3599CD7F" w14:textId="77777777" w:rsidTr="00F94769">
        <w:tc>
          <w:tcPr>
            <w:tcW w:w="1702" w:type="dxa"/>
            <w:vAlign w:val="center"/>
          </w:tcPr>
          <w:p w14:paraId="0605DFC1"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5.3. pašvaldību budžets</w:t>
            </w:r>
          </w:p>
        </w:tc>
        <w:tc>
          <w:tcPr>
            <w:tcW w:w="1134" w:type="dxa"/>
            <w:vMerge/>
            <w:vAlign w:val="center"/>
          </w:tcPr>
          <w:p w14:paraId="2A6598ED" w14:textId="77777777" w:rsidR="00CC0982" w:rsidRPr="007B7D5F" w:rsidRDefault="00CC0982" w:rsidP="00CC0982">
            <w:pPr>
              <w:pStyle w:val="NoSpacing"/>
              <w:rPr>
                <w:rFonts w:ascii="Times New Roman" w:hAnsi="Times New Roman" w:cs="Times New Roman"/>
                <w:iCs/>
                <w:sz w:val="26"/>
                <w:szCs w:val="26"/>
                <w:lang w:eastAsia="lv-LV"/>
              </w:rPr>
            </w:pPr>
          </w:p>
        </w:tc>
        <w:tc>
          <w:tcPr>
            <w:tcW w:w="1126" w:type="dxa"/>
            <w:vAlign w:val="center"/>
          </w:tcPr>
          <w:p w14:paraId="16A87D37"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000" w:type="dxa"/>
            <w:vMerge/>
            <w:vAlign w:val="center"/>
          </w:tcPr>
          <w:p w14:paraId="58D85489" w14:textId="77777777" w:rsidR="00CC0982" w:rsidRPr="007B7D5F" w:rsidRDefault="00CC0982" w:rsidP="00CC0982">
            <w:pPr>
              <w:pStyle w:val="NoSpacing"/>
              <w:rPr>
                <w:rFonts w:ascii="Times New Roman" w:hAnsi="Times New Roman" w:cs="Times New Roman"/>
                <w:iCs/>
                <w:sz w:val="26"/>
                <w:szCs w:val="26"/>
                <w:lang w:eastAsia="lv-LV"/>
              </w:rPr>
            </w:pPr>
          </w:p>
        </w:tc>
        <w:tc>
          <w:tcPr>
            <w:tcW w:w="1134" w:type="dxa"/>
            <w:vAlign w:val="center"/>
          </w:tcPr>
          <w:p w14:paraId="7E2FF664"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992" w:type="dxa"/>
            <w:vMerge/>
            <w:vAlign w:val="center"/>
          </w:tcPr>
          <w:p w14:paraId="110C4661" w14:textId="77777777" w:rsidR="00CC0982" w:rsidRPr="007B7D5F" w:rsidRDefault="00CC0982" w:rsidP="00CC0982">
            <w:pPr>
              <w:pStyle w:val="NoSpacing"/>
              <w:rPr>
                <w:rFonts w:ascii="Times New Roman" w:hAnsi="Times New Roman" w:cs="Times New Roman"/>
                <w:iCs/>
                <w:sz w:val="26"/>
                <w:szCs w:val="26"/>
                <w:lang w:eastAsia="lv-LV"/>
              </w:rPr>
            </w:pPr>
          </w:p>
        </w:tc>
        <w:tc>
          <w:tcPr>
            <w:tcW w:w="992" w:type="dxa"/>
            <w:vAlign w:val="center"/>
          </w:tcPr>
          <w:p w14:paraId="1EF4A805"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c>
          <w:tcPr>
            <w:tcW w:w="1134" w:type="dxa"/>
            <w:vAlign w:val="center"/>
          </w:tcPr>
          <w:p w14:paraId="2ADE84CF"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0</w:t>
            </w:r>
          </w:p>
        </w:tc>
      </w:tr>
      <w:tr w:rsidR="00CC0982" w14:paraId="586705D0" w14:textId="77777777" w:rsidTr="00F34AD5">
        <w:tc>
          <w:tcPr>
            <w:tcW w:w="1702" w:type="dxa"/>
            <w:vAlign w:val="center"/>
          </w:tcPr>
          <w:p w14:paraId="686D41DF"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6. Detalizēts ieņēmumu un izdevumu aprēķins (ja nepieciešams, detalizētu ieņēmumu un izdevumu aprēķinu var pievienot anotācijas pielikumā)</w:t>
            </w:r>
          </w:p>
        </w:tc>
        <w:tc>
          <w:tcPr>
            <w:tcW w:w="7512" w:type="dxa"/>
            <w:gridSpan w:val="7"/>
            <w:vMerge w:val="restart"/>
            <w:shd w:val="clear" w:color="auto" w:fill="auto"/>
          </w:tcPr>
          <w:p w14:paraId="3403DE8A" w14:textId="0EEABB0F" w:rsidR="00ED33F8" w:rsidRPr="00C6089E" w:rsidRDefault="00A52304" w:rsidP="00C6089E">
            <w:pPr>
              <w:pStyle w:val="tv213"/>
              <w:tabs>
                <w:tab w:val="left" w:pos="709"/>
              </w:tabs>
              <w:spacing w:before="0" w:beforeAutospacing="0" w:after="0" w:afterAutospacing="0"/>
              <w:ind w:firstLine="709"/>
              <w:jc w:val="both"/>
              <w:rPr>
                <w:color w:val="FF0000"/>
                <w:sz w:val="26"/>
                <w:szCs w:val="26"/>
                <w:shd w:val="clear" w:color="auto" w:fill="FFFFFF"/>
              </w:rPr>
            </w:pPr>
            <w:r w:rsidRPr="00174EFB">
              <w:rPr>
                <w:sz w:val="26"/>
                <w:szCs w:val="26"/>
              </w:rPr>
              <w:t xml:space="preserve">     </w:t>
            </w:r>
            <w:r w:rsidR="00ED33F8" w:rsidRPr="007B7D5F">
              <w:rPr>
                <w:sz w:val="26"/>
                <w:szCs w:val="26"/>
              </w:rPr>
              <w:t xml:space="preserve">Rīkojuma projekts paredz Finanšu ministrijai no valsts budžeta programmas 02.00.00 “Līdzekļi neparedzētiem gadījumiem” piešķirt Veselības ministrijai (Nacionālajam veselības dienestam) finansējumu, kas nepārsniedz </w:t>
            </w:r>
            <w:r w:rsidR="00174EFB">
              <w:rPr>
                <w:b/>
                <w:bCs/>
                <w:sz w:val="26"/>
                <w:szCs w:val="26"/>
              </w:rPr>
              <w:t>2 054 926</w:t>
            </w:r>
            <w:r w:rsidR="00ED33F8" w:rsidRPr="007B7D5F">
              <w:rPr>
                <w:b/>
                <w:bCs/>
                <w:sz w:val="26"/>
                <w:szCs w:val="26"/>
              </w:rPr>
              <w:t xml:space="preserve"> </w:t>
            </w:r>
            <w:r w:rsidR="00ED33F8" w:rsidRPr="007B7D5F">
              <w:rPr>
                <w:b/>
                <w:bCs/>
                <w:i/>
                <w:iCs/>
                <w:sz w:val="26"/>
                <w:szCs w:val="26"/>
              </w:rPr>
              <w:t>euro</w:t>
            </w:r>
            <w:r w:rsidR="00ED33F8" w:rsidRPr="007B7D5F">
              <w:rPr>
                <w:sz w:val="26"/>
                <w:szCs w:val="26"/>
              </w:rPr>
              <w:t xml:space="preserve">, </w:t>
            </w:r>
            <w:r w:rsidR="007858DF" w:rsidRPr="00873B9A">
              <w:rPr>
                <w:rFonts w:eastAsia="Calibri"/>
                <w:sz w:val="26"/>
                <w:szCs w:val="26"/>
                <w:lang w:eastAsia="en-US"/>
              </w:rPr>
              <w:t>lai nodrošinātu zāļu krājumus ārstniecības iestādēm Covid-19 infekcijas izplatības laikā valstī</w:t>
            </w:r>
            <w:r w:rsidR="00C6089E" w:rsidRPr="00873B9A">
              <w:rPr>
                <w:sz w:val="26"/>
                <w:szCs w:val="26"/>
                <w:shd w:val="clear" w:color="auto" w:fill="FFFFFF"/>
              </w:rPr>
              <w:t xml:space="preserve"> </w:t>
            </w:r>
            <w:r w:rsidR="006E32A9" w:rsidRPr="00C6089E">
              <w:rPr>
                <w:color w:val="000000"/>
                <w:sz w:val="26"/>
                <w:szCs w:val="26"/>
                <w:shd w:val="clear" w:color="auto" w:fill="FFFFFF"/>
              </w:rPr>
              <w:t>(skat., anotācijas pielikumu).</w:t>
            </w:r>
          </w:p>
          <w:p w14:paraId="0CD41E1F" w14:textId="77777777" w:rsidR="002F0AB1" w:rsidRDefault="00710C61" w:rsidP="006A1867">
            <w:pPr>
              <w:pStyle w:val="tv213"/>
              <w:tabs>
                <w:tab w:val="left" w:pos="709"/>
              </w:tabs>
              <w:spacing w:before="0" w:beforeAutospacing="0" w:after="0" w:afterAutospacing="0"/>
              <w:ind w:firstLine="888"/>
              <w:jc w:val="both"/>
              <w:rPr>
                <w:color w:val="000000"/>
                <w:sz w:val="26"/>
                <w:szCs w:val="26"/>
                <w:shd w:val="clear" w:color="auto" w:fill="FFFFFF"/>
              </w:rPr>
            </w:pPr>
            <w:r w:rsidRPr="007B7D5F">
              <w:rPr>
                <w:color w:val="000000"/>
                <w:sz w:val="26"/>
                <w:szCs w:val="26"/>
                <w:shd w:val="clear" w:color="auto" w:fill="FFFFFF"/>
              </w:rPr>
              <w:t xml:space="preserve">  Veselības ministrija normatīvajos aktos noteiktajā kārtībā sagatavos un iesniegs Finanšu ministrijā pieprasījumu par šā rīkojuma 1.punktā minēto līdzekļu piešķiršanu no līdzekļiem neparedzētiem gadījumiem atbilstoši faktiski nepieciešamajam apmēram.</w:t>
            </w:r>
          </w:p>
          <w:p w14:paraId="76E20858" w14:textId="36B7D489" w:rsidR="00F35602" w:rsidRPr="00F35602" w:rsidRDefault="00F35602" w:rsidP="006A1867">
            <w:pPr>
              <w:pStyle w:val="tv213"/>
              <w:tabs>
                <w:tab w:val="left" w:pos="709"/>
              </w:tabs>
              <w:spacing w:before="0" w:beforeAutospacing="0" w:after="0" w:afterAutospacing="0"/>
              <w:ind w:firstLine="888"/>
              <w:jc w:val="both"/>
              <w:rPr>
                <w:color w:val="000000"/>
                <w:sz w:val="26"/>
                <w:szCs w:val="26"/>
                <w:shd w:val="clear" w:color="auto" w:fill="FFFFFF"/>
              </w:rPr>
            </w:pPr>
            <w:r w:rsidRPr="00F35602">
              <w:rPr>
                <w:color w:val="000000"/>
                <w:sz w:val="26"/>
                <w:szCs w:val="26"/>
                <w:shd w:val="clear" w:color="auto" w:fill="FFFFFF"/>
              </w:rPr>
              <w:t>Finanšu ministrs normatīvajos aktos noteiktajā kārtībā informēs Saeimas Budžeta un finanšu (nodokļu) komisiju par šā rīkojuma 1.punktā minētajām apropriācijas izmaiņām un, ja Saeimas Budžeta un finanšu (nodokļu) komisija piecu darbdienu laikā no attiecīgās informācijas saņemšanas dienas nav iebildusi pret apropriācijas izmaiņām, veiks apropriācijas izmaiņas.</w:t>
            </w:r>
          </w:p>
        </w:tc>
      </w:tr>
      <w:tr w:rsidR="00CC0982" w14:paraId="4BDB2690" w14:textId="77777777" w:rsidTr="00F34AD5">
        <w:tc>
          <w:tcPr>
            <w:tcW w:w="1702" w:type="dxa"/>
            <w:vAlign w:val="center"/>
          </w:tcPr>
          <w:p w14:paraId="0356E17F"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6.1. detalizēts ieņēmumu aprēķins</w:t>
            </w:r>
          </w:p>
        </w:tc>
        <w:tc>
          <w:tcPr>
            <w:tcW w:w="7512" w:type="dxa"/>
            <w:gridSpan w:val="7"/>
            <w:vMerge/>
            <w:shd w:val="clear" w:color="auto" w:fill="auto"/>
            <w:vAlign w:val="center"/>
          </w:tcPr>
          <w:p w14:paraId="37156BF3" w14:textId="77777777" w:rsidR="00CC0982" w:rsidRPr="00EC6E12" w:rsidRDefault="00CC0982" w:rsidP="00CC0982">
            <w:pPr>
              <w:pStyle w:val="NoSpacing"/>
              <w:rPr>
                <w:rFonts w:ascii="Times New Roman" w:hAnsi="Times New Roman" w:cs="Times New Roman"/>
                <w:iCs/>
                <w:sz w:val="24"/>
                <w:szCs w:val="24"/>
                <w:lang w:eastAsia="lv-LV"/>
              </w:rPr>
            </w:pPr>
          </w:p>
        </w:tc>
      </w:tr>
      <w:tr w:rsidR="00CC0982" w14:paraId="7654C483" w14:textId="77777777" w:rsidTr="00F34AD5">
        <w:tc>
          <w:tcPr>
            <w:tcW w:w="1702" w:type="dxa"/>
            <w:vAlign w:val="center"/>
          </w:tcPr>
          <w:p w14:paraId="3163419F"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6.2. detalizēts izdevumu aprēķins</w:t>
            </w:r>
          </w:p>
        </w:tc>
        <w:tc>
          <w:tcPr>
            <w:tcW w:w="7512" w:type="dxa"/>
            <w:gridSpan w:val="7"/>
            <w:vMerge/>
            <w:shd w:val="clear" w:color="auto" w:fill="auto"/>
            <w:vAlign w:val="center"/>
          </w:tcPr>
          <w:p w14:paraId="47D94C66" w14:textId="77777777" w:rsidR="00CC0982" w:rsidRPr="00EC6E12" w:rsidRDefault="00CC0982" w:rsidP="00CC0982">
            <w:pPr>
              <w:pStyle w:val="NoSpacing"/>
              <w:rPr>
                <w:rFonts w:ascii="Times New Roman" w:hAnsi="Times New Roman" w:cs="Times New Roman"/>
                <w:iCs/>
                <w:sz w:val="24"/>
                <w:szCs w:val="24"/>
                <w:lang w:eastAsia="lv-LV"/>
              </w:rPr>
            </w:pPr>
          </w:p>
        </w:tc>
      </w:tr>
      <w:tr w:rsidR="00CC0982" w14:paraId="65153D26" w14:textId="77777777" w:rsidTr="00F34AD5">
        <w:tc>
          <w:tcPr>
            <w:tcW w:w="1702" w:type="dxa"/>
            <w:vAlign w:val="center"/>
          </w:tcPr>
          <w:p w14:paraId="2D03BF2A"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7. Amata vietu skaita izmaiņas</w:t>
            </w:r>
          </w:p>
        </w:tc>
        <w:tc>
          <w:tcPr>
            <w:tcW w:w="7512" w:type="dxa"/>
            <w:gridSpan w:val="7"/>
            <w:vAlign w:val="center"/>
          </w:tcPr>
          <w:p w14:paraId="03C9858E" w14:textId="77777777" w:rsidR="00CC0982" w:rsidRPr="007B7D5F" w:rsidRDefault="00CC0982" w:rsidP="00CC0982">
            <w:pPr>
              <w:pStyle w:val="NoSpacing"/>
              <w:rPr>
                <w:rFonts w:ascii="Times New Roman" w:hAnsi="Times New Roman" w:cs="Times New Roman"/>
                <w:iCs/>
                <w:sz w:val="26"/>
                <w:szCs w:val="26"/>
                <w:lang w:eastAsia="lv-LV"/>
              </w:rPr>
            </w:pPr>
            <w:r w:rsidRPr="007B7D5F">
              <w:rPr>
                <w:rFonts w:ascii="Times New Roman" w:hAnsi="Times New Roman" w:cs="Times New Roman"/>
                <w:sz w:val="26"/>
                <w:szCs w:val="26"/>
              </w:rPr>
              <w:t>Projekts šo jomu neskar.</w:t>
            </w:r>
          </w:p>
        </w:tc>
      </w:tr>
      <w:tr w:rsidR="00CC0982" w14:paraId="53E1DFB6" w14:textId="77777777" w:rsidTr="00F34AD5">
        <w:tc>
          <w:tcPr>
            <w:tcW w:w="1702" w:type="dxa"/>
            <w:vAlign w:val="center"/>
          </w:tcPr>
          <w:p w14:paraId="7AD7CD38" w14:textId="77777777" w:rsidR="00CC0982" w:rsidRPr="007B7D5F" w:rsidRDefault="00CC0982" w:rsidP="00CC0982">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8. Cita informācija</w:t>
            </w:r>
          </w:p>
        </w:tc>
        <w:tc>
          <w:tcPr>
            <w:tcW w:w="7512" w:type="dxa"/>
            <w:gridSpan w:val="7"/>
            <w:vAlign w:val="center"/>
          </w:tcPr>
          <w:p w14:paraId="43E8C532" w14:textId="77777777" w:rsidR="00CC0982" w:rsidRPr="007B7D5F" w:rsidRDefault="00CC0982" w:rsidP="006E32A9">
            <w:pPr>
              <w:pStyle w:val="NoSpacing"/>
              <w:jc w:val="both"/>
              <w:rPr>
                <w:rFonts w:ascii="Times New Roman" w:hAnsi="Times New Roman" w:cs="Times New Roman"/>
                <w:iCs/>
                <w:sz w:val="26"/>
                <w:szCs w:val="26"/>
                <w:lang w:eastAsia="lv-LV"/>
              </w:rPr>
            </w:pPr>
            <w:r w:rsidRPr="007B7D5F">
              <w:rPr>
                <w:rFonts w:ascii="Times New Roman" w:hAnsi="Times New Roman" w:cs="Times New Roman"/>
                <w:sz w:val="26"/>
                <w:szCs w:val="26"/>
              </w:rPr>
              <w:t>Izdevumi tiks veikti Veselības ministrijas budžeta programmas 99.00.00 “Līdzekļu neparedzētiem gadījumiem izlietojums” ietvaros.</w:t>
            </w:r>
          </w:p>
        </w:tc>
      </w:tr>
    </w:tbl>
    <w:p w14:paraId="1B502D13" w14:textId="77777777" w:rsidR="00E5323B" w:rsidRDefault="00E5323B" w:rsidP="00EC6E12">
      <w:pPr>
        <w:pStyle w:val="NoSpacing"/>
        <w:rPr>
          <w:rFonts w:ascii="Times New Roman" w:hAnsi="Times New Roman" w:cs="Times New Roman"/>
          <w:iCs/>
          <w:sz w:val="24"/>
          <w:szCs w:val="24"/>
          <w:lang w:eastAsia="lv-LV"/>
        </w:rPr>
      </w:pPr>
    </w:p>
    <w:p w14:paraId="6DDDF137" w14:textId="77777777" w:rsidR="004F4293" w:rsidRDefault="004F4293" w:rsidP="00EC6E12">
      <w:pPr>
        <w:pStyle w:val="NoSpacing"/>
        <w:rPr>
          <w:rFonts w:ascii="Times New Roman" w:hAnsi="Times New Roman" w:cs="Times New Roman"/>
          <w:iCs/>
          <w:sz w:val="24"/>
          <w:szCs w:val="24"/>
          <w:lang w:eastAsia="lv-LV"/>
        </w:rPr>
      </w:pPr>
      <w:bookmarkStart w:id="0" w:name="_GoBack"/>
      <w:bookmarkEnd w:id="0"/>
    </w:p>
    <w:tbl>
      <w:tblPr>
        <w:tblStyle w:val="TableGrid"/>
        <w:tblW w:w="9214" w:type="dxa"/>
        <w:tblInd w:w="-147" w:type="dxa"/>
        <w:tblLook w:val="04A0" w:firstRow="1" w:lastRow="0" w:firstColumn="1" w:lastColumn="0" w:noHBand="0" w:noVBand="1"/>
      </w:tblPr>
      <w:tblGrid>
        <w:gridCol w:w="9214"/>
      </w:tblGrid>
      <w:tr w:rsidR="007F6F87" w:rsidRPr="007B7D5F" w14:paraId="033A9DC3" w14:textId="77777777" w:rsidTr="00AE7E7D">
        <w:tc>
          <w:tcPr>
            <w:tcW w:w="9214" w:type="dxa"/>
          </w:tcPr>
          <w:p w14:paraId="767BB779" w14:textId="77777777" w:rsidR="007F6F87" w:rsidRPr="007B7D5F" w:rsidRDefault="007F6F87" w:rsidP="003903BF">
            <w:pPr>
              <w:pStyle w:val="NoSpacing"/>
              <w:jc w:val="center"/>
              <w:rPr>
                <w:rFonts w:ascii="Times New Roman" w:hAnsi="Times New Roman" w:cs="Times New Roman"/>
                <w:b/>
                <w:sz w:val="26"/>
                <w:szCs w:val="26"/>
                <w:lang w:eastAsia="lv-LV"/>
              </w:rPr>
            </w:pPr>
            <w:r w:rsidRPr="007B7D5F">
              <w:rPr>
                <w:rFonts w:ascii="Times New Roman" w:hAnsi="Times New Roman" w:cs="Times New Roman"/>
                <w:b/>
                <w:iCs/>
                <w:sz w:val="26"/>
                <w:szCs w:val="26"/>
                <w:lang w:eastAsia="lv-LV"/>
              </w:rPr>
              <w:lastRenderedPageBreak/>
              <w:t>IV. Tiesību akta projekta ietekme uz spēkā esošo tiesību normu sistēmu</w:t>
            </w:r>
          </w:p>
        </w:tc>
      </w:tr>
      <w:tr w:rsidR="007F6F87" w:rsidRPr="007B7D5F" w14:paraId="25AE6611" w14:textId="77777777" w:rsidTr="00AE7E7D">
        <w:tc>
          <w:tcPr>
            <w:tcW w:w="9214" w:type="dxa"/>
          </w:tcPr>
          <w:p w14:paraId="7AC2FE9A" w14:textId="77777777" w:rsidR="007F6F87" w:rsidRPr="007B7D5F" w:rsidRDefault="007F6F87" w:rsidP="003903BF">
            <w:pPr>
              <w:pStyle w:val="NoSpacing"/>
              <w:jc w:val="center"/>
              <w:rPr>
                <w:rFonts w:ascii="Times New Roman" w:hAnsi="Times New Roman" w:cs="Times New Roman"/>
                <w:sz w:val="26"/>
                <w:szCs w:val="26"/>
                <w:lang w:eastAsia="lv-LV"/>
              </w:rPr>
            </w:pPr>
            <w:r w:rsidRPr="007B7D5F">
              <w:rPr>
                <w:rFonts w:ascii="Times New Roman" w:hAnsi="Times New Roman" w:cs="Times New Roman"/>
                <w:sz w:val="26"/>
                <w:szCs w:val="26"/>
                <w:lang w:eastAsia="lv-LV"/>
              </w:rPr>
              <w:t>Projekts šo jomu neskar</w:t>
            </w:r>
            <w:r w:rsidR="007272A8" w:rsidRPr="007B7D5F">
              <w:rPr>
                <w:rFonts w:ascii="Times New Roman" w:hAnsi="Times New Roman" w:cs="Times New Roman"/>
                <w:sz w:val="26"/>
                <w:szCs w:val="26"/>
                <w:lang w:eastAsia="lv-LV"/>
              </w:rPr>
              <w:t>.</w:t>
            </w:r>
          </w:p>
        </w:tc>
      </w:tr>
    </w:tbl>
    <w:p w14:paraId="2E8E57FE"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214" w:type="dxa"/>
        <w:tblInd w:w="-147" w:type="dxa"/>
        <w:tblLook w:val="04A0" w:firstRow="1" w:lastRow="0" w:firstColumn="1" w:lastColumn="0" w:noHBand="0" w:noVBand="1"/>
      </w:tblPr>
      <w:tblGrid>
        <w:gridCol w:w="9214"/>
      </w:tblGrid>
      <w:tr w:rsidR="007F6F87" w:rsidRPr="007B7D5F" w14:paraId="1771E4E9" w14:textId="77777777" w:rsidTr="00AE7E7D">
        <w:tc>
          <w:tcPr>
            <w:tcW w:w="9214" w:type="dxa"/>
          </w:tcPr>
          <w:p w14:paraId="25D27F7F" w14:textId="77777777" w:rsidR="007F6F87" w:rsidRPr="007B7D5F" w:rsidRDefault="007F6F87" w:rsidP="003903BF">
            <w:pPr>
              <w:pStyle w:val="NoSpacing"/>
              <w:jc w:val="center"/>
              <w:rPr>
                <w:rFonts w:ascii="Times New Roman" w:hAnsi="Times New Roman" w:cs="Times New Roman"/>
                <w:b/>
                <w:sz w:val="26"/>
                <w:szCs w:val="26"/>
                <w:lang w:eastAsia="lv-LV"/>
              </w:rPr>
            </w:pPr>
            <w:r w:rsidRPr="007B7D5F">
              <w:rPr>
                <w:rFonts w:ascii="Times New Roman" w:hAnsi="Times New Roman" w:cs="Times New Roman"/>
                <w:b/>
                <w:iCs/>
                <w:sz w:val="26"/>
                <w:szCs w:val="26"/>
                <w:lang w:eastAsia="lv-LV"/>
              </w:rPr>
              <w:t>V. Tiesību akta projekta atbilstība Latvijas Republikas starptautiskajām saistībām</w:t>
            </w:r>
          </w:p>
        </w:tc>
      </w:tr>
      <w:tr w:rsidR="007F6F87" w:rsidRPr="007B7D5F" w14:paraId="26D3FDF6" w14:textId="77777777" w:rsidTr="00AE7E7D">
        <w:tc>
          <w:tcPr>
            <w:tcW w:w="9214" w:type="dxa"/>
          </w:tcPr>
          <w:p w14:paraId="076773D9" w14:textId="77777777" w:rsidR="007F6F87" w:rsidRPr="007B7D5F" w:rsidRDefault="007F6F87" w:rsidP="003903BF">
            <w:pPr>
              <w:pStyle w:val="NoSpacing"/>
              <w:jc w:val="center"/>
              <w:rPr>
                <w:rFonts w:ascii="Times New Roman" w:hAnsi="Times New Roman" w:cs="Times New Roman"/>
                <w:sz w:val="26"/>
                <w:szCs w:val="26"/>
                <w:lang w:eastAsia="lv-LV"/>
              </w:rPr>
            </w:pPr>
            <w:r w:rsidRPr="007B7D5F">
              <w:rPr>
                <w:rFonts w:ascii="Times New Roman" w:hAnsi="Times New Roman" w:cs="Times New Roman"/>
                <w:sz w:val="26"/>
                <w:szCs w:val="26"/>
                <w:lang w:eastAsia="lv-LV"/>
              </w:rPr>
              <w:t>Projekts šo jomu neskar</w:t>
            </w:r>
            <w:r w:rsidR="007272A8" w:rsidRPr="007B7D5F">
              <w:rPr>
                <w:rFonts w:ascii="Times New Roman" w:hAnsi="Times New Roman" w:cs="Times New Roman"/>
                <w:sz w:val="26"/>
                <w:szCs w:val="26"/>
                <w:lang w:eastAsia="lv-LV"/>
              </w:rPr>
              <w:t>.</w:t>
            </w:r>
          </w:p>
        </w:tc>
      </w:tr>
    </w:tbl>
    <w:p w14:paraId="2DC28DB3" w14:textId="77777777" w:rsidR="007F6F87" w:rsidRDefault="007F6F87" w:rsidP="00EC6E12">
      <w:pPr>
        <w:pStyle w:val="NoSpacing"/>
        <w:rPr>
          <w:rFonts w:ascii="Times New Roman" w:hAnsi="Times New Roman" w:cs="Times New Roman"/>
          <w:iCs/>
          <w:sz w:val="24"/>
          <w:szCs w:val="24"/>
          <w:lang w:eastAsia="lv-LV"/>
        </w:rPr>
      </w:pPr>
    </w:p>
    <w:tbl>
      <w:tblPr>
        <w:tblStyle w:val="TableGrid"/>
        <w:tblW w:w="9214" w:type="dxa"/>
        <w:tblInd w:w="-147" w:type="dxa"/>
        <w:tblLook w:val="04A0" w:firstRow="1" w:lastRow="0" w:firstColumn="1" w:lastColumn="0" w:noHBand="0" w:noVBand="1"/>
      </w:tblPr>
      <w:tblGrid>
        <w:gridCol w:w="9214"/>
      </w:tblGrid>
      <w:tr w:rsidR="007F6F87" w:rsidRPr="007B7D5F" w14:paraId="1E864C7F" w14:textId="77777777" w:rsidTr="00AE7E7D">
        <w:tc>
          <w:tcPr>
            <w:tcW w:w="9214" w:type="dxa"/>
          </w:tcPr>
          <w:p w14:paraId="1BC2E2DF" w14:textId="77777777" w:rsidR="007F6F87" w:rsidRPr="007B7D5F" w:rsidRDefault="007F6F87" w:rsidP="003903BF">
            <w:pPr>
              <w:pStyle w:val="NoSpacing"/>
              <w:jc w:val="center"/>
              <w:rPr>
                <w:rFonts w:ascii="Times New Roman" w:hAnsi="Times New Roman" w:cs="Times New Roman"/>
                <w:b/>
                <w:sz w:val="26"/>
                <w:szCs w:val="26"/>
                <w:lang w:eastAsia="lv-LV"/>
              </w:rPr>
            </w:pPr>
            <w:r w:rsidRPr="007B7D5F">
              <w:rPr>
                <w:rFonts w:ascii="Times New Roman" w:hAnsi="Times New Roman" w:cs="Times New Roman"/>
                <w:b/>
                <w:iCs/>
                <w:sz w:val="26"/>
                <w:szCs w:val="26"/>
                <w:lang w:eastAsia="lv-LV"/>
              </w:rPr>
              <w:t>VI. Sabiedrības līdzdalība un komunikācijas aktivitātes</w:t>
            </w:r>
          </w:p>
        </w:tc>
      </w:tr>
      <w:tr w:rsidR="007F6F87" w:rsidRPr="007B7D5F" w14:paraId="7E9EA0D2" w14:textId="77777777" w:rsidTr="00AE7E7D">
        <w:tc>
          <w:tcPr>
            <w:tcW w:w="9214" w:type="dxa"/>
          </w:tcPr>
          <w:p w14:paraId="2131628E" w14:textId="77777777" w:rsidR="007F6F87" w:rsidRPr="007B7D5F" w:rsidRDefault="007F6F87" w:rsidP="003903BF">
            <w:pPr>
              <w:pStyle w:val="NoSpacing"/>
              <w:jc w:val="center"/>
              <w:rPr>
                <w:rFonts w:ascii="Times New Roman" w:hAnsi="Times New Roman" w:cs="Times New Roman"/>
                <w:sz w:val="26"/>
                <w:szCs w:val="26"/>
                <w:lang w:eastAsia="lv-LV"/>
              </w:rPr>
            </w:pPr>
            <w:r w:rsidRPr="007B7D5F">
              <w:rPr>
                <w:rFonts w:ascii="Times New Roman" w:hAnsi="Times New Roman" w:cs="Times New Roman"/>
                <w:sz w:val="26"/>
                <w:szCs w:val="26"/>
                <w:lang w:eastAsia="lv-LV"/>
              </w:rPr>
              <w:t>Projekts šo jomu neskar</w:t>
            </w:r>
            <w:r w:rsidR="007272A8" w:rsidRPr="007B7D5F">
              <w:rPr>
                <w:rFonts w:ascii="Times New Roman" w:hAnsi="Times New Roman" w:cs="Times New Roman"/>
                <w:sz w:val="26"/>
                <w:szCs w:val="26"/>
                <w:lang w:eastAsia="lv-LV"/>
              </w:rPr>
              <w:t>.</w:t>
            </w:r>
          </w:p>
        </w:tc>
      </w:tr>
    </w:tbl>
    <w:p w14:paraId="268CA42F" w14:textId="77777777" w:rsidR="007F6F87" w:rsidRPr="00EC6E12"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w:t>
      </w:r>
    </w:p>
    <w:tbl>
      <w:tblPr>
        <w:tblStyle w:val="TableGrid"/>
        <w:tblW w:w="9214" w:type="dxa"/>
        <w:tblInd w:w="-147" w:type="dxa"/>
        <w:tblLook w:val="04A0" w:firstRow="1" w:lastRow="0" w:firstColumn="1" w:lastColumn="0" w:noHBand="0" w:noVBand="1"/>
      </w:tblPr>
      <w:tblGrid>
        <w:gridCol w:w="568"/>
        <w:gridCol w:w="3260"/>
        <w:gridCol w:w="5386"/>
      </w:tblGrid>
      <w:tr w:rsidR="007F6F87" w:rsidRPr="007B7D5F" w14:paraId="55BAB49E" w14:textId="77777777" w:rsidTr="00AE7E7D">
        <w:tc>
          <w:tcPr>
            <w:tcW w:w="9214" w:type="dxa"/>
            <w:gridSpan w:val="3"/>
          </w:tcPr>
          <w:p w14:paraId="7C835758" w14:textId="77777777" w:rsidR="007F6F87" w:rsidRPr="007B7D5F" w:rsidRDefault="007F6F87" w:rsidP="003903BF">
            <w:pPr>
              <w:pStyle w:val="NoSpacing"/>
              <w:jc w:val="center"/>
              <w:rPr>
                <w:rFonts w:ascii="Times New Roman" w:hAnsi="Times New Roman" w:cs="Times New Roman"/>
                <w:b/>
                <w:sz w:val="26"/>
                <w:szCs w:val="26"/>
                <w:lang w:eastAsia="lv-LV"/>
              </w:rPr>
            </w:pPr>
            <w:r w:rsidRPr="007B7D5F">
              <w:rPr>
                <w:rFonts w:ascii="Times New Roman" w:hAnsi="Times New Roman" w:cs="Times New Roman"/>
                <w:b/>
                <w:iCs/>
                <w:sz w:val="26"/>
                <w:szCs w:val="26"/>
                <w:lang w:eastAsia="lv-LV"/>
              </w:rPr>
              <w:t>VII. Tiesību akta projekta izpildes nodrošināšana un tās ietekme uz institūcijām</w:t>
            </w:r>
          </w:p>
        </w:tc>
      </w:tr>
      <w:tr w:rsidR="0049601C" w:rsidRPr="007B7D5F" w14:paraId="1C9407B4" w14:textId="77777777" w:rsidTr="00AE7E7D">
        <w:tc>
          <w:tcPr>
            <w:tcW w:w="568" w:type="dxa"/>
          </w:tcPr>
          <w:p w14:paraId="76AFEFBB" w14:textId="77777777" w:rsidR="0049601C" w:rsidRPr="007B7D5F" w:rsidRDefault="0049601C" w:rsidP="0049601C">
            <w:pPr>
              <w:pStyle w:val="NoSpacing"/>
              <w:jc w:val="center"/>
              <w:rPr>
                <w:rFonts w:ascii="Times New Roman" w:hAnsi="Times New Roman" w:cs="Times New Roman"/>
                <w:sz w:val="26"/>
                <w:szCs w:val="26"/>
                <w:lang w:eastAsia="lv-LV"/>
              </w:rPr>
            </w:pPr>
            <w:r w:rsidRPr="007B7D5F">
              <w:rPr>
                <w:rFonts w:ascii="Times New Roman" w:hAnsi="Times New Roman" w:cs="Times New Roman"/>
                <w:sz w:val="26"/>
                <w:szCs w:val="26"/>
                <w:lang w:eastAsia="lv-LV"/>
              </w:rPr>
              <w:t>1.</w:t>
            </w:r>
          </w:p>
        </w:tc>
        <w:tc>
          <w:tcPr>
            <w:tcW w:w="3260" w:type="dxa"/>
          </w:tcPr>
          <w:p w14:paraId="568CCD12" w14:textId="77777777" w:rsidR="0049601C" w:rsidRPr="007B7D5F" w:rsidRDefault="0049601C" w:rsidP="0049601C">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Projekta izpildē iesaistītās institūcijas</w:t>
            </w:r>
          </w:p>
        </w:tc>
        <w:tc>
          <w:tcPr>
            <w:tcW w:w="5386" w:type="dxa"/>
          </w:tcPr>
          <w:p w14:paraId="72A41A5B" w14:textId="44731372" w:rsidR="0049601C" w:rsidRPr="007B7D5F" w:rsidRDefault="0056229B" w:rsidP="0049601C">
            <w:pPr>
              <w:jc w:val="both"/>
              <w:rPr>
                <w:sz w:val="26"/>
                <w:szCs w:val="26"/>
              </w:rPr>
            </w:pPr>
            <w:r w:rsidRPr="007B7D5F">
              <w:rPr>
                <w:sz w:val="26"/>
                <w:szCs w:val="26"/>
              </w:rPr>
              <w:t xml:space="preserve">Veselības ministrija, </w:t>
            </w:r>
            <w:r w:rsidR="00502D57" w:rsidRPr="007B7D5F">
              <w:rPr>
                <w:sz w:val="26"/>
                <w:szCs w:val="26"/>
              </w:rPr>
              <w:t xml:space="preserve">Nacionālais veselības dienests, </w:t>
            </w:r>
            <w:r w:rsidR="00174EFB" w:rsidRPr="00174EFB">
              <w:rPr>
                <w:sz w:val="26"/>
                <w:szCs w:val="26"/>
              </w:rPr>
              <w:t>Zāļu valsts aģentūra</w:t>
            </w:r>
            <w:r w:rsidR="00174EFB">
              <w:rPr>
                <w:sz w:val="26"/>
                <w:szCs w:val="26"/>
              </w:rPr>
              <w:t xml:space="preserve">. </w:t>
            </w:r>
          </w:p>
        </w:tc>
      </w:tr>
      <w:tr w:rsidR="0049601C" w:rsidRPr="007B7D5F" w14:paraId="728DB9C1" w14:textId="77777777" w:rsidTr="00AE7E7D">
        <w:tc>
          <w:tcPr>
            <w:tcW w:w="568" w:type="dxa"/>
          </w:tcPr>
          <w:p w14:paraId="75F83491" w14:textId="77777777" w:rsidR="0049601C" w:rsidRPr="007B7D5F" w:rsidRDefault="0049601C" w:rsidP="0049601C">
            <w:pPr>
              <w:pStyle w:val="NoSpacing"/>
              <w:jc w:val="center"/>
              <w:rPr>
                <w:rFonts w:ascii="Times New Roman" w:hAnsi="Times New Roman" w:cs="Times New Roman"/>
                <w:sz w:val="26"/>
                <w:szCs w:val="26"/>
                <w:lang w:eastAsia="lv-LV"/>
              </w:rPr>
            </w:pPr>
            <w:r w:rsidRPr="007B7D5F">
              <w:rPr>
                <w:rFonts w:ascii="Times New Roman" w:hAnsi="Times New Roman" w:cs="Times New Roman"/>
                <w:sz w:val="26"/>
                <w:szCs w:val="26"/>
                <w:lang w:eastAsia="lv-LV"/>
              </w:rPr>
              <w:t>2.</w:t>
            </w:r>
          </w:p>
        </w:tc>
        <w:tc>
          <w:tcPr>
            <w:tcW w:w="3260" w:type="dxa"/>
          </w:tcPr>
          <w:p w14:paraId="4E059703" w14:textId="77777777" w:rsidR="0049601C" w:rsidRPr="007B7D5F" w:rsidRDefault="0049601C" w:rsidP="0049601C">
            <w:pPr>
              <w:pStyle w:val="NoSpacing"/>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Projekta izpildes ietekme uz pārvaldes funkcijām un institucionālo struktūru.</w:t>
            </w:r>
            <w:r w:rsidRPr="007B7D5F">
              <w:rPr>
                <w:rFonts w:ascii="Times New Roman" w:hAnsi="Times New Roman" w:cs="Times New Roman"/>
                <w:iCs/>
                <w:sz w:val="26"/>
                <w:szCs w:val="26"/>
                <w:lang w:eastAsia="lv-LV"/>
              </w:rPr>
              <w:br/>
              <w:t>Jaunu institūciju izveide, esošu institūciju likvidācija vai reorganizācija, to ietekme uz institūcijas cilvēkresursiem</w:t>
            </w:r>
          </w:p>
        </w:tc>
        <w:tc>
          <w:tcPr>
            <w:tcW w:w="5386" w:type="dxa"/>
          </w:tcPr>
          <w:p w14:paraId="477F1D24" w14:textId="77777777" w:rsidR="0049601C" w:rsidRPr="007B7D5F" w:rsidRDefault="0049601C" w:rsidP="0049601C">
            <w:pPr>
              <w:rPr>
                <w:sz w:val="26"/>
                <w:szCs w:val="26"/>
              </w:rPr>
            </w:pPr>
            <w:r w:rsidRPr="007B7D5F">
              <w:rPr>
                <w:sz w:val="26"/>
                <w:szCs w:val="26"/>
              </w:rPr>
              <w:t>Projekts šo jomu neskar.</w:t>
            </w:r>
          </w:p>
        </w:tc>
      </w:tr>
      <w:tr w:rsidR="0049601C" w:rsidRPr="007B7D5F" w14:paraId="35EB7BB4" w14:textId="77777777" w:rsidTr="00AE7E7D">
        <w:tc>
          <w:tcPr>
            <w:tcW w:w="568" w:type="dxa"/>
          </w:tcPr>
          <w:p w14:paraId="421C0C7C" w14:textId="77777777" w:rsidR="0049601C" w:rsidRPr="007B7D5F" w:rsidRDefault="0049601C" w:rsidP="0049601C">
            <w:pPr>
              <w:pStyle w:val="NoSpacing"/>
              <w:jc w:val="center"/>
              <w:rPr>
                <w:rFonts w:ascii="Times New Roman" w:hAnsi="Times New Roman" w:cs="Times New Roman"/>
                <w:sz w:val="26"/>
                <w:szCs w:val="26"/>
                <w:lang w:eastAsia="lv-LV"/>
              </w:rPr>
            </w:pPr>
            <w:r w:rsidRPr="007B7D5F">
              <w:rPr>
                <w:rFonts w:ascii="Times New Roman" w:hAnsi="Times New Roman" w:cs="Times New Roman"/>
                <w:sz w:val="26"/>
                <w:szCs w:val="26"/>
                <w:lang w:eastAsia="lv-LV"/>
              </w:rPr>
              <w:t>3.</w:t>
            </w:r>
          </w:p>
        </w:tc>
        <w:tc>
          <w:tcPr>
            <w:tcW w:w="3260" w:type="dxa"/>
          </w:tcPr>
          <w:p w14:paraId="4917D620" w14:textId="77777777" w:rsidR="0049601C" w:rsidRPr="007B7D5F" w:rsidRDefault="0049601C" w:rsidP="0049601C">
            <w:pPr>
              <w:pStyle w:val="NoSpacing"/>
              <w:jc w:val="both"/>
              <w:rPr>
                <w:rFonts w:ascii="Times New Roman" w:hAnsi="Times New Roman" w:cs="Times New Roman"/>
                <w:iCs/>
                <w:sz w:val="26"/>
                <w:szCs w:val="26"/>
                <w:lang w:eastAsia="lv-LV"/>
              </w:rPr>
            </w:pPr>
            <w:r w:rsidRPr="007B7D5F">
              <w:rPr>
                <w:rFonts w:ascii="Times New Roman" w:hAnsi="Times New Roman" w:cs="Times New Roman"/>
                <w:iCs/>
                <w:sz w:val="26"/>
                <w:szCs w:val="26"/>
                <w:lang w:eastAsia="lv-LV"/>
              </w:rPr>
              <w:t>Cita informācija</w:t>
            </w:r>
          </w:p>
        </w:tc>
        <w:tc>
          <w:tcPr>
            <w:tcW w:w="5386" w:type="dxa"/>
          </w:tcPr>
          <w:p w14:paraId="327E64BD" w14:textId="77777777" w:rsidR="0049601C" w:rsidRPr="007B7D5F" w:rsidRDefault="0049601C" w:rsidP="0049601C">
            <w:pPr>
              <w:pStyle w:val="NoSpacing"/>
              <w:rPr>
                <w:rFonts w:ascii="Times New Roman" w:hAnsi="Times New Roman" w:cs="Times New Roman"/>
                <w:sz w:val="26"/>
                <w:szCs w:val="26"/>
                <w:lang w:eastAsia="lv-LV"/>
              </w:rPr>
            </w:pPr>
            <w:r w:rsidRPr="007B7D5F">
              <w:rPr>
                <w:rFonts w:ascii="Times New Roman" w:hAnsi="Times New Roman" w:cs="Times New Roman"/>
                <w:sz w:val="26"/>
                <w:szCs w:val="26"/>
                <w:lang w:eastAsia="lv-LV"/>
              </w:rPr>
              <w:t>Nav</w:t>
            </w:r>
          </w:p>
        </w:tc>
      </w:tr>
    </w:tbl>
    <w:p w14:paraId="25F58873" w14:textId="77777777" w:rsidR="008B37B7" w:rsidRDefault="00E5323B" w:rsidP="00EC6E12">
      <w:pPr>
        <w:pStyle w:val="NoSpacing"/>
        <w:rPr>
          <w:rFonts w:ascii="Times New Roman" w:hAnsi="Times New Roman" w:cs="Times New Roman"/>
          <w:iCs/>
          <w:sz w:val="24"/>
          <w:szCs w:val="24"/>
          <w:lang w:eastAsia="lv-LV"/>
        </w:rPr>
      </w:pPr>
      <w:r w:rsidRPr="00EC6E12">
        <w:rPr>
          <w:rFonts w:ascii="Times New Roman" w:hAnsi="Times New Roman" w:cs="Times New Roman"/>
          <w:iCs/>
          <w:sz w:val="24"/>
          <w:szCs w:val="24"/>
          <w:lang w:eastAsia="lv-LV"/>
        </w:rPr>
        <w:t xml:space="preserve"> </w:t>
      </w:r>
    </w:p>
    <w:p w14:paraId="5780785F" w14:textId="77777777" w:rsidR="005348A9" w:rsidRPr="007F46C5" w:rsidRDefault="005348A9" w:rsidP="000B6A50">
      <w:pPr>
        <w:pStyle w:val="NormalWeb"/>
        <w:shd w:val="clear" w:color="auto" w:fill="FFFFFF"/>
        <w:spacing w:before="0" w:beforeAutospacing="0" w:after="0" w:afterAutospacing="0"/>
        <w:rPr>
          <w:color w:val="000000"/>
          <w:sz w:val="28"/>
          <w:szCs w:val="28"/>
        </w:rPr>
      </w:pPr>
      <w:r>
        <w:rPr>
          <w:sz w:val="28"/>
          <w:szCs w:val="28"/>
        </w:rPr>
        <w:t xml:space="preserve"> </w:t>
      </w:r>
      <w:r w:rsidRPr="007F46C5">
        <w:rPr>
          <w:color w:val="000000"/>
          <w:sz w:val="28"/>
          <w:szCs w:val="28"/>
        </w:rPr>
        <w:t>Veselības ministr</w:t>
      </w:r>
      <w:r w:rsidR="000B6A50">
        <w:rPr>
          <w:color w:val="000000"/>
          <w:sz w:val="28"/>
          <w:szCs w:val="28"/>
        </w:rPr>
        <w:t xml:space="preserve">e                                                   </w:t>
      </w:r>
      <w:r w:rsidRPr="007F46C5">
        <w:rPr>
          <w:color w:val="000000"/>
          <w:sz w:val="28"/>
          <w:szCs w:val="28"/>
        </w:rPr>
        <w:t>       </w:t>
      </w:r>
      <w:r>
        <w:rPr>
          <w:rFonts w:eastAsia="Calibri"/>
          <w:noProof/>
          <w:sz w:val="20"/>
          <w:szCs w:val="20"/>
          <w:lang w:eastAsia="en-US"/>
        </w:rPr>
        <w:t xml:space="preserve">                        </w:t>
      </w:r>
      <w:r w:rsidR="00585E5D">
        <w:rPr>
          <w:rFonts w:eastAsia="Calibri"/>
          <w:noProof/>
          <w:sz w:val="20"/>
          <w:szCs w:val="20"/>
          <w:lang w:eastAsia="en-US"/>
        </w:rPr>
        <w:t xml:space="preserve">     </w:t>
      </w:r>
      <w:r>
        <w:rPr>
          <w:rFonts w:eastAsia="Calibri"/>
          <w:noProof/>
          <w:sz w:val="20"/>
          <w:szCs w:val="20"/>
          <w:lang w:eastAsia="en-US"/>
        </w:rPr>
        <w:t xml:space="preserve"> </w:t>
      </w:r>
      <w:r w:rsidR="000B6A50">
        <w:rPr>
          <w:color w:val="000000"/>
          <w:sz w:val="28"/>
          <w:szCs w:val="28"/>
        </w:rPr>
        <w:t>I</w:t>
      </w:r>
      <w:r w:rsidR="00585E5D">
        <w:rPr>
          <w:color w:val="000000"/>
          <w:sz w:val="28"/>
          <w:szCs w:val="28"/>
        </w:rPr>
        <w:t>.</w:t>
      </w:r>
      <w:r w:rsidR="000B6A50">
        <w:rPr>
          <w:color w:val="000000"/>
          <w:sz w:val="28"/>
          <w:szCs w:val="28"/>
        </w:rPr>
        <w:t xml:space="preserve"> Viņķele</w:t>
      </w:r>
    </w:p>
    <w:p w14:paraId="7696B11F" w14:textId="77777777" w:rsidR="00DF461F" w:rsidRDefault="00DF461F" w:rsidP="00DF461F">
      <w:pPr>
        <w:ind w:right="-765"/>
        <w:rPr>
          <w:rFonts w:eastAsia="Calibri"/>
          <w:color w:val="000000" w:themeColor="text1"/>
          <w:sz w:val="28"/>
          <w:szCs w:val="28"/>
        </w:rPr>
      </w:pPr>
    </w:p>
    <w:p w14:paraId="0E15DF96" w14:textId="77777777" w:rsidR="00155578" w:rsidRPr="00181467" w:rsidRDefault="005348A9" w:rsidP="00DF461F">
      <w:pPr>
        <w:pStyle w:val="NormalWeb"/>
        <w:spacing w:before="0" w:beforeAutospacing="0" w:after="0" w:afterAutospacing="0"/>
        <w:rPr>
          <w:sz w:val="20"/>
          <w:szCs w:val="20"/>
        </w:rPr>
      </w:pPr>
      <w:r>
        <w:rPr>
          <w:rFonts w:eastAsia="Calibri"/>
          <w:color w:val="000000" w:themeColor="text1"/>
          <w:sz w:val="28"/>
          <w:szCs w:val="28"/>
        </w:rPr>
        <w:t xml:space="preserve"> </w:t>
      </w:r>
      <w:r w:rsidR="00DF461F">
        <w:rPr>
          <w:rFonts w:eastAsia="Calibri"/>
          <w:color w:val="000000" w:themeColor="text1"/>
          <w:sz w:val="28"/>
          <w:szCs w:val="28"/>
        </w:rPr>
        <w:t>Vīza: Valsts sekretār</w:t>
      </w:r>
      <w:r w:rsidR="000B6A50">
        <w:rPr>
          <w:rFonts w:eastAsia="Calibri"/>
          <w:color w:val="000000" w:themeColor="text1"/>
          <w:sz w:val="28"/>
          <w:szCs w:val="28"/>
        </w:rPr>
        <w:t xml:space="preserve">e </w:t>
      </w:r>
      <w:r w:rsidR="00DF461F">
        <w:rPr>
          <w:rFonts w:eastAsia="Calibri"/>
          <w:color w:val="000000" w:themeColor="text1"/>
          <w:sz w:val="28"/>
          <w:szCs w:val="28"/>
        </w:rPr>
        <w:tab/>
      </w:r>
      <w:r w:rsidR="00DF461F">
        <w:rPr>
          <w:rFonts w:eastAsia="Calibri"/>
          <w:color w:val="000000" w:themeColor="text1"/>
          <w:sz w:val="28"/>
          <w:szCs w:val="28"/>
        </w:rPr>
        <w:tab/>
      </w:r>
      <w:r w:rsidR="00DF461F">
        <w:rPr>
          <w:rFonts w:eastAsia="Calibri"/>
          <w:color w:val="000000" w:themeColor="text1"/>
          <w:sz w:val="28"/>
          <w:szCs w:val="28"/>
        </w:rPr>
        <w:tab/>
      </w:r>
      <w:r w:rsidR="000B6A50">
        <w:rPr>
          <w:rFonts w:eastAsia="Calibri"/>
          <w:color w:val="000000" w:themeColor="text1"/>
          <w:sz w:val="28"/>
          <w:szCs w:val="28"/>
        </w:rPr>
        <w:t xml:space="preserve">                  </w:t>
      </w:r>
      <w:r w:rsidR="00585E5D">
        <w:rPr>
          <w:rFonts w:eastAsia="Calibri"/>
          <w:color w:val="000000" w:themeColor="text1"/>
          <w:sz w:val="28"/>
          <w:szCs w:val="28"/>
        </w:rPr>
        <w:t xml:space="preserve">     </w:t>
      </w:r>
      <w:r w:rsidR="000B6A50">
        <w:rPr>
          <w:rFonts w:eastAsia="Calibri"/>
          <w:color w:val="000000" w:themeColor="text1"/>
          <w:sz w:val="28"/>
          <w:szCs w:val="28"/>
        </w:rPr>
        <w:t xml:space="preserve"> D</w:t>
      </w:r>
      <w:r w:rsidR="00585E5D">
        <w:rPr>
          <w:rFonts w:eastAsia="Calibri"/>
          <w:color w:val="000000" w:themeColor="text1"/>
          <w:sz w:val="28"/>
          <w:szCs w:val="28"/>
        </w:rPr>
        <w:t>.</w:t>
      </w:r>
      <w:r w:rsidR="000B6A50">
        <w:rPr>
          <w:rFonts w:eastAsia="Calibri"/>
          <w:color w:val="000000" w:themeColor="text1"/>
          <w:sz w:val="28"/>
          <w:szCs w:val="28"/>
        </w:rPr>
        <w:t xml:space="preserve"> </w:t>
      </w:r>
      <w:proofErr w:type="spellStart"/>
      <w:r w:rsidR="000B6A50">
        <w:rPr>
          <w:rFonts w:eastAsia="Calibri"/>
          <w:color w:val="000000" w:themeColor="text1"/>
          <w:sz w:val="28"/>
          <w:szCs w:val="28"/>
        </w:rPr>
        <w:t>Mūrmane</w:t>
      </w:r>
      <w:proofErr w:type="spellEnd"/>
      <w:r w:rsidR="000B6A50">
        <w:rPr>
          <w:rFonts w:eastAsia="Calibri"/>
          <w:color w:val="000000" w:themeColor="text1"/>
          <w:sz w:val="28"/>
          <w:szCs w:val="28"/>
        </w:rPr>
        <w:t xml:space="preserve"> - </w:t>
      </w:r>
      <w:proofErr w:type="spellStart"/>
      <w:r w:rsidR="000B6A50">
        <w:rPr>
          <w:rFonts w:eastAsia="Calibri"/>
          <w:color w:val="000000" w:themeColor="text1"/>
          <w:sz w:val="28"/>
          <w:szCs w:val="28"/>
        </w:rPr>
        <w:t>Umbraško</w:t>
      </w:r>
      <w:proofErr w:type="spellEnd"/>
    </w:p>
    <w:p w14:paraId="782F3190" w14:textId="77777777" w:rsidR="00155578" w:rsidRDefault="00155578" w:rsidP="00155578">
      <w:pPr>
        <w:pStyle w:val="NormalWeb"/>
        <w:spacing w:before="0" w:beforeAutospacing="0" w:after="0" w:afterAutospacing="0"/>
        <w:rPr>
          <w:sz w:val="20"/>
          <w:szCs w:val="20"/>
        </w:rPr>
      </w:pPr>
    </w:p>
    <w:p w14:paraId="458D6ABB" w14:textId="77777777" w:rsidR="00B6729B" w:rsidRDefault="00B6729B" w:rsidP="00155578">
      <w:pPr>
        <w:pStyle w:val="NormalWeb"/>
        <w:spacing w:before="0" w:beforeAutospacing="0" w:after="0" w:afterAutospacing="0"/>
      </w:pPr>
    </w:p>
    <w:p w14:paraId="5D4466DE" w14:textId="77777777" w:rsidR="00D465B3" w:rsidRDefault="00D465B3" w:rsidP="00155578">
      <w:pPr>
        <w:pStyle w:val="NormalWeb"/>
        <w:spacing w:before="0" w:beforeAutospacing="0" w:after="0" w:afterAutospacing="0"/>
      </w:pPr>
    </w:p>
    <w:p w14:paraId="242B31CF" w14:textId="77777777" w:rsidR="00D465B3" w:rsidRDefault="00D465B3" w:rsidP="00155578">
      <w:pPr>
        <w:pStyle w:val="NormalWeb"/>
        <w:spacing w:before="0" w:beforeAutospacing="0" w:after="0" w:afterAutospacing="0"/>
      </w:pPr>
    </w:p>
    <w:p w14:paraId="28229FE7" w14:textId="77777777" w:rsidR="00C45C2B" w:rsidRPr="008E38C4" w:rsidRDefault="0082389E" w:rsidP="00C45C2B">
      <w:pPr>
        <w:pStyle w:val="pamattekststabul"/>
        <w:tabs>
          <w:tab w:val="left" w:pos="3119"/>
          <w:tab w:val="left" w:pos="5812"/>
        </w:tabs>
        <w:spacing w:before="0" w:beforeAutospacing="0" w:after="0" w:afterAutospacing="0"/>
        <w:jc w:val="both"/>
        <w:rPr>
          <w:lang w:val="lv-LV"/>
        </w:rPr>
      </w:pPr>
      <w:proofErr w:type="spellStart"/>
      <w:r>
        <w:rPr>
          <w:lang w:val="lv-LV"/>
        </w:rPr>
        <w:t>I.Belovs</w:t>
      </w:r>
      <w:proofErr w:type="spellEnd"/>
      <w:r w:rsidR="00C45C2B" w:rsidRPr="008E38C4">
        <w:rPr>
          <w:lang w:val="lv-LV"/>
        </w:rPr>
        <w:t xml:space="preserve">  67876</w:t>
      </w:r>
      <w:r>
        <w:rPr>
          <w:lang w:val="lv-LV"/>
        </w:rPr>
        <w:t>005</w:t>
      </w:r>
    </w:p>
    <w:p w14:paraId="36F80070" w14:textId="4A838F36" w:rsidR="00D465B3" w:rsidRDefault="0082389E" w:rsidP="00803F7C">
      <w:pPr>
        <w:pStyle w:val="pamattekststabul"/>
        <w:tabs>
          <w:tab w:val="left" w:pos="3119"/>
          <w:tab w:val="left" w:pos="5812"/>
        </w:tabs>
        <w:spacing w:before="0" w:beforeAutospacing="0" w:after="2880" w:afterAutospacing="0"/>
        <w:jc w:val="both"/>
      </w:pPr>
      <w:r>
        <w:t>igors.belovs</w:t>
      </w:r>
      <w:r w:rsidR="00C45C2B" w:rsidRPr="008E38C4">
        <w:t>@vm.gov.lv</w:t>
      </w:r>
    </w:p>
    <w:sectPr w:rsidR="00D465B3" w:rsidSect="00AE7E7D">
      <w:headerReference w:type="default" r:id="rId7"/>
      <w:footerReference w:type="default" r:id="rId8"/>
      <w:footerReference w:type="first" r:id="rId9"/>
      <w:pgSz w:w="11906" w:h="16838"/>
      <w:pgMar w:top="1843"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397A6" w14:textId="77777777" w:rsidR="00813252" w:rsidRDefault="00813252" w:rsidP="00894C55">
      <w:r>
        <w:separator/>
      </w:r>
    </w:p>
  </w:endnote>
  <w:endnote w:type="continuationSeparator" w:id="0">
    <w:p w14:paraId="5EAD20C5" w14:textId="77777777" w:rsidR="00813252" w:rsidRDefault="00813252"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918F0" w14:textId="77777777" w:rsidR="00473352" w:rsidRPr="00155578" w:rsidRDefault="00473352" w:rsidP="00893C18">
    <w:pPr>
      <w:pStyle w:val="Footer"/>
    </w:pPr>
  </w:p>
  <w:p w14:paraId="6E3FCD2F" w14:textId="0D0A51D9" w:rsidR="00822F63" w:rsidRPr="00822F63" w:rsidRDefault="00822F63" w:rsidP="00822F6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7A44A7">
      <w:rPr>
        <w:rFonts w:ascii="Times New Roman" w:hAnsi="Times New Roman" w:cs="Times New Roman"/>
        <w:noProof/>
        <w:sz w:val="20"/>
        <w:szCs w:val="20"/>
      </w:rPr>
      <w:t>VManot_160720_LNG_Zales_kraj</w:t>
    </w:r>
    <w:r>
      <w:rPr>
        <w:rFonts w:ascii="Times New Roman" w:hAnsi="Times New Roman" w:cs="Times New Roman"/>
        <w:sz w:val="20"/>
        <w:szCs w:val="20"/>
      </w:rPr>
      <w:fldChar w:fldCharType="end"/>
    </w:r>
  </w:p>
  <w:p w14:paraId="581B3BA4" w14:textId="77777777" w:rsidR="00473352" w:rsidRPr="00894C55" w:rsidRDefault="00473352">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03EC8" w14:textId="1F80B53F" w:rsidR="00473352" w:rsidRPr="00822F63" w:rsidRDefault="00822F63" w:rsidP="00822F63">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7A44A7">
      <w:rPr>
        <w:rFonts w:ascii="Times New Roman" w:hAnsi="Times New Roman" w:cs="Times New Roman"/>
        <w:noProof/>
        <w:sz w:val="20"/>
        <w:szCs w:val="20"/>
      </w:rPr>
      <w:t>VManot_160720_LNG_Zales_kraj</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22D4F" w14:textId="77777777" w:rsidR="00813252" w:rsidRDefault="00813252" w:rsidP="00894C55">
      <w:r>
        <w:separator/>
      </w:r>
    </w:p>
  </w:footnote>
  <w:footnote w:type="continuationSeparator" w:id="0">
    <w:p w14:paraId="6EC7AFFF" w14:textId="77777777" w:rsidR="00813252" w:rsidRDefault="00813252" w:rsidP="00894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268139"/>
      <w:docPartObj>
        <w:docPartGallery w:val="Page Numbers (Top of Page)"/>
        <w:docPartUnique/>
      </w:docPartObj>
    </w:sdtPr>
    <w:sdtEndPr>
      <w:rPr>
        <w:rFonts w:ascii="Times New Roman" w:hAnsi="Times New Roman" w:cs="Times New Roman"/>
        <w:noProof/>
        <w:sz w:val="24"/>
        <w:szCs w:val="20"/>
      </w:rPr>
    </w:sdtEndPr>
    <w:sdtContent>
      <w:p w14:paraId="2CDAB17B" w14:textId="77777777" w:rsidR="00473352" w:rsidRPr="00C25B49" w:rsidRDefault="0047335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172A"/>
    <w:multiLevelType w:val="multilevel"/>
    <w:tmpl w:val="97868480"/>
    <w:lvl w:ilvl="0">
      <w:start w:val="5"/>
      <w:numFmt w:val="decimal"/>
      <w:lvlText w:val="%1."/>
      <w:lvlJc w:val="left"/>
      <w:pPr>
        <w:ind w:left="360" w:hanging="360"/>
      </w:pPr>
      <w:rPr>
        <w:rFonts w:hint="default"/>
      </w:rPr>
    </w:lvl>
    <w:lvl w:ilvl="1">
      <w:start w:val="1"/>
      <w:numFmt w:val="decimal"/>
      <w:lvlText w:val="%1.%2."/>
      <w:lvlJc w:val="left"/>
      <w:pPr>
        <w:ind w:left="2367" w:hanging="360"/>
      </w:pPr>
      <w:rPr>
        <w:rFonts w:hint="default"/>
      </w:rPr>
    </w:lvl>
    <w:lvl w:ilvl="2">
      <w:start w:val="1"/>
      <w:numFmt w:val="decimal"/>
      <w:lvlText w:val="%1.%2.%3."/>
      <w:lvlJc w:val="left"/>
      <w:pPr>
        <w:ind w:left="4734" w:hanging="720"/>
      </w:pPr>
      <w:rPr>
        <w:rFonts w:hint="default"/>
      </w:rPr>
    </w:lvl>
    <w:lvl w:ilvl="3">
      <w:start w:val="1"/>
      <w:numFmt w:val="decimal"/>
      <w:lvlText w:val="%1.%2.%3.%4."/>
      <w:lvlJc w:val="left"/>
      <w:pPr>
        <w:ind w:left="6741" w:hanging="72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115" w:hanging="1080"/>
      </w:pPr>
      <w:rPr>
        <w:rFonts w:hint="default"/>
      </w:rPr>
    </w:lvl>
    <w:lvl w:ilvl="6">
      <w:start w:val="1"/>
      <w:numFmt w:val="decimal"/>
      <w:lvlText w:val="%1.%2.%3.%4.%5.%6.%7."/>
      <w:lvlJc w:val="left"/>
      <w:pPr>
        <w:ind w:left="13482" w:hanging="1440"/>
      </w:pPr>
      <w:rPr>
        <w:rFonts w:hint="default"/>
      </w:rPr>
    </w:lvl>
    <w:lvl w:ilvl="7">
      <w:start w:val="1"/>
      <w:numFmt w:val="decimal"/>
      <w:lvlText w:val="%1.%2.%3.%4.%5.%6.%7.%8."/>
      <w:lvlJc w:val="left"/>
      <w:pPr>
        <w:ind w:left="15489" w:hanging="1440"/>
      </w:pPr>
      <w:rPr>
        <w:rFonts w:hint="default"/>
      </w:rPr>
    </w:lvl>
    <w:lvl w:ilvl="8">
      <w:start w:val="1"/>
      <w:numFmt w:val="decimal"/>
      <w:lvlText w:val="%1.%2.%3.%4.%5.%6.%7.%8.%9."/>
      <w:lvlJc w:val="left"/>
      <w:pPr>
        <w:ind w:left="17856" w:hanging="1800"/>
      </w:pPr>
      <w:rPr>
        <w:rFonts w:hint="default"/>
      </w:rPr>
    </w:lvl>
  </w:abstractNum>
  <w:abstractNum w:abstractNumId="1" w15:restartNumberingAfterBreak="0">
    <w:nsid w:val="06BD296E"/>
    <w:multiLevelType w:val="multilevel"/>
    <w:tmpl w:val="46A4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166251"/>
    <w:multiLevelType w:val="hybridMultilevel"/>
    <w:tmpl w:val="0130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B2052"/>
    <w:multiLevelType w:val="multilevel"/>
    <w:tmpl w:val="62BA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AE0AAF"/>
    <w:multiLevelType w:val="multilevel"/>
    <w:tmpl w:val="E03ABE8E"/>
    <w:lvl w:ilvl="0">
      <w:start w:val="1"/>
      <w:numFmt w:val="decimal"/>
      <w:lvlText w:val="%1."/>
      <w:lvlJc w:val="left"/>
      <w:pPr>
        <w:ind w:left="933" w:hanging="360"/>
      </w:pPr>
      <w:rPr>
        <w:rFonts w:hint="default"/>
      </w:rPr>
    </w:lvl>
    <w:lvl w:ilvl="1">
      <w:start w:val="1"/>
      <w:numFmt w:val="decimal"/>
      <w:isLgl/>
      <w:lvlText w:val="%1.%2."/>
      <w:lvlJc w:val="left"/>
      <w:pPr>
        <w:ind w:left="1188" w:hanging="615"/>
      </w:pPr>
      <w:rPr>
        <w:rFonts w:eastAsia="Calibri" w:hint="default"/>
      </w:rPr>
    </w:lvl>
    <w:lvl w:ilvl="2">
      <w:start w:val="1"/>
      <w:numFmt w:val="decimal"/>
      <w:isLgl/>
      <w:lvlText w:val="%1.%2.%3."/>
      <w:lvlJc w:val="left"/>
      <w:pPr>
        <w:ind w:left="1293" w:hanging="720"/>
      </w:pPr>
      <w:rPr>
        <w:rFonts w:eastAsia="Calibri" w:hint="default"/>
      </w:rPr>
    </w:lvl>
    <w:lvl w:ilvl="3">
      <w:start w:val="1"/>
      <w:numFmt w:val="decimal"/>
      <w:isLgl/>
      <w:lvlText w:val="%1.%2.%3.%4."/>
      <w:lvlJc w:val="left"/>
      <w:pPr>
        <w:ind w:left="1293" w:hanging="720"/>
      </w:pPr>
      <w:rPr>
        <w:rFonts w:eastAsia="Calibri" w:hint="default"/>
      </w:rPr>
    </w:lvl>
    <w:lvl w:ilvl="4">
      <w:start w:val="1"/>
      <w:numFmt w:val="decimal"/>
      <w:isLgl/>
      <w:lvlText w:val="%1.%2.%3.%4.%5."/>
      <w:lvlJc w:val="left"/>
      <w:pPr>
        <w:ind w:left="1653" w:hanging="1080"/>
      </w:pPr>
      <w:rPr>
        <w:rFonts w:eastAsia="Calibri" w:hint="default"/>
      </w:rPr>
    </w:lvl>
    <w:lvl w:ilvl="5">
      <w:start w:val="1"/>
      <w:numFmt w:val="decimal"/>
      <w:isLgl/>
      <w:lvlText w:val="%1.%2.%3.%4.%5.%6."/>
      <w:lvlJc w:val="left"/>
      <w:pPr>
        <w:ind w:left="1653" w:hanging="1080"/>
      </w:pPr>
      <w:rPr>
        <w:rFonts w:eastAsia="Calibri" w:hint="default"/>
      </w:rPr>
    </w:lvl>
    <w:lvl w:ilvl="6">
      <w:start w:val="1"/>
      <w:numFmt w:val="decimal"/>
      <w:isLgl/>
      <w:lvlText w:val="%1.%2.%3.%4.%5.%6.%7."/>
      <w:lvlJc w:val="left"/>
      <w:pPr>
        <w:ind w:left="2013" w:hanging="1440"/>
      </w:pPr>
      <w:rPr>
        <w:rFonts w:eastAsia="Calibri" w:hint="default"/>
      </w:rPr>
    </w:lvl>
    <w:lvl w:ilvl="7">
      <w:start w:val="1"/>
      <w:numFmt w:val="decimal"/>
      <w:isLgl/>
      <w:lvlText w:val="%1.%2.%3.%4.%5.%6.%7.%8."/>
      <w:lvlJc w:val="left"/>
      <w:pPr>
        <w:ind w:left="2013" w:hanging="1440"/>
      </w:pPr>
      <w:rPr>
        <w:rFonts w:eastAsia="Calibri" w:hint="default"/>
      </w:rPr>
    </w:lvl>
    <w:lvl w:ilvl="8">
      <w:start w:val="1"/>
      <w:numFmt w:val="decimal"/>
      <w:isLgl/>
      <w:lvlText w:val="%1.%2.%3.%4.%5.%6.%7.%8.%9."/>
      <w:lvlJc w:val="left"/>
      <w:pPr>
        <w:ind w:left="2373" w:hanging="1800"/>
      </w:pPr>
      <w:rPr>
        <w:rFonts w:eastAsia="Calibri" w:hint="default"/>
      </w:rPr>
    </w:lvl>
  </w:abstractNum>
  <w:abstractNum w:abstractNumId="5" w15:restartNumberingAfterBreak="0">
    <w:nsid w:val="4BB40FB4"/>
    <w:multiLevelType w:val="hybridMultilevel"/>
    <w:tmpl w:val="5A9097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D671EB4"/>
    <w:multiLevelType w:val="hybridMultilevel"/>
    <w:tmpl w:val="47804B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45C178D"/>
    <w:multiLevelType w:val="hybridMultilevel"/>
    <w:tmpl w:val="6BCE60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76160FC"/>
    <w:multiLevelType w:val="hybridMultilevel"/>
    <w:tmpl w:val="DF6A7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BF66A3"/>
    <w:multiLevelType w:val="hybridMultilevel"/>
    <w:tmpl w:val="54A259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31A2BF1"/>
    <w:multiLevelType w:val="hybridMultilevel"/>
    <w:tmpl w:val="0076EA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02805C1"/>
    <w:multiLevelType w:val="multilevel"/>
    <w:tmpl w:val="8C96BE9E"/>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9"/>
  </w:num>
  <w:num w:numId="2">
    <w:abstractNumId w:val="11"/>
  </w:num>
  <w:num w:numId="3">
    <w:abstractNumId w:val="4"/>
  </w:num>
  <w:num w:numId="4">
    <w:abstractNumId w:val="5"/>
  </w:num>
  <w:num w:numId="5">
    <w:abstractNumId w:val="7"/>
  </w:num>
  <w:num w:numId="6">
    <w:abstractNumId w:val="6"/>
  </w:num>
  <w:num w:numId="7">
    <w:abstractNumId w:val="8"/>
  </w:num>
  <w:num w:numId="8">
    <w:abstractNumId w:val="2"/>
  </w:num>
  <w:num w:numId="9">
    <w:abstractNumId w:val="10"/>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29D"/>
    <w:rsid w:val="00010C24"/>
    <w:rsid w:val="00027250"/>
    <w:rsid w:val="00037CA6"/>
    <w:rsid w:val="0004022B"/>
    <w:rsid w:val="00045611"/>
    <w:rsid w:val="0004636A"/>
    <w:rsid w:val="00051EE3"/>
    <w:rsid w:val="0006374D"/>
    <w:rsid w:val="000703BC"/>
    <w:rsid w:val="000714CF"/>
    <w:rsid w:val="000777EE"/>
    <w:rsid w:val="0008249D"/>
    <w:rsid w:val="00093336"/>
    <w:rsid w:val="00093FD3"/>
    <w:rsid w:val="000A0E51"/>
    <w:rsid w:val="000B6A50"/>
    <w:rsid w:val="000D6FF2"/>
    <w:rsid w:val="000F363E"/>
    <w:rsid w:val="00110626"/>
    <w:rsid w:val="00130487"/>
    <w:rsid w:val="00140644"/>
    <w:rsid w:val="00140A5B"/>
    <w:rsid w:val="001444CA"/>
    <w:rsid w:val="001447EF"/>
    <w:rsid w:val="00152501"/>
    <w:rsid w:val="001525D7"/>
    <w:rsid w:val="00154A6D"/>
    <w:rsid w:val="00154FB3"/>
    <w:rsid w:val="00155578"/>
    <w:rsid w:val="00157D37"/>
    <w:rsid w:val="001618B7"/>
    <w:rsid w:val="00171AFD"/>
    <w:rsid w:val="00174EFB"/>
    <w:rsid w:val="00180F15"/>
    <w:rsid w:val="001822D8"/>
    <w:rsid w:val="00185C20"/>
    <w:rsid w:val="00187ADF"/>
    <w:rsid w:val="00187B96"/>
    <w:rsid w:val="00190E70"/>
    <w:rsid w:val="001B6C59"/>
    <w:rsid w:val="001C28C1"/>
    <w:rsid w:val="001C768D"/>
    <w:rsid w:val="001D66EB"/>
    <w:rsid w:val="001E7774"/>
    <w:rsid w:val="001E7EAF"/>
    <w:rsid w:val="0020674D"/>
    <w:rsid w:val="002139CC"/>
    <w:rsid w:val="00237381"/>
    <w:rsid w:val="002432B2"/>
    <w:rsid w:val="00243426"/>
    <w:rsid w:val="0024409F"/>
    <w:rsid w:val="00244D98"/>
    <w:rsid w:val="002515DF"/>
    <w:rsid w:val="002549F5"/>
    <w:rsid w:val="00257CCE"/>
    <w:rsid w:val="00270726"/>
    <w:rsid w:val="0027542F"/>
    <w:rsid w:val="00282312"/>
    <w:rsid w:val="00293A2E"/>
    <w:rsid w:val="002A3A1E"/>
    <w:rsid w:val="002B03C0"/>
    <w:rsid w:val="002B758F"/>
    <w:rsid w:val="002D11BE"/>
    <w:rsid w:val="002D1E95"/>
    <w:rsid w:val="002E07D8"/>
    <w:rsid w:val="002E1C05"/>
    <w:rsid w:val="002E454A"/>
    <w:rsid w:val="002F0AB1"/>
    <w:rsid w:val="00301EFB"/>
    <w:rsid w:val="0031401C"/>
    <w:rsid w:val="00315D32"/>
    <w:rsid w:val="00320CB4"/>
    <w:rsid w:val="003243B6"/>
    <w:rsid w:val="00334A81"/>
    <w:rsid w:val="00341D70"/>
    <w:rsid w:val="00355F77"/>
    <w:rsid w:val="00361916"/>
    <w:rsid w:val="00362961"/>
    <w:rsid w:val="00366568"/>
    <w:rsid w:val="00382A96"/>
    <w:rsid w:val="003872F2"/>
    <w:rsid w:val="003903BF"/>
    <w:rsid w:val="00391B6A"/>
    <w:rsid w:val="00396655"/>
    <w:rsid w:val="00396F8F"/>
    <w:rsid w:val="003B0BF9"/>
    <w:rsid w:val="003D3821"/>
    <w:rsid w:val="003D54A7"/>
    <w:rsid w:val="003D76DB"/>
    <w:rsid w:val="003E0791"/>
    <w:rsid w:val="003E510F"/>
    <w:rsid w:val="003F28AC"/>
    <w:rsid w:val="003F75AB"/>
    <w:rsid w:val="0042127E"/>
    <w:rsid w:val="00424A5C"/>
    <w:rsid w:val="00426543"/>
    <w:rsid w:val="0043126B"/>
    <w:rsid w:val="00432D46"/>
    <w:rsid w:val="004411A4"/>
    <w:rsid w:val="004454FE"/>
    <w:rsid w:val="004535CF"/>
    <w:rsid w:val="00456E40"/>
    <w:rsid w:val="004576DF"/>
    <w:rsid w:val="00470866"/>
    <w:rsid w:val="00471F27"/>
    <w:rsid w:val="0047309D"/>
    <w:rsid w:val="00473352"/>
    <w:rsid w:val="004801FD"/>
    <w:rsid w:val="0048185F"/>
    <w:rsid w:val="004865D7"/>
    <w:rsid w:val="00493891"/>
    <w:rsid w:val="0049601C"/>
    <w:rsid w:val="004B5A63"/>
    <w:rsid w:val="004B79B5"/>
    <w:rsid w:val="004C043C"/>
    <w:rsid w:val="004C1D1F"/>
    <w:rsid w:val="004C4F57"/>
    <w:rsid w:val="004C7CC0"/>
    <w:rsid w:val="004E1BA2"/>
    <w:rsid w:val="004E29AE"/>
    <w:rsid w:val="004F4293"/>
    <w:rsid w:val="00500842"/>
    <w:rsid w:val="0050178F"/>
    <w:rsid w:val="00502D57"/>
    <w:rsid w:val="00512CBF"/>
    <w:rsid w:val="00515DB5"/>
    <w:rsid w:val="00517F02"/>
    <w:rsid w:val="005348A9"/>
    <w:rsid w:val="0053686B"/>
    <w:rsid w:val="0056229B"/>
    <w:rsid w:val="005660EE"/>
    <w:rsid w:val="0056696D"/>
    <w:rsid w:val="00582ED0"/>
    <w:rsid w:val="005847E1"/>
    <w:rsid w:val="005856D9"/>
    <w:rsid w:val="00585E5D"/>
    <w:rsid w:val="00594A23"/>
    <w:rsid w:val="005A3CD1"/>
    <w:rsid w:val="005B71ED"/>
    <w:rsid w:val="005B7704"/>
    <w:rsid w:val="005C6A8E"/>
    <w:rsid w:val="005D173E"/>
    <w:rsid w:val="005F7BA4"/>
    <w:rsid w:val="00600E2F"/>
    <w:rsid w:val="00603690"/>
    <w:rsid w:val="00604F38"/>
    <w:rsid w:val="00610C37"/>
    <w:rsid w:val="0061240B"/>
    <w:rsid w:val="00623F8D"/>
    <w:rsid w:val="006335C0"/>
    <w:rsid w:val="0063496B"/>
    <w:rsid w:val="0064127B"/>
    <w:rsid w:val="00645EF1"/>
    <w:rsid w:val="00646244"/>
    <w:rsid w:val="0064653C"/>
    <w:rsid w:val="00647B3D"/>
    <w:rsid w:val="00654C92"/>
    <w:rsid w:val="00655F2C"/>
    <w:rsid w:val="0066140A"/>
    <w:rsid w:val="006655BF"/>
    <w:rsid w:val="00681C7D"/>
    <w:rsid w:val="00681F74"/>
    <w:rsid w:val="006936E5"/>
    <w:rsid w:val="006A1867"/>
    <w:rsid w:val="006A31D0"/>
    <w:rsid w:val="006A72A3"/>
    <w:rsid w:val="006B221B"/>
    <w:rsid w:val="006B3441"/>
    <w:rsid w:val="006D292C"/>
    <w:rsid w:val="006D2F32"/>
    <w:rsid w:val="006E1081"/>
    <w:rsid w:val="006E32A9"/>
    <w:rsid w:val="006E71F7"/>
    <w:rsid w:val="006F50DB"/>
    <w:rsid w:val="006F5A70"/>
    <w:rsid w:val="00710AE8"/>
    <w:rsid w:val="00710C61"/>
    <w:rsid w:val="00714AB3"/>
    <w:rsid w:val="00720585"/>
    <w:rsid w:val="0072168C"/>
    <w:rsid w:val="007272A8"/>
    <w:rsid w:val="00727C8F"/>
    <w:rsid w:val="007330EC"/>
    <w:rsid w:val="00736C5D"/>
    <w:rsid w:val="00737252"/>
    <w:rsid w:val="00746020"/>
    <w:rsid w:val="007503A8"/>
    <w:rsid w:val="007606BC"/>
    <w:rsid w:val="007606BD"/>
    <w:rsid w:val="007635DB"/>
    <w:rsid w:val="007652F7"/>
    <w:rsid w:val="00772D6A"/>
    <w:rsid w:val="00773AF6"/>
    <w:rsid w:val="00773EC6"/>
    <w:rsid w:val="00781317"/>
    <w:rsid w:val="00785233"/>
    <w:rsid w:val="007858DF"/>
    <w:rsid w:val="00792389"/>
    <w:rsid w:val="0079260F"/>
    <w:rsid w:val="00795F71"/>
    <w:rsid w:val="007A44A7"/>
    <w:rsid w:val="007A54FC"/>
    <w:rsid w:val="007B1712"/>
    <w:rsid w:val="007B3999"/>
    <w:rsid w:val="007B7D5F"/>
    <w:rsid w:val="007D49C0"/>
    <w:rsid w:val="007D6D57"/>
    <w:rsid w:val="007E21B1"/>
    <w:rsid w:val="007E3BCE"/>
    <w:rsid w:val="007E4945"/>
    <w:rsid w:val="007E5F7A"/>
    <w:rsid w:val="007E73AB"/>
    <w:rsid w:val="007F2EF9"/>
    <w:rsid w:val="007F5A51"/>
    <w:rsid w:val="007F5DCC"/>
    <w:rsid w:val="007F60D1"/>
    <w:rsid w:val="007F6EE5"/>
    <w:rsid w:val="007F6F87"/>
    <w:rsid w:val="00803F7C"/>
    <w:rsid w:val="00813252"/>
    <w:rsid w:val="00816C11"/>
    <w:rsid w:val="00822F63"/>
    <w:rsid w:val="0082389E"/>
    <w:rsid w:val="00825702"/>
    <w:rsid w:val="00830461"/>
    <w:rsid w:val="00835DE9"/>
    <w:rsid w:val="00842AD1"/>
    <w:rsid w:val="00844B46"/>
    <w:rsid w:val="0085416F"/>
    <w:rsid w:val="00866FDB"/>
    <w:rsid w:val="00873B9A"/>
    <w:rsid w:val="00874F1B"/>
    <w:rsid w:val="00880841"/>
    <w:rsid w:val="00893C18"/>
    <w:rsid w:val="00894C55"/>
    <w:rsid w:val="008B37B7"/>
    <w:rsid w:val="008C1794"/>
    <w:rsid w:val="008D6605"/>
    <w:rsid w:val="008E0DC2"/>
    <w:rsid w:val="008E4FC3"/>
    <w:rsid w:val="008F2600"/>
    <w:rsid w:val="00905F9E"/>
    <w:rsid w:val="00911BEB"/>
    <w:rsid w:val="00916857"/>
    <w:rsid w:val="00921789"/>
    <w:rsid w:val="00922E9E"/>
    <w:rsid w:val="00923570"/>
    <w:rsid w:val="00924764"/>
    <w:rsid w:val="009362B4"/>
    <w:rsid w:val="00941D66"/>
    <w:rsid w:val="00946B2E"/>
    <w:rsid w:val="009547D2"/>
    <w:rsid w:val="00971971"/>
    <w:rsid w:val="009737C2"/>
    <w:rsid w:val="00980FB4"/>
    <w:rsid w:val="009836E3"/>
    <w:rsid w:val="0099264F"/>
    <w:rsid w:val="00996890"/>
    <w:rsid w:val="00997DE4"/>
    <w:rsid w:val="009A2654"/>
    <w:rsid w:val="009B425C"/>
    <w:rsid w:val="009B61EE"/>
    <w:rsid w:val="009C5923"/>
    <w:rsid w:val="009C6CD1"/>
    <w:rsid w:val="009E3C36"/>
    <w:rsid w:val="009F0AA7"/>
    <w:rsid w:val="009F25E7"/>
    <w:rsid w:val="009F6BA5"/>
    <w:rsid w:val="009F7759"/>
    <w:rsid w:val="00A00F88"/>
    <w:rsid w:val="00A10FC3"/>
    <w:rsid w:val="00A13488"/>
    <w:rsid w:val="00A40296"/>
    <w:rsid w:val="00A4592E"/>
    <w:rsid w:val="00A52304"/>
    <w:rsid w:val="00A55FFE"/>
    <w:rsid w:val="00A6073E"/>
    <w:rsid w:val="00A7173C"/>
    <w:rsid w:val="00A772AD"/>
    <w:rsid w:val="00A935DA"/>
    <w:rsid w:val="00A973AC"/>
    <w:rsid w:val="00AA0994"/>
    <w:rsid w:val="00AA17B1"/>
    <w:rsid w:val="00AA3C55"/>
    <w:rsid w:val="00AA4209"/>
    <w:rsid w:val="00AA5BF6"/>
    <w:rsid w:val="00AB3B98"/>
    <w:rsid w:val="00AC10A7"/>
    <w:rsid w:val="00AC6919"/>
    <w:rsid w:val="00AC72B8"/>
    <w:rsid w:val="00AE5567"/>
    <w:rsid w:val="00AE7E7D"/>
    <w:rsid w:val="00AF1239"/>
    <w:rsid w:val="00AF56A3"/>
    <w:rsid w:val="00B14F56"/>
    <w:rsid w:val="00B16480"/>
    <w:rsid w:val="00B2165C"/>
    <w:rsid w:val="00B21E2E"/>
    <w:rsid w:val="00B24C87"/>
    <w:rsid w:val="00B36406"/>
    <w:rsid w:val="00B47A30"/>
    <w:rsid w:val="00B6729B"/>
    <w:rsid w:val="00B67377"/>
    <w:rsid w:val="00B7190B"/>
    <w:rsid w:val="00B7558C"/>
    <w:rsid w:val="00B86ED9"/>
    <w:rsid w:val="00B87199"/>
    <w:rsid w:val="00BA20AA"/>
    <w:rsid w:val="00BA7DA4"/>
    <w:rsid w:val="00BC1002"/>
    <w:rsid w:val="00BD4425"/>
    <w:rsid w:val="00BD5AF3"/>
    <w:rsid w:val="00BD7F5E"/>
    <w:rsid w:val="00BE73AA"/>
    <w:rsid w:val="00C10270"/>
    <w:rsid w:val="00C24DA1"/>
    <w:rsid w:val="00C25B49"/>
    <w:rsid w:val="00C30F18"/>
    <w:rsid w:val="00C348FC"/>
    <w:rsid w:val="00C42475"/>
    <w:rsid w:val="00C45C2B"/>
    <w:rsid w:val="00C57547"/>
    <w:rsid w:val="00C6089E"/>
    <w:rsid w:val="00C76B23"/>
    <w:rsid w:val="00C83131"/>
    <w:rsid w:val="00C8678C"/>
    <w:rsid w:val="00C94EBD"/>
    <w:rsid w:val="00CB0786"/>
    <w:rsid w:val="00CB4B48"/>
    <w:rsid w:val="00CC0982"/>
    <w:rsid w:val="00CC0D2D"/>
    <w:rsid w:val="00CC0E67"/>
    <w:rsid w:val="00CC25C8"/>
    <w:rsid w:val="00CC3D23"/>
    <w:rsid w:val="00CE3967"/>
    <w:rsid w:val="00CE5657"/>
    <w:rsid w:val="00D104DA"/>
    <w:rsid w:val="00D133F8"/>
    <w:rsid w:val="00D14A3E"/>
    <w:rsid w:val="00D22281"/>
    <w:rsid w:val="00D22CB4"/>
    <w:rsid w:val="00D24501"/>
    <w:rsid w:val="00D25150"/>
    <w:rsid w:val="00D269A2"/>
    <w:rsid w:val="00D44678"/>
    <w:rsid w:val="00D465B3"/>
    <w:rsid w:val="00D54154"/>
    <w:rsid w:val="00D62A5E"/>
    <w:rsid w:val="00D63503"/>
    <w:rsid w:val="00D74EB0"/>
    <w:rsid w:val="00DA31CE"/>
    <w:rsid w:val="00DA54D3"/>
    <w:rsid w:val="00DA6113"/>
    <w:rsid w:val="00DC2DAF"/>
    <w:rsid w:val="00DD0024"/>
    <w:rsid w:val="00DD588D"/>
    <w:rsid w:val="00DE07F2"/>
    <w:rsid w:val="00DF0BA5"/>
    <w:rsid w:val="00DF461F"/>
    <w:rsid w:val="00DF5C95"/>
    <w:rsid w:val="00DF68F8"/>
    <w:rsid w:val="00DF776E"/>
    <w:rsid w:val="00E01657"/>
    <w:rsid w:val="00E14E1B"/>
    <w:rsid w:val="00E32710"/>
    <w:rsid w:val="00E33502"/>
    <w:rsid w:val="00E361EA"/>
    <w:rsid w:val="00E3716B"/>
    <w:rsid w:val="00E413A7"/>
    <w:rsid w:val="00E5071E"/>
    <w:rsid w:val="00E5323B"/>
    <w:rsid w:val="00E56A7A"/>
    <w:rsid w:val="00E5764B"/>
    <w:rsid w:val="00E72E3D"/>
    <w:rsid w:val="00E75BD5"/>
    <w:rsid w:val="00E85C03"/>
    <w:rsid w:val="00E8749E"/>
    <w:rsid w:val="00E90C01"/>
    <w:rsid w:val="00E91834"/>
    <w:rsid w:val="00EA0908"/>
    <w:rsid w:val="00EA486E"/>
    <w:rsid w:val="00EB0335"/>
    <w:rsid w:val="00EB322C"/>
    <w:rsid w:val="00EB3AFC"/>
    <w:rsid w:val="00EC6E12"/>
    <w:rsid w:val="00EC766A"/>
    <w:rsid w:val="00ED081B"/>
    <w:rsid w:val="00ED33F8"/>
    <w:rsid w:val="00ED3E28"/>
    <w:rsid w:val="00EE2F62"/>
    <w:rsid w:val="00EE66A3"/>
    <w:rsid w:val="00EF4468"/>
    <w:rsid w:val="00EF453D"/>
    <w:rsid w:val="00F018D2"/>
    <w:rsid w:val="00F01E73"/>
    <w:rsid w:val="00F0563D"/>
    <w:rsid w:val="00F16354"/>
    <w:rsid w:val="00F34AD5"/>
    <w:rsid w:val="00F35602"/>
    <w:rsid w:val="00F4273F"/>
    <w:rsid w:val="00F5216B"/>
    <w:rsid w:val="00F52BB2"/>
    <w:rsid w:val="00F57B0C"/>
    <w:rsid w:val="00F63810"/>
    <w:rsid w:val="00F77F67"/>
    <w:rsid w:val="00F82318"/>
    <w:rsid w:val="00F83ADA"/>
    <w:rsid w:val="00F94769"/>
    <w:rsid w:val="00FA15F5"/>
    <w:rsid w:val="00FB0834"/>
    <w:rsid w:val="00FB254A"/>
    <w:rsid w:val="00FB5F1E"/>
    <w:rsid w:val="00FC3FDB"/>
    <w:rsid w:val="00FC4F6C"/>
    <w:rsid w:val="00FC7E54"/>
    <w:rsid w:val="00FD4C93"/>
    <w:rsid w:val="00FF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74673"/>
  <w15:docId w15:val="{20470861-7AD9-4D33-8BC5-1B4E9CF0D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31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pPr>
  </w:style>
  <w:style w:type="paragraph" w:styleId="Header">
    <w:name w:val="header"/>
    <w:basedOn w:val="Normal"/>
    <w:link w:val="Head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EC6E12"/>
    <w:pPr>
      <w:spacing w:after="0" w:line="240" w:lineRule="auto"/>
    </w:pPr>
  </w:style>
  <w:style w:type="table" w:styleId="TableGrid">
    <w:name w:val="Table Grid"/>
    <w:basedOn w:val="TableNormal"/>
    <w:uiPriority w:val="39"/>
    <w:rsid w:val="00EC6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30487"/>
    <w:rPr>
      <w:b/>
      <w:bCs/>
    </w:rPr>
  </w:style>
  <w:style w:type="paragraph" w:styleId="ListParagraph">
    <w:name w:val="List Paragraph"/>
    <w:basedOn w:val="Normal"/>
    <w:uiPriority w:val="34"/>
    <w:qFormat/>
    <w:rsid w:val="0008249D"/>
    <w:pPr>
      <w:ind w:left="720"/>
      <w:contextualSpacing/>
    </w:pPr>
  </w:style>
  <w:style w:type="paragraph" w:customStyle="1" w:styleId="naisf">
    <w:name w:val="naisf"/>
    <w:basedOn w:val="Normal"/>
    <w:rsid w:val="00155578"/>
    <w:pPr>
      <w:spacing w:before="75" w:after="75"/>
      <w:ind w:firstLine="375"/>
      <w:jc w:val="both"/>
    </w:pPr>
  </w:style>
  <w:style w:type="character" w:customStyle="1" w:styleId="NoSpacingChar">
    <w:name w:val="No Spacing Char"/>
    <w:link w:val="NoSpacing"/>
    <w:uiPriority w:val="1"/>
    <w:rsid w:val="00155578"/>
  </w:style>
  <w:style w:type="paragraph" w:styleId="NormalWeb">
    <w:name w:val="Normal (Web)"/>
    <w:basedOn w:val="Normal"/>
    <w:link w:val="NormalWebChar"/>
    <w:uiPriority w:val="99"/>
    <w:rsid w:val="00155578"/>
    <w:pPr>
      <w:spacing w:before="100" w:beforeAutospacing="1" w:after="100" w:afterAutospacing="1"/>
    </w:pPr>
  </w:style>
  <w:style w:type="character" w:customStyle="1" w:styleId="NormalWebChar">
    <w:name w:val="Normal (Web) Char"/>
    <w:link w:val="NormalWeb"/>
    <w:rsid w:val="00155578"/>
    <w:rPr>
      <w:rFonts w:ascii="Times New Roman" w:eastAsia="Times New Roman" w:hAnsi="Times New Roman" w:cs="Times New Roman"/>
      <w:sz w:val="24"/>
      <w:szCs w:val="24"/>
      <w:lang w:eastAsia="lv-LV"/>
    </w:rPr>
  </w:style>
  <w:style w:type="paragraph" w:customStyle="1" w:styleId="xmsonormal">
    <w:name w:val="x_msonormal"/>
    <w:basedOn w:val="Normal"/>
    <w:rsid w:val="00B87199"/>
    <w:pPr>
      <w:spacing w:before="100" w:beforeAutospacing="1" w:after="100" w:afterAutospacing="1"/>
    </w:pPr>
  </w:style>
  <w:style w:type="character" w:customStyle="1" w:styleId="UnresolvedMention1">
    <w:name w:val="Unresolved Mention1"/>
    <w:basedOn w:val="DefaultParagraphFont"/>
    <w:uiPriority w:val="99"/>
    <w:semiHidden/>
    <w:unhideWhenUsed/>
    <w:rsid w:val="0056229B"/>
    <w:rPr>
      <w:color w:val="605E5C"/>
      <w:shd w:val="clear" w:color="auto" w:fill="E1DFDD"/>
    </w:rPr>
  </w:style>
  <w:style w:type="character" w:styleId="CommentReference">
    <w:name w:val="annotation reference"/>
    <w:basedOn w:val="DefaultParagraphFont"/>
    <w:uiPriority w:val="99"/>
    <w:semiHidden/>
    <w:unhideWhenUsed/>
    <w:rsid w:val="00A4592E"/>
    <w:rPr>
      <w:sz w:val="16"/>
      <w:szCs w:val="16"/>
    </w:rPr>
  </w:style>
  <w:style w:type="paragraph" w:styleId="CommentText">
    <w:name w:val="annotation text"/>
    <w:basedOn w:val="Normal"/>
    <w:link w:val="CommentTextChar"/>
    <w:uiPriority w:val="99"/>
    <w:unhideWhenUsed/>
    <w:rsid w:val="00A4592E"/>
    <w:rPr>
      <w:sz w:val="20"/>
      <w:szCs w:val="20"/>
    </w:rPr>
  </w:style>
  <w:style w:type="character" w:customStyle="1" w:styleId="CommentTextChar">
    <w:name w:val="Comment Text Char"/>
    <w:basedOn w:val="DefaultParagraphFont"/>
    <w:link w:val="CommentText"/>
    <w:uiPriority w:val="99"/>
    <w:rsid w:val="00A4592E"/>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4592E"/>
    <w:rPr>
      <w:b/>
      <w:bCs/>
    </w:rPr>
  </w:style>
  <w:style w:type="character" w:customStyle="1" w:styleId="CommentSubjectChar">
    <w:name w:val="Comment Subject Char"/>
    <w:basedOn w:val="CommentTextChar"/>
    <w:link w:val="CommentSubject"/>
    <w:uiPriority w:val="99"/>
    <w:semiHidden/>
    <w:rsid w:val="00A4592E"/>
    <w:rPr>
      <w:rFonts w:ascii="Times New Roman" w:eastAsia="Times New Roman" w:hAnsi="Times New Roman" w:cs="Times New Roman"/>
      <w:b/>
      <w:bCs/>
      <w:sz w:val="20"/>
      <w:szCs w:val="20"/>
      <w:lang w:eastAsia="lv-LV"/>
    </w:rPr>
  </w:style>
  <w:style w:type="paragraph" w:customStyle="1" w:styleId="tv213">
    <w:name w:val="tv213"/>
    <w:basedOn w:val="Normal"/>
    <w:rsid w:val="002F0AB1"/>
    <w:pPr>
      <w:spacing w:before="100" w:beforeAutospacing="1" w:after="100" w:afterAutospacing="1"/>
    </w:pPr>
  </w:style>
  <w:style w:type="paragraph" w:customStyle="1" w:styleId="pamattekststabul">
    <w:name w:val="pamattekststabul"/>
    <w:basedOn w:val="Normal"/>
    <w:rsid w:val="00C45C2B"/>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10666705">
      <w:bodyDiv w:val="1"/>
      <w:marLeft w:val="0"/>
      <w:marRight w:val="0"/>
      <w:marTop w:val="0"/>
      <w:marBottom w:val="0"/>
      <w:divBdr>
        <w:top w:val="none" w:sz="0" w:space="0" w:color="auto"/>
        <w:left w:val="none" w:sz="0" w:space="0" w:color="auto"/>
        <w:bottom w:val="none" w:sz="0" w:space="0" w:color="auto"/>
        <w:right w:val="none" w:sz="0" w:space="0" w:color="auto"/>
      </w:divBdr>
      <w:divsChild>
        <w:div w:id="1908152169">
          <w:marLeft w:val="0"/>
          <w:marRight w:val="0"/>
          <w:marTop w:val="0"/>
          <w:marBottom w:val="0"/>
          <w:divBdr>
            <w:top w:val="none" w:sz="0" w:space="0" w:color="auto"/>
            <w:left w:val="none" w:sz="0" w:space="0" w:color="auto"/>
            <w:bottom w:val="none" w:sz="0" w:space="0" w:color="auto"/>
            <w:right w:val="none" w:sz="0" w:space="0" w:color="auto"/>
          </w:divBdr>
          <w:divsChild>
            <w:div w:id="1298875089">
              <w:marLeft w:val="0"/>
              <w:marRight w:val="0"/>
              <w:marTop w:val="0"/>
              <w:marBottom w:val="0"/>
              <w:divBdr>
                <w:top w:val="none" w:sz="0" w:space="0" w:color="auto"/>
                <w:left w:val="none" w:sz="0" w:space="0" w:color="auto"/>
                <w:bottom w:val="none" w:sz="0" w:space="0" w:color="auto"/>
                <w:right w:val="none" w:sz="0" w:space="0" w:color="auto"/>
              </w:divBdr>
              <w:divsChild>
                <w:div w:id="1216893272">
                  <w:marLeft w:val="0"/>
                  <w:marRight w:val="0"/>
                  <w:marTop w:val="0"/>
                  <w:marBottom w:val="0"/>
                  <w:divBdr>
                    <w:top w:val="none" w:sz="0" w:space="0" w:color="auto"/>
                    <w:left w:val="none" w:sz="0" w:space="0" w:color="auto"/>
                    <w:bottom w:val="none" w:sz="0" w:space="0" w:color="auto"/>
                    <w:right w:val="none" w:sz="0" w:space="0" w:color="auto"/>
                  </w:divBdr>
                  <w:divsChild>
                    <w:div w:id="1277758403">
                      <w:marLeft w:val="0"/>
                      <w:marRight w:val="0"/>
                      <w:marTop w:val="0"/>
                      <w:marBottom w:val="0"/>
                      <w:divBdr>
                        <w:top w:val="none" w:sz="0" w:space="0" w:color="auto"/>
                        <w:left w:val="none" w:sz="0" w:space="0" w:color="auto"/>
                        <w:bottom w:val="none" w:sz="0" w:space="0" w:color="auto"/>
                        <w:right w:val="none" w:sz="0" w:space="0" w:color="auto"/>
                      </w:divBdr>
                      <w:divsChild>
                        <w:div w:id="138228255">
                          <w:marLeft w:val="0"/>
                          <w:marRight w:val="0"/>
                          <w:marTop w:val="0"/>
                          <w:marBottom w:val="0"/>
                          <w:divBdr>
                            <w:top w:val="none" w:sz="0" w:space="0" w:color="auto"/>
                            <w:left w:val="none" w:sz="0" w:space="0" w:color="auto"/>
                            <w:bottom w:val="none" w:sz="0" w:space="0" w:color="auto"/>
                            <w:right w:val="none" w:sz="0" w:space="0" w:color="auto"/>
                          </w:divBdr>
                          <w:divsChild>
                            <w:div w:id="1760953430">
                              <w:marLeft w:val="0"/>
                              <w:marRight w:val="0"/>
                              <w:marTop w:val="0"/>
                              <w:marBottom w:val="0"/>
                              <w:divBdr>
                                <w:top w:val="none" w:sz="0" w:space="0" w:color="auto"/>
                                <w:left w:val="none" w:sz="0" w:space="0" w:color="auto"/>
                                <w:bottom w:val="none" w:sz="0" w:space="0" w:color="auto"/>
                                <w:right w:val="none" w:sz="0" w:space="0" w:color="auto"/>
                              </w:divBdr>
                              <w:divsChild>
                                <w:div w:id="362289017">
                                  <w:marLeft w:val="0"/>
                                  <w:marRight w:val="0"/>
                                  <w:marTop w:val="0"/>
                                  <w:marBottom w:val="0"/>
                                  <w:divBdr>
                                    <w:top w:val="none" w:sz="0" w:space="0" w:color="auto"/>
                                    <w:left w:val="none" w:sz="0" w:space="0" w:color="auto"/>
                                    <w:bottom w:val="none" w:sz="0" w:space="0" w:color="auto"/>
                                    <w:right w:val="none" w:sz="0" w:space="0" w:color="auto"/>
                                  </w:divBdr>
                                  <w:divsChild>
                                    <w:div w:id="1662194860">
                                      <w:marLeft w:val="0"/>
                                      <w:marRight w:val="0"/>
                                      <w:marTop w:val="0"/>
                                      <w:marBottom w:val="0"/>
                                      <w:divBdr>
                                        <w:top w:val="none" w:sz="0" w:space="0" w:color="auto"/>
                                        <w:left w:val="none" w:sz="0" w:space="0" w:color="auto"/>
                                        <w:bottom w:val="none" w:sz="0" w:space="0" w:color="auto"/>
                                        <w:right w:val="none" w:sz="0" w:space="0" w:color="auto"/>
                                      </w:divBdr>
                                    </w:div>
                                    <w:div w:id="3544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87048">
                              <w:marLeft w:val="0"/>
                              <w:marRight w:val="0"/>
                              <w:marTop w:val="0"/>
                              <w:marBottom w:val="0"/>
                              <w:divBdr>
                                <w:top w:val="none" w:sz="0" w:space="0" w:color="auto"/>
                                <w:left w:val="none" w:sz="0" w:space="0" w:color="auto"/>
                                <w:bottom w:val="none" w:sz="0" w:space="0" w:color="auto"/>
                                <w:right w:val="none" w:sz="0" w:space="0" w:color="auto"/>
                              </w:divBdr>
                              <w:divsChild>
                                <w:div w:id="2020501591">
                                  <w:marLeft w:val="0"/>
                                  <w:marRight w:val="0"/>
                                  <w:marTop w:val="0"/>
                                  <w:marBottom w:val="0"/>
                                  <w:divBdr>
                                    <w:top w:val="none" w:sz="0" w:space="0" w:color="auto"/>
                                    <w:left w:val="none" w:sz="0" w:space="0" w:color="auto"/>
                                    <w:bottom w:val="none" w:sz="0" w:space="0" w:color="auto"/>
                                    <w:right w:val="none" w:sz="0" w:space="0" w:color="auto"/>
                                  </w:divBdr>
                                  <w:divsChild>
                                    <w:div w:id="1636132373">
                                      <w:marLeft w:val="0"/>
                                      <w:marRight w:val="0"/>
                                      <w:marTop w:val="0"/>
                                      <w:marBottom w:val="0"/>
                                      <w:divBdr>
                                        <w:top w:val="none" w:sz="0" w:space="0" w:color="auto"/>
                                        <w:left w:val="none" w:sz="0" w:space="0" w:color="auto"/>
                                        <w:bottom w:val="none" w:sz="0" w:space="0" w:color="auto"/>
                                        <w:right w:val="none" w:sz="0" w:space="0" w:color="auto"/>
                                      </w:divBdr>
                                    </w:div>
                                    <w:div w:id="13906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546978">
      <w:bodyDiv w:val="1"/>
      <w:marLeft w:val="0"/>
      <w:marRight w:val="0"/>
      <w:marTop w:val="0"/>
      <w:marBottom w:val="0"/>
      <w:divBdr>
        <w:top w:val="none" w:sz="0" w:space="0" w:color="auto"/>
        <w:left w:val="none" w:sz="0" w:space="0" w:color="auto"/>
        <w:bottom w:val="none" w:sz="0" w:space="0" w:color="auto"/>
        <w:right w:val="none" w:sz="0" w:space="0" w:color="auto"/>
      </w:divBdr>
      <w:divsChild>
        <w:div w:id="1316452448">
          <w:marLeft w:val="0"/>
          <w:marRight w:val="0"/>
          <w:marTop w:val="0"/>
          <w:marBottom w:val="0"/>
          <w:divBdr>
            <w:top w:val="none" w:sz="0" w:space="0" w:color="auto"/>
            <w:left w:val="none" w:sz="0" w:space="0" w:color="auto"/>
            <w:bottom w:val="none" w:sz="0" w:space="0" w:color="auto"/>
            <w:right w:val="none" w:sz="0" w:space="0" w:color="auto"/>
          </w:divBdr>
          <w:divsChild>
            <w:div w:id="544492838">
              <w:marLeft w:val="0"/>
              <w:marRight w:val="0"/>
              <w:marTop w:val="0"/>
              <w:marBottom w:val="0"/>
              <w:divBdr>
                <w:top w:val="none" w:sz="0" w:space="0" w:color="auto"/>
                <w:left w:val="none" w:sz="0" w:space="0" w:color="auto"/>
                <w:bottom w:val="none" w:sz="0" w:space="0" w:color="auto"/>
                <w:right w:val="none" w:sz="0" w:space="0" w:color="auto"/>
              </w:divBdr>
              <w:divsChild>
                <w:div w:id="2105683188">
                  <w:marLeft w:val="0"/>
                  <w:marRight w:val="0"/>
                  <w:marTop w:val="0"/>
                  <w:marBottom w:val="0"/>
                  <w:divBdr>
                    <w:top w:val="none" w:sz="0" w:space="0" w:color="auto"/>
                    <w:left w:val="none" w:sz="0" w:space="0" w:color="auto"/>
                    <w:bottom w:val="none" w:sz="0" w:space="0" w:color="auto"/>
                    <w:right w:val="none" w:sz="0" w:space="0" w:color="auto"/>
                  </w:divBdr>
                  <w:divsChild>
                    <w:div w:id="1952011727">
                      <w:marLeft w:val="0"/>
                      <w:marRight w:val="0"/>
                      <w:marTop w:val="0"/>
                      <w:marBottom w:val="0"/>
                      <w:divBdr>
                        <w:top w:val="none" w:sz="0" w:space="0" w:color="auto"/>
                        <w:left w:val="none" w:sz="0" w:space="0" w:color="auto"/>
                        <w:bottom w:val="none" w:sz="0" w:space="0" w:color="auto"/>
                        <w:right w:val="none" w:sz="0" w:space="0" w:color="auto"/>
                      </w:divBdr>
                      <w:divsChild>
                        <w:div w:id="1783185387">
                          <w:marLeft w:val="0"/>
                          <w:marRight w:val="0"/>
                          <w:marTop w:val="0"/>
                          <w:marBottom w:val="0"/>
                          <w:divBdr>
                            <w:top w:val="none" w:sz="0" w:space="0" w:color="auto"/>
                            <w:left w:val="none" w:sz="0" w:space="0" w:color="auto"/>
                            <w:bottom w:val="none" w:sz="0" w:space="0" w:color="auto"/>
                            <w:right w:val="none" w:sz="0" w:space="0" w:color="auto"/>
                          </w:divBdr>
                          <w:divsChild>
                            <w:div w:id="2055960532">
                              <w:marLeft w:val="0"/>
                              <w:marRight w:val="0"/>
                              <w:marTop w:val="0"/>
                              <w:marBottom w:val="0"/>
                              <w:divBdr>
                                <w:top w:val="none" w:sz="0" w:space="0" w:color="auto"/>
                                <w:left w:val="none" w:sz="0" w:space="0" w:color="auto"/>
                                <w:bottom w:val="none" w:sz="0" w:space="0" w:color="auto"/>
                                <w:right w:val="none" w:sz="0" w:space="0" w:color="auto"/>
                              </w:divBdr>
                              <w:divsChild>
                                <w:div w:id="1381243506">
                                  <w:marLeft w:val="0"/>
                                  <w:marRight w:val="0"/>
                                  <w:marTop w:val="0"/>
                                  <w:marBottom w:val="0"/>
                                  <w:divBdr>
                                    <w:top w:val="none" w:sz="0" w:space="0" w:color="auto"/>
                                    <w:left w:val="none" w:sz="0" w:space="0" w:color="auto"/>
                                    <w:bottom w:val="none" w:sz="0" w:space="0" w:color="auto"/>
                                    <w:right w:val="none" w:sz="0" w:space="0" w:color="auto"/>
                                  </w:divBdr>
                                  <w:divsChild>
                                    <w:div w:id="1350254058">
                                      <w:marLeft w:val="0"/>
                                      <w:marRight w:val="0"/>
                                      <w:marTop w:val="0"/>
                                      <w:marBottom w:val="0"/>
                                      <w:divBdr>
                                        <w:top w:val="none" w:sz="0" w:space="0" w:color="auto"/>
                                        <w:left w:val="none" w:sz="0" w:space="0" w:color="auto"/>
                                        <w:bottom w:val="none" w:sz="0" w:space="0" w:color="auto"/>
                                        <w:right w:val="none" w:sz="0" w:space="0" w:color="auto"/>
                                      </w:divBdr>
                                    </w:div>
                                    <w:div w:id="11124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8923">
                              <w:marLeft w:val="0"/>
                              <w:marRight w:val="0"/>
                              <w:marTop w:val="0"/>
                              <w:marBottom w:val="0"/>
                              <w:divBdr>
                                <w:top w:val="none" w:sz="0" w:space="0" w:color="auto"/>
                                <w:left w:val="none" w:sz="0" w:space="0" w:color="auto"/>
                                <w:bottom w:val="none" w:sz="0" w:space="0" w:color="auto"/>
                                <w:right w:val="none" w:sz="0" w:space="0" w:color="auto"/>
                              </w:divBdr>
                              <w:divsChild>
                                <w:div w:id="1964848261">
                                  <w:marLeft w:val="0"/>
                                  <w:marRight w:val="0"/>
                                  <w:marTop w:val="0"/>
                                  <w:marBottom w:val="0"/>
                                  <w:divBdr>
                                    <w:top w:val="none" w:sz="0" w:space="0" w:color="auto"/>
                                    <w:left w:val="none" w:sz="0" w:space="0" w:color="auto"/>
                                    <w:bottom w:val="none" w:sz="0" w:space="0" w:color="auto"/>
                                    <w:right w:val="none" w:sz="0" w:space="0" w:color="auto"/>
                                  </w:divBdr>
                                  <w:divsChild>
                                    <w:div w:id="1017318095">
                                      <w:marLeft w:val="0"/>
                                      <w:marRight w:val="0"/>
                                      <w:marTop w:val="0"/>
                                      <w:marBottom w:val="0"/>
                                      <w:divBdr>
                                        <w:top w:val="none" w:sz="0" w:space="0" w:color="auto"/>
                                        <w:left w:val="none" w:sz="0" w:space="0" w:color="auto"/>
                                        <w:bottom w:val="none" w:sz="0" w:space="0" w:color="auto"/>
                                        <w:right w:val="none" w:sz="0" w:space="0" w:color="auto"/>
                                      </w:divBdr>
                                    </w:div>
                                    <w:div w:id="6001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611794">
      <w:bodyDiv w:val="1"/>
      <w:marLeft w:val="0"/>
      <w:marRight w:val="0"/>
      <w:marTop w:val="0"/>
      <w:marBottom w:val="0"/>
      <w:divBdr>
        <w:top w:val="none" w:sz="0" w:space="0" w:color="auto"/>
        <w:left w:val="none" w:sz="0" w:space="0" w:color="auto"/>
        <w:bottom w:val="none" w:sz="0" w:space="0" w:color="auto"/>
        <w:right w:val="none" w:sz="0" w:space="0" w:color="auto"/>
      </w:divBdr>
    </w:div>
    <w:div w:id="1141311910">
      <w:bodyDiv w:val="1"/>
      <w:marLeft w:val="0"/>
      <w:marRight w:val="0"/>
      <w:marTop w:val="0"/>
      <w:marBottom w:val="0"/>
      <w:divBdr>
        <w:top w:val="none" w:sz="0" w:space="0" w:color="auto"/>
        <w:left w:val="none" w:sz="0" w:space="0" w:color="auto"/>
        <w:bottom w:val="none" w:sz="0" w:space="0" w:color="auto"/>
        <w:right w:val="none" w:sz="0" w:space="0" w:color="auto"/>
      </w:divBdr>
    </w:div>
    <w:div w:id="1258175417">
      <w:bodyDiv w:val="1"/>
      <w:marLeft w:val="0"/>
      <w:marRight w:val="0"/>
      <w:marTop w:val="0"/>
      <w:marBottom w:val="0"/>
      <w:divBdr>
        <w:top w:val="none" w:sz="0" w:space="0" w:color="auto"/>
        <w:left w:val="none" w:sz="0" w:space="0" w:color="auto"/>
        <w:bottom w:val="none" w:sz="0" w:space="0" w:color="auto"/>
        <w:right w:val="none" w:sz="0" w:space="0" w:color="auto"/>
      </w:divBdr>
    </w:div>
    <w:div w:id="137358043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45241706">
      <w:bodyDiv w:val="1"/>
      <w:marLeft w:val="0"/>
      <w:marRight w:val="0"/>
      <w:marTop w:val="0"/>
      <w:marBottom w:val="0"/>
      <w:divBdr>
        <w:top w:val="none" w:sz="0" w:space="0" w:color="auto"/>
        <w:left w:val="none" w:sz="0" w:space="0" w:color="auto"/>
        <w:bottom w:val="none" w:sz="0" w:space="0" w:color="auto"/>
        <w:right w:val="none" w:sz="0" w:space="0" w:color="auto"/>
      </w:divBdr>
    </w:div>
    <w:div w:id="214199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6698</Words>
  <Characters>3819</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finanšu līdzekļu piešķiršanu no valsts budžeta programmas „Līdzekļi neparedzētiem gadījumiem”” sākotnējās ietekmes novērtējuma ziņojums (anotācija)</vt:lpstr>
      <vt:lpstr>Par finanšu līdzekļu piešķiršanu no valsts budžeta programmas "Līdzekļi neparedzētiem gadījumiem"</vt:lpstr>
    </vt:vector>
  </TitlesOfParts>
  <Manager/>
  <Company>Veselības ministrija</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Anotācija</dc:subject>
  <dc:creator>Inga Vinničenko</dc:creator>
  <dc:description>67876029, Inga.Vinnicenko@vm.gov.lv, Nozares budžeta plānošanas departamenta
Vecākā referente</dc:description>
  <cp:lastModifiedBy>Igors Belovs</cp:lastModifiedBy>
  <cp:revision>12</cp:revision>
  <cp:lastPrinted>2019-05-14T10:30:00Z</cp:lastPrinted>
  <dcterms:created xsi:type="dcterms:W3CDTF">2020-06-17T07:27:00Z</dcterms:created>
  <dcterms:modified xsi:type="dcterms:W3CDTF">2020-07-16T13:04:00Z</dcterms:modified>
</cp:coreProperties>
</file>