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B900" w14:textId="1DEF5887" w:rsidR="00B6584F" w:rsidRPr="00A234A2" w:rsidRDefault="00E470A2" w:rsidP="00B6584F">
      <w:pPr>
        <w:shd w:val="clear" w:color="auto" w:fill="FFFFFF" w:themeFill="background1"/>
        <w:ind w:left="142" w:hanging="142"/>
        <w:contextualSpacing/>
        <w:jc w:val="center"/>
        <w:rPr>
          <w:rFonts w:ascii="Times New Roman" w:eastAsia="Times New Roman" w:hAnsi="Times New Roman"/>
          <w:b/>
          <w:bCs/>
          <w:sz w:val="28"/>
          <w:szCs w:val="24"/>
          <w:lang w:eastAsia="lv-LV"/>
        </w:rPr>
      </w:pPr>
      <w:r>
        <w:rPr>
          <w:rFonts w:ascii="Times New Roman" w:eastAsia="Times New Roman" w:hAnsi="Times New Roman"/>
          <w:b/>
          <w:bCs/>
          <w:sz w:val="28"/>
          <w:szCs w:val="24"/>
          <w:lang w:eastAsia="lv-LV"/>
        </w:rPr>
        <w:t>L</w:t>
      </w:r>
      <w:r w:rsidR="00B6584F" w:rsidRPr="00A234A2">
        <w:rPr>
          <w:rFonts w:ascii="Times New Roman" w:eastAsia="Times New Roman" w:hAnsi="Times New Roman"/>
          <w:b/>
          <w:bCs/>
          <w:sz w:val="28"/>
          <w:szCs w:val="24"/>
          <w:lang w:eastAsia="lv-LV"/>
        </w:rPr>
        <w:t>ikumprojekta “Grozījumi likumā “Par</w:t>
      </w:r>
      <w:r w:rsidR="00B6584F">
        <w:rPr>
          <w:rFonts w:ascii="Times New Roman" w:eastAsia="Times New Roman" w:hAnsi="Times New Roman"/>
          <w:b/>
          <w:bCs/>
          <w:sz w:val="28"/>
          <w:szCs w:val="24"/>
          <w:lang w:eastAsia="lv-LV"/>
        </w:rPr>
        <w:t xml:space="preserve"> nekustamā īpašuma nodokli”</w:t>
      </w:r>
      <w:r w:rsidR="00856DFB">
        <w:rPr>
          <w:rFonts w:ascii="Times New Roman" w:eastAsia="Times New Roman" w:hAnsi="Times New Roman"/>
          <w:b/>
          <w:bCs/>
          <w:sz w:val="28"/>
          <w:szCs w:val="24"/>
          <w:lang w:eastAsia="lv-LV"/>
        </w:rPr>
        <w:t>”</w:t>
      </w:r>
      <w:r w:rsidR="00B6584F">
        <w:rPr>
          <w:rFonts w:ascii="Times New Roman" w:eastAsia="Times New Roman" w:hAnsi="Times New Roman"/>
          <w:b/>
          <w:bCs/>
          <w:sz w:val="28"/>
          <w:szCs w:val="24"/>
          <w:lang w:eastAsia="lv-LV"/>
        </w:rPr>
        <w:t xml:space="preserve"> </w:t>
      </w:r>
      <w:r w:rsidR="00B6584F" w:rsidRPr="00A234A2">
        <w:rPr>
          <w:rFonts w:ascii="Times New Roman" w:eastAsia="Times New Roman" w:hAnsi="Times New Roman"/>
          <w:b/>
          <w:bCs/>
          <w:sz w:val="28"/>
          <w:szCs w:val="24"/>
          <w:lang w:eastAsia="lv-LV"/>
        </w:rPr>
        <w:t>sākotnējās ietekmes novērtējuma ziņojums (anotācija)</w:t>
      </w:r>
    </w:p>
    <w:p w14:paraId="0944E868" w14:textId="77777777" w:rsidR="00B6584F" w:rsidRPr="006A24C2" w:rsidRDefault="00B6584F" w:rsidP="00B6584F">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6584F" w:rsidRPr="006A24C2" w14:paraId="2B66C5C8" w14:textId="77777777" w:rsidTr="00106F9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94821F" w14:textId="77777777" w:rsidR="00B6584F" w:rsidRPr="006A24C2" w:rsidRDefault="00B6584F" w:rsidP="00106F92">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Tiesību akta projekta anotācijas kopsavilkums</w:t>
            </w:r>
          </w:p>
          <w:p w14:paraId="6350BCC5" w14:textId="77777777" w:rsidR="00B6584F" w:rsidRPr="006A24C2" w:rsidRDefault="00B6584F" w:rsidP="00106F92">
            <w:pPr>
              <w:spacing w:after="0" w:line="240" w:lineRule="auto"/>
              <w:rPr>
                <w:rFonts w:ascii="Times New Roman" w:eastAsia="Times New Roman" w:hAnsi="Times New Roman"/>
                <w:b/>
                <w:bCs/>
                <w:iCs/>
                <w:sz w:val="24"/>
                <w:szCs w:val="24"/>
                <w:lang w:eastAsia="lv-LV"/>
              </w:rPr>
            </w:pPr>
          </w:p>
        </w:tc>
      </w:tr>
      <w:tr w:rsidR="00B6584F" w:rsidRPr="006A24C2" w14:paraId="5C45387D" w14:textId="77777777" w:rsidTr="00106F9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0BE58EF"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166830B" w14:textId="6AB11676" w:rsidR="00B6584F" w:rsidRDefault="00B6584F" w:rsidP="000252EB">
            <w:pPr>
              <w:spacing w:after="0" w:line="240" w:lineRule="auto"/>
              <w:ind w:firstLine="249"/>
              <w:jc w:val="both"/>
              <w:rPr>
                <w:rFonts w:ascii="Times New Roman" w:hAnsi="Times New Roman"/>
                <w:sz w:val="24"/>
                <w:szCs w:val="24"/>
              </w:rPr>
            </w:pPr>
            <w:r w:rsidRPr="00A234A2">
              <w:rPr>
                <w:rFonts w:ascii="Times New Roman" w:hAnsi="Times New Roman"/>
                <w:sz w:val="24"/>
                <w:szCs w:val="24"/>
              </w:rPr>
              <w:t xml:space="preserve">Likumprojekts “Grozījumi likumā “Par </w:t>
            </w:r>
            <w:r>
              <w:rPr>
                <w:rFonts w:ascii="Times New Roman" w:hAnsi="Times New Roman"/>
                <w:sz w:val="24"/>
                <w:szCs w:val="24"/>
              </w:rPr>
              <w:t xml:space="preserve">nekustamā īpašuma nodokli” </w:t>
            </w:r>
            <w:r w:rsidRPr="00A234A2">
              <w:rPr>
                <w:rFonts w:ascii="Times New Roman" w:hAnsi="Times New Roman"/>
                <w:sz w:val="24"/>
                <w:szCs w:val="24"/>
              </w:rPr>
              <w:t xml:space="preserve">(turpmāk – likumprojekts) </w:t>
            </w:r>
            <w:r>
              <w:rPr>
                <w:rFonts w:ascii="Times New Roman" w:hAnsi="Times New Roman"/>
                <w:sz w:val="24"/>
                <w:szCs w:val="24"/>
              </w:rPr>
              <w:t xml:space="preserve">izstrādāts, lai nodrošinātu taisnīgu un samērīgu nekustamā īpašuma nodokļa apmēru, paredzot </w:t>
            </w:r>
            <w:r w:rsidR="00386FB2">
              <w:rPr>
                <w:rFonts w:ascii="Times New Roman" w:hAnsi="Times New Roman"/>
                <w:sz w:val="24"/>
                <w:szCs w:val="24"/>
              </w:rPr>
              <w:t>speciālo vērtību piemērot arī tām lauku zemes vienībām</w:t>
            </w:r>
            <w:r w:rsidR="00AD2614">
              <w:rPr>
                <w:rFonts w:ascii="Times New Roman" w:hAnsi="Times New Roman"/>
                <w:sz w:val="24"/>
                <w:szCs w:val="24"/>
              </w:rPr>
              <w:t>,</w:t>
            </w:r>
            <w:r w:rsidR="00386FB2">
              <w:rPr>
                <w:rFonts w:ascii="Times New Roman" w:hAnsi="Times New Roman"/>
                <w:sz w:val="24"/>
                <w:szCs w:val="24"/>
              </w:rPr>
              <w:t xml:space="preserve"> kuras nepārsniedz trīs hektārus</w:t>
            </w:r>
            <w:r w:rsidR="00106F92">
              <w:rPr>
                <w:rFonts w:ascii="Times New Roman" w:hAnsi="Times New Roman"/>
                <w:sz w:val="24"/>
                <w:szCs w:val="24"/>
              </w:rPr>
              <w:t>,</w:t>
            </w:r>
            <w:r w:rsidR="00386FB2">
              <w:rPr>
                <w:rFonts w:ascii="Times New Roman" w:hAnsi="Times New Roman"/>
                <w:sz w:val="24"/>
                <w:szCs w:val="24"/>
              </w:rPr>
              <w:t xml:space="preserve"> un pagarināt speciālās vērtības piemērošanu </w:t>
            </w:r>
            <w:r w:rsidR="00AD2614">
              <w:rPr>
                <w:rFonts w:ascii="Times New Roman" w:hAnsi="Times New Roman"/>
                <w:sz w:val="24"/>
                <w:szCs w:val="24"/>
              </w:rPr>
              <w:t xml:space="preserve">lauku zemēm </w:t>
            </w:r>
            <w:r w:rsidR="00386FB2">
              <w:rPr>
                <w:rFonts w:ascii="Times New Roman" w:hAnsi="Times New Roman"/>
                <w:sz w:val="24"/>
                <w:szCs w:val="24"/>
              </w:rPr>
              <w:t>līdz 2027.gadam.</w:t>
            </w:r>
          </w:p>
          <w:p w14:paraId="14BE1C02" w14:textId="0C0D4657" w:rsidR="00B6584F" w:rsidRPr="00B6584F" w:rsidRDefault="00B6584F" w:rsidP="000252EB">
            <w:pPr>
              <w:spacing w:after="0" w:line="240" w:lineRule="auto"/>
              <w:ind w:firstLine="249"/>
              <w:jc w:val="both"/>
              <w:rPr>
                <w:rFonts w:ascii="Times New Roman" w:hAnsi="Times New Roman"/>
                <w:bCs/>
                <w:sz w:val="24"/>
                <w:szCs w:val="24"/>
              </w:rPr>
            </w:pPr>
          </w:p>
        </w:tc>
      </w:tr>
    </w:tbl>
    <w:p w14:paraId="6695035A" w14:textId="77777777" w:rsidR="00B6584F" w:rsidRPr="006A24C2" w:rsidRDefault="00B6584F" w:rsidP="00B6584F">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B6584F" w:rsidRPr="006A24C2" w14:paraId="29CF19DF" w14:textId="77777777" w:rsidTr="00106F9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DAE7BC4" w14:textId="77777777" w:rsidR="00B6584F" w:rsidRPr="006A24C2" w:rsidRDefault="00B6584F" w:rsidP="00106F92">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I. Tiesību akta projekta izstrādes nepieciešamība</w:t>
            </w:r>
          </w:p>
        </w:tc>
      </w:tr>
      <w:tr w:rsidR="00B6584F" w:rsidRPr="006A24C2" w14:paraId="484BA10F"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2049AB"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6B6EDCD" w14:textId="77777777" w:rsidR="00B6584F" w:rsidRPr="00A972B8"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2CDB2A8" w14:textId="74503605" w:rsidR="00B6584F" w:rsidRPr="00B72EEA" w:rsidRDefault="00B6584F" w:rsidP="000252EB">
            <w:pPr>
              <w:spacing w:after="0" w:line="240" w:lineRule="auto"/>
              <w:ind w:left="57" w:right="57" w:firstLine="207"/>
              <w:jc w:val="both"/>
              <w:rPr>
                <w:rFonts w:ascii="Times New Roman" w:hAnsi="Times New Roman"/>
                <w:sz w:val="24"/>
                <w:szCs w:val="24"/>
              </w:rPr>
            </w:pPr>
            <w:r w:rsidRPr="00A234A2">
              <w:rPr>
                <w:rFonts w:ascii="Times New Roman" w:hAnsi="Times New Roman"/>
                <w:sz w:val="24"/>
                <w:szCs w:val="24"/>
              </w:rPr>
              <w:t xml:space="preserve">Likumprojekts </w:t>
            </w:r>
            <w:r w:rsidR="002B706D">
              <w:rPr>
                <w:rFonts w:ascii="Times New Roman" w:hAnsi="Times New Roman"/>
                <w:sz w:val="24"/>
                <w:szCs w:val="24"/>
              </w:rPr>
              <w:t>sagatavots</w:t>
            </w:r>
            <w:r w:rsidRPr="00A234A2">
              <w:rPr>
                <w:rFonts w:ascii="Times New Roman" w:hAnsi="Times New Roman"/>
                <w:sz w:val="24"/>
                <w:szCs w:val="24"/>
              </w:rPr>
              <w:t xml:space="preserve">, </w:t>
            </w:r>
            <w:r w:rsidR="000252EB">
              <w:rPr>
                <w:rFonts w:ascii="Times New Roman" w:hAnsi="Times New Roman"/>
                <w:sz w:val="24"/>
                <w:szCs w:val="24"/>
              </w:rPr>
              <w:t>pamatojoties uz Ministru kabineta 2020.gada 18.februāra sēdes protokola Nr.7 25.§ 6.punktā doto uzdevumu</w:t>
            </w:r>
            <w:r w:rsidR="00D1715A">
              <w:rPr>
                <w:rFonts w:ascii="Times New Roman" w:hAnsi="Times New Roman"/>
                <w:sz w:val="24"/>
                <w:szCs w:val="24"/>
              </w:rPr>
              <w:t xml:space="preserve"> (turpmāk – MK dotais uzdevums)</w:t>
            </w:r>
            <w:r w:rsidR="000252EB">
              <w:rPr>
                <w:rFonts w:ascii="Times New Roman" w:hAnsi="Times New Roman"/>
                <w:sz w:val="24"/>
                <w:szCs w:val="24"/>
              </w:rPr>
              <w:t xml:space="preserve">, ar kuru noteikts Zemkopības ministrijai sadarbībā ar Tieslietu ministriju un Finanšu ministriju izstrādāt priekšlikumus likumā “Par nekustamā īpašuma nodokli”, kas paredz no 2021.gada iesaldēt lauku zemes </w:t>
            </w:r>
            <w:r w:rsidR="00AD2614">
              <w:rPr>
                <w:rFonts w:ascii="Times New Roman" w:hAnsi="Times New Roman"/>
                <w:sz w:val="24"/>
                <w:szCs w:val="24"/>
              </w:rPr>
              <w:t xml:space="preserve">speciālās </w:t>
            </w:r>
            <w:r w:rsidR="000252EB">
              <w:rPr>
                <w:rFonts w:ascii="Times New Roman" w:hAnsi="Times New Roman"/>
                <w:sz w:val="24"/>
                <w:szCs w:val="24"/>
              </w:rPr>
              <w:t>vērtības.</w:t>
            </w:r>
          </w:p>
        </w:tc>
      </w:tr>
      <w:tr w:rsidR="00B6584F" w:rsidRPr="006A24C2" w14:paraId="155ADB44"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6EA7F9"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2EC808"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65BCCD2B" w14:textId="77777777" w:rsidR="000252EB" w:rsidRDefault="000252EB" w:rsidP="000252EB">
            <w:pPr>
              <w:pStyle w:val="tvhtml"/>
              <w:spacing w:before="0" w:beforeAutospacing="0" w:after="0" w:afterAutospacing="0"/>
              <w:ind w:firstLine="264"/>
              <w:jc w:val="both"/>
              <w:rPr>
                <w:bCs/>
                <w:color w:val="000000" w:themeColor="text1"/>
              </w:rPr>
            </w:pPr>
            <w:r>
              <w:rPr>
                <w:bCs/>
                <w:color w:val="000000" w:themeColor="text1"/>
              </w:rPr>
              <w:t>S</w:t>
            </w:r>
            <w:r w:rsidRPr="00B706DD">
              <w:rPr>
                <w:bCs/>
                <w:color w:val="000000" w:themeColor="text1"/>
              </w:rPr>
              <w:t xml:space="preserve">askaņā ar </w:t>
            </w:r>
            <w:r>
              <w:rPr>
                <w:bCs/>
                <w:color w:val="000000" w:themeColor="text1"/>
              </w:rPr>
              <w:t xml:space="preserve">likuma “Par nekustamā īpašuma nodokli” (turpmāk – Likuma) </w:t>
            </w:r>
            <w:r w:rsidRPr="00B706DD">
              <w:rPr>
                <w:bCs/>
                <w:color w:val="000000" w:themeColor="text1"/>
              </w:rPr>
              <w:t xml:space="preserve">3.panta divpadsmito daļu zemes vienībām (to daļām), kuras atrodas administratīvajās teritorijās ārpus pilsētām un kuru platība pārsniedz 3 hektārus, un vismaz viens no noteiktajiem lietošanas mērķiem ir no lietošanas mērķu grupas "Lauksaimniecības zeme", "Mežsaimniecības zeme un īpaši aizsargājamās dabas teritorijas, kurās saimnieciskā darbība ir aizliegta ar normatīvo aktu" vai "Ūdens objektu zeme" (turpmāk — lauku zeme), nekustamā īpašuma nodokli līdz 2025. taksācijas gadam aprēķina no speciālās vērtības, ko nosaka īpaši nodokļa aprēķinam (turpmāk — speciālā vērtība). </w:t>
            </w:r>
            <w:r>
              <w:rPr>
                <w:bCs/>
                <w:color w:val="000000" w:themeColor="text1"/>
              </w:rPr>
              <w:t>Minētā panta trīspadsmitajā daļā noteikts, ka s</w:t>
            </w:r>
            <w:r w:rsidRPr="00B706DD">
              <w:rPr>
                <w:bCs/>
                <w:color w:val="000000" w:themeColor="text1"/>
              </w:rPr>
              <w:t xml:space="preserve">peciālā vērtība tiek noteikta, pamatojoties uz lauku zemes kadastrālo vērtību, ikgadēji taksācijas gada lauku zemes speciālās vērtības pieaugums gadā var sasniegt 10 procentus no iepriekšējam taksācijas gadam noteiktās lauku zemes speciālās vērtības. </w:t>
            </w:r>
            <w:r>
              <w:rPr>
                <w:bCs/>
                <w:color w:val="000000" w:themeColor="text1"/>
              </w:rPr>
              <w:t>Savukārt minētā panta četrpadsmitajā daļā noteikts, ka s</w:t>
            </w:r>
            <w:r w:rsidRPr="00B706DD">
              <w:rPr>
                <w:bCs/>
                <w:color w:val="000000" w:themeColor="text1"/>
              </w:rPr>
              <w:t xml:space="preserve">peciālo vērtību pēc stāvokļa taksācijas gada 1.janvārī nosaka, salīdzinot pirmstaksācijas gada speciālo vērtību ar kadastrālo vērtību, kas noteikta taksācijas gada 1.janvārī. Speciālā vērtība ir vienāda ar kadastrālo vērtību, ja taksācijas gada 1.janvārī noteiktās kadastrālās vērtības pieaugums </w:t>
            </w:r>
            <w:r w:rsidRPr="00B706DD">
              <w:rPr>
                <w:bCs/>
                <w:color w:val="000000" w:themeColor="text1"/>
              </w:rPr>
              <w:lastRenderedPageBreak/>
              <w:t>nepārsniedz 10 procentus no pirmstaksācijas gada speciālās vērtības. Speciālā vērtība ir vienāda ar pirmstaksācijas gada speciālo vērtību, kas reizināta ar koeficientu 1,1, ja taksācijas gada 1.janvārī noteiktās kadastrālās vērtības pieaugums pārsniedz 10 procentus no pirmstaksācijas gada speciālās vērtības.</w:t>
            </w:r>
          </w:p>
          <w:p w14:paraId="1717EAE7" w14:textId="77777777" w:rsidR="000252EB" w:rsidRDefault="000252EB" w:rsidP="000252EB">
            <w:pPr>
              <w:pStyle w:val="tvhtml"/>
              <w:spacing w:before="0" w:beforeAutospacing="0" w:after="0" w:afterAutospacing="0"/>
              <w:ind w:firstLine="264"/>
              <w:jc w:val="both"/>
            </w:pPr>
            <w:r>
              <w:rPr>
                <w:bCs/>
                <w:color w:val="000000" w:themeColor="text1"/>
              </w:rPr>
              <w:t>Speciālā vērtība tika ieviesta 2016.gadā ar mērķi nodrošināt samērīgu nekustamā īpašuma nodokļa (turpmāk – NĪN) pieaugumu. Tas bija nepieciešams dēļ tā, ka ar 2016.gadu tika ieviestas jaunas kadastrālo vērtību bāzes, kas</w:t>
            </w:r>
            <w:r>
              <w:t xml:space="preserve"> izstrādātas atbilstoši nekustamā īpašuma tirgus situācijai 2012 – 2013.gadā.</w:t>
            </w:r>
          </w:p>
          <w:p w14:paraId="0B9B5233" w14:textId="77777777" w:rsidR="00AD2614" w:rsidRPr="00B96D43" w:rsidRDefault="00AD2614" w:rsidP="00AD2614">
            <w:pPr>
              <w:spacing w:after="0" w:line="240" w:lineRule="auto"/>
              <w:jc w:val="both"/>
              <w:rPr>
                <w:rFonts w:ascii="Times New Roman" w:eastAsiaTheme="minorHAnsi" w:hAnsi="Times New Roman"/>
                <w:sz w:val="24"/>
                <w:szCs w:val="24"/>
              </w:rPr>
            </w:pPr>
            <w:r w:rsidRPr="00B96D43">
              <w:rPr>
                <w:rFonts w:ascii="Times New Roman" w:hAnsi="Times New Roman"/>
                <w:bCs/>
                <w:color w:val="000000" w:themeColor="text1"/>
                <w:sz w:val="24"/>
                <w:szCs w:val="24"/>
              </w:rPr>
              <w:t xml:space="preserve">Valsts zemes dienesta informācija </w:t>
            </w:r>
            <w:r w:rsidRPr="00B96D43">
              <w:rPr>
                <w:rFonts w:ascii="Times New Roman" w:hAnsi="Times New Roman"/>
                <w:sz w:val="24"/>
                <w:szCs w:val="24"/>
              </w:rPr>
              <w:t xml:space="preserve">liecina, ka </w:t>
            </w:r>
            <w:r w:rsidRPr="00B96D43">
              <w:rPr>
                <w:rFonts w:ascii="Times New Roman" w:hAnsi="Times New Roman"/>
                <w:bCs/>
                <w:sz w:val="24"/>
                <w:szCs w:val="24"/>
              </w:rPr>
              <w:t>2021.gadā tikai 17 258 (t.i. 5,28%) zemes vienībām no 326 589, būtu jāpiemēro speciālās vērtības 10% ierobežojums.</w:t>
            </w:r>
          </w:p>
          <w:p w14:paraId="60AD1D6E" w14:textId="77777777" w:rsidR="00AD2614" w:rsidRPr="00B96D43" w:rsidRDefault="00AD2614" w:rsidP="00AD2614">
            <w:pPr>
              <w:spacing w:after="0" w:line="240" w:lineRule="auto"/>
              <w:jc w:val="both"/>
              <w:rPr>
                <w:rFonts w:ascii="Times New Roman" w:hAnsi="Times New Roman"/>
                <w:sz w:val="24"/>
                <w:szCs w:val="24"/>
              </w:rPr>
            </w:pPr>
            <w:r w:rsidRPr="00B96D43">
              <w:rPr>
                <w:rFonts w:ascii="Times New Roman" w:hAnsi="Times New Roman"/>
                <w:bCs/>
                <w:sz w:val="24"/>
                <w:szCs w:val="24"/>
              </w:rPr>
              <w:t>Turklāt ierobežojums ir skaidrojams, nevis ar kadastrālo vērtību bāzes 2016.gada pieaugumu, bet ar izmaiņām saistībā ar objektu raksturojošiem datiem</w:t>
            </w:r>
            <w:r w:rsidRPr="00B96D43">
              <w:rPr>
                <w:rFonts w:ascii="Times New Roman" w:hAnsi="Times New Roman"/>
                <w:sz w:val="24"/>
                <w:szCs w:val="24"/>
              </w:rPr>
              <w:t>, piemēram,:</w:t>
            </w:r>
          </w:p>
          <w:p w14:paraId="6C4EF9EC" w14:textId="77777777" w:rsidR="00AD2614" w:rsidRPr="00B96D43" w:rsidRDefault="00AD2614" w:rsidP="00AD2614">
            <w:pPr>
              <w:pStyle w:val="Sarakstarindkopa"/>
              <w:numPr>
                <w:ilvl w:val="0"/>
                <w:numId w:val="2"/>
              </w:numPr>
              <w:spacing w:after="0" w:line="240" w:lineRule="auto"/>
              <w:contextualSpacing w:val="0"/>
              <w:jc w:val="both"/>
              <w:rPr>
                <w:rFonts w:ascii="Times New Roman" w:eastAsia="Times New Roman" w:hAnsi="Times New Roman"/>
                <w:sz w:val="24"/>
                <w:szCs w:val="24"/>
              </w:rPr>
            </w:pPr>
            <w:r w:rsidRPr="00B96D43">
              <w:rPr>
                <w:rFonts w:ascii="Times New Roman" w:eastAsia="Times New Roman" w:hAnsi="Times New Roman"/>
                <w:sz w:val="24"/>
                <w:szCs w:val="24"/>
                <w:lang w:val="lv-LV"/>
              </w:rPr>
              <w:t>j</w:t>
            </w:r>
            <w:r w:rsidRPr="00B96D43">
              <w:rPr>
                <w:rFonts w:ascii="Times New Roman" w:eastAsia="Times New Roman" w:hAnsi="Times New Roman"/>
                <w:sz w:val="24"/>
                <w:szCs w:val="24"/>
              </w:rPr>
              <w:t>a no Valsts meža dienesta ir nodota uz Nekustamā īpašuma valsts kadastra informācijas sistēmu jaunākā informācija, tad parasti notiek meža zemes kvalitātes pārrēķins un izmaiņas atbilstoši jaunākiem datiem (ieskaitot arī informāciju par ciršanas ierobežojumiem), kas pieved pie kadastrālo vērtību izmaiņām;</w:t>
            </w:r>
          </w:p>
          <w:p w14:paraId="2CD6C154" w14:textId="77777777" w:rsidR="00AD2614" w:rsidRPr="00B96D43" w:rsidRDefault="00AD2614" w:rsidP="00AD2614">
            <w:pPr>
              <w:pStyle w:val="Sarakstarindkopa"/>
              <w:numPr>
                <w:ilvl w:val="0"/>
                <w:numId w:val="2"/>
              </w:numPr>
              <w:spacing w:after="0" w:line="240" w:lineRule="auto"/>
              <w:contextualSpacing w:val="0"/>
              <w:jc w:val="both"/>
              <w:rPr>
                <w:rFonts w:ascii="Times New Roman" w:eastAsia="Times New Roman" w:hAnsi="Times New Roman"/>
                <w:sz w:val="24"/>
                <w:szCs w:val="24"/>
              </w:rPr>
            </w:pPr>
            <w:r w:rsidRPr="00B96D43">
              <w:rPr>
                <w:rFonts w:ascii="Times New Roman" w:eastAsia="Times New Roman" w:hAnsi="Times New Roman"/>
                <w:sz w:val="24"/>
                <w:szCs w:val="24"/>
                <w:lang w:val="lv-LV"/>
              </w:rPr>
              <w:t>z</w:t>
            </w:r>
            <w:proofErr w:type="spellStart"/>
            <w:r w:rsidRPr="00B96D43">
              <w:rPr>
                <w:rFonts w:ascii="Times New Roman" w:eastAsia="Times New Roman" w:hAnsi="Times New Roman"/>
                <w:sz w:val="24"/>
                <w:szCs w:val="24"/>
              </w:rPr>
              <w:t>emes</w:t>
            </w:r>
            <w:proofErr w:type="spellEnd"/>
            <w:r w:rsidRPr="00B96D43">
              <w:rPr>
                <w:rFonts w:ascii="Times New Roman" w:eastAsia="Times New Roman" w:hAnsi="Times New Roman"/>
                <w:sz w:val="24"/>
                <w:szCs w:val="24"/>
              </w:rPr>
              <w:t xml:space="preserve"> vienībām mainās zemes vienības eksplikācija (sadalījums pa lietošanas veidiem), zemes kopplatībai nemainoties, līdz ar platību izmaiņām, mainījās arī kadastrālā vērtība.</w:t>
            </w:r>
          </w:p>
          <w:p w14:paraId="45C39140" w14:textId="77777777" w:rsidR="00AD2614" w:rsidRPr="00AD2614" w:rsidRDefault="00AD2614" w:rsidP="00941088">
            <w:pPr>
              <w:pStyle w:val="tvhtml"/>
              <w:spacing w:before="0" w:beforeAutospacing="0" w:after="120" w:afterAutospacing="0"/>
              <w:jc w:val="both"/>
              <w:rPr>
                <w:bCs/>
                <w:color w:val="000000" w:themeColor="text1"/>
              </w:rPr>
            </w:pPr>
            <w:r w:rsidRPr="00B96D43">
              <w:rPr>
                <w:bCs/>
                <w:color w:val="000000" w:themeColor="text1"/>
              </w:rPr>
              <w:t xml:space="preserve">Līdz ar to nav pamata </w:t>
            </w:r>
            <w:r w:rsidRPr="00B96D43">
              <w:t>no 2021.gada iesaldēt lauku zemes speciālās vērtības.</w:t>
            </w:r>
            <w:r>
              <w:rPr>
                <w:bCs/>
                <w:color w:val="000000" w:themeColor="text1"/>
              </w:rPr>
              <w:t xml:space="preserve"> </w:t>
            </w:r>
          </w:p>
          <w:p w14:paraId="3338C18D" w14:textId="1BE35602" w:rsidR="00755264" w:rsidRDefault="00AD2614" w:rsidP="00755264">
            <w:pPr>
              <w:pStyle w:val="tvhtml"/>
              <w:spacing w:before="0" w:beforeAutospacing="0" w:after="0" w:afterAutospacing="0"/>
              <w:ind w:firstLine="264"/>
              <w:jc w:val="both"/>
            </w:pPr>
            <w:r>
              <w:t xml:space="preserve">Tomēr, </w:t>
            </w:r>
            <w:r w:rsidR="00B96D43" w:rsidRPr="009066D4">
              <w:t>Nekustamā īpašuma valsts kadastra likum</w:t>
            </w:r>
            <w:r w:rsidR="006A246B">
              <w:t>ā</w:t>
            </w:r>
            <w:r w:rsidR="009066D4">
              <w:t xml:space="preserve"> </w:t>
            </w:r>
            <w:proofErr w:type="spellStart"/>
            <w:r w:rsidR="009066D4">
              <w:t>nosak</w:t>
            </w:r>
            <w:r w:rsidR="006A246B">
              <w:t>ts</w:t>
            </w:r>
            <w:proofErr w:type="spellEnd"/>
            <w:r w:rsidR="009066D4">
              <w:t>, ka k</w:t>
            </w:r>
            <w:r w:rsidR="00B96D43" w:rsidRPr="009066D4">
              <w:t>adastrālo vērtību bāzi 2022.—2025. gadam izstrādā atbilstoši situācijai nekustamā īpašuma tirgū, kāda tā bija 2019. gada 1. jūlijā</w:t>
            </w:r>
            <w:r w:rsidR="009066D4">
              <w:rPr>
                <w:rFonts w:ascii="Arial" w:hAnsi="Arial" w:cs="Arial"/>
                <w:color w:val="414142"/>
                <w:sz w:val="20"/>
                <w:szCs w:val="20"/>
                <w:shd w:val="clear" w:color="auto" w:fill="FFFFFF"/>
              </w:rPr>
              <w:t xml:space="preserve"> </w:t>
            </w:r>
            <w:r w:rsidR="000252EB" w:rsidRPr="00A623D8">
              <w:t>un to, ka pēdējos</w:t>
            </w:r>
            <w:r w:rsidR="000252EB">
              <w:t xml:space="preserve"> gados ir būtiski pieaugušas lauksaimniecībā izmantojamās zemes tirgus darījumu vērtības, ir paredzams, ka būtiski palielināsies arī jaunās kadastrālo vērtību bāzes, kā rezultātā sākot ar 2022.gadu vēl būtiskāk pieaugs nekustamā īpašuma nodokļa maksājumi.</w:t>
            </w:r>
            <w:r w:rsidR="00755264">
              <w:t xml:space="preserve"> </w:t>
            </w:r>
            <w:r w:rsidR="009066D4">
              <w:t xml:space="preserve">Saskaņā ar tīmekļa vietnē </w:t>
            </w:r>
            <w:proofErr w:type="spellStart"/>
            <w:r w:rsidR="009066D4">
              <w:t>kadastrs.lv</w:t>
            </w:r>
            <w:proofErr w:type="spellEnd"/>
            <w:r w:rsidR="009066D4">
              <w:t xml:space="preserve"> publiski pieejamo informāciju, p</w:t>
            </w:r>
            <w:r w:rsidR="00A861D1">
              <w:t xml:space="preserve">aredzams, ka lauku zemēm kadastrālās vērtības pieaugums būs no 200 līdz 400 procentiem. </w:t>
            </w:r>
          </w:p>
          <w:p w14:paraId="6AEF60FE" w14:textId="62457A1F" w:rsidR="00A861D1" w:rsidRPr="00755264" w:rsidRDefault="009066D4" w:rsidP="00755264">
            <w:pPr>
              <w:pStyle w:val="tvhtml"/>
              <w:spacing w:before="0" w:beforeAutospacing="0" w:after="0" w:afterAutospacing="0"/>
              <w:ind w:firstLine="264"/>
              <w:jc w:val="both"/>
              <w:rPr>
                <w:rFonts w:ascii="Arial" w:hAnsi="Arial" w:cs="Arial"/>
                <w:color w:val="414142"/>
                <w:sz w:val="20"/>
                <w:szCs w:val="20"/>
                <w:shd w:val="clear" w:color="auto" w:fill="FFFFFF"/>
              </w:rPr>
            </w:pPr>
            <w:r>
              <w:t xml:space="preserve">Ņemot vērā, ka līdz 2025.gadam lauku zemes vienībām, kuru platība pārsniedz 3 ha piemēro 10% speciālās vērtības pieauguma ierobežojumu, bet lauku zemes vienībām, kuru platība ir līdz 3 </w:t>
            </w:r>
            <w:r w:rsidR="00755264">
              <w:t>hektāriem</w:t>
            </w:r>
            <w:r>
              <w:t xml:space="preserve">, </w:t>
            </w:r>
            <w:r>
              <w:lastRenderedPageBreak/>
              <w:t xml:space="preserve">nepiemēro speciālās vērtības pieauguma ierobežojumu, ir paredzams, ka </w:t>
            </w:r>
            <w:r w:rsidR="00A861D1">
              <w:t xml:space="preserve">vis nepasargātie būs tie lauku zemju īpašnieki, kuru lauku zemes vienības nepārsniedz </w:t>
            </w:r>
            <w:r>
              <w:t>3</w:t>
            </w:r>
            <w:r w:rsidR="00A861D1">
              <w:t xml:space="preserve"> hektārus.</w:t>
            </w:r>
          </w:p>
          <w:p w14:paraId="7C68F20C" w14:textId="42658717" w:rsidR="00A861D1" w:rsidRDefault="003D3976" w:rsidP="008A2A25">
            <w:pPr>
              <w:pStyle w:val="tvhtml"/>
              <w:spacing w:before="0" w:beforeAutospacing="0" w:after="0" w:afterAutospacing="0"/>
              <w:ind w:firstLine="264"/>
              <w:jc w:val="both"/>
              <w:rPr>
                <w:color w:val="000000"/>
                <w:shd w:val="clear" w:color="auto" w:fill="FFFFFF"/>
              </w:rPr>
            </w:pPr>
            <w:r>
              <w:rPr>
                <w:color w:val="000000"/>
                <w:shd w:val="clear" w:color="auto" w:fill="FFFFFF"/>
              </w:rPr>
              <w:t>Lauku z</w:t>
            </w:r>
            <w:r w:rsidR="00A861D1">
              <w:rPr>
                <w:color w:val="000000"/>
                <w:shd w:val="clear" w:color="auto" w:fill="FFFFFF"/>
              </w:rPr>
              <w:t xml:space="preserve">emes vienības platība 3 </w:t>
            </w:r>
            <w:r w:rsidR="00755264">
              <w:rPr>
                <w:color w:val="000000"/>
                <w:shd w:val="clear" w:color="auto" w:fill="FFFFFF"/>
              </w:rPr>
              <w:t>hektāri</w:t>
            </w:r>
            <w:r w:rsidR="00A861D1">
              <w:rPr>
                <w:color w:val="000000"/>
                <w:shd w:val="clear" w:color="auto" w:fill="FFFFFF"/>
              </w:rPr>
              <w:t xml:space="preserve"> kā kritērijs speciālās vērtības noteikšanai, </w:t>
            </w:r>
            <w:r w:rsidR="009066D4">
              <w:rPr>
                <w:color w:val="000000"/>
                <w:shd w:val="clear" w:color="auto" w:fill="FFFFFF"/>
              </w:rPr>
              <w:t xml:space="preserve">2015.gadā </w:t>
            </w:r>
            <w:r w:rsidR="00A861D1">
              <w:rPr>
                <w:color w:val="000000"/>
                <w:shd w:val="clear" w:color="auto" w:fill="FFFFFF"/>
              </w:rPr>
              <w:t xml:space="preserve">izvēlēts, </w:t>
            </w:r>
            <w:r>
              <w:rPr>
                <w:color w:val="000000"/>
                <w:shd w:val="clear" w:color="auto" w:fill="FFFFFF"/>
              </w:rPr>
              <w:t xml:space="preserve">atbilstoši Tieslietu ministrijas norādījumiem, kas </w:t>
            </w:r>
            <w:r w:rsidR="00A861D1">
              <w:rPr>
                <w:color w:val="000000"/>
                <w:shd w:val="clear" w:color="auto" w:fill="FFFFFF"/>
              </w:rPr>
              <w:t>vad</w:t>
            </w:r>
            <w:r>
              <w:rPr>
                <w:color w:val="000000"/>
                <w:shd w:val="clear" w:color="auto" w:fill="FFFFFF"/>
              </w:rPr>
              <w:t>ījās</w:t>
            </w:r>
            <w:r w:rsidR="00A861D1">
              <w:rPr>
                <w:color w:val="000000"/>
                <w:shd w:val="clear" w:color="auto" w:fill="FFFFFF"/>
              </w:rPr>
              <w:t xml:space="preserve"> pēc nekustamā īpašuma tirgus analīzes rezultātiem</w:t>
            </w:r>
            <w:r>
              <w:rPr>
                <w:color w:val="000000"/>
                <w:shd w:val="clear" w:color="auto" w:fill="FFFFFF"/>
              </w:rPr>
              <w:t xml:space="preserve"> 2015.gadā</w:t>
            </w:r>
            <w:r w:rsidR="00A861D1">
              <w:rPr>
                <w:color w:val="000000"/>
                <w:shd w:val="clear" w:color="auto" w:fill="FFFFFF"/>
              </w:rPr>
              <w:t xml:space="preserve">. </w:t>
            </w:r>
          </w:p>
          <w:p w14:paraId="611AA746" w14:textId="77EB038E" w:rsidR="003D3976" w:rsidRDefault="006A246B" w:rsidP="00941088">
            <w:pPr>
              <w:pStyle w:val="tvhtml"/>
              <w:spacing w:before="0" w:beforeAutospacing="0" w:after="120" w:afterAutospacing="0"/>
              <w:ind w:firstLine="266"/>
              <w:jc w:val="both"/>
              <w:rPr>
                <w:bCs/>
                <w:color w:val="000000" w:themeColor="text1"/>
              </w:rPr>
            </w:pPr>
            <w:r>
              <w:rPr>
                <w:bCs/>
                <w:color w:val="000000" w:themeColor="text1"/>
              </w:rPr>
              <w:t>Š</w:t>
            </w:r>
            <w:r w:rsidR="003D3976">
              <w:rPr>
                <w:bCs/>
                <w:color w:val="000000" w:themeColor="text1"/>
              </w:rPr>
              <w:t>ā brīža informācija liecina, ka vienam</w:t>
            </w:r>
            <w:r w:rsidR="00941088">
              <w:rPr>
                <w:bCs/>
                <w:color w:val="000000" w:themeColor="text1"/>
              </w:rPr>
              <w:t xml:space="preserve"> lauku zemes</w:t>
            </w:r>
            <w:r w:rsidR="003D3976">
              <w:rPr>
                <w:bCs/>
                <w:color w:val="000000" w:themeColor="text1"/>
              </w:rPr>
              <w:t xml:space="preserve"> īpašniekam (lauksaimniekam, zivsaimniekam vai mežsaimniekam) var piederēt vairākas lauku zemes vienības platīb</w:t>
            </w:r>
            <w:r>
              <w:rPr>
                <w:bCs/>
                <w:color w:val="000000" w:themeColor="text1"/>
              </w:rPr>
              <w:t>ā</w:t>
            </w:r>
            <w:r w:rsidR="003D3976">
              <w:rPr>
                <w:bCs/>
                <w:color w:val="000000" w:themeColor="text1"/>
              </w:rPr>
              <w:t xml:space="preserve"> līdz 3 </w:t>
            </w:r>
            <w:r w:rsidR="00755264">
              <w:rPr>
                <w:bCs/>
                <w:color w:val="000000" w:themeColor="text1"/>
              </w:rPr>
              <w:t>hektāriem</w:t>
            </w:r>
            <w:r w:rsidR="003D3976">
              <w:rPr>
                <w:bCs/>
                <w:color w:val="000000" w:themeColor="text1"/>
              </w:rPr>
              <w:t xml:space="preserve"> un kopējā lauku zemes platība var pat atsevišķos gadījumos pārsniegt 20 hektārus. Tāpēc, lai pasargātu arī šos lauku zemes īpašniekus no nesamērīgi augsta nekustamā īpašuma nodokļa sloga, likumā jāparedz, ka arī lauku zemes vienībām līdz 3 hektāri</w:t>
            </w:r>
            <w:r w:rsidR="00E56E60">
              <w:rPr>
                <w:bCs/>
                <w:color w:val="000000" w:themeColor="text1"/>
              </w:rPr>
              <w:t>em</w:t>
            </w:r>
            <w:r w:rsidR="003D3976">
              <w:rPr>
                <w:bCs/>
                <w:color w:val="000000" w:themeColor="text1"/>
              </w:rPr>
              <w:t>, nekustamā īpašuma nodokļa aprēķinam izmanto speciālo vērtību.</w:t>
            </w:r>
          </w:p>
          <w:p w14:paraId="7BB7FB42" w14:textId="4D194E68" w:rsidR="003B450D" w:rsidRPr="00755264" w:rsidRDefault="00941088" w:rsidP="00755264">
            <w:pPr>
              <w:pStyle w:val="Sarakstarindkopa"/>
              <w:spacing w:before="120" w:after="0" w:line="240" w:lineRule="auto"/>
              <w:ind w:left="0" w:right="113" w:firstLine="264"/>
              <w:contextualSpacing w:val="0"/>
              <w:jc w:val="both"/>
              <w:rPr>
                <w:rFonts w:ascii="Times New Roman" w:hAnsi="Times New Roman"/>
                <w:sz w:val="24"/>
                <w:szCs w:val="24"/>
                <w:lang w:val="lv-LV"/>
              </w:rPr>
            </w:pPr>
            <w:r w:rsidRPr="00755264">
              <w:rPr>
                <w:rFonts w:ascii="Times New Roman" w:hAnsi="Times New Roman"/>
                <w:bCs/>
                <w:color w:val="000000" w:themeColor="text1"/>
                <w:sz w:val="24"/>
                <w:szCs w:val="24"/>
              </w:rPr>
              <w:t>Šobrīd Likums nosaka, ka nekustamā īpašuma nodokli aprēķina no speciālās vērtības līdz 2025. taksācijas gadam. Ņemot vērā to, nākamais Kopējās lauksaimniecības politikas plānošanas periods sākas ar 2021.gadu un būs līdz 2027.gadam, tad arī lauksaimniekiem, zivsaimniekiem un mežsaimniekiem</w:t>
            </w:r>
            <w:r w:rsidR="00755264">
              <w:rPr>
                <w:rFonts w:ascii="Times New Roman" w:hAnsi="Times New Roman"/>
                <w:bCs/>
                <w:color w:val="000000" w:themeColor="text1"/>
                <w:sz w:val="24"/>
                <w:szCs w:val="24"/>
                <w:lang w:val="lv-LV"/>
              </w:rPr>
              <w:t>,</w:t>
            </w:r>
            <w:r w:rsidRPr="00755264">
              <w:rPr>
                <w:rFonts w:ascii="Times New Roman" w:hAnsi="Times New Roman"/>
                <w:bCs/>
                <w:color w:val="000000" w:themeColor="text1"/>
                <w:sz w:val="24"/>
                <w:szCs w:val="24"/>
              </w:rPr>
              <w:t xml:space="preserve"> plānojot nākamo septiņu gadu saimniecisko darbību</w:t>
            </w:r>
            <w:r w:rsidR="00755264">
              <w:rPr>
                <w:rFonts w:ascii="Times New Roman" w:hAnsi="Times New Roman"/>
                <w:bCs/>
                <w:color w:val="000000" w:themeColor="text1"/>
                <w:sz w:val="24"/>
                <w:szCs w:val="24"/>
                <w:lang w:val="lv-LV"/>
              </w:rPr>
              <w:t>,</w:t>
            </w:r>
            <w:r w:rsidRPr="00755264">
              <w:rPr>
                <w:rFonts w:ascii="Times New Roman" w:hAnsi="Times New Roman"/>
                <w:bCs/>
                <w:color w:val="000000" w:themeColor="text1"/>
                <w:sz w:val="24"/>
                <w:szCs w:val="24"/>
              </w:rPr>
              <w:t xml:space="preserve"> ir jābūt drošiem, ka nekustamā īpašuma nodokļa slogs nepieaugs būtiskāk, kā par 10 procentiem, kas ir Likumā noteiktais </w:t>
            </w:r>
            <w:r w:rsidR="00007288" w:rsidRPr="00755264">
              <w:rPr>
                <w:rFonts w:ascii="Times New Roman" w:hAnsi="Times New Roman"/>
                <w:bCs/>
                <w:color w:val="000000" w:themeColor="text1"/>
                <w:sz w:val="24"/>
                <w:szCs w:val="24"/>
              </w:rPr>
              <w:t>taksācijas gada lauku zemes speciālās vērtības pieaugums gadā.</w:t>
            </w:r>
          </w:p>
          <w:p w14:paraId="5C2F1EA4" w14:textId="486505CF" w:rsidR="003B450D" w:rsidRDefault="003B450D" w:rsidP="00E2706C">
            <w:pPr>
              <w:pStyle w:val="Sarakstarindkopa"/>
              <w:spacing w:after="0" w:line="240" w:lineRule="auto"/>
              <w:ind w:left="0" w:right="113" w:firstLine="278"/>
              <w:contextualSpacing w:val="0"/>
              <w:jc w:val="both"/>
              <w:rPr>
                <w:rFonts w:ascii="Times New Roman" w:hAnsi="Times New Roman"/>
                <w:sz w:val="24"/>
                <w:szCs w:val="24"/>
                <w:shd w:val="clear" w:color="auto" w:fill="FFFFFF"/>
                <w:lang w:val="lv-LV"/>
              </w:rPr>
            </w:pPr>
            <w:r>
              <w:rPr>
                <w:rFonts w:ascii="Times New Roman" w:hAnsi="Times New Roman"/>
                <w:sz w:val="24"/>
                <w:szCs w:val="24"/>
                <w:lang w:val="lv-LV"/>
              </w:rPr>
              <w:t>Šobrīd pašvaldībām,</w:t>
            </w:r>
            <w:r w:rsidR="0003030F">
              <w:rPr>
                <w:rFonts w:ascii="Times New Roman" w:hAnsi="Times New Roman"/>
                <w:sz w:val="24"/>
                <w:szCs w:val="24"/>
                <w:lang w:val="lv-LV"/>
              </w:rPr>
              <w:t xml:space="preserve"> nosakot </w:t>
            </w:r>
            <w:r>
              <w:rPr>
                <w:rFonts w:ascii="Times New Roman" w:hAnsi="Times New Roman"/>
                <w:sz w:val="24"/>
                <w:szCs w:val="24"/>
                <w:lang w:val="lv-LV"/>
              </w:rPr>
              <w:t xml:space="preserve">nekustamā īpašuma nodokļa </w:t>
            </w:r>
            <w:r w:rsidRPr="00755264">
              <w:rPr>
                <w:rFonts w:ascii="Times New Roman" w:hAnsi="Times New Roman"/>
                <w:sz w:val="24"/>
                <w:szCs w:val="24"/>
                <w:lang w:val="lv-LV"/>
              </w:rPr>
              <w:t>likmi vai nodokļa atvieglojumus ir</w:t>
            </w:r>
            <w:r w:rsidRPr="00755264">
              <w:rPr>
                <w:rFonts w:ascii="Times New Roman" w:hAnsi="Times New Roman"/>
                <w:sz w:val="24"/>
                <w:szCs w:val="24"/>
              </w:rPr>
              <w:t xml:space="preserve"> </w:t>
            </w:r>
            <w:r w:rsidRPr="00755264">
              <w:rPr>
                <w:rFonts w:ascii="Times New Roman" w:hAnsi="Times New Roman"/>
                <w:sz w:val="24"/>
                <w:szCs w:val="24"/>
                <w:lang w:val="lv-LV"/>
              </w:rPr>
              <w:t>jā</w:t>
            </w:r>
            <w:r w:rsidRPr="00755264">
              <w:rPr>
                <w:rFonts w:ascii="Times New Roman" w:hAnsi="Times New Roman"/>
                <w:sz w:val="24"/>
                <w:szCs w:val="24"/>
                <w:shd w:val="clear" w:color="auto" w:fill="FFFFFF"/>
              </w:rPr>
              <w:t>ievēro Komisijas 2013.gada 18.decembra regulas (ES) Nr. </w:t>
            </w:r>
            <w:r w:rsidR="00755264">
              <w:rPr>
                <w:rFonts w:ascii="Times New Roman" w:hAnsi="Times New Roman"/>
                <w:sz w:val="24"/>
                <w:szCs w:val="24"/>
                <w:shd w:val="clear" w:color="auto" w:fill="FFFFFF"/>
                <w:lang w:val="lv-LV"/>
              </w:rPr>
              <w:t>1407/2013</w:t>
            </w:r>
            <w:r w:rsidRPr="00755264">
              <w:rPr>
                <w:rFonts w:ascii="Times New Roman" w:hAnsi="Times New Roman"/>
                <w:sz w:val="24"/>
                <w:szCs w:val="24"/>
                <w:shd w:val="clear" w:color="auto" w:fill="FFFFFF"/>
              </w:rPr>
              <w:t> par Līguma par Eiropas Savienības darbību 107. un 108.panta piemērošanu</w:t>
            </w:r>
            <w:r w:rsidRPr="00755264">
              <w:rPr>
                <w:rFonts w:ascii="Times New Roman" w:hAnsi="Times New Roman"/>
                <w:sz w:val="24"/>
                <w:szCs w:val="24"/>
                <w:shd w:val="clear" w:color="auto" w:fill="FFFFFF"/>
                <w:lang w:val="lv-LV"/>
              </w:rPr>
              <w:t xml:space="preserve"> </w:t>
            </w:r>
            <w:r w:rsidRPr="00755264">
              <w:rPr>
                <w:rFonts w:ascii="Times New Roman" w:hAnsi="Times New Roman"/>
                <w:sz w:val="24"/>
                <w:szCs w:val="24"/>
                <w:shd w:val="clear" w:color="auto" w:fill="FFFFFF"/>
              </w:rPr>
              <w:t> </w:t>
            </w:r>
            <w:proofErr w:type="spellStart"/>
            <w:r w:rsidRPr="00755264">
              <w:rPr>
                <w:rFonts w:ascii="Times New Roman" w:hAnsi="Times New Roman"/>
                <w:i/>
                <w:iCs/>
                <w:sz w:val="24"/>
                <w:szCs w:val="24"/>
                <w:shd w:val="clear" w:color="auto" w:fill="FFFFFF"/>
              </w:rPr>
              <w:t>de</w:t>
            </w:r>
            <w:proofErr w:type="spellEnd"/>
            <w:r w:rsidRPr="00755264">
              <w:rPr>
                <w:rFonts w:ascii="Times New Roman" w:hAnsi="Times New Roman"/>
                <w:i/>
                <w:iCs/>
                <w:sz w:val="24"/>
                <w:szCs w:val="24"/>
                <w:shd w:val="clear" w:color="auto" w:fill="FFFFFF"/>
              </w:rPr>
              <w:t xml:space="preserve"> </w:t>
            </w:r>
            <w:proofErr w:type="spellStart"/>
            <w:r w:rsidRPr="00755264">
              <w:rPr>
                <w:rFonts w:ascii="Times New Roman" w:hAnsi="Times New Roman"/>
                <w:i/>
                <w:iCs/>
                <w:sz w:val="24"/>
                <w:szCs w:val="24"/>
                <w:shd w:val="clear" w:color="auto" w:fill="FFFFFF"/>
              </w:rPr>
              <w:t>minimis</w:t>
            </w:r>
            <w:proofErr w:type="spellEnd"/>
            <w:r w:rsidRPr="00755264">
              <w:rPr>
                <w:rFonts w:ascii="Times New Roman" w:hAnsi="Times New Roman"/>
                <w:sz w:val="24"/>
                <w:szCs w:val="24"/>
                <w:shd w:val="clear" w:color="auto" w:fill="FFFFFF"/>
              </w:rPr>
              <w:t> </w:t>
            </w:r>
            <w:r w:rsidRPr="00755264">
              <w:rPr>
                <w:rFonts w:ascii="Times New Roman" w:hAnsi="Times New Roman"/>
                <w:sz w:val="24"/>
                <w:szCs w:val="24"/>
                <w:shd w:val="clear" w:color="auto" w:fill="FFFFFF"/>
                <w:lang w:val="lv-LV"/>
              </w:rPr>
              <w:t xml:space="preserve"> </w:t>
            </w:r>
            <w:r w:rsidRPr="00755264">
              <w:rPr>
                <w:rFonts w:ascii="Times New Roman" w:hAnsi="Times New Roman"/>
                <w:sz w:val="24"/>
                <w:szCs w:val="24"/>
                <w:shd w:val="clear" w:color="auto" w:fill="FFFFFF"/>
              </w:rPr>
              <w:t>atbalstam (Dokuments attiecas uz EEZ) nosacījumus</w:t>
            </w:r>
            <w:r w:rsidRPr="00755264">
              <w:rPr>
                <w:rFonts w:ascii="Times New Roman" w:hAnsi="Times New Roman"/>
                <w:sz w:val="24"/>
                <w:szCs w:val="24"/>
                <w:shd w:val="clear" w:color="auto" w:fill="FFFFFF"/>
                <w:lang w:val="lv-LV"/>
              </w:rPr>
              <w:t xml:space="preserve">. Tādēļ ir nepieciešams </w:t>
            </w:r>
            <w:r w:rsidRPr="00755264">
              <w:rPr>
                <w:rFonts w:ascii="Times New Roman" w:hAnsi="Times New Roman"/>
                <w:sz w:val="24"/>
                <w:szCs w:val="24"/>
              </w:rPr>
              <w:t>likuma 3.</w:t>
            </w:r>
            <w:r w:rsidRPr="00755264">
              <w:rPr>
                <w:rFonts w:ascii="Times New Roman" w:hAnsi="Times New Roman"/>
                <w:sz w:val="24"/>
                <w:szCs w:val="24"/>
                <w:vertAlign w:val="superscript"/>
              </w:rPr>
              <w:t>1</w:t>
            </w:r>
            <w:r w:rsidRPr="00755264">
              <w:rPr>
                <w:rFonts w:ascii="Times New Roman" w:hAnsi="Times New Roman"/>
                <w:sz w:val="24"/>
                <w:szCs w:val="24"/>
              </w:rPr>
              <w:t xml:space="preserve"> panta otrās daļas pirm</w:t>
            </w:r>
            <w:r w:rsidRPr="00755264">
              <w:rPr>
                <w:rFonts w:ascii="Times New Roman" w:hAnsi="Times New Roman"/>
                <w:sz w:val="24"/>
                <w:szCs w:val="24"/>
                <w:lang w:val="lv-LV"/>
              </w:rPr>
              <w:t>o</w:t>
            </w:r>
            <w:r w:rsidRPr="00755264">
              <w:rPr>
                <w:rFonts w:ascii="Times New Roman" w:hAnsi="Times New Roman"/>
                <w:sz w:val="24"/>
                <w:szCs w:val="24"/>
              </w:rPr>
              <w:t xml:space="preserve"> punkt</w:t>
            </w:r>
            <w:r w:rsidRPr="00755264">
              <w:rPr>
                <w:rFonts w:ascii="Times New Roman" w:hAnsi="Times New Roman"/>
                <w:sz w:val="24"/>
                <w:szCs w:val="24"/>
                <w:lang w:val="lv-LV"/>
              </w:rPr>
              <w:t>u</w:t>
            </w:r>
            <w:r w:rsidRPr="00755264">
              <w:rPr>
                <w:rFonts w:ascii="Times New Roman" w:hAnsi="Times New Roman"/>
                <w:sz w:val="24"/>
                <w:szCs w:val="24"/>
              </w:rPr>
              <w:t xml:space="preserve"> un 5.panta ceturt</w:t>
            </w:r>
            <w:r w:rsidRPr="00755264">
              <w:rPr>
                <w:rFonts w:ascii="Times New Roman" w:hAnsi="Times New Roman"/>
                <w:sz w:val="24"/>
                <w:szCs w:val="24"/>
                <w:lang w:val="lv-LV"/>
              </w:rPr>
              <w:t>o</w:t>
            </w:r>
            <w:r w:rsidRPr="00755264">
              <w:rPr>
                <w:rFonts w:ascii="Times New Roman" w:hAnsi="Times New Roman"/>
                <w:sz w:val="24"/>
                <w:szCs w:val="24"/>
              </w:rPr>
              <w:t xml:space="preserve"> daļ</w:t>
            </w:r>
            <w:r w:rsidRPr="00755264">
              <w:rPr>
                <w:rFonts w:ascii="Times New Roman" w:hAnsi="Times New Roman"/>
                <w:sz w:val="24"/>
                <w:szCs w:val="24"/>
                <w:lang w:val="lv-LV"/>
              </w:rPr>
              <w:t xml:space="preserve">u papildināt ar atsauci </w:t>
            </w:r>
            <w:r>
              <w:rPr>
                <w:rFonts w:ascii="Times New Roman" w:hAnsi="Times New Roman"/>
                <w:sz w:val="24"/>
                <w:szCs w:val="24"/>
                <w:lang w:val="lv-LV"/>
              </w:rPr>
              <w:t>uz</w:t>
            </w:r>
            <w:r w:rsidRPr="00CC67AB">
              <w:rPr>
                <w:rFonts w:ascii="Times New Roman" w:hAnsi="Times New Roman"/>
                <w:sz w:val="28"/>
                <w:szCs w:val="28"/>
                <w:shd w:val="clear" w:color="auto" w:fill="FFFFFF"/>
              </w:rPr>
              <w:t xml:space="preserve"> </w:t>
            </w:r>
            <w:r w:rsidRPr="003B450D">
              <w:rPr>
                <w:rFonts w:ascii="Times New Roman" w:hAnsi="Times New Roman"/>
                <w:sz w:val="24"/>
                <w:szCs w:val="24"/>
                <w:shd w:val="clear" w:color="auto" w:fill="FFFFFF"/>
              </w:rPr>
              <w:t>Komisijas 2013. gada 18. decembra Regulas (EK) Nr. </w:t>
            </w:r>
            <w:r w:rsidR="00F426EA">
              <w:rPr>
                <w:rFonts w:ascii="Times New Roman" w:hAnsi="Times New Roman"/>
                <w:sz w:val="24"/>
                <w:szCs w:val="24"/>
                <w:shd w:val="clear" w:color="auto" w:fill="FFFFFF"/>
                <w:lang w:val="lv-LV"/>
              </w:rPr>
              <w:t xml:space="preserve">1408/2013 </w:t>
            </w:r>
            <w:r w:rsidRPr="003B450D">
              <w:rPr>
                <w:rFonts w:ascii="Times New Roman" w:hAnsi="Times New Roman"/>
                <w:sz w:val="24"/>
                <w:szCs w:val="24"/>
                <w:shd w:val="clear" w:color="auto" w:fill="FFFFFF"/>
              </w:rPr>
              <w:t> par Līguma par Eiropas Savienības darbību 107. un 108. panta piemērošanu </w:t>
            </w:r>
            <w:proofErr w:type="spellStart"/>
            <w:r w:rsidRPr="003B450D">
              <w:rPr>
                <w:rFonts w:ascii="Times New Roman" w:hAnsi="Times New Roman"/>
                <w:i/>
                <w:sz w:val="24"/>
                <w:szCs w:val="24"/>
                <w:shd w:val="clear" w:color="auto" w:fill="FFFFFF"/>
              </w:rPr>
              <w:t>de</w:t>
            </w:r>
            <w:proofErr w:type="spellEnd"/>
            <w:r w:rsidRPr="003B450D">
              <w:rPr>
                <w:rFonts w:ascii="Times New Roman" w:hAnsi="Times New Roman"/>
                <w:i/>
                <w:sz w:val="24"/>
                <w:szCs w:val="24"/>
                <w:shd w:val="clear" w:color="auto" w:fill="FFFFFF"/>
              </w:rPr>
              <w:t xml:space="preserve"> </w:t>
            </w:r>
            <w:proofErr w:type="spellStart"/>
            <w:r w:rsidRPr="003B450D">
              <w:rPr>
                <w:rFonts w:ascii="Times New Roman" w:hAnsi="Times New Roman"/>
                <w:i/>
                <w:sz w:val="24"/>
                <w:szCs w:val="24"/>
                <w:shd w:val="clear" w:color="auto" w:fill="FFFFFF"/>
              </w:rPr>
              <w:t>minimis</w:t>
            </w:r>
            <w:proofErr w:type="spellEnd"/>
            <w:r w:rsidRPr="003B450D">
              <w:rPr>
                <w:rFonts w:ascii="Times New Roman" w:hAnsi="Times New Roman"/>
                <w:sz w:val="24"/>
                <w:szCs w:val="24"/>
                <w:shd w:val="clear" w:color="auto" w:fill="FFFFFF"/>
              </w:rPr>
              <w:t> atbalstam lauksaimniecības nozarē (Eiropas Savienības Oficiālais Vēstnesis, 2013. gada 24. decembris, Nr. L 352) un Komisijas 2014. gada 27. jūnija Regulas (EK) Nr. </w:t>
            </w:r>
            <w:r>
              <w:rPr>
                <w:rFonts w:ascii="Times New Roman" w:hAnsi="Times New Roman"/>
                <w:sz w:val="24"/>
                <w:szCs w:val="24"/>
                <w:shd w:val="clear" w:color="auto" w:fill="FFFFFF"/>
                <w:lang w:val="lv-LV"/>
              </w:rPr>
              <w:t>717/2014</w:t>
            </w:r>
            <w:r w:rsidR="00F426EA">
              <w:rPr>
                <w:rFonts w:ascii="Times New Roman" w:hAnsi="Times New Roman"/>
                <w:sz w:val="24"/>
                <w:szCs w:val="24"/>
                <w:shd w:val="clear" w:color="auto" w:fill="FFFFFF"/>
              </w:rPr>
              <w:t xml:space="preserve"> </w:t>
            </w:r>
            <w:r w:rsidRPr="003B450D">
              <w:rPr>
                <w:rFonts w:ascii="Times New Roman" w:hAnsi="Times New Roman"/>
                <w:sz w:val="24"/>
                <w:szCs w:val="24"/>
                <w:shd w:val="clear" w:color="auto" w:fill="FFFFFF"/>
              </w:rPr>
              <w:t>par Līguma par Eiropas Savienības darbību 107. un 108. panta piemērošanu </w:t>
            </w:r>
            <w:proofErr w:type="spellStart"/>
            <w:r w:rsidRPr="003B450D">
              <w:rPr>
                <w:rFonts w:ascii="Times New Roman" w:hAnsi="Times New Roman"/>
                <w:i/>
                <w:sz w:val="24"/>
                <w:szCs w:val="24"/>
                <w:shd w:val="clear" w:color="auto" w:fill="FFFFFF"/>
              </w:rPr>
              <w:t>de</w:t>
            </w:r>
            <w:proofErr w:type="spellEnd"/>
            <w:r w:rsidRPr="003B450D">
              <w:rPr>
                <w:rFonts w:ascii="Times New Roman" w:hAnsi="Times New Roman"/>
                <w:i/>
                <w:sz w:val="24"/>
                <w:szCs w:val="24"/>
                <w:shd w:val="clear" w:color="auto" w:fill="FFFFFF"/>
              </w:rPr>
              <w:t xml:space="preserve"> </w:t>
            </w:r>
            <w:proofErr w:type="spellStart"/>
            <w:r w:rsidRPr="003B450D">
              <w:rPr>
                <w:rFonts w:ascii="Times New Roman" w:hAnsi="Times New Roman"/>
                <w:i/>
                <w:sz w:val="24"/>
                <w:szCs w:val="24"/>
                <w:shd w:val="clear" w:color="auto" w:fill="FFFFFF"/>
              </w:rPr>
              <w:t>minimis</w:t>
            </w:r>
            <w:proofErr w:type="spellEnd"/>
            <w:r w:rsidRPr="003B450D">
              <w:rPr>
                <w:rFonts w:ascii="Times New Roman" w:hAnsi="Times New Roman"/>
                <w:sz w:val="24"/>
                <w:szCs w:val="24"/>
                <w:shd w:val="clear" w:color="auto" w:fill="FFFFFF"/>
              </w:rPr>
              <w:t> atbalstam zvejniecības un akvakultūras nozarē (Eiropas Savienības Oficiālais Vēstnesis, 2014. gada 28. jūnijs, Nr. L190)</w:t>
            </w:r>
            <w:r>
              <w:rPr>
                <w:rFonts w:ascii="Times New Roman" w:hAnsi="Times New Roman"/>
                <w:sz w:val="24"/>
                <w:szCs w:val="24"/>
                <w:shd w:val="clear" w:color="auto" w:fill="FFFFFF"/>
                <w:lang w:val="lv-LV"/>
              </w:rPr>
              <w:t xml:space="preserve">, lai arī </w:t>
            </w:r>
            <w:r>
              <w:rPr>
                <w:rFonts w:ascii="Times New Roman" w:hAnsi="Times New Roman"/>
                <w:sz w:val="24"/>
                <w:szCs w:val="24"/>
                <w:shd w:val="clear" w:color="auto" w:fill="FFFFFF"/>
                <w:lang w:val="lv-LV"/>
              </w:rPr>
              <w:lastRenderedPageBreak/>
              <w:t>lauksaimniekiem un zivsaimniekiem pašvaldības varētu piemērot nekustamā īpašuma nodokļa atvieglojumus un atbrīvojumus.</w:t>
            </w:r>
          </w:p>
          <w:p w14:paraId="16B76999" w14:textId="77777777" w:rsidR="00B6584F" w:rsidRPr="003B450D" w:rsidRDefault="00B6584F" w:rsidP="00E2706C">
            <w:pPr>
              <w:pStyle w:val="Sarakstarindkopa"/>
              <w:spacing w:after="0" w:line="240" w:lineRule="auto"/>
              <w:ind w:left="0" w:right="113" w:firstLine="278"/>
              <w:contextualSpacing w:val="0"/>
              <w:jc w:val="both"/>
              <w:rPr>
                <w:rFonts w:ascii="Times New Roman" w:hAnsi="Times New Roman"/>
                <w:sz w:val="24"/>
                <w:szCs w:val="24"/>
                <w:lang w:val="lv-LV"/>
              </w:rPr>
            </w:pPr>
          </w:p>
        </w:tc>
      </w:tr>
      <w:tr w:rsidR="00B6584F" w:rsidRPr="006A24C2" w14:paraId="42164B6A"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9A7A85"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65B30B6"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Projekta izstrādē iesaistītās institūcijas un publiskas personas kapitālsabiedrības</w:t>
            </w:r>
          </w:p>
          <w:p w14:paraId="43687B47" w14:textId="77777777" w:rsidR="00B6584F" w:rsidRPr="006A24C2" w:rsidRDefault="00B6584F" w:rsidP="00106F92">
            <w:pPr>
              <w:spacing w:after="0" w:line="240" w:lineRule="auto"/>
              <w:rPr>
                <w:rFonts w:ascii="Times New Roman" w:eastAsia="Times New Roman" w:hAnsi="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1A4E1F5F" w14:textId="77777777" w:rsidR="00B6584F" w:rsidRPr="006A24C2" w:rsidRDefault="00B6584F" w:rsidP="00106F92">
            <w:pPr>
              <w:spacing w:before="100" w:beforeAutospacing="1" w:after="100" w:afterAutospacing="1" w:line="240" w:lineRule="auto"/>
              <w:ind w:right="111"/>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Zemkopības ministrija</w:t>
            </w:r>
          </w:p>
        </w:tc>
      </w:tr>
      <w:tr w:rsidR="00B6584F" w:rsidRPr="006A24C2" w14:paraId="5ED0929E"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57FB6B"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5536E1"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Cita informācija</w:t>
            </w:r>
          </w:p>
          <w:p w14:paraId="0E2704B9" w14:textId="77777777" w:rsidR="00B6584F" w:rsidRPr="006A24C2" w:rsidRDefault="00B6584F" w:rsidP="00106F92">
            <w:pPr>
              <w:spacing w:after="0" w:line="240" w:lineRule="auto"/>
              <w:rPr>
                <w:rFonts w:ascii="Times New Roman" w:eastAsia="Times New Roman" w:hAnsi="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09ECDC6A" w14:textId="77777777" w:rsidR="00B6584F" w:rsidRPr="006A24C2" w:rsidRDefault="00B6584F" w:rsidP="00106F92">
            <w:pPr>
              <w:spacing w:after="0" w:line="240" w:lineRule="auto"/>
              <w:ind w:right="113"/>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Nav</w:t>
            </w:r>
            <w:r>
              <w:rPr>
                <w:rFonts w:ascii="Times New Roman" w:eastAsia="Times New Roman" w:hAnsi="Times New Roman"/>
                <w:sz w:val="24"/>
                <w:szCs w:val="24"/>
                <w:lang w:eastAsia="lv-LV"/>
              </w:rPr>
              <w:t>.</w:t>
            </w:r>
          </w:p>
        </w:tc>
      </w:tr>
    </w:tbl>
    <w:p w14:paraId="02959583" w14:textId="77777777" w:rsidR="00B6584F" w:rsidRPr="006A24C2" w:rsidRDefault="00B6584F" w:rsidP="00B6584F">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584F" w:rsidRPr="006A24C2" w14:paraId="64AE3289" w14:textId="77777777" w:rsidTr="00106F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957B76" w14:textId="77777777" w:rsidR="00B6584F" w:rsidRPr="006A24C2" w:rsidRDefault="00B6584F" w:rsidP="00106F92">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II. Tiesību akta projekta ietekme uz sabiedrību, tautsaimniecības attīstību un administratīvo slogu</w:t>
            </w:r>
          </w:p>
        </w:tc>
      </w:tr>
      <w:tr w:rsidR="00B6584F" w:rsidRPr="006A24C2" w14:paraId="5F43BE41"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D5AC5B"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41D8D4"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A281894" w14:textId="3F30739E" w:rsidR="00B6584F" w:rsidRPr="000252EB" w:rsidRDefault="00B6584F" w:rsidP="000252EB">
            <w:pPr>
              <w:spacing w:after="0" w:line="240" w:lineRule="auto"/>
              <w:ind w:right="113" w:firstLine="375"/>
              <w:jc w:val="both"/>
              <w:rPr>
                <w:rFonts w:ascii="Times New Roman" w:eastAsia="Times New Roman" w:hAnsi="Times New Roman"/>
                <w:sz w:val="24"/>
                <w:szCs w:val="24"/>
                <w:lang w:eastAsia="lv-LV"/>
              </w:rPr>
            </w:pPr>
            <w:bookmarkStart w:id="0" w:name="_Hlk47961937"/>
            <w:r w:rsidRPr="00162142">
              <w:rPr>
                <w:rFonts w:ascii="Times New Roman" w:eastAsia="Times New Roman" w:hAnsi="Times New Roman"/>
                <w:sz w:val="24"/>
                <w:szCs w:val="24"/>
                <w:lang w:eastAsia="lv-LV"/>
              </w:rPr>
              <w:t xml:space="preserve">Noteikumu projekts attiecas uz </w:t>
            </w:r>
            <w:r w:rsidR="00117C31">
              <w:rPr>
                <w:rFonts w:ascii="Times New Roman" w:eastAsia="Times New Roman" w:hAnsi="Times New Roman"/>
                <w:sz w:val="24"/>
                <w:szCs w:val="24"/>
                <w:lang w:eastAsia="lv-LV"/>
              </w:rPr>
              <w:t xml:space="preserve">204 797 </w:t>
            </w:r>
            <w:r w:rsidRPr="00162142">
              <w:rPr>
                <w:rFonts w:ascii="Times New Roman" w:eastAsia="Times New Roman" w:hAnsi="Times New Roman"/>
                <w:sz w:val="24"/>
                <w:szCs w:val="24"/>
                <w:lang w:eastAsia="lv-LV"/>
              </w:rPr>
              <w:t xml:space="preserve">personām, </w:t>
            </w:r>
            <w:r w:rsidR="000252EB">
              <w:rPr>
                <w:rFonts w:ascii="Times New Roman" w:eastAsia="Times New Roman" w:hAnsi="Times New Roman"/>
                <w:sz w:val="24"/>
                <w:szCs w:val="24"/>
                <w:lang w:eastAsia="lv-LV"/>
              </w:rPr>
              <w:t>kuru īpašumā ir lauku zeme</w:t>
            </w:r>
            <w:r w:rsidR="00117C31">
              <w:rPr>
                <w:rFonts w:ascii="Times New Roman" w:eastAsia="Times New Roman" w:hAnsi="Times New Roman"/>
                <w:sz w:val="24"/>
                <w:szCs w:val="24"/>
                <w:lang w:eastAsia="lv-LV"/>
              </w:rPr>
              <w:t xml:space="preserve"> ārpus pilsētām</w:t>
            </w:r>
            <w:r w:rsidR="000252EB">
              <w:rPr>
                <w:rFonts w:ascii="Times New Roman" w:eastAsia="Times New Roman" w:hAnsi="Times New Roman"/>
                <w:sz w:val="24"/>
                <w:szCs w:val="24"/>
                <w:lang w:eastAsia="lv-LV"/>
              </w:rPr>
              <w:t xml:space="preserve"> (</w:t>
            </w:r>
            <w:r w:rsidR="00117C31">
              <w:rPr>
                <w:rFonts w:ascii="Times New Roman" w:eastAsia="Times New Roman" w:hAnsi="Times New Roman"/>
                <w:sz w:val="24"/>
                <w:szCs w:val="24"/>
                <w:lang w:eastAsia="lv-LV"/>
              </w:rPr>
              <w:t>579 737 zemes vienībām</w:t>
            </w:r>
            <w:r w:rsidR="000252EB">
              <w:rPr>
                <w:rFonts w:ascii="Times New Roman" w:eastAsia="Times New Roman" w:hAnsi="Times New Roman"/>
                <w:sz w:val="24"/>
                <w:szCs w:val="24"/>
                <w:lang w:eastAsia="lv-LV"/>
              </w:rPr>
              <w:t>)</w:t>
            </w:r>
            <w:bookmarkEnd w:id="0"/>
            <w:r w:rsidR="00117C31">
              <w:rPr>
                <w:rFonts w:ascii="Times New Roman" w:eastAsia="Times New Roman" w:hAnsi="Times New Roman"/>
                <w:sz w:val="24"/>
                <w:szCs w:val="24"/>
                <w:lang w:eastAsia="lv-LV"/>
              </w:rPr>
              <w:t>.</w:t>
            </w:r>
          </w:p>
        </w:tc>
      </w:tr>
      <w:tr w:rsidR="00B6584F" w:rsidRPr="006A24C2" w14:paraId="4EF3772F"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E6B14F"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12CFA8A"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5946DFB" w14:textId="77777777" w:rsidR="00B6584F" w:rsidRPr="006A24C2" w:rsidRDefault="00B6584F" w:rsidP="00106F92">
            <w:pPr>
              <w:spacing w:after="0" w:line="240" w:lineRule="auto"/>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Projekts šo jomu neskar.</w:t>
            </w:r>
          </w:p>
          <w:p w14:paraId="7A4BF498" w14:textId="77777777" w:rsidR="00B6584F" w:rsidRPr="006A24C2" w:rsidRDefault="00B6584F" w:rsidP="00106F92">
            <w:pPr>
              <w:tabs>
                <w:tab w:val="left" w:pos="240"/>
              </w:tabs>
              <w:spacing w:after="0" w:line="240" w:lineRule="auto"/>
              <w:ind w:right="111"/>
              <w:jc w:val="both"/>
              <w:rPr>
                <w:rFonts w:ascii="Times New Roman" w:eastAsia="Times New Roman" w:hAnsi="Times New Roman"/>
                <w:sz w:val="24"/>
                <w:szCs w:val="24"/>
                <w:highlight w:val="yellow"/>
                <w:lang w:eastAsia="lv-LV"/>
              </w:rPr>
            </w:pPr>
          </w:p>
        </w:tc>
      </w:tr>
      <w:tr w:rsidR="00B6584F" w:rsidRPr="006A24C2" w14:paraId="6A4873F3"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302B9A"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C059181"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CABE4B2" w14:textId="77777777" w:rsidR="00B6584F" w:rsidRPr="006A24C2" w:rsidRDefault="00B6584F" w:rsidP="00106F92">
            <w:pPr>
              <w:spacing w:after="0" w:line="240" w:lineRule="auto"/>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Projekts šo jomu neskar.</w:t>
            </w:r>
          </w:p>
          <w:p w14:paraId="59714A9E" w14:textId="77777777" w:rsidR="00B6584F" w:rsidRPr="006A24C2" w:rsidRDefault="00B6584F" w:rsidP="00106F92">
            <w:pPr>
              <w:spacing w:after="0" w:line="240" w:lineRule="auto"/>
              <w:jc w:val="both"/>
              <w:rPr>
                <w:rFonts w:ascii="Times New Roman" w:eastAsia="Times New Roman" w:hAnsi="Times New Roman"/>
                <w:sz w:val="24"/>
                <w:szCs w:val="24"/>
                <w:lang w:eastAsia="lv-LV"/>
              </w:rPr>
            </w:pPr>
          </w:p>
        </w:tc>
      </w:tr>
      <w:tr w:rsidR="00B6584F" w:rsidRPr="006A24C2" w14:paraId="39C21244"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952856"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D395D23"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B6BEC9" w14:textId="77777777" w:rsidR="00B6584F" w:rsidRPr="006A24C2" w:rsidRDefault="00B6584F" w:rsidP="00106F92">
            <w:pPr>
              <w:spacing w:after="0" w:line="240" w:lineRule="auto"/>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Nav</w:t>
            </w:r>
            <w:r>
              <w:rPr>
                <w:rFonts w:ascii="Times New Roman" w:eastAsia="Times New Roman" w:hAnsi="Times New Roman"/>
                <w:sz w:val="24"/>
                <w:szCs w:val="24"/>
                <w:lang w:eastAsia="lv-LV"/>
              </w:rPr>
              <w:t>.</w:t>
            </w:r>
          </w:p>
        </w:tc>
      </w:tr>
      <w:tr w:rsidR="00B6584F" w:rsidRPr="006A24C2" w14:paraId="7A12695B"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438E3F"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BB4F507"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290E33" w14:textId="77777777" w:rsidR="00B6584F" w:rsidRPr="006A24C2" w:rsidRDefault="00B6584F" w:rsidP="00106F92">
            <w:pPr>
              <w:spacing w:after="0" w:line="240" w:lineRule="auto"/>
              <w:ind w:right="113"/>
              <w:jc w:val="both"/>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Nav.</w:t>
            </w:r>
          </w:p>
        </w:tc>
      </w:tr>
    </w:tbl>
    <w:p w14:paraId="2F60B60E" w14:textId="77777777" w:rsidR="00B6584F" w:rsidRPr="006A24C2" w:rsidRDefault="00B6584F" w:rsidP="00B6584F">
      <w:pPr>
        <w:spacing w:after="0" w:line="240" w:lineRule="auto"/>
        <w:rPr>
          <w:rFonts w:ascii="Times New Roman" w:eastAsia="Times New Roman" w:hAnsi="Times New Roman"/>
          <w:iCs/>
          <w:sz w:val="24"/>
          <w:szCs w:val="24"/>
          <w:lang w:eastAsia="lv-LV"/>
        </w:rPr>
      </w:pPr>
    </w:p>
    <w:tbl>
      <w:tblPr>
        <w:tblW w:w="5003" w:type="pct"/>
        <w:tblCellSpacing w:w="15" w:type="dxa"/>
        <w:tblInd w:w="-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30"/>
        <w:gridCol w:w="986"/>
        <w:gridCol w:w="1127"/>
        <w:gridCol w:w="987"/>
        <w:gridCol w:w="986"/>
        <w:gridCol w:w="986"/>
        <w:gridCol w:w="1116"/>
        <w:gridCol w:w="989"/>
        <w:gridCol w:w="53"/>
      </w:tblGrid>
      <w:tr w:rsidR="00B6584F" w:rsidRPr="006A24C2" w14:paraId="08D1BD0D" w14:textId="77777777" w:rsidTr="00106F92">
        <w:trPr>
          <w:tblCellSpacing w:w="15" w:type="dxa"/>
        </w:trPr>
        <w:tc>
          <w:tcPr>
            <w:tcW w:w="9054" w:type="dxa"/>
            <w:gridSpan w:val="9"/>
            <w:tcBorders>
              <w:top w:val="outset" w:sz="6" w:space="0" w:color="auto"/>
              <w:left w:val="outset" w:sz="6" w:space="0" w:color="auto"/>
              <w:bottom w:val="outset" w:sz="6" w:space="0" w:color="auto"/>
              <w:right w:val="outset" w:sz="6" w:space="0" w:color="auto"/>
            </w:tcBorders>
            <w:vAlign w:val="center"/>
            <w:hideMark/>
          </w:tcPr>
          <w:p w14:paraId="2C350370" w14:textId="77777777" w:rsidR="00B6584F" w:rsidRPr="006A24C2" w:rsidRDefault="00B6584F" w:rsidP="0088229D">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III. Tiesību akta projekta ietekme uz valsts budžetu un pašvaldību budžetiem</w:t>
            </w:r>
          </w:p>
        </w:tc>
      </w:tr>
      <w:tr w:rsidR="0088229D" w:rsidRPr="006A24C2" w14:paraId="661E53BB" w14:textId="77777777" w:rsidTr="00106F92">
        <w:trPr>
          <w:tblCellSpacing w:w="15" w:type="dxa"/>
        </w:trPr>
        <w:tc>
          <w:tcPr>
            <w:tcW w:w="9054" w:type="dxa"/>
            <w:gridSpan w:val="9"/>
            <w:tcBorders>
              <w:top w:val="outset" w:sz="6" w:space="0" w:color="auto"/>
              <w:left w:val="outset" w:sz="6" w:space="0" w:color="auto"/>
              <w:bottom w:val="outset" w:sz="6" w:space="0" w:color="auto"/>
              <w:right w:val="outset" w:sz="6" w:space="0" w:color="auto"/>
            </w:tcBorders>
            <w:vAlign w:val="center"/>
          </w:tcPr>
          <w:p w14:paraId="714E5BA2" w14:textId="77777777" w:rsidR="0088229D" w:rsidRPr="006A24C2" w:rsidRDefault="0088229D" w:rsidP="0088229D">
            <w:pPr>
              <w:spacing w:after="0" w:line="240" w:lineRule="auto"/>
              <w:jc w:val="center"/>
              <w:rPr>
                <w:rFonts w:ascii="Times New Roman" w:eastAsia="Times New Roman" w:hAnsi="Times New Roman"/>
                <w:b/>
                <w:bCs/>
                <w:iCs/>
                <w:sz w:val="24"/>
                <w:szCs w:val="24"/>
                <w:lang w:eastAsia="lv-LV"/>
              </w:rPr>
            </w:pPr>
            <w:r w:rsidRPr="006A24C2">
              <w:rPr>
                <w:rFonts w:ascii="Times New Roman" w:eastAsia="Times New Roman" w:hAnsi="Times New Roman"/>
                <w:sz w:val="24"/>
                <w:szCs w:val="24"/>
                <w:lang w:eastAsia="lv-LV"/>
              </w:rPr>
              <w:t>Projekts šo jomu neskar.</w:t>
            </w:r>
          </w:p>
        </w:tc>
      </w:tr>
      <w:tr w:rsidR="00106F92" w:rsidRPr="0014783E" w14:paraId="7396A724" w14:textId="77777777" w:rsidTr="00106F92">
        <w:trPr>
          <w:tblCellSpacing w:w="15" w:type="dxa"/>
        </w:trPr>
        <w:tc>
          <w:tcPr>
            <w:tcW w:w="9054" w:type="dxa"/>
            <w:gridSpan w:val="9"/>
            <w:tcBorders>
              <w:top w:val="outset" w:sz="6" w:space="0" w:color="auto"/>
              <w:left w:val="outset" w:sz="6" w:space="0" w:color="auto"/>
              <w:bottom w:val="outset" w:sz="6" w:space="0" w:color="auto"/>
              <w:right w:val="outset" w:sz="6" w:space="0" w:color="auto"/>
            </w:tcBorders>
            <w:vAlign w:val="center"/>
          </w:tcPr>
          <w:p w14:paraId="5E7CC4CC" w14:textId="77777777" w:rsidR="00106F92" w:rsidRPr="00106F92" w:rsidRDefault="00106F92" w:rsidP="00106F92">
            <w:pPr>
              <w:spacing w:after="0" w:line="240" w:lineRule="auto"/>
              <w:jc w:val="center"/>
              <w:rPr>
                <w:rFonts w:ascii="Times New Roman" w:eastAsia="Times New Roman" w:hAnsi="Times New Roman"/>
                <w:sz w:val="24"/>
                <w:szCs w:val="24"/>
                <w:lang w:eastAsia="lv-LV"/>
              </w:rPr>
            </w:pPr>
            <w:r w:rsidRPr="00106F92">
              <w:rPr>
                <w:rFonts w:ascii="Times New Roman" w:eastAsia="Times New Roman" w:hAnsi="Times New Roman"/>
                <w:sz w:val="24"/>
                <w:szCs w:val="24"/>
                <w:lang w:eastAsia="lv-LV"/>
              </w:rPr>
              <w:t>III. Tiesību akta projekta ietekme uz valsts budžetu un pašvaldību budžetiem*</w:t>
            </w:r>
          </w:p>
        </w:tc>
      </w:tr>
      <w:tr w:rsidR="00106F92" w:rsidRPr="0014783E" w14:paraId="31682029"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96F288" w14:textId="77777777" w:rsidR="00106F92" w:rsidRPr="0014783E" w:rsidRDefault="00106F92" w:rsidP="00106F92">
            <w:pPr>
              <w:spacing w:after="0" w:line="240" w:lineRule="auto"/>
              <w:jc w:val="center"/>
              <w:rPr>
                <w:rFonts w:ascii="Times New Roman" w:eastAsia="Times New Roman" w:hAnsi="Times New Roman"/>
                <w:bCs/>
                <w:sz w:val="24"/>
                <w:szCs w:val="24"/>
              </w:rPr>
            </w:pPr>
            <w:r w:rsidRPr="0014783E">
              <w:rPr>
                <w:rFonts w:ascii="Times New Roman" w:eastAsia="Times New Roman" w:hAnsi="Times New Roman"/>
                <w:bCs/>
                <w:sz w:val="24"/>
                <w:szCs w:val="24"/>
              </w:rPr>
              <w:t>Rādītāji</w:t>
            </w:r>
          </w:p>
        </w:tc>
        <w:tc>
          <w:tcPr>
            <w:tcW w:w="209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E33F52" w14:textId="77777777" w:rsidR="00106F92" w:rsidRPr="0014783E" w:rsidRDefault="00106F92" w:rsidP="00106F92">
            <w:pPr>
              <w:spacing w:after="0" w:line="240" w:lineRule="auto"/>
              <w:jc w:val="center"/>
              <w:rPr>
                <w:rFonts w:ascii="Times New Roman" w:eastAsia="Times New Roman" w:hAnsi="Times New Roman"/>
                <w:bCs/>
                <w:sz w:val="24"/>
                <w:szCs w:val="24"/>
              </w:rPr>
            </w:pPr>
            <w:r w:rsidRPr="0014783E">
              <w:rPr>
                <w:rFonts w:ascii="Times New Roman" w:eastAsia="Times New Roman" w:hAnsi="Times New Roman"/>
                <w:bCs/>
                <w:sz w:val="24"/>
                <w:szCs w:val="24"/>
              </w:rPr>
              <w:t>2020. gads</w:t>
            </w:r>
          </w:p>
        </w:tc>
        <w:tc>
          <w:tcPr>
            <w:tcW w:w="5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B0106A1"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Turpmākie trīs gadi (</w:t>
            </w:r>
            <w:proofErr w:type="spellStart"/>
            <w:r w:rsidRPr="0014783E">
              <w:rPr>
                <w:rFonts w:ascii="Times New Roman" w:eastAsia="Times New Roman" w:hAnsi="Times New Roman"/>
                <w:i/>
                <w:iCs/>
                <w:sz w:val="24"/>
                <w:szCs w:val="24"/>
              </w:rPr>
              <w:t>euro</w:t>
            </w:r>
            <w:proofErr w:type="spellEnd"/>
            <w:r w:rsidRPr="0014783E">
              <w:rPr>
                <w:rFonts w:ascii="Times New Roman" w:eastAsia="Times New Roman" w:hAnsi="Times New Roman"/>
                <w:sz w:val="24"/>
                <w:szCs w:val="24"/>
              </w:rPr>
              <w:t>)</w:t>
            </w:r>
          </w:p>
        </w:tc>
      </w:tr>
      <w:tr w:rsidR="00106F92" w:rsidRPr="0014783E" w14:paraId="5A0543EA"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02A69E4A" w14:textId="77777777" w:rsidR="00106F92" w:rsidRPr="0014783E" w:rsidRDefault="00106F92" w:rsidP="00106F92">
            <w:pPr>
              <w:spacing w:after="0" w:line="240" w:lineRule="auto"/>
              <w:rPr>
                <w:rFonts w:ascii="Times New Roman" w:eastAsia="Times New Roman" w:hAnsi="Times New Roman"/>
                <w:bCs/>
                <w:sz w:val="24"/>
                <w:szCs w:val="24"/>
              </w:rPr>
            </w:pPr>
          </w:p>
        </w:tc>
        <w:tc>
          <w:tcPr>
            <w:tcW w:w="2096" w:type="dxa"/>
            <w:gridSpan w:val="2"/>
            <w:vMerge/>
            <w:tcBorders>
              <w:top w:val="single" w:sz="4" w:space="0" w:color="auto"/>
              <w:left w:val="single" w:sz="4" w:space="0" w:color="auto"/>
              <w:bottom w:val="single" w:sz="4" w:space="0" w:color="auto"/>
              <w:right w:val="single" w:sz="4" w:space="0" w:color="auto"/>
            </w:tcBorders>
            <w:vAlign w:val="center"/>
            <w:hideMark/>
          </w:tcPr>
          <w:p w14:paraId="4D1324BF" w14:textId="77777777" w:rsidR="00106F92" w:rsidRPr="0014783E" w:rsidRDefault="00106F92" w:rsidP="00106F92">
            <w:pPr>
              <w:spacing w:after="0" w:line="240" w:lineRule="auto"/>
              <w:rPr>
                <w:rFonts w:ascii="Times New Roman" w:eastAsia="Times New Roman" w:hAnsi="Times New Roman"/>
                <w:bCs/>
                <w:sz w:val="24"/>
                <w:szCs w:val="24"/>
              </w:rPr>
            </w:pPr>
          </w:p>
        </w:tc>
        <w:tc>
          <w:tcPr>
            <w:tcW w:w="19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757F24" w14:textId="77777777" w:rsidR="00106F92" w:rsidRPr="0014783E" w:rsidRDefault="00106F92" w:rsidP="00106F92">
            <w:pPr>
              <w:spacing w:after="0" w:line="240" w:lineRule="auto"/>
              <w:jc w:val="center"/>
              <w:rPr>
                <w:rFonts w:ascii="Times New Roman" w:eastAsia="Times New Roman" w:hAnsi="Times New Roman"/>
                <w:bCs/>
                <w:sz w:val="24"/>
                <w:szCs w:val="24"/>
              </w:rPr>
            </w:pPr>
            <w:r w:rsidRPr="0014783E">
              <w:rPr>
                <w:rFonts w:ascii="Times New Roman" w:eastAsia="Times New Roman" w:hAnsi="Times New Roman"/>
                <w:bCs/>
                <w:sz w:val="24"/>
                <w:szCs w:val="24"/>
              </w:rPr>
              <w:t>2021.</w:t>
            </w:r>
          </w:p>
        </w:tc>
        <w:tc>
          <w:tcPr>
            <w:tcW w:w="20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9B6B10" w14:textId="77777777" w:rsidR="00106F92" w:rsidRPr="0014783E" w:rsidRDefault="00106F92" w:rsidP="00106F92">
            <w:pPr>
              <w:spacing w:after="0" w:line="240" w:lineRule="auto"/>
              <w:jc w:val="center"/>
              <w:rPr>
                <w:rFonts w:ascii="Times New Roman" w:eastAsia="Times New Roman" w:hAnsi="Times New Roman"/>
                <w:bCs/>
                <w:sz w:val="24"/>
                <w:szCs w:val="24"/>
              </w:rPr>
            </w:pPr>
            <w:r w:rsidRPr="0014783E">
              <w:rPr>
                <w:rFonts w:ascii="Times New Roman" w:eastAsia="Times New Roman" w:hAnsi="Times New Roman"/>
                <w:bCs/>
                <w:sz w:val="24"/>
                <w:szCs w:val="24"/>
              </w:rPr>
              <w:t>2022.</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6F658" w14:textId="77777777" w:rsidR="00106F92" w:rsidRPr="0014783E" w:rsidRDefault="00106F92" w:rsidP="00106F92">
            <w:pPr>
              <w:spacing w:after="0" w:line="240" w:lineRule="auto"/>
              <w:jc w:val="center"/>
              <w:rPr>
                <w:rFonts w:ascii="Times New Roman" w:eastAsia="Times New Roman" w:hAnsi="Times New Roman"/>
                <w:bCs/>
                <w:sz w:val="24"/>
                <w:szCs w:val="24"/>
              </w:rPr>
            </w:pPr>
            <w:r w:rsidRPr="0014783E">
              <w:rPr>
                <w:rFonts w:ascii="Times New Roman" w:eastAsia="Times New Roman" w:hAnsi="Times New Roman"/>
                <w:bCs/>
                <w:sz w:val="24"/>
                <w:szCs w:val="24"/>
              </w:rPr>
              <w:t>2023.</w:t>
            </w:r>
          </w:p>
        </w:tc>
      </w:tr>
      <w:tr w:rsidR="00106F92" w:rsidRPr="0014783E" w14:paraId="284934E7"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170B5FD2" w14:textId="77777777" w:rsidR="00106F92" w:rsidRPr="0014783E" w:rsidRDefault="00106F92" w:rsidP="00106F92">
            <w:pPr>
              <w:spacing w:after="0" w:line="240" w:lineRule="auto"/>
              <w:rPr>
                <w:rFonts w:ascii="Times New Roman" w:eastAsia="Times New Roman" w:hAnsi="Times New Roman"/>
                <w:bCs/>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7BFC6"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saskaņā ar valsts budžetu kārtējam gadam</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34E984"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izmaiņas kārtējā gadā, salīdzinot 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F5DF2"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saskaņā ar vidēja termiņa budžeta ietvaru</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3E375"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izmaiņas, salīdzinot ar vidēja termiņa budžeta ietvaru 2021. gadam</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9D179"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saskaņā ar vidēja termiņa budžeta ietvaru</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60439"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izmaiņas, salīdzinot ar vidēja termiņa budžeta ietvaru 2022.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CBC86"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 xml:space="preserve">izmaiņas, salīdzinot ar vidēja termiņa budžeta ietvaru </w:t>
            </w:r>
            <w:r w:rsidRPr="0014783E">
              <w:rPr>
                <w:rFonts w:ascii="Times New Roman" w:eastAsia="Times New Roman" w:hAnsi="Times New Roman"/>
                <w:sz w:val="24"/>
                <w:szCs w:val="24"/>
              </w:rPr>
              <w:br/>
              <w:t>2022. gadam</w:t>
            </w:r>
          </w:p>
        </w:tc>
      </w:tr>
      <w:tr w:rsidR="00106F92" w:rsidRPr="0014783E" w14:paraId="20173ADF"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F3BB1"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1</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21AA7F"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6C8FD"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97FAF"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4</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41405"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5</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0ED8A"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6</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5AC49"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7</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F4E99"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8</w:t>
            </w:r>
          </w:p>
        </w:tc>
      </w:tr>
      <w:tr w:rsidR="00106F92" w:rsidRPr="0014783E" w14:paraId="4856FC27"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14:paraId="363A3715"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1. Budžeta ieņēmumi</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14:paraId="725FF1B3" w14:textId="62A9AC51"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14:paraId="65C84E65"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14:paraId="507467F6" w14:textId="3A541BB3"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14:paraId="1CC5181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14:paraId="503A0E62" w14:textId="6517C551"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14:paraId="5E46B23F" w14:textId="158216F0"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14:paraId="59310343" w14:textId="1014A988"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635DAC51"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4C1443B3"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 xml:space="preserve">1.1. valsts pamatbudžets, tai </w:t>
            </w:r>
            <w:r w:rsidRPr="0014783E">
              <w:rPr>
                <w:rFonts w:ascii="Times New Roman" w:eastAsia="Times New Roman" w:hAnsi="Times New Roman"/>
                <w:sz w:val="24"/>
                <w:szCs w:val="24"/>
              </w:rPr>
              <w:lastRenderedPageBreak/>
              <w:t>skaitā ieņēmumi no maksas pakalpojumiem un citi pašu ieņēmumi</w:t>
            </w:r>
          </w:p>
        </w:tc>
        <w:tc>
          <w:tcPr>
            <w:tcW w:w="962" w:type="dxa"/>
            <w:tcBorders>
              <w:top w:val="single" w:sz="4" w:space="0" w:color="auto"/>
              <w:left w:val="single" w:sz="4" w:space="0" w:color="auto"/>
              <w:bottom w:val="single" w:sz="4" w:space="0" w:color="auto"/>
              <w:right w:val="single" w:sz="4" w:space="0" w:color="auto"/>
            </w:tcBorders>
            <w:vAlign w:val="center"/>
          </w:tcPr>
          <w:p w14:paraId="40761A92"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lastRenderedPageBreak/>
              <w:t>0</w:t>
            </w:r>
          </w:p>
        </w:tc>
        <w:tc>
          <w:tcPr>
            <w:tcW w:w="1104" w:type="dxa"/>
            <w:tcBorders>
              <w:top w:val="single" w:sz="4" w:space="0" w:color="auto"/>
              <w:left w:val="single" w:sz="4" w:space="0" w:color="auto"/>
              <w:bottom w:val="single" w:sz="4" w:space="0" w:color="auto"/>
              <w:right w:val="single" w:sz="4" w:space="0" w:color="auto"/>
            </w:tcBorders>
            <w:vAlign w:val="center"/>
          </w:tcPr>
          <w:p w14:paraId="0DE6262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5151D10C"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4ACDAC6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4F5AB1B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vAlign w:val="center"/>
          </w:tcPr>
          <w:p w14:paraId="6561C22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726337B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1A703A2F"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1BA87FDC"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1.2. valsts speciālais budžets</w:t>
            </w:r>
          </w:p>
        </w:tc>
        <w:tc>
          <w:tcPr>
            <w:tcW w:w="962" w:type="dxa"/>
            <w:tcBorders>
              <w:top w:val="single" w:sz="4" w:space="0" w:color="auto"/>
              <w:left w:val="single" w:sz="4" w:space="0" w:color="auto"/>
              <w:bottom w:val="single" w:sz="4" w:space="0" w:color="auto"/>
              <w:right w:val="single" w:sz="4" w:space="0" w:color="auto"/>
            </w:tcBorders>
            <w:vAlign w:val="center"/>
          </w:tcPr>
          <w:p w14:paraId="2A3DEBF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04" w:type="dxa"/>
            <w:tcBorders>
              <w:top w:val="single" w:sz="4" w:space="0" w:color="auto"/>
              <w:left w:val="single" w:sz="4" w:space="0" w:color="auto"/>
              <w:bottom w:val="single" w:sz="4" w:space="0" w:color="auto"/>
              <w:right w:val="single" w:sz="4" w:space="0" w:color="auto"/>
            </w:tcBorders>
            <w:vAlign w:val="center"/>
          </w:tcPr>
          <w:p w14:paraId="24935DA5"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447C4BC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6F73B3A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44C128B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vAlign w:val="center"/>
          </w:tcPr>
          <w:p w14:paraId="41442DA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6F974CF5"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5FFD8C90"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5E74D532"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1.3. pašvaldību budžets</w:t>
            </w:r>
          </w:p>
        </w:tc>
        <w:tc>
          <w:tcPr>
            <w:tcW w:w="962" w:type="dxa"/>
            <w:tcBorders>
              <w:top w:val="single" w:sz="4" w:space="0" w:color="auto"/>
              <w:left w:val="single" w:sz="4" w:space="0" w:color="auto"/>
              <w:bottom w:val="single" w:sz="4" w:space="0" w:color="auto"/>
              <w:right w:val="single" w:sz="4" w:space="0" w:color="auto"/>
            </w:tcBorders>
            <w:vAlign w:val="center"/>
          </w:tcPr>
          <w:p w14:paraId="4323BAE0" w14:textId="5836D89E"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104" w:type="dxa"/>
            <w:tcBorders>
              <w:top w:val="single" w:sz="4" w:space="0" w:color="auto"/>
              <w:left w:val="single" w:sz="4" w:space="0" w:color="auto"/>
              <w:bottom w:val="single" w:sz="4" w:space="0" w:color="auto"/>
              <w:right w:val="single" w:sz="4" w:space="0" w:color="auto"/>
            </w:tcBorders>
            <w:vAlign w:val="center"/>
          </w:tcPr>
          <w:p w14:paraId="4CC509C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3E15E2ED" w14:textId="4B4BA013"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68AF75B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2E42C7BE" w14:textId="17CF5470"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vAlign w:val="center"/>
          </w:tcPr>
          <w:p w14:paraId="52F57F97" w14:textId="487069B7"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2F2CAD35" w14:textId="2A7B1CB8"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21D4E71E"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1D066700"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2. Budžeta izdevumi</w:t>
            </w:r>
          </w:p>
        </w:tc>
        <w:tc>
          <w:tcPr>
            <w:tcW w:w="962" w:type="dxa"/>
            <w:tcBorders>
              <w:top w:val="single" w:sz="4" w:space="0" w:color="auto"/>
              <w:left w:val="single" w:sz="4" w:space="0" w:color="auto"/>
              <w:bottom w:val="single" w:sz="4" w:space="0" w:color="auto"/>
              <w:right w:val="single" w:sz="4" w:space="0" w:color="auto"/>
            </w:tcBorders>
            <w:vAlign w:val="center"/>
          </w:tcPr>
          <w:p w14:paraId="19AA3A0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04" w:type="dxa"/>
            <w:tcBorders>
              <w:top w:val="single" w:sz="4" w:space="0" w:color="auto"/>
              <w:left w:val="single" w:sz="4" w:space="0" w:color="auto"/>
              <w:bottom w:val="single" w:sz="4" w:space="0" w:color="auto"/>
              <w:right w:val="single" w:sz="4" w:space="0" w:color="auto"/>
            </w:tcBorders>
            <w:vAlign w:val="center"/>
          </w:tcPr>
          <w:p w14:paraId="3281D067"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3924C46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52906E9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62" w:type="dxa"/>
            <w:tcBorders>
              <w:top w:val="single" w:sz="4" w:space="0" w:color="auto"/>
              <w:left w:val="single" w:sz="4" w:space="0" w:color="auto"/>
              <w:bottom w:val="single" w:sz="4" w:space="0" w:color="auto"/>
              <w:right w:val="single" w:sz="4" w:space="0" w:color="auto"/>
            </w:tcBorders>
            <w:vAlign w:val="center"/>
          </w:tcPr>
          <w:p w14:paraId="09EFDE1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vAlign w:val="center"/>
          </w:tcPr>
          <w:p w14:paraId="5227F185"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61695B0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5F871F4F"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7FB334C0"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2.1. valsts pamatbudžets</w:t>
            </w:r>
          </w:p>
        </w:tc>
        <w:tc>
          <w:tcPr>
            <w:tcW w:w="962" w:type="dxa"/>
            <w:tcBorders>
              <w:top w:val="single" w:sz="4" w:space="0" w:color="auto"/>
              <w:left w:val="single" w:sz="4" w:space="0" w:color="auto"/>
              <w:bottom w:val="single" w:sz="4" w:space="0" w:color="auto"/>
              <w:right w:val="single" w:sz="4" w:space="0" w:color="auto"/>
            </w:tcBorders>
            <w:vAlign w:val="center"/>
          </w:tcPr>
          <w:p w14:paraId="18FB953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04" w:type="dxa"/>
            <w:tcBorders>
              <w:top w:val="single" w:sz="4" w:space="0" w:color="auto"/>
              <w:left w:val="single" w:sz="4" w:space="0" w:color="auto"/>
              <w:bottom w:val="single" w:sz="4" w:space="0" w:color="auto"/>
              <w:right w:val="single" w:sz="4" w:space="0" w:color="auto"/>
            </w:tcBorders>
            <w:vAlign w:val="center"/>
          </w:tcPr>
          <w:p w14:paraId="06978B4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7EC74D7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3EF438FB"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62" w:type="dxa"/>
            <w:tcBorders>
              <w:top w:val="single" w:sz="4" w:space="0" w:color="auto"/>
              <w:left w:val="single" w:sz="4" w:space="0" w:color="auto"/>
              <w:bottom w:val="single" w:sz="4" w:space="0" w:color="auto"/>
              <w:right w:val="single" w:sz="4" w:space="0" w:color="auto"/>
            </w:tcBorders>
            <w:vAlign w:val="center"/>
          </w:tcPr>
          <w:p w14:paraId="3A3AD22C"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vAlign w:val="center"/>
          </w:tcPr>
          <w:p w14:paraId="7D9DA56B"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23DFE5F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51B337AA"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5DC8F1F7"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2.2. valsts speciālais budžets</w:t>
            </w:r>
          </w:p>
        </w:tc>
        <w:tc>
          <w:tcPr>
            <w:tcW w:w="962" w:type="dxa"/>
            <w:tcBorders>
              <w:top w:val="single" w:sz="4" w:space="0" w:color="auto"/>
              <w:left w:val="single" w:sz="4" w:space="0" w:color="auto"/>
              <w:bottom w:val="single" w:sz="4" w:space="0" w:color="auto"/>
              <w:right w:val="single" w:sz="4" w:space="0" w:color="auto"/>
            </w:tcBorders>
            <w:vAlign w:val="center"/>
          </w:tcPr>
          <w:p w14:paraId="00F7698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04" w:type="dxa"/>
            <w:tcBorders>
              <w:top w:val="single" w:sz="4" w:space="0" w:color="auto"/>
              <w:left w:val="single" w:sz="4" w:space="0" w:color="auto"/>
              <w:bottom w:val="single" w:sz="4" w:space="0" w:color="auto"/>
              <w:right w:val="single" w:sz="4" w:space="0" w:color="auto"/>
            </w:tcBorders>
            <w:vAlign w:val="center"/>
          </w:tcPr>
          <w:p w14:paraId="2E97F68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16D9390B"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266E091E"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666082E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vAlign w:val="center"/>
          </w:tcPr>
          <w:p w14:paraId="1F89ABB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7F8CA56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1B2E2C8A"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636B5257"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2.3. pašvaldību budžets</w:t>
            </w:r>
          </w:p>
        </w:tc>
        <w:tc>
          <w:tcPr>
            <w:tcW w:w="962" w:type="dxa"/>
            <w:tcBorders>
              <w:top w:val="single" w:sz="4" w:space="0" w:color="auto"/>
              <w:left w:val="single" w:sz="4" w:space="0" w:color="auto"/>
              <w:bottom w:val="single" w:sz="4" w:space="0" w:color="auto"/>
              <w:right w:val="single" w:sz="4" w:space="0" w:color="auto"/>
            </w:tcBorders>
            <w:vAlign w:val="center"/>
          </w:tcPr>
          <w:p w14:paraId="2742CEC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04" w:type="dxa"/>
            <w:tcBorders>
              <w:top w:val="single" w:sz="4" w:space="0" w:color="auto"/>
              <w:left w:val="single" w:sz="4" w:space="0" w:color="auto"/>
              <w:bottom w:val="single" w:sz="4" w:space="0" w:color="auto"/>
              <w:right w:val="single" w:sz="4" w:space="0" w:color="auto"/>
            </w:tcBorders>
            <w:vAlign w:val="center"/>
          </w:tcPr>
          <w:p w14:paraId="4903E68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35AFF6B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3A99190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1E6325F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vAlign w:val="center"/>
          </w:tcPr>
          <w:p w14:paraId="5CB48CE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158E9D1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20122C6C"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556F7D27"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3. Finansiālā ietekme</w:t>
            </w:r>
          </w:p>
        </w:tc>
        <w:tc>
          <w:tcPr>
            <w:tcW w:w="962" w:type="dxa"/>
            <w:tcBorders>
              <w:top w:val="single" w:sz="4" w:space="0" w:color="auto"/>
              <w:left w:val="single" w:sz="4" w:space="0" w:color="auto"/>
              <w:bottom w:val="single" w:sz="4" w:space="0" w:color="auto"/>
              <w:right w:val="single" w:sz="4" w:space="0" w:color="auto"/>
            </w:tcBorders>
            <w:vAlign w:val="center"/>
          </w:tcPr>
          <w:p w14:paraId="312124E6" w14:textId="171172D7"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104" w:type="dxa"/>
            <w:tcBorders>
              <w:top w:val="single" w:sz="4" w:space="0" w:color="auto"/>
              <w:left w:val="single" w:sz="4" w:space="0" w:color="auto"/>
              <w:bottom w:val="single" w:sz="4" w:space="0" w:color="auto"/>
              <w:right w:val="single" w:sz="4" w:space="0" w:color="auto"/>
            </w:tcBorders>
            <w:vAlign w:val="center"/>
          </w:tcPr>
          <w:p w14:paraId="5F915C5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668FD502" w14:textId="342FA467"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36EBAD6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62" w:type="dxa"/>
            <w:tcBorders>
              <w:top w:val="single" w:sz="4" w:space="0" w:color="auto"/>
              <w:left w:val="single" w:sz="4" w:space="0" w:color="auto"/>
              <w:bottom w:val="single" w:sz="4" w:space="0" w:color="auto"/>
              <w:right w:val="single" w:sz="4" w:space="0" w:color="auto"/>
            </w:tcBorders>
            <w:vAlign w:val="center"/>
          </w:tcPr>
          <w:p w14:paraId="0A68360B" w14:textId="2550A573"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vAlign w:val="center"/>
          </w:tcPr>
          <w:p w14:paraId="5AEDED81" w14:textId="58CF210F"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74BD5FD4" w14:textId="7344DB2C"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7041543A"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743EEDFE"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3.1. valsts pamatbudžets</w:t>
            </w:r>
          </w:p>
        </w:tc>
        <w:tc>
          <w:tcPr>
            <w:tcW w:w="962" w:type="dxa"/>
            <w:tcBorders>
              <w:top w:val="single" w:sz="4" w:space="0" w:color="auto"/>
              <w:left w:val="single" w:sz="4" w:space="0" w:color="auto"/>
              <w:bottom w:val="single" w:sz="4" w:space="0" w:color="auto"/>
              <w:right w:val="single" w:sz="4" w:space="0" w:color="auto"/>
            </w:tcBorders>
            <w:vAlign w:val="center"/>
          </w:tcPr>
          <w:p w14:paraId="2D3D236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04" w:type="dxa"/>
            <w:tcBorders>
              <w:top w:val="single" w:sz="4" w:space="0" w:color="auto"/>
              <w:left w:val="single" w:sz="4" w:space="0" w:color="auto"/>
              <w:bottom w:val="single" w:sz="4" w:space="0" w:color="auto"/>
              <w:right w:val="single" w:sz="4" w:space="0" w:color="auto"/>
            </w:tcBorders>
            <w:vAlign w:val="center"/>
          </w:tcPr>
          <w:p w14:paraId="1D84299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723D6E42"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39BBCE57"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62" w:type="dxa"/>
            <w:tcBorders>
              <w:top w:val="single" w:sz="4" w:space="0" w:color="auto"/>
              <w:left w:val="single" w:sz="4" w:space="0" w:color="auto"/>
              <w:bottom w:val="single" w:sz="4" w:space="0" w:color="auto"/>
              <w:right w:val="single" w:sz="4" w:space="0" w:color="auto"/>
            </w:tcBorders>
            <w:vAlign w:val="center"/>
          </w:tcPr>
          <w:p w14:paraId="74E7BCE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vAlign w:val="center"/>
          </w:tcPr>
          <w:p w14:paraId="79465622"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1A63585B"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35EC7D70"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1549259E"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3.2. speciālais budžets</w:t>
            </w:r>
          </w:p>
        </w:tc>
        <w:tc>
          <w:tcPr>
            <w:tcW w:w="962" w:type="dxa"/>
            <w:tcBorders>
              <w:top w:val="single" w:sz="4" w:space="0" w:color="auto"/>
              <w:left w:val="single" w:sz="4" w:space="0" w:color="auto"/>
              <w:bottom w:val="single" w:sz="4" w:space="0" w:color="auto"/>
              <w:right w:val="single" w:sz="4" w:space="0" w:color="auto"/>
            </w:tcBorders>
            <w:vAlign w:val="center"/>
          </w:tcPr>
          <w:p w14:paraId="3234CB4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04" w:type="dxa"/>
            <w:tcBorders>
              <w:top w:val="single" w:sz="4" w:space="0" w:color="auto"/>
              <w:left w:val="single" w:sz="4" w:space="0" w:color="auto"/>
              <w:bottom w:val="single" w:sz="4" w:space="0" w:color="auto"/>
              <w:right w:val="single" w:sz="4" w:space="0" w:color="auto"/>
            </w:tcBorders>
            <w:vAlign w:val="center"/>
          </w:tcPr>
          <w:p w14:paraId="2E675B6E"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4E2B4F5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6E90C32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429ABE1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vAlign w:val="center"/>
          </w:tcPr>
          <w:p w14:paraId="457BC1B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37C2596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589F9EC1"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4C95144B"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3.3. pašvaldību budžets</w:t>
            </w:r>
          </w:p>
        </w:tc>
        <w:tc>
          <w:tcPr>
            <w:tcW w:w="962" w:type="dxa"/>
            <w:tcBorders>
              <w:top w:val="single" w:sz="4" w:space="0" w:color="auto"/>
              <w:left w:val="single" w:sz="4" w:space="0" w:color="auto"/>
              <w:bottom w:val="single" w:sz="4" w:space="0" w:color="auto"/>
              <w:right w:val="single" w:sz="4" w:space="0" w:color="auto"/>
            </w:tcBorders>
            <w:vAlign w:val="center"/>
          </w:tcPr>
          <w:p w14:paraId="0E385C96" w14:textId="12D50CF8"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104" w:type="dxa"/>
            <w:tcBorders>
              <w:top w:val="single" w:sz="4" w:space="0" w:color="auto"/>
              <w:left w:val="single" w:sz="4" w:space="0" w:color="auto"/>
              <w:bottom w:val="single" w:sz="4" w:space="0" w:color="auto"/>
              <w:right w:val="single" w:sz="4" w:space="0" w:color="auto"/>
            </w:tcBorders>
            <w:vAlign w:val="center"/>
          </w:tcPr>
          <w:p w14:paraId="2344AA14" w14:textId="68AC592B"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1C3D94F7" w14:textId="531A30CC"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01887717" w14:textId="543FC3C3"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6B4D5909" w14:textId="1F62B4F9"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093" w:type="dxa"/>
            <w:tcBorders>
              <w:top w:val="single" w:sz="4" w:space="0" w:color="auto"/>
              <w:left w:val="single" w:sz="4" w:space="0" w:color="auto"/>
              <w:bottom w:val="single" w:sz="4" w:space="0" w:color="auto"/>
              <w:right w:val="single" w:sz="4" w:space="0" w:color="auto"/>
            </w:tcBorders>
            <w:vAlign w:val="center"/>
          </w:tcPr>
          <w:p w14:paraId="115DAA81" w14:textId="70A94CC8"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5162DC05" w14:textId="7F9739C4"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449D2DE0"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7E9A4460"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4. Finanšu līdzekļi papildu izdevumu finansēšanai (kompensējošu izdevumu samazinājumu norāda ar "+" zīmi)</w:t>
            </w:r>
          </w:p>
        </w:tc>
        <w:tc>
          <w:tcPr>
            <w:tcW w:w="962" w:type="dxa"/>
            <w:tcBorders>
              <w:top w:val="single" w:sz="4" w:space="0" w:color="auto"/>
              <w:left w:val="single" w:sz="4" w:space="0" w:color="auto"/>
              <w:bottom w:val="single" w:sz="4" w:space="0" w:color="auto"/>
              <w:right w:val="single" w:sz="4" w:space="0" w:color="auto"/>
            </w:tcBorders>
            <w:vAlign w:val="center"/>
          </w:tcPr>
          <w:p w14:paraId="7F3E172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1104" w:type="dxa"/>
            <w:tcBorders>
              <w:top w:val="single" w:sz="4" w:space="0" w:color="auto"/>
              <w:left w:val="single" w:sz="4" w:space="0" w:color="auto"/>
              <w:bottom w:val="single" w:sz="4" w:space="0" w:color="auto"/>
              <w:right w:val="single" w:sz="4" w:space="0" w:color="auto"/>
            </w:tcBorders>
            <w:vAlign w:val="center"/>
          </w:tcPr>
          <w:p w14:paraId="0C0B0BD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vAlign w:val="center"/>
          </w:tcPr>
          <w:p w14:paraId="1ED0D98B"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962" w:type="dxa"/>
            <w:tcBorders>
              <w:top w:val="single" w:sz="4" w:space="0" w:color="auto"/>
              <w:left w:val="single" w:sz="4" w:space="0" w:color="auto"/>
              <w:bottom w:val="single" w:sz="4" w:space="0" w:color="auto"/>
              <w:right w:val="single" w:sz="4" w:space="0" w:color="auto"/>
            </w:tcBorders>
            <w:vAlign w:val="center"/>
          </w:tcPr>
          <w:p w14:paraId="4D367F1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tcBorders>
              <w:top w:val="single" w:sz="4" w:space="0" w:color="auto"/>
              <w:left w:val="single" w:sz="4" w:space="0" w:color="auto"/>
              <w:bottom w:val="single" w:sz="4" w:space="0" w:color="auto"/>
              <w:right w:val="single" w:sz="4" w:space="0" w:color="auto"/>
            </w:tcBorders>
            <w:vAlign w:val="center"/>
          </w:tcPr>
          <w:p w14:paraId="3EB5734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1093" w:type="dxa"/>
            <w:tcBorders>
              <w:top w:val="single" w:sz="4" w:space="0" w:color="auto"/>
              <w:left w:val="single" w:sz="4" w:space="0" w:color="auto"/>
              <w:bottom w:val="single" w:sz="4" w:space="0" w:color="auto"/>
              <w:right w:val="single" w:sz="4" w:space="0" w:color="auto"/>
            </w:tcBorders>
            <w:vAlign w:val="center"/>
          </w:tcPr>
          <w:p w14:paraId="521495A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7ABD20B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322F1054"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5CF5CE1A"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5. Precizēta finansiālā ietekme</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14:paraId="5CF0B294"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1104" w:type="dxa"/>
            <w:tcBorders>
              <w:top w:val="single" w:sz="4" w:space="0" w:color="auto"/>
              <w:left w:val="single" w:sz="4" w:space="0" w:color="auto"/>
              <w:bottom w:val="single" w:sz="4" w:space="0" w:color="auto"/>
              <w:right w:val="single" w:sz="4" w:space="0" w:color="auto"/>
            </w:tcBorders>
            <w:vAlign w:val="center"/>
          </w:tcPr>
          <w:p w14:paraId="18FFD0A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14:paraId="28F3637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962" w:type="dxa"/>
            <w:tcBorders>
              <w:top w:val="single" w:sz="4" w:space="0" w:color="auto"/>
              <w:left w:val="single" w:sz="4" w:space="0" w:color="auto"/>
              <w:bottom w:val="single" w:sz="4" w:space="0" w:color="auto"/>
              <w:right w:val="single" w:sz="4" w:space="0" w:color="auto"/>
            </w:tcBorders>
            <w:vAlign w:val="center"/>
          </w:tcPr>
          <w:p w14:paraId="1C3AAD4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14:paraId="12177F9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1093" w:type="dxa"/>
            <w:tcBorders>
              <w:top w:val="single" w:sz="4" w:space="0" w:color="auto"/>
              <w:left w:val="single" w:sz="4" w:space="0" w:color="auto"/>
              <w:bottom w:val="single" w:sz="4" w:space="0" w:color="auto"/>
              <w:right w:val="single" w:sz="4" w:space="0" w:color="auto"/>
            </w:tcBorders>
            <w:vAlign w:val="center"/>
          </w:tcPr>
          <w:p w14:paraId="2A85F602" w14:textId="3B5E88E6"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703B68C4" w14:textId="23ABD285"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0D3F45C7"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52923A5C"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5.1. valsts pamatbudžets</w:t>
            </w:r>
          </w:p>
        </w:tc>
        <w:tc>
          <w:tcPr>
            <w:tcW w:w="962" w:type="dxa"/>
            <w:vMerge/>
            <w:tcBorders>
              <w:top w:val="single" w:sz="4" w:space="0" w:color="auto"/>
              <w:left w:val="single" w:sz="4" w:space="0" w:color="auto"/>
              <w:bottom w:val="single" w:sz="4" w:space="0" w:color="auto"/>
              <w:right w:val="single" w:sz="4" w:space="0" w:color="auto"/>
            </w:tcBorders>
            <w:vAlign w:val="center"/>
          </w:tcPr>
          <w:p w14:paraId="4ED5BF13" w14:textId="77777777" w:rsidR="00106F92" w:rsidRPr="0014783E" w:rsidRDefault="00106F92" w:rsidP="00106F92">
            <w:pPr>
              <w:spacing w:after="0" w:line="240" w:lineRule="auto"/>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14:paraId="79102C1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vMerge/>
            <w:tcBorders>
              <w:top w:val="single" w:sz="4" w:space="0" w:color="auto"/>
              <w:left w:val="single" w:sz="4" w:space="0" w:color="auto"/>
              <w:bottom w:val="single" w:sz="4" w:space="0" w:color="auto"/>
              <w:right w:val="single" w:sz="4" w:space="0" w:color="auto"/>
            </w:tcBorders>
            <w:vAlign w:val="center"/>
          </w:tcPr>
          <w:p w14:paraId="7C778527" w14:textId="77777777" w:rsidR="00106F92" w:rsidRPr="0014783E" w:rsidRDefault="00106F92" w:rsidP="00106F92">
            <w:pPr>
              <w:spacing w:after="0" w:line="240" w:lineRule="auto"/>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14:paraId="103C287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62" w:type="dxa"/>
            <w:vMerge/>
            <w:tcBorders>
              <w:top w:val="single" w:sz="4" w:space="0" w:color="auto"/>
              <w:left w:val="single" w:sz="4" w:space="0" w:color="auto"/>
              <w:bottom w:val="single" w:sz="4" w:space="0" w:color="auto"/>
              <w:right w:val="single" w:sz="4" w:space="0" w:color="auto"/>
            </w:tcBorders>
            <w:vAlign w:val="center"/>
          </w:tcPr>
          <w:p w14:paraId="6EE974CF" w14:textId="77777777" w:rsidR="00106F92" w:rsidRPr="0014783E" w:rsidRDefault="00106F92" w:rsidP="00106F92">
            <w:pPr>
              <w:spacing w:after="0" w:line="240" w:lineRule="auto"/>
              <w:jc w:val="center"/>
              <w:rPr>
                <w:rFonts w:ascii="Times New Roman" w:hAnsi="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14:paraId="0D3314A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7BABEA0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585C44F6"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4F648E60"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5.2. speciālais budžets</w:t>
            </w:r>
          </w:p>
        </w:tc>
        <w:tc>
          <w:tcPr>
            <w:tcW w:w="962" w:type="dxa"/>
            <w:vMerge/>
            <w:tcBorders>
              <w:top w:val="single" w:sz="4" w:space="0" w:color="auto"/>
              <w:left w:val="single" w:sz="4" w:space="0" w:color="auto"/>
              <w:bottom w:val="single" w:sz="4" w:space="0" w:color="auto"/>
              <w:right w:val="single" w:sz="4" w:space="0" w:color="auto"/>
            </w:tcBorders>
            <w:vAlign w:val="center"/>
          </w:tcPr>
          <w:p w14:paraId="5FB6E3B9" w14:textId="77777777" w:rsidR="00106F92" w:rsidRPr="0014783E" w:rsidRDefault="00106F92" w:rsidP="00106F92">
            <w:pPr>
              <w:spacing w:after="0" w:line="240" w:lineRule="auto"/>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14:paraId="064B0AC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3" w:type="dxa"/>
            <w:vMerge/>
            <w:tcBorders>
              <w:top w:val="single" w:sz="4" w:space="0" w:color="auto"/>
              <w:left w:val="single" w:sz="4" w:space="0" w:color="auto"/>
              <w:bottom w:val="single" w:sz="4" w:space="0" w:color="auto"/>
              <w:right w:val="single" w:sz="4" w:space="0" w:color="auto"/>
            </w:tcBorders>
            <w:vAlign w:val="center"/>
          </w:tcPr>
          <w:p w14:paraId="07E9FEBE" w14:textId="77777777" w:rsidR="00106F92" w:rsidRPr="0014783E" w:rsidRDefault="00106F92" w:rsidP="00106F92">
            <w:pPr>
              <w:spacing w:after="0" w:line="240" w:lineRule="auto"/>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14:paraId="36DE6F34"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vMerge/>
            <w:tcBorders>
              <w:top w:val="single" w:sz="4" w:space="0" w:color="auto"/>
              <w:left w:val="single" w:sz="4" w:space="0" w:color="auto"/>
              <w:bottom w:val="single" w:sz="4" w:space="0" w:color="auto"/>
              <w:right w:val="single" w:sz="4" w:space="0" w:color="auto"/>
            </w:tcBorders>
            <w:vAlign w:val="center"/>
          </w:tcPr>
          <w:p w14:paraId="0E5CEFDE" w14:textId="77777777" w:rsidR="00106F92" w:rsidRPr="0014783E" w:rsidRDefault="00106F92" w:rsidP="00106F92">
            <w:pPr>
              <w:spacing w:after="0" w:line="240" w:lineRule="auto"/>
              <w:jc w:val="center"/>
              <w:rPr>
                <w:rFonts w:ascii="Times New Roman" w:hAnsi="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14:paraId="1E6AC03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vAlign w:val="center"/>
          </w:tcPr>
          <w:p w14:paraId="005BAF2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2E563CF4"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66CE759F"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5.3. pašvaldību budžets</w:t>
            </w:r>
          </w:p>
        </w:tc>
        <w:tc>
          <w:tcPr>
            <w:tcW w:w="962" w:type="dxa"/>
            <w:vMerge/>
            <w:tcBorders>
              <w:top w:val="single" w:sz="4" w:space="0" w:color="auto"/>
              <w:left w:val="single" w:sz="4" w:space="0" w:color="auto"/>
              <w:bottom w:val="single" w:sz="4" w:space="0" w:color="auto"/>
              <w:right w:val="single" w:sz="4" w:space="0" w:color="auto"/>
            </w:tcBorders>
            <w:vAlign w:val="center"/>
          </w:tcPr>
          <w:p w14:paraId="19833E57" w14:textId="77777777" w:rsidR="00106F92" w:rsidRPr="0014783E" w:rsidRDefault="00106F92" w:rsidP="00106F92">
            <w:pPr>
              <w:spacing w:after="0" w:line="240" w:lineRule="auto"/>
              <w:jc w:val="center"/>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14:paraId="5AFB4075"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hAnsi="Times New Roman"/>
                <w:sz w:val="24"/>
                <w:szCs w:val="24"/>
              </w:rPr>
              <w:t>0</w:t>
            </w:r>
          </w:p>
          <w:p w14:paraId="73E4B2D3" w14:textId="77777777" w:rsidR="00106F92" w:rsidRPr="0014783E" w:rsidRDefault="00106F92" w:rsidP="00106F92">
            <w:pPr>
              <w:rPr>
                <w:rFonts w:ascii="Times New Roman" w:eastAsia="Times New Roman" w:hAnsi="Times New Roman"/>
                <w:sz w:val="24"/>
                <w:szCs w:val="24"/>
              </w:rPr>
            </w:pPr>
          </w:p>
          <w:p w14:paraId="27AD3F31" w14:textId="77777777" w:rsidR="00106F92" w:rsidRPr="0014783E" w:rsidRDefault="00106F92" w:rsidP="00106F92">
            <w:pPr>
              <w:spacing w:after="0" w:line="240" w:lineRule="auto"/>
              <w:jc w:val="center"/>
              <w:rPr>
                <w:rFonts w:ascii="Times New Roman" w:hAnsi="Times New Roman"/>
                <w:sz w:val="24"/>
                <w:szCs w:val="24"/>
              </w:rPr>
            </w:pPr>
          </w:p>
        </w:tc>
        <w:tc>
          <w:tcPr>
            <w:tcW w:w="963" w:type="dxa"/>
            <w:vMerge/>
            <w:tcBorders>
              <w:top w:val="single" w:sz="4" w:space="0" w:color="auto"/>
              <w:left w:val="single" w:sz="4" w:space="0" w:color="auto"/>
              <w:bottom w:val="single" w:sz="4" w:space="0" w:color="auto"/>
              <w:right w:val="single" w:sz="4" w:space="0" w:color="auto"/>
            </w:tcBorders>
            <w:vAlign w:val="center"/>
          </w:tcPr>
          <w:p w14:paraId="3C5DFC10" w14:textId="77777777" w:rsidR="00106F92" w:rsidRPr="0014783E" w:rsidRDefault="00106F92" w:rsidP="00106F92">
            <w:pPr>
              <w:spacing w:after="0" w:line="240" w:lineRule="auto"/>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14:paraId="7C9BD3A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62" w:type="dxa"/>
            <w:vMerge/>
            <w:tcBorders>
              <w:top w:val="single" w:sz="4" w:space="0" w:color="auto"/>
              <w:left w:val="single" w:sz="4" w:space="0" w:color="auto"/>
              <w:bottom w:val="single" w:sz="4" w:space="0" w:color="auto"/>
              <w:right w:val="single" w:sz="4" w:space="0" w:color="auto"/>
            </w:tcBorders>
            <w:vAlign w:val="center"/>
          </w:tcPr>
          <w:p w14:paraId="01142982" w14:textId="77777777" w:rsidR="00106F92" w:rsidRPr="0014783E" w:rsidRDefault="00106F92" w:rsidP="00106F92">
            <w:pPr>
              <w:spacing w:after="0" w:line="240" w:lineRule="auto"/>
              <w:jc w:val="center"/>
              <w:rPr>
                <w:rFonts w:ascii="Times New Roman" w:hAnsi="Times New Roman"/>
                <w:sz w:val="24"/>
                <w:szCs w:val="24"/>
              </w:rPr>
            </w:pPr>
          </w:p>
        </w:tc>
        <w:tc>
          <w:tcPr>
            <w:tcW w:w="1093" w:type="dxa"/>
            <w:tcBorders>
              <w:top w:val="single" w:sz="4" w:space="0" w:color="auto"/>
              <w:left w:val="single" w:sz="4" w:space="0" w:color="auto"/>
              <w:bottom w:val="single" w:sz="4" w:space="0" w:color="auto"/>
              <w:right w:val="single" w:sz="4" w:space="0" w:color="auto"/>
            </w:tcBorders>
          </w:tcPr>
          <w:p w14:paraId="7D89005E" w14:textId="5BEE2D9A"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tcPr>
          <w:p w14:paraId="0BE0136F" w14:textId="6535D7F7"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3383AA6D"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3D6D15E3"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 xml:space="preserve">6. Detalizēts ieņēmumu un izdevumu aprēķins (ja </w:t>
            </w:r>
            <w:r w:rsidRPr="0014783E">
              <w:rPr>
                <w:rFonts w:ascii="Times New Roman" w:eastAsia="Times New Roman" w:hAnsi="Times New Roman"/>
                <w:sz w:val="24"/>
                <w:szCs w:val="24"/>
              </w:rPr>
              <w:lastRenderedPageBreak/>
              <w:t>nepieciešams, detalizētu ieņēmumu un izdevumu aprēķinu var pievienot anotācijas pielikumā)</w:t>
            </w:r>
          </w:p>
        </w:tc>
        <w:tc>
          <w:tcPr>
            <w:tcW w:w="7191" w:type="dxa"/>
            <w:gridSpan w:val="7"/>
            <w:vMerge w:val="restart"/>
            <w:tcBorders>
              <w:top w:val="single" w:sz="4" w:space="0" w:color="auto"/>
              <w:left w:val="single" w:sz="4" w:space="0" w:color="auto"/>
              <w:bottom w:val="single" w:sz="4" w:space="0" w:color="auto"/>
              <w:right w:val="single" w:sz="4" w:space="0" w:color="auto"/>
            </w:tcBorders>
            <w:vAlign w:val="center"/>
          </w:tcPr>
          <w:p w14:paraId="43F15772" w14:textId="4463369E" w:rsidR="00106F92" w:rsidRDefault="00106F92" w:rsidP="00434F63">
            <w:pPr>
              <w:spacing w:before="120" w:after="120" w:line="240" w:lineRule="auto"/>
              <w:ind w:firstLine="249"/>
              <w:jc w:val="both"/>
              <w:rPr>
                <w:rFonts w:ascii="Times New Roman" w:hAnsi="Times New Roman"/>
                <w:sz w:val="24"/>
                <w:szCs w:val="24"/>
              </w:rPr>
            </w:pPr>
            <w:r>
              <w:rPr>
                <w:rFonts w:ascii="Times New Roman" w:hAnsi="Times New Roman"/>
                <w:sz w:val="24"/>
                <w:szCs w:val="24"/>
              </w:rPr>
              <w:lastRenderedPageBreak/>
              <w:t xml:space="preserve">Likumprojekts nerada negatīvu ietekmi uz valsts un pašvaldību budžetiem. Likumprojekts izstrādāts, lai nodrošinātu taisnīgu un samērīgu </w:t>
            </w:r>
            <w:r>
              <w:rPr>
                <w:rFonts w:ascii="Times New Roman" w:hAnsi="Times New Roman"/>
                <w:sz w:val="24"/>
                <w:szCs w:val="24"/>
              </w:rPr>
              <w:lastRenderedPageBreak/>
              <w:t>nekustamā īpašuma nodokļa apmēru, paredzot speciālo vērtību piemērot arī tām lauku zemes vienībām, kuras nepārsniedz trīs hektārus</w:t>
            </w:r>
            <w:r w:rsidR="00405EBB">
              <w:rPr>
                <w:rFonts w:ascii="Times New Roman" w:hAnsi="Times New Roman"/>
                <w:sz w:val="24"/>
                <w:szCs w:val="24"/>
              </w:rPr>
              <w:t>.</w:t>
            </w:r>
          </w:p>
          <w:p w14:paraId="015E3B14" w14:textId="0D9177EB" w:rsidR="00106F92" w:rsidRPr="002D0F0F" w:rsidRDefault="00106F92" w:rsidP="00434F63">
            <w:pPr>
              <w:spacing w:after="120" w:line="240" w:lineRule="auto"/>
              <w:ind w:firstLine="249"/>
              <w:jc w:val="both"/>
              <w:rPr>
                <w:rFonts w:ascii="Times New Roman" w:hAnsi="Times New Roman"/>
                <w:sz w:val="24"/>
                <w:szCs w:val="24"/>
              </w:rPr>
            </w:pPr>
            <w:r>
              <w:rPr>
                <w:rFonts w:ascii="Times New Roman" w:hAnsi="Times New Roman"/>
                <w:sz w:val="24"/>
                <w:szCs w:val="24"/>
              </w:rPr>
              <w:t>Paredzams, ka ik gadu pieaugs nekustamā īpašuma nodokļa ieņēmumi</w:t>
            </w:r>
            <w:r w:rsidR="00434F63">
              <w:rPr>
                <w:rFonts w:ascii="Times New Roman" w:hAnsi="Times New Roman"/>
                <w:sz w:val="24"/>
                <w:szCs w:val="24"/>
              </w:rPr>
              <w:t xml:space="preserve"> par l</w:t>
            </w:r>
            <w:r w:rsidR="002D0F0F" w:rsidRPr="002D0F0F">
              <w:rPr>
                <w:rFonts w:ascii="Times New Roman" w:hAnsi="Times New Roman"/>
                <w:sz w:val="24"/>
                <w:szCs w:val="24"/>
              </w:rPr>
              <w:t>auku zemēm, kuru platība ir līdz 3 ha:</w:t>
            </w:r>
          </w:p>
          <w:tbl>
            <w:tblPr>
              <w:tblStyle w:val="Reatabula"/>
              <w:tblW w:w="0" w:type="auto"/>
              <w:tblLayout w:type="fixed"/>
              <w:tblLook w:val="04A0" w:firstRow="1" w:lastRow="0" w:firstColumn="1" w:lastColumn="0" w:noHBand="0" w:noVBand="1"/>
            </w:tblPr>
            <w:tblGrid>
              <w:gridCol w:w="1429"/>
              <w:gridCol w:w="1429"/>
              <w:gridCol w:w="1430"/>
              <w:gridCol w:w="1430"/>
              <w:gridCol w:w="1430"/>
            </w:tblGrid>
            <w:tr w:rsidR="00106F92" w:rsidRPr="00106F92" w14:paraId="491D1919" w14:textId="77777777" w:rsidTr="00106F92">
              <w:tc>
                <w:tcPr>
                  <w:tcW w:w="1429" w:type="dxa"/>
                </w:tcPr>
                <w:p w14:paraId="3FD779A1" w14:textId="77777777" w:rsidR="00106F92" w:rsidRPr="00106F92" w:rsidRDefault="00106F92" w:rsidP="00106F92">
                  <w:pPr>
                    <w:jc w:val="both"/>
                    <w:rPr>
                      <w:rFonts w:ascii="Times New Roman" w:hAnsi="Times New Roman"/>
                      <w:sz w:val="20"/>
                      <w:szCs w:val="20"/>
                    </w:rPr>
                  </w:pPr>
                </w:p>
              </w:tc>
              <w:tc>
                <w:tcPr>
                  <w:tcW w:w="1429" w:type="dxa"/>
                </w:tcPr>
                <w:p w14:paraId="4861EFED" w14:textId="340A1F27" w:rsidR="00106F92" w:rsidRPr="00106F92" w:rsidRDefault="00341175" w:rsidP="00106F92">
                  <w:pPr>
                    <w:jc w:val="both"/>
                    <w:rPr>
                      <w:rFonts w:ascii="Times New Roman" w:hAnsi="Times New Roman"/>
                      <w:sz w:val="20"/>
                      <w:szCs w:val="20"/>
                    </w:rPr>
                  </w:pPr>
                  <w:r>
                    <w:rPr>
                      <w:rFonts w:ascii="Times New Roman" w:hAnsi="Times New Roman"/>
                      <w:sz w:val="20"/>
                      <w:szCs w:val="20"/>
                    </w:rPr>
                    <w:t>Kadastrālo vērtību</w:t>
                  </w:r>
                  <w:r w:rsidR="00106F92" w:rsidRPr="00106F92">
                    <w:rPr>
                      <w:rFonts w:ascii="Times New Roman" w:hAnsi="Times New Roman"/>
                      <w:sz w:val="20"/>
                      <w:szCs w:val="20"/>
                    </w:rPr>
                    <w:t xml:space="preserve"> kopsumma 2020.gadā</w:t>
                  </w:r>
                </w:p>
              </w:tc>
              <w:tc>
                <w:tcPr>
                  <w:tcW w:w="1430" w:type="dxa"/>
                </w:tcPr>
                <w:p w14:paraId="703E3A26" w14:textId="7BEFE6D5" w:rsidR="00106F92" w:rsidRPr="00106F92" w:rsidRDefault="00106F92" w:rsidP="00106F92">
                  <w:pPr>
                    <w:jc w:val="both"/>
                    <w:rPr>
                      <w:rFonts w:ascii="Times New Roman" w:hAnsi="Times New Roman"/>
                      <w:sz w:val="20"/>
                      <w:szCs w:val="20"/>
                    </w:rPr>
                  </w:pPr>
                  <w:r w:rsidRPr="00106F92">
                    <w:rPr>
                      <w:rFonts w:ascii="Times New Roman" w:hAnsi="Times New Roman"/>
                      <w:sz w:val="20"/>
                      <w:szCs w:val="20"/>
                    </w:rPr>
                    <w:t xml:space="preserve">Prognozēto </w:t>
                  </w:r>
                  <w:r w:rsidR="00341175">
                    <w:rPr>
                      <w:rFonts w:ascii="Times New Roman" w:hAnsi="Times New Roman"/>
                      <w:sz w:val="20"/>
                      <w:szCs w:val="20"/>
                    </w:rPr>
                    <w:t>kadastrālo vērtību</w:t>
                  </w:r>
                  <w:r w:rsidRPr="00106F92">
                    <w:rPr>
                      <w:rFonts w:ascii="Times New Roman" w:hAnsi="Times New Roman"/>
                      <w:sz w:val="20"/>
                      <w:szCs w:val="20"/>
                    </w:rPr>
                    <w:t xml:space="preserve"> kopsumma 2021.gadā</w:t>
                  </w:r>
                </w:p>
              </w:tc>
              <w:tc>
                <w:tcPr>
                  <w:tcW w:w="1430" w:type="dxa"/>
                </w:tcPr>
                <w:p w14:paraId="1E49C8F4" w14:textId="27ABD70E" w:rsidR="00106F92" w:rsidRPr="00106F92" w:rsidRDefault="00106F92" w:rsidP="00106F92">
                  <w:pPr>
                    <w:jc w:val="both"/>
                    <w:rPr>
                      <w:rFonts w:ascii="Times New Roman" w:hAnsi="Times New Roman"/>
                      <w:sz w:val="20"/>
                      <w:szCs w:val="20"/>
                    </w:rPr>
                  </w:pPr>
                  <w:r w:rsidRPr="00106F92">
                    <w:rPr>
                      <w:rFonts w:ascii="Times New Roman" w:hAnsi="Times New Roman"/>
                      <w:sz w:val="20"/>
                      <w:szCs w:val="20"/>
                    </w:rPr>
                    <w:t>Prognozēto speciālo vērtību kopsumma 2022.gadā</w:t>
                  </w:r>
                </w:p>
              </w:tc>
              <w:tc>
                <w:tcPr>
                  <w:tcW w:w="1430" w:type="dxa"/>
                </w:tcPr>
                <w:p w14:paraId="0FAF09F1" w14:textId="03F36173" w:rsidR="00106F92" w:rsidRPr="00106F92" w:rsidRDefault="00106F92" w:rsidP="00106F92">
                  <w:pPr>
                    <w:jc w:val="both"/>
                    <w:rPr>
                      <w:rFonts w:ascii="Times New Roman" w:hAnsi="Times New Roman"/>
                      <w:sz w:val="20"/>
                      <w:szCs w:val="20"/>
                    </w:rPr>
                  </w:pPr>
                  <w:r w:rsidRPr="00106F92">
                    <w:rPr>
                      <w:rFonts w:ascii="Times New Roman" w:hAnsi="Times New Roman"/>
                      <w:sz w:val="20"/>
                      <w:szCs w:val="20"/>
                    </w:rPr>
                    <w:t>Prognozēto speciālo vērtību kopsumma 2023.gadā</w:t>
                  </w:r>
                </w:p>
              </w:tc>
            </w:tr>
            <w:tr w:rsidR="00106F92" w:rsidRPr="00106F92" w14:paraId="22678F6F" w14:textId="77777777" w:rsidTr="00106F92">
              <w:tc>
                <w:tcPr>
                  <w:tcW w:w="1429" w:type="dxa"/>
                </w:tcPr>
                <w:p w14:paraId="7C58B6E9" w14:textId="59F53F0D" w:rsidR="00106F92" w:rsidRPr="00106F92" w:rsidRDefault="00106F92" w:rsidP="00106F92">
                  <w:pPr>
                    <w:jc w:val="both"/>
                    <w:rPr>
                      <w:rFonts w:ascii="Times New Roman" w:hAnsi="Times New Roman"/>
                      <w:sz w:val="20"/>
                      <w:szCs w:val="20"/>
                    </w:rPr>
                  </w:pPr>
                  <w:r>
                    <w:rPr>
                      <w:rFonts w:ascii="Times New Roman" w:hAnsi="Times New Roman"/>
                      <w:sz w:val="20"/>
                      <w:szCs w:val="20"/>
                    </w:rPr>
                    <w:t>Lauku zemēm, kuru platība ir līdz 3 ha</w:t>
                  </w:r>
                </w:p>
              </w:tc>
              <w:tc>
                <w:tcPr>
                  <w:tcW w:w="1429" w:type="dxa"/>
                </w:tcPr>
                <w:p w14:paraId="726DF8E2" w14:textId="5A398660" w:rsidR="00106F92" w:rsidRPr="00106F92" w:rsidRDefault="00106F92" w:rsidP="002D0F0F">
                  <w:pPr>
                    <w:jc w:val="right"/>
                    <w:rPr>
                      <w:rFonts w:ascii="Times New Roman" w:hAnsi="Times New Roman"/>
                      <w:sz w:val="20"/>
                      <w:szCs w:val="20"/>
                    </w:rPr>
                  </w:pPr>
                  <w:r>
                    <w:rPr>
                      <w:rFonts w:ascii="Times New Roman" w:hAnsi="Times New Roman"/>
                      <w:sz w:val="20"/>
                      <w:szCs w:val="20"/>
                    </w:rPr>
                    <w:t>286 190 131</w:t>
                  </w:r>
                </w:p>
              </w:tc>
              <w:tc>
                <w:tcPr>
                  <w:tcW w:w="1430" w:type="dxa"/>
                </w:tcPr>
                <w:p w14:paraId="7FF1FA32" w14:textId="76DCA7EE" w:rsidR="00106F92" w:rsidRPr="00106F92" w:rsidRDefault="00106F92" w:rsidP="002D0F0F">
                  <w:pPr>
                    <w:jc w:val="right"/>
                    <w:rPr>
                      <w:rFonts w:ascii="Times New Roman" w:hAnsi="Times New Roman"/>
                      <w:sz w:val="20"/>
                      <w:szCs w:val="20"/>
                    </w:rPr>
                  </w:pPr>
                  <w:r>
                    <w:rPr>
                      <w:rFonts w:ascii="Times New Roman" w:hAnsi="Times New Roman"/>
                      <w:sz w:val="20"/>
                      <w:szCs w:val="20"/>
                    </w:rPr>
                    <w:t>286 247 887</w:t>
                  </w:r>
                </w:p>
              </w:tc>
              <w:tc>
                <w:tcPr>
                  <w:tcW w:w="1430" w:type="dxa"/>
                </w:tcPr>
                <w:p w14:paraId="0118595D" w14:textId="45BBC2F5" w:rsidR="00106F92" w:rsidRPr="00106F92" w:rsidRDefault="00106F92" w:rsidP="002D0F0F">
                  <w:pPr>
                    <w:jc w:val="right"/>
                    <w:rPr>
                      <w:rFonts w:ascii="Times New Roman" w:hAnsi="Times New Roman"/>
                      <w:sz w:val="20"/>
                      <w:szCs w:val="20"/>
                    </w:rPr>
                  </w:pPr>
                  <w:r>
                    <w:rPr>
                      <w:rFonts w:ascii="Times New Roman" w:hAnsi="Times New Roman"/>
                      <w:sz w:val="20"/>
                      <w:szCs w:val="20"/>
                    </w:rPr>
                    <w:t>312 576 807</w:t>
                  </w:r>
                </w:p>
              </w:tc>
              <w:tc>
                <w:tcPr>
                  <w:tcW w:w="1430" w:type="dxa"/>
                </w:tcPr>
                <w:p w14:paraId="1E28E861" w14:textId="1911E45B" w:rsidR="00106F92" w:rsidRPr="00106F92" w:rsidRDefault="00106F92" w:rsidP="002D0F0F">
                  <w:pPr>
                    <w:jc w:val="right"/>
                    <w:rPr>
                      <w:rFonts w:ascii="Times New Roman" w:hAnsi="Times New Roman"/>
                      <w:sz w:val="20"/>
                      <w:szCs w:val="20"/>
                    </w:rPr>
                  </w:pPr>
                  <w:r>
                    <w:rPr>
                      <w:rFonts w:ascii="Times New Roman" w:hAnsi="Times New Roman"/>
                      <w:sz w:val="20"/>
                      <w:szCs w:val="20"/>
                    </w:rPr>
                    <w:t>342 358 516</w:t>
                  </w:r>
                </w:p>
              </w:tc>
            </w:tr>
            <w:tr w:rsidR="002D0F0F" w:rsidRPr="00106F92" w14:paraId="04F3F8EE" w14:textId="77777777" w:rsidTr="00106F92">
              <w:tc>
                <w:tcPr>
                  <w:tcW w:w="1429" w:type="dxa"/>
                </w:tcPr>
                <w:p w14:paraId="14F07844" w14:textId="7F6E2F96" w:rsidR="002D0F0F" w:rsidRDefault="002D0F0F" w:rsidP="00106F92">
                  <w:pPr>
                    <w:jc w:val="both"/>
                    <w:rPr>
                      <w:rFonts w:ascii="Times New Roman" w:hAnsi="Times New Roman"/>
                      <w:sz w:val="20"/>
                      <w:szCs w:val="20"/>
                    </w:rPr>
                  </w:pPr>
                  <w:r>
                    <w:rPr>
                      <w:rFonts w:ascii="Times New Roman" w:hAnsi="Times New Roman"/>
                      <w:sz w:val="20"/>
                      <w:szCs w:val="20"/>
                    </w:rPr>
                    <w:t>NĪN likme</w:t>
                  </w:r>
                </w:p>
              </w:tc>
              <w:tc>
                <w:tcPr>
                  <w:tcW w:w="1429" w:type="dxa"/>
                </w:tcPr>
                <w:p w14:paraId="684273C9" w14:textId="199857F1" w:rsidR="002D0F0F" w:rsidRDefault="002D0F0F" w:rsidP="002D0F0F">
                  <w:pPr>
                    <w:jc w:val="right"/>
                    <w:rPr>
                      <w:rFonts w:ascii="Times New Roman" w:hAnsi="Times New Roman"/>
                      <w:sz w:val="20"/>
                      <w:szCs w:val="20"/>
                    </w:rPr>
                  </w:pPr>
                  <w:r>
                    <w:rPr>
                      <w:rFonts w:ascii="Times New Roman" w:hAnsi="Times New Roman"/>
                      <w:sz w:val="20"/>
                      <w:szCs w:val="20"/>
                    </w:rPr>
                    <w:t>1,5%</w:t>
                  </w:r>
                </w:p>
              </w:tc>
              <w:tc>
                <w:tcPr>
                  <w:tcW w:w="1430" w:type="dxa"/>
                </w:tcPr>
                <w:p w14:paraId="5860D0DE" w14:textId="6121B9EE" w:rsidR="002D0F0F" w:rsidRDefault="002D0F0F" w:rsidP="002D0F0F">
                  <w:pPr>
                    <w:jc w:val="right"/>
                    <w:rPr>
                      <w:rFonts w:ascii="Times New Roman" w:hAnsi="Times New Roman"/>
                      <w:sz w:val="20"/>
                      <w:szCs w:val="20"/>
                    </w:rPr>
                  </w:pPr>
                  <w:r>
                    <w:rPr>
                      <w:rFonts w:ascii="Times New Roman" w:hAnsi="Times New Roman"/>
                      <w:sz w:val="20"/>
                      <w:szCs w:val="20"/>
                    </w:rPr>
                    <w:t>1,5%</w:t>
                  </w:r>
                </w:p>
              </w:tc>
              <w:tc>
                <w:tcPr>
                  <w:tcW w:w="1430" w:type="dxa"/>
                </w:tcPr>
                <w:p w14:paraId="1539AF3D" w14:textId="4FBC0FE9" w:rsidR="002D0F0F" w:rsidRDefault="002D0F0F" w:rsidP="002D0F0F">
                  <w:pPr>
                    <w:jc w:val="right"/>
                    <w:rPr>
                      <w:rFonts w:ascii="Times New Roman" w:hAnsi="Times New Roman"/>
                      <w:sz w:val="20"/>
                      <w:szCs w:val="20"/>
                    </w:rPr>
                  </w:pPr>
                  <w:r>
                    <w:rPr>
                      <w:rFonts w:ascii="Times New Roman" w:hAnsi="Times New Roman"/>
                      <w:sz w:val="20"/>
                      <w:szCs w:val="20"/>
                    </w:rPr>
                    <w:t>1,5%</w:t>
                  </w:r>
                </w:p>
              </w:tc>
              <w:tc>
                <w:tcPr>
                  <w:tcW w:w="1430" w:type="dxa"/>
                </w:tcPr>
                <w:p w14:paraId="610481C9" w14:textId="7E8F4F49" w:rsidR="002D0F0F" w:rsidRDefault="002D0F0F" w:rsidP="002D0F0F">
                  <w:pPr>
                    <w:jc w:val="right"/>
                    <w:rPr>
                      <w:rFonts w:ascii="Times New Roman" w:hAnsi="Times New Roman"/>
                      <w:sz w:val="20"/>
                      <w:szCs w:val="20"/>
                    </w:rPr>
                  </w:pPr>
                  <w:r>
                    <w:rPr>
                      <w:rFonts w:ascii="Times New Roman" w:hAnsi="Times New Roman"/>
                      <w:sz w:val="20"/>
                      <w:szCs w:val="20"/>
                    </w:rPr>
                    <w:t>1,5%</w:t>
                  </w:r>
                </w:p>
              </w:tc>
            </w:tr>
            <w:tr w:rsidR="00106F92" w:rsidRPr="00106F92" w14:paraId="5B3924ED" w14:textId="77777777" w:rsidTr="00106F92">
              <w:tc>
                <w:tcPr>
                  <w:tcW w:w="1429" w:type="dxa"/>
                </w:tcPr>
                <w:p w14:paraId="705C797E" w14:textId="777F4D54" w:rsidR="00106F92" w:rsidRDefault="00106F92" w:rsidP="00106F92">
                  <w:pPr>
                    <w:jc w:val="both"/>
                    <w:rPr>
                      <w:rFonts w:ascii="Times New Roman" w:hAnsi="Times New Roman"/>
                      <w:sz w:val="20"/>
                      <w:szCs w:val="20"/>
                    </w:rPr>
                  </w:pPr>
                  <w:r>
                    <w:rPr>
                      <w:rFonts w:ascii="Times New Roman" w:hAnsi="Times New Roman"/>
                      <w:sz w:val="20"/>
                      <w:szCs w:val="20"/>
                    </w:rPr>
                    <w:t>NĪN,</w:t>
                  </w:r>
                  <w:r w:rsidR="003E36F7">
                    <w:rPr>
                      <w:rFonts w:ascii="Times New Roman" w:hAnsi="Times New Roman"/>
                      <w:sz w:val="20"/>
                      <w:szCs w:val="20"/>
                    </w:rPr>
                    <w:t xml:space="preserve"> </w:t>
                  </w:r>
                  <w:proofErr w:type="spellStart"/>
                  <w:r w:rsidRPr="00106F92">
                    <w:rPr>
                      <w:rFonts w:ascii="Times New Roman" w:hAnsi="Times New Roman"/>
                      <w:i/>
                      <w:sz w:val="20"/>
                      <w:szCs w:val="20"/>
                    </w:rPr>
                    <w:t>euro</w:t>
                  </w:r>
                  <w:proofErr w:type="spellEnd"/>
                </w:p>
              </w:tc>
              <w:tc>
                <w:tcPr>
                  <w:tcW w:w="1429" w:type="dxa"/>
                </w:tcPr>
                <w:p w14:paraId="26ADDB06" w14:textId="5106420E" w:rsidR="00106F92" w:rsidRPr="00106F92" w:rsidRDefault="00106F92" w:rsidP="002D0F0F">
                  <w:pPr>
                    <w:jc w:val="right"/>
                    <w:rPr>
                      <w:rFonts w:ascii="Times New Roman" w:hAnsi="Times New Roman"/>
                      <w:sz w:val="20"/>
                      <w:szCs w:val="20"/>
                    </w:rPr>
                  </w:pPr>
                  <w:r>
                    <w:rPr>
                      <w:rFonts w:ascii="Times New Roman" w:hAnsi="Times New Roman"/>
                      <w:sz w:val="20"/>
                      <w:szCs w:val="20"/>
                    </w:rPr>
                    <w:t>4 292 852</w:t>
                  </w:r>
                </w:p>
              </w:tc>
              <w:tc>
                <w:tcPr>
                  <w:tcW w:w="1430" w:type="dxa"/>
                </w:tcPr>
                <w:p w14:paraId="76B83F95" w14:textId="6BD443B0" w:rsidR="00106F92" w:rsidRPr="00106F92" w:rsidRDefault="00106F92" w:rsidP="002D0F0F">
                  <w:pPr>
                    <w:jc w:val="right"/>
                    <w:rPr>
                      <w:rFonts w:ascii="Times New Roman" w:hAnsi="Times New Roman"/>
                      <w:sz w:val="20"/>
                      <w:szCs w:val="20"/>
                    </w:rPr>
                  </w:pPr>
                  <w:r>
                    <w:rPr>
                      <w:rFonts w:ascii="Times New Roman" w:hAnsi="Times New Roman"/>
                      <w:sz w:val="20"/>
                      <w:szCs w:val="20"/>
                    </w:rPr>
                    <w:t>4 293 718</w:t>
                  </w:r>
                </w:p>
              </w:tc>
              <w:tc>
                <w:tcPr>
                  <w:tcW w:w="1430" w:type="dxa"/>
                </w:tcPr>
                <w:p w14:paraId="156C1F22" w14:textId="0D8AABFD" w:rsidR="00106F92" w:rsidRPr="00106F92" w:rsidRDefault="00106F92" w:rsidP="002D0F0F">
                  <w:pPr>
                    <w:jc w:val="right"/>
                    <w:rPr>
                      <w:rFonts w:ascii="Times New Roman" w:hAnsi="Times New Roman"/>
                      <w:sz w:val="20"/>
                      <w:szCs w:val="20"/>
                    </w:rPr>
                  </w:pPr>
                  <w:r>
                    <w:rPr>
                      <w:rFonts w:ascii="Times New Roman" w:hAnsi="Times New Roman"/>
                      <w:sz w:val="20"/>
                      <w:szCs w:val="20"/>
                    </w:rPr>
                    <w:t>4 688 652</w:t>
                  </w:r>
                </w:p>
              </w:tc>
              <w:tc>
                <w:tcPr>
                  <w:tcW w:w="1430" w:type="dxa"/>
                </w:tcPr>
                <w:p w14:paraId="6FF31352" w14:textId="6D0F2B7E" w:rsidR="00106F92" w:rsidRPr="00106F92" w:rsidRDefault="003E36F7" w:rsidP="002D0F0F">
                  <w:pPr>
                    <w:jc w:val="right"/>
                    <w:rPr>
                      <w:rFonts w:ascii="Times New Roman" w:hAnsi="Times New Roman"/>
                      <w:sz w:val="20"/>
                      <w:szCs w:val="20"/>
                    </w:rPr>
                  </w:pPr>
                  <w:r>
                    <w:rPr>
                      <w:rFonts w:ascii="Times New Roman" w:hAnsi="Times New Roman"/>
                      <w:sz w:val="20"/>
                      <w:szCs w:val="20"/>
                    </w:rPr>
                    <w:t>5 135 378</w:t>
                  </w:r>
                </w:p>
              </w:tc>
            </w:tr>
            <w:tr w:rsidR="003E36F7" w:rsidRPr="00106F92" w14:paraId="4F2A7A50" w14:textId="77777777" w:rsidTr="00106F92">
              <w:tc>
                <w:tcPr>
                  <w:tcW w:w="1429" w:type="dxa"/>
                </w:tcPr>
                <w:p w14:paraId="15207411" w14:textId="18ECDD99" w:rsidR="003E36F7" w:rsidRDefault="003E36F7" w:rsidP="00106F92">
                  <w:pPr>
                    <w:jc w:val="both"/>
                    <w:rPr>
                      <w:rFonts w:ascii="Times New Roman" w:hAnsi="Times New Roman"/>
                      <w:sz w:val="20"/>
                      <w:szCs w:val="20"/>
                    </w:rPr>
                  </w:pPr>
                  <w:r>
                    <w:rPr>
                      <w:rFonts w:ascii="Times New Roman" w:hAnsi="Times New Roman"/>
                      <w:sz w:val="20"/>
                      <w:szCs w:val="20"/>
                    </w:rPr>
                    <w:t xml:space="preserve">NĪN ieņēmumu palielinājums kārtējā gadā, salīdzinājumā ar iepriekšējo gadu, </w:t>
                  </w:r>
                  <w:proofErr w:type="spellStart"/>
                  <w:r w:rsidRPr="003E36F7">
                    <w:rPr>
                      <w:rFonts w:ascii="Times New Roman" w:hAnsi="Times New Roman"/>
                      <w:i/>
                      <w:sz w:val="20"/>
                      <w:szCs w:val="20"/>
                    </w:rPr>
                    <w:t>euro</w:t>
                  </w:r>
                  <w:proofErr w:type="spellEnd"/>
                </w:p>
              </w:tc>
              <w:tc>
                <w:tcPr>
                  <w:tcW w:w="1429" w:type="dxa"/>
                </w:tcPr>
                <w:p w14:paraId="191172F1" w14:textId="77777777" w:rsidR="003E36F7" w:rsidRDefault="003E36F7" w:rsidP="002D0F0F">
                  <w:pPr>
                    <w:jc w:val="right"/>
                    <w:rPr>
                      <w:rFonts w:ascii="Times New Roman" w:hAnsi="Times New Roman"/>
                      <w:sz w:val="20"/>
                      <w:szCs w:val="20"/>
                    </w:rPr>
                  </w:pPr>
                </w:p>
              </w:tc>
              <w:tc>
                <w:tcPr>
                  <w:tcW w:w="1430" w:type="dxa"/>
                </w:tcPr>
                <w:p w14:paraId="4D7334F5" w14:textId="3DB1A6EE" w:rsidR="003E36F7" w:rsidRDefault="003E36F7" w:rsidP="002D0F0F">
                  <w:pPr>
                    <w:jc w:val="right"/>
                    <w:rPr>
                      <w:rFonts w:ascii="Times New Roman" w:hAnsi="Times New Roman"/>
                      <w:sz w:val="20"/>
                      <w:szCs w:val="20"/>
                    </w:rPr>
                  </w:pPr>
                  <w:r>
                    <w:rPr>
                      <w:rFonts w:ascii="Times New Roman" w:hAnsi="Times New Roman"/>
                      <w:sz w:val="20"/>
                      <w:szCs w:val="20"/>
                    </w:rPr>
                    <w:t>+866</w:t>
                  </w:r>
                </w:p>
              </w:tc>
              <w:tc>
                <w:tcPr>
                  <w:tcW w:w="1430" w:type="dxa"/>
                </w:tcPr>
                <w:p w14:paraId="57C377B0" w14:textId="51937231" w:rsidR="003E36F7" w:rsidRDefault="002D0F0F" w:rsidP="002D0F0F">
                  <w:pPr>
                    <w:jc w:val="right"/>
                    <w:rPr>
                      <w:rFonts w:ascii="Times New Roman" w:hAnsi="Times New Roman"/>
                      <w:sz w:val="20"/>
                      <w:szCs w:val="20"/>
                    </w:rPr>
                  </w:pPr>
                  <w:r>
                    <w:rPr>
                      <w:rFonts w:ascii="Times New Roman" w:hAnsi="Times New Roman"/>
                      <w:sz w:val="20"/>
                      <w:szCs w:val="20"/>
                    </w:rPr>
                    <w:t>+394 934</w:t>
                  </w:r>
                </w:p>
              </w:tc>
              <w:tc>
                <w:tcPr>
                  <w:tcW w:w="1430" w:type="dxa"/>
                </w:tcPr>
                <w:p w14:paraId="00D38F3B" w14:textId="3B909AF3" w:rsidR="003E36F7" w:rsidRDefault="002D0F0F" w:rsidP="002D0F0F">
                  <w:pPr>
                    <w:jc w:val="right"/>
                    <w:rPr>
                      <w:rFonts w:ascii="Times New Roman" w:hAnsi="Times New Roman"/>
                      <w:sz w:val="20"/>
                      <w:szCs w:val="20"/>
                    </w:rPr>
                  </w:pPr>
                  <w:r>
                    <w:rPr>
                      <w:rFonts w:ascii="Times New Roman" w:hAnsi="Times New Roman"/>
                      <w:sz w:val="20"/>
                      <w:szCs w:val="20"/>
                    </w:rPr>
                    <w:t>+446 726</w:t>
                  </w:r>
                </w:p>
              </w:tc>
            </w:tr>
          </w:tbl>
          <w:p w14:paraId="0F0CF8FA" w14:textId="7FB83DFC" w:rsidR="00341175" w:rsidRDefault="00341175" w:rsidP="00106F92">
            <w:pPr>
              <w:spacing w:after="0" w:line="240" w:lineRule="auto"/>
              <w:jc w:val="both"/>
              <w:rPr>
                <w:rFonts w:ascii="Times New Roman" w:hAnsi="Times New Roman"/>
                <w:sz w:val="24"/>
                <w:szCs w:val="24"/>
              </w:rPr>
            </w:pPr>
          </w:p>
          <w:p w14:paraId="0580A697" w14:textId="77777777" w:rsidR="00106F92" w:rsidRPr="0014783E" w:rsidRDefault="00106F92" w:rsidP="006A246B">
            <w:pPr>
              <w:spacing w:after="0" w:line="240" w:lineRule="auto"/>
              <w:jc w:val="both"/>
              <w:rPr>
                <w:rFonts w:ascii="Times New Roman" w:hAnsi="Times New Roman"/>
                <w:sz w:val="24"/>
                <w:szCs w:val="24"/>
                <w:highlight w:val="yellow"/>
                <w:u w:val="single"/>
              </w:rPr>
            </w:pPr>
          </w:p>
        </w:tc>
      </w:tr>
      <w:tr w:rsidR="00106F92" w:rsidRPr="0014783E" w14:paraId="5AD2A528"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5D2DDA95"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lastRenderedPageBreak/>
              <w:t>6.1. detalizēts ieņēmumu aprēķins</w:t>
            </w:r>
          </w:p>
        </w:tc>
        <w:tc>
          <w:tcPr>
            <w:tcW w:w="7191" w:type="dxa"/>
            <w:gridSpan w:val="7"/>
            <w:vMerge/>
            <w:tcBorders>
              <w:top w:val="single" w:sz="4" w:space="0" w:color="auto"/>
              <w:left w:val="single" w:sz="4" w:space="0" w:color="auto"/>
              <w:bottom w:val="single" w:sz="4" w:space="0" w:color="auto"/>
              <w:right w:val="single" w:sz="4" w:space="0" w:color="auto"/>
            </w:tcBorders>
            <w:vAlign w:val="center"/>
            <w:hideMark/>
          </w:tcPr>
          <w:p w14:paraId="43276ECE" w14:textId="77777777" w:rsidR="00106F92" w:rsidRPr="0014783E" w:rsidRDefault="00106F92" w:rsidP="00106F92">
            <w:pPr>
              <w:spacing w:after="0" w:line="240" w:lineRule="auto"/>
              <w:jc w:val="both"/>
              <w:rPr>
                <w:rFonts w:ascii="Times New Roman" w:hAnsi="Times New Roman"/>
                <w:sz w:val="24"/>
                <w:szCs w:val="24"/>
              </w:rPr>
            </w:pPr>
          </w:p>
        </w:tc>
      </w:tr>
      <w:tr w:rsidR="00106F92" w:rsidRPr="0014783E" w14:paraId="267D033B"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5E16E4F1"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6.2. detalizēts izdevumu aprēķins</w:t>
            </w:r>
          </w:p>
        </w:tc>
        <w:tc>
          <w:tcPr>
            <w:tcW w:w="7191" w:type="dxa"/>
            <w:gridSpan w:val="7"/>
            <w:vMerge/>
            <w:tcBorders>
              <w:top w:val="single" w:sz="4" w:space="0" w:color="auto"/>
              <w:left w:val="single" w:sz="4" w:space="0" w:color="auto"/>
              <w:bottom w:val="single" w:sz="4" w:space="0" w:color="auto"/>
              <w:right w:val="single" w:sz="4" w:space="0" w:color="auto"/>
            </w:tcBorders>
            <w:vAlign w:val="center"/>
            <w:hideMark/>
          </w:tcPr>
          <w:p w14:paraId="2F59E398" w14:textId="77777777" w:rsidR="00106F92" w:rsidRPr="0014783E" w:rsidRDefault="00106F92" w:rsidP="00106F92">
            <w:pPr>
              <w:spacing w:after="0" w:line="240" w:lineRule="auto"/>
              <w:jc w:val="both"/>
              <w:rPr>
                <w:rFonts w:ascii="Times New Roman" w:hAnsi="Times New Roman"/>
                <w:sz w:val="24"/>
                <w:szCs w:val="24"/>
              </w:rPr>
            </w:pPr>
          </w:p>
        </w:tc>
      </w:tr>
      <w:tr w:rsidR="00106F92" w:rsidRPr="0014783E" w14:paraId="44E85386"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24F1AD13"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7. Amata vietu skaita izmaiņas</w:t>
            </w:r>
          </w:p>
        </w:tc>
        <w:tc>
          <w:tcPr>
            <w:tcW w:w="7191" w:type="dxa"/>
            <w:gridSpan w:val="7"/>
            <w:tcBorders>
              <w:top w:val="single" w:sz="4" w:space="0" w:color="auto"/>
              <w:left w:val="single" w:sz="4" w:space="0" w:color="auto"/>
              <w:bottom w:val="single" w:sz="4" w:space="0" w:color="auto"/>
              <w:right w:val="single" w:sz="4" w:space="0" w:color="auto"/>
            </w:tcBorders>
            <w:hideMark/>
          </w:tcPr>
          <w:p w14:paraId="6689860B" w14:textId="77777777" w:rsidR="00106F92" w:rsidRPr="0014783E" w:rsidRDefault="00106F92" w:rsidP="00106F92">
            <w:pPr>
              <w:spacing w:after="0" w:line="240" w:lineRule="auto"/>
              <w:jc w:val="both"/>
              <w:rPr>
                <w:rFonts w:ascii="Times New Roman" w:eastAsia="Times New Roman" w:hAnsi="Times New Roman"/>
                <w:sz w:val="24"/>
                <w:szCs w:val="24"/>
              </w:rPr>
            </w:pPr>
            <w:r w:rsidRPr="0014783E">
              <w:rPr>
                <w:rFonts w:ascii="Times New Roman" w:eastAsia="Times New Roman" w:hAnsi="Times New Roman"/>
                <w:sz w:val="24"/>
                <w:szCs w:val="24"/>
              </w:rPr>
              <w:t>Nav.</w:t>
            </w:r>
          </w:p>
        </w:tc>
      </w:tr>
      <w:tr w:rsidR="00106F92" w:rsidRPr="0014783E" w14:paraId="5CD8E6C5" w14:textId="77777777" w:rsidTr="00106F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795" w:type="dxa"/>
            <w:tcBorders>
              <w:top w:val="single" w:sz="4" w:space="0" w:color="auto"/>
              <w:left w:val="single" w:sz="4" w:space="0" w:color="auto"/>
              <w:bottom w:val="single" w:sz="4" w:space="0" w:color="auto"/>
              <w:right w:val="single" w:sz="4" w:space="0" w:color="auto"/>
            </w:tcBorders>
            <w:hideMark/>
          </w:tcPr>
          <w:p w14:paraId="1FD91B5E"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8. Cita informācija</w:t>
            </w:r>
          </w:p>
        </w:tc>
        <w:tc>
          <w:tcPr>
            <w:tcW w:w="7191" w:type="dxa"/>
            <w:gridSpan w:val="7"/>
            <w:tcBorders>
              <w:top w:val="single" w:sz="4" w:space="0" w:color="auto"/>
              <w:left w:val="single" w:sz="4" w:space="0" w:color="auto"/>
              <w:bottom w:val="single" w:sz="4" w:space="0" w:color="auto"/>
              <w:right w:val="single" w:sz="4" w:space="0" w:color="auto"/>
            </w:tcBorders>
            <w:hideMark/>
          </w:tcPr>
          <w:p w14:paraId="66FB96E6" w14:textId="77777777" w:rsidR="00106F92" w:rsidRPr="0014783E" w:rsidRDefault="00106F92" w:rsidP="00106F92">
            <w:pPr>
              <w:spacing w:after="0" w:line="240" w:lineRule="auto"/>
              <w:jc w:val="both"/>
              <w:rPr>
                <w:rFonts w:ascii="Times New Roman" w:eastAsia="Times New Roman" w:hAnsi="Times New Roman"/>
                <w:sz w:val="24"/>
                <w:szCs w:val="24"/>
              </w:rPr>
            </w:pPr>
            <w:r w:rsidRPr="0014783E">
              <w:rPr>
                <w:rFonts w:ascii="Times New Roman" w:eastAsia="Times New Roman" w:hAnsi="Times New Roman"/>
                <w:sz w:val="24"/>
                <w:szCs w:val="24"/>
              </w:rPr>
              <w:t>Nav.</w:t>
            </w:r>
          </w:p>
        </w:tc>
      </w:tr>
    </w:tbl>
    <w:p w14:paraId="347F0CC5" w14:textId="77777777" w:rsidR="00B6584F" w:rsidRPr="006A24C2" w:rsidRDefault="00B6584F" w:rsidP="00B6584F">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6584F" w14:paraId="374C2397" w14:textId="77777777" w:rsidTr="00106F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19A142" w14:textId="77777777" w:rsidR="00B6584F" w:rsidRPr="00253039" w:rsidRDefault="00B6584F" w:rsidP="00106F92">
            <w:pPr>
              <w:spacing w:after="0" w:line="240" w:lineRule="auto"/>
              <w:rPr>
                <w:rFonts w:ascii="Times New Roman" w:eastAsia="Times New Roman" w:hAnsi="Times New Roman"/>
                <w:b/>
                <w:bCs/>
                <w:iCs/>
                <w:sz w:val="24"/>
                <w:szCs w:val="24"/>
                <w:lang w:eastAsia="lv-LV"/>
              </w:rPr>
            </w:pPr>
            <w:r w:rsidRPr="00253039">
              <w:rPr>
                <w:rFonts w:ascii="Times New Roman" w:eastAsia="Times New Roman" w:hAnsi="Times New Roman"/>
                <w:b/>
                <w:bCs/>
                <w:iCs/>
                <w:sz w:val="24"/>
                <w:szCs w:val="24"/>
                <w:lang w:eastAsia="lv-LV"/>
              </w:rPr>
              <w:t>IV. Tiesību akta projekta ietekme uz spēkā esošo tiesību normu sistēmu</w:t>
            </w:r>
          </w:p>
        </w:tc>
      </w:tr>
      <w:tr w:rsidR="00D1715A" w14:paraId="7F43DE2D" w14:textId="77777777" w:rsidTr="00D1715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35F04B1" w14:textId="3699178E" w:rsidR="00D1715A" w:rsidRDefault="00D1715A" w:rsidP="00D1715A">
            <w:pPr>
              <w:spacing w:after="0" w:line="240" w:lineRule="auto"/>
              <w:jc w:val="center"/>
              <w:rPr>
                <w:rFonts w:ascii="Times New Roman" w:eastAsia="Times New Roman" w:hAnsi="Times New Roman"/>
                <w:iCs/>
                <w:sz w:val="24"/>
                <w:szCs w:val="24"/>
                <w:lang w:eastAsia="lv-LV"/>
              </w:rPr>
            </w:pPr>
            <w:r w:rsidRPr="006A24C2">
              <w:rPr>
                <w:rFonts w:ascii="Times New Roman" w:eastAsia="Times New Roman" w:hAnsi="Times New Roman"/>
                <w:sz w:val="24"/>
                <w:szCs w:val="24"/>
                <w:lang w:eastAsia="lv-LV"/>
              </w:rPr>
              <w:t>Projekts šo jomu neskar.</w:t>
            </w:r>
          </w:p>
        </w:tc>
      </w:tr>
    </w:tbl>
    <w:p w14:paraId="37657ECE" w14:textId="77777777" w:rsidR="00F06C8A" w:rsidRPr="00E5323B" w:rsidRDefault="00F06C8A" w:rsidP="00F06C8A">
      <w:pPr>
        <w:spacing w:after="0" w:line="240" w:lineRule="auto"/>
        <w:rPr>
          <w:rFonts w:ascii="Times New Roman" w:eastAsia="Times New Roman" w:hAnsi="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6E60" w:rsidRPr="00E56E60" w14:paraId="678153D6" w14:textId="77777777" w:rsidTr="00106F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BE8857" w14:textId="77777777" w:rsidR="00F06C8A" w:rsidRPr="00E56E60" w:rsidRDefault="00F06C8A" w:rsidP="00106F92">
            <w:pPr>
              <w:spacing w:after="0" w:line="240" w:lineRule="auto"/>
              <w:rPr>
                <w:rFonts w:ascii="Times New Roman" w:eastAsia="Times New Roman" w:hAnsi="Times New Roman"/>
                <w:b/>
                <w:bCs/>
                <w:iCs/>
                <w:sz w:val="24"/>
                <w:szCs w:val="24"/>
                <w:lang w:eastAsia="lv-LV"/>
              </w:rPr>
            </w:pPr>
            <w:r w:rsidRPr="00E56E60">
              <w:rPr>
                <w:rFonts w:ascii="Times New Roman" w:eastAsia="Times New Roman" w:hAnsi="Times New Roman"/>
                <w:b/>
                <w:bCs/>
                <w:iCs/>
                <w:sz w:val="24"/>
                <w:szCs w:val="24"/>
                <w:lang w:eastAsia="lv-LV"/>
              </w:rPr>
              <w:t>V. Tiesību akta projekta atbilstība Latvijas Republikas starptautiskajām saistībām</w:t>
            </w:r>
          </w:p>
        </w:tc>
      </w:tr>
      <w:tr w:rsidR="00E56E60" w:rsidRPr="00E56E60" w14:paraId="63DBFE18"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A1799"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E84723"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FE8BA30" w14:textId="675361FE" w:rsidR="00D46944" w:rsidRPr="00E56E60" w:rsidRDefault="00D46944" w:rsidP="00E56E60">
            <w:pPr>
              <w:spacing w:after="0" w:line="240" w:lineRule="auto"/>
              <w:jc w:val="both"/>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 xml:space="preserve">Komisijas 2013. gada 18. decembra Regulas (EK) Nr. 1408/2013  par Līguma par Eiropas Savienības darbību 107. un 108. panta piemērošanu </w:t>
            </w:r>
            <w:proofErr w:type="spellStart"/>
            <w:r w:rsidRPr="00117C31">
              <w:rPr>
                <w:rFonts w:ascii="Times New Roman" w:eastAsia="Times New Roman" w:hAnsi="Times New Roman"/>
                <w:i/>
                <w:iCs/>
                <w:sz w:val="24"/>
                <w:szCs w:val="24"/>
                <w:lang w:eastAsia="lv-LV"/>
              </w:rPr>
              <w:t>de</w:t>
            </w:r>
            <w:proofErr w:type="spellEnd"/>
            <w:r w:rsidRPr="00117C31">
              <w:rPr>
                <w:rFonts w:ascii="Times New Roman" w:eastAsia="Times New Roman" w:hAnsi="Times New Roman"/>
                <w:i/>
                <w:iCs/>
                <w:sz w:val="24"/>
                <w:szCs w:val="24"/>
                <w:lang w:eastAsia="lv-LV"/>
              </w:rPr>
              <w:t xml:space="preserve"> </w:t>
            </w:r>
            <w:proofErr w:type="spellStart"/>
            <w:r w:rsidRPr="00117C31">
              <w:rPr>
                <w:rFonts w:ascii="Times New Roman" w:eastAsia="Times New Roman" w:hAnsi="Times New Roman"/>
                <w:i/>
                <w:iCs/>
                <w:sz w:val="24"/>
                <w:szCs w:val="24"/>
                <w:lang w:eastAsia="lv-LV"/>
              </w:rPr>
              <w:t>minimis</w:t>
            </w:r>
            <w:proofErr w:type="spellEnd"/>
            <w:r w:rsidRPr="00E56E60">
              <w:rPr>
                <w:rFonts w:ascii="Times New Roman" w:eastAsia="Times New Roman" w:hAnsi="Times New Roman"/>
                <w:iCs/>
                <w:sz w:val="24"/>
                <w:szCs w:val="24"/>
                <w:lang w:eastAsia="lv-LV"/>
              </w:rPr>
              <w:t xml:space="preserve"> atbalstam lauksaimniecības nozarē (Eiropas Savienības Oficiālais Vēstnesis, 2013. gada 24. decembris, Nr. L 352);</w:t>
            </w:r>
          </w:p>
          <w:p w14:paraId="04E34ADB" w14:textId="5C7AA48C" w:rsidR="00D46944" w:rsidRPr="00E56E60" w:rsidRDefault="00D46944" w:rsidP="00E56E60">
            <w:pPr>
              <w:spacing w:after="0" w:line="240" w:lineRule="auto"/>
              <w:jc w:val="both"/>
              <w:rPr>
                <w:rFonts w:ascii="Times New Roman" w:eastAsia="Times New Roman" w:hAnsi="Times New Roman"/>
                <w:iCs/>
                <w:sz w:val="24"/>
                <w:szCs w:val="24"/>
                <w:lang w:eastAsia="lv-LV"/>
              </w:rPr>
            </w:pPr>
            <w:r w:rsidRPr="00E56E60">
              <w:rPr>
                <w:rFonts w:ascii="Times New Roman" w:hAnsi="Times New Roman"/>
                <w:sz w:val="24"/>
                <w:szCs w:val="24"/>
                <w:shd w:val="clear" w:color="auto" w:fill="FFFFFF"/>
              </w:rPr>
              <w:t>Komisijas 2014. gada 27. jūnija Regulas (EK) Nr. 717/2014 par Līguma par Eiropas Savienības darbību 107. un 108. panta piemērošanu </w:t>
            </w:r>
            <w:proofErr w:type="spellStart"/>
            <w:r w:rsidRPr="00E56E60">
              <w:rPr>
                <w:rFonts w:ascii="Times New Roman" w:hAnsi="Times New Roman"/>
                <w:i/>
                <w:sz w:val="24"/>
                <w:szCs w:val="24"/>
                <w:shd w:val="clear" w:color="auto" w:fill="FFFFFF"/>
              </w:rPr>
              <w:t>de</w:t>
            </w:r>
            <w:proofErr w:type="spellEnd"/>
            <w:r w:rsidRPr="00E56E60">
              <w:rPr>
                <w:rFonts w:ascii="Times New Roman" w:hAnsi="Times New Roman"/>
                <w:i/>
                <w:sz w:val="24"/>
                <w:szCs w:val="24"/>
                <w:shd w:val="clear" w:color="auto" w:fill="FFFFFF"/>
              </w:rPr>
              <w:t xml:space="preserve"> </w:t>
            </w:r>
            <w:proofErr w:type="spellStart"/>
            <w:r w:rsidRPr="00E56E60">
              <w:rPr>
                <w:rFonts w:ascii="Times New Roman" w:hAnsi="Times New Roman"/>
                <w:i/>
                <w:sz w:val="24"/>
                <w:szCs w:val="24"/>
                <w:shd w:val="clear" w:color="auto" w:fill="FFFFFF"/>
              </w:rPr>
              <w:t>minimis</w:t>
            </w:r>
            <w:proofErr w:type="spellEnd"/>
            <w:r w:rsidRPr="00E56E60">
              <w:rPr>
                <w:rFonts w:ascii="Times New Roman" w:hAnsi="Times New Roman"/>
                <w:sz w:val="24"/>
                <w:szCs w:val="24"/>
                <w:shd w:val="clear" w:color="auto" w:fill="FFFFFF"/>
              </w:rPr>
              <w:t> atbalstam zvejniecības un akvakultūras nozarē (Eiropas Savienības Oficiālais Vēstnesis, 2014. gada 28. jūnijs, Nr. L190)</w:t>
            </w:r>
          </w:p>
          <w:p w14:paraId="56FDDB89" w14:textId="0E8C0525" w:rsidR="00F06C8A" w:rsidRPr="00E56E60" w:rsidRDefault="00F06C8A" w:rsidP="00E56E60">
            <w:pPr>
              <w:spacing w:after="0" w:line="240" w:lineRule="auto"/>
              <w:jc w:val="both"/>
              <w:rPr>
                <w:rFonts w:ascii="Times New Roman" w:eastAsia="Times New Roman" w:hAnsi="Times New Roman"/>
                <w:iCs/>
                <w:sz w:val="24"/>
                <w:szCs w:val="24"/>
                <w:lang w:eastAsia="lv-LV"/>
              </w:rPr>
            </w:pPr>
          </w:p>
        </w:tc>
      </w:tr>
      <w:tr w:rsidR="00E56E60" w:rsidRPr="00E56E60" w14:paraId="4F49F07A"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AFCB12"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E17AE"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FAF3326" w14:textId="2B0D4E69" w:rsidR="00F06C8A" w:rsidRPr="00E56E60" w:rsidRDefault="00D46944"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sz w:val="24"/>
                <w:szCs w:val="24"/>
                <w:lang w:eastAsia="lv-LV"/>
              </w:rPr>
              <w:t>Nav.</w:t>
            </w:r>
          </w:p>
        </w:tc>
      </w:tr>
      <w:tr w:rsidR="00E56E60" w:rsidRPr="00E56E60" w14:paraId="79EE4A24"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9B5096"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6F6347"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40A45C" w14:textId="005FA66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Nav</w:t>
            </w:r>
            <w:r w:rsidR="00D46944" w:rsidRPr="00E56E60">
              <w:rPr>
                <w:rFonts w:ascii="Times New Roman" w:eastAsia="Times New Roman" w:hAnsi="Times New Roman"/>
                <w:iCs/>
                <w:sz w:val="24"/>
                <w:szCs w:val="24"/>
                <w:lang w:eastAsia="lv-LV"/>
              </w:rPr>
              <w:t>.</w:t>
            </w:r>
          </w:p>
        </w:tc>
      </w:tr>
    </w:tbl>
    <w:p w14:paraId="459F367F" w14:textId="77777777" w:rsidR="00F06C8A" w:rsidRPr="00E56E60" w:rsidRDefault="00F06C8A" w:rsidP="00F06C8A">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8"/>
        <w:gridCol w:w="2204"/>
        <w:gridCol w:w="1047"/>
        <w:gridCol w:w="1248"/>
        <w:gridCol w:w="2338"/>
      </w:tblGrid>
      <w:tr w:rsidR="00E56E60" w:rsidRPr="00E56E60" w14:paraId="30A1E4C5" w14:textId="77777777" w:rsidTr="00106F9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7FA83E0" w14:textId="77777777" w:rsidR="00F06C8A" w:rsidRPr="00E56E60" w:rsidRDefault="00F06C8A" w:rsidP="00106F92">
            <w:pPr>
              <w:spacing w:after="0" w:line="240" w:lineRule="auto"/>
              <w:rPr>
                <w:rFonts w:ascii="Times New Roman" w:eastAsia="Times New Roman" w:hAnsi="Times New Roman"/>
                <w:b/>
                <w:bCs/>
                <w:iCs/>
                <w:sz w:val="24"/>
                <w:szCs w:val="24"/>
                <w:lang w:eastAsia="lv-LV"/>
              </w:rPr>
            </w:pPr>
            <w:r w:rsidRPr="00E56E60">
              <w:rPr>
                <w:rFonts w:ascii="Times New Roman" w:eastAsia="Times New Roman" w:hAnsi="Times New Roman"/>
                <w:b/>
                <w:bCs/>
                <w:iCs/>
                <w:sz w:val="24"/>
                <w:szCs w:val="24"/>
                <w:lang w:eastAsia="lv-LV"/>
              </w:rPr>
              <w:t>1. tabula</w:t>
            </w:r>
            <w:r w:rsidRPr="00E56E60">
              <w:rPr>
                <w:rFonts w:ascii="Times New Roman" w:eastAsia="Times New Roman" w:hAnsi="Times New Roman"/>
                <w:b/>
                <w:bCs/>
                <w:iCs/>
                <w:sz w:val="24"/>
                <w:szCs w:val="24"/>
                <w:lang w:eastAsia="lv-LV"/>
              </w:rPr>
              <w:br/>
              <w:t>Tiesību akta projekta atbilstība ES tiesību aktiem</w:t>
            </w:r>
          </w:p>
        </w:tc>
      </w:tr>
      <w:tr w:rsidR="00E56E60" w:rsidRPr="00E56E60" w14:paraId="32401EFD"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DD21C7A"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lastRenderedPageBreak/>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69E5ED58" w14:textId="73A6A267" w:rsidR="00D46944" w:rsidRPr="00E56E60" w:rsidRDefault="00D46944" w:rsidP="00E56E60">
            <w:pPr>
              <w:spacing w:after="0" w:line="240" w:lineRule="auto"/>
              <w:jc w:val="both"/>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 xml:space="preserve">Komisijas 2013. gada 18. decembra Regulas (EK) Nr. 1408/2013  par Līguma par Eiropas Savienības darbību 107. un 108. panta piemērošanu </w:t>
            </w:r>
            <w:proofErr w:type="spellStart"/>
            <w:r w:rsidRPr="00E56E60">
              <w:rPr>
                <w:rFonts w:ascii="Times New Roman" w:eastAsia="Times New Roman" w:hAnsi="Times New Roman"/>
                <w:iCs/>
                <w:sz w:val="24"/>
                <w:szCs w:val="24"/>
                <w:lang w:eastAsia="lv-LV"/>
              </w:rPr>
              <w:t>de</w:t>
            </w:r>
            <w:proofErr w:type="spellEnd"/>
            <w:r w:rsidRPr="00E56E60">
              <w:rPr>
                <w:rFonts w:ascii="Times New Roman" w:eastAsia="Times New Roman" w:hAnsi="Times New Roman"/>
                <w:iCs/>
                <w:sz w:val="24"/>
                <w:szCs w:val="24"/>
                <w:lang w:eastAsia="lv-LV"/>
              </w:rPr>
              <w:t xml:space="preserve"> </w:t>
            </w:r>
            <w:proofErr w:type="spellStart"/>
            <w:r w:rsidRPr="00E56E60">
              <w:rPr>
                <w:rFonts w:ascii="Times New Roman" w:eastAsia="Times New Roman" w:hAnsi="Times New Roman"/>
                <w:iCs/>
                <w:sz w:val="24"/>
                <w:szCs w:val="24"/>
                <w:lang w:eastAsia="lv-LV"/>
              </w:rPr>
              <w:t>minimis</w:t>
            </w:r>
            <w:proofErr w:type="spellEnd"/>
            <w:r w:rsidRPr="00E56E60">
              <w:rPr>
                <w:rFonts w:ascii="Times New Roman" w:eastAsia="Times New Roman" w:hAnsi="Times New Roman"/>
                <w:iCs/>
                <w:sz w:val="24"/>
                <w:szCs w:val="24"/>
                <w:lang w:eastAsia="lv-LV"/>
              </w:rPr>
              <w:t xml:space="preserve"> atbalstam lauksaimniecības nozarē (Eiropas Savienības Oficiālais Vēstnesis, 2013. gada 24. decembris, Nr. L 352) (turpmāk Regula Nr. 1408/2013);</w:t>
            </w:r>
          </w:p>
          <w:p w14:paraId="109B5608" w14:textId="623228D9" w:rsidR="00F06C8A" w:rsidRPr="00E56E60" w:rsidRDefault="00D46944" w:rsidP="00E56E60">
            <w:pPr>
              <w:spacing w:after="0" w:line="240" w:lineRule="auto"/>
              <w:jc w:val="both"/>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 xml:space="preserve">Komisijas 2014. gada 27. jūnija Regulas (EK) Nr. 717/2014 par Līguma par Eiropas Savienības darbību 107. un 108. panta piemērošanu </w:t>
            </w:r>
            <w:proofErr w:type="spellStart"/>
            <w:r w:rsidRPr="00E56E60">
              <w:rPr>
                <w:rFonts w:ascii="Times New Roman" w:eastAsia="Times New Roman" w:hAnsi="Times New Roman"/>
                <w:iCs/>
                <w:sz w:val="24"/>
                <w:szCs w:val="24"/>
                <w:lang w:eastAsia="lv-LV"/>
              </w:rPr>
              <w:t>de</w:t>
            </w:r>
            <w:proofErr w:type="spellEnd"/>
            <w:r w:rsidRPr="00E56E60">
              <w:rPr>
                <w:rFonts w:ascii="Times New Roman" w:eastAsia="Times New Roman" w:hAnsi="Times New Roman"/>
                <w:iCs/>
                <w:sz w:val="24"/>
                <w:szCs w:val="24"/>
                <w:lang w:eastAsia="lv-LV"/>
              </w:rPr>
              <w:t xml:space="preserve"> </w:t>
            </w:r>
            <w:proofErr w:type="spellStart"/>
            <w:r w:rsidRPr="00E56E60">
              <w:rPr>
                <w:rFonts w:ascii="Times New Roman" w:eastAsia="Times New Roman" w:hAnsi="Times New Roman"/>
                <w:iCs/>
                <w:sz w:val="24"/>
                <w:szCs w:val="24"/>
                <w:lang w:eastAsia="lv-LV"/>
              </w:rPr>
              <w:t>minimis</w:t>
            </w:r>
            <w:proofErr w:type="spellEnd"/>
            <w:r w:rsidRPr="00E56E60">
              <w:rPr>
                <w:rFonts w:ascii="Times New Roman" w:eastAsia="Times New Roman" w:hAnsi="Times New Roman"/>
                <w:iCs/>
                <w:sz w:val="24"/>
                <w:szCs w:val="24"/>
                <w:lang w:eastAsia="lv-LV"/>
              </w:rPr>
              <w:t xml:space="preserve"> atbalstam zvejniecības un akvakultūras nozarē (Eiropas Savienības Oficiālais Vēstnesis, 2014. gada 28. jūnijs, Nr. L190) (turpmāk – Regula 717/2014).</w:t>
            </w:r>
          </w:p>
        </w:tc>
      </w:tr>
      <w:tr w:rsidR="00E56E60" w:rsidRPr="00E56E60" w14:paraId="3D4ECA78"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60F19E95"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305DAFB1"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B</w:t>
            </w:r>
          </w:p>
        </w:tc>
        <w:tc>
          <w:tcPr>
            <w:tcW w:w="1246" w:type="pct"/>
            <w:gridSpan w:val="2"/>
            <w:tcBorders>
              <w:top w:val="outset" w:sz="6" w:space="0" w:color="auto"/>
              <w:left w:val="outset" w:sz="6" w:space="0" w:color="auto"/>
              <w:bottom w:val="outset" w:sz="6" w:space="0" w:color="auto"/>
              <w:right w:val="outset" w:sz="6" w:space="0" w:color="auto"/>
            </w:tcBorders>
            <w:vAlign w:val="center"/>
            <w:hideMark/>
          </w:tcPr>
          <w:p w14:paraId="1529F2EB"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0558DE24"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D</w:t>
            </w:r>
          </w:p>
        </w:tc>
      </w:tr>
      <w:tr w:rsidR="00E56E60" w:rsidRPr="00E56E60" w14:paraId="7D3A3496"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12BA2AB3"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0B04C4FC"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6" w:type="pct"/>
            <w:gridSpan w:val="2"/>
            <w:tcBorders>
              <w:top w:val="outset" w:sz="6" w:space="0" w:color="auto"/>
              <w:left w:val="outset" w:sz="6" w:space="0" w:color="auto"/>
              <w:bottom w:val="outset" w:sz="6" w:space="0" w:color="auto"/>
              <w:right w:val="outset" w:sz="6" w:space="0" w:color="auto"/>
            </w:tcBorders>
            <w:hideMark/>
          </w:tcPr>
          <w:p w14:paraId="5105B49D"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E56E60">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56E60">
              <w:rPr>
                <w:rFonts w:ascii="Times New Roman" w:eastAsia="Times New Roman" w:hAnsi="Times New Roman"/>
                <w:iCs/>
                <w:sz w:val="24"/>
                <w:szCs w:val="24"/>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62EEC64C"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Informācija par to, vai šīs tabulas B ailē minētās projekta vienības paredz stingrākas prasības nekā šīs tabulas A ailē minētās ES tiesību akta vienības.</w:t>
            </w:r>
            <w:r w:rsidRPr="00E56E60">
              <w:rPr>
                <w:rFonts w:ascii="Times New Roman" w:eastAsia="Times New Roman" w:hAnsi="Times New Roman"/>
                <w:iCs/>
                <w:sz w:val="24"/>
                <w:szCs w:val="24"/>
                <w:lang w:eastAsia="lv-LV"/>
              </w:rPr>
              <w:br/>
              <w:t>Ja projekts satur stingrākas prasības nekā attiecīgais ES tiesību akts, norāda pamatojumu un samērīgumu.</w:t>
            </w:r>
            <w:r w:rsidRPr="00E56E60">
              <w:rPr>
                <w:rFonts w:ascii="Times New Roman" w:eastAsia="Times New Roman" w:hAnsi="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6E60" w:rsidRPr="00E56E60" w14:paraId="4004850F"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D005CAC" w14:textId="3955FEA6" w:rsidR="00D46944" w:rsidRPr="00E56E60" w:rsidRDefault="00D46944" w:rsidP="00D46944">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Regulas Nr. 1408/2013</w:t>
            </w:r>
          </w:p>
        </w:tc>
        <w:tc>
          <w:tcPr>
            <w:tcW w:w="1213" w:type="pct"/>
            <w:tcBorders>
              <w:top w:val="outset" w:sz="6" w:space="0" w:color="auto"/>
              <w:left w:val="outset" w:sz="6" w:space="0" w:color="auto"/>
              <w:bottom w:val="outset" w:sz="6" w:space="0" w:color="auto"/>
              <w:right w:val="outset" w:sz="6" w:space="0" w:color="auto"/>
            </w:tcBorders>
            <w:hideMark/>
          </w:tcPr>
          <w:p w14:paraId="51F007D4" w14:textId="3316FCC6" w:rsidR="00D46944" w:rsidRPr="00E56E60" w:rsidRDefault="00D46944">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likumprojekta 2. un 3. punkts</w:t>
            </w:r>
          </w:p>
        </w:tc>
        <w:tc>
          <w:tcPr>
            <w:tcW w:w="1246" w:type="pct"/>
            <w:gridSpan w:val="2"/>
            <w:tcBorders>
              <w:top w:val="outset" w:sz="6" w:space="0" w:color="auto"/>
              <w:left w:val="outset" w:sz="6" w:space="0" w:color="auto"/>
              <w:bottom w:val="outset" w:sz="6" w:space="0" w:color="auto"/>
              <w:right w:val="outset" w:sz="6" w:space="0" w:color="auto"/>
            </w:tcBorders>
            <w:hideMark/>
          </w:tcPr>
          <w:p w14:paraId="00692597" w14:textId="13EC02F0" w:rsidR="00D46944" w:rsidRPr="00E56E60" w:rsidRDefault="00D46944" w:rsidP="00D46944">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Komisijas regulas Nr. 1408/2013 prasības tiek ieviestas pilnībā.</w:t>
            </w:r>
          </w:p>
        </w:tc>
        <w:tc>
          <w:tcPr>
            <w:tcW w:w="1246" w:type="pct"/>
            <w:tcBorders>
              <w:top w:val="outset" w:sz="6" w:space="0" w:color="auto"/>
              <w:left w:val="outset" w:sz="6" w:space="0" w:color="auto"/>
              <w:bottom w:val="outset" w:sz="6" w:space="0" w:color="auto"/>
              <w:right w:val="outset" w:sz="6" w:space="0" w:color="auto"/>
            </w:tcBorders>
            <w:hideMark/>
          </w:tcPr>
          <w:p w14:paraId="5CD3AF9A" w14:textId="60395DD8" w:rsidR="00D46944" w:rsidRPr="00E56E60" w:rsidRDefault="00D46944" w:rsidP="00D46944">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Noteikumu projekta vienības neparedz stingrākas prasības kā šīs tabulas A ailē minētās ES tiesību akta vienības.</w:t>
            </w:r>
          </w:p>
        </w:tc>
      </w:tr>
      <w:tr w:rsidR="00E56E60" w:rsidRPr="00E56E60" w14:paraId="1B930739"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tcPr>
          <w:p w14:paraId="7F1F29DD" w14:textId="40C3F914" w:rsidR="007A5094" w:rsidRPr="00E56E60" w:rsidRDefault="007A5094">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Regulas Nr. 717/2014</w:t>
            </w:r>
          </w:p>
        </w:tc>
        <w:tc>
          <w:tcPr>
            <w:tcW w:w="1213" w:type="pct"/>
            <w:tcBorders>
              <w:top w:val="outset" w:sz="6" w:space="0" w:color="auto"/>
              <w:left w:val="outset" w:sz="6" w:space="0" w:color="auto"/>
              <w:bottom w:val="outset" w:sz="6" w:space="0" w:color="auto"/>
              <w:right w:val="outset" w:sz="6" w:space="0" w:color="auto"/>
            </w:tcBorders>
          </w:tcPr>
          <w:p w14:paraId="699608CE" w14:textId="207ACB7D" w:rsidR="007A5094" w:rsidRPr="00E56E60" w:rsidRDefault="007A5094" w:rsidP="007A5094">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likumprojekta 2. un 3. punkts</w:t>
            </w:r>
          </w:p>
        </w:tc>
        <w:tc>
          <w:tcPr>
            <w:tcW w:w="1246" w:type="pct"/>
            <w:gridSpan w:val="2"/>
            <w:tcBorders>
              <w:top w:val="outset" w:sz="6" w:space="0" w:color="auto"/>
              <w:left w:val="outset" w:sz="6" w:space="0" w:color="auto"/>
              <w:bottom w:val="outset" w:sz="6" w:space="0" w:color="auto"/>
              <w:right w:val="outset" w:sz="6" w:space="0" w:color="auto"/>
            </w:tcBorders>
          </w:tcPr>
          <w:p w14:paraId="3BDCBB0D" w14:textId="05DE23A1" w:rsidR="007A5094" w:rsidRPr="00E56E60" w:rsidRDefault="007A5094">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Komisijas regulas Nr. 717/2014 prasības tiek ieviestas pilnībā.</w:t>
            </w:r>
          </w:p>
        </w:tc>
        <w:tc>
          <w:tcPr>
            <w:tcW w:w="1246" w:type="pct"/>
            <w:tcBorders>
              <w:top w:val="outset" w:sz="6" w:space="0" w:color="auto"/>
              <w:left w:val="outset" w:sz="6" w:space="0" w:color="auto"/>
              <w:bottom w:val="outset" w:sz="6" w:space="0" w:color="auto"/>
              <w:right w:val="outset" w:sz="6" w:space="0" w:color="auto"/>
            </w:tcBorders>
          </w:tcPr>
          <w:p w14:paraId="1E00B100" w14:textId="3F4CEE16" w:rsidR="007A5094" w:rsidRPr="00E56E60" w:rsidRDefault="007A5094" w:rsidP="007A5094">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Noteikumu projekta vienības neparedz stingrākas prasības kā šīs tabulas A ailē minētās ES tiesību akta vienības.</w:t>
            </w:r>
          </w:p>
        </w:tc>
      </w:tr>
      <w:tr w:rsidR="00E56E60" w:rsidRPr="00E56E60" w14:paraId="1D590E18"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087157B6"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lastRenderedPageBreak/>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hideMark/>
          </w:tcPr>
          <w:p w14:paraId="7F3E8AA0" w14:textId="13D20B34" w:rsidR="00F06C8A" w:rsidRPr="00E56E60" w:rsidRDefault="00D46944"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Nav.</w:t>
            </w:r>
          </w:p>
        </w:tc>
      </w:tr>
      <w:tr w:rsidR="00E56E60" w:rsidRPr="00E56E60" w14:paraId="4BEB4C9B"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7C7E6CD5"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19221779" w14:textId="51EE8078" w:rsidR="00F06C8A" w:rsidRPr="00E56E60" w:rsidRDefault="00D46944"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Nav.</w:t>
            </w:r>
          </w:p>
        </w:tc>
      </w:tr>
      <w:tr w:rsidR="00E56E60" w:rsidRPr="00E56E60" w14:paraId="072EB203"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1CE6B35F"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597C0DEA" w14:textId="45C354FC" w:rsidR="00F06C8A" w:rsidRPr="00E56E60" w:rsidRDefault="00D46944"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Nav.</w:t>
            </w:r>
          </w:p>
        </w:tc>
      </w:tr>
      <w:tr w:rsidR="00E56E60" w:rsidRPr="00E56E60" w14:paraId="4E4D9496" w14:textId="77777777" w:rsidTr="00106F9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56FD510" w14:textId="77777777" w:rsidR="00F06C8A" w:rsidRPr="00E56E60" w:rsidRDefault="00F06C8A" w:rsidP="00106F92">
            <w:pPr>
              <w:spacing w:after="0" w:line="240" w:lineRule="auto"/>
              <w:rPr>
                <w:rFonts w:ascii="Times New Roman" w:eastAsia="Times New Roman" w:hAnsi="Times New Roman"/>
                <w:b/>
                <w:bCs/>
                <w:iCs/>
                <w:sz w:val="24"/>
                <w:szCs w:val="24"/>
                <w:lang w:eastAsia="lv-LV"/>
              </w:rPr>
            </w:pPr>
            <w:r w:rsidRPr="00E56E60">
              <w:rPr>
                <w:rFonts w:ascii="Times New Roman" w:eastAsia="Times New Roman" w:hAnsi="Times New Roman"/>
                <w:b/>
                <w:bCs/>
                <w:iCs/>
                <w:sz w:val="24"/>
                <w:szCs w:val="24"/>
                <w:lang w:eastAsia="lv-LV"/>
              </w:rPr>
              <w:t>2. tabula</w:t>
            </w:r>
            <w:r w:rsidRPr="00E56E60">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56E60">
              <w:rPr>
                <w:rFonts w:ascii="Times New Roman" w:eastAsia="Times New Roman" w:hAnsi="Times New Roman"/>
                <w:b/>
                <w:bCs/>
                <w:iCs/>
                <w:sz w:val="24"/>
                <w:szCs w:val="24"/>
                <w:lang w:eastAsia="lv-LV"/>
              </w:rPr>
              <w:br/>
              <w:t>Pasākumi šo saistību izpildei</w:t>
            </w:r>
          </w:p>
        </w:tc>
      </w:tr>
      <w:tr w:rsidR="00E56E60" w:rsidRPr="00E56E60" w14:paraId="2DDA6638"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114A2D2A"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65B36299" w14:textId="28CB5F5D" w:rsidR="00F06C8A" w:rsidRPr="00E56E60" w:rsidRDefault="00D46944"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Nav.</w:t>
            </w:r>
          </w:p>
        </w:tc>
      </w:tr>
      <w:tr w:rsidR="00E56E60" w:rsidRPr="00E56E60" w14:paraId="1886237D"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2E9035A1"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14:paraId="6D663FAC"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B</w:t>
            </w:r>
          </w:p>
        </w:tc>
        <w:tc>
          <w:tcPr>
            <w:tcW w:w="1941" w:type="pct"/>
            <w:gridSpan w:val="2"/>
            <w:tcBorders>
              <w:top w:val="outset" w:sz="6" w:space="0" w:color="auto"/>
              <w:left w:val="outset" w:sz="6" w:space="0" w:color="auto"/>
              <w:bottom w:val="outset" w:sz="6" w:space="0" w:color="auto"/>
              <w:right w:val="outset" w:sz="6" w:space="0" w:color="auto"/>
            </w:tcBorders>
            <w:vAlign w:val="center"/>
            <w:hideMark/>
          </w:tcPr>
          <w:p w14:paraId="06A58FB1"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C</w:t>
            </w:r>
          </w:p>
        </w:tc>
      </w:tr>
      <w:tr w:rsidR="00E56E60" w:rsidRPr="00E56E60" w14:paraId="105D7C48"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D0C3000"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Starptautiskās saistības (pēc būtības), kas izriet no norādītā starptautiskā dokumenta.</w:t>
            </w:r>
            <w:r w:rsidRPr="00E56E60">
              <w:rPr>
                <w:rFonts w:ascii="Times New Roman" w:eastAsia="Times New Roman" w:hAnsi="Times New Roman"/>
                <w:iCs/>
                <w:sz w:val="24"/>
                <w:szCs w:val="24"/>
                <w:lang w:eastAsia="lv-LV"/>
              </w:rPr>
              <w:br/>
              <w:t xml:space="preserve">Konkrēti veicamie pasākumi vai </w:t>
            </w:r>
            <w:r w:rsidRPr="00E56E60">
              <w:rPr>
                <w:rFonts w:ascii="Times New Roman" w:eastAsia="Times New Roman" w:hAnsi="Times New Roman"/>
                <w:iCs/>
                <w:sz w:val="24"/>
                <w:szCs w:val="24"/>
                <w:lang w:eastAsia="lv-LV"/>
              </w:rPr>
              <w:lastRenderedPageBreak/>
              <w:t>uzdevumi, kas nepieciešami šo starptautisko saistību izpildei</w:t>
            </w:r>
          </w:p>
        </w:tc>
        <w:tc>
          <w:tcPr>
            <w:tcW w:w="1780" w:type="pct"/>
            <w:gridSpan w:val="2"/>
            <w:tcBorders>
              <w:top w:val="outset" w:sz="6" w:space="0" w:color="auto"/>
              <w:left w:val="outset" w:sz="6" w:space="0" w:color="auto"/>
              <w:bottom w:val="outset" w:sz="6" w:space="0" w:color="auto"/>
              <w:right w:val="outset" w:sz="6" w:space="0" w:color="auto"/>
            </w:tcBorders>
            <w:hideMark/>
          </w:tcPr>
          <w:p w14:paraId="079A55AE"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lastRenderedPageBreak/>
              <w:t xml:space="preserve">Ja pasākumi vai uzdevumi, ar ko tiks izpildītas starptautiskās saistības, tiek noteikti projektā, norāda attiecīgo projekta vienību vai dokumentu, kurā sniegts izvērsts skaidrojums, </w:t>
            </w:r>
            <w:r w:rsidRPr="00E56E60">
              <w:rPr>
                <w:rFonts w:ascii="Times New Roman" w:eastAsia="Times New Roman" w:hAnsi="Times New Roman"/>
                <w:iCs/>
                <w:sz w:val="24"/>
                <w:szCs w:val="24"/>
                <w:lang w:eastAsia="lv-LV"/>
              </w:rPr>
              <w:lastRenderedPageBreak/>
              <w:t>kādā veidā tiks nodrošināta starptautisko saistību izpilde</w:t>
            </w:r>
          </w:p>
        </w:tc>
        <w:tc>
          <w:tcPr>
            <w:tcW w:w="1941" w:type="pct"/>
            <w:gridSpan w:val="2"/>
            <w:tcBorders>
              <w:top w:val="outset" w:sz="6" w:space="0" w:color="auto"/>
              <w:left w:val="outset" w:sz="6" w:space="0" w:color="auto"/>
              <w:bottom w:val="outset" w:sz="6" w:space="0" w:color="auto"/>
              <w:right w:val="outset" w:sz="6" w:space="0" w:color="auto"/>
            </w:tcBorders>
            <w:hideMark/>
          </w:tcPr>
          <w:p w14:paraId="46D5BA6B"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lastRenderedPageBreak/>
              <w:t>Informācija par to, vai starptautiskās saistības, kas minētas šīs tabulas A ailē, tiek izpildītas pilnībā vai daļēji.</w:t>
            </w:r>
            <w:r w:rsidRPr="00E56E60">
              <w:rPr>
                <w:rFonts w:ascii="Times New Roman" w:eastAsia="Times New Roman" w:hAnsi="Times New Roman"/>
                <w:iCs/>
                <w:sz w:val="24"/>
                <w:szCs w:val="24"/>
                <w:lang w:eastAsia="lv-LV"/>
              </w:rPr>
              <w:br/>
              <w:t xml:space="preserve">Ja attiecīgās starptautiskās saistības tiek izpildītas daļēji, sniedz skaidrojumu, kā arī precīzi norāda, </w:t>
            </w:r>
            <w:r w:rsidRPr="00E56E60">
              <w:rPr>
                <w:rFonts w:ascii="Times New Roman" w:eastAsia="Times New Roman" w:hAnsi="Times New Roman"/>
                <w:iCs/>
                <w:sz w:val="24"/>
                <w:szCs w:val="24"/>
                <w:lang w:eastAsia="lv-LV"/>
              </w:rPr>
              <w:lastRenderedPageBreak/>
              <w:t>kad un kādā veidā starptautiskās saistības tiks izpildītas pilnībā.</w:t>
            </w:r>
            <w:r w:rsidRPr="00E56E60">
              <w:rPr>
                <w:rFonts w:ascii="Times New Roman" w:eastAsia="Times New Roman" w:hAnsi="Times New Roman"/>
                <w:iCs/>
                <w:sz w:val="24"/>
                <w:szCs w:val="24"/>
                <w:lang w:eastAsia="lv-LV"/>
              </w:rPr>
              <w:br/>
              <w:t>Norāda institūciju, kas ir atbildīga par šo saistību izpildi pilnībā</w:t>
            </w:r>
          </w:p>
        </w:tc>
      </w:tr>
      <w:tr w:rsidR="00E56E60" w:rsidRPr="00E56E60" w14:paraId="35D0894B"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D758EBA" w14:textId="1D163A58" w:rsidR="00F06C8A" w:rsidRPr="00E56E60" w:rsidRDefault="00D46944"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lastRenderedPageBreak/>
              <w:t>Nav.</w:t>
            </w:r>
          </w:p>
        </w:tc>
        <w:tc>
          <w:tcPr>
            <w:tcW w:w="1780" w:type="pct"/>
            <w:gridSpan w:val="2"/>
            <w:tcBorders>
              <w:top w:val="outset" w:sz="6" w:space="0" w:color="auto"/>
              <w:left w:val="outset" w:sz="6" w:space="0" w:color="auto"/>
              <w:bottom w:val="outset" w:sz="6" w:space="0" w:color="auto"/>
              <w:right w:val="outset" w:sz="6" w:space="0" w:color="auto"/>
            </w:tcBorders>
            <w:hideMark/>
          </w:tcPr>
          <w:p w14:paraId="51F154BA" w14:textId="532BE92D" w:rsidR="00F06C8A" w:rsidRPr="00E56E60" w:rsidRDefault="00D46944"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Nav.</w:t>
            </w:r>
          </w:p>
        </w:tc>
        <w:tc>
          <w:tcPr>
            <w:tcW w:w="1941" w:type="pct"/>
            <w:gridSpan w:val="2"/>
            <w:tcBorders>
              <w:top w:val="outset" w:sz="6" w:space="0" w:color="auto"/>
              <w:left w:val="outset" w:sz="6" w:space="0" w:color="auto"/>
              <w:bottom w:val="outset" w:sz="6" w:space="0" w:color="auto"/>
              <w:right w:val="outset" w:sz="6" w:space="0" w:color="auto"/>
            </w:tcBorders>
            <w:hideMark/>
          </w:tcPr>
          <w:p w14:paraId="324C57C9" w14:textId="569D4953" w:rsidR="00F06C8A" w:rsidRPr="00E56E60" w:rsidRDefault="00D46944"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Nav.</w:t>
            </w:r>
          </w:p>
        </w:tc>
      </w:tr>
      <w:tr w:rsidR="00E56E60" w:rsidRPr="00E56E60" w14:paraId="340FD24F"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1C2FE2D5"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Vai starptautiskajā dokumentā paredzētās saistības nav pretrunā ar jau esošajām Latvijas Republikas starptautiskajām saistībām</w:t>
            </w:r>
          </w:p>
        </w:tc>
        <w:tc>
          <w:tcPr>
            <w:tcW w:w="3738" w:type="pct"/>
            <w:gridSpan w:val="4"/>
            <w:tcBorders>
              <w:top w:val="outset" w:sz="6" w:space="0" w:color="auto"/>
              <w:left w:val="outset" w:sz="6" w:space="0" w:color="auto"/>
              <w:bottom w:val="outset" w:sz="6" w:space="0" w:color="auto"/>
              <w:right w:val="outset" w:sz="6" w:space="0" w:color="auto"/>
            </w:tcBorders>
            <w:hideMark/>
          </w:tcPr>
          <w:p w14:paraId="741DBE06" w14:textId="6B12D728" w:rsidR="00F06C8A" w:rsidRPr="00E56E60" w:rsidRDefault="00D46944"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Nav.</w:t>
            </w:r>
          </w:p>
        </w:tc>
      </w:tr>
      <w:tr w:rsidR="00E56E60" w:rsidRPr="00E56E60" w14:paraId="2A78CCD8" w14:textId="77777777" w:rsidTr="007A509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5E03EA5A" w14:textId="77777777" w:rsidR="00F06C8A" w:rsidRPr="00E56E60" w:rsidRDefault="00F06C8A" w:rsidP="00106F92">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57426DBD" w14:textId="23E7AE76" w:rsidR="00F06C8A" w:rsidRPr="00E56E60" w:rsidRDefault="00D46944">
            <w:pPr>
              <w:spacing w:after="0" w:line="240" w:lineRule="auto"/>
              <w:rPr>
                <w:rFonts w:ascii="Times New Roman" w:eastAsia="Times New Roman" w:hAnsi="Times New Roman"/>
                <w:iCs/>
                <w:sz w:val="24"/>
                <w:szCs w:val="24"/>
                <w:lang w:eastAsia="lv-LV"/>
              </w:rPr>
            </w:pPr>
            <w:r w:rsidRPr="00E56E60">
              <w:rPr>
                <w:rFonts w:ascii="Times New Roman" w:eastAsia="Times New Roman" w:hAnsi="Times New Roman"/>
                <w:iCs/>
                <w:sz w:val="24"/>
                <w:szCs w:val="24"/>
                <w:lang w:eastAsia="lv-LV"/>
              </w:rPr>
              <w:t>Nav.</w:t>
            </w:r>
          </w:p>
        </w:tc>
      </w:tr>
    </w:tbl>
    <w:p w14:paraId="3D5C43D7" w14:textId="7741F65F" w:rsidR="00B6584F" w:rsidRPr="006A24C2" w:rsidRDefault="00B6584F" w:rsidP="00B6584F">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584F" w:rsidRPr="006A24C2" w14:paraId="7034FDA8" w14:textId="77777777" w:rsidTr="00106F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A3565D" w14:textId="77777777" w:rsidR="00B6584F" w:rsidRPr="006A24C2" w:rsidRDefault="00B6584F" w:rsidP="00106F92">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VI. Sabiedrības līdzdalība un komunikācijas aktivitātes</w:t>
            </w:r>
          </w:p>
        </w:tc>
      </w:tr>
      <w:tr w:rsidR="00B6584F" w:rsidRPr="006A24C2" w14:paraId="52676E23"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F407FF"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E3A61E"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6896A2" w14:textId="77777777" w:rsidR="00B6584F" w:rsidRPr="006A24C2" w:rsidRDefault="00B6584F" w:rsidP="00106F92">
            <w:pPr>
              <w:spacing w:after="0" w:line="240" w:lineRule="auto"/>
              <w:jc w:val="both"/>
              <w:rPr>
                <w:rFonts w:ascii="Times New Roman" w:eastAsia="Times New Roman" w:hAnsi="Times New Roman"/>
                <w:iCs/>
                <w:sz w:val="24"/>
                <w:szCs w:val="24"/>
                <w:lang w:eastAsia="lv-LV"/>
              </w:rPr>
            </w:pPr>
            <w:r w:rsidRPr="00253039">
              <w:rPr>
                <w:rFonts w:ascii="Times New Roman" w:hAnsi="Times New Roman"/>
                <w:kern w:val="2"/>
                <w:sz w:val="24"/>
                <w:szCs w:val="24"/>
              </w:rPr>
              <w:t xml:space="preserve">Likumprojekts </w:t>
            </w:r>
            <w:r w:rsidRPr="00812C4E">
              <w:rPr>
                <w:rFonts w:ascii="Times New Roman" w:hAnsi="Times New Roman"/>
                <w:kern w:val="2"/>
                <w:sz w:val="24"/>
                <w:szCs w:val="24"/>
              </w:rPr>
              <w:t xml:space="preserve">nosūtīts </w:t>
            </w:r>
            <w:r>
              <w:rPr>
                <w:rFonts w:ascii="Times New Roman" w:hAnsi="Times New Roman"/>
                <w:kern w:val="2"/>
                <w:sz w:val="24"/>
                <w:szCs w:val="24"/>
              </w:rPr>
              <w:t>izskatīšanai</w:t>
            </w:r>
            <w:r w:rsidRPr="00812C4E">
              <w:rPr>
                <w:rFonts w:ascii="Times New Roman" w:hAnsi="Times New Roman"/>
                <w:kern w:val="2"/>
                <w:sz w:val="24"/>
                <w:szCs w:val="24"/>
              </w:rPr>
              <w:t xml:space="preserve"> biedrībām „Lauksaimnieku organizāciju sadarbības padome”, "Zemnieku saeima", "Latvijas Lauksaimniecības kooperatīvu asociācija", "Lauksaimniecības statūtsabiedrību asociācija", "Latvijas Pārtikas uzņēmumu federācija", "Latvijas Bioloģiskās lauksaimniecības asociācija", "Latvijas Jauno zemnieku klubs", "Latvijas Zemnieku federācija" un "Lauksaimnieku apvienība".</w:t>
            </w:r>
          </w:p>
        </w:tc>
      </w:tr>
      <w:tr w:rsidR="00B6584F" w:rsidRPr="006A24C2" w14:paraId="5A4FF371" w14:textId="77777777" w:rsidTr="00106F92">
        <w:trPr>
          <w:trHeight w:val="114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F911C6"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2BC9B2"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4E599AB" w14:textId="77777777" w:rsidR="004A193D" w:rsidRDefault="004A193D" w:rsidP="00755264">
            <w:pPr>
              <w:spacing w:after="0" w:line="240" w:lineRule="auto"/>
              <w:jc w:val="both"/>
              <w:rPr>
                <w:rFonts w:ascii="Times New Roman" w:hAnsi="Times New Roman"/>
                <w:iCs/>
                <w:sz w:val="24"/>
                <w:szCs w:val="24"/>
                <w:lang w:eastAsia="lv-LV"/>
              </w:rPr>
            </w:pPr>
            <w:r w:rsidRPr="004A193D">
              <w:rPr>
                <w:rFonts w:ascii="Times New Roman" w:hAnsi="Times New Roman"/>
                <w:iCs/>
                <w:sz w:val="24"/>
                <w:szCs w:val="24"/>
                <w:lang w:eastAsia="lv-LV"/>
              </w:rPr>
              <w:t xml:space="preserve">Informācija par </w:t>
            </w:r>
            <w:r>
              <w:rPr>
                <w:rFonts w:ascii="Times New Roman" w:hAnsi="Times New Roman"/>
                <w:iCs/>
                <w:sz w:val="24"/>
                <w:szCs w:val="24"/>
                <w:lang w:eastAsia="lv-LV"/>
              </w:rPr>
              <w:t>likum</w:t>
            </w:r>
            <w:r w:rsidRPr="00F06C8A">
              <w:rPr>
                <w:rFonts w:ascii="Times New Roman" w:hAnsi="Times New Roman"/>
                <w:iCs/>
                <w:sz w:val="24"/>
                <w:szCs w:val="24"/>
                <w:lang w:eastAsia="lv-LV"/>
              </w:rPr>
              <w:t>projektu tika ievietota Ministru kabineta tīmekļvietnes sadaļā „Sabiedrības līdzdalība” un Zemkopības ministrijas tīmekļvietnes sadaļ</w:t>
            </w:r>
            <w:r w:rsidRPr="004A193D">
              <w:rPr>
                <w:rFonts w:ascii="Times New Roman" w:hAnsi="Times New Roman"/>
                <w:iCs/>
                <w:sz w:val="24"/>
                <w:szCs w:val="24"/>
                <w:lang w:eastAsia="lv-LV"/>
              </w:rPr>
              <w:t xml:space="preserve">ā „Sabiedrības līdzdalība” no </w:t>
            </w:r>
            <w:r>
              <w:rPr>
                <w:rFonts w:ascii="Times New Roman" w:hAnsi="Times New Roman"/>
                <w:iCs/>
                <w:sz w:val="24"/>
                <w:szCs w:val="24"/>
                <w:lang w:eastAsia="lv-LV"/>
              </w:rPr>
              <w:t>22</w:t>
            </w:r>
            <w:r w:rsidRPr="004A193D">
              <w:rPr>
                <w:rFonts w:ascii="Times New Roman" w:hAnsi="Times New Roman"/>
                <w:iCs/>
                <w:sz w:val="24"/>
                <w:szCs w:val="24"/>
                <w:lang w:eastAsia="lv-LV"/>
              </w:rPr>
              <w:t>.0</w:t>
            </w:r>
            <w:r>
              <w:rPr>
                <w:rFonts w:ascii="Times New Roman" w:hAnsi="Times New Roman"/>
                <w:iCs/>
                <w:sz w:val="24"/>
                <w:szCs w:val="24"/>
                <w:lang w:eastAsia="lv-LV"/>
              </w:rPr>
              <w:t>7</w:t>
            </w:r>
            <w:r w:rsidRPr="004A193D">
              <w:rPr>
                <w:rFonts w:ascii="Times New Roman" w:hAnsi="Times New Roman"/>
                <w:iCs/>
                <w:sz w:val="24"/>
                <w:szCs w:val="24"/>
                <w:lang w:eastAsia="lv-LV"/>
              </w:rPr>
              <w:t xml:space="preserve">.2020. līdz </w:t>
            </w:r>
            <w:r>
              <w:rPr>
                <w:rFonts w:ascii="Times New Roman" w:hAnsi="Times New Roman"/>
                <w:iCs/>
                <w:sz w:val="24"/>
                <w:szCs w:val="24"/>
                <w:lang w:eastAsia="lv-LV"/>
              </w:rPr>
              <w:t>05</w:t>
            </w:r>
            <w:r w:rsidRPr="004A193D">
              <w:rPr>
                <w:rFonts w:ascii="Times New Roman" w:hAnsi="Times New Roman"/>
                <w:iCs/>
                <w:sz w:val="24"/>
                <w:szCs w:val="24"/>
                <w:lang w:eastAsia="lv-LV"/>
              </w:rPr>
              <w:t>.0</w:t>
            </w:r>
            <w:r>
              <w:rPr>
                <w:rFonts w:ascii="Times New Roman" w:hAnsi="Times New Roman"/>
                <w:iCs/>
                <w:sz w:val="24"/>
                <w:szCs w:val="24"/>
                <w:lang w:eastAsia="lv-LV"/>
              </w:rPr>
              <w:t>8</w:t>
            </w:r>
            <w:r w:rsidRPr="00F06C8A">
              <w:rPr>
                <w:rFonts w:ascii="Times New Roman" w:hAnsi="Times New Roman"/>
                <w:iCs/>
                <w:sz w:val="24"/>
                <w:szCs w:val="24"/>
                <w:lang w:eastAsia="lv-LV"/>
              </w:rPr>
              <w:t>.2020.</w:t>
            </w:r>
          </w:p>
          <w:p w14:paraId="1744ED18" w14:textId="77777777" w:rsidR="00A663E8" w:rsidRDefault="00D920EA" w:rsidP="00755264">
            <w:pPr>
              <w:spacing w:after="0" w:line="240" w:lineRule="auto"/>
              <w:jc w:val="both"/>
              <w:rPr>
                <w:rFonts w:ascii="Times New Roman" w:hAnsi="Times New Roman"/>
                <w:iCs/>
                <w:sz w:val="24"/>
                <w:szCs w:val="24"/>
                <w:lang w:eastAsia="lv-LV"/>
              </w:rPr>
            </w:pPr>
            <w:hyperlink r:id="rId7" w:history="1">
              <w:r w:rsidR="00A663E8" w:rsidRPr="003C4E3C">
                <w:rPr>
                  <w:rStyle w:val="Hipersaite"/>
                  <w:rFonts w:ascii="Times New Roman" w:hAnsi="Times New Roman"/>
                  <w:iCs/>
                  <w:sz w:val="24"/>
                  <w:szCs w:val="24"/>
                  <w:lang w:eastAsia="lv-LV"/>
                </w:rPr>
                <w:t>https://www.zm.gov.lv/zemkopibas-ministrija/apspriesanas/grozijumi-likuma-par-nekustama-ipasuma-nodokli-?id=949</w:t>
              </w:r>
            </w:hyperlink>
          </w:p>
          <w:p w14:paraId="4A487F7E" w14:textId="77777777" w:rsidR="00B6584F" w:rsidRPr="00F06C8A" w:rsidRDefault="00D920EA" w:rsidP="00755264">
            <w:pPr>
              <w:spacing w:after="0" w:line="240" w:lineRule="auto"/>
              <w:jc w:val="both"/>
              <w:rPr>
                <w:rFonts w:ascii="Times New Roman" w:hAnsi="Times New Roman"/>
                <w:iCs/>
                <w:sz w:val="24"/>
                <w:szCs w:val="24"/>
                <w:lang w:eastAsia="lv-LV"/>
              </w:rPr>
            </w:pPr>
            <w:hyperlink r:id="rId8" w:history="1">
              <w:r w:rsidR="00A663E8" w:rsidRPr="003C4E3C">
                <w:rPr>
                  <w:rStyle w:val="Hipersaite"/>
                  <w:rFonts w:ascii="Times New Roman" w:hAnsi="Times New Roman"/>
                  <w:iCs/>
                  <w:sz w:val="24"/>
                  <w:szCs w:val="24"/>
                  <w:lang w:eastAsia="lv-LV"/>
                </w:rPr>
                <w:t>https://www.mk.gov.lv/content/ministru-kabineta-diskusiju-dokumenti</w:t>
              </w:r>
            </w:hyperlink>
          </w:p>
        </w:tc>
      </w:tr>
      <w:tr w:rsidR="00B6584F" w:rsidRPr="006A24C2" w14:paraId="0AE41875"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3B1AC1"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7E3CC0"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BED5509" w14:textId="5B6E6DC4" w:rsidR="00B6584F" w:rsidRPr="005B6D88" w:rsidRDefault="00007288" w:rsidP="009E3BC0">
            <w:pPr>
              <w:spacing w:after="0" w:line="240" w:lineRule="auto"/>
              <w:jc w:val="both"/>
              <w:rPr>
                <w:rFonts w:ascii="Times New Roman" w:eastAsia="Times New Roman" w:hAnsi="Times New Roman"/>
                <w:iCs/>
                <w:sz w:val="24"/>
                <w:szCs w:val="24"/>
                <w:highlight w:val="yellow"/>
                <w:lang w:eastAsia="lv-LV"/>
              </w:rPr>
            </w:pPr>
            <w:r w:rsidRPr="0003030F">
              <w:rPr>
                <w:rFonts w:ascii="Times New Roman" w:hAnsi="Times New Roman"/>
                <w:sz w:val="24"/>
                <w:szCs w:val="24"/>
              </w:rPr>
              <w:t>Biedrība “Latvijas Zemnieku federācija”, Biedrība “</w:t>
            </w:r>
            <w:r w:rsidR="0003030F" w:rsidRPr="0003030F">
              <w:rPr>
                <w:rFonts w:ascii="Times New Roman" w:hAnsi="Times New Roman"/>
                <w:sz w:val="24"/>
                <w:szCs w:val="24"/>
              </w:rPr>
              <w:t>Lauksaimniecība</w:t>
            </w:r>
            <w:r w:rsidRPr="0003030F">
              <w:rPr>
                <w:rFonts w:ascii="Times New Roman" w:hAnsi="Times New Roman"/>
                <w:sz w:val="24"/>
                <w:szCs w:val="24"/>
              </w:rPr>
              <w:t xml:space="preserve">s Statūtsabiedrību asociācija” un SIA “Latvijas </w:t>
            </w:r>
            <w:r w:rsidR="0003030F" w:rsidRPr="0003030F">
              <w:rPr>
                <w:rFonts w:ascii="Times New Roman" w:hAnsi="Times New Roman"/>
                <w:sz w:val="24"/>
                <w:szCs w:val="24"/>
              </w:rPr>
              <w:t xml:space="preserve">Lauku </w:t>
            </w:r>
            <w:r w:rsidRPr="0003030F">
              <w:rPr>
                <w:rFonts w:ascii="Times New Roman" w:hAnsi="Times New Roman"/>
                <w:sz w:val="24"/>
                <w:szCs w:val="24"/>
              </w:rPr>
              <w:t>konsultā</w:t>
            </w:r>
            <w:r w:rsidR="0003030F" w:rsidRPr="0003030F">
              <w:rPr>
                <w:rFonts w:ascii="Times New Roman" w:hAnsi="Times New Roman"/>
                <w:sz w:val="24"/>
                <w:szCs w:val="24"/>
              </w:rPr>
              <w:t>ciju un izglītības centrs” atbalsta lauku zemju speciālo vērtību iesaldēšanu no 2021.gada.</w:t>
            </w:r>
          </w:p>
        </w:tc>
      </w:tr>
      <w:tr w:rsidR="00B6584F" w:rsidRPr="006A24C2" w14:paraId="7A158AEB"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8B006A"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9BE063"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Cita informācija</w:t>
            </w:r>
          </w:p>
          <w:p w14:paraId="4CFC15CC" w14:textId="77777777" w:rsidR="00B6584F" w:rsidRPr="006A24C2" w:rsidRDefault="00B6584F" w:rsidP="00106F92">
            <w:pPr>
              <w:spacing w:after="0" w:line="240" w:lineRule="auto"/>
              <w:rPr>
                <w:rFonts w:ascii="Times New Roman" w:eastAsia="Times New Roman" w:hAnsi="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DDD1929" w14:textId="77777777" w:rsidR="00B6584F" w:rsidRDefault="00B6584F" w:rsidP="00106F92">
            <w:pPr>
              <w:spacing w:after="0" w:line="240" w:lineRule="auto"/>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Nav.</w:t>
            </w:r>
          </w:p>
          <w:p w14:paraId="261B22DF" w14:textId="77777777" w:rsidR="00B6584F" w:rsidRPr="006A24C2" w:rsidRDefault="00B6584F" w:rsidP="00106F92">
            <w:pPr>
              <w:spacing w:after="0" w:line="240" w:lineRule="auto"/>
              <w:rPr>
                <w:rFonts w:ascii="Times New Roman" w:eastAsia="Times New Roman" w:hAnsi="Times New Roman"/>
                <w:iCs/>
                <w:sz w:val="24"/>
                <w:szCs w:val="24"/>
                <w:lang w:eastAsia="lv-LV"/>
              </w:rPr>
            </w:pPr>
          </w:p>
        </w:tc>
      </w:tr>
    </w:tbl>
    <w:p w14:paraId="277F4545" w14:textId="77777777" w:rsidR="00B6584F" w:rsidRPr="006A24C2" w:rsidRDefault="00B6584F" w:rsidP="00B6584F">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584F" w:rsidRPr="006A24C2" w14:paraId="55164FEC" w14:textId="77777777" w:rsidTr="00106F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91311F" w14:textId="77777777" w:rsidR="00B6584F" w:rsidRPr="006A24C2" w:rsidRDefault="00B6584F" w:rsidP="00106F92">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VII. Tiesību akta projekta izpildes nodrošināšana un tās ietekme uz institūcijām</w:t>
            </w:r>
          </w:p>
        </w:tc>
      </w:tr>
      <w:tr w:rsidR="00B6584F" w:rsidRPr="006A24C2" w14:paraId="615FE49D"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04EC85"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F297B6"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Projekta izpildē iesaistītās institūcijas</w:t>
            </w:r>
          </w:p>
          <w:p w14:paraId="04B30274" w14:textId="77777777" w:rsidR="00B6584F" w:rsidRDefault="00B6584F" w:rsidP="00106F92">
            <w:pPr>
              <w:spacing w:after="0" w:line="240" w:lineRule="auto"/>
              <w:rPr>
                <w:rFonts w:ascii="Times New Roman" w:eastAsia="Times New Roman" w:hAnsi="Times New Roman"/>
                <w:iCs/>
                <w:sz w:val="24"/>
                <w:szCs w:val="24"/>
                <w:lang w:eastAsia="lv-LV"/>
              </w:rPr>
            </w:pPr>
          </w:p>
          <w:p w14:paraId="6271CDBE" w14:textId="77777777" w:rsidR="00B6584F" w:rsidRPr="00822EA3" w:rsidRDefault="00B6584F" w:rsidP="00106F92">
            <w:pPr>
              <w:spacing w:after="0" w:line="240" w:lineRule="auto"/>
              <w:rPr>
                <w:rFonts w:ascii="Times New Roman" w:eastAsia="Times New Roman" w:hAnsi="Times New Roman"/>
                <w:sz w:val="24"/>
                <w:szCs w:val="24"/>
                <w:lang w:eastAsia="lv-LV"/>
              </w:rPr>
            </w:pPr>
          </w:p>
          <w:p w14:paraId="42EED54E" w14:textId="77777777" w:rsidR="00B6584F" w:rsidRPr="00822EA3" w:rsidRDefault="00B6584F" w:rsidP="00106F92">
            <w:pPr>
              <w:spacing w:after="0" w:line="240" w:lineRule="auto"/>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F79DEA9" w14:textId="6243F371" w:rsidR="00B6584F" w:rsidRPr="006A24C2" w:rsidRDefault="00D1715A" w:rsidP="0075526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lastRenderedPageBreak/>
              <w:t xml:space="preserve">Zemkopības ministrijā 2020.gada 5.augustā notika diskusija par Ministru kabineta dotā uzdevuma izpildi, </w:t>
            </w:r>
            <w:r>
              <w:rPr>
                <w:rFonts w:ascii="Times New Roman" w:eastAsia="Times New Roman" w:hAnsi="Times New Roman"/>
                <w:sz w:val="24"/>
                <w:szCs w:val="24"/>
                <w:lang w:eastAsia="lv-LV"/>
              </w:rPr>
              <w:lastRenderedPageBreak/>
              <w:t>kurā piedalījās Finanšu ministrija, Tieslietu ministrija, Valsts zemes dienests un Latvijas Pašvaldību savienība.</w:t>
            </w:r>
          </w:p>
        </w:tc>
      </w:tr>
      <w:tr w:rsidR="00B6584F" w:rsidRPr="006A24C2" w14:paraId="2CA333C9"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D25877"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E98A99E"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Projekta izpildes ietekme uz pārvaldes funkcijām un institucionālo struktūru.</w:t>
            </w:r>
            <w:r w:rsidRPr="006A24C2">
              <w:rPr>
                <w:rFonts w:ascii="Times New Roman" w:eastAsia="Times New Roman" w:hAnsi="Times New Roman"/>
                <w:iCs/>
                <w:sz w:val="24"/>
                <w:szCs w:val="24"/>
                <w:lang w:eastAsia="lv-LV"/>
              </w:rPr>
              <w:br/>
              <w:t>Jaunu institūciju izveide, esošu institūciju likvidācija vai reorganizācija, to ietekme uz institūcijas cilvēkresursiem</w:t>
            </w:r>
          </w:p>
          <w:p w14:paraId="01AFEAD1" w14:textId="77777777" w:rsidR="00B6584F" w:rsidRPr="006A24C2" w:rsidRDefault="00B6584F" w:rsidP="00106F92">
            <w:pPr>
              <w:spacing w:after="0" w:line="240" w:lineRule="auto"/>
              <w:rPr>
                <w:rFonts w:ascii="Times New Roman" w:eastAsia="Times New Roman" w:hAnsi="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4D0144A" w14:textId="77777777" w:rsidR="00B6584F" w:rsidRPr="006A24C2" w:rsidRDefault="00B6584F" w:rsidP="001527E5">
            <w:pPr>
              <w:spacing w:after="0" w:line="240" w:lineRule="auto"/>
              <w:ind w:right="111"/>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Projekta izpilde paredzēta</w:t>
            </w:r>
            <w:r>
              <w:rPr>
                <w:rFonts w:ascii="Times New Roman" w:eastAsia="Times New Roman" w:hAnsi="Times New Roman"/>
                <w:sz w:val="24"/>
                <w:szCs w:val="24"/>
                <w:lang w:eastAsia="lv-LV"/>
              </w:rPr>
              <w:t>, īstenojot</w:t>
            </w:r>
            <w:r w:rsidRPr="006A24C2">
              <w:rPr>
                <w:rFonts w:ascii="Times New Roman" w:eastAsia="Times New Roman" w:hAnsi="Times New Roman"/>
                <w:sz w:val="24"/>
                <w:szCs w:val="24"/>
                <w:lang w:eastAsia="lv-LV"/>
              </w:rPr>
              <w:t xml:space="preserve"> esoš</w:t>
            </w:r>
            <w:r>
              <w:rPr>
                <w:rFonts w:ascii="Times New Roman" w:eastAsia="Times New Roman" w:hAnsi="Times New Roman"/>
                <w:sz w:val="24"/>
                <w:szCs w:val="24"/>
                <w:lang w:eastAsia="lv-LV"/>
              </w:rPr>
              <w:t>ās</w:t>
            </w:r>
            <w:r w:rsidRPr="006A24C2">
              <w:rPr>
                <w:rFonts w:ascii="Times New Roman" w:eastAsia="Times New Roman" w:hAnsi="Times New Roman"/>
                <w:sz w:val="24"/>
                <w:szCs w:val="24"/>
                <w:lang w:eastAsia="lv-LV"/>
              </w:rPr>
              <w:t xml:space="preserve"> funkcij</w:t>
            </w:r>
            <w:r>
              <w:rPr>
                <w:rFonts w:ascii="Times New Roman" w:eastAsia="Times New Roman" w:hAnsi="Times New Roman"/>
                <w:sz w:val="24"/>
                <w:szCs w:val="24"/>
                <w:lang w:eastAsia="lv-LV"/>
              </w:rPr>
              <w:t>as</w:t>
            </w:r>
            <w:r w:rsidRPr="006A24C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ar esošajiem</w:t>
            </w:r>
            <w:r w:rsidRPr="006A24C2">
              <w:rPr>
                <w:rFonts w:ascii="Times New Roman" w:eastAsia="Times New Roman" w:hAnsi="Times New Roman"/>
                <w:sz w:val="24"/>
                <w:szCs w:val="24"/>
                <w:lang w:eastAsia="lv-LV"/>
              </w:rPr>
              <w:t xml:space="preserve"> cilvēkresurs</w:t>
            </w:r>
            <w:r>
              <w:rPr>
                <w:rFonts w:ascii="Times New Roman" w:eastAsia="Times New Roman" w:hAnsi="Times New Roman"/>
                <w:sz w:val="24"/>
                <w:szCs w:val="24"/>
                <w:lang w:eastAsia="lv-LV"/>
              </w:rPr>
              <w:t>iem</w:t>
            </w:r>
            <w:r w:rsidRPr="006A24C2">
              <w:rPr>
                <w:rFonts w:ascii="Times New Roman" w:eastAsia="Times New Roman" w:hAnsi="Times New Roman"/>
                <w:sz w:val="24"/>
                <w:szCs w:val="24"/>
                <w:lang w:eastAsia="lv-LV"/>
              </w:rPr>
              <w:t>.</w:t>
            </w:r>
          </w:p>
          <w:p w14:paraId="4DA735D9" w14:textId="77777777" w:rsidR="00B6584F" w:rsidRPr="006A24C2" w:rsidRDefault="00B6584F" w:rsidP="001527E5">
            <w:pPr>
              <w:spacing w:after="0" w:line="240" w:lineRule="auto"/>
              <w:ind w:right="111"/>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Jaunas institūcijas netiek veidotas, kā arī netiek paredzēta esošo institūciju likvidācija vai reorganizācija.</w:t>
            </w:r>
          </w:p>
          <w:p w14:paraId="22C9A3F2" w14:textId="77777777" w:rsidR="00B6584F" w:rsidRPr="006A24C2" w:rsidRDefault="00B6584F" w:rsidP="00106F92">
            <w:pPr>
              <w:spacing w:after="0" w:line="240" w:lineRule="auto"/>
              <w:rPr>
                <w:rFonts w:ascii="Times New Roman" w:eastAsia="Times New Roman" w:hAnsi="Times New Roman"/>
                <w:iCs/>
                <w:sz w:val="24"/>
                <w:szCs w:val="24"/>
                <w:lang w:eastAsia="lv-LV"/>
              </w:rPr>
            </w:pPr>
          </w:p>
        </w:tc>
      </w:tr>
      <w:tr w:rsidR="00B6584F" w:rsidRPr="006A24C2" w14:paraId="4F3A28D9"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067AB1"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9D9584"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Cita informācija</w:t>
            </w:r>
          </w:p>
          <w:p w14:paraId="0B7DD228" w14:textId="77777777" w:rsidR="00B6584F" w:rsidRPr="006A24C2" w:rsidRDefault="00B6584F" w:rsidP="00106F92">
            <w:pPr>
              <w:spacing w:after="0" w:line="240" w:lineRule="auto"/>
              <w:rPr>
                <w:rFonts w:ascii="Times New Roman" w:eastAsia="Times New Roman" w:hAnsi="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4F3FCE7"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sz w:val="24"/>
                <w:szCs w:val="24"/>
                <w:lang w:eastAsia="lv-LV"/>
              </w:rPr>
              <w:t>Nav.</w:t>
            </w:r>
          </w:p>
        </w:tc>
      </w:tr>
    </w:tbl>
    <w:p w14:paraId="053DDB49" w14:textId="77777777" w:rsidR="00B6584F" w:rsidRDefault="00B6584F" w:rsidP="00B6584F">
      <w:pPr>
        <w:spacing w:after="0" w:line="240" w:lineRule="auto"/>
        <w:rPr>
          <w:rFonts w:ascii="Times New Roman" w:hAnsi="Times New Roman"/>
          <w:sz w:val="28"/>
          <w:szCs w:val="28"/>
          <w:highlight w:val="yellow"/>
        </w:rPr>
      </w:pPr>
    </w:p>
    <w:p w14:paraId="0F6CD314" w14:textId="77777777" w:rsidR="00117C31" w:rsidRPr="006A24C2" w:rsidRDefault="00117C31" w:rsidP="00B6584F">
      <w:pPr>
        <w:spacing w:after="0" w:line="240" w:lineRule="auto"/>
        <w:rPr>
          <w:rFonts w:ascii="Times New Roman" w:hAnsi="Times New Roman"/>
          <w:sz w:val="28"/>
          <w:szCs w:val="28"/>
          <w:highlight w:val="yellow"/>
        </w:rPr>
      </w:pPr>
    </w:p>
    <w:p w14:paraId="2340C68B" w14:textId="77777777" w:rsidR="00B6584F" w:rsidRPr="00D920EA" w:rsidRDefault="00B6584F" w:rsidP="00B6584F">
      <w:pPr>
        <w:spacing w:after="0" w:line="240" w:lineRule="auto"/>
        <w:rPr>
          <w:rFonts w:ascii="Times New Roman" w:eastAsia="Times New Roman" w:hAnsi="Times New Roman"/>
          <w:bCs/>
          <w:iCs/>
          <w:kern w:val="1"/>
          <w:sz w:val="28"/>
          <w:szCs w:val="32"/>
          <w:lang w:eastAsia="ar-SA"/>
        </w:rPr>
      </w:pPr>
    </w:p>
    <w:p w14:paraId="070D7E25" w14:textId="77777777" w:rsidR="00B6584F" w:rsidRPr="006A24C2" w:rsidRDefault="00B6584F" w:rsidP="00B6584F">
      <w:pPr>
        <w:spacing w:after="0" w:line="240" w:lineRule="auto"/>
        <w:rPr>
          <w:rFonts w:ascii="Times New Roman" w:eastAsia="Times New Roman" w:hAnsi="Times New Roman"/>
          <w:bCs/>
          <w:iCs/>
          <w:kern w:val="1"/>
          <w:sz w:val="28"/>
          <w:szCs w:val="28"/>
          <w:lang w:eastAsia="ar-SA"/>
        </w:rPr>
      </w:pPr>
      <w:r w:rsidRPr="006A24C2">
        <w:rPr>
          <w:rFonts w:ascii="Times New Roman" w:eastAsia="Times New Roman" w:hAnsi="Times New Roman"/>
          <w:bCs/>
          <w:iCs/>
          <w:kern w:val="1"/>
          <w:sz w:val="28"/>
          <w:szCs w:val="28"/>
          <w:lang w:eastAsia="ar-SA"/>
        </w:rPr>
        <w:tab/>
        <w:t>Zemkopības ministrs</w:t>
      </w:r>
      <w:r w:rsidRPr="006A24C2">
        <w:rPr>
          <w:rFonts w:ascii="Times New Roman" w:eastAsia="Times New Roman" w:hAnsi="Times New Roman"/>
          <w:bCs/>
          <w:iCs/>
          <w:kern w:val="1"/>
          <w:sz w:val="28"/>
          <w:szCs w:val="28"/>
          <w:lang w:eastAsia="ar-SA"/>
        </w:rPr>
        <w:tab/>
      </w:r>
      <w:r w:rsidRPr="006A24C2">
        <w:rPr>
          <w:rFonts w:ascii="Times New Roman" w:eastAsia="Times New Roman" w:hAnsi="Times New Roman"/>
          <w:bCs/>
          <w:iCs/>
          <w:kern w:val="1"/>
          <w:sz w:val="28"/>
          <w:szCs w:val="28"/>
          <w:lang w:eastAsia="ar-SA"/>
        </w:rPr>
        <w:tab/>
      </w:r>
      <w:r w:rsidRPr="006A24C2">
        <w:rPr>
          <w:rFonts w:ascii="Times New Roman" w:eastAsia="Times New Roman" w:hAnsi="Times New Roman"/>
          <w:bCs/>
          <w:iCs/>
          <w:kern w:val="1"/>
          <w:sz w:val="28"/>
          <w:szCs w:val="28"/>
          <w:lang w:eastAsia="ar-SA"/>
        </w:rPr>
        <w:tab/>
      </w:r>
      <w:r w:rsidRPr="006A24C2">
        <w:rPr>
          <w:rFonts w:ascii="Times New Roman" w:eastAsia="Times New Roman" w:hAnsi="Times New Roman"/>
          <w:bCs/>
          <w:iCs/>
          <w:kern w:val="1"/>
          <w:sz w:val="28"/>
          <w:szCs w:val="28"/>
          <w:lang w:eastAsia="ar-SA"/>
        </w:rPr>
        <w:tab/>
      </w:r>
      <w:r w:rsidRPr="006A24C2">
        <w:rPr>
          <w:rFonts w:ascii="Times New Roman" w:eastAsia="Times New Roman" w:hAnsi="Times New Roman"/>
          <w:bCs/>
          <w:iCs/>
          <w:kern w:val="1"/>
          <w:sz w:val="28"/>
          <w:szCs w:val="28"/>
          <w:lang w:eastAsia="ar-SA"/>
        </w:rPr>
        <w:tab/>
      </w:r>
      <w:r w:rsidRPr="006A24C2">
        <w:rPr>
          <w:rFonts w:ascii="Times New Roman" w:eastAsia="Times New Roman" w:hAnsi="Times New Roman"/>
          <w:bCs/>
          <w:iCs/>
          <w:kern w:val="1"/>
          <w:sz w:val="28"/>
          <w:szCs w:val="28"/>
          <w:lang w:eastAsia="ar-SA"/>
        </w:rPr>
        <w:tab/>
        <w:t>K.Gerhards</w:t>
      </w:r>
    </w:p>
    <w:p w14:paraId="2BACF509" w14:textId="77777777" w:rsidR="00B6584F" w:rsidRPr="006A24C2" w:rsidRDefault="00B6584F" w:rsidP="00B6584F">
      <w:pPr>
        <w:spacing w:after="0" w:line="240" w:lineRule="auto"/>
        <w:rPr>
          <w:rFonts w:ascii="Times New Roman" w:eastAsia="Times New Roman" w:hAnsi="Times New Roman"/>
          <w:bCs/>
          <w:iCs/>
          <w:kern w:val="1"/>
          <w:sz w:val="20"/>
          <w:szCs w:val="20"/>
          <w:lang w:eastAsia="ar-SA"/>
        </w:rPr>
      </w:pPr>
    </w:p>
    <w:p w14:paraId="25411876" w14:textId="77777777" w:rsidR="00B6584F" w:rsidRPr="006A24C2" w:rsidRDefault="00B6584F" w:rsidP="00B6584F">
      <w:pPr>
        <w:spacing w:after="0" w:line="240" w:lineRule="auto"/>
        <w:rPr>
          <w:rFonts w:ascii="Times New Roman" w:eastAsia="Times New Roman" w:hAnsi="Times New Roman"/>
          <w:bCs/>
          <w:iCs/>
          <w:kern w:val="1"/>
          <w:sz w:val="20"/>
          <w:szCs w:val="20"/>
          <w:lang w:eastAsia="ar-SA"/>
        </w:rPr>
      </w:pPr>
    </w:p>
    <w:p w14:paraId="4D543791" w14:textId="77777777" w:rsidR="00B6584F" w:rsidRPr="006A24C2" w:rsidRDefault="00B6584F" w:rsidP="00B6584F">
      <w:pPr>
        <w:spacing w:after="0" w:line="240" w:lineRule="auto"/>
        <w:rPr>
          <w:rFonts w:ascii="Times New Roman" w:eastAsia="Times New Roman" w:hAnsi="Times New Roman"/>
          <w:bCs/>
          <w:iCs/>
          <w:kern w:val="1"/>
          <w:sz w:val="20"/>
          <w:szCs w:val="20"/>
          <w:lang w:eastAsia="ar-SA"/>
        </w:rPr>
      </w:pPr>
    </w:p>
    <w:p w14:paraId="32E48134" w14:textId="77777777" w:rsidR="00B6584F" w:rsidRPr="006A24C2" w:rsidRDefault="00B6584F" w:rsidP="00B6584F">
      <w:pPr>
        <w:spacing w:after="0" w:line="240" w:lineRule="auto"/>
        <w:rPr>
          <w:rFonts w:ascii="Times New Roman" w:eastAsia="Times New Roman" w:hAnsi="Times New Roman"/>
          <w:bCs/>
          <w:iCs/>
          <w:kern w:val="1"/>
          <w:sz w:val="20"/>
          <w:szCs w:val="20"/>
          <w:lang w:eastAsia="ar-SA"/>
        </w:rPr>
      </w:pPr>
    </w:p>
    <w:p w14:paraId="689F5273" w14:textId="5CEA697A" w:rsidR="00B6584F" w:rsidRDefault="00B6584F" w:rsidP="00B6584F">
      <w:pPr>
        <w:spacing w:after="0" w:line="240" w:lineRule="auto"/>
        <w:rPr>
          <w:rFonts w:ascii="Times New Roman" w:eastAsia="Times New Roman" w:hAnsi="Times New Roman"/>
          <w:bCs/>
          <w:iCs/>
          <w:kern w:val="1"/>
          <w:szCs w:val="24"/>
          <w:lang w:eastAsia="ar-SA"/>
        </w:rPr>
      </w:pPr>
    </w:p>
    <w:p w14:paraId="27DD448A" w14:textId="6E9B2617" w:rsidR="00117C31" w:rsidRDefault="00117C31" w:rsidP="00B6584F">
      <w:pPr>
        <w:spacing w:after="0" w:line="240" w:lineRule="auto"/>
        <w:rPr>
          <w:rFonts w:ascii="Times New Roman" w:eastAsia="Times New Roman" w:hAnsi="Times New Roman"/>
          <w:bCs/>
          <w:iCs/>
          <w:kern w:val="1"/>
          <w:szCs w:val="24"/>
          <w:lang w:eastAsia="ar-SA"/>
        </w:rPr>
      </w:pPr>
    </w:p>
    <w:p w14:paraId="511136E4" w14:textId="1C73B075" w:rsidR="00117C31" w:rsidRDefault="00117C31" w:rsidP="00B6584F">
      <w:pPr>
        <w:spacing w:after="0" w:line="240" w:lineRule="auto"/>
        <w:rPr>
          <w:rFonts w:ascii="Times New Roman" w:eastAsia="Times New Roman" w:hAnsi="Times New Roman"/>
          <w:bCs/>
          <w:iCs/>
          <w:kern w:val="1"/>
          <w:szCs w:val="24"/>
          <w:lang w:eastAsia="ar-SA"/>
        </w:rPr>
      </w:pPr>
    </w:p>
    <w:p w14:paraId="1D453400" w14:textId="02E8A006" w:rsidR="00117C31" w:rsidRDefault="00117C31" w:rsidP="00B6584F">
      <w:pPr>
        <w:spacing w:after="0" w:line="240" w:lineRule="auto"/>
        <w:rPr>
          <w:rFonts w:ascii="Times New Roman" w:eastAsia="Times New Roman" w:hAnsi="Times New Roman"/>
          <w:bCs/>
          <w:iCs/>
          <w:kern w:val="1"/>
          <w:szCs w:val="24"/>
          <w:lang w:eastAsia="ar-SA"/>
        </w:rPr>
      </w:pPr>
    </w:p>
    <w:p w14:paraId="314FA640" w14:textId="473FE471" w:rsidR="00117C31" w:rsidRDefault="00117C31" w:rsidP="00B6584F">
      <w:pPr>
        <w:spacing w:after="0" w:line="240" w:lineRule="auto"/>
        <w:rPr>
          <w:rFonts w:ascii="Times New Roman" w:eastAsia="Times New Roman" w:hAnsi="Times New Roman"/>
          <w:bCs/>
          <w:iCs/>
          <w:kern w:val="1"/>
          <w:szCs w:val="24"/>
          <w:lang w:eastAsia="ar-SA"/>
        </w:rPr>
      </w:pPr>
    </w:p>
    <w:p w14:paraId="792B8BF4" w14:textId="77777777" w:rsidR="00D920EA" w:rsidRDefault="00D920EA" w:rsidP="00B6584F">
      <w:pPr>
        <w:spacing w:after="0" w:line="240" w:lineRule="auto"/>
        <w:rPr>
          <w:rFonts w:ascii="Times New Roman" w:eastAsia="Times New Roman" w:hAnsi="Times New Roman"/>
          <w:bCs/>
          <w:iCs/>
          <w:kern w:val="1"/>
          <w:szCs w:val="24"/>
          <w:lang w:eastAsia="ar-SA"/>
        </w:rPr>
      </w:pPr>
    </w:p>
    <w:p w14:paraId="24994F1A" w14:textId="287C6FAA" w:rsidR="00117C31" w:rsidRDefault="00117C31" w:rsidP="00B6584F">
      <w:pPr>
        <w:spacing w:after="0" w:line="240" w:lineRule="auto"/>
        <w:rPr>
          <w:rFonts w:ascii="Times New Roman" w:eastAsia="Times New Roman" w:hAnsi="Times New Roman"/>
          <w:bCs/>
          <w:iCs/>
          <w:kern w:val="1"/>
          <w:szCs w:val="24"/>
          <w:lang w:eastAsia="ar-SA"/>
        </w:rPr>
      </w:pPr>
    </w:p>
    <w:p w14:paraId="48D490B8" w14:textId="53D99499" w:rsidR="00117C31" w:rsidRDefault="00117C31" w:rsidP="00B6584F">
      <w:pPr>
        <w:spacing w:after="0" w:line="240" w:lineRule="auto"/>
        <w:rPr>
          <w:rFonts w:ascii="Times New Roman" w:eastAsia="Times New Roman" w:hAnsi="Times New Roman"/>
          <w:bCs/>
          <w:iCs/>
          <w:kern w:val="1"/>
          <w:szCs w:val="24"/>
          <w:lang w:eastAsia="ar-SA"/>
        </w:rPr>
      </w:pPr>
    </w:p>
    <w:p w14:paraId="5D269E3A" w14:textId="2D90FF72" w:rsidR="00D920EA" w:rsidRDefault="00D920EA" w:rsidP="00B6584F">
      <w:pPr>
        <w:spacing w:after="0" w:line="240" w:lineRule="auto"/>
        <w:rPr>
          <w:rFonts w:ascii="Times New Roman" w:eastAsia="Times New Roman" w:hAnsi="Times New Roman"/>
          <w:bCs/>
          <w:iCs/>
          <w:kern w:val="1"/>
          <w:szCs w:val="24"/>
          <w:lang w:eastAsia="ar-SA"/>
        </w:rPr>
      </w:pPr>
    </w:p>
    <w:p w14:paraId="2EA4933B" w14:textId="7AB0F79A" w:rsidR="00D920EA" w:rsidRDefault="00D920EA" w:rsidP="00B6584F">
      <w:pPr>
        <w:spacing w:after="0" w:line="240" w:lineRule="auto"/>
        <w:rPr>
          <w:rFonts w:ascii="Times New Roman" w:eastAsia="Times New Roman" w:hAnsi="Times New Roman"/>
          <w:bCs/>
          <w:iCs/>
          <w:kern w:val="1"/>
          <w:szCs w:val="24"/>
          <w:lang w:eastAsia="ar-SA"/>
        </w:rPr>
      </w:pPr>
    </w:p>
    <w:p w14:paraId="7217BF7C" w14:textId="1419F1A9" w:rsidR="00D920EA" w:rsidRDefault="00D920EA" w:rsidP="00B6584F">
      <w:pPr>
        <w:spacing w:after="0" w:line="240" w:lineRule="auto"/>
        <w:rPr>
          <w:rFonts w:ascii="Times New Roman" w:eastAsia="Times New Roman" w:hAnsi="Times New Roman"/>
          <w:bCs/>
          <w:iCs/>
          <w:kern w:val="1"/>
          <w:szCs w:val="24"/>
          <w:lang w:eastAsia="ar-SA"/>
        </w:rPr>
      </w:pPr>
    </w:p>
    <w:p w14:paraId="42588C61" w14:textId="5A0E309D" w:rsidR="00D920EA" w:rsidRDefault="00D920EA" w:rsidP="00B6584F">
      <w:pPr>
        <w:spacing w:after="0" w:line="240" w:lineRule="auto"/>
        <w:rPr>
          <w:rFonts w:ascii="Times New Roman" w:eastAsia="Times New Roman" w:hAnsi="Times New Roman"/>
          <w:bCs/>
          <w:iCs/>
          <w:kern w:val="1"/>
          <w:szCs w:val="24"/>
          <w:lang w:eastAsia="ar-SA"/>
        </w:rPr>
      </w:pPr>
    </w:p>
    <w:p w14:paraId="6D6BECE5" w14:textId="606C02AD" w:rsidR="00D920EA" w:rsidRDefault="00D920EA" w:rsidP="00B6584F">
      <w:pPr>
        <w:spacing w:after="0" w:line="240" w:lineRule="auto"/>
        <w:rPr>
          <w:rFonts w:ascii="Times New Roman" w:eastAsia="Times New Roman" w:hAnsi="Times New Roman"/>
          <w:bCs/>
          <w:iCs/>
          <w:kern w:val="1"/>
          <w:szCs w:val="24"/>
          <w:lang w:eastAsia="ar-SA"/>
        </w:rPr>
      </w:pPr>
    </w:p>
    <w:p w14:paraId="2AAF9FDC" w14:textId="77777777" w:rsidR="00D920EA" w:rsidRDefault="00D920EA" w:rsidP="00B6584F">
      <w:pPr>
        <w:spacing w:after="0" w:line="240" w:lineRule="auto"/>
        <w:rPr>
          <w:rFonts w:ascii="Times New Roman" w:eastAsia="Times New Roman" w:hAnsi="Times New Roman"/>
          <w:bCs/>
          <w:iCs/>
          <w:kern w:val="1"/>
          <w:szCs w:val="24"/>
          <w:lang w:eastAsia="ar-SA"/>
        </w:rPr>
      </w:pPr>
    </w:p>
    <w:p w14:paraId="04A087EF" w14:textId="1D8B8962" w:rsidR="00117C31" w:rsidRDefault="00117C31" w:rsidP="00B6584F">
      <w:pPr>
        <w:spacing w:after="0" w:line="240" w:lineRule="auto"/>
        <w:rPr>
          <w:rFonts w:ascii="Times New Roman" w:eastAsia="Times New Roman" w:hAnsi="Times New Roman"/>
          <w:bCs/>
          <w:iCs/>
          <w:kern w:val="1"/>
          <w:szCs w:val="24"/>
          <w:lang w:eastAsia="ar-SA"/>
        </w:rPr>
      </w:pPr>
    </w:p>
    <w:p w14:paraId="0D2238DD" w14:textId="75369363" w:rsidR="00117C31" w:rsidRDefault="00117C31" w:rsidP="00B6584F">
      <w:pPr>
        <w:spacing w:after="0" w:line="240" w:lineRule="auto"/>
        <w:rPr>
          <w:rFonts w:ascii="Times New Roman" w:eastAsia="Times New Roman" w:hAnsi="Times New Roman"/>
          <w:bCs/>
          <w:iCs/>
          <w:kern w:val="1"/>
          <w:szCs w:val="24"/>
          <w:lang w:eastAsia="ar-SA"/>
        </w:rPr>
      </w:pPr>
    </w:p>
    <w:p w14:paraId="49C127E3" w14:textId="12241119" w:rsidR="00D920EA" w:rsidRDefault="00D920EA" w:rsidP="00B6584F">
      <w:pPr>
        <w:spacing w:after="0" w:line="240" w:lineRule="auto"/>
        <w:rPr>
          <w:rFonts w:ascii="Times New Roman" w:eastAsia="Times New Roman" w:hAnsi="Times New Roman"/>
          <w:bCs/>
          <w:iCs/>
          <w:kern w:val="1"/>
          <w:szCs w:val="24"/>
          <w:lang w:eastAsia="ar-SA"/>
        </w:rPr>
      </w:pPr>
    </w:p>
    <w:p w14:paraId="0CB0B990" w14:textId="72CB75BE" w:rsidR="00D920EA" w:rsidRDefault="00D920EA" w:rsidP="00B6584F">
      <w:pPr>
        <w:spacing w:after="0" w:line="240" w:lineRule="auto"/>
        <w:rPr>
          <w:rFonts w:ascii="Times New Roman" w:eastAsia="Times New Roman" w:hAnsi="Times New Roman"/>
          <w:bCs/>
          <w:iCs/>
          <w:kern w:val="1"/>
          <w:szCs w:val="24"/>
          <w:lang w:eastAsia="ar-SA"/>
        </w:rPr>
      </w:pPr>
    </w:p>
    <w:p w14:paraId="0270EF37" w14:textId="4195C7C1" w:rsidR="00D920EA" w:rsidRDefault="00D920EA" w:rsidP="00B6584F">
      <w:pPr>
        <w:spacing w:after="0" w:line="240" w:lineRule="auto"/>
        <w:rPr>
          <w:rFonts w:ascii="Times New Roman" w:eastAsia="Times New Roman" w:hAnsi="Times New Roman"/>
          <w:bCs/>
          <w:iCs/>
          <w:kern w:val="1"/>
          <w:szCs w:val="24"/>
          <w:lang w:eastAsia="ar-SA"/>
        </w:rPr>
      </w:pPr>
    </w:p>
    <w:p w14:paraId="2A1D087D" w14:textId="36DB77EE" w:rsidR="00D920EA" w:rsidRDefault="00D920EA" w:rsidP="00B6584F">
      <w:pPr>
        <w:spacing w:after="0" w:line="240" w:lineRule="auto"/>
        <w:rPr>
          <w:rFonts w:ascii="Times New Roman" w:eastAsia="Times New Roman" w:hAnsi="Times New Roman"/>
          <w:bCs/>
          <w:iCs/>
          <w:kern w:val="1"/>
          <w:szCs w:val="24"/>
          <w:lang w:eastAsia="ar-SA"/>
        </w:rPr>
      </w:pPr>
    </w:p>
    <w:p w14:paraId="1C94BB1B" w14:textId="10DAC5E4" w:rsidR="00D920EA" w:rsidRDefault="00D920EA" w:rsidP="00B6584F">
      <w:pPr>
        <w:spacing w:after="0" w:line="240" w:lineRule="auto"/>
        <w:rPr>
          <w:rFonts w:ascii="Times New Roman" w:eastAsia="Times New Roman" w:hAnsi="Times New Roman"/>
          <w:bCs/>
          <w:iCs/>
          <w:kern w:val="1"/>
          <w:szCs w:val="24"/>
          <w:lang w:eastAsia="ar-SA"/>
        </w:rPr>
      </w:pPr>
    </w:p>
    <w:p w14:paraId="33E66F74" w14:textId="2A4E94C0" w:rsidR="00D920EA" w:rsidRDefault="00D920EA" w:rsidP="00B6584F">
      <w:pPr>
        <w:spacing w:after="0" w:line="240" w:lineRule="auto"/>
        <w:rPr>
          <w:rFonts w:ascii="Times New Roman" w:eastAsia="Times New Roman" w:hAnsi="Times New Roman"/>
          <w:bCs/>
          <w:iCs/>
          <w:kern w:val="1"/>
          <w:szCs w:val="24"/>
          <w:lang w:eastAsia="ar-SA"/>
        </w:rPr>
      </w:pPr>
    </w:p>
    <w:p w14:paraId="23AD5AE6" w14:textId="4C84F887" w:rsidR="00D920EA" w:rsidRDefault="00D920EA" w:rsidP="00B6584F">
      <w:pPr>
        <w:spacing w:after="0" w:line="240" w:lineRule="auto"/>
        <w:rPr>
          <w:rFonts w:ascii="Times New Roman" w:eastAsia="Times New Roman" w:hAnsi="Times New Roman"/>
          <w:bCs/>
          <w:iCs/>
          <w:kern w:val="1"/>
          <w:szCs w:val="24"/>
          <w:lang w:eastAsia="ar-SA"/>
        </w:rPr>
      </w:pPr>
    </w:p>
    <w:p w14:paraId="243F3E1E" w14:textId="293ECE08" w:rsidR="00D920EA" w:rsidRDefault="00D920EA" w:rsidP="00B6584F">
      <w:pPr>
        <w:spacing w:after="0" w:line="240" w:lineRule="auto"/>
        <w:rPr>
          <w:rFonts w:ascii="Times New Roman" w:eastAsia="Times New Roman" w:hAnsi="Times New Roman"/>
          <w:bCs/>
          <w:iCs/>
          <w:kern w:val="1"/>
          <w:szCs w:val="24"/>
          <w:lang w:eastAsia="ar-SA"/>
        </w:rPr>
      </w:pPr>
    </w:p>
    <w:p w14:paraId="6972C72B" w14:textId="734FBAA6" w:rsidR="00D920EA" w:rsidRDefault="00D920EA" w:rsidP="00B6584F">
      <w:pPr>
        <w:spacing w:after="0" w:line="240" w:lineRule="auto"/>
        <w:rPr>
          <w:rFonts w:ascii="Times New Roman" w:eastAsia="Times New Roman" w:hAnsi="Times New Roman"/>
          <w:bCs/>
          <w:iCs/>
          <w:kern w:val="1"/>
          <w:szCs w:val="24"/>
          <w:lang w:eastAsia="ar-SA"/>
        </w:rPr>
      </w:pPr>
    </w:p>
    <w:p w14:paraId="54B86013" w14:textId="77777777" w:rsidR="00D920EA" w:rsidRDefault="00D920EA" w:rsidP="00B6584F">
      <w:pPr>
        <w:spacing w:after="0" w:line="240" w:lineRule="auto"/>
        <w:rPr>
          <w:rFonts w:ascii="Times New Roman" w:eastAsia="Times New Roman" w:hAnsi="Times New Roman"/>
          <w:bCs/>
          <w:iCs/>
          <w:kern w:val="1"/>
          <w:szCs w:val="24"/>
          <w:lang w:eastAsia="ar-SA"/>
        </w:rPr>
      </w:pPr>
      <w:bookmarkStart w:id="1" w:name="_GoBack"/>
      <w:bookmarkEnd w:id="1"/>
    </w:p>
    <w:p w14:paraId="25C57016" w14:textId="77777777" w:rsidR="00117C31" w:rsidRDefault="00117C31" w:rsidP="00B6584F">
      <w:pPr>
        <w:spacing w:after="0" w:line="240" w:lineRule="auto"/>
        <w:rPr>
          <w:rFonts w:ascii="Times New Roman" w:eastAsia="Times New Roman" w:hAnsi="Times New Roman"/>
          <w:bCs/>
          <w:iCs/>
          <w:kern w:val="1"/>
          <w:szCs w:val="24"/>
          <w:lang w:eastAsia="ar-SA"/>
        </w:rPr>
      </w:pPr>
    </w:p>
    <w:p w14:paraId="432AFCFD" w14:textId="77777777" w:rsidR="00B6584F" w:rsidRDefault="00B6584F" w:rsidP="00B6584F">
      <w:pPr>
        <w:spacing w:after="0" w:line="240" w:lineRule="auto"/>
        <w:rPr>
          <w:rFonts w:ascii="Times New Roman" w:eastAsia="Times New Roman" w:hAnsi="Times New Roman"/>
          <w:bCs/>
          <w:iCs/>
          <w:kern w:val="1"/>
          <w:szCs w:val="24"/>
          <w:lang w:eastAsia="ar-SA"/>
        </w:rPr>
      </w:pPr>
    </w:p>
    <w:p w14:paraId="63384F5F" w14:textId="77777777" w:rsidR="00B6584F" w:rsidRPr="00D920EA" w:rsidRDefault="00B6584F" w:rsidP="00B6584F">
      <w:pPr>
        <w:spacing w:after="0" w:line="240" w:lineRule="auto"/>
        <w:rPr>
          <w:rFonts w:ascii="Times New Roman" w:eastAsia="Times New Roman" w:hAnsi="Times New Roman"/>
          <w:bCs/>
          <w:iCs/>
          <w:kern w:val="1"/>
          <w:sz w:val="24"/>
          <w:szCs w:val="24"/>
          <w:lang w:eastAsia="ar-SA"/>
        </w:rPr>
      </w:pPr>
      <w:r w:rsidRPr="00D920EA">
        <w:rPr>
          <w:rFonts w:ascii="Times New Roman" w:eastAsia="Times New Roman" w:hAnsi="Times New Roman"/>
          <w:bCs/>
          <w:iCs/>
          <w:kern w:val="1"/>
          <w:sz w:val="24"/>
          <w:szCs w:val="24"/>
          <w:lang w:eastAsia="ar-SA"/>
        </w:rPr>
        <w:t>Karlapa 67027216</w:t>
      </w:r>
    </w:p>
    <w:p w14:paraId="0249EB13" w14:textId="16A505BB" w:rsidR="00B6584F" w:rsidRPr="006A24C2" w:rsidRDefault="00B6584F" w:rsidP="00755264">
      <w:pPr>
        <w:tabs>
          <w:tab w:val="center" w:pos="4557"/>
        </w:tabs>
        <w:spacing w:after="0" w:line="240" w:lineRule="auto"/>
        <w:rPr>
          <w:rFonts w:ascii="Times New Roman" w:eastAsia="Times New Roman" w:hAnsi="Times New Roman"/>
          <w:bCs/>
          <w:iCs/>
          <w:kern w:val="1"/>
          <w:szCs w:val="24"/>
          <w:lang w:eastAsia="ar-SA"/>
        </w:rPr>
      </w:pPr>
      <w:r w:rsidRPr="00D920EA">
        <w:rPr>
          <w:rStyle w:val="Hipersaite"/>
          <w:rFonts w:ascii="Times New Roman" w:eastAsia="Times New Roman" w:hAnsi="Times New Roman"/>
          <w:bCs/>
          <w:iCs/>
          <w:kern w:val="1"/>
          <w:sz w:val="24"/>
          <w:szCs w:val="24"/>
          <w:lang w:eastAsia="ar-SA"/>
        </w:rPr>
        <w:t>Agrita.Karlapa@zm.gov.lv</w:t>
      </w:r>
      <w:r w:rsidRPr="00D920EA">
        <w:rPr>
          <w:rFonts w:ascii="Times New Roman" w:eastAsia="Times New Roman" w:hAnsi="Times New Roman"/>
          <w:bCs/>
          <w:iCs/>
          <w:kern w:val="1"/>
          <w:sz w:val="28"/>
          <w:szCs w:val="32"/>
          <w:lang w:eastAsia="ar-SA"/>
        </w:rPr>
        <w:t xml:space="preserve"> </w:t>
      </w:r>
    </w:p>
    <w:sectPr w:rsidR="00B6584F" w:rsidRPr="006A24C2" w:rsidSect="00D920EA">
      <w:headerReference w:type="default" r:id="rId9"/>
      <w:footerReference w:type="defaul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163C" w14:textId="77777777" w:rsidR="00026E1F" w:rsidRDefault="00026E1F" w:rsidP="001527E5">
      <w:pPr>
        <w:spacing w:after="0" w:line="240" w:lineRule="auto"/>
      </w:pPr>
      <w:r>
        <w:separator/>
      </w:r>
    </w:p>
  </w:endnote>
  <w:endnote w:type="continuationSeparator" w:id="0">
    <w:p w14:paraId="76C4D7F3" w14:textId="77777777" w:rsidR="00026E1F" w:rsidRDefault="00026E1F" w:rsidP="0015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C9B3" w14:textId="798A73EE" w:rsidR="00315F24" w:rsidRPr="00D920EA" w:rsidRDefault="00D920EA" w:rsidP="00D920EA">
    <w:pPr>
      <w:pStyle w:val="Kjene"/>
    </w:pPr>
    <w:r w:rsidRPr="00D920EA">
      <w:rPr>
        <w:rFonts w:ascii="Times New Roman" w:hAnsi="Times New Roman"/>
        <w:sz w:val="20"/>
        <w:szCs w:val="20"/>
      </w:rPr>
      <w:t>ZManot_100820_NIN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035D8" w14:textId="77777777" w:rsidR="00026E1F" w:rsidRDefault="00026E1F" w:rsidP="001527E5">
      <w:pPr>
        <w:spacing w:after="0" w:line="240" w:lineRule="auto"/>
      </w:pPr>
      <w:r>
        <w:separator/>
      </w:r>
    </w:p>
  </w:footnote>
  <w:footnote w:type="continuationSeparator" w:id="0">
    <w:p w14:paraId="2F70465A" w14:textId="77777777" w:rsidR="00026E1F" w:rsidRDefault="00026E1F" w:rsidP="0015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142393"/>
      <w:docPartObj>
        <w:docPartGallery w:val="Page Numbers (Top of Page)"/>
        <w:docPartUnique/>
      </w:docPartObj>
    </w:sdtPr>
    <w:sdtEndPr>
      <w:rPr>
        <w:rFonts w:ascii="Times New Roman" w:hAnsi="Times New Roman"/>
      </w:rPr>
    </w:sdtEndPr>
    <w:sdtContent>
      <w:p w14:paraId="54D5CFBE" w14:textId="0508FEB1" w:rsidR="00D920EA" w:rsidRPr="00D920EA" w:rsidRDefault="00D920EA">
        <w:pPr>
          <w:pStyle w:val="Galvene"/>
          <w:jc w:val="center"/>
          <w:rPr>
            <w:rFonts w:ascii="Times New Roman" w:hAnsi="Times New Roman"/>
          </w:rPr>
        </w:pPr>
        <w:r w:rsidRPr="00D920EA">
          <w:rPr>
            <w:rFonts w:ascii="Times New Roman" w:hAnsi="Times New Roman"/>
          </w:rPr>
          <w:fldChar w:fldCharType="begin"/>
        </w:r>
        <w:r w:rsidRPr="00D920EA">
          <w:rPr>
            <w:rFonts w:ascii="Times New Roman" w:hAnsi="Times New Roman"/>
          </w:rPr>
          <w:instrText>PAGE   \* MERGEFORMAT</w:instrText>
        </w:r>
        <w:r w:rsidRPr="00D920EA">
          <w:rPr>
            <w:rFonts w:ascii="Times New Roman" w:hAnsi="Times New Roman"/>
          </w:rPr>
          <w:fldChar w:fldCharType="separate"/>
        </w:r>
        <w:r w:rsidRPr="00D920EA">
          <w:rPr>
            <w:rFonts w:ascii="Times New Roman" w:hAnsi="Times New Roman"/>
          </w:rPr>
          <w:t>2</w:t>
        </w:r>
        <w:r w:rsidRPr="00D920EA">
          <w:rPr>
            <w:rFonts w:ascii="Times New Roman" w:hAnsi="Times New Roman"/>
          </w:rPr>
          <w:fldChar w:fldCharType="end"/>
        </w:r>
      </w:p>
    </w:sdtContent>
  </w:sdt>
  <w:p w14:paraId="1F115721" w14:textId="77777777" w:rsidR="00D920EA" w:rsidRDefault="00D920E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691A"/>
    <w:multiLevelType w:val="hybridMultilevel"/>
    <w:tmpl w:val="8A020E10"/>
    <w:lvl w:ilvl="0" w:tplc="0426000F">
      <w:start w:val="1"/>
      <w:numFmt w:val="decimal"/>
      <w:lvlText w:val="%1."/>
      <w:lvlJc w:val="left"/>
      <w:pPr>
        <w:ind w:left="957" w:hanging="360"/>
      </w:p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1" w15:restartNumberingAfterBreak="0">
    <w:nsid w:val="54230499"/>
    <w:multiLevelType w:val="hybridMultilevel"/>
    <w:tmpl w:val="2A4C16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4F"/>
    <w:rsid w:val="00007288"/>
    <w:rsid w:val="000252EB"/>
    <w:rsid w:val="00026E1F"/>
    <w:rsid w:val="0003030F"/>
    <w:rsid w:val="000C3FD3"/>
    <w:rsid w:val="00106F92"/>
    <w:rsid w:val="00111080"/>
    <w:rsid w:val="00117C31"/>
    <w:rsid w:val="001527E5"/>
    <w:rsid w:val="001F3B6D"/>
    <w:rsid w:val="002135CB"/>
    <w:rsid w:val="002B706D"/>
    <w:rsid w:val="002D0F0F"/>
    <w:rsid w:val="00315F24"/>
    <w:rsid w:val="00341175"/>
    <w:rsid w:val="00386FB2"/>
    <w:rsid w:val="003B450D"/>
    <w:rsid w:val="003D3976"/>
    <w:rsid w:val="003E36F7"/>
    <w:rsid w:val="003F4B27"/>
    <w:rsid w:val="0040516D"/>
    <w:rsid w:val="00405EBB"/>
    <w:rsid w:val="00434F63"/>
    <w:rsid w:val="004A193D"/>
    <w:rsid w:val="004B6E9E"/>
    <w:rsid w:val="006A246B"/>
    <w:rsid w:val="006A422E"/>
    <w:rsid w:val="0070737C"/>
    <w:rsid w:val="00755264"/>
    <w:rsid w:val="00760A74"/>
    <w:rsid w:val="00783681"/>
    <w:rsid w:val="00795D42"/>
    <w:rsid w:val="007A5094"/>
    <w:rsid w:val="00856DFB"/>
    <w:rsid w:val="0088229D"/>
    <w:rsid w:val="008A2A25"/>
    <w:rsid w:val="009066D4"/>
    <w:rsid w:val="00941088"/>
    <w:rsid w:val="0097578C"/>
    <w:rsid w:val="00997F51"/>
    <w:rsid w:val="009E3BC0"/>
    <w:rsid w:val="00A663E8"/>
    <w:rsid w:val="00A861D1"/>
    <w:rsid w:val="00AD2614"/>
    <w:rsid w:val="00B268CE"/>
    <w:rsid w:val="00B6584F"/>
    <w:rsid w:val="00B87168"/>
    <w:rsid w:val="00B96D43"/>
    <w:rsid w:val="00CB2F75"/>
    <w:rsid w:val="00D1715A"/>
    <w:rsid w:val="00D2105D"/>
    <w:rsid w:val="00D468E5"/>
    <w:rsid w:val="00D46944"/>
    <w:rsid w:val="00D56349"/>
    <w:rsid w:val="00D920EA"/>
    <w:rsid w:val="00E2706C"/>
    <w:rsid w:val="00E470A2"/>
    <w:rsid w:val="00E56E60"/>
    <w:rsid w:val="00E63FA6"/>
    <w:rsid w:val="00E923F3"/>
    <w:rsid w:val="00EB4BA4"/>
    <w:rsid w:val="00F06C8A"/>
    <w:rsid w:val="00F42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6C91C"/>
  <w15:docId w15:val="{5139C827-99AB-49CB-8FDE-3DE1BBD7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6584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B6584F"/>
    <w:rPr>
      <w:color w:val="0563C1"/>
      <w:u w:val="single"/>
    </w:rPr>
  </w:style>
  <w:style w:type="paragraph" w:styleId="Sarakstarindkopa">
    <w:name w:val="List Paragraph"/>
    <w:aliases w:val="2,list paragraph"/>
    <w:basedOn w:val="Parasts"/>
    <w:link w:val="SarakstarindkopaRakstz"/>
    <w:uiPriority w:val="34"/>
    <w:qFormat/>
    <w:rsid w:val="00B6584F"/>
    <w:pPr>
      <w:spacing w:after="200" w:line="276" w:lineRule="auto"/>
      <w:ind w:left="720"/>
      <w:contextualSpacing/>
    </w:pPr>
    <w:rPr>
      <w:lang w:val="x-none"/>
    </w:rPr>
  </w:style>
  <w:style w:type="character" w:customStyle="1" w:styleId="SarakstarindkopaRakstz">
    <w:name w:val="Saraksta rindkopa Rakstz."/>
    <w:aliases w:val="2 Rakstz.,list paragraph Rakstz."/>
    <w:link w:val="Sarakstarindkopa"/>
    <w:uiPriority w:val="34"/>
    <w:locked/>
    <w:rsid w:val="00B6584F"/>
    <w:rPr>
      <w:rFonts w:ascii="Calibri" w:eastAsia="Calibri" w:hAnsi="Calibri" w:cs="Times New Roman"/>
      <w:lang w:val="x-none"/>
    </w:rPr>
  </w:style>
  <w:style w:type="paragraph" w:styleId="Kjene">
    <w:name w:val="footer"/>
    <w:basedOn w:val="Parasts"/>
    <w:link w:val="KjeneRakstz"/>
    <w:uiPriority w:val="99"/>
    <w:unhideWhenUsed/>
    <w:rsid w:val="00B658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584F"/>
    <w:rPr>
      <w:rFonts w:ascii="Calibri" w:eastAsia="Calibri" w:hAnsi="Calibri" w:cs="Times New Roman"/>
    </w:rPr>
  </w:style>
  <w:style w:type="paragraph" w:customStyle="1" w:styleId="tvhtml">
    <w:name w:val="tv_html"/>
    <w:basedOn w:val="Parasts"/>
    <w:rsid w:val="000252EB"/>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1527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27E5"/>
    <w:rPr>
      <w:rFonts w:ascii="Calibri" w:eastAsia="Calibri" w:hAnsi="Calibri" w:cs="Times New Roman"/>
    </w:rPr>
  </w:style>
  <w:style w:type="character" w:styleId="Komentraatsauce">
    <w:name w:val="annotation reference"/>
    <w:basedOn w:val="Noklusjumarindkopasfonts"/>
    <w:uiPriority w:val="99"/>
    <w:semiHidden/>
    <w:unhideWhenUsed/>
    <w:rsid w:val="0040516D"/>
    <w:rPr>
      <w:sz w:val="16"/>
      <w:szCs w:val="16"/>
    </w:rPr>
  </w:style>
  <w:style w:type="paragraph" w:styleId="Komentrateksts">
    <w:name w:val="annotation text"/>
    <w:basedOn w:val="Parasts"/>
    <w:link w:val="KomentratekstsRakstz"/>
    <w:uiPriority w:val="99"/>
    <w:semiHidden/>
    <w:unhideWhenUsed/>
    <w:rsid w:val="0040516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0516D"/>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0516D"/>
    <w:rPr>
      <w:b/>
      <w:bCs/>
    </w:rPr>
  </w:style>
  <w:style w:type="character" w:customStyle="1" w:styleId="KomentratmaRakstz">
    <w:name w:val="Komentāra tēma Rakstz."/>
    <w:basedOn w:val="KomentratekstsRakstz"/>
    <w:link w:val="Komentratma"/>
    <w:uiPriority w:val="99"/>
    <w:semiHidden/>
    <w:rsid w:val="0040516D"/>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40516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516D"/>
    <w:rPr>
      <w:rFonts w:ascii="Tahoma" w:eastAsia="Calibri" w:hAnsi="Tahoma" w:cs="Tahoma"/>
      <w:sz w:val="16"/>
      <w:szCs w:val="16"/>
    </w:rPr>
  </w:style>
  <w:style w:type="table" w:styleId="Reatabula">
    <w:name w:val="Table Grid"/>
    <w:basedOn w:val="Parastatabula"/>
    <w:uiPriority w:val="39"/>
    <w:rsid w:val="0010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573751">
      <w:bodyDiv w:val="1"/>
      <w:marLeft w:val="0"/>
      <w:marRight w:val="0"/>
      <w:marTop w:val="0"/>
      <w:marBottom w:val="0"/>
      <w:divBdr>
        <w:top w:val="none" w:sz="0" w:space="0" w:color="auto"/>
        <w:left w:val="none" w:sz="0" w:space="0" w:color="auto"/>
        <w:bottom w:val="none" w:sz="0" w:space="0" w:color="auto"/>
        <w:right w:val="none" w:sz="0" w:space="0" w:color="auto"/>
      </w:divBdr>
    </w:div>
    <w:div w:id="18401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7" Type="http://schemas.openxmlformats.org/officeDocument/2006/relationships/hyperlink" Target="https://www.zm.gov.lv/zemkopibas-ministrija/apspriesanas/grozijumi-likuma-par-nekustama-ipasuma-nodokli-?id=9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11354</Words>
  <Characters>6473</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nekustamā īpašuma nodokli”</dc:title>
  <dc:subject>Anotācija</dc:subject>
  <dc:creator>Agrita Karlapa</dc:creator>
  <dc:description>Agrita Karlapa, tālr.67027216, e-pasts: agrita.karlapa@zm.gov.lv</dc:description>
  <cp:lastModifiedBy>Sanita Papinova</cp:lastModifiedBy>
  <cp:revision>20</cp:revision>
  <cp:lastPrinted>2020-08-11T06:38:00Z</cp:lastPrinted>
  <dcterms:created xsi:type="dcterms:W3CDTF">2020-08-06T13:11:00Z</dcterms:created>
  <dcterms:modified xsi:type="dcterms:W3CDTF">2020-08-11T07:10:00Z</dcterms:modified>
</cp:coreProperties>
</file>