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4767" w14:textId="77777777" w:rsidR="006D1005" w:rsidRPr="00BC1C02" w:rsidRDefault="00BC1C02" w:rsidP="006D10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C02">
        <w:rPr>
          <w:rFonts w:ascii="Times New Roman" w:hAnsi="Times New Roman"/>
          <w:sz w:val="24"/>
          <w:szCs w:val="24"/>
        </w:rPr>
        <w:t>3</w:t>
      </w:r>
      <w:r w:rsidR="00E365B6">
        <w:rPr>
          <w:rFonts w:ascii="Times New Roman" w:hAnsi="Times New Roman"/>
          <w:sz w:val="24"/>
          <w:szCs w:val="24"/>
        </w:rPr>
        <w:t>3</w:t>
      </w:r>
      <w:r w:rsidR="006D1005" w:rsidRPr="00BC1C02">
        <w:rPr>
          <w:rFonts w:ascii="Times New Roman" w:hAnsi="Times New Roman"/>
          <w:sz w:val="24"/>
          <w:szCs w:val="24"/>
        </w:rPr>
        <w:t>.pielikums</w:t>
      </w:r>
    </w:p>
    <w:p w14:paraId="293D10AA" w14:textId="77777777" w:rsidR="006D1005" w:rsidRPr="00BC1C02" w:rsidRDefault="006D1005" w:rsidP="006D10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C02">
        <w:rPr>
          <w:rFonts w:ascii="Times New Roman" w:hAnsi="Times New Roman"/>
          <w:sz w:val="24"/>
          <w:szCs w:val="24"/>
        </w:rPr>
        <w:t>Valsts civilās aizsardzības plānam</w:t>
      </w:r>
    </w:p>
    <w:p w14:paraId="26B50B52" w14:textId="77777777" w:rsidR="006D1005" w:rsidRDefault="006D1005" w:rsidP="006D1005">
      <w:pPr>
        <w:rPr>
          <w:rFonts w:ascii="Times New Roman" w:hAnsi="Times New Roman"/>
          <w:b/>
          <w:sz w:val="28"/>
          <w:szCs w:val="28"/>
        </w:rPr>
      </w:pPr>
    </w:p>
    <w:p w14:paraId="0A802029" w14:textId="77777777" w:rsidR="006D1005" w:rsidRPr="00A12C37" w:rsidRDefault="006D1005" w:rsidP="006D1005">
      <w:pPr>
        <w:jc w:val="center"/>
        <w:rPr>
          <w:rFonts w:ascii="Times New Roman" w:hAnsi="Times New Roman"/>
          <w:b/>
          <w:sz w:val="28"/>
          <w:szCs w:val="28"/>
        </w:rPr>
      </w:pPr>
      <w:r w:rsidRPr="00A12C37">
        <w:rPr>
          <w:rFonts w:ascii="Times New Roman" w:hAnsi="Times New Roman"/>
          <w:b/>
          <w:sz w:val="28"/>
          <w:szCs w:val="28"/>
        </w:rPr>
        <w:t>Katastrofas pārvaldīšanas pasākum</w:t>
      </w:r>
      <w:r>
        <w:rPr>
          <w:rFonts w:ascii="Times New Roman" w:hAnsi="Times New Roman"/>
          <w:b/>
          <w:sz w:val="28"/>
          <w:szCs w:val="28"/>
        </w:rPr>
        <w:t>i</w:t>
      </w:r>
      <w:r w:rsidRPr="00A12C37">
        <w:rPr>
          <w:rFonts w:ascii="Times New Roman" w:hAnsi="Times New Roman"/>
          <w:b/>
          <w:sz w:val="28"/>
          <w:szCs w:val="28"/>
        </w:rPr>
        <w:t xml:space="preserve"> kara, militāra iebrukuma vai to draudu gadījumā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752"/>
        <w:gridCol w:w="1800"/>
        <w:gridCol w:w="2280"/>
        <w:gridCol w:w="2280"/>
        <w:gridCol w:w="2280"/>
        <w:gridCol w:w="2280"/>
      </w:tblGrid>
      <w:tr w:rsidR="006D1005" w:rsidRPr="00A35EE6" w14:paraId="5AFABC81" w14:textId="77777777" w:rsidTr="000A1A25">
        <w:trPr>
          <w:tblHeader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5E706D" w14:textId="77777777"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720BF3E4" w14:textId="77777777"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985A0E" w14:textId="77777777"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Pasākuma nosaukums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C3980A" w14:textId="77777777"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Izpildes termiņš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AC8003" w14:textId="77777777"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Lēmuma pieņēmējs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B7DEC3" w14:textId="77777777"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Par izpildi atbildīgā institūcija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E9B95B" w14:textId="77777777"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Izpildītāji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789BB9" w14:textId="77777777"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Pasākuma apzīmējums (</w:t>
            </w:r>
            <w:proofErr w:type="spellStart"/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trigrafs</w:t>
            </w:r>
            <w:proofErr w:type="spellEnd"/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)* saskaņā ar NATO krīžu reaģēšanas sistēmas rokasgrāmatu</w:t>
            </w:r>
          </w:p>
        </w:tc>
      </w:tr>
      <w:tr w:rsidR="006D1005" w:rsidRPr="00A35EE6" w14:paraId="10D9A914" w14:textId="77777777" w:rsidTr="000A1A25">
        <w:tc>
          <w:tcPr>
            <w:tcW w:w="14508" w:type="dxa"/>
            <w:gridSpan w:val="7"/>
            <w:shd w:val="clear" w:color="auto" w:fill="D9D9D9" w:themeFill="background1" w:themeFillShade="D9"/>
          </w:tcPr>
          <w:p w14:paraId="601E98D2" w14:textId="77777777" w:rsidR="006D1005" w:rsidRPr="00A35EE6" w:rsidRDefault="006D1005" w:rsidP="006D100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5406"/>
              </w:tabs>
              <w:ind w:hanging="276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EE6">
              <w:rPr>
                <w:rFonts w:ascii="Times New Roman" w:hAnsi="Times New Roman"/>
                <w:b/>
                <w:szCs w:val="24"/>
              </w:rPr>
              <w:t>Preventīvie un gatavības pasākumi</w:t>
            </w:r>
          </w:p>
        </w:tc>
      </w:tr>
      <w:tr w:rsidR="006D1005" w:rsidRPr="00A35EE6" w14:paraId="6C6CB815" w14:textId="77777777" w:rsidTr="006D1005">
        <w:tc>
          <w:tcPr>
            <w:tcW w:w="836" w:type="dxa"/>
          </w:tcPr>
          <w:p w14:paraId="09381041" w14:textId="77777777"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46D432A1" w14:textId="1A3E1D98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Apzināt un reizi gadā precizē</w:t>
            </w:r>
            <w:r w:rsidR="003C520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Civilās aizsardzības operacionālās vadības centra sastāvu un iesaistāmo institūciju dalībniekus</w:t>
            </w:r>
            <w:r w:rsidR="0055276F">
              <w:rPr>
                <w:rFonts w:ascii="Times New Roman" w:hAnsi="Times New Roman" w:cs="Times New Roman"/>
                <w:sz w:val="24"/>
                <w:szCs w:val="24"/>
              </w:rPr>
              <w:t>, kā arī sagatavot rīkojuma paraugu par</w:t>
            </w:r>
            <w:r w:rsidR="0055276F" w:rsidRPr="0055276F">
              <w:rPr>
                <w:rFonts w:ascii="Times New Roman" w:hAnsi="Times New Roman" w:cs="Times New Roman"/>
                <w:sz w:val="24"/>
                <w:szCs w:val="24"/>
              </w:rPr>
              <w:t xml:space="preserve"> CA OVC vadītāju</w:t>
            </w:r>
            <w:r w:rsidR="0055276F">
              <w:rPr>
                <w:rFonts w:ascii="Times New Roman" w:hAnsi="Times New Roman" w:cs="Times New Roman"/>
                <w:sz w:val="24"/>
                <w:szCs w:val="24"/>
              </w:rPr>
              <w:t xml:space="preserve"> noteikšanu</w:t>
            </w:r>
            <w:r w:rsidR="0055276F" w:rsidRPr="0055276F">
              <w:rPr>
                <w:rFonts w:ascii="Times New Roman" w:hAnsi="Times New Roman" w:cs="Times New Roman"/>
                <w:sz w:val="24"/>
                <w:szCs w:val="24"/>
              </w:rPr>
              <w:t>, telpām un materiāltehniskajiem līdzekļiem, kā arī darba grupu sastāvu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55A719FC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069CCE0A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489901EA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Iekšlietu ministrija </w:t>
            </w:r>
          </w:p>
        </w:tc>
        <w:tc>
          <w:tcPr>
            <w:tcW w:w="2280" w:type="dxa"/>
          </w:tcPr>
          <w:p w14:paraId="30EB5543" w14:textId="77777777" w:rsidR="006D1005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  <w:p w14:paraId="4F32AA5B" w14:textId="77777777" w:rsidR="0055276F" w:rsidRDefault="0055276F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IEM IC</w:t>
            </w:r>
          </w:p>
          <w:p w14:paraId="65BE35AE" w14:textId="77777777" w:rsidR="0055276F" w:rsidRDefault="0055276F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NVA</w:t>
            </w:r>
          </w:p>
          <w:p w14:paraId="4D1E3F22" w14:textId="77777777" w:rsidR="0055276F" w:rsidRDefault="0055276F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Citas ministrijas</w:t>
            </w:r>
          </w:p>
          <w:p w14:paraId="1C68DCE9" w14:textId="77777777" w:rsidR="0055276F" w:rsidRPr="00A35EE6" w:rsidRDefault="0055276F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Komersanti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7DEF9D26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14:paraId="085A2DD6" w14:textId="77777777" w:rsidTr="000A1A25">
        <w:tc>
          <w:tcPr>
            <w:tcW w:w="836" w:type="dxa"/>
          </w:tcPr>
          <w:p w14:paraId="21DEF272" w14:textId="77777777"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0107B9CA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Informācijas pieprasīšana par iedzīvotāju skaitu pa vecuma grupām un to sadalījumu pa novadu un republikas pilsētu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administratīvajām teritorijām pēc stāvokļa uz kārtējā gada 1.janvāri</w:t>
            </w:r>
          </w:p>
        </w:tc>
        <w:tc>
          <w:tcPr>
            <w:tcW w:w="1800" w:type="dxa"/>
          </w:tcPr>
          <w:p w14:paraId="206F1A9B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Katru gadu līdz 15.martam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615C63D4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06EB836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</w:p>
          <w:p w14:paraId="229DB8E6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B1BC2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14:paraId="65F4B0E6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</w:p>
          <w:p w14:paraId="77335612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9EDAC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  <w:p w14:paraId="6B9FA025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FA247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PMLP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69915AED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14:paraId="3589AA1D" w14:textId="77777777" w:rsidTr="000C3759">
        <w:tc>
          <w:tcPr>
            <w:tcW w:w="836" w:type="dxa"/>
          </w:tcPr>
          <w:p w14:paraId="069D2843" w14:textId="77777777"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561E4AAF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Pārtikas nodrošinājuma plānošana</w:t>
            </w:r>
            <w:r w:rsidR="00E4108D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800" w:type="dxa"/>
            <w:shd w:val="clear" w:color="auto" w:fill="auto"/>
          </w:tcPr>
          <w:p w14:paraId="63240C31" w14:textId="77777777" w:rsidR="006D1005" w:rsidRPr="00A35EE6" w:rsidRDefault="004507DC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Pastāvīgi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78F48DDD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8F33DDC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</w:p>
        </w:tc>
        <w:tc>
          <w:tcPr>
            <w:tcW w:w="2280" w:type="dxa"/>
          </w:tcPr>
          <w:p w14:paraId="06991464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</w:p>
          <w:p w14:paraId="39AFF048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1DD96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  <w:p w14:paraId="35BE9EC1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D3517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7D4AB188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14:paraId="6675368C" w14:textId="77777777" w:rsidTr="000C3759">
        <w:tc>
          <w:tcPr>
            <w:tcW w:w="836" w:type="dxa"/>
          </w:tcPr>
          <w:p w14:paraId="7D4FF02D" w14:textId="77777777"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7EBDDFC9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Izstrādā rīcības plānus par pirmās nepieciešamības preču izsniegšanu un to piegādes ceļu iespējamiem variantiem līdz izsniegšanas punktam (var būt arī attiecīgā sadarbības teritorijas civilās aizsardzības plāna sastāvdaļa)</w:t>
            </w:r>
          </w:p>
        </w:tc>
        <w:tc>
          <w:tcPr>
            <w:tcW w:w="1800" w:type="dxa"/>
            <w:shd w:val="clear" w:color="auto" w:fill="auto"/>
          </w:tcPr>
          <w:p w14:paraId="553F2285" w14:textId="77777777" w:rsidR="006D1005" w:rsidRPr="00A35EE6" w:rsidRDefault="004507DC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2020.-2027.gads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721C35EF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F4E0810" w14:textId="77777777" w:rsidR="006D1005" w:rsidRPr="00A35EE6" w:rsidRDefault="00E4655C" w:rsidP="00E4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6D1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1005"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14:paraId="2F981991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79199BA6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14:paraId="3D31631A" w14:textId="77777777" w:rsidTr="000C3759">
        <w:tc>
          <w:tcPr>
            <w:tcW w:w="836" w:type="dxa"/>
          </w:tcPr>
          <w:p w14:paraId="39BA93D1" w14:textId="77777777"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45C5958A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Sniedz Ekonomikas ministrijai priekšlikumus par finanšu līdzekļu plānošanu iedzīvotāju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nodrošināšanai ar pirmās nepieciešamības </w:t>
            </w:r>
            <w:r w:rsidR="000F4A69" w:rsidRPr="000F4A69">
              <w:rPr>
                <w:rFonts w:ascii="Times New Roman" w:hAnsi="Times New Roman" w:cs="Times New Roman"/>
                <w:sz w:val="24"/>
                <w:szCs w:val="24"/>
              </w:rPr>
              <w:t>rūpniecības</w:t>
            </w:r>
            <w:r w:rsidR="000F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precēm valsts apdraudējuma gadījumā</w:t>
            </w:r>
          </w:p>
        </w:tc>
        <w:tc>
          <w:tcPr>
            <w:tcW w:w="1800" w:type="dxa"/>
            <w:shd w:val="clear" w:color="auto" w:fill="auto"/>
          </w:tcPr>
          <w:p w14:paraId="48069617" w14:textId="77777777" w:rsidR="006D1005" w:rsidRPr="00A35EE6" w:rsidRDefault="004507DC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3FB8CAB8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2F45D0EF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14:paraId="246D1D5E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090C7000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14:paraId="65EC10EC" w14:textId="77777777" w:rsidTr="000C3759">
        <w:tc>
          <w:tcPr>
            <w:tcW w:w="836" w:type="dxa"/>
          </w:tcPr>
          <w:p w14:paraId="2AB3B1A4" w14:textId="77777777"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4AB2A836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Organizē iepirkuma procedūras pirmās nepieciešamības preču atliktajām piegādēm valsts apdraudējuma gadījumā</w:t>
            </w:r>
          </w:p>
        </w:tc>
        <w:tc>
          <w:tcPr>
            <w:tcW w:w="1800" w:type="dxa"/>
            <w:shd w:val="clear" w:color="auto" w:fill="auto"/>
          </w:tcPr>
          <w:p w14:paraId="42EBEBF8" w14:textId="77777777" w:rsidR="006D1005" w:rsidRPr="00A35EE6" w:rsidRDefault="004507DC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Pastāvīgi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6FC86674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760F566A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14:paraId="45731E76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6C647BBE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14:paraId="32CFD5C7" w14:textId="77777777" w:rsidTr="000C3759">
        <w:tc>
          <w:tcPr>
            <w:tcW w:w="836" w:type="dxa"/>
          </w:tcPr>
          <w:p w14:paraId="2C5212F7" w14:textId="77777777"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63AE506A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Sniedz priekšlikumus Iekšlietu ministrijai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izmaiņām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materiāl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rezer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vju nomenklatūrā attiecībā uz pirmās nepieciešamības</w:t>
            </w:r>
            <w:r w:rsidR="000F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A69" w:rsidRPr="000F4A69">
              <w:rPr>
                <w:rFonts w:ascii="Times New Roman" w:hAnsi="Times New Roman" w:cs="Times New Roman"/>
                <w:sz w:val="24"/>
                <w:szCs w:val="24"/>
              </w:rPr>
              <w:t>rūpniecības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precēm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, kuras nepieciešams iekļaut valsts materiālajās rezervēs </w:t>
            </w:r>
          </w:p>
        </w:tc>
        <w:tc>
          <w:tcPr>
            <w:tcW w:w="1800" w:type="dxa"/>
            <w:shd w:val="clear" w:color="auto" w:fill="auto"/>
          </w:tcPr>
          <w:p w14:paraId="314FE5AC" w14:textId="77777777" w:rsidR="006D1005" w:rsidRPr="00A35EE6" w:rsidRDefault="004507DC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Katru gadu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612AD84A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43B882CC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14:paraId="187EA5E0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4DAE4D14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14:paraId="362FAB80" w14:textId="77777777" w:rsidTr="000C3759">
        <w:tc>
          <w:tcPr>
            <w:tcW w:w="836" w:type="dxa"/>
          </w:tcPr>
          <w:p w14:paraId="6A490124" w14:textId="77777777"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0DBDB7B8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Energoresursu piegādes nodrošinājuma plānošana</w:t>
            </w:r>
          </w:p>
        </w:tc>
        <w:tc>
          <w:tcPr>
            <w:tcW w:w="1800" w:type="dxa"/>
            <w:shd w:val="clear" w:color="auto" w:fill="auto"/>
          </w:tcPr>
          <w:p w14:paraId="423DC810" w14:textId="77777777" w:rsidR="006D1005" w:rsidRPr="00A35EE6" w:rsidRDefault="004507DC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Pastāvīgi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5730ECD2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0AFA1A6B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14:paraId="37D44474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6552D7DA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14:paraId="40E505CF" w14:textId="77777777" w:rsidTr="000C3759">
        <w:tc>
          <w:tcPr>
            <w:tcW w:w="836" w:type="dxa"/>
          </w:tcPr>
          <w:p w14:paraId="5DD31727" w14:textId="77777777"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062C2237" w14:textId="77777777" w:rsidR="006D1005" w:rsidRPr="00A35EE6" w:rsidRDefault="006D1005" w:rsidP="0072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Katru gadu veikt CAOVC iesaistīto institūciju personu apziņošanas mācību p</w:t>
            </w:r>
            <w:r w:rsidR="0072362D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rbaudi</w:t>
            </w:r>
          </w:p>
        </w:tc>
        <w:tc>
          <w:tcPr>
            <w:tcW w:w="1800" w:type="dxa"/>
            <w:shd w:val="clear" w:color="auto" w:fill="auto"/>
          </w:tcPr>
          <w:p w14:paraId="662952CC" w14:textId="77777777" w:rsidR="006D1005" w:rsidRPr="00A35EE6" w:rsidDel="001A5D08" w:rsidRDefault="004507DC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Katru gadu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5A5A4C80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535B605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</w:p>
        </w:tc>
        <w:tc>
          <w:tcPr>
            <w:tcW w:w="2280" w:type="dxa"/>
          </w:tcPr>
          <w:p w14:paraId="0894D0C3" w14:textId="77777777" w:rsidR="006D1005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IEM IC</w:t>
            </w:r>
          </w:p>
          <w:p w14:paraId="50196E61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7AAC5926" w14:textId="77777777"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14:paraId="51AD6DC5" w14:textId="77777777" w:rsidTr="000C3759">
        <w:tc>
          <w:tcPr>
            <w:tcW w:w="836" w:type="dxa"/>
          </w:tcPr>
          <w:p w14:paraId="2D1CAB8B" w14:textId="77777777"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3FEDC911" w14:textId="77777777"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Izstrādā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kārtību, kādā nodrošināma pārtikas izsniegšana iedzīvotājiem pašvaldības administratīvajā teritorijā</w:t>
            </w:r>
          </w:p>
        </w:tc>
        <w:tc>
          <w:tcPr>
            <w:tcW w:w="1800" w:type="dxa"/>
            <w:shd w:val="clear" w:color="auto" w:fill="auto"/>
          </w:tcPr>
          <w:p w14:paraId="2047554A" w14:textId="77777777" w:rsidR="006D1005" w:rsidRPr="00A35EE6" w:rsidRDefault="004507DC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2020.-2027.gads</w:t>
            </w:r>
          </w:p>
        </w:tc>
        <w:tc>
          <w:tcPr>
            <w:tcW w:w="2280" w:type="dxa"/>
            <w:shd w:val="clear" w:color="auto" w:fill="auto"/>
          </w:tcPr>
          <w:p w14:paraId="6B9FAFA1" w14:textId="77777777"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</w:t>
            </w:r>
          </w:p>
          <w:p w14:paraId="682192B8" w14:textId="77777777"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</w:p>
        </w:tc>
        <w:tc>
          <w:tcPr>
            <w:tcW w:w="2280" w:type="dxa"/>
          </w:tcPr>
          <w:p w14:paraId="6B0697F3" w14:textId="77777777"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</w:t>
            </w:r>
          </w:p>
          <w:p w14:paraId="77002FD3" w14:textId="77777777"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14:paraId="5D3796E1" w14:textId="77777777"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</w:t>
            </w:r>
          </w:p>
          <w:p w14:paraId="38A41EDD" w14:textId="77777777"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0B40D80F" w14:textId="77777777"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14:paraId="6C1A7807" w14:textId="77777777" w:rsidTr="000C3759">
        <w:tc>
          <w:tcPr>
            <w:tcW w:w="836" w:type="dxa"/>
          </w:tcPr>
          <w:p w14:paraId="055912DC" w14:textId="77777777"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453531CD" w14:textId="77777777"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Izstrādā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kārtību, kādā tiek izsniegtas pirmās nepieciešamības preces iedzīvotājiem pašvaldības administratīvajā teritorijā </w:t>
            </w:r>
          </w:p>
        </w:tc>
        <w:tc>
          <w:tcPr>
            <w:tcW w:w="1800" w:type="dxa"/>
            <w:shd w:val="clear" w:color="auto" w:fill="auto"/>
          </w:tcPr>
          <w:p w14:paraId="24C461F0" w14:textId="77777777" w:rsidR="006D1005" w:rsidRPr="00A35EE6" w:rsidRDefault="004507DC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2020.-2027.gads</w:t>
            </w:r>
          </w:p>
        </w:tc>
        <w:tc>
          <w:tcPr>
            <w:tcW w:w="2280" w:type="dxa"/>
            <w:shd w:val="clear" w:color="auto" w:fill="auto"/>
          </w:tcPr>
          <w:p w14:paraId="1CEDED36" w14:textId="77777777"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  <w:p w14:paraId="6EB1ECDB" w14:textId="77777777"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</w:p>
        </w:tc>
        <w:tc>
          <w:tcPr>
            <w:tcW w:w="2280" w:type="dxa"/>
          </w:tcPr>
          <w:p w14:paraId="3AD88F43" w14:textId="77777777"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  <w:p w14:paraId="20FCC101" w14:textId="77777777"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14:paraId="1B84F7AA" w14:textId="77777777"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  <w:p w14:paraId="571E065B" w14:textId="77777777"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35E6A37B" w14:textId="77777777"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14:paraId="32F25217" w14:textId="77777777" w:rsidTr="000C3759">
        <w:tc>
          <w:tcPr>
            <w:tcW w:w="836" w:type="dxa"/>
          </w:tcPr>
          <w:p w14:paraId="4E7B9649" w14:textId="77777777" w:rsidR="006D1005" w:rsidRPr="00A35EE6" w:rsidRDefault="006D1005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76413E2A" w14:textId="77777777"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Izstrādāt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nepieciešamības gadījumā aktualizēt rīcības kārtību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par spēju pārvaldīt nekontrolētu cilvēku pārvietošanos (evakuāciju)</w:t>
            </w:r>
          </w:p>
          <w:p w14:paraId="3FFAD4AF" w14:textId="77777777"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E0821" w14:textId="77777777"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94AA990" w14:textId="77777777" w:rsidR="006D1005" w:rsidRPr="00A35EE6" w:rsidRDefault="00D9617A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Pastāvīgi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2057CF68" w14:textId="77777777"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63BC974E" w14:textId="77777777"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2280" w:type="dxa"/>
          </w:tcPr>
          <w:p w14:paraId="550572F6" w14:textId="77777777"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4D182939" w14:textId="77777777"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E78" w:rsidRPr="00A35EE6" w14:paraId="52C52929" w14:textId="77777777" w:rsidTr="000C3759">
        <w:tc>
          <w:tcPr>
            <w:tcW w:w="836" w:type="dxa"/>
          </w:tcPr>
          <w:p w14:paraId="154402CA" w14:textId="77777777" w:rsidR="002F4E78" w:rsidRPr="00A35EE6" w:rsidRDefault="002F4E78" w:rsidP="006D100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6D2BCF54" w14:textId="77777777" w:rsidR="002F4E78" w:rsidRPr="00A35EE6" w:rsidRDefault="004507DC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DC"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pašvaldību institūcijām, atbilstoši kompetencei izstrādāt vadlīnijas vai rekomendācijas par Civilās aizsardzības un katastrofas pārvaldīšanas  </w:t>
            </w:r>
            <w:r w:rsidRPr="00450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likumā noteikto pamatvajadzību nodrošināšanu kara vai militāra iebrukuma laikā</w:t>
            </w:r>
          </w:p>
        </w:tc>
        <w:tc>
          <w:tcPr>
            <w:tcW w:w="1800" w:type="dxa"/>
            <w:shd w:val="clear" w:color="auto" w:fill="auto"/>
          </w:tcPr>
          <w:p w14:paraId="44BDC273" w14:textId="77777777" w:rsidR="002F4E78" w:rsidRPr="00A35EE6" w:rsidRDefault="00D9617A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2280" w:type="dxa"/>
            <w:shd w:val="clear" w:color="auto" w:fill="auto"/>
          </w:tcPr>
          <w:p w14:paraId="3ED99636" w14:textId="77777777" w:rsidR="002F4E78" w:rsidRPr="00A35EE6" w:rsidRDefault="00D9617A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A">
              <w:rPr>
                <w:rFonts w:ascii="Times New Roman" w:hAnsi="Times New Roman" w:cs="Times New Roman"/>
                <w:sz w:val="24"/>
                <w:szCs w:val="24"/>
              </w:rPr>
              <w:t>Katastrofas pārvaldīšanas subjekts, Sadarbības teritorijas civilās aizsardzības plānā noteiktās institūcijas</w:t>
            </w:r>
          </w:p>
        </w:tc>
        <w:tc>
          <w:tcPr>
            <w:tcW w:w="2280" w:type="dxa"/>
          </w:tcPr>
          <w:p w14:paraId="3C6466B1" w14:textId="77777777" w:rsidR="002F4E78" w:rsidRPr="00A35EE6" w:rsidRDefault="00D9617A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A">
              <w:rPr>
                <w:rFonts w:ascii="Times New Roman" w:hAnsi="Times New Roman" w:cs="Times New Roman"/>
                <w:sz w:val="24"/>
                <w:szCs w:val="24"/>
              </w:rPr>
              <w:t>Katastrofas pārvaldīšanas subjekts, Sadarbības teritorijas civilās aizsardzības plānā noteiktās institūcijas</w:t>
            </w:r>
          </w:p>
        </w:tc>
        <w:tc>
          <w:tcPr>
            <w:tcW w:w="2280" w:type="dxa"/>
          </w:tcPr>
          <w:p w14:paraId="72C45C4E" w14:textId="77777777" w:rsidR="002F4E78" w:rsidRPr="00A35EE6" w:rsidRDefault="00D9617A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7A">
              <w:rPr>
                <w:rFonts w:ascii="Times New Roman" w:hAnsi="Times New Roman" w:cs="Times New Roman"/>
                <w:sz w:val="24"/>
                <w:szCs w:val="24"/>
              </w:rPr>
              <w:t>Katastrofas pārvaldīšanas subjekts, Sadarbības teritorijas civilās aizsardzības plānā noteiktās institūcijas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72160B87" w14:textId="77777777" w:rsidR="002F4E78" w:rsidRPr="00A35EE6" w:rsidRDefault="002F4E78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0C3759" w14:paraId="0BE739C8" w14:textId="77777777" w:rsidTr="000C3759">
        <w:tc>
          <w:tcPr>
            <w:tcW w:w="836" w:type="dxa"/>
          </w:tcPr>
          <w:p w14:paraId="70C8F21E" w14:textId="77777777" w:rsidR="000C3759" w:rsidRPr="000C3759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67FD5C23" w14:textId="77777777" w:rsidR="000C3759" w:rsidRP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Izstrādāt plānu kultūras mantojuma aizsardzībai un glābšanai krīzes situācijās</w:t>
            </w:r>
          </w:p>
        </w:tc>
        <w:tc>
          <w:tcPr>
            <w:tcW w:w="1800" w:type="dxa"/>
            <w:shd w:val="clear" w:color="auto" w:fill="auto"/>
          </w:tcPr>
          <w:p w14:paraId="7DC492A3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2020. –2027.gads</w:t>
            </w:r>
          </w:p>
        </w:tc>
        <w:tc>
          <w:tcPr>
            <w:tcW w:w="2280" w:type="dxa"/>
            <w:shd w:val="clear" w:color="auto" w:fill="auto"/>
          </w:tcPr>
          <w:p w14:paraId="793A74F1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2280" w:type="dxa"/>
          </w:tcPr>
          <w:p w14:paraId="52A539F6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2280" w:type="dxa"/>
          </w:tcPr>
          <w:p w14:paraId="27AD6850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KM iestādes</w:t>
            </w:r>
          </w:p>
          <w:p w14:paraId="428785A7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</w:p>
          <w:p w14:paraId="641F212C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Kultūras pieminekļu īpašnieki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19487618" w14:textId="77777777" w:rsidR="000C3759" w:rsidRP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0C3759" w14:paraId="7E2F8418" w14:textId="77777777" w:rsidTr="000C3759">
        <w:tc>
          <w:tcPr>
            <w:tcW w:w="836" w:type="dxa"/>
          </w:tcPr>
          <w:p w14:paraId="40A076F0" w14:textId="77777777" w:rsidR="000C3759" w:rsidRPr="000C3759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66FFA163" w14:textId="77777777" w:rsidR="000C3759" w:rsidRP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Izstrādāt instrukciju bruņoto spēku personālam kultūras mantojuma aizsardzībai bruņota konflikta gadījumā</w:t>
            </w:r>
          </w:p>
        </w:tc>
        <w:tc>
          <w:tcPr>
            <w:tcW w:w="1800" w:type="dxa"/>
            <w:shd w:val="clear" w:color="auto" w:fill="auto"/>
          </w:tcPr>
          <w:p w14:paraId="77DF48C0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2020. –2027.gads</w:t>
            </w:r>
          </w:p>
        </w:tc>
        <w:tc>
          <w:tcPr>
            <w:tcW w:w="2280" w:type="dxa"/>
            <w:shd w:val="clear" w:color="auto" w:fill="auto"/>
          </w:tcPr>
          <w:p w14:paraId="4BF6DC45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2280" w:type="dxa"/>
          </w:tcPr>
          <w:p w14:paraId="586D19E8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Nacionālā kultūras mantojuma pārvalde</w:t>
            </w:r>
          </w:p>
        </w:tc>
        <w:tc>
          <w:tcPr>
            <w:tcW w:w="2280" w:type="dxa"/>
          </w:tcPr>
          <w:p w14:paraId="6C87C720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Nacionālā kultūras mantojuma pārvalde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2FEEFB68" w14:textId="77777777" w:rsidR="000C3759" w:rsidRP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07960D6C" w14:textId="77777777" w:rsidTr="000A1A25">
        <w:tc>
          <w:tcPr>
            <w:tcW w:w="14508" w:type="dxa"/>
            <w:gridSpan w:val="7"/>
            <w:shd w:val="clear" w:color="auto" w:fill="D9D9D9" w:themeFill="background1" w:themeFillShade="D9"/>
          </w:tcPr>
          <w:p w14:paraId="7FEB7936" w14:textId="77777777" w:rsidR="000C3759" w:rsidRPr="00A35EE6" w:rsidRDefault="000C3759" w:rsidP="000C3759">
            <w:pPr>
              <w:pStyle w:val="ListParagraph"/>
              <w:numPr>
                <w:ilvl w:val="0"/>
                <w:numId w:val="1"/>
              </w:numPr>
              <w:ind w:hanging="276"/>
              <w:jc w:val="both"/>
              <w:rPr>
                <w:rFonts w:ascii="Times New Roman" w:hAnsi="Times New Roman"/>
                <w:b/>
                <w:szCs w:val="24"/>
              </w:rPr>
            </w:pPr>
            <w:r w:rsidRPr="00A35EE6">
              <w:rPr>
                <w:rFonts w:ascii="Times New Roman" w:hAnsi="Times New Roman"/>
                <w:b/>
                <w:szCs w:val="24"/>
              </w:rPr>
              <w:t>Reaģēšanas un seku likvidēšanas pasākumi</w:t>
            </w:r>
          </w:p>
        </w:tc>
      </w:tr>
      <w:tr w:rsidR="000C3759" w:rsidRPr="00A35EE6" w14:paraId="01C15774" w14:textId="77777777" w:rsidTr="000A1A25">
        <w:tc>
          <w:tcPr>
            <w:tcW w:w="836" w:type="dxa"/>
          </w:tcPr>
          <w:p w14:paraId="228DA501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2EFFD6C1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Veikt Civilās aizsardzības operacionālās vadības centra sastāva apziņošanu</w:t>
            </w:r>
          </w:p>
        </w:tc>
        <w:tc>
          <w:tcPr>
            <w:tcW w:w="1800" w:type="dxa"/>
          </w:tcPr>
          <w:p w14:paraId="27DE773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280" w:type="dxa"/>
          </w:tcPr>
          <w:p w14:paraId="1C904F4D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ministrs</w:t>
            </w:r>
          </w:p>
        </w:tc>
        <w:tc>
          <w:tcPr>
            <w:tcW w:w="2280" w:type="dxa"/>
          </w:tcPr>
          <w:p w14:paraId="673EFA0A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  <w:p w14:paraId="760B2CE4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  <w:p w14:paraId="25C6302C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IEM IC</w:t>
            </w:r>
          </w:p>
        </w:tc>
        <w:tc>
          <w:tcPr>
            <w:tcW w:w="2280" w:type="dxa"/>
          </w:tcPr>
          <w:p w14:paraId="3F32DFE0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  <w:p w14:paraId="1DC370B0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IEM IC </w:t>
            </w:r>
          </w:p>
        </w:tc>
        <w:tc>
          <w:tcPr>
            <w:tcW w:w="2280" w:type="dxa"/>
          </w:tcPr>
          <w:p w14:paraId="6DC6E162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58EF9A2C" w14:textId="77777777" w:rsidTr="000A1A25">
        <w:tc>
          <w:tcPr>
            <w:tcW w:w="836" w:type="dxa"/>
          </w:tcPr>
          <w:p w14:paraId="7144B183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735AED85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Sasaukt Civilās aizsardzības operacionālās vadības centru</w:t>
            </w:r>
          </w:p>
        </w:tc>
        <w:tc>
          <w:tcPr>
            <w:tcW w:w="1800" w:type="dxa"/>
          </w:tcPr>
          <w:p w14:paraId="0256ECB3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3 stundas</w:t>
            </w:r>
          </w:p>
        </w:tc>
        <w:tc>
          <w:tcPr>
            <w:tcW w:w="2280" w:type="dxa"/>
          </w:tcPr>
          <w:p w14:paraId="5BC3395C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Ministru kabinets</w:t>
            </w:r>
          </w:p>
        </w:tc>
        <w:tc>
          <w:tcPr>
            <w:tcW w:w="2280" w:type="dxa"/>
          </w:tcPr>
          <w:p w14:paraId="6B7C7050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2280" w:type="dxa"/>
          </w:tcPr>
          <w:p w14:paraId="1FEDA181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2280" w:type="dxa"/>
          </w:tcPr>
          <w:p w14:paraId="7A598FD3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362E9E2D" w14:textId="77777777" w:rsidTr="000A1A25">
        <w:tc>
          <w:tcPr>
            <w:tcW w:w="836" w:type="dxa"/>
          </w:tcPr>
          <w:p w14:paraId="7AFA6206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728F6A6D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Veikt sadarbības teritoriju civilās aizsardzības komisiju sastāva apziņošanu </w:t>
            </w:r>
          </w:p>
        </w:tc>
        <w:tc>
          <w:tcPr>
            <w:tcW w:w="1800" w:type="dxa"/>
          </w:tcPr>
          <w:p w14:paraId="02F2C752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280" w:type="dxa"/>
          </w:tcPr>
          <w:p w14:paraId="36D541AC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komisijas priekšsēdētāji</w:t>
            </w:r>
          </w:p>
        </w:tc>
        <w:tc>
          <w:tcPr>
            <w:tcW w:w="2280" w:type="dxa"/>
          </w:tcPr>
          <w:p w14:paraId="2E4535C2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komisijas priekšsēdētāji</w:t>
            </w:r>
          </w:p>
        </w:tc>
        <w:tc>
          <w:tcPr>
            <w:tcW w:w="2280" w:type="dxa"/>
          </w:tcPr>
          <w:p w14:paraId="302C2EE4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</w:tcPr>
          <w:p w14:paraId="2A0FAB62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025A7B15" w14:textId="77777777" w:rsidTr="000A1A25">
        <w:tc>
          <w:tcPr>
            <w:tcW w:w="836" w:type="dxa"/>
          </w:tcPr>
          <w:p w14:paraId="3576FA71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30728F94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Sasaukt sadarbības teritoriju civilās aizsardzības komisijas</w:t>
            </w:r>
          </w:p>
        </w:tc>
        <w:tc>
          <w:tcPr>
            <w:tcW w:w="1800" w:type="dxa"/>
          </w:tcPr>
          <w:p w14:paraId="35FAE20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3 stunda</w:t>
            </w:r>
          </w:p>
        </w:tc>
        <w:tc>
          <w:tcPr>
            <w:tcW w:w="2280" w:type="dxa"/>
          </w:tcPr>
          <w:p w14:paraId="74BE0865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komisijas priekšsēdētāji</w:t>
            </w:r>
          </w:p>
        </w:tc>
        <w:tc>
          <w:tcPr>
            <w:tcW w:w="2280" w:type="dxa"/>
          </w:tcPr>
          <w:p w14:paraId="39551370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komisijas priekšsēdētāji</w:t>
            </w:r>
          </w:p>
        </w:tc>
        <w:tc>
          <w:tcPr>
            <w:tcW w:w="2280" w:type="dxa"/>
          </w:tcPr>
          <w:p w14:paraId="0FD77633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</w:tcPr>
          <w:p w14:paraId="57DE3314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7E57151C" w14:textId="77777777" w:rsidTr="000A1A25">
        <w:tc>
          <w:tcPr>
            <w:tcW w:w="836" w:type="dxa"/>
          </w:tcPr>
          <w:p w14:paraId="64308EEC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35E7D9B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augstāko amatpersonu apziņošana</w:t>
            </w:r>
          </w:p>
        </w:tc>
        <w:tc>
          <w:tcPr>
            <w:tcW w:w="1800" w:type="dxa"/>
          </w:tcPr>
          <w:p w14:paraId="1A981421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Pēc nepieciešamības</w:t>
            </w:r>
          </w:p>
        </w:tc>
        <w:tc>
          <w:tcPr>
            <w:tcW w:w="2280" w:type="dxa"/>
          </w:tcPr>
          <w:p w14:paraId="5748F6E0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Ministru prezidents</w:t>
            </w:r>
          </w:p>
          <w:p w14:paraId="2533D4C1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075C0BC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  <w:p w14:paraId="506FD738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</w:p>
        </w:tc>
        <w:tc>
          <w:tcPr>
            <w:tcW w:w="2280" w:type="dxa"/>
          </w:tcPr>
          <w:p w14:paraId="6DA060E6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  <w:p w14:paraId="3CB2446D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VP</w:t>
            </w:r>
          </w:p>
          <w:p w14:paraId="1DF7E098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d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rošības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dienests</w:t>
            </w:r>
          </w:p>
          <w:p w14:paraId="496FD646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drošības dienests</w:t>
            </w:r>
          </w:p>
          <w:p w14:paraId="627C17F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NBS Militārā policija</w:t>
            </w:r>
          </w:p>
        </w:tc>
        <w:tc>
          <w:tcPr>
            <w:tcW w:w="2280" w:type="dxa"/>
          </w:tcPr>
          <w:p w14:paraId="4DB04515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325B06BB" w14:textId="77777777" w:rsidTr="000A1A25">
        <w:tc>
          <w:tcPr>
            <w:tcW w:w="836" w:type="dxa"/>
          </w:tcPr>
          <w:p w14:paraId="6DD1D53F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25EEB851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Iedzīvotāju informēšana izmantojot valsts agrīnās brīdināšanas sistēmu</w:t>
            </w:r>
          </w:p>
        </w:tc>
        <w:tc>
          <w:tcPr>
            <w:tcW w:w="1800" w:type="dxa"/>
          </w:tcPr>
          <w:p w14:paraId="5221BA9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 stundas un turpmāk pēc vajadzības</w:t>
            </w:r>
          </w:p>
        </w:tc>
        <w:tc>
          <w:tcPr>
            <w:tcW w:w="2280" w:type="dxa"/>
          </w:tcPr>
          <w:p w14:paraId="7300116A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priekšnieks</w:t>
            </w:r>
          </w:p>
        </w:tc>
        <w:tc>
          <w:tcPr>
            <w:tcW w:w="2280" w:type="dxa"/>
          </w:tcPr>
          <w:p w14:paraId="64A8F230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2280" w:type="dxa"/>
          </w:tcPr>
          <w:p w14:paraId="405FFDD2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  <w:p w14:paraId="3D9927B9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5B428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Elektroniskie plašsaziņas līdzekļi ar kuriem VUGD ir noslēgti līgumi</w:t>
            </w:r>
          </w:p>
        </w:tc>
        <w:tc>
          <w:tcPr>
            <w:tcW w:w="2280" w:type="dxa"/>
          </w:tcPr>
          <w:p w14:paraId="052D351B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331B4660" w14:textId="77777777" w:rsidTr="000A1A25">
        <w:tc>
          <w:tcPr>
            <w:tcW w:w="836" w:type="dxa"/>
          </w:tcPr>
          <w:p w14:paraId="691DF711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3D9C3DCA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Iespējamo papildus apziņošanas līdzekļu iesaistīšana iedzīvotāju apziņošanā </w:t>
            </w:r>
          </w:p>
        </w:tc>
        <w:tc>
          <w:tcPr>
            <w:tcW w:w="1800" w:type="dxa"/>
          </w:tcPr>
          <w:p w14:paraId="2DFB367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12 stundas</w:t>
            </w:r>
          </w:p>
        </w:tc>
        <w:tc>
          <w:tcPr>
            <w:tcW w:w="2280" w:type="dxa"/>
          </w:tcPr>
          <w:p w14:paraId="19654308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priekšnieks</w:t>
            </w:r>
          </w:p>
        </w:tc>
        <w:tc>
          <w:tcPr>
            <w:tcW w:w="2280" w:type="dxa"/>
          </w:tcPr>
          <w:p w14:paraId="5CC94E8A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  <w:p w14:paraId="31D6ECA9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1D1C9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Satiksmes ministrija</w:t>
            </w:r>
          </w:p>
          <w:p w14:paraId="0119BCF4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28134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</w:p>
          <w:p w14:paraId="6AD39A4E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95A6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F020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Ministrijas</w:t>
            </w:r>
          </w:p>
        </w:tc>
        <w:tc>
          <w:tcPr>
            <w:tcW w:w="2280" w:type="dxa"/>
          </w:tcPr>
          <w:p w14:paraId="7CA8C7E6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  <w:p w14:paraId="7209BF4F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NBS</w:t>
            </w:r>
          </w:p>
          <w:p w14:paraId="7AFD242B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 policija</w:t>
            </w:r>
          </w:p>
          <w:p w14:paraId="5C618A2B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VAS “Latvijas Valsts radio un televīzijas centrs”</w:t>
            </w:r>
          </w:p>
          <w:p w14:paraId="24FE79E6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Ministrijas un to padotības iestādes</w:t>
            </w:r>
          </w:p>
        </w:tc>
        <w:tc>
          <w:tcPr>
            <w:tcW w:w="2280" w:type="dxa"/>
          </w:tcPr>
          <w:p w14:paraId="51974412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05030E6A" w14:textId="77777777" w:rsidTr="000A1A25">
        <w:tc>
          <w:tcPr>
            <w:tcW w:w="836" w:type="dxa"/>
          </w:tcPr>
          <w:p w14:paraId="38679091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7821CD49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Pārtikas izsniegšana (</w:t>
            </w:r>
            <w:r w:rsidRPr="00A35EE6">
              <w:rPr>
                <w:rFonts w:ascii="Times New Roman" w:hAnsi="Times New Roman" w:cs="Times New Roman"/>
                <w:i/>
                <w:sz w:val="24"/>
                <w:szCs w:val="24"/>
              </w:rPr>
              <w:t>t.sk. piegāde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) iedzīvotājiem, kā arī izsniegtās pārtikas uzskaite</w:t>
            </w:r>
          </w:p>
        </w:tc>
        <w:tc>
          <w:tcPr>
            <w:tcW w:w="1800" w:type="dxa"/>
          </w:tcPr>
          <w:p w14:paraId="43CD55B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Atbilstoši izstrādātajai kārtībai</w:t>
            </w:r>
          </w:p>
        </w:tc>
        <w:tc>
          <w:tcPr>
            <w:tcW w:w="2280" w:type="dxa"/>
          </w:tcPr>
          <w:p w14:paraId="375E3269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Pašvaldības domes priekšsēdētājs</w:t>
            </w:r>
          </w:p>
        </w:tc>
        <w:tc>
          <w:tcPr>
            <w:tcW w:w="2280" w:type="dxa"/>
          </w:tcPr>
          <w:p w14:paraId="33C0B352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14:paraId="02AC2E14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</w:p>
          <w:p w14:paraId="22706E3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0E942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</w:p>
        </w:tc>
        <w:tc>
          <w:tcPr>
            <w:tcW w:w="2280" w:type="dxa"/>
          </w:tcPr>
          <w:p w14:paraId="2B415914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4ED4D6EC" w14:textId="77777777" w:rsidTr="000A1A25">
        <w:tc>
          <w:tcPr>
            <w:tcW w:w="836" w:type="dxa"/>
          </w:tcPr>
          <w:p w14:paraId="614CAA2F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5529B752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Nosaka kontaktpersonu par pirmās nepieciešamības preču nodrošinājumu, par to informējot pašvaldības</w:t>
            </w:r>
          </w:p>
        </w:tc>
        <w:tc>
          <w:tcPr>
            <w:tcW w:w="1800" w:type="dxa"/>
          </w:tcPr>
          <w:p w14:paraId="3C6AB45C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 stundās</w:t>
            </w:r>
          </w:p>
        </w:tc>
        <w:tc>
          <w:tcPr>
            <w:tcW w:w="2280" w:type="dxa"/>
          </w:tcPr>
          <w:p w14:paraId="6495F2A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ministrs</w:t>
            </w:r>
          </w:p>
        </w:tc>
        <w:tc>
          <w:tcPr>
            <w:tcW w:w="2280" w:type="dxa"/>
          </w:tcPr>
          <w:p w14:paraId="678AEA93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14:paraId="5755F78C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14:paraId="1806902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73BC91EE" w14:textId="77777777" w:rsidTr="000A1A25">
        <w:tc>
          <w:tcPr>
            <w:tcW w:w="836" w:type="dxa"/>
          </w:tcPr>
          <w:p w14:paraId="564602C2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56E4C350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Pirmās nepieciešamības preču izsniegšana iedzīvotājiem, kā arī izsniegto preču uzskaite</w:t>
            </w:r>
          </w:p>
        </w:tc>
        <w:tc>
          <w:tcPr>
            <w:tcW w:w="1800" w:type="dxa"/>
          </w:tcPr>
          <w:p w14:paraId="2125B10D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Atbilstoši izstrādātajai kārtībai</w:t>
            </w:r>
          </w:p>
        </w:tc>
        <w:tc>
          <w:tcPr>
            <w:tcW w:w="2280" w:type="dxa"/>
          </w:tcPr>
          <w:p w14:paraId="3E060329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Pašvaldības domes priekšsēdētājs</w:t>
            </w:r>
          </w:p>
        </w:tc>
        <w:tc>
          <w:tcPr>
            <w:tcW w:w="2280" w:type="dxa"/>
          </w:tcPr>
          <w:p w14:paraId="07B401A8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14:paraId="1FB041A1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 </w:t>
            </w:r>
          </w:p>
        </w:tc>
        <w:tc>
          <w:tcPr>
            <w:tcW w:w="2280" w:type="dxa"/>
          </w:tcPr>
          <w:p w14:paraId="47D28EC9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1129C998" w14:textId="77777777" w:rsidTr="000A1A25">
        <w:tc>
          <w:tcPr>
            <w:tcW w:w="836" w:type="dxa"/>
          </w:tcPr>
          <w:p w14:paraId="24373A4B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75C41933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Tautsaimniecības mobilizācijas plāna īstenošana</w:t>
            </w:r>
          </w:p>
        </w:tc>
        <w:tc>
          <w:tcPr>
            <w:tcW w:w="1800" w:type="dxa"/>
          </w:tcPr>
          <w:p w14:paraId="7F079E14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Atbilstoši plānā noteiktajam</w:t>
            </w:r>
          </w:p>
        </w:tc>
        <w:tc>
          <w:tcPr>
            <w:tcW w:w="2280" w:type="dxa"/>
          </w:tcPr>
          <w:p w14:paraId="62485C7A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ministrs</w:t>
            </w:r>
          </w:p>
        </w:tc>
        <w:tc>
          <w:tcPr>
            <w:tcW w:w="2280" w:type="dxa"/>
          </w:tcPr>
          <w:p w14:paraId="0D108DDD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14:paraId="4F1F0D15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Tautsaimniecības mobilizācijas plānā noteiktās institūcijas</w:t>
            </w:r>
          </w:p>
        </w:tc>
        <w:tc>
          <w:tcPr>
            <w:tcW w:w="2280" w:type="dxa"/>
          </w:tcPr>
          <w:p w14:paraId="7545C880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7696DEDD" w14:textId="77777777" w:rsidTr="000A1A25">
        <w:tc>
          <w:tcPr>
            <w:tcW w:w="836" w:type="dxa"/>
          </w:tcPr>
          <w:p w14:paraId="0B277FB3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055AA15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Apgādes ar elektroenerģiju koordinēšana atbilstoši noteikto enerģijas lietotāju grupām un enerģētiskās krīzes līmeņiem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00EC39A3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016BCA15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ministrs</w:t>
            </w:r>
          </w:p>
        </w:tc>
        <w:tc>
          <w:tcPr>
            <w:tcW w:w="2280" w:type="dxa"/>
          </w:tcPr>
          <w:p w14:paraId="1F342D06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14:paraId="2FAFF04B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  <w:p w14:paraId="0BA245C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B9AED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AS „Latvenergo”</w:t>
            </w:r>
          </w:p>
          <w:p w14:paraId="34535E10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ST</w:t>
            </w:r>
          </w:p>
          <w:p w14:paraId="7D4C5384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AST</w:t>
            </w:r>
          </w:p>
          <w:p w14:paraId="742CE8A2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 komersanti</w:t>
            </w:r>
          </w:p>
        </w:tc>
        <w:tc>
          <w:tcPr>
            <w:tcW w:w="2280" w:type="dxa"/>
          </w:tcPr>
          <w:p w14:paraId="79E58E74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1520EE55" w14:textId="77777777" w:rsidTr="000A1A25">
        <w:tc>
          <w:tcPr>
            <w:tcW w:w="836" w:type="dxa"/>
          </w:tcPr>
          <w:p w14:paraId="14F0C5B0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73DCBF16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Nodrošināšana ar naftas produktiem un naftas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produktu rezervju sadales koordinācija un kontrole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769B9A23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4A752753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ministrs</w:t>
            </w:r>
          </w:p>
        </w:tc>
        <w:tc>
          <w:tcPr>
            <w:tcW w:w="2280" w:type="dxa"/>
          </w:tcPr>
          <w:p w14:paraId="0B7289AD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14:paraId="44186240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  <w:p w14:paraId="767E1820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06C86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Komersanti</w:t>
            </w:r>
          </w:p>
        </w:tc>
        <w:tc>
          <w:tcPr>
            <w:tcW w:w="2280" w:type="dxa"/>
          </w:tcPr>
          <w:p w14:paraId="1A0035E9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5948F9A4" w14:textId="77777777" w:rsidTr="000A1A25">
        <w:tc>
          <w:tcPr>
            <w:tcW w:w="836" w:type="dxa"/>
          </w:tcPr>
          <w:p w14:paraId="2B63FFAF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36549705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VAS “Latvijas Pasts”, VSIA “Latvijas Radio”, VSIA “Latvijas Televīzija” un VAS “Latvijas Valsts radio un televīzijas centrs” rīcības plānu darbības nodrošināšanai valsts apdraudējuma gadījumā īstenošana</w:t>
            </w:r>
          </w:p>
        </w:tc>
        <w:tc>
          <w:tcPr>
            <w:tcW w:w="1800" w:type="dxa"/>
          </w:tcPr>
          <w:p w14:paraId="6632685D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Atbilstoši plānā noteiktajam</w:t>
            </w:r>
          </w:p>
        </w:tc>
        <w:tc>
          <w:tcPr>
            <w:tcW w:w="2280" w:type="dxa"/>
          </w:tcPr>
          <w:p w14:paraId="36DAB7EA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Satiksmes ministrs</w:t>
            </w:r>
          </w:p>
        </w:tc>
        <w:tc>
          <w:tcPr>
            <w:tcW w:w="2280" w:type="dxa"/>
          </w:tcPr>
          <w:p w14:paraId="7FCE56B5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Satiksmes ministrija</w:t>
            </w:r>
          </w:p>
        </w:tc>
        <w:tc>
          <w:tcPr>
            <w:tcW w:w="2280" w:type="dxa"/>
          </w:tcPr>
          <w:p w14:paraId="29E161A1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VAS “Latvijas Pasts”</w:t>
            </w:r>
          </w:p>
          <w:p w14:paraId="466B2B5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A77E2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VSIA “Latvijas Radio”</w:t>
            </w:r>
          </w:p>
          <w:p w14:paraId="4785D352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8CFCC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VSIA “Latvijas Televīzija”</w:t>
            </w:r>
          </w:p>
          <w:p w14:paraId="1118AB3D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E0CD0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VAS “Latvijas Valsts radio un televīzijas centrs”</w:t>
            </w:r>
          </w:p>
        </w:tc>
        <w:tc>
          <w:tcPr>
            <w:tcW w:w="2280" w:type="dxa"/>
          </w:tcPr>
          <w:p w14:paraId="6AEE769B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7653DC" w14:paraId="424AFE26" w14:textId="77777777" w:rsidTr="000A1A25">
        <w:tc>
          <w:tcPr>
            <w:tcW w:w="836" w:type="dxa"/>
          </w:tcPr>
          <w:p w14:paraId="5F9DE09E" w14:textId="77777777" w:rsidR="000C3759" w:rsidRPr="007653DC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46BEF7A6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Pirmās palīdzības sniegšana </w:t>
            </w:r>
          </w:p>
        </w:tc>
        <w:tc>
          <w:tcPr>
            <w:tcW w:w="1800" w:type="dxa"/>
          </w:tcPr>
          <w:p w14:paraId="272F6483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nepieciešamības</w:t>
            </w:r>
          </w:p>
        </w:tc>
        <w:tc>
          <w:tcPr>
            <w:tcW w:w="2280" w:type="dxa"/>
          </w:tcPr>
          <w:p w14:paraId="602FBAD2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hAnsi="Times New Roman" w:cs="Times New Roman"/>
                <w:sz w:val="24"/>
                <w:szCs w:val="24"/>
              </w:rPr>
              <w:t>Fiziska un juridiska persona</w:t>
            </w:r>
          </w:p>
          <w:p w14:paraId="221F0433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0E050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hAnsi="Times New Roman" w:cs="Times New Roman"/>
                <w:sz w:val="24"/>
                <w:szCs w:val="24"/>
              </w:rPr>
              <w:t>Valsts un pašvaldības institūcijas</w:t>
            </w:r>
          </w:p>
        </w:tc>
        <w:tc>
          <w:tcPr>
            <w:tcW w:w="2280" w:type="dxa"/>
          </w:tcPr>
          <w:p w14:paraId="25DA10FD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hAnsi="Times New Roman" w:cs="Times New Roman"/>
                <w:sz w:val="24"/>
                <w:szCs w:val="24"/>
              </w:rPr>
              <w:t>Fiziska un juridiska persona</w:t>
            </w:r>
          </w:p>
          <w:p w14:paraId="39CA8F08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DE692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hAnsi="Times New Roman" w:cs="Times New Roman"/>
                <w:sz w:val="24"/>
                <w:szCs w:val="24"/>
              </w:rPr>
              <w:t>Valsts un pašvaldības institūcijas</w:t>
            </w:r>
          </w:p>
        </w:tc>
        <w:tc>
          <w:tcPr>
            <w:tcW w:w="2280" w:type="dxa"/>
          </w:tcPr>
          <w:p w14:paraId="1DE33F84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hAnsi="Times New Roman" w:cs="Times New Roman"/>
                <w:sz w:val="24"/>
                <w:szCs w:val="24"/>
              </w:rPr>
              <w:t>Fiziska un juridiska persona</w:t>
            </w:r>
          </w:p>
          <w:p w14:paraId="32086194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E34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hAnsi="Times New Roman" w:cs="Times New Roman"/>
                <w:sz w:val="24"/>
                <w:szCs w:val="24"/>
              </w:rPr>
              <w:t>Valsts un pašvaldības institūcijas</w:t>
            </w:r>
          </w:p>
          <w:p w14:paraId="7DBD46A5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2280" w:type="dxa"/>
          </w:tcPr>
          <w:p w14:paraId="614C2C43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7653DC" w14:paraId="43D3EA38" w14:textId="77777777" w:rsidTr="007653DC">
        <w:tc>
          <w:tcPr>
            <w:tcW w:w="836" w:type="dxa"/>
          </w:tcPr>
          <w:p w14:paraId="5204E2A7" w14:textId="77777777" w:rsidR="000C3759" w:rsidRPr="007653DC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2077FB42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Neatliekamās medicīniskās palīdzības sniegšana cietušajiem un pasākumu īstenošana atbilstoši Valsts katastrofu medicīnas plānam un </w:t>
            </w:r>
            <w:r w:rsidRPr="00765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Slimnīcu katastrofu medicīnas plāniem</w:t>
            </w:r>
          </w:p>
        </w:tc>
        <w:tc>
          <w:tcPr>
            <w:tcW w:w="1800" w:type="dxa"/>
          </w:tcPr>
          <w:p w14:paraId="35EEDD9B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Pēc nepieciešamības</w:t>
            </w:r>
          </w:p>
        </w:tc>
        <w:tc>
          <w:tcPr>
            <w:tcW w:w="2280" w:type="dxa"/>
            <w:shd w:val="clear" w:color="auto" w:fill="auto"/>
          </w:tcPr>
          <w:p w14:paraId="27B859DA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</w:p>
          <w:p w14:paraId="665BD22A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hAnsi="Times New Roman" w:cs="Times New Roman"/>
                <w:sz w:val="24"/>
                <w:szCs w:val="24"/>
              </w:rPr>
              <w:t>NMPD</w:t>
            </w:r>
          </w:p>
          <w:p w14:paraId="6B9A8A85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Slimnīcas un citas ārstniecības iestādes</w:t>
            </w:r>
          </w:p>
        </w:tc>
        <w:tc>
          <w:tcPr>
            <w:tcW w:w="2280" w:type="dxa"/>
          </w:tcPr>
          <w:p w14:paraId="22C0F46C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hAnsi="Times New Roman" w:cs="Times New Roman"/>
                <w:sz w:val="24"/>
                <w:szCs w:val="24"/>
              </w:rPr>
              <w:t>NMPD</w:t>
            </w:r>
          </w:p>
          <w:p w14:paraId="5F6DA07C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Slimnīcas un citas ārstniecības iestādes</w:t>
            </w:r>
          </w:p>
        </w:tc>
        <w:tc>
          <w:tcPr>
            <w:tcW w:w="2280" w:type="dxa"/>
          </w:tcPr>
          <w:p w14:paraId="0BB2994E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hAnsi="Times New Roman" w:cs="Times New Roman"/>
                <w:sz w:val="24"/>
                <w:szCs w:val="24"/>
              </w:rPr>
              <w:t>NMPD</w:t>
            </w:r>
          </w:p>
          <w:p w14:paraId="5DAFFA29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Slimnīcas un citas ārstniecības iestādes</w:t>
            </w:r>
          </w:p>
        </w:tc>
        <w:tc>
          <w:tcPr>
            <w:tcW w:w="2280" w:type="dxa"/>
          </w:tcPr>
          <w:p w14:paraId="431CD2E8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7653DC" w14:paraId="1B88507B" w14:textId="77777777" w:rsidTr="007653DC">
        <w:tc>
          <w:tcPr>
            <w:tcW w:w="836" w:type="dxa"/>
          </w:tcPr>
          <w:p w14:paraId="33CD3B50" w14:textId="77777777" w:rsidR="000C3759" w:rsidRPr="007653DC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63694527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veselības aizsardzības pasākumu īstenošana atbilstoši Valsts katastrofu medicīnas plānam</w:t>
            </w:r>
          </w:p>
        </w:tc>
        <w:tc>
          <w:tcPr>
            <w:tcW w:w="1800" w:type="dxa"/>
          </w:tcPr>
          <w:p w14:paraId="588EC1E2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nepieciešamības</w:t>
            </w:r>
          </w:p>
        </w:tc>
        <w:tc>
          <w:tcPr>
            <w:tcW w:w="2280" w:type="dxa"/>
            <w:shd w:val="clear" w:color="auto" w:fill="auto"/>
          </w:tcPr>
          <w:p w14:paraId="77B0D756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</w:p>
        </w:tc>
        <w:tc>
          <w:tcPr>
            <w:tcW w:w="2280" w:type="dxa"/>
          </w:tcPr>
          <w:p w14:paraId="5641EF15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hAnsi="Times New Roman" w:cs="Times New Roman"/>
                <w:sz w:val="24"/>
                <w:szCs w:val="24"/>
              </w:rPr>
              <w:t>NMPD</w:t>
            </w:r>
          </w:p>
          <w:p w14:paraId="3A7DE7C0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0B30728A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hAnsi="Times New Roman" w:cs="Times New Roman"/>
                <w:sz w:val="24"/>
                <w:szCs w:val="24"/>
              </w:rPr>
              <w:t>SPKC</w:t>
            </w:r>
          </w:p>
          <w:p w14:paraId="5CA6DE0A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hAnsi="Times New Roman" w:cs="Times New Roman"/>
                <w:sz w:val="24"/>
                <w:szCs w:val="24"/>
              </w:rPr>
              <w:t>PVD</w:t>
            </w:r>
          </w:p>
        </w:tc>
        <w:tc>
          <w:tcPr>
            <w:tcW w:w="2280" w:type="dxa"/>
          </w:tcPr>
          <w:p w14:paraId="08A11189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hAnsi="Times New Roman" w:cs="Times New Roman"/>
                <w:sz w:val="24"/>
                <w:szCs w:val="24"/>
              </w:rPr>
              <w:t>NMPD</w:t>
            </w:r>
          </w:p>
          <w:p w14:paraId="262A5777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416A2787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hAnsi="Times New Roman" w:cs="Times New Roman"/>
                <w:sz w:val="24"/>
                <w:szCs w:val="24"/>
              </w:rPr>
              <w:t>SPKC</w:t>
            </w:r>
          </w:p>
          <w:p w14:paraId="207B41D5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C">
              <w:rPr>
                <w:rFonts w:ascii="Times New Roman" w:hAnsi="Times New Roman" w:cs="Times New Roman"/>
                <w:sz w:val="24"/>
                <w:szCs w:val="24"/>
              </w:rPr>
              <w:t>PVD</w:t>
            </w:r>
          </w:p>
        </w:tc>
        <w:tc>
          <w:tcPr>
            <w:tcW w:w="2280" w:type="dxa"/>
          </w:tcPr>
          <w:p w14:paraId="33994F69" w14:textId="77777777" w:rsidR="000C3759" w:rsidRPr="007653DC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4E7F32CF" w14:textId="77777777" w:rsidTr="000A1A25">
        <w:tc>
          <w:tcPr>
            <w:tcW w:w="836" w:type="dxa"/>
          </w:tcPr>
          <w:p w14:paraId="57843049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053D43CE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Ugunsgrēku dzēšanas un glābšanas darbu veikšana</w:t>
            </w:r>
          </w:p>
        </w:tc>
        <w:tc>
          <w:tcPr>
            <w:tcW w:w="1800" w:type="dxa"/>
          </w:tcPr>
          <w:p w14:paraId="1A5EDCCD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Pastāvīgi 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44496955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4F5AB8F2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2280" w:type="dxa"/>
          </w:tcPr>
          <w:p w14:paraId="6675F84C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  <w:p w14:paraId="56C37A63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B0EB2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Juridiskas un fiziskas personas</w:t>
            </w:r>
          </w:p>
        </w:tc>
        <w:tc>
          <w:tcPr>
            <w:tcW w:w="2280" w:type="dxa"/>
          </w:tcPr>
          <w:p w14:paraId="08AF7744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06BB3458" w14:textId="77777777" w:rsidTr="000A1A25">
        <w:tc>
          <w:tcPr>
            <w:tcW w:w="836" w:type="dxa"/>
          </w:tcPr>
          <w:p w14:paraId="00CD1781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570B5D58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Atbalsta sniegšana Nacionālajiem bruņotajiem spēkiem </w:t>
            </w:r>
          </w:p>
        </w:tc>
        <w:tc>
          <w:tcPr>
            <w:tcW w:w="1800" w:type="dxa"/>
          </w:tcPr>
          <w:p w14:paraId="6A08DC9F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Pastāvīgi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7104BB64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D95E04A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Ministrijas</w:t>
            </w:r>
          </w:p>
          <w:p w14:paraId="59CA658D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44A6B6ED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Ministriju padotības iestādes </w:t>
            </w:r>
          </w:p>
          <w:p w14:paraId="4AC480BB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B6F94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</w:p>
        </w:tc>
        <w:tc>
          <w:tcPr>
            <w:tcW w:w="2280" w:type="dxa"/>
          </w:tcPr>
          <w:p w14:paraId="53448550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072D1CE7" w14:textId="77777777" w:rsidTr="000A1A25">
        <w:tc>
          <w:tcPr>
            <w:tcW w:w="836" w:type="dxa"/>
          </w:tcPr>
          <w:p w14:paraId="56D3C51F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153E1619" w14:textId="77777777" w:rsidR="000C3759" w:rsidRPr="0021674B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Valsts materiālo rezervju izmantošana</w:t>
            </w:r>
          </w:p>
        </w:tc>
        <w:tc>
          <w:tcPr>
            <w:tcW w:w="1800" w:type="dxa"/>
          </w:tcPr>
          <w:p w14:paraId="09E27CC6" w14:textId="77777777" w:rsidR="000C3759" w:rsidRPr="0021674B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4 stundas</w:t>
            </w:r>
          </w:p>
        </w:tc>
        <w:tc>
          <w:tcPr>
            <w:tcW w:w="2280" w:type="dxa"/>
          </w:tcPr>
          <w:p w14:paraId="50D97A8A" w14:textId="77777777" w:rsidR="000C3759" w:rsidRPr="006D1005" w:rsidRDefault="000C3759" w:rsidP="000C375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Nozares ministrija</w:t>
            </w:r>
          </w:p>
          <w:p w14:paraId="423EEC54" w14:textId="77777777" w:rsidR="000C3759" w:rsidRPr="0021674B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Lēmuma pieņēmējs par valsts materiālo rezervju izmantošanu</w:t>
            </w:r>
          </w:p>
        </w:tc>
        <w:tc>
          <w:tcPr>
            <w:tcW w:w="2280" w:type="dxa"/>
          </w:tcPr>
          <w:p w14:paraId="02FD3773" w14:textId="77777777" w:rsidR="000C3759" w:rsidRPr="006D1005" w:rsidRDefault="000C3759" w:rsidP="000C375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Valsts materiālo rezervju glabātājs</w:t>
            </w:r>
          </w:p>
          <w:p w14:paraId="4744DD97" w14:textId="77777777" w:rsidR="000C3759" w:rsidRPr="0021674B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Pasākuma īstenotāji</w:t>
            </w:r>
          </w:p>
        </w:tc>
        <w:tc>
          <w:tcPr>
            <w:tcW w:w="2280" w:type="dxa"/>
          </w:tcPr>
          <w:p w14:paraId="37F5C725" w14:textId="77777777" w:rsidR="000C3759" w:rsidRPr="0021674B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Institūcija, kas izmanto valsts materiālās rezerves</w:t>
            </w:r>
          </w:p>
        </w:tc>
        <w:tc>
          <w:tcPr>
            <w:tcW w:w="2280" w:type="dxa"/>
          </w:tcPr>
          <w:p w14:paraId="6AE5A663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52308C15" w14:textId="77777777" w:rsidTr="000A1A25">
        <w:tc>
          <w:tcPr>
            <w:tcW w:w="836" w:type="dxa"/>
          </w:tcPr>
          <w:p w14:paraId="68BA83FC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566651FB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Sabiedriskās kārtības uzturēšanas pasākumu pastiprināšana </w:t>
            </w:r>
          </w:p>
        </w:tc>
        <w:tc>
          <w:tcPr>
            <w:tcW w:w="1800" w:type="dxa"/>
          </w:tcPr>
          <w:p w14:paraId="2E63F88E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6 – 8 stundas</w:t>
            </w:r>
          </w:p>
        </w:tc>
        <w:tc>
          <w:tcPr>
            <w:tcW w:w="2280" w:type="dxa"/>
          </w:tcPr>
          <w:p w14:paraId="4C43286A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policijas priekšnieks</w:t>
            </w:r>
          </w:p>
        </w:tc>
        <w:tc>
          <w:tcPr>
            <w:tcW w:w="2280" w:type="dxa"/>
          </w:tcPr>
          <w:p w14:paraId="477259A0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</w:t>
            </w:r>
          </w:p>
          <w:p w14:paraId="08E53747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 policija</w:t>
            </w:r>
          </w:p>
          <w:p w14:paraId="5C8664B3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NBS</w:t>
            </w:r>
          </w:p>
          <w:p w14:paraId="2AD212ED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CD72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Vides aizsardzības un reģionālās attīstības ministrija</w:t>
            </w:r>
          </w:p>
        </w:tc>
        <w:tc>
          <w:tcPr>
            <w:tcW w:w="2280" w:type="dxa"/>
          </w:tcPr>
          <w:p w14:paraId="4B46D0D4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VP</w:t>
            </w:r>
          </w:p>
          <w:p w14:paraId="76C630CD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 policija</w:t>
            </w:r>
          </w:p>
          <w:p w14:paraId="2C4B15DF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NBS</w:t>
            </w:r>
          </w:p>
          <w:p w14:paraId="5792C6FB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</w:p>
        </w:tc>
        <w:tc>
          <w:tcPr>
            <w:tcW w:w="2280" w:type="dxa"/>
          </w:tcPr>
          <w:p w14:paraId="34E8632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3F37938D" w14:textId="77777777" w:rsidTr="000A1A25">
        <w:tc>
          <w:tcPr>
            <w:tcW w:w="836" w:type="dxa"/>
          </w:tcPr>
          <w:p w14:paraId="2B7AF552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27220FA6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Iedzīvotāju evakuācija vai kontrolēta cilvēku pārvietošana no bīstamās zonas</w:t>
            </w:r>
          </w:p>
        </w:tc>
        <w:tc>
          <w:tcPr>
            <w:tcW w:w="1800" w:type="dxa"/>
          </w:tcPr>
          <w:p w14:paraId="60BF2A5F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24 stundas</w:t>
            </w:r>
          </w:p>
        </w:tc>
        <w:tc>
          <w:tcPr>
            <w:tcW w:w="2280" w:type="dxa"/>
          </w:tcPr>
          <w:p w14:paraId="20C95AE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Katastrofu pārvaldīšanas subjekts</w:t>
            </w:r>
          </w:p>
          <w:p w14:paraId="67B101F8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56DD3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</w:p>
        </w:tc>
        <w:tc>
          <w:tcPr>
            <w:tcW w:w="2280" w:type="dxa"/>
          </w:tcPr>
          <w:p w14:paraId="4172EC41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 ministrija</w:t>
            </w:r>
          </w:p>
          <w:p w14:paraId="70DE40B8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5BB26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94E49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Civilās aizsardzības operacionālās vadības centrs</w:t>
            </w:r>
          </w:p>
        </w:tc>
        <w:tc>
          <w:tcPr>
            <w:tcW w:w="2280" w:type="dxa"/>
          </w:tcPr>
          <w:p w14:paraId="3BCD2A2D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plānā noteiktās institūcijas</w:t>
            </w:r>
          </w:p>
          <w:p w14:paraId="48D7CA4D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8D08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8D">
              <w:rPr>
                <w:rFonts w:ascii="Times New Roman" w:hAnsi="Times New Roman" w:cs="Times New Roman"/>
                <w:sz w:val="24"/>
                <w:szCs w:val="24"/>
              </w:rPr>
              <w:t>Pasākumu plān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E4108D">
              <w:rPr>
                <w:rFonts w:ascii="Times New Roman" w:hAnsi="Times New Roman" w:cs="Times New Roman"/>
                <w:sz w:val="24"/>
                <w:szCs w:val="24"/>
              </w:rPr>
              <w:t xml:space="preserve"> par kontrolētu masveida iedzīvotāju evakuāciju un pārvietošanu militāra iebrukuma, katastrofas vai to draudu gadījumā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noteiktās institūcijas</w:t>
            </w:r>
          </w:p>
        </w:tc>
        <w:tc>
          <w:tcPr>
            <w:tcW w:w="2280" w:type="dxa"/>
          </w:tcPr>
          <w:p w14:paraId="4AE49BBE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000E6BA3" w14:textId="77777777" w:rsidTr="000A1A25">
        <w:tc>
          <w:tcPr>
            <w:tcW w:w="836" w:type="dxa"/>
          </w:tcPr>
          <w:p w14:paraId="522465A8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595CCB4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8">
              <w:rPr>
                <w:rFonts w:ascii="Times New Roman" w:hAnsi="Times New Roman" w:cs="Times New Roman"/>
                <w:sz w:val="24"/>
                <w:szCs w:val="24"/>
              </w:rPr>
              <w:t>Valsts un pašvaldību institūcijām kara vai militāra iebrukuma laikā turpināt to kompetenču jomā nodrošināt Civilās aizsardzības un katastrofas pārvaldīšanas  likumā noteiktās pamatvajadzības</w:t>
            </w:r>
          </w:p>
        </w:tc>
        <w:tc>
          <w:tcPr>
            <w:tcW w:w="1800" w:type="dxa"/>
          </w:tcPr>
          <w:p w14:paraId="57EF3630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Pastāvīgi</w:t>
            </w:r>
          </w:p>
        </w:tc>
        <w:tc>
          <w:tcPr>
            <w:tcW w:w="2280" w:type="dxa"/>
          </w:tcPr>
          <w:p w14:paraId="0EFEAFA6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Katastrofas pārvaldīšanas subjekts</w:t>
            </w:r>
          </w:p>
          <w:p w14:paraId="5BA52F79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B0953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8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plānā noteiktās institūcijas</w:t>
            </w:r>
          </w:p>
        </w:tc>
        <w:tc>
          <w:tcPr>
            <w:tcW w:w="2280" w:type="dxa"/>
          </w:tcPr>
          <w:p w14:paraId="0741A33A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Katastrofas pārvaldīšanas subjekts</w:t>
            </w:r>
          </w:p>
          <w:p w14:paraId="7C1F9519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7E6A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8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plānā noteiktās institūcijas</w:t>
            </w:r>
          </w:p>
        </w:tc>
        <w:tc>
          <w:tcPr>
            <w:tcW w:w="2280" w:type="dxa"/>
          </w:tcPr>
          <w:p w14:paraId="5E487732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Katastrofas pārvaldīšanas subjekts</w:t>
            </w:r>
          </w:p>
          <w:p w14:paraId="1D11B3E6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F4643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8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plānā noteiktās institūcijas</w:t>
            </w:r>
          </w:p>
        </w:tc>
        <w:tc>
          <w:tcPr>
            <w:tcW w:w="2280" w:type="dxa"/>
          </w:tcPr>
          <w:p w14:paraId="6FA74BA8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13BB6800" w14:textId="77777777" w:rsidTr="000A1A25">
        <w:tc>
          <w:tcPr>
            <w:tcW w:w="836" w:type="dxa"/>
          </w:tcPr>
          <w:p w14:paraId="44440C94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01A364BC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Kritiskās infrastruktūras objektu pastiprinātas apsardzes un aizsardzības organizēšana</w:t>
            </w:r>
          </w:p>
        </w:tc>
        <w:tc>
          <w:tcPr>
            <w:tcW w:w="1800" w:type="dxa"/>
          </w:tcPr>
          <w:p w14:paraId="745C2EAD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24 stundas</w:t>
            </w:r>
          </w:p>
        </w:tc>
        <w:tc>
          <w:tcPr>
            <w:tcW w:w="2280" w:type="dxa"/>
          </w:tcPr>
          <w:p w14:paraId="0F778D66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Ministru kabinets</w:t>
            </w:r>
          </w:p>
          <w:p w14:paraId="78784C4E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A144CC4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Objekta īpašnieks vai tiesiskais valdītājs</w:t>
            </w:r>
          </w:p>
          <w:p w14:paraId="37D1BB91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NBS</w:t>
            </w:r>
          </w:p>
        </w:tc>
        <w:tc>
          <w:tcPr>
            <w:tcW w:w="2280" w:type="dxa"/>
          </w:tcPr>
          <w:p w14:paraId="041584A5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Atbildīgā persona</w:t>
            </w:r>
          </w:p>
          <w:p w14:paraId="488E4EAF" w14:textId="77777777" w:rsid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Apsardzes institūcija</w:t>
            </w:r>
          </w:p>
          <w:p w14:paraId="166D77E1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NBS</w:t>
            </w:r>
          </w:p>
        </w:tc>
        <w:tc>
          <w:tcPr>
            <w:tcW w:w="2280" w:type="dxa"/>
          </w:tcPr>
          <w:p w14:paraId="009CA039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04C8FB03" w14:textId="77777777" w:rsidTr="000A1A25">
        <w:tc>
          <w:tcPr>
            <w:tcW w:w="836" w:type="dxa"/>
          </w:tcPr>
          <w:p w14:paraId="179191CF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46936DF4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Bīstamo ķīmisko vielu un maisījumu daudzumu samazināšana uzņēmumos, kas nodarbojas ar to glabāšanu un izmanto ražošanā</w:t>
            </w:r>
          </w:p>
        </w:tc>
        <w:tc>
          <w:tcPr>
            <w:tcW w:w="1800" w:type="dxa"/>
          </w:tcPr>
          <w:p w14:paraId="20EE113B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48 stundas</w:t>
            </w:r>
          </w:p>
        </w:tc>
        <w:tc>
          <w:tcPr>
            <w:tcW w:w="2280" w:type="dxa"/>
          </w:tcPr>
          <w:p w14:paraId="6817CFA9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Ministru kabinets</w:t>
            </w:r>
          </w:p>
        </w:tc>
        <w:tc>
          <w:tcPr>
            <w:tcW w:w="2280" w:type="dxa"/>
          </w:tcPr>
          <w:p w14:paraId="74866E51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Vides aizsardzības un reģionālas attīstības ministrija</w:t>
            </w:r>
          </w:p>
          <w:p w14:paraId="6443172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C2B93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2280" w:type="dxa"/>
          </w:tcPr>
          <w:p w14:paraId="2580A2A3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vides dienests</w:t>
            </w:r>
          </w:p>
          <w:p w14:paraId="52EC00FC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E9F1C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ACDA9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0BA17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2280" w:type="dxa"/>
          </w:tcPr>
          <w:p w14:paraId="383FDB33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0C3759" w14:paraId="6B01C934" w14:textId="77777777" w:rsidTr="000A1A25">
        <w:tc>
          <w:tcPr>
            <w:tcW w:w="836" w:type="dxa"/>
          </w:tcPr>
          <w:p w14:paraId="2D526082" w14:textId="77777777" w:rsidR="000C3759" w:rsidRPr="000C3759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4C4D1A77" w14:textId="77777777" w:rsidR="000C3759" w:rsidRP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Kultūras vērtību saglabāšanas pasākumu īstenošana, apsardzes organizēšana un sagatavošana evakuācijai</w:t>
            </w:r>
          </w:p>
        </w:tc>
        <w:tc>
          <w:tcPr>
            <w:tcW w:w="1800" w:type="dxa"/>
          </w:tcPr>
          <w:p w14:paraId="44FD2CC2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48 stundas</w:t>
            </w:r>
          </w:p>
        </w:tc>
        <w:tc>
          <w:tcPr>
            <w:tcW w:w="2280" w:type="dxa"/>
          </w:tcPr>
          <w:p w14:paraId="3FAAED09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Kultūras ministrs</w:t>
            </w:r>
          </w:p>
        </w:tc>
        <w:tc>
          <w:tcPr>
            <w:tcW w:w="2280" w:type="dxa"/>
          </w:tcPr>
          <w:p w14:paraId="1B5454F4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Iestāžu dibinātāji</w:t>
            </w:r>
          </w:p>
        </w:tc>
        <w:tc>
          <w:tcPr>
            <w:tcW w:w="2280" w:type="dxa"/>
          </w:tcPr>
          <w:p w14:paraId="0D4BD096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Kultūras mantojuma iestādes</w:t>
            </w:r>
          </w:p>
          <w:p w14:paraId="308DC9F5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 xml:space="preserve">VP </w:t>
            </w:r>
          </w:p>
          <w:p w14:paraId="4A899013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Zemessardze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14:paraId="1A68FB1A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Komersanti</w:t>
            </w:r>
          </w:p>
        </w:tc>
        <w:tc>
          <w:tcPr>
            <w:tcW w:w="2280" w:type="dxa"/>
          </w:tcPr>
          <w:p w14:paraId="4875D1E3" w14:textId="77777777" w:rsidR="000C3759" w:rsidRP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0C3759" w14:paraId="30539B09" w14:textId="77777777" w:rsidTr="000A1A25">
        <w:tc>
          <w:tcPr>
            <w:tcW w:w="836" w:type="dxa"/>
          </w:tcPr>
          <w:p w14:paraId="3E90C4A1" w14:textId="77777777" w:rsidR="000C3759" w:rsidRPr="000C3759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52D42E54" w14:textId="77777777" w:rsidR="000C3759" w:rsidRP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Kultūras vērtību evakuācija</w:t>
            </w:r>
          </w:p>
        </w:tc>
        <w:tc>
          <w:tcPr>
            <w:tcW w:w="1800" w:type="dxa"/>
          </w:tcPr>
          <w:p w14:paraId="31021E30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48 stundas</w:t>
            </w:r>
          </w:p>
        </w:tc>
        <w:tc>
          <w:tcPr>
            <w:tcW w:w="2280" w:type="dxa"/>
          </w:tcPr>
          <w:p w14:paraId="394CF0D4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Kultūras ministrs</w:t>
            </w:r>
          </w:p>
        </w:tc>
        <w:tc>
          <w:tcPr>
            <w:tcW w:w="2280" w:type="dxa"/>
          </w:tcPr>
          <w:p w14:paraId="57BFC33D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Iestāžu dibinātāji</w:t>
            </w:r>
          </w:p>
        </w:tc>
        <w:tc>
          <w:tcPr>
            <w:tcW w:w="2280" w:type="dxa"/>
          </w:tcPr>
          <w:p w14:paraId="72B1ED46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Kultūras mantojuma iestādes</w:t>
            </w:r>
          </w:p>
          <w:p w14:paraId="2EE888C6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Zemessardze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14:paraId="29D3CE9A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Komersanti</w:t>
            </w:r>
          </w:p>
        </w:tc>
        <w:tc>
          <w:tcPr>
            <w:tcW w:w="2280" w:type="dxa"/>
          </w:tcPr>
          <w:p w14:paraId="3DA9A60A" w14:textId="77777777" w:rsidR="000C3759" w:rsidRP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0C3759" w14:paraId="2B8F3189" w14:textId="77777777" w:rsidTr="000A1A25">
        <w:tc>
          <w:tcPr>
            <w:tcW w:w="836" w:type="dxa"/>
          </w:tcPr>
          <w:p w14:paraId="126F741A" w14:textId="77777777" w:rsidR="000C3759" w:rsidRPr="000C3759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58C5B607" w14:textId="77777777" w:rsidR="000C3759" w:rsidRP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Īpaši nozīmīgu kultūras pieminekļu, t.sk. Brīvības pieminekļa, saglabāšanas, t.sk. apsardzes, organizēšana</w:t>
            </w:r>
          </w:p>
        </w:tc>
        <w:tc>
          <w:tcPr>
            <w:tcW w:w="1800" w:type="dxa"/>
          </w:tcPr>
          <w:p w14:paraId="33E5074E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48 stundas</w:t>
            </w:r>
          </w:p>
        </w:tc>
        <w:tc>
          <w:tcPr>
            <w:tcW w:w="2280" w:type="dxa"/>
          </w:tcPr>
          <w:p w14:paraId="7456103A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Kultūras ministrs</w:t>
            </w:r>
          </w:p>
        </w:tc>
        <w:tc>
          <w:tcPr>
            <w:tcW w:w="2280" w:type="dxa"/>
          </w:tcPr>
          <w:p w14:paraId="24B9798F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Nacionālā kultūras mantojuma pārvalde</w:t>
            </w:r>
          </w:p>
        </w:tc>
        <w:tc>
          <w:tcPr>
            <w:tcW w:w="2280" w:type="dxa"/>
          </w:tcPr>
          <w:p w14:paraId="7A79196B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Kultūras pieminekļu īpašnieki</w:t>
            </w:r>
          </w:p>
          <w:p w14:paraId="12D12019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Zemessardze</w:t>
            </w:r>
          </w:p>
          <w:p w14:paraId="7BC92D3B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NBS</w:t>
            </w:r>
          </w:p>
          <w:p w14:paraId="6FD91B94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Zemessardze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14:paraId="7703F360" w14:textId="77777777" w:rsidR="000C3759" w:rsidRPr="000C3759" w:rsidRDefault="000C3759" w:rsidP="000C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9">
              <w:rPr>
                <w:rFonts w:ascii="Times New Roman" w:hAnsi="Times New Roman" w:cs="Times New Roman"/>
                <w:sz w:val="24"/>
                <w:szCs w:val="24"/>
              </w:rPr>
              <w:t>Komersanti</w:t>
            </w:r>
          </w:p>
        </w:tc>
        <w:tc>
          <w:tcPr>
            <w:tcW w:w="2280" w:type="dxa"/>
          </w:tcPr>
          <w:p w14:paraId="6D9C9864" w14:textId="77777777" w:rsidR="000C3759" w:rsidRPr="000C3759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5F41530A" w14:textId="77777777" w:rsidTr="000A1A25">
        <w:tc>
          <w:tcPr>
            <w:tcW w:w="836" w:type="dxa"/>
          </w:tcPr>
          <w:p w14:paraId="2F6C1C54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618787E6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Diplomātisko pārstāvniecību informēšana</w:t>
            </w:r>
          </w:p>
        </w:tc>
        <w:tc>
          <w:tcPr>
            <w:tcW w:w="1800" w:type="dxa"/>
          </w:tcPr>
          <w:p w14:paraId="2775640A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Atkarībā no situācijas</w:t>
            </w:r>
          </w:p>
        </w:tc>
        <w:tc>
          <w:tcPr>
            <w:tcW w:w="2280" w:type="dxa"/>
          </w:tcPr>
          <w:p w14:paraId="5D8B932C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ministrs</w:t>
            </w:r>
          </w:p>
        </w:tc>
        <w:tc>
          <w:tcPr>
            <w:tcW w:w="2280" w:type="dxa"/>
          </w:tcPr>
          <w:p w14:paraId="4E99DA06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</w:tc>
        <w:tc>
          <w:tcPr>
            <w:tcW w:w="2280" w:type="dxa"/>
          </w:tcPr>
          <w:p w14:paraId="7F4DE640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</w:tc>
        <w:tc>
          <w:tcPr>
            <w:tcW w:w="2280" w:type="dxa"/>
          </w:tcPr>
          <w:p w14:paraId="6A872FCA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59" w:rsidRPr="00A35EE6" w14:paraId="73C227C6" w14:textId="77777777" w:rsidTr="000A1A25">
        <w:tc>
          <w:tcPr>
            <w:tcW w:w="836" w:type="dxa"/>
          </w:tcPr>
          <w:p w14:paraId="681B8DBB" w14:textId="77777777" w:rsidR="000C3759" w:rsidRPr="00A35EE6" w:rsidRDefault="000C3759" w:rsidP="000C3759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14:paraId="04193CBE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Starptautiskās un humānās palīdzības pieprasīšanu un saņemšanu (</w:t>
            </w:r>
            <w:r w:rsidRPr="00A35EE6">
              <w:rPr>
                <w:rFonts w:ascii="Times New Roman" w:hAnsi="Times New Roman" w:cs="Times New Roman"/>
                <w:i/>
                <w:sz w:val="24"/>
                <w:szCs w:val="24"/>
              </w:rPr>
              <w:t>t.sk. uzņemošās valsts atbalsta nodrošināšana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</w:tcPr>
          <w:p w14:paraId="573BF786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Atkarībā no situācijas</w:t>
            </w:r>
          </w:p>
        </w:tc>
        <w:tc>
          <w:tcPr>
            <w:tcW w:w="2280" w:type="dxa"/>
          </w:tcPr>
          <w:p w14:paraId="3293B9DB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Ministru kabinets </w:t>
            </w:r>
          </w:p>
        </w:tc>
        <w:tc>
          <w:tcPr>
            <w:tcW w:w="2280" w:type="dxa"/>
          </w:tcPr>
          <w:p w14:paraId="684DC8CB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Atbildīgā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ministrija</w:t>
            </w:r>
          </w:p>
        </w:tc>
        <w:tc>
          <w:tcPr>
            <w:tcW w:w="2280" w:type="dxa"/>
          </w:tcPr>
          <w:p w14:paraId="0B1D0378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  <w:p w14:paraId="731ABF66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D9DB8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</w:tcPr>
          <w:p w14:paraId="45088AD0" w14:textId="77777777" w:rsidR="000C3759" w:rsidRPr="00A35EE6" w:rsidRDefault="000C3759" w:rsidP="000C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7CCB71" w14:textId="77777777" w:rsidR="00EA72B6" w:rsidRDefault="00EA72B6" w:rsidP="006D1005">
      <w:pPr>
        <w:pStyle w:val="Subtitle"/>
        <w:jc w:val="left"/>
        <w:rPr>
          <w:b w:val="0"/>
          <w:color w:val="414142"/>
          <w:sz w:val="20"/>
          <w:shd w:val="clear" w:color="auto" w:fill="FFFFFF"/>
        </w:rPr>
      </w:pPr>
    </w:p>
    <w:p w14:paraId="20959947" w14:textId="77777777" w:rsidR="006D1005" w:rsidRDefault="006D1005" w:rsidP="006D1005">
      <w:pPr>
        <w:pStyle w:val="Subtitle"/>
        <w:jc w:val="left"/>
        <w:rPr>
          <w:b w:val="0"/>
          <w:color w:val="414142"/>
          <w:sz w:val="20"/>
          <w:shd w:val="clear" w:color="auto" w:fill="FFFFFF"/>
        </w:rPr>
      </w:pPr>
      <w:r w:rsidRPr="004144F0">
        <w:rPr>
          <w:b w:val="0"/>
          <w:color w:val="414142"/>
          <w:sz w:val="20"/>
          <w:shd w:val="clear" w:color="auto" w:fill="FFFFFF"/>
        </w:rPr>
        <w:t>Piezīme. * Aili aizpilda tikai pasākumiem, kas ir attiecināmi uz NATO krīžu reaģēšanas sistēmu.</w:t>
      </w:r>
    </w:p>
    <w:p w14:paraId="2625E993" w14:textId="77777777" w:rsidR="000C3759" w:rsidRPr="002B1692" w:rsidRDefault="000C3759" w:rsidP="002B1692">
      <w:pPr>
        <w:pStyle w:val="Subtitle"/>
        <w:rPr>
          <w:b w:val="0"/>
          <w:color w:val="414142"/>
          <w:sz w:val="20"/>
          <w:shd w:val="clear" w:color="auto" w:fill="FFFFFF"/>
        </w:rPr>
      </w:pPr>
      <w:r>
        <w:rPr>
          <w:b w:val="0"/>
          <w:color w:val="414142"/>
          <w:sz w:val="20"/>
          <w:shd w:val="clear" w:color="auto" w:fill="FFFFFF"/>
        </w:rPr>
        <w:tab/>
        <w:t xml:space="preserve">** Zemessardzes iesaistīšana </w:t>
      </w:r>
      <w:r w:rsidR="002B1692">
        <w:rPr>
          <w:b w:val="0"/>
          <w:color w:val="414142"/>
          <w:sz w:val="20"/>
          <w:shd w:val="clear" w:color="auto" w:fill="FFFFFF"/>
        </w:rPr>
        <w:t xml:space="preserve">tiek īstenota atbilstoši </w:t>
      </w:r>
      <w:r w:rsidR="002B1692" w:rsidRPr="002B1692">
        <w:rPr>
          <w:b w:val="0"/>
          <w:color w:val="414142"/>
          <w:sz w:val="20"/>
          <w:shd w:val="clear" w:color="auto" w:fill="FFFFFF"/>
        </w:rPr>
        <w:t xml:space="preserve">Ministru kabineta </w:t>
      </w:r>
      <w:r w:rsidR="002B1692">
        <w:rPr>
          <w:b w:val="0"/>
          <w:color w:val="414142"/>
          <w:sz w:val="20"/>
          <w:shd w:val="clear" w:color="auto" w:fill="FFFFFF"/>
        </w:rPr>
        <w:t>2010.gada 5.oktobra noteikumos Nr.936 “</w:t>
      </w:r>
      <w:r w:rsidR="002B1692" w:rsidRPr="002B1692">
        <w:rPr>
          <w:b w:val="0"/>
          <w:color w:val="414142"/>
          <w:sz w:val="20"/>
          <w:shd w:val="clear" w:color="auto" w:fill="FFFFFF"/>
        </w:rPr>
        <w:t>Kārtība, kādā Latvijas Republikas Zemessardze sniedz atbalstu valsts un pašvaldību institūcijām likumpārkāpumu novēršanā, sabiedriskās kārtības un drošības garantēšanā</w:t>
      </w:r>
      <w:r w:rsidR="002B1692">
        <w:rPr>
          <w:b w:val="0"/>
          <w:color w:val="414142"/>
          <w:sz w:val="20"/>
          <w:shd w:val="clear" w:color="auto" w:fill="FFFFFF"/>
        </w:rPr>
        <w:t>” noteiktajai kārtībai.</w:t>
      </w:r>
    </w:p>
    <w:p w14:paraId="074B814B" w14:textId="77121902" w:rsidR="002D4644" w:rsidRDefault="002D4644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564E3A" w14:textId="77777777" w:rsidR="002D4644" w:rsidRDefault="002D4644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2" w:name="_GoBack"/>
      <w:bookmarkEnd w:id="2"/>
    </w:p>
    <w:p w14:paraId="76ABE1BA" w14:textId="77777777" w:rsidR="002D4644" w:rsidRDefault="002D4644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FF8159" w14:textId="77777777" w:rsidR="002D4644" w:rsidRPr="00DE283C" w:rsidRDefault="002D4644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3BDBACBF" w14:textId="46850054" w:rsidR="00EA72B6" w:rsidRPr="002D4644" w:rsidRDefault="00EA72B6" w:rsidP="00EA7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lv-LV"/>
        </w:rPr>
      </w:pPr>
    </w:p>
    <w:sectPr w:rsidR="00EA72B6" w:rsidRPr="002D4644" w:rsidSect="002D4644">
      <w:headerReference w:type="default" r:id="rId8"/>
      <w:footerReference w:type="default" r:id="rId9"/>
      <w:footerReference w:type="first" r:id="rId10"/>
      <w:pgSz w:w="16838" w:h="11906" w:orient="landscape"/>
      <w:pgMar w:top="1134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A400A" w14:textId="77777777" w:rsidR="00354499" w:rsidRDefault="00354499" w:rsidP="00E4108D">
      <w:pPr>
        <w:spacing w:after="0" w:line="240" w:lineRule="auto"/>
      </w:pPr>
      <w:r>
        <w:separator/>
      </w:r>
    </w:p>
  </w:endnote>
  <w:endnote w:type="continuationSeparator" w:id="0">
    <w:p w14:paraId="0FE47D40" w14:textId="77777777" w:rsidR="00354499" w:rsidRDefault="00354499" w:rsidP="00E4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14DD" w14:textId="15E5682B" w:rsidR="002D4644" w:rsidRPr="002D4644" w:rsidRDefault="002D4644">
    <w:pPr>
      <w:pStyle w:val="Footer"/>
      <w:rPr>
        <w:rFonts w:ascii="Times New Roman" w:hAnsi="Times New Roman" w:cs="Times New Roman"/>
        <w:sz w:val="16"/>
        <w:szCs w:val="16"/>
      </w:rPr>
    </w:pPr>
    <w:r w:rsidRPr="00DD2655">
      <w:rPr>
        <w:rFonts w:ascii="Times New Roman" w:hAnsi="Times New Roman" w:cs="Times New Roman"/>
        <w:sz w:val="16"/>
        <w:szCs w:val="16"/>
      </w:rPr>
      <w:t>(TA-1189)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50C8" w14:textId="24437940" w:rsidR="002D4644" w:rsidRPr="002D4644" w:rsidRDefault="002D4644">
    <w:pPr>
      <w:pStyle w:val="Footer"/>
      <w:rPr>
        <w:rFonts w:ascii="Times New Roman" w:hAnsi="Times New Roman" w:cs="Times New Roman"/>
        <w:sz w:val="16"/>
        <w:szCs w:val="16"/>
      </w:rPr>
    </w:pPr>
    <w:r w:rsidRPr="00DD2655">
      <w:rPr>
        <w:rFonts w:ascii="Times New Roman" w:hAnsi="Times New Roman" w:cs="Times New Roman"/>
        <w:sz w:val="16"/>
        <w:szCs w:val="16"/>
      </w:rPr>
      <w:t>(TA-1189)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DFA21" w14:textId="77777777" w:rsidR="00354499" w:rsidRDefault="00354499" w:rsidP="00E4108D">
      <w:pPr>
        <w:spacing w:after="0" w:line="240" w:lineRule="auto"/>
      </w:pPr>
      <w:r>
        <w:separator/>
      </w:r>
    </w:p>
  </w:footnote>
  <w:footnote w:type="continuationSeparator" w:id="0">
    <w:p w14:paraId="6A989328" w14:textId="77777777" w:rsidR="00354499" w:rsidRDefault="00354499" w:rsidP="00E4108D">
      <w:pPr>
        <w:spacing w:after="0" w:line="240" w:lineRule="auto"/>
      </w:pPr>
      <w:r>
        <w:continuationSeparator/>
      </w:r>
    </w:p>
  </w:footnote>
  <w:footnote w:id="1">
    <w:p w14:paraId="77941164" w14:textId="77777777" w:rsidR="00E4108D" w:rsidRDefault="00E4108D" w:rsidP="00E4108D">
      <w:pPr>
        <w:pStyle w:val="FootnoteText"/>
      </w:pPr>
      <w:r>
        <w:rPr>
          <w:rStyle w:val="FootnoteReference"/>
        </w:rPr>
        <w:footnoteRef/>
      </w:r>
      <w:bookmarkStart w:id="0" w:name="_Hlk38444426"/>
      <w:bookmarkStart w:id="1" w:name="_Hlk38444427"/>
      <w:r>
        <w:t xml:space="preserve"> Šeit un turpmāk šajā pielikumā paredzētās aktivitātes attiecībā uz iedzīvotāju apgādes plānošanu un palīdzības sniegšanu attiecas arī uz ieslodzītajiem</w:t>
      </w:r>
      <w:bookmarkEnd w:id="0"/>
      <w:bookmarkEnd w:id="1"/>
    </w:p>
    <w:p w14:paraId="066C1262" w14:textId="77777777" w:rsidR="00E4108D" w:rsidRDefault="00E4108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37947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3206148D" w14:textId="77777777" w:rsidR="008C45A4" w:rsidRPr="00EA72B6" w:rsidRDefault="008C45A4" w:rsidP="00EA72B6">
        <w:pPr>
          <w:pStyle w:val="Header"/>
          <w:jc w:val="center"/>
          <w:rPr>
            <w:rFonts w:ascii="Times New Roman" w:hAnsi="Times New Roman"/>
            <w:sz w:val="20"/>
          </w:rPr>
        </w:pPr>
        <w:r w:rsidRPr="00EA72B6">
          <w:rPr>
            <w:rFonts w:ascii="Times New Roman" w:hAnsi="Times New Roman"/>
            <w:sz w:val="20"/>
          </w:rPr>
          <w:fldChar w:fldCharType="begin"/>
        </w:r>
        <w:r w:rsidRPr="00EA72B6">
          <w:rPr>
            <w:rFonts w:ascii="Times New Roman" w:hAnsi="Times New Roman"/>
            <w:sz w:val="20"/>
          </w:rPr>
          <w:instrText>PAGE   \* MERGEFORMAT</w:instrText>
        </w:r>
        <w:r w:rsidRPr="00EA72B6">
          <w:rPr>
            <w:rFonts w:ascii="Times New Roman" w:hAnsi="Times New Roman"/>
            <w:sz w:val="20"/>
          </w:rPr>
          <w:fldChar w:fldCharType="separate"/>
        </w:r>
        <w:r w:rsidR="00EA72B6">
          <w:rPr>
            <w:rFonts w:ascii="Times New Roman" w:hAnsi="Times New Roman"/>
            <w:noProof/>
            <w:sz w:val="20"/>
          </w:rPr>
          <w:t>11</w:t>
        </w:r>
        <w:r w:rsidRPr="00EA72B6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D0ADC"/>
    <w:multiLevelType w:val="multilevel"/>
    <w:tmpl w:val="EB40B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05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394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759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4A69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979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5A9B"/>
    <w:rsid w:val="001B6857"/>
    <w:rsid w:val="001B6A41"/>
    <w:rsid w:val="001B7522"/>
    <w:rsid w:val="001B76A5"/>
    <w:rsid w:val="001C1EDA"/>
    <w:rsid w:val="001C21BD"/>
    <w:rsid w:val="001C40B7"/>
    <w:rsid w:val="001C4788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2C5"/>
    <w:rsid w:val="00210852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5B79"/>
    <w:rsid w:val="002A2B57"/>
    <w:rsid w:val="002A433E"/>
    <w:rsid w:val="002A7BEA"/>
    <w:rsid w:val="002B1692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4644"/>
    <w:rsid w:val="002D6B13"/>
    <w:rsid w:val="002D7044"/>
    <w:rsid w:val="002D782B"/>
    <w:rsid w:val="002E027C"/>
    <w:rsid w:val="002E15F9"/>
    <w:rsid w:val="002E19A6"/>
    <w:rsid w:val="002E1B13"/>
    <w:rsid w:val="002E1CFC"/>
    <w:rsid w:val="002E1E61"/>
    <w:rsid w:val="002E3B59"/>
    <w:rsid w:val="002E4FD5"/>
    <w:rsid w:val="002E6262"/>
    <w:rsid w:val="002E626C"/>
    <w:rsid w:val="002F164C"/>
    <w:rsid w:val="002F2583"/>
    <w:rsid w:val="002F4E2D"/>
    <w:rsid w:val="002F4E78"/>
    <w:rsid w:val="002F76BD"/>
    <w:rsid w:val="00300FA0"/>
    <w:rsid w:val="0030197C"/>
    <w:rsid w:val="00301FD2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47CDA"/>
    <w:rsid w:val="00351200"/>
    <w:rsid w:val="00351C1D"/>
    <w:rsid w:val="00354499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520A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7DC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6F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1005"/>
    <w:rsid w:val="006D29F4"/>
    <w:rsid w:val="006D5ABB"/>
    <w:rsid w:val="006D5B1A"/>
    <w:rsid w:val="006D691E"/>
    <w:rsid w:val="006D6A0F"/>
    <w:rsid w:val="006D6BCF"/>
    <w:rsid w:val="006E08AB"/>
    <w:rsid w:val="006E0E6F"/>
    <w:rsid w:val="006E25BD"/>
    <w:rsid w:val="006E5400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362D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653DC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4E8F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20EF"/>
    <w:rsid w:val="008C3F24"/>
    <w:rsid w:val="008C45A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6885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1C02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D6D89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17A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65B6"/>
    <w:rsid w:val="00E3750E"/>
    <w:rsid w:val="00E4108D"/>
    <w:rsid w:val="00E42233"/>
    <w:rsid w:val="00E4368C"/>
    <w:rsid w:val="00E452E5"/>
    <w:rsid w:val="00E46273"/>
    <w:rsid w:val="00E4655C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AEE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A72B6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C7FED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18E9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445088"/>
  <w15:chartTrackingRefBased/>
  <w15:docId w15:val="{217A7964-0ED4-4026-95E4-3DE4033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1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6D1005"/>
    <w:pPr>
      <w:spacing w:after="0" w:line="240" w:lineRule="auto"/>
      <w:ind w:left="720"/>
      <w:contextualSpacing/>
    </w:pPr>
    <w:rPr>
      <w:rFonts w:ascii="RimTimes" w:eastAsia="Times New Roman" w:hAnsi="RimTimes" w:cs="Times New Roman"/>
      <w:sz w:val="24"/>
      <w:szCs w:val="20"/>
    </w:rPr>
  </w:style>
  <w:style w:type="paragraph" w:styleId="Header">
    <w:name w:val="header"/>
    <w:basedOn w:val="Normal"/>
    <w:link w:val="HeaderChar1"/>
    <w:uiPriority w:val="99"/>
    <w:rsid w:val="006D1005"/>
    <w:pPr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4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6D1005"/>
  </w:style>
  <w:style w:type="character" w:customStyle="1" w:styleId="HeaderChar1">
    <w:name w:val="Header Char1"/>
    <w:basedOn w:val="DefaultParagraphFont"/>
    <w:link w:val="Header"/>
    <w:uiPriority w:val="99"/>
    <w:rsid w:val="006D1005"/>
    <w:rPr>
      <w:rFonts w:ascii="RimTimes" w:eastAsia="Times New Roman" w:hAnsi="RimTime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6D100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6D100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6D1005"/>
    <w:rPr>
      <w:rFonts w:ascii="RimTimes" w:eastAsia="Times New Roman" w:hAnsi="Rim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1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00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0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0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0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108D"/>
    <w:rPr>
      <w:vertAlign w:val="superscript"/>
    </w:rPr>
  </w:style>
  <w:style w:type="paragraph" w:styleId="Footer">
    <w:name w:val="footer"/>
    <w:basedOn w:val="Normal"/>
    <w:link w:val="FooterChar"/>
    <w:unhideWhenUsed/>
    <w:rsid w:val="008C45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45A4"/>
  </w:style>
  <w:style w:type="paragraph" w:customStyle="1" w:styleId="Body">
    <w:name w:val="Body"/>
    <w:rsid w:val="002D464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66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03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229B-9E57-4F5F-A57A-7411322E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1564</Words>
  <Characters>9559</Characters>
  <Application>Microsoft Office Word</Application>
  <DocSecurity>0</DocSecurity>
  <Lines>251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civilās aizsardzības plāna 33.pielikums</dc:title>
  <dc:subject/>
  <dc:creator>Ivars</dc:creator>
  <cp:keywords/>
  <dc:description/>
  <cp:lastModifiedBy>Anna Putane</cp:lastModifiedBy>
  <cp:revision>29</cp:revision>
  <dcterms:created xsi:type="dcterms:W3CDTF">2019-11-03T18:32:00Z</dcterms:created>
  <dcterms:modified xsi:type="dcterms:W3CDTF">2020-07-16T12:51:00Z</dcterms:modified>
</cp:coreProperties>
</file>