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EFE7" w14:textId="77777777" w:rsidR="00500202" w:rsidRDefault="00FD7EFC">
      <w:pPr>
        <w:ind w:firstLine="360"/>
        <w:jc w:val="center"/>
        <w:rPr>
          <w:rFonts w:ascii="Times New Roman" w:eastAsia="Times New Roman" w:hAnsi="Times New Roman"/>
          <w:sz w:val="24"/>
          <w:szCs w:val="24"/>
        </w:rPr>
      </w:pPr>
      <w:r>
        <w:rPr>
          <w:rFonts w:ascii="Times New Roman" w:eastAsia="Times New Roman" w:hAnsi="Times New Roman"/>
          <w:sz w:val="24"/>
          <w:szCs w:val="24"/>
        </w:rPr>
        <w:t>Ministru kabineta rīkojuma projekta</w:t>
      </w:r>
    </w:p>
    <w:p w14:paraId="65192464" w14:textId="77777777" w:rsidR="00500202" w:rsidRDefault="00FD7EFC">
      <w:pPr>
        <w:ind w:firstLine="360"/>
        <w:jc w:val="center"/>
        <w:rPr>
          <w:rFonts w:ascii="Times New Roman" w:eastAsia="Times New Roman" w:hAnsi="Times New Roman"/>
          <w:b/>
          <w:sz w:val="24"/>
          <w:szCs w:val="24"/>
        </w:rPr>
      </w:pPr>
      <w:r>
        <w:rPr>
          <w:rFonts w:ascii="Times New Roman" w:eastAsia="Times New Roman" w:hAnsi="Times New Roman"/>
          <w:b/>
          <w:sz w:val="24"/>
          <w:szCs w:val="24"/>
        </w:rPr>
        <w:t>“Par finansējuma piešķiršanu Ādažu novada domei</w:t>
      </w:r>
      <w:r>
        <w:rPr>
          <w:rStyle w:val="CommentReference"/>
          <w:rFonts w:ascii="Times New Roman" w:eastAsia="Times New Roman" w:hAnsi="Times New Roman"/>
          <w:b/>
          <w:sz w:val="24"/>
          <w:szCs w:val="24"/>
        </w:rPr>
        <w:t>”</w:t>
      </w:r>
    </w:p>
    <w:p w14:paraId="1096085E" w14:textId="77777777" w:rsidR="00500202" w:rsidRDefault="00FD7EFC">
      <w:pPr>
        <w:shd w:val="clear" w:color="000000" w:fill="FFFFFF"/>
        <w:spacing w:line="260" w:lineRule="exact"/>
        <w:jc w:val="center"/>
        <w:rPr>
          <w:rFonts w:ascii="Times New Roman" w:eastAsia="Times New Roman" w:hAnsi="Times New Roman"/>
          <w:sz w:val="24"/>
          <w:szCs w:val="24"/>
        </w:rPr>
      </w:pPr>
      <w:r>
        <w:rPr>
          <w:rFonts w:ascii="Times New Roman" w:eastAsia="Times New Roman" w:hAnsi="Times New Roman"/>
          <w:sz w:val="24"/>
          <w:szCs w:val="24"/>
        </w:rPr>
        <w:t>sākotnējās ietekmes novērtējuma ziņojums (anotācija)</w:t>
      </w:r>
    </w:p>
    <w:p w14:paraId="66CBB12C" w14:textId="77777777" w:rsidR="00500202" w:rsidRDefault="00500202">
      <w:pPr>
        <w:shd w:val="clear" w:color="000000" w:fill="FFFFFF"/>
        <w:spacing w:line="260" w:lineRule="exact"/>
        <w:jc w:val="cente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3256"/>
        <w:gridCol w:w="5805"/>
      </w:tblGrid>
      <w:tr w:rsidR="00500202" w14:paraId="7E9FA827" w14:textId="77777777">
        <w:trPr>
          <w:cantSplit/>
        </w:trPr>
        <w:tc>
          <w:tcPr>
            <w:tcW w:w="9061" w:type="dxa"/>
            <w:gridSpan w:val="2"/>
            <w:shd w:val="clear" w:color="000000" w:fill="FFFFFF"/>
            <w:vAlign w:val="center"/>
          </w:tcPr>
          <w:p w14:paraId="2F58D993"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Tiesību akta projekta anotācijas kopsavilkums</w:t>
            </w:r>
          </w:p>
        </w:tc>
      </w:tr>
      <w:tr w:rsidR="00500202" w14:paraId="0DB8C601" w14:textId="77777777">
        <w:trPr>
          <w:cantSplit/>
        </w:trPr>
        <w:tc>
          <w:tcPr>
            <w:tcW w:w="3256" w:type="dxa"/>
            <w:shd w:val="clear" w:color="000000" w:fill="FFFFFF"/>
          </w:tcPr>
          <w:p w14:paraId="4E02D282"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Mērķis, risinājums un projekta spēkā stāšanās laiks (500 zīmes bez atstarpēm)</w:t>
            </w:r>
          </w:p>
        </w:tc>
        <w:tc>
          <w:tcPr>
            <w:tcW w:w="5805" w:type="dxa"/>
            <w:shd w:val="clear" w:color="000000" w:fill="FFFFFF"/>
          </w:tcPr>
          <w:p w14:paraId="5D52A642" w14:textId="77777777" w:rsidR="00500202" w:rsidRDefault="00FD7EFC">
            <w:pPr>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Ministru kabineta (turpmāk – MK) rīkojuma projekts sagatavots, lai piešķirtu Ādažu novada domei finansējumu pašvaldības infrastruktūras sakārtošanai. </w:t>
            </w:r>
          </w:p>
          <w:p w14:paraId="46C1146F" w14:textId="77777777" w:rsidR="00500202" w:rsidRDefault="00FD7EFC">
            <w:pPr>
              <w:ind w:firstLine="539"/>
              <w:jc w:val="both"/>
              <w:rPr>
                <w:rFonts w:ascii="Times New Roman" w:eastAsia="Times New Roman" w:hAnsi="Times New Roman"/>
                <w:sz w:val="24"/>
                <w:szCs w:val="24"/>
              </w:rPr>
            </w:pPr>
            <w:r>
              <w:rPr>
                <w:rFonts w:ascii="Times New Roman" w:eastAsia="Times New Roman" w:hAnsi="Times New Roman"/>
                <w:sz w:val="24"/>
                <w:szCs w:val="24"/>
              </w:rPr>
              <w:t>Lai uzlabotu piekļuvi Ādažu militārajai bāzei un poligonam, ir paredzēts piešķirt finansējumu Ādažu novada domei pašvaldības autoceļa “Mežaparka ceļš” (zemes vienības kadastra apzīmējums 8044 005 0120) posma no Smilšu ielas līdz Kadagas ceļam pārbūvei līdz 1 000 000 </w:t>
            </w:r>
            <w:r>
              <w:rPr>
                <w:rFonts w:ascii="Times New Roman" w:eastAsia="Times New Roman" w:hAnsi="Times New Roman"/>
                <w:i/>
                <w:sz w:val="24"/>
                <w:szCs w:val="24"/>
              </w:rPr>
              <w:t>euro</w:t>
            </w:r>
            <w:r>
              <w:rPr>
                <w:rFonts w:ascii="Times New Roman" w:eastAsia="Times New Roman" w:hAnsi="Times New Roman"/>
                <w:sz w:val="24"/>
                <w:szCs w:val="24"/>
              </w:rPr>
              <w:t xml:space="preserve"> (finansējuma piešķiršana plānota 2020. un 2021. gadā).</w:t>
            </w:r>
          </w:p>
          <w:p w14:paraId="7839B3B9" w14:textId="77777777" w:rsidR="00500202" w:rsidRDefault="00FD7EFC">
            <w:pPr>
              <w:ind w:firstLine="539"/>
              <w:jc w:val="both"/>
              <w:rPr>
                <w:rFonts w:ascii="Times New Roman" w:eastAsia="Times New Roman" w:hAnsi="Times New Roman"/>
                <w:sz w:val="24"/>
                <w:szCs w:val="24"/>
              </w:rPr>
            </w:pPr>
            <w:r>
              <w:rPr>
                <w:rFonts w:ascii="Times New Roman" w:eastAsia="Times New Roman" w:hAnsi="Times New Roman"/>
                <w:sz w:val="24"/>
                <w:szCs w:val="24"/>
              </w:rPr>
              <w:t>Savukārt, lai nodrošinātu Ādažu novada pašvaldības SIA “Ādažu ūdens” notekūdeņu attīrīšanas iekārtu (turpmāk – NAI) jaudas palielināšanu, ir paredzēts piešķirt finansējumu Ādažu novada domei 300 000 </w:t>
            </w:r>
            <w:r>
              <w:rPr>
                <w:rFonts w:ascii="Times New Roman" w:eastAsia="Times New Roman" w:hAnsi="Times New Roman"/>
                <w:i/>
                <w:sz w:val="24"/>
                <w:szCs w:val="24"/>
              </w:rPr>
              <w:t>euro</w:t>
            </w:r>
            <w:r>
              <w:rPr>
                <w:rFonts w:ascii="Times New Roman" w:eastAsia="Times New Roman" w:hAnsi="Times New Roman"/>
                <w:sz w:val="24"/>
                <w:szCs w:val="24"/>
              </w:rPr>
              <w:t xml:space="preserve"> (finansējuma piešķiršana plānota 2020. gadā izpētei un projektēšanai un 2021. gadā NAI jaudas palielināšanai).</w:t>
            </w:r>
          </w:p>
          <w:p w14:paraId="58B0B266" w14:textId="77777777" w:rsidR="00500202" w:rsidRDefault="00FD7EFC">
            <w:pPr>
              <w:ind w:firstLine="539"/>
              <w:jc w:val="both"/>
              <w:rPr>
                <w:rFonts w:ascii="Times New Roman" w:eastAsia="Times New Roman" w:hAnsi="Times New Roman"/>
                <w:sz w:val="24"/>
                <w:szCs w:val="24"/>
              </w:rPr>
            </w:pPr>
            <w:r>
              <w:rPr>
                <w:rFonts w:ascii="Times New Roman" w:eastAsia="Times New Roman" w:hAnsi="Times New Roman"/>
                <w:sz w:val="24"/>
                <w:szCs w:val="24"/>
              </w:rPr>
              <w:t>MK rīkojums stāsies spēkā tā parakstīšanas brīdī.</w:t>
            </w:r>
          </w:p>
        </w:tc>
      </w:tr>
    </w:tbl>
    <w:p w14:paraId="0490CAC4" w14:textId="77777777" w:rsidR="00500202" w:rsidRDefault="00500202">
      <w:pPr>
        <w:tabs>
          <w:tab w:val="left" w:pos="2442"/>
        </w:tabs>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6"/>
        <w:gridCol w:w="2678"/>
        <w:gridCol w:w="5817"/>
      </w:tblGrid>
      <w:tr w:rsidR="00500202" w14:paraId="682E516B" w14:textId="77777777">
        <w:tc>
          <w:tcPr>
            <w:tcW w:w="9061" w:type="dxa"/>
            <w:gridSpan w:val="3"/>
            <w:vAlign w:val="center"/>
          </w:tcPr>
          <w:p w14:paraId="41BF6FBC"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 Tiesību akta projekta izstrādes nepieciešamība</w:t>
            </w:r>
          </w:p>
        </w:tc>
      </w:tr>
      <w:tr w:rsidR="00500202" w14:paraId="2E9BDCC1" w14:textId="77777777">
        <w:tc>
          <w:tcPr>
            <w:tcW w:w="566" w:type="dxa"/>
            <w:tcBorders>
              <w:bottom w:val="single" w:sz="4" w:space="0" w:color="auto"/>
            </w:tcBorders>
          </w:tcPr>
          <w:p w14:paraId="53F652B5"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78" w:type="dxa"/>
          </w:tcPr>
          <w:p w14:paraId="2BCFC59E"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Pamatojums</w:t>
            </w:r>
          </w:p>
        </w:tc>
        <w:tc>
          <w:tcPr>
            <w:tcW w:w="5817" w:type="dxa"/>
          </w:tcPr>
          <w:p w14:paraId="5CDD0C66" w14:textId="77777777" w:rsidR="00500202" w:rsidRDefault="00FD7EFC">
            <w:pPr>
              <w:ind w:firstLine="548"/>
              <w:jc w:val="both"/>
              <w:rPr>
                <w:rFonts w:ascii="Times New Roman" w:eastAsia="Times New Roman" w:hAnsi="Times New Roman"/>
                <w:sz w:val="24"/>
                <w:szCs w:val="24"/>
              </w:rPr>
            </w:pPr>
            <w:r>
              <w:rPr>
                <w:rFonts w:ascii="Times New Roman" w:eastAsia="Times New Roman" w:hAnsi="Times New Roman"/>
                <w:sz w:val="24"/>
                <w:szCs w:val="24"/>
              </w:rPr>
              <w:t>MK 2003. gada 29. aprīļa noteikumu Nr. 236 “Aizsardzības ministrijas nolikums” 4.4.</w:t>
            </w:r>
            <w:r>
              <w:rPr>
                <w:rFonts w:ascii="Times New Roman" w:eastAsia="Times New Roman" w:hAnsi="Times New Roman"/>
                <w:sz w:val="24"/>
                <w:szCs w:val="24"/>
                <w:vertAlign w:val="superscript"/>
              </w:rPr>
              <w:t>1</w:t>
            </w:r>
            <w:r>
              <w:rPr>
                <w:rFonts w:ascii="Times New Roman" w:eastAsia="Times New Roman" w:hAnsi="Times New Roman"/>
                <w:sz w:val="24"/>
                <w:szCs w:val="24"/>
              </w:rPr>
              <w:t> apakšpunkts.</w:t>
            </w:r>
          </w:p>
          <w:p w14:paraId="27318244" w14:textId="77777777" w:rsidR="00500202" w:rsidRDefault="00FD7EFC">
            <w:pPr>
              <w:ind w:firstLine="548"/>
              <w:jc w:val="both"/>
              <w:rPr>
                <w:rFonts w:ascii="Times New Roman" w:eastAsia="Times New Roman" w:hAnsi="Times New Roman"/>
                <w:sz w:val="24"/>
                <w:szCs w:val="24"/>
              </w:rPr>
            </w:pPr>
            <w:r>
              <w:rPr>
                <w:rFonts w:ascii="Times New Roman" w:eastAsia="Times New Roman" w:hAnsi="Times New Roman"/>
                <w:sz w:val="24"/>
                <w:szCs w:val="24"/>
              </w:rPr>
              <w:t>Ādažu militārais poligons ir Latvijā lielākais mācību poligons, kuru intensīvi izmanto gan Nacionālie bruņotie spēki, gan Latvijas teritorijā izvietotie sabiedroto spēki, tādēļ  ir būtiski uzlabot poligona pievedceļu tehnisko stāvokli. Viens no pievedceļiem ir pašvaldības autoceļš “Mežaparka ceļš”, kas nodrošina piekļuvi Ādažu militārās bāzes un poligona centrālajam kontroles un caurlaides punktam. Ņemot vērā Ādažu novada pašvaldības autoceļa “Mežaparka ceļš” neapmierinošo tehnisko stāvokli, ir nepieciešams veikt autoceļa pārbūvi posmā no Smilšu ielas līdz Kadagas ceļam.</w:t>
            </w:r>
          </w:p>
          <w:p w14:paraId="315F430B" w14:textId="77777777" w:rsidR="00500202" w:rsidRDefault="00FD7EFC">
            <w:pPr>
              <w:ind w:firstLine="548"/>
              <w:jc w:val="both"/>
              <w:rPr>
                <w:rFonts w:ascii="Times New Roman" w:eastAsia="Times New Roman" w:hAnsi="Times New Roman"/>
                <w:sz w:val="24"/>
                <w:szCs w:val="24"/>
              </w:rPr>
            </w:pPr>
            <w:r>
              <w:rPr>
                <w:rFonts w:ascii="Times New Roman" w:eastAsia="Times New Roman" w:hAnsi="Times New Roman"/>
                <w:sz w:val="24"/>
                <w:szCs w:val="24"/>
              </w:rPr>
              <w:t>Ņemot vērā Ādažu militārās bāzes un poligona attīstību, plānoto nacionālo un starptautisko mācību norises biežumu, kā arī kopumā ņemot vērā Ādažu novada pašvaldības attīstību (dzīvojamais sektors, rūpnieciskie projekti), ir palielinājusies un turpina palielināties sabiedrības ar ierobežotu atbildību (turpmāk – SIA) “Ādažu ūdens” NAI noslodze. Lai nodrošinātu notekūdeņu attīrīšanu atbilstošā kvalitātē, ir nepieciešams palielināt NAI jaudu.</w:t>
            </w:r>
          </w:p>
        </w:tc>
      </w:tr>
      <w:tr w:rsidR="00500202" w14:paraId="78BD0154" w14:textId="77777777">
        <w:tc>
          <w:tcPr>
            <w:tcW w:w="566" w:type="dxa"/>
            <w:tcBorders>
              <w:top w:val="single" w:sz="4" w:space="0" w:color="auto"/>
              <w:left w:val="single" w:sz="4" w:space="0" w:color="auto"/>
              <w:bottom w:val="nil"/>
              <w:right w:val="single" w:sz="4" w:space="0" w:color="auto"/>
            </w:tcBorders>
          </w:tcPr>
          <w:p w14:paraId="2C70B733"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2678" w:type="dxa"/>
            <w:vMerge w:val="restart"/>
            <w:tcBorders>
              <w:left w:val="single" w:sz="4" w:space="0" w:color="auto"/>
            </w:tcBorders>
          </w:tcPr>
          <w:p w14:paraId="7B30E642"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Pašreizējā situācija un problēmas, kuru risināšanai tiesību akta projekts izstrādāts, tiesiskā regulējuma mērķis un būtība</w:t>
            </w:r>
          </w:p>
          <w:p w14:paraId="1DFE5DCD" w14:textId="77777777" w:rsidR="00500202" w:rsidRDefault="00500202">
            <w:pPr>
              <w:spacing w:after="160" w:line="259" w:lineRule="auto"/>
              <w:rPr>
                <w:rFonts w:ascii="Times New Roman" w:eastAsia="Times New Roman" w:hAnsi="Times New Roman"/>
                <w:sz w:val="24"/>
                <w:szCs w:val="24"/>
              </w:rPr>
            </w:pPr>
          </w:p>
          <w:p w14:paraId="426143A2" w14:textId="77777777" w:rsidR="00500202" w:rsidRDefault="00500202">
            <w:pPr>
              <w:spacing w:after="160" w:line="259" w:lineRule="auto"/>
              <w:rPr>
                <w:rFonts w:ascii="Times New Roman" w:eastAsia="Times New Roman" w:hAnsi="Times New Roman"/>
                <w:sz w:val="24"/>
                <w:szCs w:val="24"/>
              </w:rPr>
            </w:pPr>
          </w:p>
          <w:p w14:paraId="286C869A" w14:textId="77777777" w:rsidR="00500202" w:rsidRDefault="00500202">
            <w:pPr>
              <w:spacing w:after="160" w:line="259" w:lineRule="auto"/>
              <w:rPr>
                <w:rFonts w:ascii="Times New Roman" w:eastAsia="Times New Roman" w:hAnsi="Times New Roman"/>
                <w:sz w:val="24"/>
                <w:szCs w:val="24"/>
              </w:rPr>
            </w:pPr>
          </w:p>
          <w:p w14:paraId="6674993C" w14:textId="77777777" w:rsidR="00500202" w:rsidRDefault="00500202">
            <w:pPr>
              <w:spacing w:after="160" w:line="259" w:lineRule="auto"/>
              <w:rPr>
                <w:rFonts w:ascii="Times New Roman" w:eastAsia="Times New Roman" w:hAnsi="Times New Roman"/>
                <w:sz w:val="24"/>
                <w:szCs w:val="24"/>
              </w:rPr>
            </w:pPr>
          </w:p>
          <w:p w14:paraId="22278417" w14:textId="77777777" w:rsidR="00500202" w:rsidRDefault="00500202">
            <w:pPr>
              <w:spacing w:after="160" w:line="259" w:lineRule="auto"/>
              <w:rPr>
                <w:rFonts w:ascii="Times New Roman" w:eastAsia="Times New Roman" w:hAnsi="Times New Roman"/>
                <w:sz w:val="24"/>
                <w:szCs w:val="24"/>
              </w:rPr>
            </w:pPr>
          </w:p>
          <w:p w14:paraId="61033268" w14:textId="77777777" w:rsidR="00500202" w:rsidRDefault="00500202">
            <w:pPr>
              <w:spacing w:after="160" w:line="259" w:lineRule="auto"/>
              <w:rPr>
                <w:rFonts w:ascii="Times New Roman" w:eastAsia="Times New Roman" w:hAnsi="Times New Roman"/>
                <w:sz w:val="24"/>
                <w:szCs w:val="24"/>
              </w:rPr>
            </w:pPr>
          </w:p>
          <w:p w14:paraId="52B1A7A2" w14:textId="77777777" w:rsidR="00500202" w:rsidRDefault="00500202">
            <w:pPr>
              <w:tabs>
                <w:tab w:val="left" w:pos="739"/>
              </w:tabs>
              <w:spacing w:after="160" w:line="259" w:lineRule="auto"/>
              <w:rPr>
                <w:rFonts w:ascii="Times New Roman" w:eastAsia="Times New Roman" w:hAnsi="Times New Roman"/>
                <w:sz w:val="24"/>
                <w:szCs w:val="24"/>
              </w:rPr>
            </w:pPr>
          </w:p>
          <w:p w14:paraId="0478C241" w14:textId="77777777" w:rsidR="00500202" w:rsidRDefault="00500202">
            <w:pPr>
              <w:spacing w:after="160" w:line="259" w:lineRule="auto"/>
              <w:rPr>
                <w:rFonts w:ascii="Times New Roman" w:eastAsia="Times New Roman" w:hAnsi="Times New Roman"/>
                <w:sz w:val="24"/>
                <w:szCs w:val="24"/>
              </w:rPr>
            </w:pPr>
          </w:p>
          <w:p w14:paraId="27C0E745" w14:textId="77777777" w:rsidR="00500202" w:rsidRDefault="00500202">
            <w:pPr>
              <w:spacing w:after="160" w:line="259" w:lineRule="auto"/>
              <w:rPr>
                <w:rFonts w:ascii="Times New Roman" w:eastAsia="Times New Roman" w:hAnsi="Times New Roman"/>
                <w:sz w:val="24"/>
                <w:szCs w:val="24"/>
              </w:rPr>
            </w:pPr>
          </w:p>
          <w:p w14:paraId="2E7509A0" w14:textId="77777777" w:rsidR="00500202" w:rsidRDefault="00500202">
            <w:pPr>
              <w:spacing w:after="160" w:line="259" w:lineRule="auto"/>
              <w:rPr>
                <w:rFonts w:ascii="Times New Roman" w:eastAsia="Times New Roman" w:hAnsi="Times New Roman"/>
                <w:sz w:val="24"/>
                <w:szCs w:val="24"/>
              </w:rPr>
            </w:pPr>
          </w:p>
          <w:p w14:paraId="5AFF0482" w14:textId="77777777" w:rsidR="00500202" w:rsidRDefault="00500202">
            <w:pPr>
              <w:spacing w:after="160" w:line="259" w:lineRule="auto"/>
              <w:rPr>
                <w:rFonts w:ascii="Times New Roman" w:eastAsia="Times New Roman" w:hAnsi="Times New Roman"/>
                <w:sz w:val="24"/>
                <w:szCs w:val="24"/>
              </w:rPr>
            </w:pPr>
          </w:p>
          <w:p w14:paraId="045CD0B6" w14:textId="77777777" w:rsidR="00500202" w:rsidRDefault="00500202">
            <w:pPr>
              <w:spacing w:after="160" w:line="259" w:lineRule="auto"/>
              <w:rPr>
                <w:rFonts w:ascii="Times New Roman" w:eastAsia="Times New Roman" w:hAnsi="Times New Roman"/>
                <w:sz w:val="24"/>
                <w:szCs w:val="24"/>
              </w:rPr>
            </w:pPr>
          </w:p>
          <w:p w14:paraId="77BF95A7" w14:textId="77777777" w:rsidR="00500202" w:rsidRDefault="00500202">
            <w:pPr>
              <w:spacing w:after="160" w:line="259" w:lineRule="auto"/>
              <w:rPr>
                <w:rFonts w:ascii="Times New Roman" w:eastAsia="Times New Roman" w:hAnsi="Times New Roman"/>
                <w:sz w:val="24"/>
                <w:szCs w:val="24"/>
              </w:rPr>
            </w:pPr>
          </w:p>
          <w:p w14:paraId="0BDD2913" w14:textId="77777777" w:rsidR="00500202" w:rsidRDefault="00500202">
            <w:pPr>
              <w:tabs>
                <w:tab w:val="left" w:pos="634"/>
              </w:tabs>
              <w:spacing w:after="160" w:line="259" w:lineRule="auto"/>
              <w:ind w:firstLine="720"/>
              <w:rPr>
                <w:rFonts w:ascii="Times New Roman" w:eastAsia="Times New Roman" w:hAnsi="Times New Roman"/>
                <w:sz w:val="24"/>
                <w:szCs w:val="24"/>
              </w:rPr>
            </w:pPr>
          </w:p>
          <w:p w14:paraId="3E7D65B1" w14:textId="77777777" w:rsidR="00500202" w:rsidRDefault="00500202">
            <w:pPr>
              <w:spacing w:after="160" w:line="259" w:lineRule="auto"/>
              <w:rPr>
                <w:rFonts w:ascii="Times New Roman" w:eastAsia="Times New Roman" w:hAnsi="Times New Roman"/>
                <w:sz w:val="24"/>
                <w:szCs w:val="24"/>
              </w:rPr>
            </w:pPr>
          </w:p>
        </w:tc>
        <w:tc>
          <w:tcPr>
            <w:tcW w:w="5817" w:type="dxa"/>
            <w:vMerge w:val="restart"/>
          </w:tcPr>
          <w:p w14:paraId="6BB2FC15"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Ādažu militārā poligona dienvidu, dienvidrietumu daļā piekļuvi Ādažu militārajai bāzei un poligonam nodrošina Ādažu novada pašvaldības ceļi: “Kadagas ceļš”, “Mežaparka ceļš”, “Iļķenes ceļš” un “Vecštāles ceļš”.</w:t>
            </w:r>
          </w:p>
          <w:p w14:paraId="4C7DA817" w14:textId="77777777" w:rsidR="00500202" w:rsidRPr="00A74585" w:rsidRDefault="00FD7EFC" w:rsidP="00A74585">
            <w:pPr>
              <w:pStyle w:val="ListParagraph"/>
              <w:tabs>
                <w:tab w:val="left" w:pos="0"/>
              </w:tabs>
              <w:ind w:left="0" w:firstLine="548"/>
              <w:contextualSpacing/>
              <w:jc w:val="both"/>
              <w:rPr>
                <w:rFonts w:ascii="Times New Roman" w:eastAsia="Arial" w:hAnsi="Times New Roman"/>
                <w:sz w:val="24"/>
                <w:szCs w:val="24"/>
              </w:rPr>
            </w:pPr>
            <w:r>
              <w:rPr>
                <w:rFonts w:ascii="Times New Roman" w:eastAsia="Times New Roman" w:hAnsi="Times New Roman"/>
                <w:sz w:val="24"/>
                <w:szCs w:val="24"/>
              </w:rPr>
              <w:t>Ņemot vērā, ka tiek turpināts attīstīt Ādažu militāro bāzi un poligonu, ir būtiski sakārtot pievedceļus atbilstošā tehniskā stāvoklī.</w:t>
            </w:r>
          </w:p>
          <w:p w14:paraId="0BA65AF1"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MK rīkojuma projekta sagatavošanas laikā ir uzsāktas darbības autoceļa “Vecštāles ceļš” pārbūvei – tiek izstrādāts minētā autoceļa pārbūves būvprojekts posmā no krustojuma ar Kadagas ceļu līdz Iļ</w:t>
            </w:r>
            <w:bookmarkStart w:id="0" w:name="_GoBack"/>
            <w:bookmarkEnd w:id="0"/>
            <w:r>
              <w:rPr>
                <w:rFonts w:ascii="Times New Roman" w:eastAsia="Times New Roman" w:hAnsi="Times New Roman"/>
                <w:sz w:val="24"/>
                <w:szCs w:val="24"/>
              </w:rPr>
              <w:t>ķenes ceļam. Pasūtītājs būvprojekta izstrādei ir Ādažu novada pašvaldība, savukārt finansējums būvprojekta izstrādei atbilstoši MK 2019. gada 17. jūlija rīkojumam Nr. 350 “Par finansējuma piešķiršanu Ādažu novada domei Vecštāles ceļa seguma pārbūves būvprojekta izstrādei” tika piešķirts no Aizsardzības ministrijas budžeta līdzekļiem.</w:t>
            </w:r>
          </w:p>
          <w:p w14:paraId="07FB8833"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Saistībā ar autoceļu “Mežaparka ceļš” un “Iļķenes ceļš” sakārtošanu atbilstošā tehniskā stāvoklī Ādažu novada pašvaldība ir veikusi publisko iepirkumu par būvprojekta izstrādi minēto autoceļu pārbūvei un ir izstrādāts būvprojekts “Iļķenes ceļa un Mežaparka ceļa pārbūve Kadagas ciemā, Ādažu novadā”.</w:t>
            </w:r>
          </w:p>
          <w:p w14:paraId="57A4CC4A"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Ādažu novada pašvaldības autoceļa “Mežaparka ceļš” (nekustamā īpašuma kadastra Nr. 8044 005 0120; nekustamais īpašums sastāv no divām zemes vienībām: zemes vienība ar kadastra apzīmējumu 8044 005 0120 un zemes vienība ar kadastra apzīmējumu 8044 002 0287) kopējais autoceļa garums ir 3,7 km. Tas ir publisks ceļš, bez ierobežojumiem pa to pārvietoties.</w:t>
            </w:r>
          </w:p>
          <w:p w14:paraId="683E22D3"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Ņemot vērā, ka autoceļa “Mežaparka ceļš” (zemes vienības kadastra apzīmējums 8044 005 0120) posms no Smilšu ielas līdz Kadagas ceļam 1,568 km garumā nodrošina piekļuvi Ādažu militārās bāzes un poligona centrālajam kontroles un caurlaides punktam no Kadagas ceļa puses, Aizsardzības ministrijas interesēs ir sakārtot autoceļa “Mežaparka ceļš” posmu no Smilšu ielas līdz Kadagas ceļam atbilstošā tehniskā stāvoklī. Papildus - autoceļu “Mežaparka ceļš” intensīvi izmanto vietējie iedzīvotāji, lai piekļūtu saviem īpašumiem, kā arī pa minēto autoceļu tiek nodrošināta sabiedriskā transporta kustība.</w:t>
            </w:r>
          </w:p>
          <w:p w14:paraId="32CAE0BB"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Esošajam autoceļam “Mežaparka ceļš” ir asfaltbetona segums, tā platums svārstās no 4,5 m līdz 7 m platumam. Šķembu nomale ir vidēji 0,5 m platumā. Laika gaitā transporta slodzes un atmosfēras nokrišņu ietekmē brauktuves segumā ir izveidojušās bedres, plaisas, izdrupumi un iesēdumi, kas pasliktina pārvietošanās kvalitāti. Ūdens atvade risināta kā vaļēja tipa, ūdeni novadot uz blakus esošajām teritorijām, taču tā ir apgrūtināta, jo brauktuve ir vienā līmenī ar apkārtējo teritoriju, vai arī brauktuves malās ir izveidojušies apaugumi, kas kavē ūdens atvadi no ceļa brauktuves. Turklāt uz autoceļa nav nodrošināta droša gājēju un velosipēdistu pārvietošanās.</w:t>
            </w:r>
          </w:p>
          <w:p w14:paraId="2C1C24E0"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Atbilstoši būvprojektam</w:t>
            </w:r>
            <w:r>
              <w:t xml:space="preserve"> </w:t>
            </w:r>
            <w:r>
              <w:rPr>
                <w:rFonts w:ascii="Times New Roman" w:eastAsia="Times New Roman" w:hAnsi="Times New Roman"/>
                <w:sz w:val="24"/>
                <w:szCs w:val="24"/>
              </w:rPr>
              <w:t>autoceļa “Mežaparka ceļš” posmā no Smilšu ielas līdz Kadagas ceļam ir nepieciešams veikt ceļa seguma pārbūvi, nodrošinot nemainīgu brauktuves platumu un izveidojot/uzlabojot ūdens novadīšanas sistēmu, kā arī ir paredzēts ierīkot apvienoto gājēju un velosipēdistu celiņu, veikt apgaismojuma tīklu izbūvi u.c. darbības autoceļa seguma sakārtošanai.</w:t>
            </w:r>
          </w:p>
          <w:p w14:paraId="4EBF6F07"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Saskaņojot ar Ādažu novada pašvaldību darbu apjomus, kuru finansēšanā piedalīsies Aizsardzības ministrija, Aizsardzības ministrija ir pieņēmusi lēmumu nepiedalīties autoceļa “Mežaparka ceļš” ūdensapgādes tīklu izbūves, saimnieciskās spiedvada kanalizācijas tīklu izbūves un saimnieciskās kanalizācijas tīklu izbūves finansēšanā.</w:t>
            </w:r>
          </w:p>
          <w:p w14:paraId="21134E97"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Atbilstoši izstrādātajam būvprojektam “Iļķenes ceļa un Mežaparka ceļa pārbūve Kadagas ciemā, Ādažu novadā” ir novērtēts, ka autoceļa “Mežaparka ceļš” posma no Smilšu ielas līdz Kadagas ceļam pārbūves izmaksas varētu pārsniegt 1 000 000 </w:t>
            </w:r>
            <w:r>
              <w:rPr>
                <w:rFonts w:ascii="Times New Roman" w:eastAsia="Times New Roman" w:hAnsi="Times New Roman"/>
                <w:i/>
                <w:sz w:val="24"/>
                <w:szCs w:val="24"/>
              </w:rPr>
              <w:t>euro</w:t>
            </w:r>
            <w:r>
              <w:rPr>
                <w:rFonts w:ascii="Times New Roman" w:eastAsia="Times New Roman" w:hAnsi="Times New Roman"/>
                <w:sz w:val="24"/>
                <w:szCs w:val="24"/>
              </w:rPr>
              <w:t>.</w:t>
            </w:r>
          </w:p>
          <w:p w14:paraId="7CBAB1AC"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Balstoties uz būvprojektā “Iļķenes ceļa un Mežaparka ceļa pārbūve Kadagas ciemā, Ādažu novadā” sniegto izmaksu novērtējumu, Aizsardzības ministrija paredz nepieciešamo finansējumu pārbūves darbu veikšanai autoceļa “Mežaparka ceļš” posmā no Smilšu ielas līdz Kadagas ceļam piešķirt pēc pārbūves darbu iepirkuma veikšanas divu gadu periodā kopā ne vairāk kā 1 000 000 </w:t>
            </w:r>
            <w:r>
              <w:rPr>
                <w:rFonts w:ascii="Times New Roman" w:eastAsia="Times New Roman" w:hAnsi="Times New Roman"/>
                <w:i/>
                <w:sz w:val="24"/>
                <w:szCs w:val="24"/>
              </w:rPr>
              <w:t>euro</w:t>
            </w:r>
            <w:r>
              <w:rPr>
                <w:rFonts w:ascii="Times New Roman" w:eastAsia="Times New Roman" w:hAnsi="Times New Roman"/>
                <w:sz w:val="24"/>
                <w:szCs w:val="24"/>
              </w:rPr>
              <w:t xml:space="preserve"> apmērā – 2020. gadā piešķirot 500 000 </w:t>
            </w:r>
            <w:r>
              <w:rPr>
                <w:rFonts w:ascii="Times New Roman" w:eastAsia="Times New Roman" w:hAnsi="Times New Roman"/>
                <w:i/>
                <w:sz w:val="24"/>
                <w:szCs w:val="24"/>
              </w:rPr>
              <w:t>euro</w:t>
            </w:r>
            <w:r>
              <w:rPr>
                <w:rFonts w:ascii="Times New Roman" w:eastAsia="Times New Roman" w:hAnsi="Times New Roman"/>
                <w:sz w:val="24"/>
                <w:szCs w:val="24"/>
              </w:rPr>
              <w:t xml:space="preserve"> un 2021. gadā piešķirot pārējo nepieciešamo finansējumu atbilstoši pārbūves darbu iepirkuma rezultātiem, bet ne vairāk kā 500 000 </w:t>
            </w:r>
            <w:r>
              <w:rPr>
                <w:rFonts w:ascii="Times New Roman" w:eastAsia="Times New Roman" w:hAnsi="Times New Roman"/>
                <w:i/>
                <w:sz w:val="24"/>
                <w:szCs w:val="24"/>
              </w:rPr>
              <w:t>euro</w:t>
            </w:r>
            <w:r>
              <w:rPr>
                <w:rFonts w:ascii="Times New Roman" w:eastAsia="Times New Roman" w:hAnsi="Times New Roman"/>
                <w:sz w:val="24"/>
                <w:szCs w:val="24"/>
              </w:rPr>
              <w:t>.</w:t>
            </w:r>
          </w:p>
          <w:p w14:paraId="213F03E1" w14:textId="77777777" w:rsidR="00500202" w:rsidRDefault="00500202">
            <w:pPr>
              <w:pStyle w:val="ListParagraph"/>
              <w:tabs>
                <w:tab w:val="left" w:pos="0"/>
              </w:tabs>
              <w:ind w:left="0" w:firstLine="548"/>
              <w:contextualSpacing/>
              <w:jc w:val="both"/>
              <w:rPr>
                <w:rFonts w:ascii="Times New Roman" w:eastAsia="Times New Roman" w:hAnsi="Times New Roman"/>
                <w:sz w:val="24"/>
                <w:szCs w:val="24"/>
              </w:rPr>
            </w:pPr>
          </w:p>
          <w:p w14:paraId="098493E7"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Ņemot vērā Ādažu militārās bāzes un poligona attīstību, profesionālā dienesta karavīru skaita pieaugumu un militāro mācību norises biežumu, kopš 2017. gada ir palielinājusies notekūdeņu plūsma no Ādažu militārās bāzes un poligona. Papildus arī Ādažu novadā ir vērojama iedzīvotāju skaita palielināšanās un rūpniecisko projektu plānošana un/vai projektēšana, kas palielina notekūdeņu plūsmu.</w:t>
            </w:r>
          </w:p>
          <w:p w14:paraId="3E2AAB22"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SIA “Ādažu ūdens” piederošo NAI atrodas trīs aerotenku bloki, kuru kopējā notekūdeņu attīrīšanas kapacitāte sasniedz 2 250 m</w:t>
            </w:r>
            <w:r>
              <w:rPr>
                <w:rFonts w:ascii="Times New Roman" w:eastAsia="Times New Roman" w:hAnsi="Times New Roman"/>
                <w:sz w:val="24"/>
                <w:szCs w:val="24"/>
                <w:vertAlign w:val="superscript"/>
              </w:rPr>
              <w:t>3</w:t>
            </w:r>
            <w:r>
              <w:rPr>
                <w:rFonts w:ascii="Times New Roman" w:eastAsia="Times New Roman" w:hAnsi="Times New Roman"/>
                <w:sz w:val="24"/>
                <w:szCs w:val="24"/>
              </w:rPr>
              <w:t>/diennaktī jeb 821 tūkst.m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gadā. Augstu slodžu laikā 2019. gadā šī kapacitāte vismaz 20 reizes gada griezumā ir tikusi izmantota līdz 98%. Turpinot palielināties notekūdeņu plūsmām, pastāv augsts risks, ka noteiktās dienās NAI nespēs attīrīt notekūdeņus atbilstošā kvalitātē, tādejādi būtiski paaugstinot riskus, kas ir saistīti ar nepietiekami attīrītu notekūdeņu nonākšanu apkārtējā vidē. Papildus ir nepieciešams risināt jautājumu par deponējamo dūņu apjoma pieaugumu. Šobrīd dūņas tiek nodotas kompostēšanai, tomēr tā kā dūņās vai no tām radītajā kompostā joprojām ir iespējama dažādu gaistošo aromātisko ogļūdeņražu un patogēnu klātbūtne, plaša šī materiāla tālāka aizmantošana ir apgrūtināta.</w:t>
            </w:r>
          </w:p>
          <w:p w14:paraId="05F40342"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Sākotnēji 2015. gadā tika plānots, ka tuvākajos gados notekūdeņu plūsma no Ādažu militārās bāzes uz SIA “Ādažu ūdens” NAI būs no 215 līdz 230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diennaktī ar maksimālajām slodzēm diennakts griezumā līdz 430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kas veido 57,3% no viena NAI aerotenka notekūdeņu attīrīšanas kapacitātes. Ņemot vērā šos aprēķinus, atbilstoši 2016. gada 14. novembra MK rīkojumam Nr. 674 “Par līdzfinansējuma </w:t>
            </w:r>
            <w:r>
              <w:rPr>
                <w:rFonts w:ascii="Times New Roman" w:eastAsia="Times New Roman" w:hAnsi="Times New Roman"/>
                <w:sz w:val="24"/>
                <w:szCs w:val="24"/>
              </w:rPr>
              <w:lastRenderedPageBreak/>
              <w:t>piešķiršanu Ādažu novada domei”, lai nodrošinātu SIA “Ādažu ūdens” NAI trešā aerotenka izbūvi, Aizsardzības ministrija piešķīra Ādažu novada domei 652 074 </w:t>
            </w:r>
            <w:r>
              <w:rPr>
                <w:rFonts w:ascii="Times New Roman" w:eastAsia="Times New Roman" w:hAnsi="Times New Roman"/>
                <w:i/>
                <w:sz w:val="24"/>
                <w:szCs w:val="24"/>
              </w:rPr>
              <w:t>euro</w:t>
            </w:r>
            <w:r>
              <w:rPr>
                <w:rFonts w:ascii="Times New Roman" w:eastAsia="Times New Roman" w:hAnsi="Times New Roman"/>
                <w:sz w:val="24"/>
                <w:szCs w:val="24"/>
              </w:rPr>
              <w:t xml:space="preserve">. </w:t>
            </w:r>
          </w:p>
          <w:p w14:paraId="7D2DAE86"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Tomēr ņemot vērā Ādažu militārās bāzes attīstību, kas ir notikusi pēdējo gadu laikā, un notiekošo militāro mācību skaitu, ir vērojams notekūdeņu plūsmas pieaugums no Ādažu militārās bāzes – laika posmā no 2018. gada janvāra līdz 2020. gada maijam notekūdeņu plūsma pretstatā sākotnēji plānotajam bija 294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diennaktī, maksimālo slodzi (430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sasniedzot vairākas reizes mēnesī, atsevišķās dienās pat pārsniedzot maksimālo slodzi. Ņemot vērā līdz 2023. gadam plānoto Ādažu militārās bāzes un poligona infrastruktūras attīstību, karavīru skaita pieaugumu un militāro mācību skaitu, tiek plānots, ka notekūdeņu plūsma no Ādažu militārās bāzes </w:t>
            </w:r>
            <w:r w:rsidR="00066305">
              <w:rPr>
                <w:rFonts w:ascii="Times New Roman" w:eastAsia="Times New Roman" w:hAnsi="Times New Roman"/>
                <w:sz w:val="24"/>
                <w:szCs w:val="24"/>
              </w:rPr>
              <w:t>palielināsies</w:t>
            </w:r>
            <w:r>
              <w:rPr>
                <w:rFonts w:ascii="Times New Roman" w:eastAsia="Times New Roman" w:hAnsi="Times New Roman"/>
                <w:sz w:val="24"/>
                <w:szCs w:val="24"/>
              </w:rPr>
              <w:t>.</w:t>
            </w:r>
          </w:p>
          <w:p w14:paraId="5C8D49AF" w14:textId="77777777" w:rsidR="00500202" w:rsidRDefault="00066305">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Potenciālās izmaksas </w:t>
            </w:r>
            <w:r w:rsidR="00FD7EFC">
              <w:rPr>
                <w:rFonts w:ascii="Times New Roman" w:eastAsia="Times New Roman" w:hAnsi="Times New Roman"/>
                <w:sz w:val="24"/>
                <w:szCs w:val="24"/>
              </w:rPr>
              <w:t>NAI jaudas pa</w:t>
            </w:r>
            <w:r>
              <w:rPr>
                <w:rFonts w:ascii="Times New Roman" w:eastAsia="Times New Roman" w:hAnsi="Times New Roman"/>
                <w:sz w:val="24"/>
                <w:szCs w:val="24"/>
              </w:rPr>
              <w:t>lielināšanai</w:t>
            </w:r>
            <w:r w:rsidR="00FD7EFC">
              <w:rPr>
                <w:rFonts w:ascii="Times New Roman" w:eastAsia="Times New Roman" w:hAnsi="Times New Roman"/>
                <w:sz w:val="24"/>
                <w:szCs w:val="24"/>
              </w:rPr>
              <w:t xml:space="preserve">, nepalielinot aerācijas baseinus un elektroenerģijas patēriņu, t. sk. dūņu daudzuma samazināšanai </w:t>
            </w:r>
            <w:r>
              <w:rPr>
                <w:rFonts w:ascii="Times New Roman" w:eastAsia="Times New Roman" w:hAnsi="Times New Roman"/>
                <w:sz w:val="24"/>
                <w:szCs w:val="24"/>
              </w:rPr>
              <w:t>būs zināmas pēc projekta izstrādes</w:t>
            </w:r>
            <w:r w:rsidR="00FD7EFC">
              <w:rPr>
                <w:rFonts w:ascii="Times New Roman" w:eastAsia="Times New Roman" w:hAnsi="Times New Roman"/>
                <w:sz w:val="24"/>
                <w:szCs w:val="24"/>
              </w:rPr>
              <w:t>.</w:t>
            </w:r>
          </w:p>
          <w:p w14:paraId="335093EB"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2020. gada 16. jūnijā SIA “Ādažu ūdens” izsludināja iepirkumu “Notekūdeņu attīrīšanas ietaišu Ādažos, Ādažu novadā jaudas palielināšanas izpēte un projektēšana”. Ir pieņemts SIA “Ādažu ūdens” iepirkumu komisijas lēmums – piešķirt līguma slēgšanas tiesības par kopējo līguma summu 64 800 </w:t>
            </w:r>
            <w:r>
              <w:rPr>
                <w:rFonts w:ascii="Times New Roman" w:eastAsia="Times New Roman" w:hAnsi="Times New Roman"/>
                <w:i/>
                <w:sz w:val="24"/>
                <w:szCs w:val="24"/>
              </w:rPr>
              <w:t>euro</w:t>
            </w:r>
            <w:r>
              <w:rPr>
                <w:rFonts w:ascii="Times New Roman" w:eastAsia="Times New Roman" w:hAnsi="Times New Roman"/>
                <w:sz w:val="24"/>
                <w:szCs w:val="24"/>
              </w:rPr>
              <w:t xml:space="preserve"> bez PVN. Attiecīgi izpētes un projektēšanas darbu kopējā summa ir 78 408 </w:t>
            </w:r>
            <w:r>
              <w:rPr>
                <w:rFonts w:ascii="Times New Roman" w:eastAsia="Times New Roman" w:hAnsi="Times New Roman"/>
                <w:i/>
                <w:sz w:val="24"/>
                <w:szCs w:val="24"/>
              </w:rPr>
              <w:t>euro</w:t>
            </w:r>
            <w:r>
              <w:rPr>
                <w:rFonts w:ascii="Times New Roman" w:eastAsia="Times New Roman" w:hAnsi="Times New Roman"/>
                <w:sz w:val="24"/>
                <w:szCs w:val="24"/>
              </w:rPr>
              <w:t xml:space="preserve"> ar PVN. Pēc izpētes un projektēšanas darbu pabeigšanas tiks izsludināts iepirkums NAI jaudas palielināšanas darbu veikšanai.</w:t>
            </w:r>
          </w:p>
          <w:p w14:paraId="354773F1"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Tā kā notekūdeņu apjoma pieaugums Ādažu novada pašvaldībā tiek plānots arī Ādažu militārās bāzes attīstības rezultātā, kā arī ņemot vērā Aizsardzības ministrijai pieejamos finanšu līdzekļus infrastruktūras attīstībai, Aizsardzības ministrija ir vienojusies ar Ādažu novada domi, ka SIA “Ādažu ūdens” NAI jaudas palielināšanai no Aizsardzības ministrijas budžeta tiek piešķirti 300 000 </w:t>
            </w:r>
            <w:r>
              <w:rPr>
                <w:rFonts w:ascii="Times New Roman" w:eastAsia="Times New Roman" w:hAnsi="Times New Roman"/>
                <w:i/>
                <w:sz w:val="24"/>
                <w:szCs w:val="24"/>
              </w:rPr>
              <w:t>euro</w:t>
            </w:r>
            <w:r>
              <w:rPr>
                <w:rFonts w:ascii="Times New Roman" w:eastAsia="Times New Roman" w:hAnsi="Times New Roman"/>
                <w:sz w:val="24"/>
                <w:szCs w:val="24"/>
              </w:rPr>
              <w:t xml:space="preserve"> – 2020. gadā 78 408 </w:t>
            </w:r>
            <w:r>
              <w:rPr>
                <w:rFonts w:ascii="Times New Roman" w:eastAsia="Times New Roman" w:hAnsi="Times New Roman"/>
                <w:i/>
                <w:sz w:val="24"/>
                <w:szCs w:val="24"/>
              </w:rPr>
              <w:t>euro</w:t>
            </w:r>
            <w:r>
              <w:rPr>
                <w:rFonts w:ascii="Times New Roman" w:eastAsia="Times New Roman" w:hAnsi="Times New Roman"/>
                <w:sz w:val="24"/>
                <w:szCs w:val="24"/>
              </w:rPr>
              <w:t xml:space="preserve"> izpētes un projektēšanas darbu veikšanai, 2021. gadā pēc iepirkuma veikšanas NAI jaudas palielināšanas darbiem – 221 592 </w:t>
            </w:r>
            <w:r>
              <w:rPr>
                <w:rFonts w:ascii="Times New Roman" w:eastAsia="Times New Roman" w:hAnsi="Times New Roman"/>
                <w:i/>
                <w:sz w:val="24"/>
                <w:szCs w:val="24"/>
              </w:rPr>
              <w:t>euro</w:t>
            </w:r>
            <w:r>
              <w:rPr>
                <w:rFonts w:ascii="Times New Roman" w:eastAsia="Times New Roman" w:hAnsi="Times New Roman"/>
                <w:sz w:val="24"/>
                <w:szCs w:val="24"/>
              </w:rPr>
              <w:t>.</w:t>
            </w:r>
          </w:p>
          <w:p w14:paraId="1137A8AA"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Aizsardzības ministrija ir s</w:t>
            </w:r>
            <w:r w:rsidR="00A90914">
              <w:rPr>
                <w:rFonts w:ascii="Times New Roman" w:eastAsia="Times New Roman" w:hAnsi="Times New Roman"/>
                <w:sz w:val="24"/>
                <w:szCs w:val="24"/>
              </w:rPr>
              <w:t>aņēmusi Ādažu novada domes</w:t>
            </w:r>
            <w:r>
              <w:rPr>
                <w:rFonts w:ascii="Times New Roman" w:eastAsia="Times New Roman" w:hAnsi="Times New Roman"/>
                <w:sz w:val="24"/>
                <w:szCs w:val="24"/>
              </w:rPr>
              <w:t xml:space="preserve"> 2020. gada 20. jūlija vēstuli Nr. ĀND/1-12-1/20/789, kurā ir sniegts apliecinājums, ka Ādažu novada pašvaldība no pašvaldības budžeta līdzekļiem nodrošinās nepieciešamo finansējumu autoceļa “Mežaparka ceļš” posma no Smilšu ielas līdz Kadagas ceļam pārbūves darbu veikšanai, kas pārsniegs 1 000 000 </w:t>
            </w:r>
            <w:r>
              <w:rPr>
                <w:rFonts w:ascii="Times New Roman" w:eastAsia="Times New Roman" w:hAnsi="Times New Roman"/>
                <w:i/>
                <w:sz w:val="24"/>
                <w:szCs w:val="24"/>
              </w:rPr>
              <w:t>euro</w:t>
            </w:r>
            <w:r>
              <w:rPr>
                <w:rFonts w:ascii="Times New Roman" w:eastAsia="Times New Roman" w:hAnsi="Times New Roman"/>
                <w:sz w:val="24"/>
                <w:szCs w:val="24"/>
              </w:rPr>
              <w:t>, kā arī ir sniegts apliecinājums, ka no Ādažu novada pašvaldības budžeta līdzekļiem un tās kapitālsabiedrības SIA “Ādažu ūdens” budžeta līdzekļiem tiks nodrošināts nepieciešamais finansējums NAI jaudas palielināšanas darbu izpildei, kas pārsniegs 300 000 </w:t>
            </w:r>
            <w:r>
              <w:rPr>
                <w:rFonts w:ascii="Times New Roman" w:eastAsia="Times New Roman" w:hAnsi="Times New Roman"/>
                <w:i/>
                <w:sz w:val="24"/>
                <w:szCs w:val="24"/>
              </w:rPr>
              <w:t>euro</w:t>
            </w:r>
            <w:r>
              <w:rPr>
                <w:rFonts w:ascii="Times New Roman" w:eastAsia="Times New Roman" w:hAnsi="Times New Roman"/>
                <w:sz w:val="24"/>
                <w:szCs w:val="24"/>
              </w:rPr>
              <w:t>.</w:t>
            </w:r>
          </w:p>
          <w:p w14:paraId="1F4E3982"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Pasūtītājs Ādažu novada pašvaldības autoceļa “Mežaparka ceļš” posma no Smilšu ielas līdz Kadagas ceļam pārbūves darbu veikšanai ir Ādažu novada pašvaldība. </w:t>
            </w:r>
            <w:r>
              <w:rPr>
                <w:rFonts w:ascii="Times New Roman" w:eastAsia="Times New Roman" w:hAnsi="Times New Roman"/>
                <w:sz w:val="24"/>
                <w:szCs w:val="24"/>
              </w:rPr>
              <w:lastRenderedPageBreak/>
              <w:t>Atbilstoši Ādažu novada pašvaldības sniegtajai informācijai pārbūves darbu publiskais iepirkums tiks izsludināts MK rīkojuma projekta saskaņošanas laikā.</w:t>
            </w:r>
          </w:p>
          <w:p w14:paraId="1700E91A"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Pasūtītājs iepirkumam “Notekūdeņu attīrīšanas ietaišu Ādažos, Ādažu novadā jaudas palielināšanas izpēte un projektēšana” un NAI jaudas palielināšanas darbu veikšanai ir SIA “Ādažu ūdens”.</w:t>
            </w:r>
          </w:p>
          <w:p w14:paraId="18FB38C1" w14:textId="77777777" w:rsidR="00500202" w:rsidRDefault="00FD7EFC">
            <w:pPr>
              <w:pStyle w:val="ListParagraph"/>
              <w:tabs>
                <w:tab w:val="left" w:pos="0"/>
              </w:tabs>
              <w:ind w:left="0" w:firstLine="548"/>
              <w:contextualSpacing/>
              <w:jc w:val="both"/>
              <w:rPr>
                <w:rFonts w:ascii="Times New Roman" w:eastAsia="Times New Roman" w:hAnsi="Times New Roman"/>
                <w:sz w:val="24"/>
                <w:szCs w:val="24"/>
              </w:rPr>
            </w:pPr>
            <w:r>
              <w:rPr>
                <w:rFonts w:ascii="Times New Roman" w:eastAsia="Times New Roman" w:hAnsi="Times New Roman"/>
                <w:sz w:val="24"/>
                <w:szCs w:val="24"/>
              </w:rPr>
              <w:t>Lai nodrošinātu Ādažu novada pašvaldības autoceļa “Mežaparka ceļš” posma no Smilšu ielas līdz Kadagas ceļam pārbūves darbu veikšanu un SIA “Ādažu ūdens” NAI jaudas palielināšanu, Aizsardzības ministrija noslēgs sadarbības līgumu ar Ādažu novada domi par piešķirto finansējumu, nosakot piešķirtā finansējuma izlietojuma kontroli, kā arī Ādažu novada domes atbildību par grāmatvedības datu pareizību un finanšu līdzekļu izlietojumu atbilstoši plānotajam.</w:t>
            </w:r>
          </w:p>
        </w:tc>
      </w:tr>
      <w:tr w:rsidR="00500202" w14:paraId="7E458FF1" w14:textId="77777777">
        <w:tc>
          <w:tcPr>
            <w:tcW w:w="566" w:type="dxa"/>
            <w:tcBorders>
              <w:top w:val="nil"/>
            </w:tcBorders>
          </w:tcPr>
          <w:p w14:paraId="05E8DCB8" w14:textId="77777777" w:rsidR="00500202" w:rsidRDefault="00500202">
            <w:pPr>
              <w:jc w:val="both"/>
              <w:rPr>
                <w:rFonts w:ascii="Times New Roman" w:eastAsia="Times New Roman" w:hAnsi="Times New Roman"/>
                <w:sz w:val="24"/>
                <w:szCs w:val="24"/>
              </w:rPr>
            </w:pPr>
          </w:p>
        </w:tc>
        <w:tc>
          <w:tcPr>
            <w:tcW w:w="2678" w:type="dxa"/>
            <w:vMerge/>
            <w:tcBorders>
              <w:left w:val="single" w:sz="4" w:space="0" w:color="auto"/>
            </w:tcBorders>
          </w:tcPr>
          <w:p w14:paraId="51683338" w14:textId="77777777" w:rsidR="00500202" w:rsidRDefault="00500202"/>
        </w:tc>
        <w:tc>
          <w:tcPr>
            <w:tcW w:w="5817" w:type="dxa"/>
            <w:vMerge/>
          </w:tcPr>
          <w:p w14:paraId="2581C3E9" w14:textId="77777777" w:rsidR="00500202" w:rsidRDefault="00500202"/>
        </w:tc>
      </w:tr>
      <w:tr w:rsidR="00500202" w14:paraId="09759443" w14:textId="77777777">
        <w:trPr>
          <w:trHeight w:val="1258"/>
        </w:trPr>
        <w:tc>
          <w:tcPr>
            <w:tcW w:w="566" w:type="dxa"/>
          </w:tcPr>
          <w:p w14:paraId="4DB009A2" w14:textId="77777777" w:rsidR="00500202" w:rsidRDefault="00FD7EF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2678" w:type="dxa"/>
          </w:tcPr>
          <w:p w14:paraId="756E7A11" w14:textId="77777777" w:rsidR="00500202" w:rsidRDefault="00FD7EFC">
            <w:pPr>
              <w:spacing w:after="160"/>
              <w:jc w:val="both"/>
              <w:rPr>
                <w:rFonts w:ascii="Times New Roman" w:eastAsia="Times New Roman" w:hAnsi="Times New Roman"/>
                <w:sz w:val="24"/>
                <w:szCs w:val="24"/>
              </w:rPr>
            </w:pPr>
            <w:r>
              <w:rPr>
                <w:rFonts w:ascii="Times New Roman" w:eastAsia="Times New Roman" w:hAnsi="Times New Roman"/>
                <w:sz w:val="24"/>
                <w:szCs w:val="24"/>
              </w:rPr>
              <w:t>Projekta izstrādē iesaistītās institūcijas un publiskas personas kapitālsabiedrības</w:t>
            </w:r>
          </w:p>
        </w:tc>
        <w:tc>
          <w:tcPr>
            <w:tcW w:w="5817" w:type="dxa"/>
          </w:tcPr>
          <w:p w14:paraId="2A4DE5CC" w14:textId="77777777" w:rsidR="00500202" w:rsidRDefault="00FD7EFC">
            <w:pPr>
              <w:spacing w:after="160" w:line="259" w:lineRule="auto"/>
              <w:ind w:firstLine="411"/>
              <w:jc w:val="both"/>
              <w:rPr>
                <w:rFonts w:ascii="Times New Roman" w:eastAsia="Times New Roman" w:hAnsi="Times New Roman"/>
                <w:sz w:val="24"/>
                <w:szCs w:val="24"/>
              </w:rPr>
            </w:pPr>
            <w:r>
              <w:rPr>
                <w:rFonts w:ascii="Times New Roman" w:eastAsia="Times New Roman" w:hAnsi="Times New Roman"/>
                <w:sz w:val="24"/>
                <w:szCs w:val="24"/>
              </w:rPr>
              <w:t>Aizsardzības ministrija, Ādažu novada pašvaldība, SIA “Ādažu ūdens”</w:t>
            </w:r>
          </w:p>
        </w:tc>
      </w:tr>
      <w:tr w:rsidR="00500202" w14:paraId="5FDC5AD9" w14:textId="77777777">
        <w:tc>
          <w:tcPr>
            <w:tcW w:w="566" w:type="dxa"/>
          </w:tcPr>
          <w:p w14:paraId="7EC576F3" w14:textId="77777777" w:rsidR="00500202" w:rsidRDefault="00FD7EF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78" w:type="dxa"/>
          </w:tcPr>
          <w:p w14:paraId="78713359" w14:textId="77777777" w:rsidR="00500202" w:rsidRDefault="00FD7EF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17" w:type="dxa"/>
          </w:tcPr>
          <w:p w14:paraId="29CBCCE7" w14:textId="77777777" w:rsidR="00D8461B" w:rsidRDefault="00D8461B" w:rsidP="00D8461B">
            <w:pPr>
              <w:pStyle w:val="ListParagraph"/>
              <w:ind w:left="0" w:firstLine="560"/>
              <w:contextualSpacing/>
              <w:jc w:val="both"/>
              <w:rPr>
                <w:rFonts w:ascii="Times New Roman" w:hAnsi="Times New Roman"/>
                <w:sz w:val="24"/>
                <w:szCs w:val="24"/>
              </w:rPr>
            </w:pPr>
            <w:r>
              <w:rPr>
                <w:rFonts w:ascii="Times New Roman" w:hAnsi="Times New Roman"/>
                <w:sz w:val="24"/>
                <w:szCs w:val="24"/>
              </w:rPr>
              <w:t>MK rīkojuma projekta izpilde tiks nodrošināta likumā “Par valsts budžetu 2020.</w:t>
            </w:r>
            <w:r w:rsidR="00770ABE">
              <w:rPr>
                <w:rFonts w:ascii="Times New Roman" w:hAnsi="Times New Roman"/>
                <w:sz w:val="24"/>
                <w:szCs w:val="24"/>
              </w:rPr>
              <w:t> </w:t>
            </w:r>
            <w:r>
              <w:rPr>
                <w:rFonts w:ascii="Times New Roman" w:hAnsi="Times New Roman"/>
                <w:sz w:val="24"/>
                <w:szCs w:val="24"/>
              </w:rPr>
              <w:t>gadam” un likuma “Par vidēja termiņa budžeta ietvaru 2020., 2021. un 2022.</w:t>
            </w:r>
            <w:r w:rsidR="00770ABE">
              <w:rPr>
                <w:rFonts w:ascii="Times New Roman" w:hAnsi="Times New Roman"/>
                <w:sz w:val="24"/>
                <w:szCs w:val="24"/>
              </w:rPr>
              <w:t> </w:t>
            </w:r>
            <w:r>
              <w:rPr>
                <w:rFonts w:ascii="Times New Roman" w:hAnsi="Times New Roman"/>
                <w:sz w:val="24"/>
                <w:szCs w:val="24"/>
              </w:rPr>
              <w:t>gadam” Aizsardzības ministrijas budžeta ietvaros no budžeta programmā 33.00.00 “Aizsardzības īpašumu pārvaldīšana” paredzētajiem līdzekļiem:</w:t>
            </w:r>
          </w:p>
          <w:p w14:paraId="0A807F3B" w14:textId="77777777" w:rsidR="00D8461B" w:rsidRDefault="00D8461B" w:rsidP="00D8461B">
            <w:pPr>
              <w:pStyle w:val="ListParagraph"/>
              <w:ind w:left="0" w:firstLine="560"/>
              <w:contextualSpacing/>
              <w:jc w:val="both"/>
              <w:rPr>
                <w:rFonts w:ascii="Times New Roman" w:hAnsi="Times New Roman"/>
                <w:sz w:val="24"/>
                <w:szCs w:val="24"/>
              </w:rPr>
            </w:pPr>
            <w:r>
              <w:rPr>
                <w:rFonts w:ascii="Times New Roman" w:hAnsi="Times New Roman"/>
                <w:sz w:val="24"/>
                <w:szCs w:val="24"/>
              </w:rPr>
              <w:t>- pašvaldības autoceļa “Mežaparka ceļš” posma no Smilšu ielas līdz Kadagas ceļam pārbūves darbu veikšanai piešķirot ne vairāk kā 1 000 000 </w:t>
            </w:r>
            <w:r>
              <w:rPr>
                <w:rFonts w:ascii="Times New Roman" w:hAnsi="Times New Roman"/>
                <w:i/>
                <w:iCs/>
                <w:sz w:val="24"/>
                <w:szCs w:val="24"/>
              </w:rPr>
              <w:t>euro</w:t>
            </w:r>
            <w:r>
              <w:rPr>
                <w:rFonts w:ascii="Times New Roman" w:hAnsi="Times New Roman"/>
                <w:sz w:val="24"/>
                <w:szCs w:val="24"/>
              </w:rPr>
              <w:t xml:space="preserve"> – 2020.</w:t>
            </w:r>
            <w:r w:rsidR="00770ABE">
              <w:rPr>
                <w:rFonts w:ascii="Times New Roman" w:hAnsi="Times New Roman"/>
                <w:sz w:val="24"/>
                <w:szCs w:val="24"/>
              </w:rPr>
              <w:t> </w:t>
            </w:r>
            <w:r>
              <w:rPr>
                <w:rFonts w:ascii="Times New Roman" w:hAnsi="Times New Roman"/>
                <w:sz w:val="24"/>
                <w:szCs w:val="24"/>
              </w:rPr>
              <w:t>gadā veicot 500 000 e</w:t>
            </w:r>
            <w:r>
              <w:rPr>
                <w:rFonts w:ascii="Times New Roman" w:hAnsi="Times New Roman"/>
                <w:i/>
                <w:iCs/>
                <w:sz w:val="24"/>
                <w:szCs w:val="24"/>
              </w:rPr>
              <w:t>uro</w:t>
            </w:r>
            <w:r>
              <w:rPr>
                <w:rFonts w:ascii="Times New Roman" w:hAnsi="Times New Roman"/>
                <w:sz w:val="24"/>
                <w:szCs w:val="24"/>
              </w:rPr>
              <w:t xml:space="preserve"> pārdali budžeta programmas ietvaros no kapitālajiem izdevumiem uz kapitālo izdevumu transfertiem, 2021. gadā veicot ne vairāk kā 500 000 </w:t>
            </w:r>
            <w:r>
              <w:rPr>
                <w:rFonts w:ascii="Times New Roman" w:hAnsi="Times New Roman"/>
                <w:i/>
                <w:iCs/>
                <w:sz w:val="24"/>
                <w:szCs w:val="24"/>
              </w:rPr>
              <w:t>euro</w:t>
            </w:r>
            <w:r>
              <w:rPr>
                <w:rFonts w:ascii="Times New Roman" w:hAnsi="Times New Roman"/>
                <w:sz w:val="24"/>
                <w:szCs w:val="24"/>
              </w:rPr>
              <w:t xml:space="preserve"> pārdali budžeta programmas ietvaros no kapitālajiem izdevumiem uz kapitālo izdevumu transfertiem. Precīzs 2021.</w:t>
            </w:r>
            <w:r w:rsidR="00770ABE">
              <w:rPr>
                <w:rFonts w:ascii="Times New Roman" w:hAnsi="Times New Roman"/>
                <w:sz w:val="24"/>
                <w:szCs w:val="24"/>
              </w:rPr>
              <w:t> </w:t>
            </w:r>
            <w:r>
              <w:rPr>
                <w:rFonts w:ascii="Times New Roman" w:hAnsi="Times New Roman"/>
                <w:sz w:val="24"/>
                <w:szCs w:val="24"/>
              </w:rPr>
              <w:t>gadā piešķiramā finansējuma apmērs tiks noteikts pēc būvdarbu iepirkuma veikšanas;</w:t>
            </w:r>
          </w:p>
          <w:p w14:paraId="7E9DAE95" w14:textId="77777777" w:rsidR="00D8461B" w:rsidRDefault="00D8461B" w:rsidP="00FC25C0">
            <w:pPr>
              <w:ind w:firstLine="544"/>
              <w:jc w:val="both"/>
              <w:rPr>
                <w:rFonts w:ascii="Times New Roman" w:hAnsi="Times New Roman"/>
                <w:sz w:val="24"/>
                <w:szCs w:val="24"/>
              </w:rPr>
            </w:pPr>
            <w:r>
              <w:rPr>
                <w:rFonts w:ascii="Times New Roman" w:hAnsi="Times New Roman"/>
                <w:sz w:val="24"/>
                <w:szCs w:val="24"/>
              </w:rPr>
              <w:t>- SIA “Ādažu ūdens” NAI jaudas palielināšanai piešķirot 300 000 </w:t>
            </w:r>
            <w:r>
              <w:rPr>
                <w:rFonts w:ascii="Times New Roman" w:hAnsi="Times New Roman"/>
                <w:i/>
                <w:iCs/>
                <w:sz w:val="24"/>
                <w:szCs w:val="24"/>
              </w:rPr>
              <w:t>euro</w:t>
            </w:r>
            <w:r>
              <w:rPr>
                <w:rFonts w:ascii="Times New Roman" w:hAnsi="Times New Roman"/>
                <w:sz w:val="24"/>
                <w:szCs w:val="24"/>
              </w:rPr>
              <w:t xml:space="preserve"> – 2020.</w:t>
            </w:r>
            <w:r w:rsidR="00770ABE">
              <w:rPr>
                <w:rFonts w:ascii="Times New Roman" w:hAnsi="Times New Roman"/>
                <w:sz w:val="24"/>
                <w:szCs w:val="24"/>
              </w:rPr>
              <w:t> </w:t>
            </w:r>
            <w:r>
              <w:rPr>
                <w:rFonts w:ascii="Times New Roman" w:hAnsi="Times New Roman"/>
                <w:sz w:val="24"/>
                <w:szCs w:val="24"/>
              </w:rPr>
              <w:t>gadā veicot 78 408 </w:t>
            </w:r>
            <w:r>
              <w:rPr>
                <w:rFonts w:ascii="Times New Roman" w:hAnsi="Times New Roman"/>
                <w:i/>
                <w:iCs/>
                <w:sz w:val="24"/>
                <w:szCs w:val="24"/>
              </w:rPr>
              <w:t>euro</w:t>
            </w:r>
            <w:r>
              <w:rPr>
                <w:rFonts w:ascii="Times New Roman" w:hAnsi="Times New Roman"/>
                <w:sz w:val="24"/>
                <w:szCs w:val="24"/>
              </w:rPr>
              <w:t xml:space="preserve"> pārdali budžeta programmas ietvaros no kapitālajiem izdevumiem uz kapitālo izdevumu transfertiem, 2021.</w:t>
            </w:r>
            <w:r w:rsidR="00770ABE">
              <w:rPr>
                <w:rFonts w:ascii="Times New Roman" w:hAnsi="Times New Roman"/>
                <w:sz w:val="24"/>
                <w:szCs w:val="24"/>
              </w:rPr>
              <w:t> </w:t>
            </w:r>
            <w:r>
              <w:rPr>
                <w:rFonts w:ascii="Times New Roman" w:hAnsi="Times New Roman"/>
                <w:sz w:val="24"/>
                <w:szCs w:val="24"/>
              </w:rPr>
              <w:t>gadā veicot 221 592 </w:t>
            </w:r>
            <w:r>
              <w:rPr>
                <w:rFonts w:ascii="Times New Roman" w:hAnsi="Times New Roman"/>
                <w:i/>
                <w:iCs/>
                <w:sz w:val="24"/>
                <w:szCs w:val="24"/>
              </w:rPr>
              <w:t>euro</w:t>
            </w:r>
            <w:r>
              <w:rPr>
                <w:rFonts w:ascii="Times New Roman" w:hAnsi="Times New Roman"/>
                <w:sz w:val="24"/>
                <w:szCs w:val="24"/>
              </w:rPr>
              <w:t xml:space="preserve"> pārdali budžeta programmas ietvaros no kapitālajiem izdevumiem uz kapitālo izdevumu transfertiem.</w:t>
            </w:r>
          </w:p>
          <w:p w14:paraId="023F7428" w14:textId="77777777" w:rsidR="00D8461B" w:rsidRDefault="00D8461B" w:rsidP="00770ABE">
            <w:pPr>
              <w:ind w:firstLine="544"/>
              <w:jc w:val="both"/>
              <w:rPr>
                <w:rFonts w:ascii="Times New Roman" w:hAnsi="Times New Roman"/>
                <w:sz w:val="24"/>
                <w:szCs w:val="24"/>
              </w:rPr>
            </w:pPr>
            <w:r>
              <w:rPr>
                <w:rFonts w:ascii="Times New Roman" w:hAnsi="Times New Roman"/>
                <w:sz w:val="24"/>
                <w:szCs w:val="24"/>
              </w:rPr>
              <w:t>Aizsardzības ministrija normatīvajos aktos noteiktajā kārtībā iesniegs Finanšu ministrijā priekšlikumus apropriācijas izmaiņām 2020.</w:t>
            </w:r>
            <w:r w:rsidR="00770ABE">
              <w:rPr>
                <w:rFonts w:ascii="Times New Roman" w:hAnsi="Times New Roman"/>
                <w:sz w:val="24"/>
                <w:szCs w:val="24"/>
              </w:rPr>
              <w:t> </w:t>
            </w:r>
            <w:r>
              <w:rPr>
                <w:rFonts w:ascii="Times New Roman" w:hAnsi="Times New Roman"/>
                <w:sz w:val="24"/>
                <w:szCs w:val="24"/>
              </w:rPr>
              <w:t>gadā un maksimāli pieļaujamo valsts budžeta izdevumu apjoma 2021.</w:t>
            </w:r>
            <w:r w:rsidR="00770ABE">
              <w:rPr>
                <w:rFonts w:ascii="Times New Roman" w:hAnsi="Times New Roman"/>
                <w:sz w:val="24"/>
                <w:szCs w:val="24"/>
              </w:rPr>
              <w:t> </w:t>
            </w:r>
            <w:r>
              <w:rPr>
                <w:rFonts w:ascii="Times New Roman" w:hAnsi="Times New Roman"/>
                <w:sz w:val="24"/>
                <w:szCs w:val="24"/>
              </w:rPr>
              <w:t>gadam precizēšanai likumprojekta “Par valsts budžetu 2021.</w:t>
            </w:r>
            <w:r w:rsidR="00770ABE">
              <w:rPr>
                <w:rFonts w:ascii="Times New Roman" w:hAnsi="Times New Roman"/>
                <w:sz w:val="24"/>
                <w:szCs w:val="24"/>
              </w:rPr>
              <w:t> </w:t>
            </w:r>
            <w:r>
              <w:rPr>
                <w:rFonts w:ascii="Times New Roman" w:hAnsi="Times New Roman"/>
                <w:sz w:val="24"/>
                <w:szCs w:val="24"/>
              </w:rPr>
              <w:t>gadam” sagatavošanas procesā (pārdale starp izdevumu ekonomiskās klasifikācijas kodiem).</w:t>
            </w:r>
          </w:p>
          <w:p w14:paraId="5757D6E8" w14:textId="77777777" w:rsidR="00500202" w:rsidRDefault="00500202" w:rsidP="00D8461B">
            <w:pPr>
              <w:pStyle w:val="ListParagraph"/>
              <w:tabs>
                <w:tab w:val="left" w:pos="0"/>
              </w:tabs>
              <w:ind w:left="0" w:firstLine="560"/>
              <w:contextualSpacing/>
              <w:jc w:val="both"/>
              <w:rPr>
                <w:rFonts w:ascii="Times New Roman" w:eastAsia="Times New Roman" w:hAnsi="Times New Roman"/>
                <w:sz w:val="24"/>
                <w:szCs w:val="24"/>
              </w:rPr>
            </w:pPr>
          </w:p>
        </w:tc>
      </w:tr>
    </w:tbl>
    <w:p w14:paraId="23961C23" w14:textId="77777777" w:rsidR="00500202" w:rsidRDefault="00500202">
      <w:pP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2"/>
        <w:gridCol w:w="2695"/>
        <w:gridCol w:w="5804"/>
      </w:tblGrid>
      <w:tr w:rsidR="00500202" w14:paraId="0B81DDFC" w14:textId="77777777">
        <w:trPr>
          <w:cantSplit/>
        </w:trPr>
        <w:tc>
          <w:tcPr>
            <w:tcW w:w="9061" w:type="dxa"/>
            <w:gridSpan w:val="3"/>
            <w:vAlign w:val="center"/>
          </w:tcPr>
          <w:p w14:paraId="50C2345E"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II. Tiesību akta projekta ietekme uz sabiedrību, tautsaimniecības attīstību un administratīvo slogu</w:t>
            </w:r>
          </w:p>
          <w:p w14:paraId="455FE931" w14:textId="77777777" w:rsidR="00500202" w:rsidRDefault="00500202">
            <w:pPr>
              <w:jc w:val="center"/>
              <w:rPr>
                <w:rFonts w:ascii="Times New Roman" w:eastAsia="Times New Roman" w:hAnsi="Times New Roman"/>
                <w:b/>
                <w:sz w:val="24"/>
                <w:szCs w:val="24"/>
              </w:rPr>
            </w:pPr>
          </w:p>
        </w:tc>
      </w:tr>
      <w:tr w:rsidR="00500202" w14:paraId="2ED39753" w14:textId="77777777">
        <w:trPr>
          <w:cantSplit/>
        </w:trPr>
        <w:tc>
          <w:tcPr>
            <w:tcW w:w="562" w:type="dxa"/>
          </w:tcPr>
          <w:p w14:paraId="102DD694"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95" w:type="dxa"/>
          </w:tcPr>
          <w:p w14:paraId="498DB0ED"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Sabiedrības mērķgrupas, kuras tiesiskais regulējums ietekmē vai varētu ietekmēt</w:t>
            </w:r>
          </w:p>
        </w:tc>
        <w:tc>
          <w:tcPr>
            <w:tcW w:w="5804" w:type="dxa"/>
          </w:tcPr>
          <w:p w14:paraId="5BC940AC"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MK rīkojums ietekmēs Ādažu novada pašvaldību, kura ir atbildīga par publisko iepirkumu jomas normatīvo aktu ievērošanu, veicot iepirkumu pašvaldības autoceļa “Mežaparka ceļš” posma no Smilšu ielas līdz Kadagas ceļam pārbūves darbu veikšanai, un iepirkuma līguma īstenošanas uzraudzību.</w:t>
            </w:r>
          </w:p>
          <w:p w14:paraId="52C2F8C0"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Pēc pašvaldības autoceļa “Mežaparka ceļš” posma no Smilšu ielas līdz Kadagas ceļam pārbūves tiks uzlabota piekļuve Ādažu militārajai bāzei un poligonam, kas ietekmēs Nacionālos bruņotos spēkus. Pašvaldības autoceļa “Mežaparka ceļš” posma pārbūve ietekmēs arī iedzīvotājus, kuri ikdienā pārvietojas pa minētā autoceļa posmu.</w:t>
            </w:r>
          </w:p>
          <w:p w14:paraId="1CCDB7AB"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MK rīkojums ietekmēs SIA “Ādažu ūdens”, kura ir atbildīga par publisko iepirkumu jomas normatīvo aktu ievērošanu, veicot iepirkumu “Notekūdeņu attīrīšanas ietaišu Ādažos, Ādažu novadā jaudas palielināšanas izpēte un projektēšana” un iepirkumu NAI jaudas palielināšanas darbu veikšanai, kā arī iepirkuma līgumu īstenošanas uzraudzību.</w:t>
            </w:r>
          </w:p>
          <w:p w14:paraId="1B0BCD67" w14:textId="77777777" w:rsidR="00500202" w:rsidRDefault="00FD7EFC" w:rsidP="00FD7EFC">
            <w:pPr>
              <w:jc w:val="both"/>
              <w:rPr>
                <w:rFonts w:ascii="Times New Roman" w:eastAsia="Times New Roman" w:hAnsi="Times New Roman"/>
                <w:sz w:val="24"/>
                <w:szCs w:val="24"/>
              </w:rPr>
            </w:pPr>
            <w:r>
              <w:rPr>
                <w:rFonts w:ascii="Times New Roman" w:eastAsia="Times New Roman" w:hAnsi="Times New Roman"/>
                <w:sz w:val="24"/>
                <w:szCs w:val="24"/>
              </w:rPr>
              <w:t>Pēc NAI jaudas palielināšanas Ādažu novadā tiks nodrošināta atbilstošas kvalitātes notekūdeņu attīrīšana un mazināti vides piesārņošanas riski, kas ietekmēs Ādažu novada iedzīvotājus, t. sk. Ādažu militārajā bāzē izvietotos Nacionālos bruņotos spēkus un sabiedroto spēkus.</w:t>
            </w:r>
          </w:p>
        </w:tc>
      </w:tr>
      <w:tr w:rsidR="00500202" w14:paraId="519C6625" w14:textId="77777777">
        <w:trPr>
          <w:cantSplit/>
        </w:trPr>
        <w:tc>
          <w:tcPr>
            <w:tcW w:w="562" w:type="dxa"/>
          </w:tcPr>
          <w:p w14:paraId="066119C2"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95" w:type="dxa"/>
          </w:tcPr>
          <w:p w14:paraId="5625C958"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Tiesiskā regulējuma ietekme uz tautsaimniecību un administratīvo slogu</w:t>
            </w:r>
          </w:p>
        </w:tc>
        <w:tc>
          <w:tcPr>
            <w:tcW w:w="5804" w:type="dxa"/>
          </w:tcPr>
          <w:p w14:paraId="02AA12B5"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4A972215" w14:textId="77777777">
        <w:trPr>
          <w:cantSplit/>
        </w:trPr>
        <w:tc>
          <w:tcPr>
            <w:tcW w:w="562" w:type="dxa"/>
          </w:tcPr>
          <w:p w14:paraId="780782B7"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95" w:type="dxa"/>
          </w:tcPr>
          <w:p w14:paraId="532E9F30"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Administratīvo izmaksu monetārs novērtējums</w:t>
            </w:r>
          </w:p>
        </w:tc>
        <w:tc>
          <w:tcPr>
            <w:tcW w:w="5804" w:type="dxa"/>
          </w:tcPr>
          <w:p w14:paraId="3E9DE641"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7405B2CB" w14:textId="77777777">
        <w:trPr>
          <w:cantSplit/>
        </w:trPr>
        <w:tc>
          <w:tcPr>
            <w:tcW w:w="562" w:type="dxa"/>
          </w:tcPr>
          <w:p w14:paraId="23034AA2"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95" w:type="dxa"/>
          </w:tcPr>
          <w:p w14:paraId="5052FBDF"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Atbilstības izmaksu monetārs novērtējums</w:t>
            </w:r>
          </w:p>
        </w:tc>
        <w:tc>
          <w:tcPr>
            <w:tcW w:w="5804" w:type="dxa"/>
          </w:tcPr>
          <w:p w14:paraId="1A957DBE"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15F9375E" w14:textId="77777777">
        <w:trPr>
          <w:cantSplit/>
        </w:trPr>
        <w:tc>
          <w:tcPr>
            <w:tcW w:w="562" w:type="dxa"/>
          </w:tcPr>
          <w:p w14:paraId="19A90E9C"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695" w:type="dxa"/>
          </w:tcPr>
          <w:p w14:paraId="05A229B4"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04" w:type="dxa"/>
          </w:tcPr>
          <w:p w14:paraId="39268641"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Nav</w:t>
            </w:r>
          </w:p>
        </w:tc>
      </w:tr>
    </w:tbl>
    <w:p w14:paraId="14CDDD21" w14:textId="77777777" w:rsidR="00500202" w:rsidRDefault="00500202">
      <w:pPr>
        <w:rPr>
          <w:rFonts w:ascii="Times New Roman" w:eastAsia="Times New Roman" w:hAnsi="Times New Roman"/>
          <w:sz w:val="24"/>
          <w:szCs w:val="24"/>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500202" w14:paraId="44DF50BF" w14:textId="77777777">
        <w:trPr>
          <w:cantSplit/>
        </w:trPr>
        <w:tc>
          <w:tcPr>
            <w:tcW w:w="9065" w:type="dxa"/>
            <w:shd w:val="clear" w:color="000000" w:fill="auto"/>
            <w:vAlign w:val="center"/>
          </w:tcPr>
          <w:p w14:paraId="38A8F582"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III. Tiesību akta projekta ietekme uz valsts budžetu un pašvaldību budžetiem</w:t>
            </w:r>
          </w:p>
        </w:tc>
      </w:tr>
      <w:tr w:rsidR="00500202" w14:paraId="41E14EFC" w14:textId="77777777">
        <w:trPr>
          <w:cantSplit/>
        </w:trPr>
        <w:tc>
          <w:tcPr>
            <w:tcW w:w="9065" w:type="dxa"/>
            <w:shd w:val="clear" w:color="000000" w:fill="FFFFFF"/>
            <w:vAlign w:val="center"/>
          </w:tcPr>
          <w:p w14:paraId="46298508"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Nav attiecināms.</w:t>
            </w:r>
          </w:p>
        </w:tc>
      </w:tr>
    </w:tbl>
    <w:p w14:paraId="7B9FF388" w14:textId="77777777" w:rsidR="00500202" w:rsidRDefault="00500202">
      <w:pPr>
        <w:spacing w:line="260" w:lineRule="exact"/>
        <w:ind w:firstLine="539"/>
        <w:jc w:val="both"/>
        <w:rPr>
          <w:rFonts w:ascii="Times New Roman" w:eastAsia="Times New Roman" w:hAnsi="Times New Roman"/>
          <w:sz w:val="24"/>
          <w:szCs w:val="24"/>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00202" w14:paraId="5F849062" w14:textId="77777777">
        <w:trPr>
          <w:cantSplit/>
        </w:trPr>
        <w:tc>
          <w:tcPr>
            <w:tcW w:w="9065" w:type="dxa"/>
            <w:vAlign w:val="center"/>
          </w:tcPr>
          <w:p w14:paraId="424EAE61"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IV. Tiesību akta projekta ietekme uz spēkā esošo tiesību normu sistēmu</w:t>
            </w:r>
          </w:p>
        </w:tc>
      </w:tr>
      <w:tr w:rsidR="00500202" w14:paraId="5BF88642" w14:textId="77777777">
        <w:trPr>
          <w:cantSplit/>
        </w:trPr>
        <w:tc>
          <w:tcPr>
            <w:tcW w:w="9065" w:type="dxa"/>
            <w:vAlign w:val="center"/>
          </w:tcPr>
          <w:p w14:paraId="7BA3F4F0"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6843818B"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6B107543" w14:textId="77777777">
        <w:trPr>
          <w:cantSplit/>
        </w:trPr>
        <w:tc>
          <w:tcPr>
            <w:tcW w:w="9061" w:type="dxa"/>
            <w:vAlign w:val="center"/>
          </w:tcPr>
          <w:p w14:paraId="00CD9D19"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 Tiesību akta projekta atbilstība Latvijas Republikas starptautiskajām saistībām</w:t>
            </w:r>
          </w:p>
        </w:tc>
      </w:tr>
      <w:tr w:rsidR="00500202" w14:paraId="5C946FDF" w14:textId="77777777">
        <w:trPr>
          <w:cantSplit/>
        </w:trPr>
        <w:tc>
          <w:tcPr>
            <w:tcW w:w="9061" w:type="dxa"/>
            <w:vAlign w:val="center"/>
          </w:tcPr>
          <w:p w14:paraId="716F797C"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4594B885" w14:textId="77777777" w:rsidR="00500202" w:rsidRDefault="00500202">
      <w:pPr>
        <w:spacing w:line="260" w:lineRule="exact"/>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092E115F" w14:textId="77777777">
        <w:trPr>
          <w:cantSplit/>
        </w:trPr>
        <w:tc>
          <w:tcPr>
            <w:tcW w:w="9061" w:type="dxa"/>
            <w:vAlign w:val="center"/>
          </w:tcPr>
          <w:p w14:paraId="75779F7A"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VI. Sabiedrības līdzdalība un komunikācijas aktivitātes</w:t>
            </w:r>
          </w:p>
        </w:tc>
      </w:tr>
      <w:tr w:rsidR="00500202" w14:paraId="59EEAA6D" w14:textId="77777777">
        <w:trPr>
          <w:cantSplit/>
        </w:trPr>
        <w:tc>
          <w:tcPr>
            <w:tcW w:w="9061" w:type="dxa"/>
            <w:vAlign w:val="center"/>
          </w:tcPr>
          <w:p w14:paraId="475D1B57"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340CFEED"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4"/>
        <w:gridCol w:w="2680"/>
        <w:gridCol w:w="5817"/>
      </w:tblGrid>
      <w:tr w:rsidR="00500202" w14:paraId="0805D75D" w14:textId="77777777">
        <w:trPr>
          <w:cantSplit/>
        </w:trPr>
        <w:tc>
          <w:tcPr>
            <w:tcW w:w="9061" w:type="dxa"/>
            <w:gridSpan w:val="3"/>
            <w:vAlign w:val="center"/>
          </w:tcPr>
          <w:p w14:paraId="719C9014" w14:textId="77777777" w:rsidR="00066305"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VII. Tiesību akta projekta izpildes nodrošināšana un tās ietekme uz institūcijām</w:t>
            </w:r>
          </w:p>
          <w:p w14:paraId="1E504222" w14:textId="77777777" w:rsidR="00500202" w:rsidRPr="00066305" w:rsidRDefault="00500202" w:rsidP="00066305">
            <w:pPr>
              <w:rPr>
                <w:rFonts w:ascii="Times New Roman" w:eastAsia="Times New Roman" w:hAnsi="Times New Roman"/>
                <w:sz w:val="24"/>
                <w:szCs w:val="24"/>
              </w:rPr>
            </w:pPr>
          </w:p>
        </w:tc>
      </w:tr>
      <w:tr w:rsidR="00500202" w14:paraId="1327F946" w14:textId="77777777">
        <w:trPr>
          <w:cantSplit/>
        </w:trPr>
        <w:tc>
          <w:tcPr>
            <w:tcW w:w="564" w:type="dxa"/>
          </w:tcPr>
          <w:p w14:paraId="6323C96C"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80" w:type="dxa"/>
          </w:tcPr>
          <w:p w14:paraId="6EF32EBD"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Projekta izpildē iesaistītās institūcijas</w:t>
            </w:r>
          </w:p>
        </w:tc>
        <w:tc>
          <w:tcPr>
            <w:tcW w:w="5817" w:type="dxa"/>
          </w:tcPr>
          <w:p w14:paraId="02550831"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Aizsardzības ministrija, Valsts aizsardzības militāro objektu un iepirkumu centrs, Ādažu novada pašvaldība, SIA “Ādažu ūdens”</w:t>
            </w:r>
          </w:p>
        </w:tc>
      </w:tr>
      <w:tr w:rsidR="00500202" w14:paraId="5BE7C69D" w14:textId="77777777">
        <w:trPr>
          <w:cantSplit/>
        </w:trPr>
        <w:tc>
          <w:tcPr>
            <w:tcW w:w="564" w:type="dxa"/>
          </w:tcPr>
          <w:p w14:paraId="7F92B21E"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80" w:type="dxa"/>
          </w:tcPr>
          <w:p w14:paraId="39C828E0"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817" w:type="dxa"/>
          </w:tcPr>
          <w:p w14:paraId="4ED4FC81"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1307EB53" w14:textId="77777777">
        <w:trPr>
          <w:cantSplit/>
        </w:trPr>
        <w:tc>
          <w:tcPr>
            <w:tcW w:w="564" w:type="dxa"/>
          </w:tcPr>
          <w:p w14:paraId="65BB687F"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80" w:type="dxa"/>
          </w:tcPr>
          <w:p w14:paraId="61A4CCD1"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17" w:type="dxa"/>
          </w:tcPr>
          <w:p w14:paraId="0A52515C"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 xml:space="preserve">Saskaņā ar Oficiālo publikāciju un tiesiskās informācijas likuma 2. panta pirmo daļu un 3. panta pirmo daļu tiesību aktus publicē oficiālā izdevuma “Latvijas Vēstnesis” elektroniskajā tīmekļa vietnē </w:t>
            </w:r>
            <w:hyperlink r:id="rId8">
              <w:r>
                <w:rPr>
                  <w:rFonts w:ascii="Times New Roman" w:eastAsia="Times New Roman" w:hAnsi="Times New Roman"/>
                  <w:i/>
                  <w:sz w:val="24"/>
                  <w:szCs w:val="24"/>
                </w:rPr>
                <w:t>www.vestnesis.lv</w:t>
              </w:r>
            </w:hyperlink>
            <w:r>
              <w:rPr>
                <w:rFonts w:ascii="Times New Roman" w:eastAsia="Times New Roman" w:hAnsi="Times New Roman"/>
                <w:sz w:val="24"/>
                <w:szCs w:val="24"/>
              </w:rPr>
              <w:t xml:space="preserve">. </w:t>
            </w:r>
          </w:p>
        </w:tc>
      </w:tr>
    </w:tbl>
    <w:p w14:paraId="31DB8BC5" w14:textId="77777777" w:rsidR="00500202" w:rsidRDefault="00500202">
      <w:pPr>
        <w:rPr>
          <w:rFonts w:ascii="Times New Roman" w:eastAsia="Times New Roman" w:hAnsi="Times New Roman"/>
          <w:sz w:val="24"/>
          <w:szCs w:val="24"/>
        </w:rPr>
      </w:pPr>
    </w:p>
    <w:p w14:paraId="4E8DDC62" w14:textId="77777777" w:rsidR="00500202" w:rsidRDefault="00500202">
      <w:pPr>
        <w:rPr>
          <w:rFonts w:ascii="Times New Roman" w:eastAsia="Times New Roman" w:hAnsi="Times New Roman"/>
          <w:sz w:val="24"/>
          <w:szCs w:val="24"/>
        </w:rPr>
      </w:pPr>
    </w:p>
    <w:p w14:paraId="334C70F2" w14:textId="77777777" w:rsidR="00500202" w:rsidRDefault="00500202">
      <w:pPr>
        <w:rPr>
          <w:rFonts w:ascii="Times New Roman" w:eastAsia="Times New Roman" w:hAnsi="Times New Roman"/>
          <w:sz w:val="24"/>
          <w:szCs w:val="24"/>
        </w:rPr>
      </w:pPr>
    </w:p>
    <w:p w14:paraId="1695C97C" w14:textId="77777777" w:rsidR="00500202" w:rsidRDefault="00500202">
      <w:pPr>
        <w:rPr>
          <w:rFonts w:ascii="Times New Roman" w:eastAsia="Times New Roman" w:hAnsi="Times New Roman"/>
          <w:sz w:val="24"/>
          <w:szCs w:val="24"/>
        </w:rPr>
      </w:pPr>
    </w:p>
    <w:p w14:paraId="0B5F5E29" w14:textId="77777777" w:rsidR="00500202" w:rsidRDefault="00500202">
      <w:pPr>
        <w:rPr>
          <w:rFonts w:ascii="Times New Roman" w:eastAsia="Times New Roman" w:hAnsi="Times New Roman"/>
          <w:sz w:val="24"/>
          <w:szCs w:val="24"/>
        </w:rPr>
      </w:pPr>
    </w:p>
    <w:p w14:paraId="64AC02A4"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Ministru prezidenta biedrs,</w:t>
      </w:r>
    </w:p>
    <w:p w14:paraId="35EE2CD0"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aizsardzības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 Pabriks</w:t>
      </w:r>
    </w:p>
    <w:p w14:paraId="0D39FC3C" w14:textId="77777777" w:rsidR="00500202" w:rsidRDefault="00500202">
      <w:pPr>
        <w:rPr>
          <w:rFonts w:ascii="Times New Roman" w:eastAsia="Times New Roman" w:hAnsi="Times New Roman"/>
          <w:sz w:val="24"/>
          <w:szCs w:val="24"/>
        </w:rPr>
      </w:pPr>
    </w:p>
    <w:p w14:paraId="048E4704" w14:textId="77777777" w:rsidR="00500202" w:rsidRDefault="00500202">
      <w:pPr>
        <w:rPr>
          <w:rFonts w:ascii="Times New Roman" w:eastAsia="Times New Roman" w:hAnsi="Times New Roman"/>
          <w:sz w:val="24"/>
          <w:szCs w:val="24"/>
        </w:rPr>
      </w:pPr>
    </w:p>
    <w:p w14:paraId="6147274A" w14:textId="77777777" w:rsidR="00500202" w:rsidRDefault="00500202">
      <w:pPr>
        <w:rPr>
          <w:rFonts w:ascii="Times New Roman" w:eastAsia="Times New Roman" w:hAnsi="Times New Roman"/>
          <w:sz w:val="24"/>
          <w:szCs w:val="24"/>
        </w:rPr>
      </w:pPr>
    </w:p>
    <w:p w14:paraId="01BB1CA0" w14:textId="77777777" w:rsidR="00500202" w:rsidRDefault="00500202">
      <w:pPr>
        <w:rPr>
          <w:rFonts w:ascii="Times New Roman" w:eastAsia="Times New Roman" w:hAnsi="Times New Roman"/>
          <w:sz w:val="24"/>
          <w:szCs w:val="24"/>
        </w:rPr>
      </w:pPr>
    </w:p>
    <w:p w14:paraId="0245D855" w14:textId="77777777" w:rsidR="00500202" w:rsidRDefault="00500202">
      <w:pPr>
        <w:rPr>
          <w:rFonts w:ascii="Times New Roman" w:eastAsia="Times New Roman" w:hAnsi="Times New Roman"/>
          <w:sz w:val="24"/>
          <w:szCs w:val="24"/>
        </w:rPr>
      </w:pPr>
    </w:p>
    <w:p w14:paraId="4C88DCD1" w14:textId="77777777" w:rsidR="00500202" w:rsidRDefault="00500202">
      <w:pPr>
        <w:rPr>
          <w:rFonts w:ascii="Times New Roman" w:eastAsia="Times New Roman" w:hAnsi="Times New Roman"/>
          <w:sz w:val="24"/>
          <w:szCs w:val="24"/>
        </w:rPr>
      </w:pPr>
    </w:p>
    <w:p w14:paraId="398C27A5" w14:textId="77777777" w:rsidR="00500202" w:rsidRDefault="00500202">
      <w:pPr>
        <w:rPr>
          <w:rFonts w:ascii="Times New Roman" w:eastAsia="Times New Roman" w:hAnsi="Times New Roman"/>
          <w:sz w:val="24"/>
          <w:szCs w:val="24"/>
        </w:rPr>
      </w:pPr>
    </w:p>
    <w:p w14:paraId="50D9C274" w14:textId="77777777" w:rsidR="00500202" w:rsidRDefault="00500202">
      <w:pPr>
        <w:rPr>
          <w:rFonts w:ascii="Times New Roman" w:eastAsia="Times New Roman" w:hAnsi="Times New Roman"/>
          <w:sz w:val="24"/>
          <w:szCs w:val="24"/>
        </w:rPr>
      </w:pPr>
    </w:p>
    <w:p w14:paraId="4D05A9FE" w14:textId="77777777" w:rsidR="00500202" w:rsidRDefault="00500202">
      <w:pPr>
        <w:rPr>
          <w:rFonts w:ascii="Times New Roman" w:eastAsia="Times New Roman" w:hAnsi="Times New Roman"/>
          <w:sz w:val="24"/>
          <w:szCs w:val="24"/>
        </w:rPr>
      </w:pPr>
    </w:p>
    <w:p w14:paraId="6D57448C" w14:textId="77777777" w:rsidR="00500202" w:rsidRDefault="00500202">
      <w:pPr>
        <w:rPr>
          <w:rFonts w:ascii="Times New Roman" w:eastAsia="Times New Roman" w:hAnsi="Times New Roman"/>
          <w:sz w:val="24"/>
          <w:szCs w:val="24"/>
        </w:rPr>
      </w:pPr>
    </w:p>
    <w:p w14:paraId="47ED8F71" w14:textId="77777777" w:rsidR="00500202" w:rsidRDefault="00500202">
      <w:pPr>
        <w:rPr>
          <w:rFonts w:ascii="Times New Roman" w:eastAsia="Times New Roman" w:hAnsi="Times New Roman"/>
          <w:sz w:val="24"/>
          <w:szCs w:val="24"/>
        </w:rPr>
      </w:pPr>
    </w:p>
    <w:p w14:paraId="7FA4C122" w14:textId="77777777" w:rsidR="00500202" w:rsidRDefault="00500202">
      <w:pPr>
        <w:rPr>
          <w:rFonts w:ascii="Times New Roman" w:eastAsia="Times New Roman" w:hAnsi="Times New Roman"/>
          <w:sz w:val="24"/>
          <w:szCs w:val="24"/>
        </w:rPr>
      </w:pPr>
    </w:p>
    <w:p w14:paraId="6E922272" w14:textId="77777777" w:rsidR="00500202" w:rsidRDefault="00500202">
      <w:pPr>
        <w:rPr>
          <w:rFonts w:ascii="Times New Roman" w:eastAsia="Times New Roman" w:hAnsi="Times New Roman"/>
          <w:sz w:val="24"/>
          <w:szCs w:val="24"/>
        </w:rPr>
      </w:pPr>
    </w:p>
    <w:p w14:paraId="77405B3C" w14:textId="77777777" w:rsidR="00500202" w:rsidRDefault="00500202">
      <w:pPr>
        <w:rPr>
          <w:rFonts w:ascii="Times New Roman" w:eastAsia="Times New Roman" w:hAnsi="Times New Roman"/>
          <w:sz w:val="24"/>
          <w:szCs w:val="24"/>
        </w:rPr>
      </w:pPr>
    </w:p>
    <w:p w14:paraId="7AF8F552" w14:textId="77777777" w:rsidR="00500202" w:rsidRDefault="00500202">
      <w:pPr>
        <w:rPr>
          <w:rFonts w:ascii="Times New Roman" w:eastAsia="Times New Roman" w:hAnsi="Times New Roman"/>
          <w:sz w:val="24"/>
          <w:szCs w:val="24"/>
        </w:rPr>
      </w:pPr>
    </w:p>
    <w:p w14:paraId="3BE8339D" w14:textId="77777777" w:rsidR="00500202" w:rsidRDefault="00500202">
      <w:pPr>
        <w:rPr>
          <w:rFonts w:ascii="Times New Roman" w:eastAsia="Times New Roman" w:hAnsi="Times New Roman"/>
          <w:sz w:val="24"/>
          <w:szCs w:val="24"/>
        </w:rPr>
      </w:pPr>
    </w:p>
    <w:p w14:paraId="5610EC5E" w14:textId="77777777" w:rsidR="00500202" w:rsidRDefault="00500202">
      <w:pPr>
        <w:rPr>
          <w:rFonts w:ascii="Times New Roman" w:eastAsia="Times New Roman" w:hAnsi="Times New Roman"/>
          <w:sz w:val="24"/>
          <w:szCs w:val="24"/>
        </w:rPr>
      </w:pPr>
    </w:p>
    <w:p w14:paraId="6248C649" w14:textId="77777777" w:rsidR="00066305" w:rsidRDefault="00066305">
      <w:pPr>
        <w:rPr>
          <w:rFonts w:ascii="Times New Roman" w:eastAsia="Times New Roman" w:hAnsi="Times New Roman"/>
          <w:sz w:val="24"/>
          <w:szCs w:val="24"/>
        </w:rPr>
      </w:pPr>
    </w:p>
    <w:p w14:paraId="1CEBCD31" w14:textId="77777777" w:rsidR="00500202" w:rsidRDefault="00500202">
      <w:pPr>
        <w:rPr>
          <w:rFonts w:ascii="Times New Roman" w:eastAsia="Times New Roman" w:hAnsi="Times New Roman"/>
          <w:sz w:val="24"/>
          <w:szCs w:val="24"/>
        </w:rPr>
      </w:pPr>
    </w:p>
    <w:p w14:paraId="1D2B8F25" w14:textId="77777777" w:rsidR="00500202" w:rsidRDefault="00500202">
      <w:pPr>
        <w:rPr>
          <w:rFonts w:ascii="Times New Roman" w:eastAsia="Times New Roman" w:hAnsi="Times New Roman"/>
          <w:sz w:val="24"/>
          <w:szCs w:val="24"/>
        </w:rPr>
      </w:pPr>
    </w:p>
    <w:p w14:paraId="2B1F36B7" w14:textId="77777777" w:rsidR="00500202" w:rsidRDefault="00500202">
      <w:pPr>
        <w:rPr>
          <w:rFonts w:ascii="Times New Roman" w:eastAsia="Times New Roman" w:hAnsi="Times New Roman"/>
          <w:sz w:val="24"/>
          <w:szCs w:val="24"/>
        </w:rPr>
      </w:pPr>
    </w:p>
    <w:p w14:paraId="6782CDC4" w14:textId="77777777" w:rsidR="00500202" w:rsidRDefault="00500202">
      <w:pPr>
        <w:rPr>
          <w:rFonts w:ascii="Times New Roman" w:eastAsia="Times New Roman" w:hAnsi="Times New Roman"/>
          <w:sz w:val="24"/>
          <w:szCs w:val="24"/>
        </w:rPr>
      </w:pPr>
    </w:p>
    <w:p w14:paraId="201CB664" w14:textId="77777777" w:rsidR="00500202" w:rsidRDefault="00500202">
      <w:pPr>
        <w:rPr>
          <w:rFonts w:ascii="Times New Roman" w:eastAsia="Times New Roman" w:hAnsi="Times New Roman"/>
          <w:sz w:val="24"/>
          <w:szCs w:val="24"/>
        </w:rPr>
      </w:pPr>
    </w:p>
    <w:p w14:paraId="088DDA2C" w14:textId="77777777" w:rsidR="00500202" w:rsidRDefault="00FD7EFC">
      <w:pPr>
        <w:rPr>
          <w:rStyle w:val="Hyperlink"/>
          <w:rFonts w:ascii="Times New Roman" w:eastAsia="Times New Roman" w:hAnsi="Times New Roman"/>
          <w:color w:val="auto"/>
          <w:u w:val="none"/>
        </w:rPr>
      </w:pPr>
      <w:r>
        <w:rPr>
          <w:rStyle w:val="Hyperlink"/>
          <w:rFonts w:ascii="Times New Roman" w:eastAsia="Times New Roman" w:hAnsi="Times New Roman"/>
          <w:color w:val="auto"/>
          <w:u w:val="none"/>
        </w:rPr>
        <w:t>I. Buda, tālr. 67335031</w:t>
      </w:r>
    </w:p>
    <w:p w14:paraId="44F7742B" w14:textId="77777777" w:rsidR="00500202" w:rsidRDefault="00A74585">
      <w:pPr>
        <w:rPr>
          <w:rFonts w:ascii="Times New Roman" w:eastAsia="Times New Roman" w:hAnsi="Times New Roman"/>
          <w:sz w:val="20"/>
          <w:szCs w:val="20"/>
        </w:rPr>
      </w:pPr>
      <w:hyperlink r:id="rId9">
        <w:r w:rsidR="00FD7EFC">
          <w:rPr>
            <w:rStyle w:val="Hyperlink"/>
            <w:rFonts w:ascii="Times New Roman" w:eastAsia="Times New Roman" w:hAnsi="Times New Roman"/>
          </w:rPr>
          <w:t>Inara.Buda@mod.gov.lv</w:t>
        </w:r>
      </w:hyperlink>
      <w:r w:rsidR="00FD7EFC">
        <w:rPr>
          <w:rStyle w:val="Hyperlink"/>
          <w:rFonts w:ascii="Times New Roman" w:eastAsia="Times New Roman" w:hAnsi="Times New Roman"/>
          <w:color w:val="auto"/>
          <w:u w:val="none"/>
        </w:rPr>
        <w:t xml:space="preserve"> </w:t>
      </w:r>
    </w:p>
    <w:sectPr w:rsidR="00500202">
      <w:headerReference w:type="default" r:id="rId10"/>
      <w:footerReference w:type="default" r:id="rId11"/>
      <w:footerReference w:type="first" r:id="rId12"/>
      <w:pgSz w:w="11906" w:h="16838" w:code="9"/>
      <w:pgMar w:top="85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F33E" w14:textId="77777777" w:rsidR="00A0051D" w:rsidRDefault="00FD7EFC">
      <w:r>
        <w:separator/>
      </w:r>
    </w:p>
  </w:endnote>
  <w:endnote w:type="continuationSeparator" w:id="0">
    <w:p w14:paraId="7F749F40" w14:textId="77777777" w:rsidR="00A0051D" w:rsidRDefault="00FD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CDC6" w14:textId="77777777" w:rsidR="00500202" w:rsidRDefault="00066305">
    <w:pPr>
      <w:pStyle w:val="Footer"/>
      <w:rPr>
        <w:rFonts w:ascii="Times New Roman" w:eastAsia="Times New Roman" w:hAnsi="Times New Roman"/>
        <w:sz w:val="20"/>
        <w:szCs w:val="20"/>
      </w:rPr>
    </w:pPr>
    <w:r>
      <w:rPr>
        <w:rFonts w:ascii="Times New Roman" w:eastAsia="Times New Roman" w:hAnsi="Times New Roman"/>
        <w:sz w:val="20"/>
        <w:szCs w:val="20"/>
      </w:rPr>
      <w:t>AIManot_08</w:t>
    </w:r>
    <w:r w:rsidR="00770ABE">
      <w:rPr>
        <w:rFonts w:ascii="Times New Roman" w:eastAsia="Times New Roman" w:hAnsi="Times New Roman"/>
        <w:sz w:val="20"/>
        <w:szCs w:val="20"/>
      </w:rPr>
      <w:t>09</w:t>
    </w:r>
    <w:r w:rsidR="00FD7EFC">
      <w:rPr>
        <w:rFonts w:ascii="Times New Roman" w:eastAsia="Times New Roman" w:hAnsi="Times New Roman"/>
        <w:sz w:val="20"/>
        <w:szCs w:val="20"/>
      </w:rPr>
      <w:t>20_Adazi_fin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A8AD" w14:textId="77777777" w:rsidR="00500202" w:rsidRDefault="00770ABE">
    <w:pPr>
      <w:pStyle w:val="Footer"/>
      <w:rPr>
        <w:rFonts w:ascii="Times New Roman" w:eastAsia="Times New Roman" w:hAnsi="Times New Roman"/>
        <w:sz w:val="20"/>
        <w:szCs w:val="20"/>
      </w:rPr>
    </w:pPr>
    <w:r>
      <w:rPr>
        <w:rFonts w:ascii="Times New Roman" w:eastAsia="Times New Roman" w:hAnsi="Times New Roman"/>
        <w:sz w:val="20"/>
        <w:szCs w:val="20"/>
      </w:rPr>
      <w:t>AIManot_0</w:t>
    </w:r>
    <w:r w:rsidR="00066305">
      <w:rPr>
        <w:rFonts w:ascii="Times New Roman" w:eastAsia="Times New Roman" w:hAnsi="Times New Roman"/>
        <w:sz w:val="20"/>
        <w:szCs w:val="20"/>
      </w:rPr>
      <w:t>8</w:t>
    </w:r>
    <w:r>
      <w:rPr>
        <w:rFonts w:ascii="Times New Roman" w:eastAsia="Times New Roman" w:hAnsi="Times New Roman"/>
        <w:sz w:val="20"/>
        <w:szCs w:val="20"/>
      </w:rPr>
      <w:t>09</w:t>
    </w:r>
    <w:r w:rsidR="00FD7EFC">
      <w:rPr>
        <w:rFonts w:ascii="Times New Roman" w:eastAsia="Times New Roman" w:hAnsi="Times New Roman"/>
        <w:sz w:val="20"/>
        <w:szCs w:val="20"/>
      </w:rPr>
      <w:t>20_Adazi_fin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ECB5" w14:textId="77777777" w:rsidR="00A0051D" w:rsidRDefault="00FD7EFC">
      <w:r>
        <w:separator/>
      </w:r>
    </w:p>
  </w:footnote>
  <w:footnote w:type="continuationSeparator" w:id="0">
    <w:p w14:paraId="6D6DA579" w14:textId="77777777" w:rsidR="00A0051D" w:rsidRDefault="00FD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37BD" w14:textId="77777777" w:rsidR="00500202" w:rsidRDefault="00FD7EFC">
    <w:pPr>
      <w:pStyle w:val="Header"/>
      <w:jc w:val="center"/>
      <w:rPr>
        <w:rFonts w:ascii="Times New Roman" w:eastAsia="Times New Roman" w:hAnsi="Times New Roman"/>
        <w:sz w:val="24"/>
        <w:szCs w:val="24"/>
      </w:rPr>
    </w:pPr>
    <w:r>
      <w:rPr>
        <w:rFonts w:ascii="Times New Roman" w:eastAsia="Times New Roman" w:hAnsi="Times New Roman"/>
        <w:sz w:val="24"/>
        <w:szCs w:val="24"/>
      </w:rPr>
      <w:fldChar w:fldCharType="begin"/>
    </w:r>
    <w:r>
      <w:instrText>PAGE  \* MERGEFORMAT</w:instrText>
    </w:r>
    <w:r>
      <w:fldChar w:fldCharType="separate"/>
    </w:r>
    <w:r w:rsidR="00A74585" w:rsidRPr="00A74585">
      <w:rPr>
        <w:rFonts w:ascii="Times New Roman" w:eastAsia="Times New Roman" w:hAnsi="Times New Roman"/>
        <w:noProof/>
        <w:sz w:val="24"/>
        <w:szCs w:val="24"/>
      </w:rPr>
      <w:t>3</w:t>
    </w:r>
    <w:r>
      <w:rPr>
        <w:rFonts w:ascii="Times New Roman" w:eastAsia="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29B3F380"/>
    <w:lvl w:ilvl="0" w:tplc="684ED2CC">
      <w:start w:val="1"/>
      <w:numFmt w:val="bullet"/>
      <w:lvlText w:val="-"/>
      <w:lvlJc w:val="left"/>
      <w:pPr>
        <w:ind w:left="720" w:hanging="360"/>
        <w:jc w:val="both"/>
      </w:pPr>
      <w:rPr>
        <w:rFonts w:ascii="Times New Roman" w:eastAsia="Times New Roman" w:hAnsi="Times New Roman"/>
        <w:w w:val="100"/>
        <w:sz w:val="20"/>
        <w:szCs w:val="20"/>
        <w:shd w:val="clear" w:color="auto" w:fill="auto"/>
      </w:rPr>
    </w:lvl>
    <w:lvl w:ilvl="1" w:tplc="873ECA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3725644">
      <w:start w:val="1"/>
      <w:numFmt w:val="bullet"/>
      <w:lvlText w:val="§"/>
      <w:lvlJc w:val="left"/>
      <w:pPr>
        <w:ind w:left="2160" w:hanging="360"/>
        <w:jc w:val="both"/>
      </w:pPr>
      <w:rPr>
        <w:rFonts w:ascii="Wingdings" w:eastAsia="Wingdings" w:hAnsi="Wingdings"/>
        <w:w w:val="100"/>
        <w:sz w:val="20"/>
        <w:szCs w:val="20"/>
        <w:shd w:val="clear" w:color="auto" w:fill="auto"/>
      </w:rPr>
    </w:lvl>
    <w:lvl w:ilvl="3" w:tplc="FFE45E80">
      <w:start w:val="1"/>
      <w:numFmt w:val="bullet"/>
      <w:lvlText w:val="·"/>
      <w:lvlJc w:val="left"/>
      <w:pPr>
        <w:ind w:left="2880" w:hanging="360"/>
        <w:jc w:val="both"/>
      </w:pPr>
      <w:rPr>
        <w:rFonts w:ascii="Symbol" w:eastAsia="Symbol" w:hAnsi="Symbol"/>
        <w:w w:val="100"/>
        <w:sz w:val="20"/>
        <w:szCs w:val="20"/>
        <w:shd w:val="clear" w:color="auto" w:fill="auto"/>
      </w:rPr>
    </w:lvl>
    <w:lvl w:ilvl="4" w:tplc="ACD03DE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B7EDFCC">
      <w:start w:val="1"/>
      <w:numFmt w:val="bullet"/>
      <w:lvlText w:val="§"/>
      <w:lvlJc w:val="left"/>
      <w:pPr>
        <w:ind w:left="4320" w:hanging="360"/>
        <w:jc w:val="both"/>
      </w:pPr>
      <w:rPr>
        <w:rFonts w:ascii="Wingdings" w:eastAsia="Wingdings" w:hAnsi="Wingdings"/>
        <w:w w:val="100"/>
        <w:sz w:val="20"/>
        <w:szCs w:val="20"/>
        <w:shd w:val="clear" w:color="auto" w:fill="auto"/>
      </w:rPr>
    </w:lvl>
    <w:lvl w:ilvl="6" w:tplc="13666CB2">
      <w:start w:val="1"/>
      <w:numFmt w:val="bullet"/>
      <w:lvlText w:val="·"/>
      <w:lvlJc w:val="left"/>
      <w:pPr>
        <w:ind w:left="5040" w:hanging="360"/>
        <w:jc w:val="both"/>
      </w:pPr>
      <w:rPr>
        <w:rFonts w:ascii="Symbol" w:eastAsia="Symbol" w:hAnsi="Symbol"/>
        <w:w w:val="100"/>
        <w:sz w:val="20"/>
        <w:szCs w:val="20"/>
        <w:shd w:val="clear" w:color="auto" w:fill="auto"/>
      </w:rPr>
    </w:lvl>
    <w:lvl w:ilvl="7" w:tplc="59C8B3D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D76A93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multilevel"/>
    <w:tmpl w:val="30EB79ED"/>
    <w:lvl w:ilvl="0">
      <w:start w:val="1"/>
      <w:numFmt w:val="decimal"/>
      <w:lvlText w:val="%1."/>
      <w:lvlJc w:val="left"/>
      <w:pPr>
        <w:ind w:left="720" w:hanging="360"/>
        <w:jc w:val="both"/>
      </w:pPr>
      <w:rPr>
        <w:w w:val="100"/>
        <w:sz w:val="20"/>
        <w:szCs w:val="20"/>
        <w:shd w:val="clear" w:color="auto" w:fill="auto"/>
      </w:rPr>
    </w:lvl>
    <w:lvl w:ilvl="1">
      <w:start w:val="1"/>
      <w:numFmt w:val="decimal"/>
      <w:lvlText w:val="%1.%2."/>
      <w:lvlJc w:val="left"/>
      <w:pPr>
        <w:ind w:left="1080" w:hanging="360"/>
        <w:jc w:val="both"/>
      </w:pPr>
      <w:rPr>
        <w:w w:val="100"/>
        <w:sz w:val="20"/>
        <w:szCs w:val="20"/>
        <w:shd w:val="clear" w:color="auto" w:fill="auto"/>
      </w:rPr>
    </w:lvl>
    <w:lvl w:ilvl="2">
      <w:start w:val="1"/>
      <w:numFmt w:val="decimal"/>
      <w:lvlText w:val="%1.%2.%3."/>
      <w:lvlJc w:val="left"/>
      <w:pPr>
        <w:ind w:left="1800" w:hanging="720"/>
        <w:jc w:val="both"/>
      </w:pPr>
      <w:rPr>
        <w:w w:val="100"/>
        <w:sz w:val="20"/>
        <w:szCs w:val="20"/>
        <w:shd w:val="clear" w:color="auto" w:fill="auto"/>
      </w:rPr>
    </w:lvl>
    <w:lvl w:ilvl="3">
      <w:start w:val="1"/>
      <w:numFmt w:val="decimal"/>
      <w:lvlText w:val="%1.%2.%3.%4."/>
      <w:lvlJc w:val="left"/>
      <w:pPr>
        <w:ind w:left="2160" w:hanging="720"/>
        <w:jc w:val="both"/>
      </w:pPr>
      <w:rPr>
        <w:w w:val="100"/>
        <w:sz w:val="20"/>
        <w:szCs w:val="20"/>
        <w:shd w:val="clear" w:color="auto" w:fill="auto"/>
      </w:rPr>
    </w:lvl>
    <w:lvl w:ilvl="4">
      <w:start w:val="1"/>
      <w:numFmt w:val="decimal"/>
      <w:lvlText w:val="%1.%2.%3.%4.%5."/>
      <w:lvlJc w:val="left"/>
      <w:pPr>
        <w:ind w:left="2880" w:hanging="1080"/>
        <w:jc w:val="both"/>
      </w:pPr>
      <w:rPr>
        <w:w w:val="100"/>
        <w:sz w:val="20"/>
        <w:szCs w:val="20"/>
        <w:shd w:val="clear" w:color="auto" w:fill="auto"/>
      </w:rPr>
    </w:lvl>
    <w:lvl w:ilvl="5">
      <w:start w:val="1"/>
      <w:numFmt w:val="decimal"/>
      <w:lvlText w:val="%1.%2.%3.%4.%5.%6."/>
      <w:lvlJc w:val="left"/>
      <w:pPr>
        <w:ind w:left="3240" w:hanging="1080"/>
        <w:jc w:val="both"/>
      </w:pPr>
      <w:rPr>
        <w:w w:val="100"/>
        <w:sz w:val="20"/>
        <w:szCs w:val="20"/>
        <w:shd w:val="clear" w:color="auto" w:fill="auto"/>
      </w:rPr>
    </w:lvl>
    <w:lvl w:ilvl="6">
      <w:start w:val="1"/>
      <w:numFmt w:val="decimal"/>
      <w:lvlText w:val="%1.%2.%3.%4.%5.%6.%7."/>
      <w:lvlJc w:val="left"/>
      <w:pPr>
        <w:ind w:left="3960" w:hanging="1440"/>
        <w:jc w:val="both"/>
      </w:pPr>
      <w:rPr>
        <w:w w:val="100"/>
        <w:sz w:val="20"/>
        <w:szCs w:val="20"/>
        <w:shd w:val="clear" w:color="auto" w:fill="auto"/>
      </w:rPr>
    </w:lvl>
    <w:lvl w:ilvl="7">
      <w:start w:val="1"/>
      <w:numFmt w:val="decimal"/>
      <w:lvlText w:val="%1.%2.%3.%4.%5.%6.%7.%8."/>
      <w:lvlJc w:val="left"/>
      <w:pPr>
        <w:ind w:left="4320" w:hanging="1440"/>
        <w:jc w:val="both"/>
      </w:pPr>
      <w:rPr>
        <w:w w:val="100"/>
        <w:sz w:val="20"/>
        <w:szCs w:val="20"/>
        <w:shd w:val="clear" w:color="auto" w:fill="auto"/>
      </w:rPr>
    </w:lvl>
    <w:lvl w:ilvl="8">
      <w:start w:val="1"/>
      <w:numFmt w:val="decimal"/>
      <w:lvlText w:val="%1.%2.%3.%4.%5.%6.%7.%8.%9."/>
      <w:lvlJc w:val="left"/>
      <w:pPr>
        <w:ind w:left="5040" w:hanging="1800"/>
        <w:jc w:val="both"/>
      </w:pPr>
      <w:rPr>
        <w:w w:val="100"/>
        <w:sz w:val="20"/>
        <w:szCs w:val="20"/>
        <w:shd w:val="clear" w:color="auto" w:fill="auto"/>
      </w:rPr>
    </w:lvl>
  </w:abstractNum>
  <w:abstractNum w:abstractNumId="2" w15:restartNumberingAfterBreak="0">
    <w:nsid w:val="2F000002"/>
    <w:multiLevelType w:val="hybridMultilevel"/>
    <w:tmpl w:val="2D16D03B"/>
    <w:lvl w:ilvl="0" w:tplc="C48CC6B2">
      <w:start w:val="1"/>
      <w:numFmt w:val="bullet"/>
      <w:lvlText w:val="·"/>
      <w:lvlJc w:val="left"/>
      <w:pPr>
        <w:ind w:left="720" w:hanging="360"/>
        <w:jc w:val="both"/>
      </w:pPr>
      <w:rPr>
        <w:rFonts w:ascii="Symbol" w:eastAsia="Symbol" w:hAnsi="Symbol"/>
        <w:w w:val="100"/>
        <w:sz w:val="20"/>
        <w:szCs w:val="20"/>
        <w:shd w:val="clear" w:color="auto" w:fill="auto"/>
      </w:rPr>
    </w:lvl>
    <w:lvl w:ilvl="1" w:tplc="4FE0A4D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94C572E">
      <w:start w:val="1"/>
      <w:numFmt w:val="bullet"/>
      <w:lvlText w:val="§"/>
      <w:lvlJc w:val="left"/>
      <w:pPr>
        <w:ind w:left="2160" w:hanging="360"/>
        <w:jc w:val="both"/>
      </w:pPr>
      <w:rPr>
        <w:rFonts w:ascii="Wingdings" w:eastAsia="Wingdings" w:hAnsi="Wingdings"/>
        <w:w w:val="100"/>
        <w:sz w:val="20"/>
        <w:szCs w:val="20"/>
        <w:shd w:val="clear" w:color="auto" w:fill="auto"/>
      </w:rPr>
    </w:lvl>
    <w:lvl w:ilvl="3" w:tplc="10E6C226">
      <w:start w:val="1"/>
      <w:numFmt w:val="bullet"/>
      <w:lvlText w:val="·"/>
      <w:lvlJc w:val="left"/>
      <w:pPr>
        <w:ind w:left="2880" w:hanging="360"/>
        <w:jc w:val="both"/>
      </w:pPr>
      <w:rPr>
        <w:rFonts w:ascii="Symbol" w:eastAsia="Symbol" w:hAnsi="Symbol"/>
        <w:w w:val="100"/>
        <w:sz w:val="20"/>
        <w:szCs w:val="20"/>
        <w:shd w:val="clear" w:color="auto" w:fill="auto"/>
      </w:rPr>
    </w:lvl>
    <w:lvl w:ilvl="4" w:tplc="A0A2CEE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4EC1550">
      <w:start w:val="1"/>
      <w:numFmt w:val="bullet"/>
      <w:lvlText w:val="§"/>
      <w:lvlJc w:val="left"/>
      <w:pPr>
        <w:ind w:left="4320" w:hanging="360"/>
        <w:jc w:val="both"/>
      </w:pPr>
      <w:rPr>
        <w:rFonts w:ascii="Wingdings" w:eastAsia="Wingdings" w:hAnsi="Wingdings"/>
        <w:w w:val="100"/>
        <w:sz w:val="20"/>
        <w:szCs w:val="20"/>
        <w:shd w:val="clear" w:color="auto" w:fill="auto"/>
      </w:rPr>
    </w:lvl>
    <w:lvl w:ilvl="6" w:tplc="233CFD78">
      <w:start w:val="1"/>
      <w:numFmt w:val="bullet"/>
      <w:lvlText w:val="·"/>
      <w:lvlJc w:val="left"/>
      <w:pPr>
        <w:ind w:left="5040" w:hanging="360"/>
        <w:jc w:val="both"/>
      </w:pPr>
      <w:rPr>
        <w:rFonts w:ascii="Symbol" w:eastAsia="Symbol" w:hAnsi="Symbol"/>
        <w:w w:val="100"/>
        <w:sz w:val="20"/>
        <w:szCs w:val="20"/>
        <w:shd w:val="clear" w:color="auto" w:fill="auto"/>
      </w:rPr>
    </w:lvl>
    <w:lvl w:ilvl="7" w:tplc="A97A54A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E221CD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C171A61"/>
    <w:lvl w:ilvl="0" w:tplc="1BB442CC">
      <w:start w:val="2"/>
      <w:numFmt w:val="bullet"/>
      <w:lvlText w:val="-"/>
      <w:lvlJc w:val="left"/>
      <w:pPr>
        <w:ind w:left="819" w:hanging="360"/>
        <w:jc w:val="both"/>
      </w:pPr>
      <w:rPr>
        <w:rFonts w:ascii="Times New Roman" w:eastAsia="Times New Roman" w:hAnsi="Times New Roman"/>
        <w:w w:val="100"/>
        <w:sz w:val="20"/>
        <w:szCs w:val="20"/>
        <w:shd w:val="clear" w:color="auto" w:fill="auto"/>
      </w:rPr>
    </w:lvl>
    <w:lvl w:ilvl="1" w:tplc="D714D7DE">
      <w:start w:val="1"/>
      <w:numFmt w:val="bullet"/>
      <w:lvlText w:val="o"/>
      <w:lvlJc w:val="left"/>
      <w:pPr>
        <w:ind w:left="1539" w:hanging="360"/>
        <w:jc w:val="both"/>
      </w:pPr>
      <w:rPr>
        <w:rFonts w:ascii="Courier New" w:eastAsia="Courier New" w:hAnsi="Courier New"/>
        <w:w w:val="100"/>
        <w:sz w:val="20"/>
        <w:szCs w:val="20"/>
        <w:shd w:val="clear" w:color="auto" w:fill="auto"/>
      </w:rPr>
    </w:lvl>
    <w:lvl w:ilvl="2" w:tplc="E6C4B35C">
      <w:start w:val="1"/>
      <w:numFmt w:val="bullet"/>
      <w:lvlText w:val="§"/>
      <w:lvlJc w:val="left"/>
      <w:pPr>
        <w:ind w:left="2259" w:hanging="360"/>
        <w:jc w:val="both"/>
      </w:pPr>
      <w:rPr>
        <w:rFonts w:ascii="Wingdings" w:eastAsia="Wingdings" w:hAnsi="Wingdings"/>
        <w:w w:val="100"/>
        <w:sz w:val="20"/>
        <w:szCs w:val="20"/>
        <w:shd w:val="clear" w:color="auto" w:fill="auto"/>
      </w:rPr>
    </w:lvl>
    <w:lvl w:ilvl="3" w:tplc="57281656">
      <w:start w:val="1"/>
      <w:numFmt w:val="bullet"/>
      <w:lvlText w:val="·"/>
      <w:lvlJc w:val="left"/>
      <w:pPr>
        <w:ind w:left="2979" w:hanging="360"/>
        <w:jc w:val="both"/>
      </w:pPr>
      <w:rPr>
        <w:rFonts w:ascii="Symbol" w:eastAsia="Symbol" w:hAnsi="Symbol"/>
        <w:w w:val="100"/>
        <w:sz w:val="20"/>
        <w:szCs w:val="20"/>
        <w:shd w:val="clear" w:color="auto" w:fill="auto"/>
      </w:rPr>
    </w:lvl>
    <w:lvl w:ilvl="4" w:tplc="2C6A4E9E">
      <w:start w:val="1"/>
      <w:numFmt w:val="bullet"/>
      <w:lvlText w:val="o"/>
      <w:lvlJc w:val="left"/>
      <w:pPr>
        <w:ind w:left="3699" w:hanging="360"/>
        <w:jc w:val="both"/>
      </w:pPr>
      <w:rPr>
        <w:rFonts w:ascii="Courier New" w:eastAsia="Courier New" w:hAnsi="Courier New"/>
        <w:w w:val="100"/>
        <w:sz w:val="20"/>
        <w:szCs w:val="20"/>
        <w:shd w:val="clear" w:color="auto" w:fill="auto"/>
      </w:rPr>
    </w:lvl>
    <w:lvl w:ilvl="5" w:tplc="9D1CE2F2">
      <w:start w:val="1"/>
      <w:numFmt w:val="bullet"/>
      <w:lvlText w:val="§"/>
      <w:lvlJc w:val="left"/>
      <w:pPr>
        <w:ind w:left="4419" w:hanging="360"/>
        <w:jc w:val="both"/>
      </w:pPr>
      <w:rPr>
        <w:rFonts w:ascii="Wingdings" w:eastAsia="Wingdings" w:hAnsi="Wingdings"/>
        <w:w w:val="100"/>
        <w:sz w:val="20"/>
        <w:szCs w:val="20"/>
        <w:shd w:val="clear" w:color="auto" w:fill="auto"/>
      </w:rPr>
    </w:lvl>
    <w:lvl w:ilvl="6" w:tplc="FCC23FF6">
      <w:start w:val="1"/>
      <w:numFmt w:val="bullet"/>
      <w:lvlText w:val="·"/>
      <w:lvlJc w:val="left"/>
      <w:pPr>
        <w:ind w:left="5139" w:hanging="360"/>
        <w:jc w:val="both"/>
      </w:pPr>
      <w:rPr>
        <w:rFonts w:ascii="Symbol" w:eastAsia="Symbol" w:hAnsi="Symbol"/>
        <w:w w:val="100"/>
        <w:sz w:val="20"/>
        <w:szCs w:val="20"/>
        <w:shd w:val="clear" w:color="auto" w:fill="auto"/>
      </w:rPr>
    </w:lvl>
    <w:lvl w:ilvl="7" w:tplc="0BD2C67C">
      <w:start w:val="1"/>
      <w:numFmt w:val="bullet"/>
      <w:lvlText w:val="o"/>
      <w:lvlJc w:val="left"/>
      <w:pPr>
        <w:ind w:left="5859" w:hanging="360"/>
        <w:jc w:val="both"/>
      </w:pPr>
      <w:rPr>
        <w:rFonts w:ascii="Courier New" w:eastAsia="Courier New" w:hAnsi="Courier New"/>
        <w:w w:val="100"/>
        <w:sz w:val="20"/>
        <w:szCs w:val="20"/>
        <w:shd w:val="clear" w:color="auto" w:fill="auto"/>
      </w:rPr>
    </w:lvl>
    <w:lvl w:ilvl="8" w:tplc="24CAAFA8">
      <w:start w:val="1"/>
      <w:numFmt w:val="bullet"/>
      <w:lvlText w:val="§"/>
      <w:lvlJc w:val="left"/>
      <w:pPr>
        <w:ind w:left="6579" w:hanging="360"/>
        <w:jc w:val="both"/>
      </w:pPr>
      <w:rPr>
        <w:rFonts w:ascii="Wingdings" w:eastAsia="Wingdings" w:hAnsi="Wingdings"/>
        <w:w w:val="100"/>
        <w:sz w:val="20"/>
        <w:szCs w:val="20"/>
        <w:shd w:val="clear" w:color="auto" w:fil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02"/>
    <w:rsid w:val="00066305"/>
    <w:rsid w:val="002630C0"/>
    <w:rsid w:val="00500202"/>
    <w:rsid w:val="00770ABE"/>
    <w:rsid w:val="00A0051D"/>
    <w:rsid w:val="00A74585"/>
    <w:rsid w:val="00A90914"/>
    <w:rsid w:val="00D8461B"/>
    <w:rsid w:val="00FC25C0"/>
    <w:rsid w:val="00FD7EF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4B20B81"/>
  <w15:docId w15:val="{B445A9F6-7DE4-4BCD-A092-E3A0D7C8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608A-B79C-4E18-AB05-46EB7C5F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2140</Words>
  <Characters>14471</Characters>
  <Application>Microsoft Office Word</Application>
  <DocSecurity>0</DocSecurity>
  <Lines>120</Lines>
  <Paragraphs>33</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Ministru kabineta rīkojuma projekta "Par finansējuma piešķiršanu Ādažu novada domei" sākotnējās ietekmes novērtējuma ziņojums (anotācija)</vt:lpstr>
      <vt:lpstr>Title text</vt:lpstr>
    </vt:vector>
  </TitlesOfParts>
  <Manager>Aizsardzības ministrija</Manager>
  <Company>AM</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Ādažu novada domei" sākotnējās ietekmes novērtējuma ziņojums (anotācija)</dc:title>
  <dc:subject>Sākotnējās ietekmes novērtējuma ziņojums (anotācija)</dc:subject>
  <dc:creator>Polaris Office</dc:creator>
  <cp:lastModifiedBy>Ināra Buda</cp:lastModifiedBy>
  <cp:revision>11</cp:revision>
  <dcterms:created xsi:type="dcterms:W3CDTF">2020-09-01T09:48:00Z</dcterms:created>
  <dcterms:modified xsi:type="dcterms:W3CDTF">2020-09-09T08:16:00Z</dcterms:modified>
</cp:coreProperties>
</file>