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0188"/>
      </w:tblGrid>
      <w:tr w:rsidR="00BD6FD2" w:rsidRPr="009C6C86" w14:paraId="4D61FD41" w14:textId="77777777" w:rsidTr="3B8D5503">
        <w:trPr>
          <w:jc w:val="center"/>
        </w:trPr>
        <w:tc>
          <w:tcPr>
            <w:tcW w:w="10188" w:type="dxa"/>
            <w:tcBorders>
              <w:bottom w:val="single" w:sz="6" w:space="0" w:color="000000" w:themeColor="text1"/>
            </w:tcBorders>
          </w:tcPr>
          <w:p w14:paraId="4CE3A860" w14:textId="069482D7" w:rsidR="00BD6FD2" w:rsidRPr="009C6C86" w:rsidRDefault="00D75348" w:rsidP="151D3900">
            <w:pPr>
              <w:pStyle w:val="Heading1"/>
              <w:spacing w:before="0" w:beforeAutospacing="0" w:after="0" w:afterAutospacing="0"/>
              <w:jc w:val="center"/>
              <w:rPr>
                <w:sz w:val="22"/>
                <w:szCs w:val="22"/>
              </w:rPr>
            </w:pPr>
            <w:bookmarkStart w:id="0" w:name="OLE_LINK1"/>
            <w:bookmarkStart w:id="1" w:name="OLE_LINK2"/>
            <w:r>
              <w:rPr>
                <w:sz w:val="22"/>
                <w:szCs w:val="22"/>
              </w:rPr>
              <w:t>Precizēta i</w:t>
            </w:r>
            <w:r w:rsidR="000C3947" w:rsidRPr="009C6C86">
              <w:rPr>
                <w:sz w:val="22"/>
                <w:szCs w:val="22"/>
              </w:rPr>
              <w:t>zziņa par atzinumos sniegtajiem iebildumiem</w:t>
            </w:r>
          </w:p>
          <w:bookmarkEnd w:id="0"/>
          <w:bookmarkEnd w:id="1"/>
          <w:p w14:paraId="4B0657C5" w14:textId="5FB8FC1F" w:rsidR="00BD6FD2" w:rsidRPr="009C6C86" w:rsidRDefault="0000506D" w:rsidP="3B8D5503">
            <w:pPr>
              <w:spacing w:before="120" w:after="120"/>
              <w:jc w:val="center"/>
              <w:rPr>
                <w:b/>
                <w:bCs/>
                <w:sz w:val="22"/>
                <w:szCs w:val="22"/>
              </w:rPr>
            </w:pPr>
            <w:r w:rsidRPr="009C6C86">
              <w:rPr>
                <w:b/>
                <w:bCs/>
                <w:sz w:val="22"/>
                <w:szCs w:val="22"/>
              </w:rPr>
              <w:t>konceptuālā ziņojuma projekt</w:t>
            </w:r>
            <w:r w:rsidR="00D75348">
              <w:rPr>
                <w:b/>
                <w:bCs/>
                <w:sz w:val="22"/>
                <w:szCs w:val="22"/>
              </w:rPr>
              <w:t>am</w:t>
            </w:r>
            <w:r w:rsidRPr="009C6C86">
              <w:rPr>
                <w:b/>
                <w:bCs/>
                <w:sz w:val="22"/>
                <w:szCs w:val="22"/>
              </w:rPr>
              <w:t xml:space="preserve"> “Kompleksi pasākumi obligātā iepirkuma komponentes problemātikas risināšanai un elektroenerģijas tirgus attīstībai”</w:t>
            </w:r>
          </w:p>
        </w:tc>
      </w:tr>
    </w:tbl>
    <w:p w14:paraId="433D748A" w14:textId="77777777" w:rsidR="00BD6FD2" w:rsidRPr="009C6C86" w:rsidRDefault="00BD6FD2" w:rsidP="00BD6FD2">
      <w:pPr>
        <w:pStyle w:val="naisf"/>
        <w:spacing w:before="0" w:after="0"/>
        <w:ind w:firstLine="0"/>
        <w:rPr>
          <w:b/>
          <w:sz w:val="22"/>
          <w:szCs w:val="22"/>
        </w:rPr>
      </w:pPr>
    </w:p>
    <w:p w14:paraId="27ACA861" w14:textId="77777777" w:rsidR="00BD6FD2" w:rsidRPr="009C6C86" w:rsidRDefault="00BD6FD2" w:rsidP="00BD6FD2">
      <w:pPr>
        <w:pStyle w:val="naisf"/>
        <w:spacing w:before="0" w:after="0"/>
        <w:ind w:firstLine="0"/>
        <w:jc w:val="center"/>
        <w:rPr>
          <w:b/>
          <w:sz w:val="22"/>
          <w:szCs w:val="22"/>
        </w:rPr>
      </w:pPr>
      <w:r w:rsidRPr="009C6C86">
        <w:rPr>
          <w:b/>
          <w:sz w:val="22"/>
          <w:szCs w:val="22"/>
        </w:rPr>
        <w:t>I. Jautājumi, par kuriem saskaņošanā vienošanās nav panākta</w:t>
      </w:r>
    </w:p>
    <w:p w14:paraId="25C44757" w14:textId="77777777" w:rsidR="00BD6FD2" w:rsidRPr="009C6C86" w:rsidRDefault="00BD6FD2" w:rsidP="00BD6FD2">
      <w:pPr>
        <w:pStyle w:val="naisf"/>
        <w:spacing w:before="0" w:after="0"/>
        <w:ind w:firstLine="720"/>
        <w:rPr>
          <w:sz w:val="22"/>
          <w:szCs w:val="22"/>
        </w:rPr>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3119"/>
        <w:gridCol w:w="3260"/>
        <w:gridCol w:w="2552"/>
        <w:gridCol w:w="2268"/>
      </w:tblGrid>
      <w:tr w:rsidR="00AE739A" w:rsidRPr="009C6C86" w14:paraId="71E5CD98" w14:textId="77777777" w:rsidTr="004C3B1A">
        <w:tc>
          <w:tcPr>
            <w:tcW w:w="67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5F18D9F" w14:textId="77777777" w:rsidR="00BD6FD2" w:rsidRPr="009C6C86" w:rsidRDefault="00BD6FD2" w:rsidP="00F838C6">
            <w:pPr>
              <w:pStyle w:val="naisc"/>
              <w:spacing w:before="0" w:after="0"/>
              <w:rPr>
                <w:sz w:val="22"/>
                <w:szCs w:val="22"/>
              </w:rPr>
            </w:pPr>
            <w:r w:rsidRPr="009C6C86">
              <w:rPr>
                <w:sz w:val="22"/>
                <w:szCs w:val="22"/>
              </w:rPr>
              <w:t>Nr. p.k.</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ED315BB" w14:textId="77777777" w:rsidR="00BD6FD2" w:rsidRPr="009C6C86" w:rsidRDefault="00BD6FD2" w:rsidP="00F838C6">
            <w:pPr>
              <w:pStyle w:val="naisc"/>
              <w:spacing w:before="0" w:after="0"/>
              <w:ind w:firstLine="12"/>
              <w:rPr>
                <w:sz w:val="22"/>
                <w:szCs w:val="22"/>
              </w:rPr>
            </w:pPr>
            <w:r w:rsidRPr="009C6C86">
              <w:rPr>
                <w:sz w:val="22"/>
                <w:szCs w:val="22"/>
              </w:rPr>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F58246" w14:textId="77777777" w:rsidR="00BD6FD2" w:rsidRPr="009C6C86" w:rsidRDefault="00BD6FD2" w:rsidP="00F838C6">
            <w:pPr>
              <w:pStyle w:val="naisc"/>
              <w:spacing w:before="0" w:after="0"/>
              <w:ind w:right="3"/>
              <w:rPr>
                <w:sz w:val="22"/>
                <w:szCs w:val="22"/>
              </w:rPr>
            </w:pPr>
            <w:r w:rsidRPr="009C6C86">
              <w:rPr>
                <w:sz w:val="22"/>
                <w:szCs w:val="22"/>
              </w:rPr>
              <w:t>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F937B03" w14:textId="77777777" w:rsidR="00BD6FD2" w:rsidRPr="009C6C86" w:rsidRDefault="00BD6FD2" w:rsidP="00F838C6">
            <w:pPr>
              <w:pStyle w:val="naisc"/>
              <w:spacing w:before="0" w:after="0"/>
              <w:ind w:firstLine="21"/>
              <w:rPr>
                <w:sz w:val="22"/>
                <w:szCs w:val="22"/>
              </w:rPr>
            </w:pPr>
            <w:r w:rsidRPr="009C6C86">
              <w:rPr>
                <w:sz w:val="22"/>
                <w:szCs w:val="22"/>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7E31C27" w14:textId="77777777" w:rsidR="00BD6FD2" w:rsidRPr="009C6C86" w:rsidRDefault="00BD6FD2" w:rsidP="00F838C6">
            <w:pPr>
              <w:jc w:val="center"/>
              <w:rPr>
                <w:sz w:val="22"/>
                <w:szCs w:val="22"/>
              </w:rPr>
            </w:pPr>
            <w:r w:rsidRPr="009C6C86">
              <w:rPr>
                <w:sz w:val="22"/>
                <w:szCs w:val="22"/>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shd w:val="clear" w:color="auto" w:fill="D9D9D9"/>
            <w:vAlign w:val="center"/>
          </w:tcPr>
          <w:p w14:paraId="2EBBB399" w14:textId="77777777" w:rsidR="00BD6FD2" w:rsidRPr="009C6C86" w:rsidRDefault="00BD6FD2" w:rsidP="00F838C6">
            <w:pPr>
              <w:jc w:val="center"/>
              <w:rPr>
                <w:sz w:val="22"/>
                <w:szCs w:val="22"/>
              </w:rPr>
            </w:pPr>
            <w:r w:rsidRPr="009C6C86">
              <w:rPr>
                <w:sz w:val="22"/>
                <w:szCs w:val="22"/>
              </w:rPr>
              <w:t>Projekta attiecīgā punkta (panta) galīgā redakcija</w:t>
            </w:r>
          </w:p>
        </w:tc>
      </w:tr>
      <w:tr w:rsidR="00AE739A" w:rsidRPr="009C6C86" w14:paraId="2D374505" w14:textId="77777777" w:rsidTr="00930F81">
        <w:trPr>
          <w:trHeight w:val="211"/>
        </w:trPr>
        <w:tc>
          <w:tcPr>
            <w:tcW w:w="675" w:type="dxa"/>
            <w:tcBorders>
              <w:top w:val="single" w:sz="6" w:space="0" w:color="000000"/>
              <w:left w:val="single" w:sz="6" w:space="0" w:color="000000"/>
              <w:bottom w:val="single" w:sz="6" w:space="0" w:color="000000"/>
              <w:right w:val="single" w:sz="6" w:space="0" w:color="000000"/>
            </w:tcBorders>
            <w:shd w:val="clear" w:color="auto" w:fill="D9D9D9"/>
          </w:tcPr>
          <w:p w14:paraId="180D3855" w14:textId="77777777" w:rsidR="00BD6FD2" w:rsidRPr="009C6C86" w:rsidRDefault="00BD6FD2" w:rsidP="00826949">
            <w:pPr>
              <w:pStyle w:val="naisc"/>
              <w:spacing w:before="0" w:after="0"/>
              <w:rPr>
                <w:sz w:val="22"/>
                <w:szCs w:val="22"/>
              </w:rPr>
            </w:pPr>
            <w:r w:rsidRPr="009C6C86">
              <w:rPr>
                <w:sz w:val="22"/>
                <w:szCs w:val="22"/>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Pr>
          <w:p w14:paraId="4E36CEF3" w14:textId="77777777" w:rsidR="00BD6FD2" w:rsidRPr="009C6C86" w:rsidRDefault="00BD6FD2" w:rsidP="00932EEE">
            <w:pPr>
              <w:pStyle w:val="naisc"/>
              <w:spacing w:before="0" w:after="0"/>
              <w:ind w:firstLine="720"/>
              <w:rPr>
                <w:sz w:val="22"/>
                <w:szCs w:val="22"/>
              </w:rPr>
            </w:pPr>
            <w:r w:rsidRPr="009C6C86">
              <w:rPr>
                <w:sz w:val="22"/>
                <w:szCs w:val="22"/>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D9D9D9"/>
          </w:tcPr>
          <w:p w14:paraId="27AE115A" w14:textId="77777777" w:rsidR="00BD6FD2" w:rsidRPr="009C6C86" w:rsidRDefault="00BD6FD2" w:rsidP="00F838C6">
            <w:pPr>
              <w:pStyle w:val="naisc"/>
              <w:spacing w:before="0" w:after="0"/>
              <w:ind w:firstLine="720"/>
              <w:rPr>
                <w:sz w:val="22"/>
                <w:szCs w:val="22"/>
              </w:rPr>
            </w:pPr>
            <w:r w:rsidRPr="009C6C86">
              <w:rPr>
                <w:sz w:val="22"/>
                <w:szCs w:val="22"/>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5BDC71B3" w14:textId="77777777" w:rsidR="00BD6FD2" w:rsidRPr="009C6C86" w:rsidRDefault="00BD6FD2" w:rsidP="00F838C6">
            <w:pPr>
              <w:pStyle w:val="naisc"/>
              <w:spacing w:before="0" w:after="0"/>
              <w:ind w:firstLine="720"/>
              <w:rPr>
                <w:sz w:val="22"/>
                <w:szCs w:val="22"/>
              </w:rPr>
            </w:pPr>
            <w:r w:rsidRPr="009C6C86">
              <w:rPr>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302CF39" w14:textId="77777777" w:rsidR="00BD6FD2" w:rsidRPr="009C6C86" w:rsidRDefault="00BD6FD2" w:rsidP="00F838C6">
            <w:pPr>
              <w:jc w:val="center"/>
              <w:rPr>
                <w:sz w:val="22"/>
                <w:szCs w:val="22"/>
              </w:rPr>
            </w:pPr>
            <w:r w:rsidRPr="009C6C86">
              <w:rPr>
                <w:sz w:val="22"/>
                <w:szCs w:val="22"/>
              </w:rPr>
              <w:t>5</w:t>
            </w:r>
          </w:p>
        </w:tc>
        <w:tc>
          <w:tcPr>
            <w:tcW w:w="2268" w:type="dxa"/>
            <w:tcBorders>
              <w:top w:val="single" w:sz="4" w:space="0" w:color="auto"/>
              <w:left w:val="single" w:sz="4" w:space="0" w:color="auto"/>
              <w:bottom w:val="single" w:sz="4" w:space="0" w:color="auto"/>
            </w:tcBorders>
            <w:shd w:val="clear" w:color="auto" w:fill="D9D9D9"/>
          </w:tcPr>
          <w:p w14:paraId="0DD48677" w14:textId="77777777" w:rsidR="00BD6FD2" w:rsidRPr="009C6C86" w:rsidRDefault="00BD6FD2" w:rsidP="00F838C6">
            <w:pPr>
              <w:jc w:val="center"/>
              <w:rPr>
                <w:sz w:val="22"/>
                <w:szCs w:val="22"/>
              </w:rPr>
            </w:pPr>
            <w:r w:rsidRPr="009C6C86">
              <w:rPr>
                <w:sz w:val="22"/>
                <w:szCs w:val="22"/>
              </w:rPr>
              <w:t>6</w:t>
            </w:r>
          </w:p>
        </w:tc>
      </w:tr>
      <w:tr w:rsidR="00C630D0" w:rsidRPr="009C6C86" w:rsidDel="00E40881" w14:paraId="45E1D985" w14:textId="77777777" w:rsidTr="00151B22">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71464F8F" w14:textId="77777777" w:rsidR="00C630D0" w:rsidRPr="009C6C86" w:rsidDel="00E40881" w:rsidRDefault="00C630D0" w:rsidP="00206300">
            <w:pPr>
              <w:pStyle w:val="naisc"/>
              <w:numPr>
                <w:ilvl w:val="0"/>
                <w:numId w:val="5"/>
              </w:numPr>
              <w:spacing w:before="0" w:after="0"/>
              <w:ind w:left="113" w:hanging="113"/>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31670E32" w14:textId="77777777" w:rsidR="00C630D0" w:rsidRPr="009C6C86" w:rsidDel="00E40881" w:rsidRDefault="00C630D0" w:rsidP="00EC1C6C">
            <w:pPr>
              <w:pStyle w:val="naisc"/>
              <w:spacing w:before="0" w:after="0"/>
              <w:jc w:val="both"/>
              <w:rPr>
                <w:sz w:val="22"/>
                <w:szCs w:val="22"/>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599867B5" w14:textId="77777777" w:rsidR="00C630D0" w:rsidRPr="009C6C86" w:rsidDel="00E40881" w:rsidRDefault="00C630D0" w:rsidP="00925C24">
            <w:pPr>
              <w:tabs>
                <w:tab w:val="left" w:pos="1134"/>
              </w:tabs>
              <w:spacing w:after="160" w:line="252" w:lineRule="auto"/>
              <w:contextualSpacing/>
              <w:jc w:val="center"/>
              <w:rPr>
                <w:rFonts w:eastAsia="Calibri"/>
                <w:b/>
                <w:bCs/>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6CF78E6" w14:textId="77777777" w:rsidR="00C630D0" w:rsidRPr="009C6C86" w:rsidDel="00E40881" w:rsidRDefault="00C630D0" w:rsidP="00925C24">
            <w:pPr>
              <w:pStyle w:val="naisc"/>
              <w:spacing w:before="0" w:after="0"/>
              <w:rPr>
                <w:b/>
                <w:bCs/>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5DE9D8" w14:textId="77777777" w:rsidR="00C630D0" w:rsidRPr="009C6C86" w:rsidRDefault="00C630D0" w:rsidP="00EC1C6C">
            <w:pPr>
              <w:jc w:val="center"/>
              <w:rPr>
                <w:sz w:val="22"/>
                <w:szCs w:val="22"/>
              </w:rPr>
            </w:pPr>
          </w:p>
        </w:tc>
        <w:tc>
          <w:tcPr>
            <w:tcW w:w="2268" w:type="dxa"/>
            <w:tcBorders>
              <w:top w:val="single" w:sz="4" w:space="0" w:color="auto"/>
              <w:left w:val="single" w:sz="4" w:space="0" w:color="auto"/>
              <w:bottom w:val="single" w:sz="4" w:space="0" w:color="auto"/>
            </w:tcBorders>
            <w:shd w:val="clear" w:color="auto" w:fill="auto"/>
          </w:tcPr>
          <w:p w14:paraId="4DE0D896" w14:textId="77777777" w:rsidR="00C630D0" w:rsidRPr="009C6C86" w:rsidDel="00E40881" w:rsidRDefault="00C630D0" w:rsidP="00EC1C6C">
            <w:pPr>
              <w:jc w:val="both"/>
              <w:rPr>
                <w:sz w:val="22"/>
                <w:szCs w:val="22"/>
              </w:rPr>
            </w:pPr>
          </w:p>
        </w:tc>
      </w:tr>
    </w:tbl>
    <w:p w14:paraId="112957B8" w14:textId="77777777" w:rsidR="00BB0972" w:rsidRPr="009C6C86" w:rsidRDefault="00BB0972" w:rsidP="00BB0972">
      <w:pPr>
        <w:spacing w:after="200" w:line="276" w:lineRule="auto"/>
        <w:rPr>
          <w:b/>
          <w:bCs/>
          <w:sz w:val="22"/>
          <w:szCs w:val="22"/>
        </w:rPr>
      </w:pPr>
    </w:p>
    <w:p w14:paraId="7A16F1CD" w14:textId="77777777" w:rsidR="00BB0972" w:rsidRPr="009C6C86" w:rsidRDefault="00BB0972" w:rsidP="00BB0972">
      <w:pPr>
        <w:spacing w:after="200" w:line="276" w:lineRule="auto"/>
        <w:rPr>
          <w:sz w:val="22"/>
          <w:szCs w:val="22"/>
        </w:rPr>
      </w:pPr>
      <w:r w:rsidRPr="009C6C86">
        <w:rPr>
          <w:b/>
          <w:bCs/>
          <w:sz w:val="22"/>
          <w:szCs w:val="22"/>
        </w:rPr>
        <w:t xml:space="preserve">Informācija par </w:t>
      </w:r>
      <w:proofErr w:type="spellStart"/>
      <w:r w:rsidRPr="009C6C86">
        <w:rPr>
          <w:b/>
          <w:bCs/>
          <w:sz w:val="22"/>
          <w:szCs w:val="22"/>
        </w:rPr>
        <w:t>starpministriju</w:t>
      </w:r>
      <w:proofErr w:type="spellEnd"/>
      <w:r w:rsidRPr="009C6C86">
        <w:rPr>
          <w:b/>
          <w:bCs/>
          <w:sz w:val="22"/>
          <w:szCs w:val="22"/>
        </w:rPr>
        <w:t xml:space="preserve"> (starpinstitūciju) sanāksmi vai elektronisko saskaņošanu</w:t>
      </w:r>
    </w:p>
    <w:tbl>
      <w:tblPr>
        <w:tblW w:w="12780" w:type="dxa"/>
        <w:tblCellSpacing w:w="0" w:type="dxa"/>
        <w:tblCellMar>
          <w:left w:w="0" w:type="dxa"/>
          <w:right w:w="0" w:type="dxa"/>
        </w:tblCellMar>
        <w:tblLook w:val="04A0" w:firstRow="1" w:lastRow="0" w:firstColumn="1" w:lastColumn="0" w:noHBand="0" w:noVBand="1"/>
      </w:tblPr>
      <w:tblGrid>
        <w:gridCol w:w="2856"/>
        <w:gridCol w:w="3161"/>
        <w:gridCol w:w="2150"/>
        <w:gridCol w:w="2714"/>
        <w:gridCol w:w="1869"/>
        <w:gridCol w:w="30"/>
      </w:tblGrid>
      <w:tr w:rsidR="00AE739A" w:rsidRPr="009C6C86" w14:paraId="13B0299B" w14:textId="77777777" w:rsidTr="66CE7C9B">
        <w:trPr>
          <w:gridAfter w:val="1"/>
          <w:wAfter w:w="30" w:type="dxa"/>
          <w:trHeight w:val="749"/>
          <w:tblCellSpacing w:w="0" w:type="dxa"/>
        </w:trPr>
        <w:tc>
          <w:tcPr>
            <w:tcW w:w="2856" w:type="dxa"/>
            <w:hideMark/>
          </w:tcPr>
          <w:p w14:paraId="5D473C02" w14:textId="77777777" w:rsidR="00BB0972" w:rsidRPr="009C6C86" w:rsidRDefault="00BB0972" w:rsidP="00074BE1">
            <w:pPr>
              <w:spacing w:before="75" w:after="75"/>
              <w:rPr>
                <w:sz w:val="22"/>
                <w:szCs w:val="22"/>
              </w:rPr>
            </w:pPr>
            <w:r w:rsidRPr="009C6C86">
              <w:rPr>
                <w:b/>
                <w:bCs/>
                <w:sz w:val="22"/>
                <w:szCs w:val="22"/>
              </w:rPr>
              <w:t> </w:t>
            </w:r>
            <w:r w:rsidRPr="009C6C86">
              <w:rPr>
                <w:sz w:val="22"/>
                <w:szCs w:val="22"/>
              </w:rPr>
              <w:t>Datums</w:t>
            </w:r>
          </w:p>
        </w:tc>
        <w:tc>
          <w:tcPr>
            <w:tcW w:w="9894" w:type="dxa"/>
            <w:gridSpan w:val="4"/>
            <w:tcBorders>
              <w:top w:val="nil"/>
              <w:left w:val="nil"/>
              <w:bottom w:val="single" w:sz="8" w:space="0" w:color="000000" w:themeColor="text1"/>
              <w:right w:val="nil"/>
            </w:tcBorders>
            <w:hideMark/>
          </w:tcPr>
          <w:p w14:paraId="7CD85E8C" w14:textId="74E14612" w:rsidR="00BB0972" w:rsidRPr="009C6C86" w:rsidRDefault="0000506D" w:rsidP="008B0AA4">
            <w:pPr>
              <w:jc w:val="both"/>
              <w:rPr>
                <w:sz w:val="22"/>
                <w:szCs w:val="22"/>
              </w:rPr>
            </w:pPr>
            <w:r w:rsidRPr="009C6C86">
              <w:rPr>
                <w:sz w:val="22"/>
                <w:szCs w:val="22"/>
              </w:rPr>
              <w:t>2</w:t>
            </w:r>
            <w:r w:rsidR="009E1AB5" w:rsidRPr="009C6C86">
              <w:rPr>
                <w:sz w:val="22"/>
                <w:szCs w:val="22"/>
              </w:rPr>
              <w:t>5</w:t>
            </w:r>
            <w:r w:rsidR="007E28C6" w:rsidRPr="009C6C86">
              <w:rPr>
                <w:sz w:val="22"/>
                <w:szCs w:val="22"/>
              </w:rPr>
              <w:t>.0</w:t>
            </w:r>
            <w:r w:rsidR="009E1AB5" w:rsidRPr="009C6C86">
              <w:rPr>
                <w:sz w:val="22"/>
                <w:szCs w:val="22"/>
              </w:rPr>
              <w:t>8</w:t>
            </w:r>
            <w:r w:rsidR="007E28C6" w:rsidRPr="009C6C86">
              <w:rPr>
                <w:sz w:val="22"/>
                <w:szCs w:val="22"/>
              </w:rPr>
              <w:t>.</w:t>
            </w:r>
            <w:r w:rsidR="00015C9D" w:rsidRPr="009C6C86">
              <w:rPr>
                <w:sz w:val="22"/>
                <w:szCs w:val="22"/>
              </w:rPr>
              <w:t>2020.</w:t>
            </w:r>
            <w:r w:rsidR="007E28C6" w:rsidRPr="009C6C86">
              <w:rPr>
                <w:sz w:val="22"/>
                <w:szCs w:val="22"/>
              </w:rPr>
              <w:t xml:space="preserve"> – </w:t>
            </w:r>
            <w:r w:rsidR="009404DF">
              <w:rPr>
                <w:sz w:val="22"/>
                <w:szCs w:val="22"/>
              </w:rPr>
              <w:t>10</w:t>
            </w:r>
            <w:r w:rsidR="00503769">
              <w:rPr>
                <w:sz w:val="22"/>
                <w:szCs w:val="22"/>
              </w:rPr>
              <w:t>.09.2020.</w:t>
            </w:r>
          </w:p>
        </w:tc>
      </w:tr>
      <w:tr w:rsidR="00AE739A" w:rsidRPr="009C6C86" w14:paraId="38E481EB" w14:textId="77777777" w:rsidTr="66CE7C9B">
        <w:trPr>
          <w:gridAfter w:val="1"/>
          <w:wAfter w:w="30" w:type="dxa"/>
          <w:trHeight w:val="220"/>
          <w:tblCellSpacing w:w="0" w:type="dxa"/>
        </w:trPr>
        <w:tc>
          <w:tcPr>
            <w:tcW w:w="2856" w:type="dxa"/>
            <w:hideMark/>
          </w:tcPr>
          <w:p w14:paraId="6838E5D0" w14:textId="77777777" w:rsidR="00BB0972" w:rsidRPr="009C6C86" w:rsidRDefault="00BB0972" w:rsidP="00074BE1">
            <w:pPr>
              <w:spacing w:before="75" w:after="75"/>
              <w:ind w:firstLine="375"/>
              <w:jc w:val="both"/>
              <w:rPr>
                <w:sz w:val="22"/>
                <w:szCs w:val="22"/>
              </w:rPr>
            </w:pPr>
            <w:r w:rsidRPr="009C6C86">
              <w:rPr>
                <w:sz w:val="22"/>
                <w:szCs w:val="22"/>
              </w:rPr>
              <w:t> </w:t>
            </w:r>
          </w:p>
        </w:tc>
        <w:tc>
          <w:tcPr>
            <w:tcW w:w="9894" w:type="dxa"/>
            <w:gridSpan w:val="4"/>
            <w:tcBorders>
              <w:top w:val="nil"/>
              <w:left w:val="nil"/>
              <w:bottom w:val="nil"/>
              <w:right w:val="nil"/>
            </w:tcBorders>
            <w:hideMark/>
          </w:tcPr>
          <w:p w14:paraId="69D559D7" w14:textId="77777777" w:rsidR="00BB0972" w:rsidRPr="009C6C86" w:rsidRDefault="00BB0972" w:rsidP="00074BE1">
            <w:pPr>
              <w:spacing w:before="75" w:after="75"/>
              <w:jc w:val="both"/>
              <w:rPr>
                <w:sz w:val="22"/>
                <w:szCs w:val="22"/>
              </w:rPr>
            </w:pPr>
          </w:p>
        </w:tc>
      </w:tr>
      <w:tr w:rsidR="00AE739A" w:rsidRPr="009C6C86" w14:paraId="37D71753" w14:textId="77777777" w:rsidTr="66CE7C9B">
        <w:trPr>
          <w:gridAfter w:val="1"/>
          <w:wAfter w:w="30" w:type="dxa"/>
          <w:trHeight w:val="147"/>
          <w:tblCellSpacing w:w="0" w:type="dxa"/>
        </w:trPr>
        <w:tc>
          <w:tcPr>
            <w:tcW w:w="2856" w:type="dxa"/>
            <w:vAlign w:val="center"/>
            <w:hideMark/>
          </w:tcPr>
          <w:p w14:paraId="3158F508" w14:textId="77777777" w:rsidR="00BB0972" w:rsidRPr="009C6C86" w:rsidRDefault="00BB0972" w:rsidP="00074BE1">
            <w:pPr>
              <w:rPr>
                <w:sz w:val="22"/>
                <w:szCs w:val="22"/>
              </w:rPr>
            </w:pPr>
            <w:r w:rsidRPr="009C6C86">
              <w:rPr>
                <w:sz w:val="22"/>
                <w:szCs w:val="22"/>
              </w:rPr>
              <w:t>Saskaņošanas dalībnieki</w:t>
            </w:r>
          </w:p>
        </w:tc>
        <w:tc>
          <w:tcPr>
            <w:tcW w:w="9894" w:type="dxa"/>
            <w:gridSpan w:val="4"/>
            <w:tcBorders>
              <w:bottom w:val="single" w:sz="6" w:space="0" w:color="000000" w:themeColor="text1"/>
            </w:tcBorders>
            <w:vAlign w:val="center"/>
            <w:hideMark/>
          </w:tcPr>
          <w:p w14:paraId="3CBCF385" w14:textId="3E0274BC" w:rsidR="00BB0972" w:rsidRPr="009C6C86" w:rsidRDefault="00A517BC" w:rsidP="7A91CA70">
            <w:pPr>
              <w:spacing w:line="276" w:lineRule="auto"/>
              <w:rPr>
                <w:sz w:val="22"/>
                <w:szCs w:val="22"/>
              </w:rPr>
            </w:pPr>
            <w:r w:rsidRPr="009C6C86">
              <w:rPr>
                <w:sz w:val="22"/>
                <w:szCs w:val="22"/>
              </w:rPr>
              <w:t>Labklājības</w:t>
            </w:r>
            <w:r w:rsidR="6AFF8C26" w:rsidRPr="009C6C86">
              <w:rPr>
                <w:sz w:val="22"/>
                <w:szCs w:val="22"/>
              </w:rPr>
              <w:t xml:space="preserve"> ministrija</w:t>
            </w:r>
            <w:r w:rsidR="152FFD45" w:rsidRPr="009C6C86">
              <w:rPr>
                <w:sz w:val="22"/>
                <w:szCs w:val="22"/>
              </w:rPr>
              <w:t xml:space="preserve">, </w:t>
            </w:r>
            <w:r w:rsidRPr="76F6FC7E">
              <w:rPr>
                <w:rFonts w:eastAsia="Calibri"/>
                <w:sz w:val="22"/>
                <w:szCs w:val="22"/>
              </w:rPr>
              <w:t>Izglītības un zinātnes</w:t>
            </w:r>
            <w:r w:rsidR="08653349" w:rsidRPr="76F6FC7E">
              <w:rPr>
                <w:rFonts w:eastAsia="Calibri"/>
                <w:sz w:val="22"/>
                <w:szCs w:val="22"/>
              </w:rPr>
              <w:t xml:space="preserve"> ministrija, </w:t>
            </w:r>
            <w:r w:rsidRPr="009C6C86">
              <w:rPr>
                <w:color w:val="000000" w:themeColor="text1"/>
                <w:sz w:val="22"/>
                <w:szCs w:val="22"/>
              </w:rPr>
              <w:t xml:space="preserve">AS "Enerģijas publiskais tirgotājs", </w:t>
            </w:r>
            <w:proofErr w:type="spellStart"/>
            <w:r w:rsidRPr="009C6C86">
              <w:rPr>
                <w:sz w:val="22"/>
                <w:szCs w:val="22"/>
              </w:rPr>
              <w:t>Pārresoru</w:t>
            </w:r>
            <w:proofErr w:type="spellEnd"/>
            <w:r w:rsidRPr="009C6C86">
              <w:rPr>
                <w:sz w:val="22"/>
                <w:szCs w:val="22"/>
              </w:rPr>
              <w:t xml:space="preserve"> koordinācijas centrs</w:t>
            </w:r>
            <w:r w:rsidR="2B7A4975" w:rsidRPr="009C6C86">
              <w:rPr>
                <w:sz w:val="22"/>
                <w:szCs w:val="22"/>
              </w:rPr>
              <w:t>, SPRK</w:t>
            </w:r>
            <w:r w:rsidR="0DCF52E4" w:rsidRPr="009C6C86">
              <w:rPr>
                <w:sz w:val="22"/>
                <w:szCs w:val="22"/>
              </w:rPr>
              <w:t>, Zemkopības ministrija</w:t>
            </w:r>
            <w:r w:rsidR="682908AA" w:rsidRPr="009C6C86">
              <w:rPr>
                <w:sz w:val="22"/>
                <w:szCs w:val="22"/>
              </w:rPr>
              <w:t>, Finanšu ministrija</w:t>
            </w:r>
            <w:r w:rsidR="29F1ED80" w:rsidRPr="2EA11EDC">
              <w:rPr>
                <w:sz w:val="22"/>
                <w:szCs w:val="22"/>
              </w:rPr>
              <w:t xml:space="preserve">, Vides </w:t>
            </w:r>
            <w:r w:rsidR="29F1ED80" w:rsidRPr="76F6FC7E">
              <w:rPr>
                <w:sz w:val="22"/>
                <w:szCs w:val="22"/>
              </w:rPr>
              <w:t>aizsardzības un reģionālās attīstības ministrija</w:t>
            </w:r>
            <w:r w:rsidR="00503769">
              <w:rPr>
                <w:sz w:val="22"/>
                <w:szCs w:val="22"/>
              </w:rPr>
              <w:t xml:space="preserve">, </w:t>
            </w:r>
            <w:r w:rsidR="00B80447">
              <w:rPr>
                <w:sz w:val="22"/>
                <w:szCs w:val="22"/>
              </w:rPr>
              <w:t>Tieslietu ministrija</w:t>
            </w:r>
          </w:p>
        </w:tc>
      </w:tr>
      <w:tr w:rsidR="00AE739A" w:rsidRPr="009C6C86" w14:paraId="042BBC11" w14:textId="77777777" w:rsidTr="66CE7C9B">
        <w:trPr>
          <w:trHeight w:val="1341"/>
          <w:tblCellSpacing w:w="0" w:type="dxa"/>
        </w:trPr>
        <w:tc>
          <w:tcPr>
            <w:tcW w:w="6017" w:type="dxa"/>
            <w:gridSpan w:val="2"/>
            <w:hideMark/>
          </w:tcPr>
          <w:p w14:paraId="51A6951B" w14:textId="77777777" w:rsidR="00BB0972" w:rsidRPr="009C6C86" w:rsidRDefault="00BB0972" w:rsidP="00074BE1">
            <w:pPr>
              <w:rPr>
                <w:sz w:val="22"/>
                <w:szCs w:val="22"/>
              </w:rPr>
            </w:pPr>
          </w:p>
          <w:p w14:paraId="7EB3115C" w14:textId="77777777" w:rsidR="00BB0972" w:rsidRPr="009C6C86" w:rsidRDefault="00BB0972" w:rsidP="00074BE1">
            <w:pPr>
              <w:rPr>
                <w:sz w:val="22"/>
                <w:szCs w:val="22"/>
              </w:rPr>
            </w:pPr>
            <w:r w:rsidRPr="009C6C86">
              <w:rPr>
                <w:sz w:val="22"/>
                <w:szCs w:val="22"/>
              </w:rPr>
              <w:t>Saskaņošanas dalībnieki izskatīja šādu ministriju (citu institūciju) iebildumus</w:t>
            </w:r>
          </w:p>
        </w:tc>
        <w:tc>
          <w:tcPr>
            <w:tcW w:w="4864" w:type="dxa"/>
            <w:gridSpan w:val="2"/>
            <w:hideMark/>
          </w:tcPr>
          <w:p w14:paraId="36ADED7C" w14:textId="77777777" w:rsidR="00BB0972" w:rsidRPr="009C6C86" w:rsidRDefault="00BB0972" w:rsidP="00074BE1">
            <w:pPr>
              <w:rPr>
                <w:sz w:val="22"/>
                <w:szCs w:val="22"/>
              </w:rPr>
            </w:pPr>
          </w:p>
          <w:p w14:paraId="72083DE0" w14:textId="203E0C2B" w:rsidR="00962313" w:rsidRPr="009C6C86" w:rsidRDefault="00962313" w:rsidP="003E458A">
            <w:pPr>
              <w:rPr>
                <w:sz w:val="22"/>
                <w:szCs w:val="22"/>
              </w:rPr>
            </w:pPr>
          </w:p>
        </w:tc>
        <w:tc>
          <w:tcPr>
            <w:tcW w:w="1899" w:type="dxa"/>
            <w:gridSpan w:val="2"/>
            <w:hideMark/>
          </w:tcPr>
          <w:p w14:paraId="413AB482" w14:textId="77777777" w:rsidR="00BB0972" w:rsidRPr="009C6C86" w:rsidRDefault="00BB0972" w:rsidP="00074BE1">
            <w:pPr>
              <w:spacing w:before="75" w:after="75"/>
              <w:rPr>
                <w:sz w:val="22"/>
                <w:szCs w:val="22"/>
              </w:rPr>
            </w:pPr>
            <w:r w:rsidRPr="009C6C86">
              <w:rPr>
                <w:sz w:val="22"/>
                <w:szCs w:val="22"/>
              </w:rPr>
              <w:t> </w:t>
            </w:r>
          </w:p>
        </w:tc>
      </w:tr>
      <w:tr w:rsidR="00BB0972" w:rsidRPr="0096116A" w14:paraId="6C8CA90A" w14:textId="77777777" w:rsidTr="66CE7C9B">
        <w:trPr>
          <w:trHeight w:val="277"/>
          <w:tblCellSpacing w:w="0" w:type="dxa"/>
        </w:trPr>
        <w:tc>
          <w:tcPr>
            <w:tcW w:w="8167" w:type="dxa"/>
            <w:gridSpan w:val="3"/>
            <w:vAlign w:val="center"/>
            <w:hideMark/>
          </w:tcPr>
          <w:p w14:paraId="1CDA8DAD" w14:textId="77777777" w:rsidR="00BB0972" w:rsidRPr="0096116A" w:rsidRDefault="00BB0972" w:rsidP="00074BE1">
            <w:pPr>
              <w:rPr>
                <w:sz w:val="22"/>
                <w:szCs w:val="22"/>
              </w:rPr>
            </w:pPr>
            <w:r w:rsidRPr="0096116A">
              <w:rPr>
                <w:sz w:val="22"/>
                <w:szCs w:val="22"/>
              </w:rPr>
              <w:t>Ministrijas (citas institūcijas), kuras nav ieradušās uz sanāksmi vai kuras nav atbildējušas uz uzaicinājumu piedalīties elektroniskajā saskaņošanā</w:t>
            </w:r>
          </w:p>
        </w:tc>
        <w:tc>
          <w:tcPr>
            <w:tcW w:w="4613" w:type="dxa"/>
            <w:gridSpan w:val="3"/>
            <w:vAlign w:val="center"/>
            <w:hideMark/>
          </w:tcPr>
          <w:p w14:paraId="06595DC8" w14:textId="7F4517DA" w:rsidR="0096116A" w:rsidRPr="0096116A" w:rsidRDefault="0096116A" w:rsidP="0096116A">
            <w:pPr>
              <w:rPr>
                <w:sz w:val="22"/>
                <w:szCs w:val="22"/>
              </w:rPr>
            </w:pPr>
            <w:r w:rsidRPr="0096116A">
              <w:rPr>
                <w:sz w:val="22"/>
                <w:szCs w:val="22"/>
              </w:rPr>
              <w:t xml:space="preserve">AS </w:t>
            </w:r>
            <w:r w:rsidRPr="0096116A">
              <w:rPr>
                <w:noProof/>
                <w:sz w:val="22"/>
                <w:szCs w:val="22"/>
              </w:rPr>
              <w:t>“Latvenergo</w:t>
            </w:r>
            <w:r>
              <w:rPr>
                <w:noProof/>
                <w:sz w:val="22"/>
                <w:szCs w:val="22"/>
              </w:rPr>
              <w:t xml:space="preserve">”, </w:t>
            </w:r>
            <w:r w:rsidRPr="0096116A">
              <w:rPr>
                <w:noProof/>
                <w:sz w:val="22"/>
                <w:szCs w:val="22"/>
              </w:rPr>
              <w:t>Latvijas Tirdzniecības un rūpniecības kamera</w:t>
            </w:r>
            <w:r>
              <w:rPr>
                <w:noProof/>
                <w:sz w:val="22"/>
                <w:szCs w:val="22"/>
              </w:rPr>
              <w:t xml:space="preserve">, </w:t>
            </w:r>
            <w:r w:rsidRPr="0096116A">
              <w:rPr>
                <w:sz w:val="22"/>
                <w:szCs w:val="22"/>
              </w:rPr>
              <w:t>,</w:t>
            </w:r>
            <w:r w:rsidRPr="0096116A">
              <w:rPr>
                <w:noProof/>
                <w:sz w:val="22"/>
                <w:szCs w:val="22"/>
              </w:rPr>
              <w:t xml:space="preserve"> Latvijas Darba devēju konfederācija</w:t>
            </w:r>
          </w:p>
          <w:p w14:paraId="5A6C4947" w14:textId="2D6F6E77" w:rsidR="0096116A" w:rsidRPr="0096116A" w:rsidRDefault="0096116A" w:rsidP="0096116A">
            <w:pPr>
              <w:rPr>
                <w:noProof/>
                <w:sz w:val="22"/>
                <w:szCs w:val="22"/>
              </w:rPr>
            </w:pPr>
          </w:p>
          <w:p w14:paraId="0779F3DA" w14:textId="0744173E" w:rsidR="00BB0972" w:rsidRPr="0096116A" w:rsidRDefault="00BB0972" w:rsidP="00074BE1">
            <w:pPr>
              <w:spacing w:before="75" w:after="75"/>
              <w:rPr>
                <w:sz w:val="22"/>
                <w:szCs w:val="22"/>
              </w:rPr>
            </w:pPr>
          </w:p>
        </w:tc>
      </w:tr>
    </w:tbl>
    <w:p w14:paraId="078BD109" w14:textId="01FC9D83" w:rsidR="00720129" w:rsidRPr="009C6C86" w:rsidRDefault="00720129" w:rsidP="00B633B1">
      <w:pPr>
        <w:ind w:left="1440" w:firstLine="720"/>
        <w:jc w:val="center"/>
        <w:rPr>
          <w:b/>
          <w:bCs/>
          <w:sz w:val="22"/>
          <w:szCs w:val="22"/>
        </w:rPr>
      </w:pPr>
    </w:p>
    <w:p w14:paraId="56E37D8F" w14:textId="7CFE09A4" w:rsidR="00BD6FD2" w:rsidRPr="009C6C86" w:rsidRDefault="002F27C3" w:rsidP="006F53EE">
      <w:pPr>
        <w:spacing w:after="200" w:line="276" w:lineRule="auto"/>
        <w:jc w:val="center"/>
        <w:rPr>
          <w:b/>
          <w:bCs/>
          <w:sz w:val="22"/>
          <w:szCs w:val="22"/>
        </w:rPr>
      </w:pPr>
      <w:r w:rsidRPr="009C6C86">
        <w:rPr>
          <w:b/>
          <w:bCs/>
          <w:sz w:val="22"/>
          <w:szCs w:val="22"/>
        </w:rPr>
        <w:br w:type="page"/>
      </w:r>
      <w:r w:rsidR="00BD6FD2" w:rsidRPr="009C6C86">
        <w:rPr>
          <w:b/>
          <w:bCs/>
          <w:sz w:val="22"/>
          <w:szCs w:val="22"/>
        </w:rPr>
        <w:lastRenderedPageBreak/>
        <w:t xml:space="preserve">II. Jautājumi, par kuriem saskaņošanā </w:t>
      </w:r>
      <w:r w:rsidR="00962313" w:rsidRPr="009C6C86">
        <w:rPr>
          <w:b/>
          <w:bCs/>
          <w:sz w:val="22"/>
          <w:szCs w:val="22"/>
        </w:rPr>
        <w:t xml:space="preserve">vienošanās </w:t>
      </w:r>
      <w:r w:rsidR="00BD6FD2" w:rsidRPr="009C6C86">
        <w:rPr>
          <w:b/>
          <w:bCs/>
          <w:sz w:val="22"/>
          <w:szCs w:val="22"/>
        </w:rPr>
        <w:t>ir panākta</w:t>
      </w:r>
    </w:p>
    <w:p w14:paraId="7054B821" w14:textId="77777777" w:rsidR="00962313" w:rsidRPr="009C6C86" w:rsidRDefault="00962313" w:rsidP="00B633B1">
      <w:pPr>
        <w:ind w:left="1440" w:firstLine="720"/>
        <w:jc w:val="center"/>
        <w:rPr>
          <w:b/>
          <w:bCs/>
          <w:sz w:val="22"/>
          <w:szCs w:val="22"/>
        </w:rPr>
      </w:pPr>
    </w:p>
    <w:tbl>
      <w:tblPr>
        <w:tblW w:w="16548" w:type="dxa"/>
        <w:tblCellSpacing w:w="0" w:type="dxa"/>
        <w:tblCellMar>
          <w:left w:w="0" w:type="dxa"/>
          <w:right w:w="0" w:type="dxa"/>
        </w:tblCellMar>
        <w:tblLook w:val="04A0" w:firstRow="1" w:lastRow="0" w:firstColumn="1" w:lastColumn="0" w:noHBand="0" w:noVBand="1"/>
      </w:tblPr>
      <w:tblGrid>
        <w:gridCol w:w="998"/>
        <w:gridCol w:w="3240"/>
        <w:gridCol w:w="92"/>
        <w:gridCol w:w="3640"/>
        <w:gridCol w:w="3766"/>
        <w:gridCol w:w="3007"/>
        <w:gridCol w:w="487"/>
        <w:gridCol w:w="1318"/>
      </w:tblGrid>
      <w:tr w:rsidR="000E0178" w:rsidRPr="009C6C86" w14:paraId="65EC4B4F" w14:textId="77777777" w:rsidTr="00503769">
        <w:trPr>
          <w:gridAfter w:val="1"/>
          <w:wAfter w:w="1318" w:type="dxa"/>
          <w:trHeight w:val="1520"/>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7D28BA61" w14:textId="77777777" w:rsidR="00BD6FD2" w:rsidRPr="009C6C86" w:rsidRDefault="00BD6FD2" w:rsidP="00CE0F21">
            <w:pPr>
              <w:spacing w:before="75" w:after="75"/>
              <w:rPr>
                <w:sz w:val="22"/>
                <w:szCs w:val="22"/>
              </w:rPr>
            </w:pPr>
            <w:r w:rsidRPr="009C6C86">
              <w:rPr>
                <w:sz w:val="22"/>
                <w:szCs w:val="22"/>
              </w:rPr>
              <w:t>Nr. p.k.</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1E8306C3" w14:textId="77777777" w:rsidR="00BD6FD2" w:rsidRPr="009C6C86" w:rsidRDefault="00BD6FD2" w:rsidP="00F43A16">
            <w:pPr>
              <w:spacing w:before="75" w:after="75"/>
              <w:ind w:right="127"/>
              <w:jc w:val="center"/>
              <w:rPr>
                <w:sz w:val="22"/>
                <w:szCs w:val="22"/>
              </w:rPr>
            </w:pPr>
            <w:r w:rsidRPr="009C6C86">
              <w:rPr>
                <w:sz w:val="22"/>
                <w:szCs w:val="22"/>
              </w:rPr>
              <w:t>Saskaņošanai nosūtītā projekta redakcija (konkrēta punkta (panta) redakcija)</w:t>
            </w: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23A7337E" w14:textId="77777777" w:rsidR="00BD6FD2" w:rsidRPr="009C6C86" w:rsidRDefault="00BD6FD2" w:rsidP="00C14E10">
            <w:pPr>
              <w:spacing w:before="75" w:after="75"/>
              <w:ind w:left="127" w:right="127"/>
              <w:jc w:val="both"/>
              <w:rPr>
                <w:sz w:val="22"/>
                <w:szCs w:val="22"/>
              </w:rPr>
            </w:pPr>
            <w:r w:rsidRPr="009C6C86">
              <w:rPr>
                <w:sz w:val="22"/>
                <w:szCs w:val="22"/>
              </w:rPr>
              <w:t>Atzinumā norādītais ministrijas (citas institūcijas) iebildums, kā arī saskaņošanā papildus izteiktais iebildums par projekta konkrēto punktu (pantu)</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606F3BA4" w14:textId="77777777" w:rsidR="00BD6FD2" w:rsidRPr="009C6C86" w:rsidRDefault="00BD6FD2" w:rsidP="00F43A16">
            <w:pPr>
              <w:spacing w:before="75" w:after="75"/>
              <w:ind w:left="140" w:right="127"/>
              <w:jc w:val="center"/>
              <w:rPr>
                <w:sz w:val="22"/>
                <w:szCs w:val="22"/>
              </w:rPr>
            </w:pPr>
            <w:r w:rsidRPr="009C6C86">
              <w:rPr>
                <w:sz w:val="22"/>
                <w:szCs w:val="22"/>
              </w:rPr>
              <w:t>Atbildīgās ministrijas norāde par to, ka iebildums ir ņemts vērā, vai informācija par saskaņošanā panākto alternatīvo risinājumu</w:t>
            </w: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hideMark/>
          </w:tcPr>
          <w:p w14:paraId="264FFEBC" w14:textId="77777777" w:rsidR="00BD6FD2" w:rsidRPr="009C6C86" w:rsidRDefault="00BD6FD2" w:rsidP="00F43A16">
            <w:pPr>
              <w:spacing w:before="75" w:after="75"/>
              <w:ind w:right="127"/>
              <w:jc w:val="center"/>
              <w:rPr>
                <w:sz w:val="22"/>
                <w:szCs w:val="22"/>
              </w:rPr>
            </w:pPr>
            <w:r w:rsidRPr="009C6C86">
              <w:rPr>
                <w:sz w:val="22"/>
                <w:szCs w:val="22"/>
              </w:rPr>
              <w:t>Projekta attiecīgā punkta (panta) galīgā redakcija</w:t>
            </w:r>
          </w:p>
        </w:tc>
      </w:tr>
      <w:tr w:rsidR="000E0178" w:rsidRPr="009C6C86" w14:paraId="460DA60A" w14:textId="77777777" w:rsidTr="00503769">
        <w:trPr>
          <w:gridAfter w:val="1"/>
          <w:wAfter w:w="1318" w:type="dxa"/>
          <w:trHeight w:val="251"/>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hideMark/>
          </w:tcPr>
          <w:p w14:paraId="35120DCF" w14:textId="77777777" w:rsidR="00BD6FD2" w:rsidRPr="009C6C86" w:rsidRDefault="00BD6FD2" w:rsidP="00503769">
            <w:pPr>
              <w:jc w:val="center"/>
              <w:rPr>
                <w:sz w:val="22"/>
                <w:szCs w:val="22"/>
              </w:rPr>
            </w:pPr>
            <w:r w:rsidRPr="009C6C86">
              <w:rPr>
                <w:sz w:val="22"/>
                <w:szCs w:val="22"/>
              </w:rPr>
              <w:t>1</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hideMark/>
          </w:tcPr>
          <w:p w14:paraId="10A89E8F" w14:textId="77777777" w:rsidR="00BD6FD2" w:rsidRPr="009C6C86" w:rsidRDefault="00BD6FD2" w:rsidP="00CD2D93">
            <w:pPr>
              <w:jc w:val="center"/>
              <w:rPr>
                <w:sz w:val="22"/>
                <w:szCs w:val="22"/>
              </w:rPr>
            </w:pPr>
            <w:r w:rsidRPr="009C6C86">
              <w:rPr>
                <w:sz w:val="22"/>
                <w:szCs w:val="22"/>
              </w:rPr>
              <w:t>2</w:t>
            </w: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hideMark/>
          </w:tcPr>
          <w:p w14:paraId="2FD79E0E" w14:textId="77777777" w:rsidR="00BD6FD2" w:rsidRPr="009C6C86" w:rsidRDefault="00BD6FD2" w:rsidP="0005481B">
            <w:pPr>
              <w:jc w:val="center"/>
              <w:rPr>
                <w:sz w:val="22"/>
                <w:szCs w:val="22"/>
              </w:rPr>
            </w:pPr>
            <w:r w:rsidRPr="009C6C86">
              <w:rPr>
                <w:sz w:val="22"/>
                <w:szCs w:val="22"/>
              </w:rPr>
              <w:t>3</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hideMark/>
          </w:tcPr>
          <w:p w14:paraId="7DD74B36" w14:textId="77777777" w:rsidR="00BD6FD2" w:rsidRPr="009C6C86" w:rsidRDefault="00BD6FD2" w:rsidP="00CD2D93">
            <w:pPr>
              <w:jc w:val="center"/>
              <w:rPr>
                <w:sz w:val="22"/>
                <w:szCs w:val="22"/>
              </w:rPr>
            </w:pPr>
            <w:r w:rsidRPr="009C6C86">
              <w:rPr>
                <w:sz w:val="22"/>
                <w:szCs w:val="22"/>
              </w:rPr>
              <w:t>4</w:t>
            </w: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hideMark/>
          </w:tcPr>
          <w:p w14:paraId="476D4570" w14:textId="77777777" w:rsidR="00BD6FD2" w:rsidRPr="009C6C86" w:rsidRDefault="00BD6FD2" w:rsidP="00CD2D93">
            <w:pPr>
              <w:jc w:val="center"/>
              <w:rPr>
                <w:sz w:val="22"/>
                <w:szCs w:val="22"/>
              </w:rPr>
            </w:pPr>
            <w:r w:rsidRPr="009C6C86">
              <w:rPr>
                <w:sz w:val="22"/>
                <w:szCs w:val="22"/>
              </w:rPr>
              <w:t>5</w:t>
            </w:r>
          </w:p>
        </w:tc>
      </w:tr>
      <w:tr w:rsidR="000E0178" w:rsidRPr="009C6C86" w14:paraId="1E34DECF"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117EBDE" w14:textId="77777777" w:rsidR="00E74231" w:rsidRPr="009C6C86" w:rsidRDefault="00E74231" w:rsidP="00B86C09">
            <w:pPr>
              <w:pStyle w:val="naisc"/>
              <w:numPr>
                <w:ilvl w:val="0"/>
                <w:numId w:val="4"/>
              </w:numPr>
              <w:spacing w:before="0" w:after="0"/>
              <w:ind w:left="113" w:firstLine="0"/>
              <w:rPr>
                <w:sz w:val="22"/>
                <w:szCs w:val="22"/>
              </w:rPr>
            </w:pP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6A88E37" w14:textId="72BDF3F5" w:rsidR="00A72EE9" w:rsidRDefault="00A72EE9" w:rsidP="3DC405E9">
            <w:pPr>
              <w:shd w:val="clear" w:color="auto" w:fill="FFFFFF" w:themeFill="background1"/>
              <w:spacing w:after="120"/>
              <w:jc w:val="both"/>
              <w:rPr>
                <w:sz w:val="22"/>
                <w:szCs w:val="22"/>
              </w:rPr>
            </w:pPr>
            <w:r w:rsidRPr="009C6C86">
              <w:rPr>
                <w:sz w:val="22"/>
                <w:szCs w:val="22"/>
              </w:rPr>
              <w:t>Konceptuālā ziņojuma</w:t>
            </w:r>
            <w:r w:rsidR="009F665C">
              <w:rPr>
                <w:sz w:val="22"/>
                <w:szCs w:val="22"/>
              </w:rPr>
              <w:t xml:space="preserve"> rīkojuma</w:t>
            </w:r>
            <w:r w:rsidRPr="009C6C86">
              <w:rPr>
                <w:sz w:val="22"/>
                <w:szCs w:val="22"/>
              </w:rPr>
              <w:t xml:space="preserve"> projekt</w:t>
            </w:r>
            <w:r>
              <w:rPr>
                <w:sz w:val="22"/>
                <w:szCs w:val="22"/>
              </w:rPr>
              <w:t>s</w:t>
            </w:r>
            <w:r w:rsidR="009F665C">
              <w:rPr>
                <w:sz w:val="22"/>
                <w:szCs w:val="22"/>
              </w:rPr>
              <w:t>:</w:t>
            </w:r>
          </w:p>
          <w:p w14:paraId="6F3549DB" w14:textId="5611D392" w:rsidR="00E74231" w:rsidRDefault="00EA636A" w:rsidP="3DC405E9">
            <w:pPr>
              <w:shd w:val="clear" w:color="auto" w:fill="FFFFFF" w:themeFill="background1"/>
              <w:spacing w:after="120"/>
              <w:jc w:val="both"/>
              <w:rPr>
                <w:sz w:val="22"/>
                <w:szCs w:val="22"/>
              </w:rPr>
            </w:pPr>
            <w:r w:rsidRPr="00503769">
              <w:rPr>
                <w:sz w:val="22"/>
                <w:szCs w:val="22"/>
              </w:rPr>
              <w:t>2. Finanšu ministrijai, sagatavojot likumprojektu “Par valsts budžetu 2021.gadam” un likumprojektu “Par vidēja termiņa budžeta ietvaru 2021., 2022. un 2023.gadam” iekļaut:</w:t>
            </w:r>
          </w:p>
          <w:p w14:paraId="04EE6926" w14:textId="00654816" w:rsidR="009F665C" w:rsidRPr="00503769" w:rsidRDefault="009F665C" w:rsidP="3DC405E9">
            <w:pPr>
              <w:shd w:val="clear" w:color="auto" w:fill="FFFFFF" w:themeFill="background1"/>
              <w:spacing w:after="120"/>
              <w:jc w:val="both"/>
              <w:rPr>
                <w:sz w:val="22"/>
                <w:szCs w:val="22"/>
              </w:rPr>
            </w:pPr>
            <w:r>
              <w:rPr>
                <w:sz w:val="22"/>
                <w:szCs w:val="22"/>
              </w:rPr>
              <w:t>(..)</w:t>
            </w:r>
          </w:p>
          <w:p w14:paraId="0DC053FB" w14:textId="61626793" w:rsidR="00EA636A" w:rsidRPr="00503769" w:rsidRDefault="00EA636A" w:rsidP="3DC405E9">
            <w:pPr>
              <w:pStyle w:val="tv213"/>
              <w:spacing w:before="0" w:beforeAutospacing="0" w:after="120" w:afterAutospacing="0"/>
              <w:jc w:val="both"/>
              <w:rPr>
                <w:sz w:val="22"/>
                <w:szCs w:val="22"/>
              </w:rPr>
            </w:pPr>
            <w:r w:rsidRPr="00503769">
              <w:rPr>
                <w:sz w:val="22"/>
                <w:szCs w:val="22"/>
              </w:rPr>
              <w:t xml:space="preserve">2.2.finansējumu obligātās iepirkuma komponentes samazināšanai, </w:t>
            </w:r>
            <w:r w:rsidRPr="00A72EE9">
              <w:rPr>
                <w:bCs/>
                <w:sz w:val="22"/>
                <w:szCs w:val="22"/>
              </w:rPr>
              <w:t xml:space="preserve">energoietilpīgo uzņēmumu atbalsta finansēšanai un aizsargāto lietotāju atbalsta finansēšanai 2021.gadā – 31 576 857 </w:t>
            </w:r>
            <w:proofErr w:type="spellStart"/>
            <w:r w:rsidRPr="00A72EE9">
              <w:rPr>
                <w:bCs/>
                <w:i/>
                <w:sz w:val="22"/>
                <w:szCs w:val="22"/>
              </w:rPr>
              <w:t>euro</w:t>
            </w:r>
            <w:proofErr w:type="spellEnd"/>
            <w:r w:rsidRPr="00A72EE9">
              <w:rPr>
                <w:bCs/>
                <w:sz w:val="22"/>
                <w:szCs w:val="22"/>
              </w:rPr>
              <w:t xml:space="preserve">, 2022.gadā – 48 562 002 </w:t>
            </w:r>
            <w:proofErr w:type="spellStart"/>
            <w:r w:rsidRPr="00A72EE9">
              <w:rPr>
                <w:bCs/>
                <w:i/>
                <w:sz w:val="22"/>
                <w:szCs w:val="22"/>
              </w:rPr>
              <w:t>euro</w:t>
            </w:r>
            <w:proofErr w:type="spellEnd"/>
            <w:r w:rsidRPr="00A72EE9">
              <w:rPr>
                <w:bCs/>
                <w:sz w:val="22"/>
                <w:szCs w:val="22"/>
              </w:rPr>
              <w:t xml:space="preserve"> un 2023.gadā – 48 510</w:t>
            </w:r>
            <w:r w:rsidRPr="00503769">
              <w:rPr>
                <w:sz w:val="22"/>
                <w:szCs w:val="22"/>
              </w:rPr>
              <w:t xml:space="preserve"> 176 </w:t>
            </w:r>
            <w:proofErr w:type="spellStart"/>
            <w:r w:rsidRPr="00503769">
              <w:rPr>
                <w:i/>
                <w:sz w:val="22"/>
                <w:szCs w:val="22"/>
              </w:rPr>
              <w:t>euro</w:t>
            </w:r>
            <w:proofErr w:type="spellEnd"/>
            <w:r w:rsidRPr="00503769">
              <w:rPr>
                <w:sz w:val="22"/>
                <w:szCs w:val="22"/>
              </w:rPr>
              <w:t>;</w:t>
            </w: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F4DA857" w14:textId="77777777" w:rsidR="00E74231" w:rsidRPr="00503769" w:rsidRDefault="00A517BC" w:rsidP="00503769">
            <w:pPr>
              <w:spacing w:after="160" w:line="252" w:lineRule="auto"/>
              <w:jc w:val="center"/>
              <w:rPr>
                <w:b/>
                <w:sz w:val="22"/>
                <w:szCs w:val="22"/>
              </w:rPr>
            </w:pPr>
            <w:r w:rsidRPr="00503769">
              <w:rPr>
                <w:b/>
                <w:sz w:val="22"/>
                <w:szCs w:val="22"/>
              </w:rPr>
              <w:t>Labklājības ministrija (25.08.2020)</w:t>
            </w:r>
          </w:p>
          <w:p w14:paraId="3F1A0BA6" w14:textId="35E0D743" w:rsidR="00A517BC" w:rsidRPr="00503769" w:rsidRDefault="00A517BC" w:rsidP="3DC405E9">
            <w:pPr>
              <w:pStyle w:val="tv213"/>
              <w:spacing w:before="0" w:beforeAutospacing="0" w:after="120" w:afterAutospacing="0"/>
              <w:jc w:val="both"/>
              <w:rPr>
                <w:sz w:val="22"/>
                <w:szCs w:val="22"/>
              </w:rPr>
            </w:pPr>
            <w:r w:rsidRPr="00503769">
              <w:rPr>
                <w:sz w:val="22"/>
                <w:szCs w:val="22"/>
              </w:rPr>
              <w:t xml:space="preserve">1. lūdzam Ministru kabineta rīkojuma projekta 2.2. punktu sadalīt divos atsevišķos punktos, ņemot vērā, ka energoietilpīgo uzņēmumu atbalsta finansēšana un aizsargāto lietotāju atbalsta finansēšana ir finansiāli atšķirīgi ietilpīgi pasākumi un ietver saturiski ļoti atšķirīgas mērķa grupas; </w:t>
            </w:r>
          </w:p>
          <w:p w14:paraId="3A3E788B" w14:textId="71E16787" w:rsidR="00A517BC" w:rsidRPr="00503769" w:rsidRDefault="00A517BC" w:rsidP="00FF387A">
            <w:pPr>
              <w:spacing w:after="160" w:line="252" w:lineRule="auto"/>
              <w:jc w:val="both"/>
              <w:rPr>
                <w:rFonts w:eastAsia="Calibri"/>
                <w:b/>
                <w:bCs/>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9A33AB0" w14:textId="1D907747" w:rsidR="004B73D7" w:rsidRPr="00503769" w:rsidRDefault="640FA498" w:rsidP="00503769">
            <w:pPr>
              <w:pStyle w:val="naisc"/>
              <w:spacing w:before="0" w:after="0"/>
              <w:rPr>
                <w:b/>
                <w:bCs/>
                <w:sz w:val="22"/>
                <w:szCs w:val="22"/>
              </w:rPr>
            </w:pPr>
            <w:r w:rsidRPr="00503769">
              <w:rPr>
                <w:b/>
                <w:bCs/>
                <w:sz w:val="22"/>
                <w:szCs w:val="22"/>
              </w:rPr>
              <w:t>Ņemts vērā.</w:t>
            </w: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4D8FDC5" w14:textId="454A2BE8" w:rsidR="009F665C" w:rsidRDefault="009F665C" w:rsidP="009F665C">
            <w:pPr>
              <w:shd w:val="clear" w:color="auto" w:fill="FFFFFF" w:themeFill="background1"/>
              <w:spacing w:after="120"/>
              <w:jc w:val="both"/>
              <w:rPr>
                <w:sz w:val="22"/>
                <w:szCs w:val="22"/>
              </w:rPr>
            </w:pPr>
            <w:r w:rsidRPr="009C6C86">
              <w:rPr>
                <w:sz w:val="22"/>
                <w:szCs w:val="22"/>
              </w:rPr>
              <w:t>Konceptuālā ziņojuma</w:t>
            </w:r>
            <w:r>
              <w:rPr>
                <w:sz w:val="22"/>
                <w:szCs w:val="22"/>
              </w:rPr>
              <w:t xml:space="preserve"> rīkojuma</w:t>
            </w:r>
            <w:r w:rsidRPr="009C6C86">
              <w:rPr>
                <w:sz w:val="22"/>
                <w:szCs w:val="22"/>
              </w:rPr>
              <w:t xml:space="preserve"> projekt</w:t>
            </w:r>
            <w:r>
              <w:rPr>
                <w:sz w:val="22"/>
                <w:szCs w:val="22"/>
              </w:rPr>
              <w:t>s:</w:t>
            </w:r>
          </w:p>
          <w:p w14:paraId="56725970" w14:textId="6BEB81A1" w:rsidR="0096116A" w:rsidRDefault="0096116A" w:rsidP="0096116A">
            <w:pPr>
              <w:spacing w:after="120"/>
              <w:rPr>
                <w:sz w:val="22"/>
                <w:szCs w:val="22"/>
              </w:rPr>
            </w:pPr>
            <w:r w:rsidRPr="00A72EE9">
              <w:rPr>
                <w:sz w:val="22"/>
                <w:szCs w:val="22"/>
              </w:rPr>
              <w:t>2. Finanšu ministrijai, sagatavojot likumprojektu “Par valsts budžetu 2021.gadam” un likumprojektu “Par vidēja termiņa budžeta ietvaru 2021., 2022. un 2023.gadam” iekļaut:</w:t>
            </w:r>
          </w:p>
          <w:p w14:paraId="3B116FEA" w14:textId="31744F45" w:rsidR="009F665C" w:rsidRPr="00A72EE9" w:rsidRDefault="009F665C" w:rsidP="0096116A">
            <w:pPr>
              <w:spacing w:after="120"/>
              <w:rPr>
                <w:sz w:val="22"/>
                <w:szCs w:val="22"/>
              </w:rPr>
            </w:pPr>
            <w:r>
              <w:rPr>
                <w:sz w:val="22"/>
                <w:szCs w:val="22"/>
              </w:rPr>
              <w:t>(..)</w:t>
            </w:r>
          </w:p>
          <w:p w14:paraId="2C19C6D6" w14:textId="362A9ABE" w:rsidR="00E74231" w:rsidRPr="00A72EE9" w:rsidRDefault="640FA498" w:rsidP="00503769">
            <w:pPr>
              <w:spacing w:after="120"/>
              <w:jc w:val="both"/>
              <w:rPr>
                <w:sz w:val="22"/>
                <w:szCs w:val="22"/>
              </w:rPr>
            </w:pPr>
            <w:r w:rsidRPr="00A72EE9">
              <w:rPr>
                <w:sz w:val="22"/>
                <w:szCs w:val="22"/>
              </w:rPr>
              <w:t xml:space="preserve">2.2. </w:t>
            </w:r>
            <w:r w:rsidR="00A72EE9" w:rsidRPr="00A72EE9">
              <w:rPr>
                <w:sz w:val="22"/>
                <w:szCs w:val="22"/>
              </w:rPr>
              <w:t xml:space="preserve">finansējumu obligātās iepirkuma komponentes samazināšanai,  un energoietilpīgo uzņēmumu atbalsta finansēšanai 2021.gadā – 19 576 857 </w:t>
            </w:r>
            <w:proofErr w:type="spellStart"/>
            <w:r w:rsidR="00A72EE9" w:rsidRPr="00A72EE9">
              <w:rPr>
                <w:i/>
                <w:iCs/>
                <w:sz w:val="22"/>
                <w:szCs w:val="22"/>
              </w:rPr>
              <w:t>euro</w:t>
            </w:r>
            <w:proofErr w:type="spellEnd"/>
            <w:r w:rsidR="00A72EE9" w:rsidRPr="00A72EE9">
              <w:rPr>
                <w:sz w:val="22"/>
                <w:szCs w:val="22"/>
              </w:rPr>
              <w:t xml:space="preserve">, 2022.gadā – 31 688 226 </w:t>
            </w:r>
            <w:proofErr w:type="spellStart"/>
            <w:r w:rsidR="00A72EE9" w:rsidRPr="00A72EE9">
              <w:rPr>
                <w:i/>
                <w:iCs/>
                <w:sz w:val="22"/>
                <w:szCs w:val="22"/>
              </w:rPr>
              <w:t>euro</w:t>
            </w:r>
            <w:proofErr w:type="spellEnd"/>
            <w:r w:rsidR="00A72EE9" w:rsidRPr="00A72EE9">
              <w:rPr>
                <w:sz w:val="22"/>
                <w:szCs w:val="22"/>
              </w:rPr>
              <w:t xml:space="preserve"> un 2023.gadā – 21 496 400 </w:t>
            </w:r>
            <w:proofErr w:type="spellStart"/>
            <w:r w:rsidR="00A72EE9" w:rsidRPr="00A72EE9">
              <w:rPr>
                <w:i/>
                <w:iCs/>
                <w:sz w:val="22"/>
                <w:szCs w:val="22"/>
              </w:rPr>
              <w:t>euro</w:t>
            </w:r>
            <w:proofErr w:type="spellEnd"/>
            <w:r w:rsidR="00A72EE9" w:rsidRPr="00A72EE9">
              <w:rPr>
                <w:sz w:val="22"/>
                <w:szCs w:val="22"/>
              </w:rPr>
              <w:t>;</w:t>
            </w:r>
          </w:p>
          <w:p w14:paraId="592C2701" w14:textId="48EE7BDE" w:rsidR="00E74231" w:rsidRPr="00A72EE9" w:rsidRDefault="640FA498" w:rsidP="00503769">
            <w:pPr>
              <w:spacing w:after="120"/>
              <w:jc w:val="both"/>
              <w:rPr>
                <w:i/>
                <w:iCs/>
                <w:sz w:val="22"/>
                <w:szCs w:val="22"/>
              </w:rPr>
            </w:pPr>
            <w:r w:rsidRPr="00A72EE9">
              <w:rPr>
                <w:sz w:val="22"/>
                <w:szCs w:val="22"/>
              </w:rPr>
              <w:t xml:space="preserve">2.3. finansējumu aizsargāto lietotāju atbalsta 2021., 2022. un 2023.gadā  finansēšanai katru gadu 12 000 000 </w:t>
            </w:r>
            <w:proofErr w:type="spellStart"/>
            <w:r w:rsidRPr="00A72EE9">
              <w:rPr>
                <w:i/>
                <w:iCs/>
                <w:sz w:val="22"/>
                <w:szCs w:val="22"/>
              </w:rPr>
              <w:t>euro</w:t>
            </w:r>
            <w:proofErr w:type="spellEnd"/>
            <w:r w:rsidRPr="00A72EE9">
              <w:rPr>
                <w:i/>
                <w:iCs/>
                <w:sz w:val="22"/>
                <w:szCs w:val="22"/>
              </w:rPr>
              <w:t>;</w:t>
            </w:r>
          </w:p>
          <w:p w14:paraId="560F26FC" w14:textId="48EE7BDE" w:rsidR="00E74231" w:rsidRPr="00A72EE9" w:rsidRDefault="00E74231" w:rsidP="4521D8A3">
            <w:pPr>
              <w:shd w:val="clear" w:color="auto" w:fill="FFFFFF" w:themeFill="background1"/>
              <w:spacing w:after="120"/>
              <w:jc w:val="both"/>
              <w:rPr>
                <w:sz w:val="22"/>
                <w:szCs w:val="22"/>
              </w:rPr>
            </w:pPr>
          </w:p>
        </w:tc>
        <w:tc>
          <w:tcPr>
            <w:tcW w:w="1318" w:type="dxa"/>
          </w:tcPr>
          <w:p w14:paraId="1E578277" w14:textId="77777777" w:rsidR="00E74231" w:rsidRPr="009C6C86" w:rsidRDefault="00E74231" w:rsidP="00F63CCF">
            <w:pPr>
              <w:jc w:val="both"/>
              <w:rPr>
                <w:sz w:val="22"/>
                <w:szCs w:val="22"/>
              </w:rPr>
            </w:pPr>
          </w:p>
        </w:tc>
      </w:tr>
      <w:tr w:rsidR="00A517BC" w:rsidRPr="009C6C86" w14:paraId="3AA898EF"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08502B0" w14:textId="0C01C81E" w:rsidR="00A517BC" w:rsidRPr="009C6C86" w:rsidRDefault="008E4312" w:rsidP="00B86C09">
            <w:pPr>
              <w:pStyle w:val="naisc"/>
              <w:rPr>
                <w:sz w:val="22"/>
                <w:szCs w:val="22"/>
              </w:rPr>
            </w:pPr>
            <w:r w:rsidRPr="009C6C86">
              <w:rPr>
                <w:sz w:val="22"/>
                <w:szCs w:val="22"/>
              </w:rPr>
              <w:t>2.</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559A8E3" w14:textId="49832E95" w:rsidR="00A72EE9" w:rsidRDefault="00A72EE9" w:rsidP="3DC405E9">
            <w:pPr>
              <w:spacing w:after="120"/>
              <w:rPr>
                <w:sz w:val="22"/>
                <w:szCs w:val="22"/>
              </w:rPr>
            </w:pPr>
            <w:r w:rsidRPr="009C6C86">
              <w:rPr>
                <w:sz w:val="22"/>
                <w:szCs w:val="22"/>
              </w:rPr>
              <w:t xml:space="preserve">Konceptuālā ziņojuma </w:t>
            </w:r>
            <w:r>
              <w:rPr>
                <w:sz w:val="22"/>
                <w:szCs w:val="22"/>
              </w:rPr>
              <w:t xml:space="preserve">rīkojuma </w:t>
            </w:r>
            <w:r w:rsidRPr="009C6C86">
              <w:rPr>
                <w:sz w:val="22"/>
                <w:szCs w:val="22"/>
              </w:rPr>
              <w:t>projekt</w:t>
            </w:r>
            <w:r>
              <w:rPr>
                <w:sz w:val="22"/>
                <w:szCs w:val="22"/>
              </w:rPr>
              <w:t>s</w:t>
            </w:r>
            <w:r w:rsidR="009F665C">
              <w:rPr>
                <w:sz w:val="22"/>
                <w:szCs w:val="22"/>
              </w:rPr>
              <w:t>:</w:t>
            </w:r>
          </w:p>
          <w:p w14:paraId="678D025E" w14:textId="7E7CD08D" w:rsidR="00C051C9" w:rsidRPr="00503769" w:rsidRDefault="00C051C9" w:rsidP="3DC405E9">
            <w:pPr>
              <w:spacing w:after="120"/>
              <w:rPr>
                <w:sz w:val="22"/>
                <w:szCs w:val="22"/>
              </w:rPr>
            </w:pPr>
            <w:r w:rsidRPr="00503769">
              <w:rPr>
                <w:sz w:val="22"/>
                <w:szCs w:val="22"/>
              </w:rPr>
              <w:t xml:space="preserve">4. Gadījumā, ja likumā “Par valsts budžetu 2021.gadam” Ekonomikas ministrijas budžeta programmā 29.02.00 “Elektroenerģijas lietotāju </w:t>
            </w:r>
            <w:r w:rsidRPr="00503769">
              <w:rPr>
                <w:sz w:val="22"/>
                <w:szCs w:val="22"/>
              </w:rPr>
              <w:lastRenderedPageBreak/>
              <w:t>atbalsts” paredzētais finansējums ir mazāks par faktiski nepieciešamo, papildu nepieciešamais finansējums tiek nodrošināts, veicot apropriācijas pārdali no citām valsts budžeta programmām.</w:t>
            </w:r>
          </w:p>
          <w:p w14:paraId="39C50589" w14:textId="77777777" w:rsidR="00A517BC" w:rsidRPr="00503769" w:rsidRDefault="00A517BC" w:rsidP="3DC405E9">
            <w:pPr>
              <w:shd w:val="clear" w:color="auto" w:fill="FFFFFF" w:themeFill="background1"/>
              <w:spacing w:after="120"/>
              <w:jc w:val="both"/>
              <w:rPr>
                <w:sz w:val="22"/>
                <w:szCs w:val="22"/>
              </w:rPr>
            </w:pP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D0A7EB0" w14:textId="77777777" w:rsidR="00A517BC" w:rsidRPr="00503769" w:rsidRDefault="00A517BC" w:rsidP="00503769">
            <w:pPr>
              <w:spacing w:after="160" w:line="252" w:lineRule="auto"/>
              <w:jc w:val="center"/>
              <w:rPr>
                <w:b/>
                <w:sz w:val="22"/>
                <w:szCs w:val="22"/>
              </w:rPr>
            </w:pPr>
            <w:r w:rsidRPr="00503769">
              <w:rPr>
                <w:b/>
                <w:sz w:val="22"/>
                <w:szCs w:val="22"/>
              </w:rPr>
              <w:lastRenderedPageBreak/>
              <w:t>Labklājības ministrija (25.08.2020)</w:t>
            </w:r>
          </w:p>
          <w:p w14:paraId="16777197" w14:textId="77777777" w:rsidR="00C051C9" w:rsidRPr="00503769" w:rsidRDefault="00A517BC" w:rsidP="3DC405E9">
            <w:pPr>
              <w:keepLines/>
              <w:tabs>
                <w:tab w:val="left" w:pos="-720"/>
                <w:tab w:val="left" w:pos="0"/>
                <w:tab w:val="left" w:pos="720"/>
                <w:tab w:val="left" w:pos="1440"/>
                <w:tab w:val="left" w:pos="2160"/>
                <w:tab w:val="left" w:pos="2880"/>
                <w:tab w:val="left" w:pos="3600"/>
                <w:tab w:val="left" w:pos="4320"/>
              </w:tabs>
              <w:autoSpaceDE w:val="0"/>
              <w:autoSpaceDN w:val="0"/>
              <w:adjustRightInd w:val="0"/>
              <w:jc w:val="both"/>
              <w:rPr>
                <w:sz w:val="22"/>
                <w:szCs w:val="22"/>
              </w:rPr>
            </w:pPr>
            <w:r w:rsidRPr="00503769">
              <w:rPr>
                <w:sz w:val="22"/>
                <w:szCs w:val="22"/>
              </w:rPr>
              <w:lastRenderedPageBreak/>
              <w:t xml:space="preserve">2.iebilstam pret Ministru kabineta rīkojuma projekta 4. punktu pašreizējā redakcijā, kas paredz veikt apropriācijas pārdali no citām valsts budžeta programmām, taču nenorāda uz konkrētu risinājumu. </w:t>
            </w:r>
          </w:p>
          <w:p w14:paraId="044D2F07" w14:textId="19BF00AF" w:rsidR="00A517BC" w:rsidRPr="00503769" w:rsidRDefault="72454802" w:rsidP="3DC405E9">
            <w:pPr>
              <w:keepLines/>
              <w:tabs>
                <w:tab w:val="left" w:pos="-720"/>
                <w:tab w:val="left" w:pos="0"/>
                <w:tab w:val="left" w:pos="720"/>
                <w:tab w:val="left" w:pos="1440"/>
                <w:tab w:val="left" w:pos="2160"/>
                <w:tab w:val="left" w:pos="2880"/>
                <w:tab w:val="left" w:pos="3600"/>
                <w:tab w:val="left" w:pos="4320"/>
              </w:tabs>
              <w:autoSpaceDE w:val="0"/>
              <w:autoSpaceDN w:val="0"/>
              <w:adjustRightInd w:val="0"/>
              <w:jc w:val="both"/>
              <w:rPr>
                <w:b/>
                <w:color w:val="000000" w:themeColor="text1"/>
                <w:sz w:val="22"/>
                <w:szCs w:val="22"/>
              </w:rPr>
            </w:pPr>
            <w:r w:rsidRPr="00503769">
              <w:rPr>
                <w:sz w:val="22"/>
                <w:szCs w:val="22"/>
              </w:rPr>
              <w:t>Lūdzam ietvert punktā konkrētu risinājumu, ka gadījumā, ja Ekonomikas ministrijas budžeta programmā 29.02.00 “Elektroenerģijas lietotāju atbalsts” paredzētais finansējums ir mazāks par faktiski nepieciešamo,</w:t>
            </w:r>
            <w:r w:rsidR="00C051C9" w:rsidRPr="00503769">
              <w:rPr>
                <w:sz w:val="22"/>
                <w:szCs w:val="22"/>
              </w:rPr>
              <w:t xml:space="preserve"> </w:t>
            </w:r>
            <w:r w:rsidRPr="00503769">
              <w:rPr>
                <w:sz w:val="22"/>
                <w:szCs w:val="22"/>
              </w:rPr>
              <w:t>papildu nepieciešamais finansējums tiek nodrošināts, veicot apropriācijas pārdali no citām Ekonomikas ministrijas valsts budžeta programmām.” Gadījumā, ja šādu risinājumu šobrīd nav iespējams paredzēt, aicinām punktu svītrot</w:t>
            </w:r>
          </w:p>
          <w:p w14:paraId="56722C50" w14:textId="5B3378AD" w:rsidR="00A517BC" w:rsidRPr="00503769" w:rsidRDefault="00A517BC" w:rsidP="3DC405E9">
            <w:pPr>
              <w:keepLines/>
              <w:tabs>
                <w:tab w:val="left" w:pos="-720"/>
                <w:tab w:val="left" w:pos="0"/>
                <w:tab w:val="left" w:pos="720"/>
                <w:tab w:val="left" w:pos="1440"/>
                <w:tab w:val="left" w:pos="2160"/>
                <w:tab w:val="left" w:pos="2880"/>
                <w:tab w:val="left" w:pos="3600"/>
                <w:tab w:val="left" w:pos="4320"/>
              </w:tabs>
              <w:autoSpaceDE w:val="0"/>
              <w:autoSpaceDN w:val="0"/>
              <w:adjustRightInd w:val="0"/>
              <w:jc w:val="both"/>
              <w:rPr>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817D6A9" w14:textId="77777777" w:rsidR="00A517BC" w:rsidRDefault="40980F4F" w:rsidP="00503769">
            <w:pPr>
              <w:pStyle w:val="naisc"/>
              <w:rPr>
                <w:b/>
                <w:bCs/>
                <w:sz w:val="22"/>
                <w:szCs w:val="22"/>
              </w:rPr>
            </w:pPr>
            <w:r w:rsidRPr="00503769">
              <w:rPr>
                <w:b/>
                <w:bCs/>
                <w:sz w:val="22"/>
                <w:szCs w:val="22"/>
              </w:rPr>
              <w:lastRenderedPageBreak/>
              <w:t>Ņem</w:t>
            </w:r>
            <w:r w:rsidR="11F839C0" w:rsidRPr="00503769">
              <w:rPr>
                <w:b/>
                <w:bCs/>
                <w:sz w:val="22"/>
                <w:szCs w:val="22"/>
              </w:rPr>
              <w:t>ts vērā.</w:t>
            </w:r>
          </w:p>
          <w:p w14:paraId="751AE734" w14:textId="75930FF2" w:rsidR="00A72EE9" w:rsidRPr="00503769" w:rsidRDefault="00A72EE9" w:rsidP="00A72EE9">
            <w:pPr>
              <w:pStyle w:val="naisc"/>
              <w:jc w:val="left"/>
              <w:rPr>
                <w:b/>
                <w:bCs/>
                <w:sz w:val="22"/>
                <w:szCs w:val="22"/>
              </w:rPr>
            </w:pP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424B68B" w14:textId="402DA06D" w:rsidR="00A517BC" w:rsidRPr="00503769" w:rsidRDefault="00A72EE9" w:rsidP="597AB4C5">
            <w:pPr>
              <w:jc w:val="both"/>
              <w:rPr>
                <w:sz w:val="22"/>
                <w:szCs w:val="22"/>
              </w:rPr>
            </w:pPr>
            <w:r w:rsidRPr="009C6C86">
              <w:rPr>
                <w:sz w:val="22"/>
                <w:szCs w:val="22"/>
              </w:rPr>
              <w:t xml:space="preserve">Konceptuālā ziņojuma </w:t>
            </w:r>
            <w:r>
              <w:rPr>
                <w:sz w:val="22"/>
                <w:szCs w:val="22"/>
              </w:rPr>
              <w:t>rīkojuma</w:t>
            </w:r>
            <w:r w:rsidR="78384AD2" w:rsidRPr="00503769">
              <w:rPr>
                <w:sz w:val="22"/>
                <w:szCs w:val="22"/>
              </w:rPr>
              <w:t xml:space="preserve"> 4.punkts </w:t>
            </w:r>
            <w:r>
              <w:rPr>
                <w:sz w:val="22"/>
                <w:szCs w:val="22"/>
              </w:rPr>
              <w:t xml:space="preserve">par finansējuma pārdali no citām valsts budžeta programmām </w:t>
            </w:r>
            <w:r w:rsidR="78384AD2" w:rsidRPr="00503769">
              <w:rPr>
                <w:sz w:val="22"/>
                <w:szCs w:val="22"/>
              </w:rPr>
              <w:t>svītrots.</w:t>
            </w:r>
          </w:p>
        </w:tc>
        <w:tc>
          <w:tcPr>
            <w:tcW w:w="1318" w:type="dxa"/>
          </w:tcPr>
          <w:p w14:paraId="2F7BC7B1" w14:textId="77777777" w:rsidR="00A517BC" w:rsidRPr="009C6C86" w:rsidRDefault="00A517BC" w:rsidP="597AB4C5">
            <w:pPr>
              <w:jc w:val="both"/>
              <w:rPr>
                <w:sz w:val="22"/>
                <w:szCs w:val="22"/>
              </w:rPr>
            </w:pPr>
          </w:p>
        </w:tc>
      </w:tr>
      <w:tr w:rsidR="00A517BC" w:rsidRPr="009C6C86" w14:paraId="59F9BDA7"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0FFD52C" w14:textId="71CC1DF4" w:rsidR="00A517BC" w:rsidRPr="009C6C86" w:rsidRDefault="008E4312" w:rsidP="00B86C09">
            <w:pPr>
              <w:pStyle w:val="naisc"/>
              <w:rPr>
                <w:sz w:val="22"/>
                <w:szCs w:val="22"/>
                <w:highlight w:val="yellow"/>
              </w:rPr>
            </w:pPr>
            <w:r w:rsidRPr="00503769">
              <w:rPr>
                <w:sz w:val="22"/>
                <w:szCs w:val="22"/>
              </w:rPr>
              <w:t>3.</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C1D55DF" w14:textId="560CC3DA" w:rsidR="00B86854" w:rsidRPr="009C6C86" w:rsidRDefault="00B86854" w:rsidP="00B86854">
            <w:pPr>
              <w:shd w:val="clear" w:color="auto" w:fill="FFFFFF" w:themeFill="background1"/>
              <w:spacing w:after="120"/>
              <w:jc w:val="both"/>
              <w:rPr>
                <w:sz w:val="22"/>
                <w:szCs w:val="22"/>
              </w:rPr>
            </w:pPr>
            <w:r w:rsidRPr="009C6C86">
              <w:rPr>
                <w:sz w:val="22"/>
                <w:szCs w:val="22"/>
              </w:rPr>
              <w:t>Konceptuālā ziņojuma projekta 1.4. sadaļa</w:t>
            </w:r>
          </w:p>
          <w:p w14:paraId="21A1FCB6" w14:textId="77777777" w:rsidR="00A517BC" w:rsidRPr="009C6C86" w:rsidRDefault="00A517BC" w:rsidP="597AB4C5">
            <w:pPr>
              <w:shd w:val="clear" w:color="auto" w:fill="FFFFFF" w:themeFill="background1"/>
              <w:spacing w:after="120"/>
              <w:jc w:val="both"/>
              <w:rPr>
                <w:sz w:val="22"/>
                <w:szCs w:val="22"/>
              </w:rPr>
            </w:pP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6AAE879" w14:textId="77777777" w:rsidR="00A517BC" w:rsidRPr="009C6C86" w:rsidRDefault="00A517BC" w:rsidP="00503769">
            <w:pPr>
              <w:spacing w:after="160" w:line="252" w:lineRule="auto"/>
              <w:jc w:val="center"/>
              <w:rPr>
                <w:b/>
                <w:bCs/>
                <w:sz w:val="22"/>
                <w:szCs w:val="22"/>
              </w:rPr>
            </w:pPr>
            <w:r w:rsidRPr="009C6C86">
              <w:rPr>
                <w:b/>
                <w:bCs/>
                <w:sz w:val="22"/>
                <w:szCs w:val="22"/>
              </w:rPr>
              <w:t>Labklājības ministrija (25.08.2020)</w:t>
            </w:r>
          </w:p>
          <w:p w14:paraId="7DAD254F" w14:textId="6F98C3BC" w:rsidR="00E319B2" w:rsidRPr="009C6C86" w:rsidRDefault="00E319B2" w:rsidP="00E319B2">
            <w:pPr>
              <w:jc w:val="both"/>
              <w:rPr>
                <w:sz w:val="22"/>
                <w:szCs w:val="22"/>
              </w:rPr>
            </w:pPr>
            <w:r w:rsidRPr="009C6C86">
              <w:rPr>
                <w:sz w:val="22"/>
                <w:szCs w:val="22"/>
              </w:rPr>
              <w:t xml:space="preserve">3. lūdzam papildināt konceptuālā ziņojuma 1.4. sadaļu ar norādi, ka saistībā ar Satversmes tiesas spriedumiem par garantēto minimālo ienākumu līmeni (lieta Nr.2019-24-03), par ģimenes vai atsevišķi dzīvojošas personas atzīšanu par trūcīgu (lieta Nr.2019-25-03) un citiem saistītiem Satversmes tiesas spriedumiem, kas attiecas uz plašu personu loku ar minimālajiem ienākumiem, Labklājības ministrija gatavo izmaiņas virknē normatīvo aktu, par kurām vēl jāvienojas Ministru kabinetā un Saeimā. Izmaiņas attiecībā uz trūcīgas personas ienākumu līmeni un maznodrošinātās personas statusu var ietekmēt aizsargāto lietotāju </w:t>
            </w:r>
            <w:proofErr w:type="spellStart"/>
            <w:r w:rsidRPr="009C6C86">
              <w:rPr>
                <w:sz w:val="22"/>
                <w:szCs w:val="22"/>
              </w:rPr>
              <w:t>mērķgrupu</w:t>
            </w:r>
            <w:proofErr w:type="spellEnd"/>
            <w:r w:rsidRPr="009C6C86">
              <w:rPr>
                <w:sz w:val="22"/>
                <w:szCs w:val="22"/>
              </w:rPr>
              <w:t xml:space="preserve"> un līdz ar to aizsargāto </w:t>
            </w:r>
            <w:r w:rsidRPr="009C6C86">
              <w:rPr>
                <w:sz w:val="22"/>
                <w:szCs w:val="22"/>
              </w:rPr>
              <w:lastRenderedPageBreak/>
              <w:t xml:space="preserve">lietotāju atbalstam nepieciešamā finansējuma apjomu. </w:t>
            </w:r>
          </w:p>
          <w:p w14:paraId="5E68922E" w14:textId="77777777" w:rsidR="00A517BC" w:rsidRPr="009C6C86" w:rsidRDefault="00A517BC" w:rsidP="00A517BC">
            <w:pPr>
              <w:keepLines/>
              <w:tabs>
                <w:tab w:val="left" w:pos="-720"/>
                <w:tab w:val="left" w:pos="0"/>
                <w:tab w:val="left" w:pos="720"/>
                <w:tab w:val="left" w:pos="1440"/>
                <w:tab w:val="left" w:pos="2160"/>
                <w:tab w:val="left" w:pos="2880"/>
                <w:tab w:val="left" w:pos="3600"/>
                <w:tab w:val="left" w:pos="4320"/>
              </w:tabs>
              <w:autoSpaceDE w:val="0"/>
              <w:autoSpaceDN w:val="0"/>
              <w:adjustRightInd w:val="0"/>
              <w:ind w:firstLine="720"/>
              <w:jc w:val="center"/>
              <w:rPr>
                <w:b/>
                <w:bCs/>
                <w:color w:val="000000"/>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CBCD429" w14:textId="4F76731C" w:rsidR="00A517BC" w:rsidRPr="009C6C86" w:rsidRDefault="67520D84" w:rsidP="00503769">
            <w:pPr>
              <w:pStyle w:val="naisc"/>
              <w:rPr>
                <w:b/>
                <w:bCs/>
                <w:sz w:val="22"/>
                <w:szCs w:val="22"/>
              </w:rPr>
            </w:pPr>
            <w:r w:rsidRPr="009C6C86">
              <w:rPr>
                <w:b/>
                <w:bCs/>
                <w:sz w:val="22"/>
                <w:szCs w:val="22"/>
              </w:rPr>
              <w:lastRenderedPageBreak/>
              <w:t>Ņemts vērā.</w:t>
            </w: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32426DA" w14:textId="61EA95D6" w:rsidR="00A517BC" w:rsidRPr="009C6C86" w:rsidRDefault="67520D84" w:rsidP="597AB4C5">
            <w:pPr>
              <w:jc w:val="both"/>
              <w:rPr>
                <w:sz w:val="22"/>
                <w:szCs w:val="22"/>
              </w:rPr>
            </w:pPr>
            <w:r w:rsidRPr="009C6C86">
              <w:rPr>
                <w:sz w:val="22"/>
                <w:szCs w:val="22"/>
              </w:rPr>
              <w:t>Papildināta konceptuālā ziņojuma projekta 1.4 sadaļa.</w:t>
            </w:r>
          </w:p>
        </w:tc>
        <w:tc>
          <w:tcPr>
            <w:tcW w:w="1318" w:type="dxa"/>
          </w:tcPr>
          <w:p w14:paraId="3CF339B6" w14:textId="77777777" w:rsidR="00A517BC" w:rsidRPr="009C6C86" w:rsidRDefault="00A517BC" w:rsidP="597AB4C5">
            <w:pPr>
              <w:jc w:val="both"/>
              <w:rPr>
                <w:sz w:val="22"/>
                <w:szCs w:val="22"/>
              </w:rPr>
            </w:pPr>
          </w:p>
        </w:tc>
      </w:tr>
      <w:tr w:rsidR="00A517BC" w:rsidRPr="009C6C86" w14:paraId="4DD9A1CD"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98C5BCE" w14:textId="01F5CAC7" w:rsidR="00A517BC" w:rsidRPr="009C6C86" w:rsidRDefault="008E4312" w:rsidP="00B86C09">
            <w:pPr>
              <w:pStyle w:val="naisc"/>
              <w:rPr>
                <w:sz w:val="22"/>
                <w:szCs w:val="22"/>
              </w:rPr>
            </w:pPr>
            <w:r w:rsidRPr="009C6C86">
              <w:rPr>
                <w:sz w:val="22"/>
                <w:szCs w:val="22"/>
              </w:rPr>
              <w:t>4.</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D4746B4" w14:textId="77777777" w:rsidR="00B86854" w:rsidRPr="009C6C86" w:rsidRDefault="00B86854" w:rsidP="00B86854">
            <w:pPr>
              <w:shd w:val="clear" w:color="auto" w:fill="FFFFFF" w:themeFill="background1"/>
              <w:spacing w:after="120"/>
              <w:jc w:val="both"/>
              <w:rPr>
                <w:sz w:val="22"/>
                <w:szCs w:val="22"/>
              </w:rPr>
            </w:pPr>
            <w:r w:rsidRPr="009C6C86">
              <w:rPr>
                <w:sz w:val="22"/>
                <w:szCs w:val="22"/>
              </w:rPr>
              <w:t>Konceptuālā ziņojuma projekta 1.4. sadaļa</w:t>
            </w:r>
          </w:p>
          <w:p w14:paraId="28AACCC6" w14:textId="77777777" w:rsidR="00A517BC" w:rsidRPr="009C6C86" w:rsidRDefault="00A517BC" w:rsidP="597AB4C5">
            <w:pPr>
              <w:shd w:val="clear" w:color="auto" w:fill="FFFFFF" w:themeFill="background1"/>
              <w:spacing w:after="120"/>
              <w:jc w:val="both"/>
              <w:rPr>
                <w:sz w:val="22"/>
                <w:szCs w:val="22"/>
              </w:rPr>
            </w:pP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8BEC03E" w14:textId="77777777" w:rsidR="00E319B2" w:rsidRPr="009C6C86" w:rsidRDefault="00E319B2" w:rsidP="00503769">
            <w:pPr>
              <w:spacing w:after="160" w:line="252" w:lineRule="auto"/>
              <w:jc w:val="center"/>
              <w:rPr>
                <w:b/>
                <w:bCs/>
                <w:sz w:val="22"/>
                <w:szCs w:val="22"/>
              </w:rPr>
            </w:pPr>
            <w:r w:rsidRPr="009C6C86">
              <w:rPr>
                <w:b/>
                <w:bCs/>
                <w:sz w:val="22"/>
                <w:szCs w:val="22"/>
              </w:rPr>
              <w:t>Labklājības ministrija (25.08.2020)</w:t>
            </w:r>
          </w:p>
          <w:p w14:paraId="3B7E80BA" w14:textId="31703D15" w:rsidR="00A517BC" w:rsidRPr="00A72EE9" w:rsidRDefault="00E319B2" w:rsidP="00A72EE9">
            <w:pPr>
              <w:jc w:val="both"/>
              <w:rPr>
                <w:sz w:val="22"/>
                <w:szCs w:val="22"/>
              </w:rPr>
            </w:pPr>
            <w:r w:rsidRPr="009C6C86">
              <w:rPr>
                <w:sz w:val="22"/>
                <w:szCs w:val="22"/>
              </w:rPr>
              <w:t xml:space="preserve">Vienlaikus ierosinām konceptuālā ziņojuma 1.4. sadaļu papildināt ar zemsvītras atsauci, skaidrojot, kas šajā ziņojumā tiek saprasts ar jēdzienu “ģimene”, t.i., pēc kādām pazīmēm persona ir tiesīga pretendēt uz aizsargātā lietotāja atbalsta saņemšanu </w:t>
            </w:r>
            <w:proofErr w:type="spellStart"/>
            <w:r w:rsidRPr="009C6C86">
              <w:rPr>
                <w:sz w:val="22"/>
                <w:szCs w:val="22"/>
              </w:rPr>
              <w:t>daudzbērnu</w:t>
            </w:r>
            <w:proofErr w:type="spellEnd"/>
            <w:r w:rsidRPr="009C6C86">
              <w:rPr>
                <w:sz w:val="22"/>
                <w:szCs w:val="22"/>
              </w:rPr>
              <w:t xml:space="preserve"> ģimenei.</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F1D2D44" w14:textId="122095F8" w:rsidR="00A517BC" w:rsidRPr="009C6C86" w:rsidRDefault="28E6BBC7" w:rsidP="00503769">
            <w:pPr>
              <w:pStyle w:val="naisc"/>
              <w:rPr>
                <w:b/>
                <w:bCs/>
                <w:sz w:val="22"/>
                <w:szCs w:val="22"/>
              </w:rPr>
            </w:pPr>
            <w:r w:rsidRPr="009C6C86">
              <w:rPr>
                <w:b/>
                <w:bCs/>
                <w:sz w:val="22"/>
                <w:szCs w:val="22"/>
              </w:rPr>
              <w:t>Ņemts vērā.</w:t>
            </w: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D5E97C5" w14:textId="18C9ADD4" w:rsidR="00A517BC" w:rsidRPr="009C6C86" w:rsidRDefault="28E6BBC7" w:rsidP="597AB4C5">
            <w:pPr>
              <w:jc w:val="both"/>
              <w:rPr>
                <w:sz w:val="22"/>
                <w:szCs w:val="22"/>
              </w:rPr>
            </w:pPr>
            <w:r w:rsidRPr="009C6C86">
              <w:rPr>
                <w:sz w:val="22"/>
                <w:szCs w:val="22"/>
              </w:rPr>
              <w:t>Konceptuālā ziņojuma projekta 1.4 sadaļa papildināta ar zemsvītras atsauci.</w:t>
            </w:r>
          </w:p>
        </w:tc>
        <w:tc>
          <w:tcPr>
            <w:tcW w:w="1318" w:type="dxa"/>
          </w:tcPr>
          <w:p w14:paraId="50F12307" w14:textId="77777777" w:rsidR="00A517BC" w:rsidRPr="009C6C86" w:rsidRDefault="00A517BC" w:rsidP="597AB4C5">
            <w:pPr>
              <w:jc w:val="both"/>
              <w:rPr>
                <w:sz w:val="22"/>
                <w:szCs w:val="22"/>
              </w:rPr>
            </w:pPr>
          </w:p>
        </w:tc>
      </w:tr>
      <w:tr w:rsidR="597AB4C5" w:rsidRPr="009C6C86" w14:paraId="33E917FA"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7E2318D" w14:textId="788096AA" w:rsidR="597AB4C5" w:rsidRPr="009C6C86" w:rsidRDefault="008E4312" w:rsidP="00B86C09">
            <w:pPr>
              <w:pStyle w:val="naisc"/>
              <w:rPr>
                <w:sz w:val="22"/>
                <w:szCs w:val="22"/>
              </w:rPr>
            </w:pPr>
            <w:r w:rsidRPr="009C6C86">
              <w:rPr>
                <w:sz w:val="22"/>
                <w:szCs w:val="22"/>
              </w:rPr>
              <w:t>5.</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54525C3" w14:textId="4F325C07" w:rsidR="48D1784E" w:rsidRPr="009C6C86" w:rsidRDefault="00C051C9" w:rsidP="597AB4C5">
            <w:pPr>
              <w:shd w:val="clear" w:color="auto" w:fill="FFFFFF" w:themeFill="background1"/>
              <w:spacing w:after="120"/>
              <w:jc w:val="both"/>
              <w:rPr>
                <w:sz w:val="22"/>
                <w:szCs w:val="22"/>
              </w:rPr>
            </w:pPr>
            <w:r w:rsidRPr="009C6C86">
              <w:rPr>
                <w:sz w:val="22"/>
                <w:szCs w:val="22"/>
              </w:rPr>
              <w:t xml:space="preserve">Konceptuālā ziņojuma </w:t>
            </w:r>
            <w:r w:rsidR="48D1784E" w:rsidRPr="009C6C86">
              <w:rPr>
                <w:sz w:val="22"/>
                <w:szCs w:val="22"/>
              </w:rPr>
              <w:t>projekts</w:t>
            </w:r>
          </w:p>
          <w:p w14:paraId="48F5B8E1" w14:textId="094BF377" w:rsidR="597AB4C5" w:rsidRPr="009C6C86" w:rsidRDefault="597AB4C5" w:rsidP="597AB4C5">
            <w:pPr>
              <w:jc w:val="both"/>
              <w:rPr>
                <w:sz w:val="22"/>
                <w:szCs w:val="22"/>
              </w:rPr>
            </w:pP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1759C9E" w14:textId="5F00C7F5" w:rsidR="00A517BC" w:rsidRPr="00503769" w:rsidRDefault="00A517BC" w:rsidP="00A517BC">
            <w:pPr>
              <w:keepLines/>
              <w:tabs>
                <w:tab w:val="left" w:pos="-720"/>
                <w:tab w:val="left" w:pos="0"/>
                <w:tab w:val="left" w:pos="720"/>
                <w:tab w:val="left" w:pos="1440"/>
                <w:tab w:val="left" w:pos="2160"/>
                <w:tab w:val="left" w:pos="2880"/>
                <w:tab w:val="left" w:pos="3600"/>
                <w:tab w:val="left" w:pos="4320"/>
              </w:tabs>
              <w:autoSpaceDE w:val="0"/>
              <w:autoSpaceDN w:val="0"/>
              <w:adjustRightInd w:val="0"/>
              <w:ind w:firstLine="720"/>
              <w:jc w:val="center"/>
              <w:rPr>
                <w:b/>
                <w:bCs/>
                <w:color w:val="000000"/>
                <w:sz w:val="22"/>
                <w:szCs w:val="22"/>
              </w:rPr>
            </w:pPr>
            <w:r w:rsidRPr="00503769">
              <w:rPr>
                <w:b/>
                <w:bCs/>
                <w:color w:val="000000"/>
                <w:sz w:val="22"/>
                <w:szCs w:val="22"/>
              </w:rPr>
              <w:t>AS "Enerģijas publiskais tirgotājs" (25.08.2020)</w:t>
            </w:r>
          </w:p>
          <w:p w14:paraId="2FDB6A21" w14:textId="09026A4C" w:rsidR="00E319B2" w:rsidRPr="00503769" w:rsidRDefault="00A517BC" w:rsidP="008E4312">
            <w:pPr>
              <w:keepLines/>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503769">
              <w:rPr>
                <w:color w:val="000000"/>
                <w:sz w:val="22"/>
                <w:szCs w:val="22"/>
              </w:rPr>
              <w:t>Saskaņā ar Obligātā iepirkuma un jaudas komponenšu aprēķināšanas metodiku, obligātā iepirkuma izmaksas tiek segtas ar viena gada nobīdi, līdz ar to rodas obligātā iepirkuma izmaksu uzkrājums, kas parasti tiek segts no nākošā gada Obligātā iepirkuma komponentes (OIK) ieņēmumiem. Pēc stāvokļa uz 2020.gada 30.jūniju obligātā iepirkuma izmaksu uzkrājums ir aptuveni 85 milj. EUR. Ņemot vērā, ka Konceptuālā ziņojuma 3.scenārijā  ir paredzēts pakāpenisks vidējās OIK samazinājums no pašreizējiem 22,68 EUR/</w:t>
            </w:r>
            <w:proofErr w:type="spellStart"/>
            <w:r w:rsidRPr="00503769">
              <w:rPr>
                <w:color w:val="000000"/>
                <w:sz w:val="22"/>
                <w:szCs w:val="22"/>
              </w:rPr>
              <w:t>MWh</w:t>
            </w:r>
            <w:proofErr w:type="spellEnd"/>
            <w:r w:rsidRPr="00503769">
              <w:rPr>
                <w:color w:val="000000"/>
                <w:sz w:val="22"/>
                <w:szCs w:val="22"/>
              </w:rPr>
              <w:t xml:space="preserve"> līdz 11,04 EUR/</w:t>
            </w:r>
            <w:proofErr w:type="spellStart"/>
            <w:r w:rsidRPr="00503769">
              <w:rPr>
                <w:color w:val="000000"/>
                <w:sz w:val="22"/>
                <w:szCs w:val="22"/>
              </w:rPr>
              <w:t>MWh</w:t>
            </w:r>
            <w:proofErr w:type="spellEnd"/>
            <w:r w:rsidRPr="00503769">
              <w:rPr>
                <w:color w:val="000000"/>
                <w:sz w:val="22"/>
                <w:szCs w:val="22"/>
              </w:rPr>
              <w:t xml:space="preserve"> 2023.gadā, kas ievērojami samazinās OIK ieņēmumus,  </w:t>
            </w:r>
            <w:r w:rsidR="00A72EE9" w:rsidRPr="00503769">
              <w:rPr>
                <w:color w:val="000000"/>
                <w:sz w:val="22"/>
                <w:szCs w:val="22"/>
              </w:rPr>
              <w:t>vienlaicīgi būtu nepieciešams mazināt šo izmaksu</w:t>
            </w:r>
            <w:r w:rsidR="00A72EE9">
              <w:rPr>
                <w:color w:val="000000"/>
                <w:sz w:val="22"/>
                <w:szCs w:val="22"/>
              </w:rPr>
              <w:t>.</w:t>
            </w:r>
          </w:p>
          <w:p w14:paraId="7B384C40" w14:textId="3CB49B55" w:rsidR="00A517BC" w:rsidRPr="00503769" w:rsidRDefault="00A517BC" w:rsidP="008E4312">
            <w:pPr>
              <w:keepLines/>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503769">
              <w:rPr>
                <w:color w:val="000000"/>
                <w:sz w:val="22"/>
                <w:szCs w:val="22"/>
              </w:rPr>
              <w:lastRenderedPageBreak/>
              <w:t>Ņemot vērā augstāk minēto, AS "Enerģijas publiskais tirgotājs" aicina 3.scenārijā paredzēt iespēju AS "Latvenergo" kapitāla daļu turētājam lemt par lielāku maksājumu par valsts kapitāla izmantošanu (dividendes) no akciju sabiedrības rīcībā palikušās tīrās peļņas 2020., 2021. un 2022.gadā gadījumā, ja tā kādā no gadiem izrādītos lielāka Ņemot</w:t>
            </w:r>
            <w:r w:rsidRPr="00503769">
              <w:rPr>
                <w:color w:val="000000" w:themeColor="text1"/>
                <w:sz w:val="22"/>
                <w:szCs w:val="22"/>
              </w:rPr>
              <w:t xml:space="preserve"> vērā augstāk minēto, AS "Enerģijas publiskais tirgotājs" aicina 3.scenārijā paredzēt iespēju AS "Latvenergo" kapitāla daļu turētājam lemt par lielāku maksājumu par valsts kapitāla izmantošanu (dividendes) no akciju sabiedrības rīcībā palikušās tīrās peļņas 2020., 2021. un 2022.gadā gadījumā, ja tā kādā no gadiem izrādītos lielāka kā Jūsu vēstules Nr. 3.1-8/2020/2213 pielikumā sagatavotā MK rīkojuma projekta 5.punktā minētajiem dividenžu apjomiem, un starpību novirzīt dotācijai AS "Enerģijas publiskais tirgotājs" uzkrāto obligātā iepirkuma izmaksu samazinājumam.</w:t>
            </w:r>
          </w:p>
          <w:p w14:paraId="7DE1127D" w14:textId="4A0C95C5" w:rsidR="597AB4C5" w:rsidRPr="00503769" w:rsidRDefault="597AB4C5" w:rsidP="597AB4C5">
            <w:pPr>
              <w:spacing w:line="252" w:lineRule="auto"/>
              <w:jc w:val="center"/>
              <w:rPr>
                <w:b/>
                <w:bCs/>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632BB7A" w14:textId="5D6FCE54" w:rsidR="005D3F3D" w:rsidRPr="009C6C86" w:rsidRDefault="1AC8662A" w:rsidP="00503769">
            <w:pPr>
              <w:pStyle w:val="naisc"/>
              <w:rPr>
                <w:b/>
                <w:bCs/>
                <w:sz w:val="22"/>
                <w:szCs w:val="22"/>
              </w:rPr>
            </w:pPr>
            <w:r w:rsidRPr="4477E123">
              <w:rPr>
                <w:b/>
                <w:bCs/>
                <w:sz w:val="22"/>
                <w:szCs w:val="22"/>
              </w:rPr>
              <w:lastRenderedPageBreak/>
              <w:t>Ņemts vērā</w:t>
            </w:r>
            <w:r w:rsidR="7ABE0612" w:rsidRPr="4477E123">
              <w:rPr>
                <w:b/>
                <w:bCs/>
                <w:sz w:val="22"/>
                <w:szCs w:val="22"/>
              </w:rPr>
              <w:t>.</w:t>
            </w: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1AF82A3" w14:textId="176AF77F" w:rsidR="597AB4C5" w:rsidRPr="00503769" w:rsidRDefault="00503769" w:rsidP="4477E123">
            <w:pPr>
              <w:jc w:val="both"/>
              <w:rPr>
                <w:color w:val="000000" w:themeColor="text1"/>
                <w:sz w:val="22"/>
                <w:szCs w:val="22"/>
              </w:rPr>
            </w:pPr>
            <w:r>
              <w:rPr>
                <w:color w:val="000000" w:themeColor="text1"/>
                <w:sz w:val="22"/>
                <w:szCs w:val="22"/>
              </w:rPr>
              <w:t>Konceptuālā ziņojuma rīkojuma projekt</w:t>
            </w:r>
            <w:r w:rsidR="009F665C">
              <w:rPr>
                <w:color w:val="000000" w:themeColor="text1"/>
                <w:sz w:val="22"/>
                <w:szCs w:val="22"/>
              </w:rPr>
              <w:t>a 3.punkts:</w:t>
            </w:r>
          </w:p>
          <w:p w14:paraId="6C2AADE3" w14:textId="04B1D39D" w:rsidR="597AB4C5" w:rsidRPr="00503769" w:rsidRDefault="009F665C" w:rsidP="4477E123">
            <w:pPr>
              <w:jc w:val="both"/>
              <w:rPr>
                <w:color w:val="000000" w:themeColor="text1"/>
                <w:sz w:val="28"/>
                <w:szCs w:val="28"/>
              </w:rPr>
            </w:pPr>
            <w:r w:rsidRPr="009F665C">
              <w:rPr>
                <w:color w:val="000000" w:themeColor="text1"/>
                <w:sz w:val="22"/>
                <w:szCs w:val="22"/>
              </w:rPr>
              <w:t xml:space="preserve">3.  Akciju sabiedrības “Latvenergo” valsts kapitāla daļu turētājam paredzēt dividendes maksāt atbilstoši vidēja termiņa darbības stratēģijai, paredzot, ka 2021.gadā dividendēs no 2020.gada pārskata gada peļņas izmaksāt ne mazāk kā 89 640 000 </w:t>
            </w:r>
            <w:proofErr w:type="spellStart"/>
            <w:r w:rsidRPr="009F665C">
              <w:rPr>
                <w:color w:val="000000" w:themeColor="text1"/>
                <w:sz w:val="22"/>
                <w:szCs w:val="22"/>
              </w:rPr>
              <w:t>euro</w:t>
            </w:r>
            <w:proofErr w:type="spellEnd"/>
            <w:r w:rsidRPr="009F665C">
              <w:rPr>
                <w:color w:val="000000" w:themeColor="text1"/>
                <w:sz w:val="22"/>
                <w:szCs w:val="22"/>
              </w:rPr>
              <w:t xml:space="preserve"> (ieskaitot uzņēmumu ienākuma nodokli), 2022.gadā no 2021.gada pārskata gada peļņas – ne mazāk kā 74 500 000 </w:t>
            </w:r>
            <w:proofErr w:type="spellStart"/>
            <w:r w:rsidRPr="009F665C">
              <w:rPr>
                <w:color w:val="000000" w:themeColor="text1"/>
                <w:sz w:val="22"/>
                <w:szCs w:val="22"/>
              </w:rPr>
              <w:t>euro</w:t>
            </w:r>
            <w:proofErr w:type="spellEnd"/>
            <w:r w:rsidRPr="009F665C">
              <w:rPr>
                <w:color w:val="000000" w:themeColor="text1"/>
                <w:sz w:val="22"/>
                <w:szCs w:val="22"/>
              </w:rPr>
              <w:t xml:space="preserve"> (ieskaitot uzņēmumu ienākuma nodokli), un 2023.gadā no 2022.gada pārskata gada peļņas – ne mazāk kā 74 500 000 </w:t>
            </w:r>
            <w:proofErr w:type="spellStart"/>
            <w:r w:rsidRPr="009F665C">
              <w:rPr>
                <w:color w:val="000000" w:themeColor="text1"/>
                <w:sz w:val="22"/>
                <w:szCs w:val="22"/>
              </w:rPr>
              <w:t>euro</w:t>
            </w:r>
            <w:proofErr w:type="spellEnd"/>
            <w:r w:rsidRPr="009F665C">
              <w:rPr>
                <w:color w:val="000000" w:themeColor="text1"/>
                <w:sz w:val="22"/>
                <w:szCs w:val="22"/>
              </w:rPr>
              <w:t xml:space="preserve"> (ieskaitot uzņēmumu ienākuma nodokli). </w:t>
            </w:r>
            <w:r w:rsidRPr="009F665C">
              <w:rPr>
                <w:color w:val="000000" w:themeColor="text1"/>
                <w:sz w:val="22"/>
                <w:szCs w:val="22"/>
                <w:u w:val="single"/>
              </w:rPr>
              <w:t>Ja akciju sabiedrības “Latvenergo” kapitāla daļu turētājs lemj par lielāku dividenžu izmaksu 2021., 2022., vai 2023.gadā, piekrist šo dividenžu novirzīšanu dotācijai akciju sabiedrībai "Enerģijas publiskais tirgotājs" uzkrāto obligātā iepirkuma izmaksu samazinājumam.</w:t>
            </w:r>
          </w:p>
        </w:tc>
        <w:tc>
          <w:tcPr>
            <w:tcW w:w="1318" w:type="dxa"/>
          </w:tcPr>
          <w:p w14:paraId="00CC6569" w14:textId="1F051EBC" w:rsidR="597AB4C5" w:rsidRPr="009C6C86" w:rsidRDefault="597AB4C5" w:rsidP="597AB4C5">
            <w:pPr>
              <w:jc w:val="both"/>
              <w:rPr>
                <w:sz w:val="22"/>
                <w:szCs w:val="22"/>
              </w:rPr>
            </w:pPr>
          </w:p>
        </w:tc>
      </w:tr>
      <w:tr w:rsidR="00C051C9" w:rsidRPr="009C6C86" w14:paraId="2C63ABEF"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4D2CBA7" w14:textId="221DA95E" w:rsidR="00C051C9" w:rsidRPr="00503769" w:rsidRDefault="008E4312" w:rsidP="00B86C09">
            <w:pPr>
              <w:pStyle w:val="naisc"/>
              <w:rPr>
                <w:sz w:val="22"/>
                <w:szCs w:val="22"/>
              </w:rPr>
            </w:pPr>
            <w:r w:rsidRPr="00503769">
              <w:rPr>
                <w:sz w:val="22"/>
                <w:szCs w:val="22"/>
              </w:rPr>
              <w:t>6.</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54CA74E" w14:textId="77777777" w:rsidR="00C051C9" w:rsidRPr="00503769" w:rsidRDefault="00C051C9" w:rsidP="00C051C9">
            <w:pPr>
              <w:shd w:val="clear" w:color="auto" w:fill="FFFFFF" w:themeFill="background1"/>
              <w:spacing w:after="120"/>
              <w:jc w:val="both"/>
              <w:rPr>
                <w:sz w:val="22"/>
                <w:szCs w:val="22"/>
              </w:rPr>
            </w:pPr>
            <w:r w:rsidRPr="00503769">
              <w:rPr>
                <w:sz w:val="22"/>
                <w:szCs w:val="22"/>
              </w:rPr>
              <w:t>Konceptuālā ziņojuma projekts</w:t>
            </w:r>
          </w:p>
          <w:p w14:paraId="24A7CB0D" w14:textId="7C9F8D6B" w:rsidR="00C051C9" w:rsidRPr="00503769" w:rsidRDefault="00C051C9" w:rsidP="00C051C9">
            <w:pPr>
              <w:jc w:val="both"/>
              <w:rPr>
                <w:sz w:val="22"/>
                <w:szCs w:val="22"/>
              </w:rPr>
            </w:pP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E41EF0F" w14:textId="77777777" w:rsidR="00C051C9" w:rsidRPr="00503769" w:rsidRDefault="00C051C9" w:rsidP="00C051C9">
            <w:pPr>
              <w:spacing w:line="252" w:lineRule="auto"/>
              <w:jc w:val="center"/>
              <w:rPr>
                <w:b/>
                <w:bCs/>
                <w:sz w:val="22"/>
                <w:szCs w:val="22"/>
              </w:rPr>
            </w:pPr>
            <w:proofErr w:type="spellStart"/>
            <w:r w:rsidRPr="00503769">
              <w:rPr>
                <w:b/>
                <w:bCs/>
                <w:sz w:val="22"/>
                <w:szCs w:val="22"/>
              </w:rPr>
              <w:t>Pārresoru</w:t>
            </w:r>
            <w:proofErr w:type="spellEnd"/>
            <w:r w:rsidRPr="00503769">
              <w:rPr>
                <w:b/>
                <w:bCs/>
                <w:sz w:val="22"/>
                <w:szCs w:val="22"/>
              </w:rPr>
              <w:t xml:space="preserve"> koordinācijas centrs (25.08.2020)</w:t>
            </w:r>
          </w:p>
          <w:p w14:paraId="714D219F" w14:textId="74B16B61" w:rsidR="00C051C9" w:rsidRPr="00503769" w:rsidRDefault="11D7C329" w:rsidP="56E3DDF7">
            <w:pPr>
              <w:spacing w:line="252" w:lineRule="auto"/>
              <w:jc w:val="both"/>
              <w:rPr>
                <w:rFonts w:eastAsia="Calibri"/>
                <w:b/>
                <w:bCs/>
                <w:sz w:val="22"/>
                <w:szCs w:val="22"/>
              </w:rPr>
            </w:pPr>
            <w:r w:rsidRPr="00503769">
              <w:rPr>
                <w:sz w:val="22"/>
                <w:szCs w:val="22"/>
                <w:lang w:eastAsia="en-US"/>
              </w:rPr>
              <w:t xml:space="preserve">1.Jautājums par </w:t>
            </w:r>
            <w:r w:rsidRPr="00503769">
              <w:rPr>
                <w:i/>
                <w:iCs/>
                <w:sz w:val="22"/>
                <w:szCs w:val="22"/>
                <w:lang w:eastAsia="en-US"/>
              </w:rPr>
              <w:t>Nacionālā enerģētikas un klimata plāna (NEKP)</w:t>
            </w:r>
            <w:r w:rsidRPr="00503769">
              <w:rPr>
                <w:sz w:val="22"/>
                <w:szCs w:val="22"/>
                <w:lang w:eastAsia="en-US"/>
              </w:rPr>
              <w:t xml:space="preserve"> pētniecības daļas īstenošanu un valsts pētījumu programmu “Enerģētika” pēc 2021.gada un turpmākajos gados nebūtu skatāms šī konceptuālā ziņojuma ietvaros, kura mērķis ir “</w:t>
            </w:r>
            <w:r w:rsidRPr="00503769">
              <w:rPr>
                <w:i/>
                <w:iCs/>
                <w:sz w:val="22"/>
                <w:szCs w:val="22"/>
                <w:lang w:eastAsia="en-US"/>
              </w:rPr>
              <w:t xml:space="preserve">risināt aktuālās problēmas enerģētikas tirgū un piedāvāt scenārijus obligātā iepirkuma komponentes (OIK) problemātikas risināšanai” </w:t>
            </w:r>
            <w:r w:rsidRPr="00503769">
              <w:rPr>
                <w:sz w:val="22"/>
                <w:szCs w:val="22"/>
                <w:lang w:eastAsia="en-US"/>
              </w:rPr>
              <w:t xml:space="preserve">(konceptuālā </w:t>
            </w:r>
            <w:r w:rsidRPr="00503769">
              <w:rPr>
                <w:sz w:val="22"/>
                <w:szCs w:val="22"/>
                <w:lang w:eastAsia="en-US"/>
              </w:rPr>
              <w:lastRenderedPageBreak/>
              <w:t>ziņojuma 3.lpp</w:t>
            </w:r>
            <w:r w:rsidRPr="00F83E2F">
              <w:rPr>
                <w:sz w:val="22"/>
                <w:szCs w:val="22"/>
                <w:lang w:eastAsia="en-US"/>
              </w:rPr>
              <w:t>.). Atbilstoši normatīvajos aktos noteiktajam, valsts pētījumu programmu finansēšana</w:t>
            </w:r>
            <w:r w:rsidRPr="00503769">
              <w:rPr>
                <w:sz w:val="22"/>
                <w:szCs w:val="22"/>
                <w:lang w:eastAsia="en-US"/>
              </w:rPr>
              <w:t xml:space="preserve"> ir virzāma atsevišķi likumprojekta par valsts budžetu kārtējam gadam un likumprojekta par vidēja termiņa budžeta ietvaru sagatavošanas un izskatīšanas procesā. Ekonomikas ministrija š.g. jūlijā  ir iesniegusi izvērtēšanai un lēmuma pieņemšanai valdībā prioritārā pasākuma pieteikumu </w:t>
            </w:r>
            <w:r w:rsidRPr="00503769">
              <w:rPr>
                <w:i/>
                <w:iCs/>
                <w:sz w:val="22"/>
                <w:szCs w:val="22"/>
                <w:lang w:eastAsia="en-US"/>
              </w:rPr>
              <w:t>Enerģētikas politikas īstenošanai</w:t>
            </w:r>
            <w:r w:rsidRPr="00503769">
              <w:rPr>
                <w:sz w:val="22"/>
                <w:szCs w:val="22"/>
                <w:lang w:eastAsia="en-US"/>
              </w:rPr>
              <w:t xml:space="preserve">, kas cita starpā ietver arī finansējuma pieprasījumu </w:t>
            </w:r>
            <w:r w:rsidRPr="00503769">
              <w:rPr>
                <w:i/>
                <w:iCs/>
                <w:sz w:val="22"/>
                <w:szCs w:val="22"/>
                <w:lang w:eastAsia="en-US"/>
              </w:rPr>
              <w:t>NEKP</w:t>
            </w:r>
            <w:r w:rsidRPr="00503769">
              <w:rPr>
                <w:sz w:val="22"/>
                <w:szCs w:val="22"/>
                <w:lang w:eastAsia="en-US"/>
              </w:rPr>
              <w:t xml:space="preserve"> ietvaros  plānotajai pētniecību enerģētikas jomā, t.sk., lai nodrošinātu valsts pētījumu programmas īstenošanu pēc 2021.gada. Līdz ar to, šis jautājums jāskata un jāvērtē budžeta veidošanas procesā kopā ar visu ministriju iesniegtajiem prioritāro pasākumu pieteikumiem un būtu nepieciešams attiecīgi precizēt konceptuālo ziņojumu un  MK rīkojuma projektu, izslēdzot enerģētikas pētniecības jautājumus.</w:t>
            </w:r>
            <w:r w:rsidR="009D2107" w:rsidRPr="00503769">
              <w:rPr>
                <w:sz w:val="22"/>
                <w:szCs w:val="22"/>
                <w:lang w:eastAsia="en-US"/>
              </w:rPr>
              <w:t xml:space="preserve"> </w:t>
            </w:r>
          </w:p>
          <w:p w14:paraId="262BD2F9" w14:textId="617694DA" w:rsidR="00C051C9" w:rsidRPr="00503769" w:rsidRDefault="00C051C9" w:rsidP="56E3DDF7">
            <w:pPr>
              <w:spacing w:line="252" w:lineRule="auto"/>
              <w:jc w:val="both"/>
              <w:rPr>
                <w:sz w:val="22"/>
                <w:szCs w:val="22"/>
                <w:lang w:eastAsia="en-US"/>
              </w:rPr>
            </w:pPr>
          </w:p>
          <w:p w14:paraId="7F3BF3EC" w14:textId="5C8AE117" w:rsidR="00C051C9" w:rsidRPr="00503769" w:rsidRDefault="3EB1DA5A" w:rsidP="56E3DDF7">
            <w:pPr>
              <w:spacing w:after="160" w:line="252" w:lineRule="auto"/>
              <w:jc w:val="center"/>
              <w:rPr>
                <w:b/>
                <w:bCs/>
                <w:sz w:val="22"/>
                <w:szCs w:val="22"/>
              </w:rPr>
            </w:pPr>
            <w:r w:rsidRPr="00503769">
              <w:rPr>
                <w:b/>
                <w:bCs/>
                <w:sz w:val="22"/>
                <w:szCs w:val="22"/>
              </w:rPr>
              <w:t>Finanšu ministrija (28.08.2020)</w:t>
            </w:r>
          </w:p>
          <w:p w14:paraId="407CCA24" w14:textId="17C4A89D" w:rsidR="00C051C9" w:rsidRPr="00503769" w:rsidRDefault="3EB1DA5A" w:rsidP="1CFE7A00">
            <w:pPr>
              <w:spacing w:line="252" w:lineRule="auto"/>
              <w:jc w:val="both"/>
              <w:rPr>
                <w:sz w:val="22"/>
                <w:szCs w:val="22"/>
              </w:rPr>
            </w:pPr>
            <w:r w:rsidRPr="00503769">
              <w:rPr>
                <w:sz w:val="22"/>
                <w:szCs w:val="22"/>
              </w:rPr>
              <w:t xml:space="preserve">2. Konceptuālā ziņojuma 2.sadaļā “NEKP pētniecības daļas īstenošana” (turpmāk – 2.sadaļa) sniegta informācija par Ekonomikas ministrijas izveidotās budžeta apakšprogrammas “Valsts pētījumu programma enerģētikā” un jaunas budžeta apakšprogrammas “NEKP pētniecības daļas īstenošana” paredzētajiem mērķiem un nepieciešamo finansējumu. Ņemot vērā, ka minēto </w:t>
            </w:r>
            <w:r w:rsidRPr="00503769">
              <w:rPr>
                <w:sz w:val="22"/>
                <w:szCs w:val="22"/>
              </w:rPr>
              <w:lastRenderedPageBreak/>
              <w:t>apakšprogrammu mērķi pēc būtības sakrīt, uzskatām, ka pētniecības izdevumus, tajā skaitā, lai nodrošinātu  Latvijas Nacionālā enerģētikas un klimata plāna 2021.-2030. gadam īstenošanu, Ekonomikas ministrijai jāplāno jau esošajā apakšprogrammā 29.05.00 “Valsts pētījumu programma enerģētikā” un attiecīgi jāprecizē konceptuālā ziņojuma 2.sadaļā sniegtā informācija. Papildus lūdzam norādīt kādu konkrēti Latvijas Nacionālā enerģētikas un klimata plāna 2021.-2030.gadam pasākumu/aktivitāšu īstenošanai ir plānots novirzīt paredzēto finansējumu.</w:t>
            </w:r>
          </w:p>
          <w:p w14:paraId="4165D3BD" w14:textId="7CA7A3E0" w:rsidR="00C051C9" w:rsidRPr="00503769" w:rsidRDefault="00C051C9" w:rsidP="56E3DDF7">
            <w:pPr>
              <w:spacing w:line="252" w:lineRule="auto"/>
              <w:jc w:val="both"/>
              <w:rPr>
                <w:sz w:val="22"/>
                <w:szCs w:val="22"/>
                <w:lang w:eastAsia="en-US"/>
              </w:rPr>
            </w:pPr>
          </w:p>
          <w:p w14:paraId="7E078FB6" w14:textId="5C8AE117" w:rsidR="00C051C9" w:rsidRPr="00503769" w:rsidRDefault="33E9410E" w:rsidP="56E3DDF7">
            <w:pPr>
              <w:spacing w:after="160" w:line="252" w:lineRule="auto"/>
              <w:jc w:val="center"/>
              <w:rPr>
                <w:b/>
                <w:bCs/>
                <w:sz w:val="22"/>
                <w:szCs w:val="22"/>
              </w:rPr>
            </w:pPr>
            <w:r w:rsidRPr="00503769">
              <w:rPr>
                <w:b/>
                <w:bCs/>
                <w:sz w:val="22"/>
                <w:szCs w:val="22"/>
              </w:rPr>
              <w:t>Finanšu ministrija (28.08.2020)</w:t>
            </w:r>
          </w:p>
          <w:p w14:paraId="001F70C6" w14:textId="0C98BA8F" w:rsidR="00C051C9" w:rsidRPr="00503769" w:rsidRDefault="33E9410E" w:rsidP="00C051C9">
            <w:pPr>
              <w:spacing w:line="252" w:lineRule="auto"/>
              <w:jc w:val="both"/>
              <w:rPr>
                <w:sz w:val="22"/>
                <w:szCs w:val="22"/>
              </w:rPr>
            </w:pPr>
            <w:r w:rsidRPr="00503769">
              <w:rPr>
                <w:sz w:val="22"/>
                <w:szCs w:val="22"/>
              </w:rPr>
              <w:t xml:space="preserve">2. Rīkojuma projekta 2.4.apakšpunkts paredz finansējumu jaunai apakšprogrammai “NEKP pētniecības daļas īstenošana” 2021. gadā 1 403 014 </w:t>
            </w:r>
            <w:proofErr w:type="spellStart"/>
            <w:r w:rsidRPr="00503769">
              <w:rPr>
                <w:i/>
                <w:iCs/>
                <w:sz w:val="22"/>
                <w:szCs w:val="22"/>
              </w:rPr>
              <w:t>euro</w:t>
            </w:r>
            <w:proofErr w:type="spellEnd"/>
            <w:r w:rsidRPr="00503769">
              <w:rPr>
                <w:sz w:val="22"/>
                <w:szCs w:val="22"/>
              </w:rPr>
              <w:t xml:space="preserve"> apmērā un turpmāk ik gadu 2 000 000 </w:t>
            </w:r>
            <w:proofErr w:type="spellStart"/>
            <w:r w:rsidRPr="00503769">
              <w:rPr>
                <w:i/>
                <w:iCs/>
                <w:sz w:val="22"/>
                <w:szCs w:val="22"/>
              </w:rPr>
              <w:t>euro</w:t>
            </w:r>
            <w:proofErr w:type="spellEnd"/>
            <w:r w:rsidRPr="00503769">
              <w:rPr>
                <w:sz w:val="22"/>
                <w:szCs w:val="22"/>
              </w:rPr>
              <w:t xml:space="preserve"> apmērā. Ņemot vērā konceptuālā ziņojuma 2.sadaļā sniegto informāciju, uzskatām, ka jaunās apakšprogrammas mērķis pēc būtībās sakrīt ar Ekonomikas ministrijas apakšprogrammas 29.05.00 “Valsts pētījumu programma enerģētikā” mērķi, turklāt nav atbalstāma jaunas budžeta programmas veidošana vienā plānošanas dokumentā paredzēto pasākumu īstenošanai. Ņemot vērā minēto, arī turpmāk pētniecības izdevumus, tajā skaitā, lai nodrošinātu  Latvijas Nacionālā enerģētikas un klimata plāna 2021.-2030. gadam īstenošanu, jāplāno Ekonomikas ministrijas </w:t>
            </w:r>
            <w:r w:rsidRPr="00503769">
              <w:rPr>
                <w:sz w:val="22"/>
                <w:szCs w:val="22"/>
              </w:rPr>
              <w:lastRenderedPageBreak/>
              <w:t xml:space="preserve">apakšprogrammā 29.05.00 “Valsts pētījumu programma enerģētikā”. </w:t>
            </w:r>
          </w:p>
          <w:p w14:paraId="6257CF3C" w14:textId="02B8CC1B" w:rsidR="00C051C9" w:rsidRPr="00503769" w:rsidRDefault="33E9410E" w:rsidP="56E3DDF7">
            <w:pPr>
              <w:spacing w:line="252" w:lineRule="auto"/>
              <w:jc w:val="both"/>
              <w:rPr>
                <w:sz w:val="22"/>
                <w:szCs w:val="22"/>
              </w:rPr>
            </w:pPr>
            <w:r w:rsidRPr="00503769">
              <w:rPr>
                <w:sz w:val="22"/>
                <w:szCs w:val="22"/>
              </w:rPr>
              <w:t>Tādējādi lūdzam svītrot rīkojuma projekta 2.4.apakšpunktu, vienlaikus precizējot rīkojuma projekta 2.3.apakšpunktu. Tāpat norādām, ka finansējums apakšprogrammā 29.05.00 “Valsts pētījumu programma enerģētikā” ir norādāms tikai 2021., 2022. un 2023.gadam atbilstoši piedāvātajam finansēšanas avotam.</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D6E32E7" w14:textId="77777777" w:rsidR="00EF475D" w:rsidRPr="00CB3E7A" w:rsidRDefault="00EF475D" w:rsidP="00EF475D">
            <w:pPr>
              <w:pStyle w:val="NormalWeb"/>
              <w:spacing w:before="0" w:beforeAutospacing="0" w:after="0" w:afterAutospacing="0"/>
              <w:jc w:val="center"/>
              <w:rPr>
                <w:b/>
                <w:bCs/>
                <w:sz w:val="22"/>
                <w:szCs w:val="22"/>
              </w:rPr>
            </w:pPr>
            <w:r w:rsidRPr="00CB3E7A">
              <w:rPr>
                <w:b/>
                <w:bCs/>
                <w:sz w:val="22"/>
                <w:szCs w:val="22"/>
              </w:rPr>
              <w:lastRenderedPageBreak/>
              <w:t>Daļēji ņemts vērā</w:t>
            </w:r>
            <w:r>
              <w:rPr>
                <w:b/>
                <w:bCs/>
                <w:sz w:val="22"/>
                <w:szCs w:val="22"/>
              </w:rPr>
              <w:t>.</w:t>
            </w:r>
          </w:p>
          <w:p w14:paraId="4F1E60F5" w14:textId="225568AA" w:rsidR="005848C2" w:rsidRPr="00A72EE9" w:rsidRDefault="005848C2" w:rsidP="00EF475D">
            <w:pPr>
              <w:jc w:val="both"/>
              <w:rPr>
                <w:sz w:val="22"/>
                <w:szCs w:val="22"/>
              </w:rPr>
            </w:pPr>
            <w:r>
              <w:rPr>
                <w:sz w:val="22"/>
                <w:szCs w:val="22"/>
              </w:rPr>
              <w:t>Paskaidrojam, ka a</w:t>
            </w:r>
            <w:r w:rsidRPr="00A72EE9">
              <w:rPr>
                <w:sz w:val="22"/>
                <w:szCs w:val="22"/>
              </w:rPr>
              <w:t>tbilstoši Konceptuālā ziņojuma mērķim visaptveroša VPP un no NEKP izrietošo pētījumu īstenošana ir būtiska enerģētikas aktuālo problēmu risināšanai, gan kontekstā ar OIK problemātikas risināšanu tuvākajos gados, gan enerģētikas tirgus pārkārtošanas aspektiem līdz 2030.gadam.</w:t>
            </w:r>
          </w:p>
          <w:p w14:paraId="5B7A7A5C" w14:textId="40FC87FD" w:rsidR="005848C2" w:rsidRDefault="005848C2" w:rsidP="005848C2">
            <w:pPr>
              <w:jc w:val="both"/>
              <w:rPr>
                <w:sz w:val="22"/>
                <w:szCs w:val="22"/>
              </w:rPr>
            </w:pPr>
            <w:r w:rsidRPr="00A72EE9">
              <w:rPr>
                <w:sz w:val="22"/>
                <w:szCs w:val="22"/>
              </w:rPr>
              <w:t>Finansējuma pieprasīšanas kārtība saskan ar 2018.gada 4.septembra noteikumiem Nr.560 “</w:t>
            </w:r>
            <w:r w:rsidRPr="00A72EE9">
              <w:rPr>
                <w:rFonts w:eastAsia="Arial"/>
                <w:sz w:val="22"/>
                <w:szCs w:val="22"/>
              </w:rPr>
              <w:t>Valsts pētījumu programmu projektu īstenošanas kārtība</w:t>
            </w:r>
            <w:r w:rsidRPr="00A72EE9">
              <w:rPr>
                <w:sz w:val="22"/>
                <w:szCs w:val="22"/>
              </w:rPr>
              <w:t xml:space="preserve"> "</w:t>
            </w:r>
            <w:r>
              <w:rPr>
                <w:sz w:val="22"/>
                <w:szCs w:val="22"/>
              </w:rPr>
              <w:t>.</w:t>
            </w:r>
          </w:p>
          <w:p w14:paraId="32F9DCC3" w14:textId="3696F53D" w:rsidR="005848C2" w:rsidRDefault="005848C2" w:rsidP="005848C2">
            <w:pPr>
              <w:jc w:val="both"/>
              <w:rPr>
                <w:sz w:val="22"/>
                <w:szCs w:val="22"/>
              </w:rPr>
            </w:pPr>
          </w:p>
          <w:p w14:paraId="584AFB2D" w14:textId="4F92DB44" w:rsidR="005848C2" w:rsidRDefault="005848C2" w:rsidP="005848C2">
            <w:pPr>
              <w:jc w:val="both"/>
              <w:rPr>
                <w:sz w:val="22"/>
                <w:szCs w:val="22"/>
              </w:rPr>
            </w:pPr>
          </w:p>
          <w:p w14:paraId="4FF2AB73" w14:textId="2BA83C43" w:rsidR="005848C2" w:rsidRDefault="005848C2" w:rsidP="005848C2">
            <w:pPr>
              <w:jc w:val="both"/>
              <w:rPr>
                <w:sz w:val="22"/>
                <w:szCs w:val="22"/>
              </w:rPr>
            </w:pPr>
          </w:p>
          <w:p w14:paraId="701C95E0" w14:textId="13AEB3C7" w:rsidR="005848C2" w:rsidRDefault="005848C2" w:rsidP="005848C2">
            <w:pPr>
              <w:jc w:val="both"/>
              <w:rPr>
                <w:sz w:val="22"/>
                <w:szCs w:val="22"/>
              </w:rPr>
            </w:pPr>
          </w:p>
          <w:p w14:paraId="3033A772" w14:textId="48AB8533" w:rsidR="005848C2" w:rsidRDefault="005848C2" w:rsidP="005848C2">
            <w:pPr>
              <w:jc w:val="both"/>
              <w:rPr>
                <w:sz w:val="22"/>
                <w:szCs w:val="22"/>
              </w:rPr>
            </w:pPr>
          </w:p>
          <w:p w14:paraId="7721C59F" w14:textId="65A76BA1" w:rsidR="005848C2" w:rsidRDefault="005848C2" w:rsidP="005848C2">
            <w:pPr>
              <w:jc w:val="both"/>
              <w:rPr>
                <w:sz w:val="22"/>
                <w:szCs w:val="22"/>
              </w:rPr>
            </w:pPr>
          </w:p>
          <w:p w14:paraId="62D8FDE4" w14:textId="3990FE14" w:rsidR="005848C2" w:rsidRDefault="005848C2" w:rsidP="005848C2">
            <w:pPr>
              <w:jc w:val="both"/>
              <w:rPr>
                <w:sz w:val="22"/>
                <w:szCs w:val="22"/>
              </w:rPr>
            </w:pPr>
          </w:p>
          <w:p w14:paraId="0A700E79" w14:textId="07E7FD32" w:rsidR="005848C2" w:rsidRDefault="005848C2" w:rsidP="005848C2">
            <w:pPr>
              <w:jc w:val="both"/>
              <w:rPr>
                <w:sz w:val="22"/>
                <w:szCs w:val="22"/>
              </w:rPr>
            </w:pPr>
          </w:p>
          <w:p w14:paraId="69E91458" w14:textId="2DBE621D" w:rsidR="005848C2" w:rsidRDefault="005848C2" w:rsidP="005848C2">
            <w:pPr>
              <w:jc w:val="both"/>
              <w:rPr>
                <w:sz w:val="22"/>
                <w:szCs w:val="22"/>
              </w:rPr>
            </w:pPr>
          </w:p>
          <w:p w14:paraId="7BC6CCD2" w14:textId="14AC8FC6" w:rsidR="005848C2" w:rsidRDefault="005848C2" w:rsidP="005848C2">
            <w:pPr>
              <w:jc w:val="both"/>
              <w:rPr>
                <w:sz w:val="22"/>
                <w:szCs w:val="22"/>
              </w:rPr>
            </w:pPr>
          </w:p>
          <w:p w14:paraId="3B145F98" w14:textId="17A41AB2" w:rsidR="005848C2" w:rsidRDefault="005848C2" w:rsidP="005848C2">
            <w:pPr>
              <w:jc w:val="both"/>
              <w:rPr>
                <w:sz w:val="22"/>
                <w:szCs w:val="22"/>
              </w:rPr>
            </w:pPr>
          </w:p>
          <w:p w14:paraId="0DA0D54A" w14:textId="6E233B51" w:rsidR="005848C2" w:rsidRDefault="005848C2" w:rsidP="005848C2">
            <w:pPr>
              <w:jc w:val="both"/>
              <w:rPr>
                <w:sz w:val="22"/>
                <w:szCs w:val="22"/>
              </w:rPr>
            </w:pPr>
          </w:p>
          <w:p w14:paraId="58A77E8C" w14:textId="2CAE9EE5" w:rsidR="005848C2" w:rsidRDefault="005848C2" w:rsidP="005848C2">
            <w:pPr>
              <w:jc w:val="both"/>
              <w:rPr>
                <w:sz w:val="22"/>
                <w:szCs w:val="22"/>
              </w:rPr>
            </w:pPr>
          </w:p>
          <w:p w14:paraId="42128F75" w14:textId="5CFB9917" w:rsidR="005848C2" w:rsidRDefault="005848C2" w:rsidP="005848C2">
            <w:pPr>
              <w:jc w:val="both"/>
              <w:rPr>
                <w:sz w:val="22"/>
                <w:szCs w:val="22"/>
              </w:rPr>
            </w:pPr>
          </w:p>
          <w:p w14:paraId="3B2CE458" w14:textId="4440C767" w:rsidR="00E2610A" w:rsidRDefault="00E2610A" w:rsidP="005848C2">
            <w:pPr>
              <w:jc w:val="both"/>
              <w:rPr>
                <w:sz w:val="22"/>
                <w:szCs w:val="22"/>
              </w:rPr>
            </w:pPr>
          </w:p>
          <w:p w14:paraId="042EA68B" w14:textId="0CB7DA19" w:rsidR="00E2610A" w:rsidRDefault="00E2610A" w:rsidP="005848C2">
            <w:pPr>
              <w:jc w:val="both"/>
              <w:rPr>
                <w:sz w:val="22"/>
                <w:szCs w:val="22"/>
              </w:rPr>
            </w:pPr>
          </w:p>
          <w:p w14:paraId="04369C05" w14:textId="3E0C225D" w:rsidR="00E2610A" w:rsidRDefault="00E2610A" w:rsidP="005848C2">
            <w:pPr>
              <w:jc w:val="both"/>
              <w:rPr>
                <w:sz w:val="22"/>
                <w:szCs w:val="22"/>
              </w:rPr>
            </w:pPr>
          </w:p>
          <w:p w14:paraId="728F2C9D" w14:textId="79AF7346" w:rsidR="00E2610A" w:rsidRDefault="00E2610A" w:rsidP="005848C2">
            <w:pPr>
              <w:jc w:val="both"/>
              <w:rPr>
                <w:sz w:val="22"/>
                <w:szCs w:val="22"/>
              </w:rPr>
            </w:pPr>
          </w:p>
          <w:p w14:paraId="5AE64887" w14:textId="4F7945DF" w:rsidR="00E2610A" w:rsidRDefault="00E2610A" w:rsidP="005848C2">
            <w:pPr>
              <w:jc w:val="both"/>
              <w:rPr>
                <w:sz w:val="22"/>
                <w:szCs w:val="22"/>
              </w:rPr>
            </w:pPr>
          </w:p>
          <w:p w14:paraId="7A7A6C40" w14:textId="4597D733" w:rsidR="00E2610A" w:rsidRDefault="00E2610A" w:rsidP="005848C2">
            <w:pPr>
              <w:jc w:val="both"/>
              <w:rPr>
                <w:sz w:val="22"/>
                <w:szCs w:val="22"/>
              </w:rPr>
            </w:pPr>
          </w:p>
          <w:p w14:paraId="6D27946B" w14:textId="2275C55C" w:rsidR="00E2610A" w:rsidRDefault="00E2610A" w:rsidP="005848C2">
            <w:pPr>
              <w:jc w:val="both"/>
              <w:rPr>
                <w:sz w:val="22"/>
                <w:szCs w:val="22"/>
              </w:rPr>
            </w:pPr>
          </w:p>
          <w:p w14:paraId="1B2110E6" w14:textId="5E91FD0D" w:rsidR="00E2610A" w:rsidRDefault="00E2610A" w:rsidP="005848C2">
            <w:pPr>
              <w:jc w:val="both"/>
              <w:rPr>
                <w:sz w:val="22"/>
                <w:szCs w:val="22"/>
              </w:rPr>
            </w:pPr>
          </w:p>
          <w:p w14:paraId="21A5D017" w14:textId="712CB933" w:rsidR="00E2610A" w:rsidRDefault="00E2610A" w:rsidP="005848C2">
            <w:pPr>
              <w:jc w:val="both"/>
              <w:rPr>
                <w:sz w:val="22"/>
                <w:szCs w:val="22"/>
              </w:rPr>
            </w:pPr>
          </w:p>
          <w:p w14:paraId="5BC9D83B" w14:textId="69792F44" w:rsidR="00E2610A" w:rsidRDefault="00E2610A" w:rsidP="005848C2">
            <w:pPr>
              <w:jc w:val="both"/>
              <w:rPr>
                <w:sz w:val="22"/>
                <w:szCs w:val="22"/>
              </w:rPr>
            </w:pPr>
          </w:p>
          <w:p w14:paraId="691729C1" w14:textId="77777777" w:rsidR="00E2610A" w:rsidRDefault="00E2610A" w:rsidP="005848C2">
            <w:pPr>
              <w:jc w:val="both"/>
              <w:rPr>
                <w:sz w:val="22"/>
                <w:szCs w:val="22"/>
              </w:rPr>
            </w:pPr>
          </w:p>
          <w:p w14:paraId="61CF69BA" w14:textId="77777777" w:rsidR="00E2610A" w:rsidRDefault="00E2610A" w:rsidP="00E2610A">
            <w:pPr>
              <w:pStyle w:val="naisc"/>
              <w:jc w:val="left"/>
              <w:rPr>
                <w:b/>
                <w:bCs/>
                <w:sz w:val="22"/>
                <w:szCs w:val="22"/>
              </w:rPr>
            </w:pPr>
          </w:p>
          <w:p w14:paraId="753836C0" w14:textId="5DBE1F9B" w:rsidR="00E2610A" w:rsidRPr="009C6C86" w:rsidRDefault="00E2610A" w:rsidP="00E2610A">
            <w:pPr>
              <w:pStyle w:val="naisc"/>
              <w:rPr>
                <w:b/>
                <w:bCs/>
                <w:sz w:val="22"/>
                <w:szCs w:val="22"/>
              </w:rPr>
            </w:pPr>
            <w:r w:rsidRPr="4477E123">
              <w:rPr>
                <w:b/>
                <w:bCs/>
                <w:sz w:val="22"/>
                <w:szCs w:val="22"/>
              </w:rPr>
              <w:t>Ņemts vērā.</w:t>
            </w:r>
          </w:p>
          <w:p w14:paraId="4F9C1F99" w14:textId="08995499" w:rsidR="005848C2" w:rsidRPr="00A72EE9" w:rsidRDefault="005848C2" w:rsidP="005848C2">
            <w:pPr>
              <w:jc w:val="both"/>
              <w:rPr>
                <w:rFonts w:eastAsia="Calibri"/>
                <w:sz w:val="22"/>
                <w:szCs w:val="22"/>
              </w:rPr>
            </w:pPr>
            <w:r w:rsidRPr="00A72EE9">
              <w:rPr>
                <w:sz w:val="22"/>
                <w:szCs w:val="22"/>
              </w:rPr>
              <w:t xml:space="preserve">Mainīts sadaļas nosaukums atbilstoši saturam, norādīti </w:t>
            </w:r>
            <w:r w:rsidRPr="00A72EE9">
              <w:rPr>
                <w:rFonts w:eastAsia="Calibri"/>
                <w:sz w:val="22"/>
                <w:szCs w:val="22"/>
              </w:rPr>
              <w:t>Latvijas Nacionālā enerģētikas un klimata plāna pasākumu kopums, kam paredzēts novirzīt finansējumu. NEKP pētījumiem nepieciešamais finansējumam netiks veidota atsevišķa apakšprogramma, tiks izmantota 97.00.00 programma.</w:t>
            </w:r>
          </w:p>
          <w:p w14:paraId="0A3FE0B4" w14:textId="77777777" w:rsidR="005848C2" w:rsidRPr="00A72EE9" w:rsidRDefault="005848C2" w:rsidP="005848C2">
            <w:pPr>
              <w:jc w:val="both"/>
              <w:rPr>
                <w:sz w:val="22"/>
                <w:szCs w:val="22"/>
              </w:rPr>
            </w:pPr>
          </w:p>
          <w:p w14:paraId="61F55C58" w14:textId="63ABA485" w:rsidR="00C051C9" w:rsidRPr="009C6C86" w:rsidRDefault="00C051C9" w:rsidP="5DF99A1E">
            <w:pPr>
              <w:shd w:val="clear" w:color="auto" w:fill="FFFFFF" w:themeFill="background1"/>
              <w:ind w:left="600" w:firstLine="300"/>
              <w:jc w:val="both"/>
              <w:rPr>
                <w:sz w:val="22"/>
                <w:szCs w:val="22"/>
              </w:rPr>
            </w:pPr>
          </w:p>
          <w:p w14:paraId="7C47726D" w14:textId="4BF27DC1" w:rsidR="00C051C9" w:rsidRPr="009C6C86" w:rsidRDefault="00C051C9" w:rsidP="5DF99A1E">
            <w:pPr>
              <w:shd w:val="clear" w:color="auto" w:fill="FFFFFF" w:themeFill="background1"/>
              <w:ind w:left="600" w:firstLine="300"/>
              <w:jc w:val="both"/>
              <w:rPr>
                <w:sz w:val="22"/>
                <w:szCs w:val="22"/>
              </w:rPr>
            </w:pPr>
          </w:p>
          <w:p w14:paraId="1A9F2223" w14:textId="2ED690E9" w:rsidR="00C051C9" w:rsidRPr="009C6C86" w:rsidRDefault="00C051C9" w:rsidP="5DF99A1E">
            <w:pPr>
              <w:shd w:val="clear" w:color="auto" w:fill="FFFFFF" w:themeFill="background1"/>
              <w:ind w:left="600" w:firstLine="300"/>
              <w:jc w:val="both"/>
              <w:rPr>
                <w:sz w:val="22"/>
                <w:szCs w:val="22"/>
              </w:rPr>
            </w:pPr>
          </w:p>
          <w:p w14:paraId="1226AB0B" w14:textId="38A9BA17" w:rsidR="00C051C9" w:rsidRDefault="00C051C9" w:rsidP="5DF99A1E">
            <w:pPr>
              <w:shd w:val="clear" w:color="auto" w:fill="FFFFFF" w:themeFill="background1"/>
              <w:ind w:left="600" w:firstLine="300"/>
              <w:jc w:val="both"/>
              <w:rPr>
                <w:sz w:val="22"/>
                <w:szCs w:val="22"/>
              </w:rPr>
            </w:pPr>
          </w:p>
          <w:p w14:paraId="6254CA30" w14:textId="69DD785D" w:rsidR="00E2610A" w:rsidRDefault="00E2610A" w:rsidP="5DF99A1E">
            <w:pPr>
              <w:shd w:val="clear" w:color="auto" w:fill="FFFFFF" w:themeFill="background1"/>
              <w:ind w:left="600" w:firstLine="300"/>
              <w:jc w:val="both"/>
              <w:rPr>
                <w:sz w:val="22"/>
                <w:szCs w:val="22"/>
              </w:rPr>
            </w:pPr>
          </w:p>
          <w:p w14:paraId="705F7B52" w14:textId="1A0AFC71" w:rsidR="00E2610A" w:rsidRDefault="00E2610A" w:rsidP="5DF99A1E">
            <w:pPr>
              <w:shd w:val="clear" w:color="auto" w:fill="FFFFFF" w:themeFill="background1"/>
              <w:ind w:left="600" w:firstLine="300"/>
              <w:jc w:val="both"/>
              <w:rPr>
                <w:sz w:val="22"/>
                <w:szCs w:val="22"/>
              </w:rPr>
            </w:pPr>
          </w:p>
          <w:p w14:paraId="32833413" w14:textId="6E717924" w:rsidR="00E2610A" w:rsidRDefault="00E2610A" w:rsidP="5DF99A1E">
            <w:pPr>
              <w:shd w:val="clear" w:color="auto" w:fill="FFFFFF" w:themeFill="background1"/>
              <w:ind w:left="600" w:firstLine="300"/>
              <w:jc w:val="both"/>
              <w:rPr>
                <w:sz w:val="22"/>
                <w:szCs w:val="22"/>
              </w:rPr>
            </w:pPr>
          </w:p>
          <w:p w14:paraId="12415BC8" w14:textId="706ACB50" w:rsidR="00E2610A" w:rsidRDefault="00E2610A" w:rsidP="5DF99A1E">
            <w:pPr>
              <w:shd w:val="clear" w:color="auto" w:fill="FFFFFF" w:themeFill="background1"/>
              <w:ind w:left="600" w:firstLine="300"/>
              <w:jc w:val="both"/>
              <w:rPr>
                <w:sz w:val="22"/>
                <w:szCs w:val="22"/>
              </w:rPr>
            </w:pPr>
          </w:p>
          <w:p w14:paraId="4C06BD17" w14:textId="3990ED1A" w:rsidR="00E2610A" w:rsidRDefault="00E2610A" w:rsidP="5DF99A1E">
            <w:pPr>
              <w:shd w:val="clear" w:color="auto" w:fill="FFFFFF" w:themeFill="background1"/>
              <w:ind w:left="600" w:firstLine="300"/>
              <w:jc w:val="both"/>
              <w:rPr>
                <w:sz w:val="22"/>
                <w:szCs w:val="22"/>
              </w:rPr>
            </w:pPr>
          </w:p>
          <w:p w14:paraId="07E4DECF" w14:textId="72444EF0" w:rsidR="00E2610A" w:rsidRDefault="00E2610A" w:rsidP="5DF99A1E">
            <w:pPr>
              <w:shd w:val="clear" w:color="auto" w:fill="FFFFFF" w:themeFill="background1"/>
              <w:ind w:left="600" w:firstLine="300"/>
              <w:jc w:val="both"/>
              <w:rPr>
                <w:sz w:val="22"/>
                <w:szCs w:val="22"/>
              </w:rPr>
            </w:pPr>
          </w:p>
          <w:p w14:paraId="41953FAE" w14:textId="15B8BEAB" w:rsidR="00E2610A" w:rsidRDefault="00E2610A" w:rsidP="5DF99A1E">
            <w:pPr>
              <w:shd w:val="clear" w:color="auto" w:fill="FFFFFF" w:themeFill="background1"/>
              <w:ind w:left="600" w:firstLine="300"/>
              <w:jc w:val="both"/>
              <w:rPr>
                <w:sz w:val="22"/>
                <w:szCs w:val="22"/>
              </w:rPr>
            </w:pPr>
          </w:p>
          <w:p w14:paraId="6B777265" w14:textId="606C8972" w:rsidR="00E2610A" w:rsidRDefault="00E2610A" w:rsidP="5DF99A1E">
            <w:pPr>
              <w:shd w:val="clear" w:color="auto" w:fill="FFFFFF" w:themeFill="background1"/>
              <w:ind w:left="600" w:firstLine="300"/>
              <w:jc w:val="both"/>
              <w:rPr>
                <w:sz w:val="22"/>
                <w:szCs w:val="22"/>
              </w:rPr>
            </w:pPr>
          </w:p>
          <w:p w14:paraId="3EE1C4E3" w14:textId="764B1692" w:rsidR="00E2610A" w:rsidRDefault="00E2610A" w:rsidP="5DF99A1E">
            <w:pPr>
              <w:shd w:val="clear" w:color="auto" w:fill="FFFFFF" w:themeFill="background1"/>
              <w:ind w:left="600" w:firstLine="300"/>
              <w:jc w:val="both"/>
              <w:rPr>
                <w:sz w:val="22"/>
                <w:szCs w:val="22"/>
              </w:rPr>
            </w:pPr>
          </w:p>
          <w:p w14:paraId="39ADE4A3" w14:textId="098F51B5" w:rsidR="00E2610A" w:rsidRDefault="00E2610A" w:rsidP="5DF99A1E">
            <w:pPr>
              <w:shd w:val="clear" w:color="auto" w:fill="FFFFFF" w:themeFill="background1"/>
              <w:ind w:left="600" w:firstLine="300"/>
              <w:jc w:val="both"/>
              <w:rPr>
                <w:sz w:val="22"/>
                <w:szCs w:val="22"/>
              </w:rPr>
            </w:pPr>
          </w:p>
          <w:p w14:paraId="5A3E421A" w14:textId="217AC5E0" w:rsidR="00E2610A" w:rsidRDefault="00E2610A" w:rsidP="5DF99A1E">
            <w:pPr>
              <w:shd w:val="clear" w:color="auto" w:fill="FFFFFF" w:themeFill="background1"/>
              <w:ind w:left="600" w:firstLine="300"/>
              <w:jc w:val="both"/>
              <w:rPr>
                <w:sz w:val="22"/>
                <w:szCs w:val="22"/>
              </w:rPr>
            </w:pPr>
          </w:p>
          <w:p w14:paraId="463C428D" w14:textId="42A769D2" w:rsidR="00E2610A" w:rsidRDefault="00E2610A" w:rsidP="5DF99A1E">
            <w:pPr>
              <w:shd w:val="clear" w:color="auto" w:fill="FFFFFF" w:themeFill="background1"/>
              <w:ind w:left="600" w:firstLine="300"/>
              <w:jc w:val="both"/>
              <w:rPr>
                <w:sz w:val="22"/>
                <w:szCs w:val="22"/>
              </w:rPr>
            </w:pPr>
          </w:p>
          <w:p w14:paraId="2B93842B" w14:textId="77777777" w:rsidR="00E2610A" w:rsidRDefault="00E2610A" w:rsidP="5DF99A1E">
            <w:pPr>
              <w:shd w:val="clear" w:color="auto" w:fill="FFFFFF" w:themeFill="background1"/>
              <w:ind w:left="600" w:firstLine="300"/>
              <w:jc w:val="both"/>
              <w:rPr>
                <w:sz w:val="22"/>
                <w:szCs w:val="22"/>
              </w:rPr>
            </w:pPr>
          </w:p>
          <w:p w14:paraId="55EFC3FA" w14:textId="6D17FE67" w:rsidR="00C051C9" w:rsidRPr="00E2610A" w:rsidRDefault="00E2610A" w:rsidP="00E2610A">
            <w:pPr>
              <w:pStyle w:val="naisc"/>
              <w:rPr>
                <w:b/>
                <w:bCs/>
                <w:sz w:val="22"/>
                <w:szCs w:val="22"/>
              </w:rPr>
            </w:pPr>
            <w:r w:rsidRPr="009C6C86">
              <w:rPr>
                <w:b/>
                <w:bCs/>
                <w:sz w:val="22"/>
                <w:szCs w:val="22"/>
              </w:rPr>
              <w:t>Ņemts vērā</w:t>
            </w:r>
          </w:p>
          <w:p w14:paraId="2D3FF5D9" w14:textId="77777777" w:rsidR="005848C2" w:rsidRPr="00A72EE9" w:rsidRDefault="005848C2" w:rsidP="005848C2">
            <w:pPr>
              <w:spacing w:line="252" w:lineRule="auto"/>
              <w:jc w:val="both"/>
              <w:rPr>
                <w:rFonts w:eastAsia="Calibri"/>
                <w:sz w:val="22"/>
                <w:szCs w:val="22"/>
              </w:rPr>
            </w:pPr>
            <w:r w:rsidRPr="00A72EE9">
              <w:rPr>
                <w:sz w:val="22"/>
                <w:szCs w:val="22"/>
              </w:rPr>
              <w:t>Precizēts  rīkojuma projekta 2.4.apakšpunkts (pēc papildinājumiem 2.5.apakšpunkts), atbilstoši Finanšu ministrijas iebildumiem svītrots rīkojuma 3.punkts</w:t>
            </w:r>
            <w:r>
              <w:rPr>
                <w:sz w:val="22"/>
                <w:szCs w:val="22"/>
              </w:rPr>
              <w:t xml:space="preserve"> par finansējumu NEKP pētniecības daļas īstenošanai.</w:t>
            </w:r>
            <w:r w:rsidRPr="00A72EE9">
              <w:rPr>
                <w:sz w:val="22"/>
                <w:szCs w:val="22"/>
              </w:rPr>
              <w:t xml:space="preserve"> </w:t>
            </w:r>
            <w:r w:rsidRPr="00A72EE9">
              <w:rPr>
                <w:rFonts w:eastAsia="Calibri"/>
                <w:sz w:val="22"/>
                <w:szCs w:val="22"/>
              </w:rPr>
              <w:t xml:space="preserve">NEKP pētījumiem nepieciešamais finansējumam netiks veidota </w:t>
            </w:r>
            <w:r>
              <w:rPr>
                <w:rFonts w:eastAsia="Calibri"/>
                <w:sz w:val="22"/>
                <w:szCs w:val="22"/>
              </w:rPr>
              <w:t xml:space="preserve">kā </w:t>
            </w:r>
            <w:r w:rsidRPr="00A72EE9">
              <w:rPr>
                <w:rFonts w:eastAsia="Calibri"/>
                <w:sz w:val="22"/>
                <w:szCs w:val="22"/>
              </w:rPr>
              <w:t>atsevišķa apakšprogramma, tiks izmantota 97.00.00 programma.</w:t>
            </w:r>
          </w:p>
          <w:p w14:paraId="021340CB" w14:textId="75892BBB" w:rsidR="00C051C9" w:rsidRPr="009C6C86" w:rsidRDefault="00C051C9" w:rsidP="5DF99A1E">
            <w:pPr>
              <w:shd w:val="clear" w:color="auto" w:fill="FFFFFF" w:themeFill="background1"/>
              <w:ind w:left="600" w:firstLine="300"/>
              <w:jc w:val="both"/>
              <w:rPr>
                <w:sz w:val="22"/>
                <w:szCs w:val="22"/>
              </w:rPr>
            </w:pPr>
          </w:p>
          <w:p w14:paraId="51DE1F4F" w14:textId="04EAC016" w:rsidR="00C051C9" w:rsidRPr="009C6C86" w:rsidRDefault="00C051C9" w:rsidP="5DF99A1E">
            <w:pPr>
              <w:shd w:val="clear" w:color="auto" w:fill="FFFFFF" w:themeFill="background1"/>
              <w:ind w:left="600" w:firstLine="300"/>
              <w:jc w:val="both"/>
              <w:rPr>
                <w:sz w:val="22"/>
                <w:szCs w:val="22"/>
              </w:rPr>
            </w:pPr>
          </w:p>
          <w:p w14:paraId="47B9DFB1" w14:textId="2350D728" w:rsidR="00C051C9" w:rsidRPr="009C6C86" w:rsidRDefault="00C051C9" w:rsidP="5DF99A1E">
            <w:pPr>
              <w:shd w:val="clear" w:color="auto" w:fill="FFFFFF" w:themeFill="background1"/>
              <w:ind w:left="600" w:firstLine="300"/>
              <w:jc w:val="both"/>
              <w:rPr>
                <w:sz w:val="22"/>
                <w:szCs w:val="22"/>
              </w:rPr>
            </w:pPr>
          </w:p>
          <w:p w14:paraId="7C3BC92F" w14:textId="2F86B87C" w:rsidR="00C051C9" w:rsidRPr="009C6C86" w:rsidRDefault="00C051C9" w:rsidP="5DF99A1E">
            <w:pPr>
              <w:shd w:val="clear" w:color="auto" w:fill="FFFFFF" w:themeFill="background1"/>
              <w:ind w:left="600" w:firstLine="300"/>
              <w:jc w:val="both"/>
              <w:rPr>
                <w:sz w:val="22"/>
                <w:szCs w:val="22"/>
              </w:rPr>
            </w:pPr>
          </w:p>
          <w:p w14:paraId="4AF1198B" w14:textId="3FEDD546" w:rsidR="00C051C9" w:rsidRPr="009C6C86" w:rsidRDefault="00C051C9" w:rsidP="5DF99A1E">
            <w:pPr>
              <w:shd w:val="clear" w:color="auto" w:fill="FFFFFF" w:themeFill="background1"/>
              <w:ind w:left="600" w:firstLine="300"/>
              <w:jc w:val="both"/>
              <w:rPr>
                <w:sz w:val="22"/>
                <w:szCs w:val="22"/>
              </w:rPr>
            </w:pPr>
          </w:p>
          <w:p w14:paraId="168419B5" w14:textId="360CF395" w:rsidR="00C051C9" w:rsidRPr="009C6C86" w:rsidRDefault="00C051C9" w:rsidP="5DF99A1E">
            <w:pPr>
              <w:shd w:val="clear" w:color="auto" w:fill="FFFFFF" w:themeFill="background1"/>
              <w:ind w:left="600" w:firstLine="300"/>
              <w:jc w:val="both"/>
              <w:rPr>
                <w:sz w:val="22"/>
                <w:szCs w:val="22"/>
              </w:rPr>
            </w:pPr>
          </w:p>
          <w:p w14:paraId="5DD4DA35" w14:textId="6825F998" w:rsidR="00C051C9" w:rsidRPr="009C6C86" w:rsidRDefault="00C051C9" w:rsidP="5DF99A1E">
            <w:pPr>
              <w:shd w:val="clear" w:color="auto" w:fill="FFFFFF" w:themeFill="background1"/>
              <w:ind w:left="600" w:firstLine="300"/>
              <w:jc w:val="both"/>
              <w:rPr>
                <w:sz w:val="22"/>
                <w:szCs w:val="22"/>
              </w:rPr>
            </w:pPr>
          </w:p>
          <w:p w14:paraId="1053FE75" w14:textId="47033EF1" w:rsidR="00C051C9" w:rsidRPr="009C6C86" w:rsidRDefault="00C051C9" w:rsidP="5DF99A1E">
            <w:pPr>
              <w:shd w:val="clear" w:color="auto" w:fill="FFFFFF" w:themeFill="background1"/>
              <w:ind w:left="600" w:firstLine="300"/>
              <w:jc w:val="both"/>
              <w:rPr>
                <w:sz w:val="22"/>
                <w:szCs w:val="22"/>
              </w:rPr>
            </w:pPr>
          </w:p>
          <w:p w14:paraId="13B335BE" w14:textId="4343E683" w:rsidR="00C051C9" w:rsidRPr="009C6C86" w:rsidRDefault="00C051C9" w:rsidP="5DF99A1E">
            <w:pPr>
              <w:shd w:val="clear" w:color="auto" w:fill="FFFFFF" w:themeFill="background1"/>
              <w:ind w:left="600" w:firstLine="300"/>
              <w:jc w:val="both"/>
              <w:rPr>
                <w:sz w:val="22"/>
                <w:szCs w:val="22"/>
              </w:rPr>
            </w:pPr>
          </w:p>
          <w:p w14:paraId="5FFF8662" w14:textId="76B334D0" w:rsidR="00C051C9" w:rsidRPr="009C6C86" w:rsidRDefault="00C051C9" w:rsidP="5DF99A1E">
            <w:pPr>
              <w:shd w:val="clear" w:color="auto" w:fill="FFFFFF" w:themeFill="background1"/>
              <w:ind w:left="600" w:firstLine="300"/>
              <w:jc w:val="both"/>
              <w:rPr>
                <w:sz w:val="22"/>
                <w:szCs w:val="22"/>
              </w:rPr>
            </w:pPr>
          </w:p>
          <w:p w14:paraId="0C17508E" w14:textId="5270E0CD" w:rsidR="00C051C9" w:rsidRPr="009C6C86" w:rsidRDefault="00C051C9" w:rsidP="5DF99A1E">
            <w:pPr>
              <w:shd w:val="clear" w:color="auto" w:fill="FFFFFF" w:themeFill="background1"/>
              <w:ind w:left="600" w:firstLine="300"/>
              <w:jc w:val="both"/>
              <w:rPr>
                <w:sz w:val="22"/>
                <w:szCs w:val="22"/>
              </w:rPr>
            </w:pPr>
          </w:p>
          <w:p w14:paraId="2E16A020" w14:textId="1D2D9873" w:rsidR="00C051C9" w:rsidRPr="009C6C86" w:rsidRDefault="00C051C9" w:rsidP="5DF99A1E">
            <w:pPr>
              <w:shd w:val="clear" w:color="auto" w:fill="FFFFFF" w:themeFill="background1"/>
              <w:ind w:left="600" w:firstLine="300"/>
              <w:jc w:val="both"/>
              <w:rPr>
                <w:sz w:val="22"/>
                <w:szCs w:val="22"/>
              </w:rPr>
            </w:pPr>
          </w:p>
          <w:p w14:paraId="10888FBC" w14:textId="2B02CDCD" w:rsidR="00C051C9" w:rsidRPr="009C6C86" w:rsidRDefault="00C051C9" w:rsidP="5DF99A1E">
            <w:pPr>
              <w:shd w:val="clear" w:color="auto" w:fill="FFFFFF" w:themeFill="background1"/>
              <w:ind w:left="600" w:firstLine="300"/>
              <w:jc w:val="both"/>
              <w:rPr>
                <w:sz w:val="22"/>
                <w:szCs w:val="22"/>
              </w:rPr>
            </w:pPr>
          </w:p>
          <w:p w14:paraId="79E55CDD" w14:textId="10E674E4" w:rsidR="00C051C9" w:rsidRPr="009C6C86" w:rsidRDefault="00C051C9" w:rsidP="5DF99A1E">
            <w:pPr>
              <w:shd w:val="clear" w:color="auto" w:fill="FFFFFF" w:themeFill="background1"/>
              <w:ind w:left="600" w:firstLine="300"/>
              <w:jc w:val="both"/>
              <w:rPr>
                <w:sz w:val="22"/>
                <w:szCs w:val="22"/>
              </w:rPr>
            </w:pPr>
          </w:p>
          <w:p w14:paraId="3EEE2D12" w14:textId="66D5F10A" w:rsidR="00C051C9" w:rsidRPr="009C6C86" w:rsidRDefault="00C051C9" w:rsidP="5DF99A1E">
            <w:pPr>
              <w:shd w:val="clear" w:color="auto" w:fill="FFFFFF" w:themeFill="background1"/>
              <w:ind w:left="600" w:firstLine="300"/>
              <w:jc w:val="both"/>
              <w:rPr>
                <w:sz w:val="22"/>
                <w:szCs w:val="22"/>
              </w:rPr>
            </w:pPr>
          </w:p>
          <w:p w14:paraId="1E048767" w14:textId="621BDEF4" w:rsidR="00C051C9" w:rsidRPr="009C6C86" w:rsidRDefault="00C051C9" w:rsidP="5DF99A1E">
            <w:pPr>
              <w:shd w:val="clear" w:color="auto" w:fill="FFFFFF" w:themeFill="background1"/>
              <w:ind w:left="600" w:firstLine="300"/>
              <w:jc w:val="both"/>
              <w:rPr>
                <w:sz w:val="22"/>
                <w:szCs w:val="22"/>
              </w:rPr>
            </w:pPr>
          </w:p>
          <w:p w14:paraId="2F63187D" w14:textId="05C5CD1E" w:rsidR="00C051C9" w:rsidRPr="009C6C86" w:rsidRDefault="00C051C9" w:rsidP="5DF99A1E">
            <w:pPr>
              <w:shd w:val="clear" w:color="auto" w:fill="FFFFFF" w:themeFill="background1"/>
              <w:ind w:left="600" w:firstLine="300"/>
              <w:jc w:val="both"/>
              <w:rPr>
                <w:sz w:val="22"/>
                <w:szCs w:val="22"/>
              </w:rPr>
            </w:pPr>
          </w:p>
          <w:p w14:paraId="4EADAF69" w14:textId="5C69D30C" w:rsidR="00C051C9" w:rsidRPr="009C6C86" w:rsidRDefault="00C051C9" w:rsidP="00E2610A">
            <w:pPr>
              <w:shd w:val="clear" w:color="auto" w:fill="FFFFFF" w:themeFill="background1"/>
              <w:jc w:val="both"/>
              <w:rPr>
                <w:sz w:val="22"/>
                <w:szCs w:val="22"/>
              </w:rPr>
            </w:pPr>
          </w:p>
          <w:p w14:paraId="3689AFA5" w14:textId="23C78DEB" w:rsidR="00C051C9" w:rsidRPr="009C6C86" w:rsidRDefault="00C051C9" w:rsidP="5DF99A1E">
            <w:pPr>
              <w:shd w:val="clear" w:color="auto" w:fill="FFFFFF" w:themeFill="background1"/>
              <w:ind w:left="600" w:firstLine="300"/>
              <w:jc w:val="both"/>
              <w:rPr>
                <w:sz w:val="22"/>
                <w:szCs w:val="22"/>
              </w:rPr>
            </w:pPr>
          </w:p>
          <w:p w14:paraId="0A2E91DE" w14:textId="025A07A7" w:rsidR="00C051C9" w:rsidRPr="009C6C86" w:rsidRDefault="00C051C9" w:rsidP="00E2610A">
            <w:pPr>
              <w:pStyle w:val="naisc"/>
              <w:jc w:val="left"/>
              <w:rPr>
                <w:sz w:val="22"/>
                <w:szCs w:val="22"/>
              </w:rPr>
            </w:pP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53463C9" w14:textId="35292F40" w:rsidR="00C051C9" w:rsidRPr="00A72EE9" w:rsidRDefault="00C051C9" w:rsidP="5DF99A1E">
            <w:pPr>
              <w:ind w:left="273" w:firstLine="142"/>
              <w:jc w:val="both"/>
              <w:rPr>
                <w:sz w:val="22"/>
                <w:szCs w:val="22"/>
              </w:rPr>
            </w:pPr>
          </w:p>
          <w:p w14:paraId="77D785B5" w14:textId="326D499C" w:rsidR="00C051C9" w:rsidRPr="00A72EE9" w:rsidRDefault="00C051C9" w:rsidP="5DF99A1E">
            <w:pPr>
              <w:ind w:left="273" w:firstLine="142"/>
              <w:jc w:val="both"/>
              <w:rPr>
                <w:sz w:val="22"/>
                <w:szCs w:val="22"/>
              </w:rPr>
            </w:pPr>
          </w:p>
          <w:p w14:paraId="1FF91F71" w14:textId="3FE36944" w:rsidR="00C051C9" w:rsidRPr="00A72EE9" w:rsidRDefault="00C051C9" w:rsidP="5DF99A1E">
            <w:pPr>
              <w:ind w:left="273" w:firstLine="142"/>
              <w:jc w:val="both"/>
              <w:rPr>
                <w:sz w:val="22"/>
                <w:szCs w:val="22"/>
              </w:rPr>
            </w:pPr>
          </w:p>
          <w:p w14:paraId="127490AE" w14:textId="1B6937FD" w:rsidR="00C051C9" w:rsidRPr="00A72EE9" w:rsidRDefault="00C051C9" w:rsidP="5DF99A1E">
            <w:pPr>
              <w:ind w:left="273" w:firstLine="142"/>
              <w:jc w:val="both"/>
              <w:rPr>
                <w:sz w:val="22"/>
                <w:szCs w:val="22"/>
              </w:rPr>
            </w:pPr>
          </w:p>
          <w:p w14:paraId="61A41BE4" w14:textId="711FF1BE" w:rsidR="00C051C9" w:rsidRPr="00A72EE9" w:rsidRDefault="00C051C9" w:rsidP="5DF99A1E">
            <w:pPr>
              <w:ind w:left="273" w:firstLine="142"/>
              <w:jc w:val="both"/>
              <w:rPr>
                <w:sz w:val="22"/>
                <w:szCs w:val="22"/>
              </w:rPr>
            </w:pPr>
          </w:p>
          <w:p w14:paraId="14847D2A" w14:textId="131BAAF3" w:rsidR="00C051C9" w:rsidRPr="00A72EE9" w:rsidRDefault="00C051C9" w:rsidP="5DF99A1E">
            <w:pPr>
              <w:ind w:left="273" w:firstLine="142"/>
              <w:jc w:val="both"/>
              <w:rPr>
                <w:sz w:val="22"/>
                <w:szCs w:val="22"/>
              </w:rPr>
            </w:pPr>
          </w:p>
          <w:p w14:paraId="0FA8E4ED" w14:textId="2075C5C3" w:rsidR="00C051C9" w:rsidRPr="00A72EE9" w:rsidRDefault="00C051C9" w:rsidP="5DF99A1E">
            <w:pPr>
              <w:ind w:left="273" w:firstLine="142"/>
              <w:jc w:val="both"/>
              <w:rPr>
                <w:sz w:val="22"/>
                <w:szCs w:val="22"/>
              </w:rPr>
            </w:pPr>
          </w:p>
          <w:p w14:paraId="7BF9B254" w14:textId="4D3DA461" w:rsidR="00C051C9" w:rsidRPr="00A72EE9" w:rsidRDefault="00C051C9" w:rsidP="5DF99A1E">
            <w:pPr>
              <w:ind w:left="273" w:firstLine="142"/>
              <w:jc w:val="both"/>
              <w:rPr>
                <w:sz w:val="22"/>
                <w:szCs w:val="22"/>
              </w:rPr>
            </w:pPr>
          </w:p>
          <w:p w14:paraId="022F553F" w14:textId="2FF37CCD" w:rsidR="00C051C9" w:rsidRPr="00A72EE9" w:rsidRDefault="00C051C9" w:rsidP="5DF99A1E">
            <w:pPr>
              <w:ind w:left="273" w:firstLine="142"/>
              <w:jc w:val="both"/>
              <w:rPr>
                <w:sz w:val="22"/>
                <w:szCs w:val="22"/>
              </w:rPr>
            </w:pPr>
          </w:p>
          <w:p w14:paraId="14B64135" w14:textId="5F82B23A" w:rsidR="00C051C9" w:rsidRPr="00A72EE9" w:rsidRDefault="00C051C9" w:rsidP="5DF99A1E">
            <w:pPr>
              <w:ind w:left="273" w:firstLine="142"/>
              <w:jc w:val="both"/>
              <w:rPr>
                <w:sz w:val="22"/>
                <w:szCs w:val="22"/>
              </w:rPr>
            </w:pPr>
          </w:p>
          <w:p w14:paraId="7513CDC9" w14:textId="321A4431" w:rsidR="00C051C9" w:rsidRPr="00A72EE9" w:rsidRDefault="00C051C9" w:rsidP="5DF99A1E">
            <w:pPr>
              <w:ind w:left="273" w:firstLine="142"/>
              <w:jc w:val="both"/>
              <w:rPr>
                <w:sz w:val="22"/>
                <w:szCs w:val="22"/>
              </w:rPr>
            </w:pPr>
          </w:p>
          <w:p w14:paraId="2BEAC644" w14:textId="09FEC321" w:rsidR="00C051C9" w:rsidRPr="00A72EE9" w:rsidRDefault="00C051C9" w:rsidP="5DF99A1E">
            <w:pPr>
              <w:ind w:left="273" w:firstLine="142"/>
              <w:jc w:val="both"/>
              <w:rPr>
                <w:sz w:val="22"/>
                <w:szCs w:val="22"/>
              </w:rPr>
            </w:pPr>
          </w:p>
          <w:p w14:paraId="44B33899" w14:textId="0F6F616D" w:rsidR="00C051C9" w:rsidRPr="00A72EE9" w:rsidRDefault="00C051C9" w:rsidP="5DF99A1E">
            <w:pPr>
              <w:ind w:left="273" w:firstLine="142"/>
              <w:jc w:val="both"/>
              <w:rPr>
                <w:sz w:val="22"/>
                <w:szCs w:val="22"/>
              </w:rPr>
            </w:pPr>
          </w:p>
          <w:p w14:paraId="0568F272" w14:textId="5483BE65" w:rsidR="00C051C9" w:rsidRPr="00A72EE9" w:rsidRDefault="00C051C9" w:rsidP="5DF99A1E">
            <w:pPr>
              <w:ind w:left="273" w:firstLine="142"/>
              <w:jc w:val="both"/>
              <w:rPr>
                <w:sz w:val="22"/>
                <w:szCs w:val="22"/>
              </w:rPr>
            </w:pPr>
          </w:p>
          <w:p w14:paraId="7B230467" w14:textId="74109C0B" w:rsidR="00C051C9" w:rsidRPr="00A72EE9" w:rsidRDefault="00C051C9" w:rsidP="5DF99A1E">
            <w:pPr>
              <w:ind w:left="273" w:firstLine="142"/>
              <w:jc w:val="both"/>
              <w:rPr>
                <w:sz w:val="22"/>
                <w:szCs w:val="22"/>
              </w:rPr>
            </w:pPr>
          </w:p>
          <w:p w14:paraId="33A6107B" w14:textId="20BCB467" w:rsidR="00C051C9" w:rsidRPr="00A72EE9" w:rsidRDefault="00C051C9" w:rsidP="5DF99A1E">
            <w:pPr>
              <w:ind w:left="273" w:firstLine="142"/>
              <w:jc w:val="both"/>
              <w:rPr>
                <w:sz w:val="22"/>
                <w:szCs w:val="22"/>
              </w:rPr>
            </w:pPr>
          </w:p>
          <w:p w14:paraId="5C6300EF" w14:textId="479FD8D3" w:rsidR="00C051C9" w:rsidRPr="00A72EE9" w:rsidRDefault="00C051C9" w:rsidP="5DF99A1E">
            <w:pPr>
              <w:ind w:left="273" w:firstLine="142"/>
              <w:jc w:val="both"/>
              <w:rPr>
                <w:sz w:val="22"/>
                <w:szCs w:val="22"/>
              </w:rPr>
            </w:pPr>
          </w:p>
          <w:p w14:paraId="6A96668A" w14:textId="22E4BB6C" w:rsidR="00C051C9" w:rsidRPr="00A72EE9" w:rsidRDefault="00C051C9" w:rsidP="5DF99A1E">
            <w:pPr>
              <w:ind w:left="273" w:firstLine="142"/>
              <w:jc w:val="both"/>
              <w:rPr>
                <w:sz w:val="22"/>
                <w:szCs w:val="22"/>
              </w:rPr>
            </w:pPr>
          </w:p>
          <w:p w14:paraId="23DB73B2" w14:textId="582FC53E" w:rsidR="00C051C9" w:rsidRPr="00A72EE9" w:rsidRDefault="00C051C9" w:rsidP="5DF99A1E">
            <w:pPr>
              <w:ind w:left="273" w:firstLine="142"/>
              <w:jc w:val="both"/>
              <w:rPr>
                <w:sz w:val="22"/>
                <w:szCs w:val="22"/>
              </w:rPr>
            </w:pPr>
          </w:p>
          <w:p w14:paraId="0B0B9F20" w14:textId="3AD34AB7" w:rsidR="00C051C9" w:rsidRPr="00A72EE9" w:rsidRDefault="00C051C9" w:rsidP="5DF99A1E">
            <w:pPr>
              <w:ind w:left="273" w:firstLine="142"/>
              <w:jc w:val="both"/>
              <w:rPr>
                <w:sz w:val="22"/>
                <w:szCs w:val="22"/>
              </w:rPr>
            </w:pPr>
          </w:p>
          <w:p w14:paraId="5F9A1D19" w14:textId="3928DA31" w:rsidR="00C051C9" w:rsidRPr="00A72EE9" w:rsidRDefault="00C051C9" w:rsidP="5DF99A1E">
            <w:pPr>
              <w:ind w:left="273" w:firstLine="142"/>
              <w:jc w:val="both"/>
              <w:rPr>
                <w:sz w:val="22"/>
                <w:szCs w:val="22"/>
              </w:rPr>
            </w:pPr>
          </w:p>
          <w:p w14:paraId="4FD4788B" w14:textId="6E1F04B9" w:rsidR="00C051C9" w:rsidRPr="00A72EE9" w:rsidRDefault="00C051C9" w:rsidP="5DF99A1E">
            <w:pPr>
              <w:ind w:left="273" w:firstLine="142"/>
              <w:jc w:val="both"/>
              <w:rPr>
                <w:sz w:val="22"/>
                <w:szCs w:val="22"/>
              </w:rPr>
            </w:pPr>
          </w:p>
          <w:p w14:paraId="01A4034D" w14:textId="41C05F92" w:rsidR="00C051C9" w:rsidRPr="00A72EE9" w:rsidRDefault="00C051C9" w:rsidP="5DF99A1E">
            <w:pPr>
              <w:ind w:left="273" w:firstLine="142"/>
              <w:jc w:val="both"/>
              <w:rPr>
                <w:sz w:val="22"/>
                <w:szCs w:val="22"/>
              </w:rPr>
            </w:pPr>
          </w:p>
          <w:p w14:paraId="4E257DF8" w14:textId="7EB90F56" w:rsidR="00C051C9" w:rsidRPr="00A72EE9" w:rsidRDefault="00C051C9" w:rsidP="5DF99A1E">
            <w:pPr>
              <w:ind w:left="273" w:firstLine="142"/>
              <w:jc w:val="both"/>
              <w:rPr>
                <w:sz w:val="22"/>
                <w:szCs w:val="22"/>
              </w:rPr>
            </w:pPr>
          </w:p>
          <w:p w14:paraId="1F20A75B" w14:textId="072B611D" w:rsidR="00C051C9" w:rsidRPr="00A72EE9" w:rsidRDefault="00C051C9" w:rsidP="5DF99A1E">
            <w:pPr>
              <w:ind w:left="273" w:firstLine="142"/>
              <w:jc w:val="both"/>
              <w:rPr>
                <w:sz w:val="22"/>
                <w:szCs w:val="22"/>
              </w:rPr>
            </w:pPr>
          </w:p>
          <w:p w14:paraId="753CA489" w14:textId="47C54843" w:rsidR="00C051C9" w:rsidRPr="00A72EE9" w:rsidRDefault="00C051C9" w:rsidP="5DF99A1E">
            <w:pPr>
              <w:ind w:left="273" w:firstLine="142"/>
              <w:jc w:val="both"/>
              <w:rPr>
                <w:sz w:val="22"/>
                <w:szCs w:val="22"/>
              </w:rPr>
            </w:pPr>
          </w:p>
          <w:p w14:paraId="099160E7" w14:textId="49D6B016" w:rsidR="00C051C9" w:rsidRPr="00A72EE9" w:rsidRDefault="00C051C9" w:rsidP="5DF99A1E">
            <w:pPr>
              <w:ind w:left="273" w:firstLine="142"/>
              <w:jc w:val="both"/>
              <w:rPr>
                <w:sz w:val="22"/>
                <w:szCs w:val="22"/>
              </w:rPr>
            </w:pPr>
          </w:p>
          <w:p w14:paraId="0EDCEE4D" w14:textId="2DD1B34E" w:rsidR="00C051C9" w:rsidRPr="00A72EE9" w:rsidRDefault="00C051C9" w:rsidP="5DF99A1E">
            <w:pPr>
              <w:ind w:left="273" w:firstLine="142"/>
              <w:jc w:val="both"/>
              <w:rPr>
                <w:sz w:val="22"/>
                <w:szCs w:val="22"/>
              </w:rPr>
            </w:pPr>
          </w:p>
          <w:p w14:paraId="40A32874" w14:textId="0A5DBFB7" w:rsidR="00C051C9" w:rsidRPr="00A72EE9" w:rsidRDefault="00C051C9" w:rsidP="5DF99A1E">
            <w:pPr>
              <w:ind w:left="273" w:firstLine="142"/>
              <w:jc w:val="both"/>
              <w:rPr>
                <w:sz w:val="22"/>
                <w:szCs w:val="22"/>
              </w:rPr>
            </w:pPr>
          </w:p>
          <w:p w14:paraId="1B204A70" w14:textId="32F7F31A" w:rsidR="00C051C9" w:rsidRPr="00A72EE9" w:rsidRDefault="00C051C9" w:rsidP="5DF99A1E">
            <w:pPr>
              <w:ind w:left="273" w:firstLine="142"/>
              <w:jc w:val="both"/>
              <w:rPr>
                <w:sz w:val="22"/>
                <w:szCs w:val="22"/>
              </w:rPr>
            </w:pPr>
          </w:p>
          <w:p w14:paraId="5D2EAEF7" w14:textId="5C4026EB" w:rsidR="00C051C9" w:rsidRPr="00A72EE9" w:rsidRDefault="00C051C9" w:rsidP="5DF99A1E">
            <w:pPr>
              <w:ind w:left="273" w:firstLine="142"/>
              <w:jc w:val="both"/>
              <w:rPr>
                <w:sz w:val="22"/>
                <w:szCs w:val="22"/>
              </w:rPr>
            </w:pPr>
          </w:p>
          <w:p w14:paraId="7AECCF48" w14:textId="6DB667D2" w:rsidR="00C051C9" w:rsidRPr="00A72EE9" w:rsidRDefault="00C051C9" w:rsidP="5DF99A1E">
            <w:pPr>
              <w:ind w:left="273" w:firstLine="142"/>
              <w:jc w:val="both"/>
              <w:rPr>
                <w:sz w:val="22"/>
                <w:szCs w:val="22"/>
              </w:rPr>
            </w:pPr>
          </w:p>
          <w:p w14:paraId="14E1BE26" w14:textId="76ACA1B9" w:rsidR="00C051C9" w:rsidRPr="00A72EE9" w:rsidRDefault="00C051C9" w:rsidP="5DF99A1E">
            <w:pPr>
              <w:ind w:left="273" w:firstLine="142"/>
              <w:jc w:val="both"/>
              <w:rPr>
                <w:sz w:val="22"/>
                <w:szCs w:val="22"/>
              </w:rPr>
            </w:pPr>
          </w:p>
          <w:p w14:paraId="59AF6BD2" w14:textId="2BA0071C" w:rsidR="00C051C9" w:rsidRPr="00A72EE9" w:rsidRDefault="00C051C9" w:rsidP="5DF99A1E">
            <w:pPr>
              <w:ind w:left="273" w:firstLine="142"/>
              <w:jc w:val="both"/>
              <w:rPr>
                <w:sz w:val="22"/>
                <w:szCs w:val="22"/>
              </w:rPr>
            </w:pPr>
          </w:p>
          <w:p w14:paraId="21ADDE2C" w14:textId="39C53701" w:rsidR="00C051C9" w:rsidRPr="00A72EE9" w:rsidRDefault="00C051C9" w:rsidP="5DF99A1E">
            <w:pPr>
              <w:ind w:left="273" w:firstLine="142"/>
              <w:jc w:val="both"/>
              <w:rPr>
                <w:sz w:val="22"/>
                <w:szCs w:val="22"/>
              </w:rPr>
            </w:pPr>
          </w:p>
          <w:p w14:paraId="1E757803" w14:textId="2FFD3F3E" w:rsidR="00C051C9" w:rsidRPr="00A72EE9" w:rsidRDefault="00C051C9" w:rsidP="5DF99A1E">
            <w:pPr>
              <w:ind w:left="273" w:firstLine="142"/>
              <w:jc w:val="both"/>
              <w:rPr>
                <w:sz w:val="22"/>
                <w:szCs w:val="22"/>
              </w:rPr>
            </w:pPr>
          </w:p>
          <w:p w14:paraId="0CE50488" w14:textId="18733F27" w:rsidR="00C051C9" w:rsidRPr="00A72EE9" w:rsidRDefault="00C051C9" w:rsidP="5DF99A1E">
            <w:pPr>
              <w:ind w:left="273" w:firstLine="142"/>
              <w:jc w:val="both"/>
              <w:rPr>
                <w:sz w:val="22"/>
                <w:szCs w:val="22"/>
              </w:rPr>
            </w:pPr>
          </w:p>
          <w:p w14:paraId="0834CE9A" w14:textId="1789847F" w:rsidR="00C051C9" w:rsidRPr="00A72EE9" w:rsidRDefault="00C051C9" w:rsidP="5DF99A1E">
            <w:pPr>
              <w:ind w:left="273" w:firstLine="142"/>
              <w:jc w:val="both"/>
              <w:rPr>
                <w:sz w:val="22"/>
                <w:szCs w:val="22"/>
              </w:rPr>
            </w:pPr>
          </w:p>
          <w:p w14:paraId="0E436535" w14:textId="39FC289E" w:rsidR="00C051C9" w:rsidRPr="00A72EE9" w:rsidRDefault="00C051C9" w:rsidP="5DF99A1E">
            <w:pPr>
              <w:ind w:left="273" w:firstLine="142"/>
              <w:jc w:val="both"/>
              <w:rPr>
                <w:sz w:val="22"/>
                <w:szCs w:val="22"/>
              </w:rPr>
            </w:pPr>
          </w:p>
          <w:p w14:paraId="5F225484" w14:textId="44716661" w:rsidR="00C051C9" w:rsidRPr="00A72EE9" w:rsidRDefault="00C051C9" w:rsidP="5DF99A1E">
            <w:pPr>
              <w:ind w:left="273" w:firstLine="142"/>
              <w:jc w:val="both"/>
              <w:rPr>
                <w:sz w:val="22"/>
                <w:szCs w:val="22"/>
              </w:rPr>
            </w:pPr>
          </w:p>
          <w:p w14:paraId="697A07AC" w14:textId="4EAF7DA5" w:rsidR="00C051C9" w:rsidRPr="00A72EE9" w:rsidRDefault="00C051C9" w:rsidP="5DF99A1E">
            <w:pPr>
              <w:ind w:left="273" w:firstLine="142"/>
              <w:jc w:val="both"/>
              <w:rPr>
                <w:sz w:val="22"/>
                <w:szCs w:val="22"/>
              </w:rPr>
            </w:pPr>
          </w:p>
          <w:p w14:paraId="56671059" w14:textId="410BE0BF" w:rsidR="00C051C9" w:rsidRPr="00A72EE9" w:rsidRDefault="00C051C9" w:rsidP="5DF99A1E">
            <w:pPr>
              <w:ind w:left="273" w:firstLine="142"/>
              <w:jc w:val="both"/>
              <w:rPr>
                <w:sz w:val="22"/>
                <w:szCs w:val="22"/>
              </w:rPr>
            </w:pPr>
          </w:p>
          <w:p w14:paraId="2B1BC80C" w14:textId="5C323310" w:rsidR="00C051C9" w:rsidRPr="00A72EE9" w:rsidRDefault="00C051C9" w:rsidP="5DF99A1E">
            <w:pPr>
              <w:ind w:left="273" w:firstLine="142"/>
              <w:jc w:val="both"/>
              <w:rPr>
                <w:sz w:val="22"/>
                <w:szCs w:val="22"/>
              </w:rPr>
            </w:pPr>
          </w:p>
          <w:p w14:paraId="1DC42ECE" w14:textId="4B243233" w:rsidR="00C051C9" w:rsidRPr="00A72EE9" w:rsidRDefault="00C051C9" w:rsidP="5DF99A1E">
            <w:pPr>
              <w:ind w:left="273" w:firstLine="142"/>
              <w:jc w:val="both"/>
              <w:rPr>
                <w:sz w:val="22"/>
                <w:szCs w:val="22"/>
              </w:rPr>
            </w:pPr>
          </w:p>
          <w:p w14:paraId="322FD1B6" w14:textId="77777777" w:rsidR="00F83E2F" w:rsidRDefault="00F83E2F" w:rsidP="4477E123">
            <w:pPr>
              <w:spacing w:line="252" w:lineRule="auto"/>
              <w:jc w:val="both"/>
              <w:rPr>
                <w:sz w:val="22"/>
                <w:szCs w:val="22"/>
              </w:rPr>
            </w:pPr>
          </w:p>
          <w:p w14:paraId="3C1389E0" w14:textId="49D6B016" w:rsidR="00C051C9" w:rsidRPr="00A72EE9" w:rsidRDefault="00C051C9" w:rsidP="4477E123">
            <w:pPr>
              <w:spacing w:line="252" w:lineRule="auto"/>
              <w:ind w:left="273" w:firstLine="142"/>
              <w:jc w:val="both"/>
              <w:rPr>
                <w:sz w:val="22"/>
                <w:szCs w:val="22"/>
              </w:rPr>
            </w:pPr>
          </w:p>
          <w:p w14:paraId="0325B495" w14:textId="0FF2F82B" w:rsidR="00C051C9" w:rsidRPr="00A72EE9" w:rsidRDefault="00C051C9" w:rsidP="4477E123">
            <w:pPr>
              <w:spacing w:line="252" w:lineRule="auto"/>
              <w:jc w:val="both"/>
              <w:rPr>
                <w:sz w:val="22"/>
                <w:szCs w:val="22"/>
              </w:rPr>
            </w:pPr>
          </w:p>
          <w:p w14:paraId="6604C3D7" w14:textId="37ABCE9C" w:rsidR="00C051C9" w:rsidRPr="00A72EE9" w:rsidRDefault="00C051C9" w:rsidP="5DF99A1E">
            <w:pPr>
              <w:spacing w:line="252" w:lineRule="auto"/>
              <w:ind w:firstLine="720"/>
              <w:jc w:val="both"/>
              <w:rPr>
                <w:sz w:val="22"/>
                <w:szCs w:val="22"/>
              </w:rPr>
            </w:pPr>
          </w:p>
          <w:p w14:paraId="3A1AFA06" w14:textId="65543490" w:rsidR="00C051C9" w:rsidRPr="00A72EE9" w:rsidRDefault="00C051C9" w:rsidP="5DF99A1E">
            <w:pPr>
              <w:spacing w:line="252" w:lineRule="auto"/>
              <w:jc w:val="both"/>
              <w:rPr>
                <w:sz w:val="22"/>
                <w:szCs w:val="22"/>
                <w:highlight w:val="cyan"/>
                <w:lang w:eastAsia="en-US"/>
              </w:rPr>
            </w:pPr>
          </w:p>
          <w:p w14:paraId="4ACBA91C" w14:textId="14A3FCD9" w:rsidR="00C051C9" w:rsidRPr="00A72EE9" w:rsidRDefault="00C051C9" w:rsidP="5DF99A1E">
            <w:pPr>
              <w:spacing w:line="252" w:lineRule="auto"/>
              <w:jc w:val="both"/>
              <w:rPr>
                <w:sz w:val="22"/>
                <w:szCs w:val="22"/>
                <w:highlight w:val="cyan"/>
                <w:lang w:eastAsia="en-US"/>
              </w:rPr>
            </w:pPr>
          </w:p>
          <w:p w14:paraId="40796D23" w14:textId="2B07ECBA" w:rsidR="00C051C9" w:rsidRPr="00A72EE9" w:rsidRDefault="00C051C9" w:rsidP="5DF99A1E">
            <w:pPr>
              <w:ind w:left="273" w:firstLine="142"/>
              <w:jc w:val="both"/>
              <w:rPr>
                <w:sz w:val="22"/>
                <w:szCs w:val="22"/>
              </w:rPr>
            </w:pPr>
          </w:p>
        </w:tc>
        <w:tc>
          <w:tcPr>
            <w:tcW w:w="1318" w:type="dxa"/>
          </w:tcPr>
          <w:p w14:paraId="307D2D88" w14:textId="2A1FBCE5" w:rsidR="00C051C9" w:rsidRPr="009C6C86" w:rsidRDefault="00C051C9" w:rsidP="00C051C9">
            <w:pPr>
              <w:jc w:val="both"/>
              <w:rPr>
                <w:sz w:val="22"/>
                <w:szCs w:val="22"/>
              </w:rPr>
            </w:pPr>
          </w:p>
        </w:tc>
      </w:tr>
      <w:tr w:rsidR="00C051C9" w:rsidRPr="009C6C86" w14:paraId="53BF943C"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95EDAC7" w14:textId="360EE76A" w:rsidR="00C051C9" w:rsidRPr="009C6C86" w:rsidRDefault="008E4312" w:rsidP="00C051C9">
            <w:pPr>
              <w:pStyle w:val="naisc"/>
              <w:spacing w:before="0" w:after="0"/>
              <w:ind w:left="360"/>
              <w:jc w:val="left"/>
              <w:rPr>
                <w:sz w:val="22"/>
                <w:szCs w:val="22"/>
              </w:rPr>
            </w:pPr>
            <w:r w:rsidRPr="009C6C86">
              <w:rPr>
                <w:sz w:val="22"/>
                <w:szCs w:val="22"/>
              </w:rPr>
              <w:lastRenderedPageBreak/>
              <w:t>7.</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292A0BF" w14:textId="2D329A3F" w:rsidR="00B90CD2" w:rsidRPr="00B90CD2" w:rsidRDefault="00B90CD2" w:rsidP="00B86854">
            <w:pPr>
              <w:pStyle w:val="Heading2"/>
              <w:spacing w:before="0" w:after="120"/>
              <w:rPr>
                <w:rFonts w:ascii="Times New Roman" w:eastAsia="Times New Roman" w:hAnsi="Times New Roman" w:cs="Times New Roman"/>
                <w:b w:val="0"/>
                <w:bCs w:val="0"/>
                <w:color w:val="auto"/>
                <w:sz w:val="22"/>
                <w:szCs w:val="22"/>
              </w:rPr>
            </w:pPr>
            <w:bookmarkStart w:id="2" w:name="_Toc491699585"/>
            <w:bookmarkStart w:id="3" w:name="_Toc47622727"/>
            <w:r w:rsidRPr="00B90CD2">
              <w:rPr>
                <w:rFonts w:ascii="Times New Roman" w:hAnsi="Times New Roman" w:cs="Times New Roman"/>
                <w:b w:val="0"/>
                <w:bCs w:val="0"/>
                <w:color w:val="auto"/>
                <w:sz w:val="22"/>
                <w:szCs w:val="22"/>
              </w:rPr>
              <w:t xml:space="preserve">Konceptuālā ziņojuma projekta </w:t>
            </w:r>
            <w:r w:rsidR="00503769" w:rsidRPr="00B90CD2">
              <w:rPr>
                <w:rFonts w:ascii="Times New Roman" w:eastAsia="Times New Roman" w:hAnsi="Times New Roman" w:cs="Times New Roman"/>
                <w:b w:val="0"/>
                <w:bCs w:val="0"/>
                <w:color w:val="auto"/>
                <w:sz w:val="22"/>
                <w:szCs w:val="22"/>
              </w:rPr>
              <w:t>1.3</w:t>
            </w:r>
            <w:r>
              <w:rPr>
                <w:rFonts w:ascii="Times New Roman" w:eastAsia="Times New Roman" w:hAnsi="Times New Roman" w:cs="Times New Roman"/>
                <w:b w:val="0"/>
                <w:bCs w:val="0"/>
                <w:color w:val="auto"/>
                <w:sz w:val="22"/>
                <w:szCs w:val="22"/>
              </w:rPr>
              <w:t>.</w:t>
            </w:r>
            <w:r w:rsidRPr="00B90CD2">
              <w:rPr>
                <w:rFonts w:ascii="Times New Roman" w:eastAsia="Times New Roman" w:hAnsi="Times New Roman" w:cs="Times New Roman"/>
                <w:b w:val="0"/>
                <w:bCs w:val="0"/>
                <w:color w:val="auto"/>
                <w:sz w:val="22"/>
                <w:szCs w:val="22"/>
              </w:rPr>
              <w:t xml:space="preserve"> sadaļa</w:t>
            </w:r>
          </w:p>
          <w:bookmarkEnd w:id="2"/>
          <w:bookmarkEnd w:id="3"/>
          <w:p w14:paraId="61C58794" w14:textId="77777777" w:rsidR="00B86854" w:rsidRPr="009C6C86" w:rsidRDefault="00B86854" w:rsidP="00F83E2F">
            <w:pPr>
              <w:spacing w:after="120"/>
              <w:jc w:val="both"/>
              <w:rPr>
                <w:sz w:val="22"/>
                <w:szCs w:val="22"/>
              </w:rPr>
            </w:pPr>
            <w:r w:rsidRPr="009C6C86">
              <w:rPr>
                <w:sz w:val="22"/>
                <w:szCs w:val="22"/>
              </w:rPr>
              <w:t xml:space="preserve">Atbalsts elektroenerģijas lietotājiem vidējās OIK samazināšanai samazina lietotāju kopējos maksājumus, taču daudziem apstrādes rūpniecības uzņēmumiem ir liela energoietilpība un ar šo atbalstu nepietiek to konkurētspējas nodrošināšanai. Lai mazinātu OIK pieauguma negatīvo efektu uz komersantiem, kas savu pamatdarbību ir izvērsuši energoietilpīgajās nozarēs, tostarp, metālrūpniecībā un būvmateriālu ražošanā, tika pieņemti Ministru kabineta 2015. gada 14. jūlija noteikumi Nr. 395 “Kārtība, kādā energoietilpīgi apstrādes rūpniecības uzņēmumi iegūst tiesības uz samazinātu līdzdalību obligātā iepirkuma komponentes maksājumam”, kuri apstrādes rūpniecības komersantiem paredz tiesības kvalificēties samazinātam OIK līdzdalības maksājumam. </w:t>
            </w:r>
          </w:p>
          <w:p w14:paraId="71EF2483" w14:textId="77777777" w:rsidR="00B86854" w:rsidRPr="009C6C86" w:rsidRDefault="00B86854" w:rsidP="00A36443">
            <w:pPr>
              <w:spacing w:after="120"/>
              <w:jc w:val="both"/>
              <w:rPr>
                <w:sz w:val="22"/>
                <w:szCs w:val="22"/>
              </w:rPr>
            </w:pPr>
            <w:r w:rsidRPr="009C6C86">
              <w:rPr>
                <w:sz w:val="22"/>
                <w:szCs w:val="22"/>
              </w:rPr>
              <w:lastRenderedPageBreak/>
              <w:t>Saglabājot OIK, ir nepieciešams saglabāt arī atbalstu energoietilpīgajiem apstrādes rūpniecības uzņēmumiem konkurences saglabāšanai. Ministru kabineta 2015. gada 14. jūlija noteikumi Nr. 395 ir spēkā līdz 2020.gada 31.decembrim, kad ir nepieciešams izvērtēt, vai turpināt atbalstu energoietilpīgajiem apstrādes rūpniecības uzņēmumiem un lēmuma ietekmi uz valsts budžetu. Saskaņā ar Finanšu ministrijas 2016.gadā izdotajām Valsts atbalsta vadlīnijām atbalstu energoietilpīgajiem apstrādes rūpniecības uzņēmumiem saskaņā ar Ministru kabineta 2015. gada 14. jūlija noteikumiem Nr. 395 var turpināt vēl vienu gadu, t.i. līdz 2021.gada beigām, kas šobrīd ir optimālākais risinājums. Nav paredzams, ka atbalsts OIK pazudīs, un, visticamāk, valsts atbalsts 700000 EUR apmērā būs nepieciešams katru gadu arī turpmāk.</w:t>
            </w:r>
          </w:p>
          <w:p w14:paraId="56FBD24B" w14:textId="09541D8F" w:rsidR="00C051C9" w:rsidRPr="009C6C86" w:rsidRDefault="00B86854" w:rsidP="00A36443">
            <w:pPr>
              <w:spacing w:after="120"/>
              <w:jc w:val="both"/>
              <w:rPr>
                <w:sz w:val="22"/>
                <w:szCs w:val="22"/>
              </w:rPr>
            </w:pPr>
            <w:r w:rsidRPr="009C6C86">
              <w:rPr>
                <w:sz w:val="22"/>
                <w:szCs w:val="22"/>
              </w:rPr>
              <w:t>Atbalsta mehānisma īstenošanai valsts budžetā paredzētais finansējuma apmērs atspoguļots 6. tabulā.</w:t>
            </w: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9E63876" w14:textId="77777777" w:rsidR="00C051C9" w:rsidRPr="009C6C86" w:rsidRDefault="00C051C9" w:rsidP="32E99004">
            <w:pPr>
              <w:spacing w:line="252" w:lineRule="auto"/>
              <w:jc w:val="center"/>
              <w:rPr>
                <w:b/>
                <w:bCs/>
                <w:sz w:val="22"/>
                <w:szCs w:val="22"/>
              </w:rPr>
            </w:pPr>
            <w:proofErr w:type="spellStart"/>
            <w:r w:rsidRPr="009C6C86">
              <w:rPr>
                <w:b/>
                <w:bCs/>
                <w:sz w:val="22"/>
                <w:szCs w:val="22"/>
              </w:rPr>
              <w:lastRenderedPageBreak/>
              <w:t>Pārresoru</w:t>
            </w:r>
            <w:proofErr w:type="spellEnd"/>
            <w:r w:rsidRPr="009C6C86">
              <w:rPr>
                <w:b/>
                <w:bCs/>
                <w:sz w:val="22"/>
                <w:szCs w:val="22"/>
              </w:rPr>
              <w:t xml:space="preserve"> koordinācijas centrs (25.08.2020)</w:t>
            </w:r>
          </w:p>
          <w:p w14:paraId="6A7DB4D8" w14:textId="73C6BAA9" w:rsidR="00C051C9" w:rsidRPr="009C6C86" w:rsidRDefault="00C051C9" w:rsidP="32E99004">
            <w:pPr>
              <w:spacing w:before="120" w:after="120"/>
              <w:jc w:val="both"/>
              <w:rPr>
                <w:sz w:val="22"/>
                <w:szCs w:val="22"/>
              </w:rPr>
            </w:pPr>
            <w:r w:rsidRPr="009C6C86">
              <w:rPr>
                <w:sz w:val="22"/>
                <w:szCs w:val="22"/>
                <w:lang w:eastAsia="en-US"/>
              </w:rPr>
              <w:t xml:space="preserve">2.Atbilstoši Ministru kabineta 2015. gada 14. jūlija noteikumiem Nr. 395 </w:t>
            </w:r>
            <w:r w:rsidRPr="009C6C86">
              <w:rPr>
                <w:i/>
                <w:iCs/>
                <w:sz w:val="22"/>
                <w:szCs w:val="22"/>
                <w:lang w:eastAsia="en-US"/>
              </w:rPr>
              <w:t xml:space="preserve">“Kārtība, kādā energoietilpīgi apstrādes rūpniecības uzņēmumi iegūst tiesības uz samazinātu līdzdalību obligātā iepirkuma komponentes maksājumam” </w:t>
            </w:r>
            <w:r w:rsidRPr="009C6C86">
              <w:rPr>
                <w:sz w:val="22"/>
                <w:szCs w:val="22"/>
                <w:lang w:eastAsia="en-US"/>
              </w:rPr>
              <w:t xml:space="preserve">komersanti var pieteikties OIK samazinājumam par izmaksām, kas komersantiem rodas laikposmā līdz  2020. gada 31. decembrim. Ņemot vērā minēto, </w:t>
            </w:r>
            <w:r w:rsidRPr="00B90CD2">
              <w:rPr>
                <w:sz w:val="22"/>
                <w:szCs w:val="22"/>
                <w:lang w:eastAsia="en-US"/>
              </w:rPr>
              <w:t>lūdzam 1.3. nodaļā detalizētāk iezīmēt turpmāk veicamās darbības (piemēram</w:t>
            </w:r>
            <w:r w:rsidRPr="009C6C86">
              <w:rPr>
                <w:sz w:val="22"/>
                <w:szCs w:val="22"/>
                <w:lang w:eastAsia="en-US"/>
              </w:rPr>
              <w:t>, saskaņošana ar Eiropas Komisiju, nacionālo normatīvo aktu izdošana u.c.) un to laika grafiku, lai OIK samazināšanas scenārijā nodrošinātu atbalstu energoietilpīgajiem apstrādes rūpniecības uzņēmumiem arī turpmākajos gados</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84F6A27" w14:textId="7FE84405" w:rsidR="00C051C9" w:rsidRPr="009C6C86" w:rsidRDefault="1F88BA4B" w:rsidP="00204CB9">
            <w:pPr>
              <w:pStyle w:val="naisc"/>
              <w:spacing w:before="0" w:after="0"/>
              <w:ind w:left="720"/>
              <w:jc w:val="left"/>
              <w:rPr>
                <w:rFonts w:eastAsia="Arial"/>
                <w:b/>
                <w:bCs/>
                <w:color w:val="FF0000"/>
                <w:sz w:val="22"/>
                <w:szCs w:val="22"/>
              </w:rPr>
            </w:pPr>
            <w:r w:rsidRPr="173D996F">
              <w:rPr>
                <w:b/>
                <w:bCs/>
                <w:sz w:val="22"/>
                <w:szCs w:val="22"/>
              </w:rPr>
              <w:t>Ņemts vērā</w:t>
            </w:r>
            <w:r w:rsidR="00F83E2F">
              <w:rPr>
                <w:b/>
                <w:bCs/>
                <w:sz w:val="22"/>
                <w:szCs w:val="22"/>
              </w:rPr>
              <w:t>.</w:t>
            </w: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D1FC952" w14:textId="3CAE8507" w:rsidR="00204CB9" w:rsidRPr="00503769" w:rsidRDefault="009C6C86" w:rsidP="673E9168">
            <w:pPr>
              <w:shd w:val="clear" w:color="auto" w:fill="FFFFFF" w:themeFill="background1"/>
              <w:spacing w:after="120"/>
              <w:jc w:val="both"/>
              <w:rPr>
                <w:sz w:val="22"/>
                <w:szCs w:val="22"/>
              </w:rPr>
            </w:pPr>
            <w:r w:rsidRPr="00503769">
              <w:rPr>
                <w:sz w:val="22"/>
                <w:szCs w:val="22"/>
              </w:rPr>
              <w:t>1.3.</w:t>
            </w:r>
            <w:r w:rsidRPr="00503769">
              <w:rPr>
                <w:sz w:val="22"/>
                <w:szCs w:val="22"/>
              </w:rPr>
              <w:tab/>
              <w:t>Atbalsts energoietilpīgiem apstrādes rūpniecības uzņēmumiem</w:t>
            </w:r>
          </w:p>
          <w:p w14:paraId="35A9319D" w14:textId="5A51C7E6" w:rsidR="009C6C86" w:rsidRPr="00503769" w:rsidRDefault="009C6C86" w:rsidP="673E9168">
            <w:pPr>
              <w:shd w:val="clear" w:color="auto" w:fill="FFFFFF" w:themeFill="background1"/>
              <w:spacing w:after="120"/>
              <w:jc w:val="both"/>
              <w:rPr>
                <w:sz w:val="22"/>
                <w:szCs w:val="22"/>
              </w:rPr>
            </w:pPr>
            <w:r w:rsidRPr="00503769">
              <w:rPr>
                <w:sz w:val="22"/>
                <w:szCs w:val="22"/>
              </w:rPr>
              <w:t>(..)</w:t>
            </w:r>
          </w:p>
          <w:p w14:paraId="283498B4" w14:textId="5A51C7E6" w:rsidR="00204CB9" w:rsidRPr="00503769" w:rsidRDefault="00204CB9" w:rsidP="673E9168">
            <w:pPr>
              <w:shd w:val="clear" w:color="auto" w:fill="FFFFFF" w:themeFill="background1"/>
              <w:spacing w:after="120"/>
              <w:jc w:val="both"/>
              <w:rPr>
                <w:sz w:val="22"/>
                <w:szCs w:val="22"/>
              </w:rPr>
            </w:pPr>
            <w:r w:rsidRPr="00503769">
              <w:rPr>
                <w:sz w:val="22"/>
                <w:szCs w:val="22"/>
              </w:rPr>
              <w:t xml:space="preserve">Saglabājot OIK, ir nepieciešams saglabāt arī atbalstu energoietilpīgajiem apstrādes rūpniecības uzņēmumiem konkurences saglabāšanai. Atbilstoši Ministru kabineta 2015. gada 14. jūlija noteikumiem Nr. 395 atbalstu energoietilpīgiem apstrādes rūpniecības uzņēmumiem var piešķirt par periodu līdz 2020.gada 31.decembrim, kad ir nepieciešams izvērtēt, vai turpināt atbalstu energoietilpīgajiem apstrādes rūpniecības uzņēmumiem un lēmuma ietekmi uz valsts budžetu. . Eiropas Komisijas Konkurences ģenerāldirektorāts ir pieņēmis paziņojumu, saskaņā ar ko “Pamatnostādnes par valsts atbalstu vides aizsardzībai un enerģētikai 2014.-2020. gadam piemērošanas”, atbilstoši kurām saskaņots atbalsts energoietilpīgiem apstrādes </w:t>
            </w:r>
            <w:r w:rsidRPr="00503769">
              <w:rPr>
                <w:sz w:val="22"/>
                <w:szCs w:val="22"/>
              </w:rPr>
              <w:lastRenderedPageBreak/>
              <w:t>rūpniecības uzņēmumiem, piemērošanas termiņš ir pagarināts līdz 2021. gada 31. decembrim.</w:t>
            </w:r>
          </w:p>
          <w:p w14:paraId="04D30A56" w14:textId="5A51C7E6" w:rsidR="00204CB9" w:rsidRPr="00503769" w:rsidRDefault="00204CB9" w:rsidP="673E9168">
            <w:pPr>
              <w:shd w:val="clear" w:color="auto" w:fill="FFFFFF" w:themeFill="background1"/>
              <w:spacing w:after="120"/>
              <w:jc w:val="both"/>
              <w:rPr>
                <w:sz w:val="22"/>
                <w:szCs w:val="22"/>
              </w:rPr>
            </w:pPr>
            <w:r w:rsidRPr="00503769">
              <w:rPr>
                <w:sz w:val="22"/>
                <w:szCs w:val="22"/>
              </w:rPr>
              <w:t xml:space="preserve">Tādējādi iespējams pagarināt arī energoietilpīgo apstrādes rūpniecības uzņēmumu atbalstu un Ekonomikas ministrija strādā pie attiecīgiem MK noteikumu Nr.395 grozījumiem, kas Ministru kabinetā tiks apstiprināti līdz 2020.gada beigām un varēs stāties spēkā pēc Eiropas Komisijas saskaņojuma saņemšanas. </w:t>
            </w:r>
          </w:p>
          <w:p w14:paraId="49A84757" w14:textId="5A51C7E6" w:rsidR="00C051C9" w:rsidRPr="00503769" w:rsidRDefault="00204CB9" w:rsidP="673E9168">
            <w:pPr>
              <w:shd w:val="clear" w:color="auto" w:fill="FFFFFF" w:themeFill="background1"/>
              <w:spacing w:after="120"/>
              <w:jc w:val="both"/>
              <w:rPr>
                <w:sz w:val="22"/>
                <w:szCs w:val="22"/>
              </w:rPr>
            </w:pPr>
            <w:r w:rsidRPr="00503769">
              <w:rPr>
                <w:sz w:val="22"/>
                <w:szCs w:val="22"/>
              </w:rPr>
              <w:t>Paredzams, ka arī jaunās valsts atbalsta vadlīnijas pieļaus šāda valsts atbalsta programmu, tādēļ visticamāk, valsts atbalsts 700000 EUR apmērā būs nepieciešams katru gadu arī turpmāk.</w:t>
            </w:r>
          </w:p>
        </w:tc>
        <w:tc>
          <w:tcPr>
            <w:tcW w:w="1318" w:type="dxa"/>
          </w:tcPr>
          <w:p w14:paraId="57C5A108" w14:textId="77777777" w:rsidR="00C051C9" w:rsidRPr="009C6C86" w:rsidRDefault="00C051C9" w:rsidP="00C051C9">
            <w:pPr>
              <w:jc w:val="both"/>
              <w:rPr>
                <w:sz w:val="22"/>
                <w:szCs w:val="22"/>
              </w:rPr>
            </w:pPr>
          </w:p>
        </w:tc>
      </w:tr>
      <w:tr w:rsidR="00C051C9" w:rsidRPr="009C6C86" w14:paraId="252B91A7"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7A6A3F3" w14:textId="041E0E18" w:rsidR="00C051C9" w:rsidRPr="009C6C86" w:rsidRDefault="008E4312" w:rsidP="00C051C9">
            <w:pPr>
              <w:pStyle w:val="naisc"/>
              <w:spacing w:before="0" w:after="0"/>
              <w:ind w:left="360"/>
              <w:jc w:val="left"/>
              <w:rPr>
                <w:sz w:val="22"/>
                <w:szCs w:val="22"/>
              </w:rPr>
            </w:pPr>
            <w:r w:rsidRPr="009C6C86">
              <w:rPr>
                <w:sz w:val="22"/>
                <w:szCs w:val="22"/>
              </w:rPr>
              <w:t>8.</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8E3459B" w14:textId="77777777" w:rsidR="00C051C9" w:rsidRPr="009C6C86" w:rsidRDefault="00C051C9" w:rsidP="00C051C9">
            <w:pPr>
              <w:shd w:val="clear" w:color="auto" w:fill="FFFFFF" w:themeFill="background1"/>
              <w:spacing w:after="120"/>
              <w:jc w:val="both"/>
              <w:rPr>
                <w:sz w:val="22"/>
                <w:szCs w:val="22"/>
              </w:rPr>
            </w:pPr>
            <w:r w:rsidRPr="009C6C86">
              <w:rPr>
                <w:sz w:val="22"/>
                <w:szCs w:val="22"/>
              </w:rPr>
              <w:t>Konceptuālā ziņojuma projekts</w:t>
            </w:r>
          </w:p>
          <w:p w14:paraId="4EEC9F88" w14:textId="77777777" w:rsidR="00C051C9" w:rsidRPr="009C6C86" w:rsidRDefault="00C051C9" w:rsidP="00C051C9">
            <w:pPr>
              <w:shd w:val="clear" w:color="auto" w:fill="FFFFFF"/>
              <w:spacing w:after="120"/>
              <w:rPr>
                <w:sz w:val="22"/>
                <w:szCs w:val="22"/>
              </w:rPr>
            </w:pP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010DDB5" w14:textId="77777777" w:rsidR="00C051C9" w:rsidRPr="009C6C86" w:rsidRDefault="00C051C9" w:rsidP="00C051C9">
            <w:pPr>
              <w:spacing w:line="252" w:lineRule="auto"/>
              <w:jc w:val="center"/>
              <w:rPr>
                <w:b/>
                <w:bCs/>
                <w:sz w:val="22"/>
                <w:szCs w:val="22"/>
              </w:rPr>
            </w:pPr>
            <w:proofErr w:type="spellStart"/>
            <w:r w:rsidRPr="009C6C86">
              <w:rPr>
                <w:b/>
                <w:bCs/>
                <w:sz w:val="22"/>
                <w:szCs w:val="22"/>
              </w:rPr>
              <w:t>Pārresoru</w:t>
            </w:r>
            <w:proofErr w:type="spellEnd"/>
            <w:r w:rsidRPr="009C6C86">
              <w:rPr>
                <w:b/>
                <w:bCs/>
                <w:sz w:val="22"/>
                <w:szCs w:val="22"/>
              </w:rPr>
              <w:t xml:space="preserve"> koordinācijas centrs (25.08.2020)</w:t>
            </w:r>
          </w:p>
          <w:p w14:paraId="2F78442A" w14:textId="09CE493E" w:rsidR="00C051C9" w:rsidRPr="009C6C86" w:rsidRDefault="00C051C9" w:rsidP="56E3DDF7">
            <w:pPr>
              <w:tabs>
                <w:tab w:val="left" w:pos="1134"/>
              </w:tabs>
              <w:spacing w:after="160" w:line="252" w:lineRule="auto"/>
              <w:contextualSpacing/>
              <w:jc w:val="both"/>
              <w:rPr>
                <w:rFonts w:eastAsia="Calibri"/>
                <w:b/>
                <w:bCs/>
                <w:sz w:val="22"/>
                <w:szCs w:val="22"/>
              </w:rPr>
            </w:pPr>
            <w:r w:rsidRPr="009C6C86">
              <w:rPr>
                <w:sz w:val="22"/>
                <w:szCs w:val="22"/>
              </w:rPr>
              <w:t xml:space="preserve">3.Valsts kapitālsabiedrības, aprēķinot un izmaksājot dividendes no kapitālsabiedrības pārskata gada peļņas, izmaksājamā peļņas daļā ietver </w:t>
            </w:r>
            <w:r w:rsidRPr="009C6C86">
              <w:rPr>
                <w:sz w:val="22"/>
                <w:szCs w:val="22"/>
              </w:rPr>
              <w:lastRenderedPageBreak/>
              <w:t xml:space="preserve">maksājumu par valsts kapitāla izmantošanu un uzņēmumu ienākuma nodokli. Lūdzam precizēt konceptuālajā ziņojumā un MK rīkojuma projektā (2.1., 5., 6., 7., 8. punkts) izmantotos terminus </w:t>
            </w:r>
            <w:r w:rsidRPr="00B90CD2">
              <w:rPr>
                <w:sz w:val="22"/>
                <w:szCs w:val="22"/>
              </w:rPr>
              <w:t>“pārskata gada peļņa”, “dividendes”, “maksājums par valsts kapitāla izmantošanu”</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05311BA" w14:textId="7AFEB30A" w:rsidR="00C051C9" w:rsidRPr="00B90CD2" w:rsidRDefault="26254FD0" w:rsidP="009C6C86">
            <w:pPr>
              <w:pStyle w:val="naisc"/>
              <w:spacing w:before="0" w:after="0"/>
              <w:rPr>
                <w:b/>
                <w:bCs/>
                <w:sz w:val="22"/>
                <w:szCs w:val="22"/>
              </w:rPr>
            </w:pPr>
            <w:r w:rsidRPr="00B90CD2">
              <w:rPr>
                <w:b/>
                <w:bCs/>
                <w:sz w:val="22"/>
                <w:szCs w:val="22"/>
              </w:rPr>
              <w:lastRenderedPageBreak/>
              <w:t>Ņemts vērā</w:t>
            </w:r>
            <w:r w:rsidR="00B90CD2">
              <w:rPr>
                <w:b/>
                <w:bCs/>
                <w:sz w:val="22"/>
                <w:szCs w:val="22"/>
              </w:rPr>
              <w:t>.</w:t>
            </w: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E65EAE6" w14:textId="4628C808" w:rsidR="00C051C9" w:rsidRPr="009C6C86" w:rsidRDefault="1D7F8F68" w:rsidP="3DC405E9">
            <w:pPr>
              <w:shd w:val="clear" w:color="auto" w:fill="FFFFFF" w:themeFill="background1"/>
              <w:spacing w:after="120"/>
              <w:jc w:val="both"/>
              <w:rPr>
                <w:sz w:val="22"/>
                <w:szCs w:val="22"/>
              </w:rPr>
            </w:pPr>
            <w:r w:rsidRPr="4477E123">
              <w:rPr>
                <w:sz w:val="22"/>
                <w:szCs w:val="22"/>
              </w:rPr>
              <w:t xml:space="preserve">Precizēts visā </w:t>
            </w:r>
            <w:r w:rsidR="7050E7DF" w:rsidRPr="4477E123">
              <w:rPr>
                <w:sz w:val="22"/>
                <w:szCs w:val="22"/>
              </w:rPr>
              <w:t>k</w:t>
            </w:r>
            <w:r w:rsidR="0568C074" w:rsidRPr="4477E123">
              <w:rPr>
                <w:sz w:val="22"/>
                <w:szCs w:val="22"/>
              </w:rPr>
              <w:t>onceptuālā ziņojuma projekt</w:t>
            </w:r>
            <w:r w:rsidR="683E8255" w:rsidRPr="4477E123">
              <w:rPr>
                <w:sz w:val="22"/>
                <w:szCs w:val="22"/>
              </w:rPr>
              <w:t>ā.</w:t>
            </w:r>
          </w:p>
          <w:p w14:paraId="5DDBD3AD" w14:textId="7BDBF53C" w:rsidR="00C051C9" w:rsidRPr="009C6C86" w:rsidRDefault="00C051C9" w:rsidP="3DC405E9">
            <w:pPr>
              <w:shd w:val="clear" w:color="auto" w:fill="FFFFFF" w:themeFill="background1"/>
              <w:spacing w:after="120"/>
              <w:jc w:val="both"/>
              <w:rPr>
                <w:sz w:val="22"/>
                <w:szCs w:val="22"/>
              </w:rPr>
            </w:pPr>
          </w:p>
        </w:tc>
        <w:tc>
          <w:tcPr>
            <w:tcW w:w="1318" w:type="dxa"/>
          </w:tcPr>
          <w:p w14:paraId="55547C26" w14:textId="77777777" w:rsidR="00C051C9" w:rsidRPr="009C6C86" w:rsidRDefault="00C051C9" w:rsidP="00C051C9">
            <w:pPr>
              <w:jc w:val="both"/>
              <w:rPr>
                <w:sz w:val="22"/>
                <w:szCs w:val="22"/>
              </w:rPr>
            </w:pPr>
          </w:p>
        </w:tc>
      </w:tr>
      <w:tr w:rsidR="00C051C9" w:rsidRPr="009C6C86" w14:paraId="0EB5FE75"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AF41341" w14:textId="38ACF00B" w:rsidR="00C051C9" w:rsidRPr="009C6C86" w:rsidRDefault="008E4312" w:rsidP="00C051C9">
            <w:pPr>
              <w:pStyle w:val="naisc"/>
              <w:spacing w:before="0" w:after="0"/>
              <w:ind w:left="425"/>
              <w:jc w:val="left"/>
              <w:rPr>
                <w:sz w:val="22"/>
                <w:szCs w:val="22"/>
              </w:rPr>
            </w:pPr>
            <w:r w:rsidRPr="009C6C86">
              <w:rPr>
                <w:sz w:val="22"/>
                <w:szCs w:val="22"/>
              </w:rPr>
              <w:t>9.</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0494A32" w14:textId="58415611" w:rsidR="00C051C9" w:rsidRPr="009C6C86" w:rsidRDefault="00C051C9" w:rsidP="00C051C9">
            <w:pPr>
              <w:spacing w:after="120"/>
              <w:rPr>
                <w:rFonts w:eastAsia="Calibri"/>
                <w:sz w:val="22"/>
                <w:szCs w:val="22"/>
              </w:rPr>
            </w:pPr>
            <w:r w:rsidRPr="009C6C86">
              <w:rPr>
                <w:sz w:val="22"/>
                <w:szCs w:val="22"/>
              </w:rPr>
              <w:t>5. </w:t>
            </w:r>
            <w:r w:rsidRPr="009C6C86">
              <w:rPr>
                <w:rFonts w:eastAsia="Calibri"/>
                <w:sz w:val="22"/>
                <w:szCs w:val="22"/>
              </w:rPr>
              <w:t xml:space="preserve">Akciju sabiedrības “Latvenergo” valsts kapitāla daļu turētājam paredzēt 2021.gadā dividendēs par 2020.gada pārskata gadu izmaksāt </w:t>
            </w:r>
            <w:r w:rsidRPr="009C6C86">
              <w:rPr>
                <w:sz w:val="22"/>
                <w:szCs w:val="22"/>
              </w:rPr>
              <w:t xml:space="preserve">74 513 776 </w:t>
            </w:r>
            <w:proofErr w:type="spellStart"/>
            <w:r w:rsidRPr="009C6C86">
              <w:rPr>
                <w:rFonts w:eastAsia="Calibri"/>
                <w:i/>
                <w:sz w:val="22"/>
                <w:szCs w:val="22"/>
              </w:rPr>
              <w:t>euro</w:t>
            </w:r>
            <w:proofErr w:type="spellEnd"/>
            <w:r w:rsidRPr="009C6C86">
              <w:rPr>
                <w:rFonts w:eastAsia="Calibri"/>
                <w:sz w:val="22"/>
                <w:szCs w:val="22"/>
              </w:rPr>
              <w:t xml:space="preserve">, 2022.gadā par 2021.gada pārskata gadu – </w:t>
            </w:r>
            <w:r w:rsidRPr="009C6C86">
              <w:rPr>
                <w:sz w:val="22"/>
                <w:szCs w:val="22"/>
              </w:rPr>
              <w:t xml:space="preserve">74 513 776 </w:t>
            </w:r>
            <w:proofErr w:type="spellStart"/>
            <w:r w:rsidRPr="009C6C86">
              <w:rPr>
                <w:rFonts w:eastAsia="Calibri"/>
                <w:i/>
                <w:sz w:val="22"/>
                <w:szCs w:val="22"/>
              </w:rPr>
              <w:t>euro</w:t>
            </w:r>
            <w:proofErr w:type="spellEnd"/>
            <w:r w:rsidRPr="009C6C86">
              <w:rPr>
                <w:rFonts w:eastAsia="Calibri"/>
                <w:sz w:val="22"/>
                <w:szCs w:val="22"/>
              </w:rPr>
              <w:t xml:space="preserve"> un 2023.gadā par 2022.gada pārskata gadu – </w:t>
            </w:r>
            <w:r w:rsidRPr="009C6C86">
              <w:rPr>
                <w:sz w:val="22"/>
                <w:szCs w:val="22"/>
              </w:rPr>
              <w:t xml:space="preserve">74 513 776 </w:t>
            </w:r>
            <w:proofErr w:type="spellStart"/>
            <w:r w:rsidRPr="009C6C86">
              <w:rPr>
                <w:rFonts w:eastAsia="Calibri"/>
                <w:i/>
                <w:sz w:val="22"/>
                <w:szCs w:val="22"/>
              </w:rPr>
              <w:t>euro</w:t>
            </w:r>
            <w:proofErr w:type="spellEnd"/>
            <w:r w:rsidRPr="009C6C86">
              <w:rPr>
                <w:rFonts w:eastAsia="Calibri"/>
                <w:sz w:val="22"/>
                <w:szCs w:val="22"/>
              </w:rPr>
              <w:t>.</w:t>
            </w:r>
          </w:p>
          <w:p w14:paraId="26B03F1A" w14:textId="77777777" w:rsidR="00C051C9" w:rsidRPr="009C6C86" w:rsidRDefault="00C051C9" w:rsidP="00C051C9">
            <w:pPr>
              <w:spacing w:after="120"/>
              <w:rPr>
                <w:rFonts w:eastAsia="Calibri"/>
                <w:sz w:val="22"/>
                <w:szCs w:val="22"/>
              </w:rPr>
            </w:pPr>
            <w:r w:rsidRPr="009C6C86">
              <w:rPr>
                <w:noProof/>
                <w:sz w:val="22"/>
                <w:szCs w:val="22"/>
              </w:rPr>
              <w:t>6</w:t>
            </w:r>
            <w:r w:rsidRPr="009C6C86">
              <w:rPr>
                <w:rFonts w:eastAsia="Calibri"/>
                <w:sz w:val="22"/>
                <w:szCs w:val="22"/>
              </w:rPr>
              <w:t>. Finanšu ministrijai aktualizēt valsts pamatbudžeta ieņēmumus, paredzot</w:t>
            </w:r>
            <w:r w:rsidRPr="009C6C86">
              <w:rPr>
                <w:noProof/>
                <w:sz w:val="22"/>
                <w:szCs w:val="22"/>
              </w:rPr>
              <w:t xml:space="preserve"> akciju sabiedrības “Latvenergo” </w:t>
            </w:r>
            <w:r w:rsidRPr="009C6C86">
              <w:rPr>
                <w:rFonts w:eastAsia="Calibri"/>
                <w:sz w:val="22"/>
                <w:szCs w:val="22"/>
              </w:rPr>
              <w:t xml:space="preserve">maksājumu prognozi par valsts kapitāla izmantošanu 2021.gadā – </w:t>
            </w:r>
            <w:r w:rsidRPr="009C6C86">
              <w:rPr>
                <w:sz w:val="22"/>
                <w:szCs w:val="22"/>
              </w:rPr>
              <w:t xml:space="preserve">74 513 776 </w:t>
            </w:r>
            <w:proofErr w:type="spellStart"/>
            <w:r w:rsidRPr="009C6C86">
              <w:rPr>
                <w:rFonts w:eastAsia="Calibri"/>
                <w:i/>
                <w:iCs/>
                <w:sz w:val="22"/>
                <w:szCs w:val="22"/>
              </w:rPr>
              <w:t>euro</w:t>
            </w:r>
            <w:proofErr w:type="spellEnd"/>
            <w:r w:rsidRPr="009C6C86">
              <w:rPr>
                <w:rFonts w:eastAsia="Calibri"/>
                <w:sz w:val="22"/>
                <w:szCs w:val="22"/>
              </w:rPr>
              <w:t xml:space="preserve">, 2022.gadā – </w:t>
            </w:r>
            <w:r w:rsidRPr="009C6C86">
              <w:rPr>
                <w:sz w:val="22"/>
                <w:szCs w:val="22"/>
              </w:rPr>
              <w:t xml:space="preserve">74 513 776 </w:t>
            </w:r>
            <w:proofErr w:type="spellStart"/>
            <w:r w:rsidRPr="009C6C86">
              <w:rPr>
                <w:rFonts w:eastAsia="Calibri"/>
                <w:i/>
                <w:iCs/>
                <w:sz w:val="22"/>
                <w:szCs w:val="22"/>
              </w:rPr>
              <w:t>euro</w:t>
            </w:r>
            <w:proofErr w:type="spellEnd"/>
            <w:r w:rsidRPr="009C6C86">
              <w:rPr>
                <w:rFonts w:eastAsia="Calibri"/>
                <w:sz w:val="22"/>
                <w:szCs w:val="22"/>
              </w:rPr>
              <w:t xml:space="preserve"> un 2023.gadā – </w:t>
            </w:r>
            <w:r w:rsidRPr="009C6C86">
              <w:rPr>
                <w:sz w:val="22"/>
                <w:szCs w:val="22"/>
              </w:rPr>
              <w:t xml:space="preserve">74 513 776 </w:t>
            </w:r>
            <w:proofErr w:type="spellStart"/>
            <w:r w:rsidRPr="009C6C86">
              <w:rPr>
                <w:rFonts w:eastAsia="Calibri"/>
                <w:i/>
                <w:iCs/>
                <w:sz w:val="22"/>
                <w:szCs w:val="22"/>
              </w:rPr>
              <w:t>euro</w:t>
            </w:r>
            <w:proofErr w:type="spellEnd"/>
            <w:r w:rsidRPr="009C6C86">
              <w:rPr>
                <w:rFonts w:eastAsia="Calibri"/>
                <w:sz w:val="22"/>
                <w:szCs w:val="22"/>
              </w:rPr>
              <w:t>.</w:t>
            </w:r>
          </w:p>
          <w:p w14:paraId="20936A73" w14:textId="115A3236" w:rsidR="00C051C9" w:rsidRPr="009C6C86" w:rsidRDefault="00C051C9" w:rsidP="00C051C9">
            <w:pPr>
              <w:shd w:val="clear" w:color="auto" w:fill="FFFFFF"/>
              <w:spacing w:after="120"/>
              <w:jc w:val="both"/>
              <w:rPr>
                <w:sz w:val="22"/>
                <w:szCs w:val="22"/>
              </w:rPr>
            </w:pP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5B1ED66" w14:textId="5A51C7E6" w:rsidR="00C051C9" w:rsidRPr="009C6C86" w:rsidRDefault="00C051C9" w:rsidP="00C051C9">
            <w:pPr>
              <w:spacing w:line="252" w:lineRule="auto"/>
              <w:jc w:val="center"/>
              <w:rPr>
                <w:b/>
                <w:bCs/>
                <w:sz w:val="22"/>
                <w:szCs w:val="22"/>
              </w:rPr>
            </w:pPr>
            <w:proofErr w:type="spellStart"/>
            <w:r w:rsidRPr="009C6C86">
              <w:rPr>
                <w:b/>
                <w:bCs/>
                <w:sz w:val="22"/>
                <w:szCs w:val="22"/>
              </w:rPr>
              <w:t>Pārresoru</w:t>
            </w:r>
            <w:proofErr w:type="spellEnd"/>
            <w:r w:rsidRPr="009C6C86">
              <w:rPr>
                <w:b/>
                <w:bCs/>
                <w:sz w:val="22"/>
                <w:szCs w:val="22"/>
              </w:rPr>
              <w:t xml:space="preserve"> koordinācijas centrs (25.08.2020)</w:t>
            </w:r>
          </w:p>
          <w:p w14:paraId="6CDDADBA" w14:textId="4BFDD89D" w:rsidR="00C051C9" w:rsidRPr="009C6C86" w:rsidRDefault="00C051C9" w:rsidP="00C051C9">
            <w:pPr>
              <w:spacing w:after="160" w:line="252" w:lineRule="auto"/>
              <w:contextualSpacing/>
              <w:jc w:val="both"/>
              <w:rPr>
                <w:rFonts w:eastAsia="Calibri"/>
                <w:b/>
                <w:bCs/>
                <w:sz w:val="22"/>
                <w:szCs w:val="22"/>
              </w:rPr>
            </w:pPr>
            <w:r w:rsidRPr="009C6C86">
              <w:rPr>
                <w:sz w:val="22"/>
                <w:szCs w:val="22"/>
              </w:rPr>
              <w:t>4. Lai precīzi būtu norādītas AS “Latvenergo” dividendēs izmaksājamās summas, t.i., maksājums par valsts kapitāla izmantošanu un uzņēmuma ienākuma nodokļa maksājums, ir nepieciešams pārskatīt norādītās summas gan MK rīkojuma projektā, gan konceptuālajā ziņojumā, jo pašreiz lietoti dažādi termini pie identiskām summām. Piemēram, MK rīkojuma projekta 5. un 6.punkts, kur norādītas identiskas summas, bet atšķirīgi maksājumi, jo dividendes ietver arī uzņēmuma ienākuma nodokli, kas pašreiz nav atsevišķi uzrādīts; </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BAAD2CF" w14:textId="77777777" w:rsidR="00C051C9" w:rsidRDefault="2752735C" w:rsidP="6109C101">
            <w:pPr>
              <w:pStyle w:val="naisc"/>
              <w:spacing w:before="0" w:after="0"/>
              <w:rPr>
                <w:b/>
                <w:bCs/>
                <w:sz w:val="22"/>
                <w:szCs w:val="22"/>
              </w:rPr>
            </w:pPr>
            <w:r w:rsidRPr="009C6C86">
              <w:rPr>
                <w:b/>
                <w:bCs/>
                <w:sz w:val="22"/>
                <w:szCs w:val="22"/>
              </w:rPr>
              <w:t>Ņemts vērā</w:t>
            </w:r>
            <w:r w:rsidR="00B90CD2">
              <w:rPr>
                <w:b/>
                <w:bCs/>
                <w:sz w:val="22"/>
                <w:szCs w:val="22"/>
              </w:rPr>
              <w:t>.</w:t>
            </w:r>
          </w:p>
          <w:p w14:paraId="0F5E97E2" w14:textId="6D1986AB" w:rsidR="00F83E2F" w:rsidRPr="009C6C86" w:rsidRDefault="00F83E2F" w:rsidP="00B710FA">
            <w:pPr>
              <w:pStyle w:val="naisc"/>
              <w:spacing w:before="0" w:after="0"/>
              <w:jc w:val="left"/>
              <w:rPr>
                <w:b/>
                <w:bCs/>
                <w:sz w:val="22"/>
                <w:szCs w:val="22"/>
              </w:rPr>
            </w:pP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C35924B" w14:textId="77777777" w:rsidR="005848C2" w:rsidRPr="009C6C86" w:rsidRDefault="005848C2" w:rsidP="005848C2">
            <w:pPr>
              <w:shd w:val="clear" w:color="auto" w:fill="FFFFFF" w:themeFill="background1"/>
              <w:spacing w:after="120"/>
              <w:jc w:val="both"/>
              <w:rPr>
                <w:sz w:val="22"/>
                <w:szCs w:val="22"/>
              </w:rPr>
            </w:pPr>
            <w:r w:rsidRPr="009C6C86">
              <w:rPr>
                <w:sz w:val="22"/>
                <w:szCs w:val="22"/>
              </w:rPr>
              <w:t xml:space="preserve">Konceptuālā ziņojuma </w:t>
            </w:r>
            <w:r>
              <w:rPr>
                <w:sz w:val="22"/>
                <w:szCs w:val="22"/>
              </w:rPr>
              <w:t xml:space="preserve">rīkojuma </w:t>
            </w:r>
            <w:r w:rsidRPr="009C6C86">
              <w:rPr>
                <w:sz w:val="22"/>
                <w:szCs w:val="22"/>
              </w:rPr>
              <w:t>projekts</w:t>
            </w:r>
          </w:p>
          <w:p w14:paraId="4BDB7F82" w14:textId="77777777" w:rsidR="005848C2" w:rsidRPr="005848C2" w:rsidRDefault="005848C2" w:rsidP="005848C2">
            <w:pPr>
              <w:spacing w:before="120" w:after="120"/>
              <w:jc w:val="both"/>
              <w:rPr>
                <w:sz w:val="22"/>
                <w:szCs w:val="22"/>
              </w:rPr>
            </w:pPr>
            <w:r w:rsidRPr="005848C2">
              <w:rPr>
                <w:sz w:val="22"/>
                <w:szCs w:val="22"/>
              </w:rPr>
              <w:t xml:space="preserve">3.  Akciju sabiedrības “Latvenergo” valsts kapitāla daļu turētājam paredzēt dividendes maksāt atbilstoši vidēja termiņa darbības stratēģijai, paredzot, ka 2021.gadā dividendēs no 2020.gada pārskata gada peļņas izmaksāt ne mazāk kā 89 640 000 </w:t>
            </w:r>
            <w:proofErr w:type="spellStart"/>
            <w:r w:rsidRPr="005848C2">
              <w:rPr>
                <w:sz w:val="22"/>
                <w:szCs w:val="22"/>
              </w:rPr>
              <w:t>euro</w:t>
            </w:r>
            <w:proofErr w:type="spellEnd"/>
            <w:r w:rsidRPr="005848C2">
              <w:rPr>
                <w:sz w:val="22"/>
                <w:szCs w:val="22"/>
              </w:rPr>
              <w:t xml:space="preserve"> (ieskaitot uzņēmumu ienākuma nodokli), 2022.gadā no 2021.gada pārskata gada peļņas – ne mazāk kā 74 500 000 </w:t>
            </w:r>
            <w:proofErr w:type="spellStart"/>
            <w:r w:rsidRPr="005848C2">
              <w:rPr>
                <w:sz w:val="22"/>
                <w:szCs w:val="22"/>
              </w:rPr>
              <w:t>euro</w:t>
            </w:r>
            <w:proofErr w:type="spellEnd"/>
            <w:r w:rsidRPr="005848C2">
              <w:rPr>
                <w:sz w:val="22"/>
                <w:szCs w:val="22"/>
              </w:rPr>
              <w:t xml:space="preserve"> (ieskaitot uzņēmumu ienākuma nodokli), un 2023.gadā no 2022.gada pārskata gada peļņas – ne mazāk kā 74 500 000 </w:t>
            </w:r>
            <w:proofErr w:type="spellStart"/>
            <w:r w:rsidRPr="005848C2">
              <w:rPr>
                <w:sz w:val="22"/>
                <w:szCs w:val="22"/>
              </w:rPr>
              <w:t>euro</w:t>
            </w:r>
            <w:proofErr w:type="spellEnd"/>
            <w:r w:rsidRPr="005848C2">
              <w:rPr>
                <w:sz w:val="22"/>
                <w:szCs w:val="22"/>
              </w:rPr>
              <w:t xml:space="preserve"> (ieskaitot uzņēmumu ienākuma nodokli). Ja akciju sabiedrības “Latvenergo” kapitāla daļu turētājs lemj par lielāku dividenžu izmaksu 2021., 2022., vai 2023.gadā, piekrist šo dividenžu novirzīšanu dotācijai akciju sabiedrībai "Enerģijas publiskais tirgotājs" uzkrāto obligātā iepirkuma izmaksu samazinājumam.</w:t>
            </w:r>
          </w:p>
          <w:p w14:paraId="3AF56E60" w14:textId="3EB7857A" w:rsidR="00136CB4" w:rsidRPr="00B90CD2" w:rsidRDefault="005848C2" w:rsidP="005848C2">
            <w:pPr>
              <w:spacing w:before="120" w:after="120"/>
              <w:jc w:val="both"/>
              <w:rPr>
                <w:sz w:val="22"/>
                <w:szCs w:val="22"/>
              </w:rPr>
            </w:pPr>
            <w:r w:rsidRPr="005848C2">
              <w:rPr>
                <w:sz w:val="22"/>
                <w:szCs w:val="22"/>
              </w:rPr>
              <w:t xml:space="preserve">4.  Finanšu ministrijai aktualizēt valsts pamatbudžeta ieņēmumus, paredzot akciju sabiedrības “Latvenergo” dividenžu maksājumus, tajā skaitā </w:t>
            </w:r>
            <w:r w:rsidRPr="005848C2">
              <w:rPr>
                <w:sz w:val="22"/>
                <w:szCs w:val="22"/>
              </w:rPr>
              <w:lastRenderedPageBreak/>
              <w:t xml:space="preserve">uzņēmuma ienākuma nodokli, saskaņā ar kapitālsabiedrības apstiprināto vidēja termiņa darbības stratēģiju, paredzot 2021.gadā - ne mazāk kā 89 640 000 </w:t>
            </w:r>
            <w:proofErr w:type="spellStart"/>
            <w:r w:rsidRPr="005848C2">
              <w:rPr>
                <w:sz w:val="22"/>
                <w:szCs w:val="22"/>
              </w:rPr>
              <w:t>euro</w:t>
            </w:r>
            <w:proofErr w:type="spellEnd"/>
            <w:r w:rsidRPr="005848C2">
              <w:rPr>
                <w:sz w:val="22"/>
                <w:szCs w:val="22"/>
              </w:rPr>
              <w:t xml:space="preserve"> (ieskaitot uzņēmumu ienākuma nodokli), 2022.gadā - ne mazāk kā 74 500 000 </w:t>
            </w:r>
            <w:proofErr w:type="spellStart"/>
            <w:r w:rsidRPr="005848C2">
              <w:rPr>
                <w:sz w:val="22"/>
                <w:szCs w:val="22"/>
              </w:rPr>
              <w:t>euro</w:t>
            </w:r>
            <w:proofErr w:type="spellEnd"/>
            <w:r w:rsidRPr="005848C2">
              <w:rPr>
                <w:sz w:val="22"/>
                <w:szCs w:val="22"/>
              </w:rPr>
              <w:t xml:space="preserve"> (ieskaitot uzņēmumu ienākuma nodokli) un par 2023.gadā - ne mazāk kā 74 500 000  </w:t>
            </w:r>
            <w:proofErr w:type="spellStart"/>
            <w:r w:rsidRPr="005848C2">
              <w:rPr>
                <w:sz w:val="22"/>
                <w:szCs w:val="22"/>
              </w:rPr>
              <w:t>euro</w:t>
            </w:r>
            <w:proofErr w:type="spellEnd"/>
            <w:r w:rsidRPr="005848C2">
              <w:rPr>
                <w:sz w:val="22"/>
                <w:szCs w:val="22"/>
              </w:rPr>
              <w:t xml:space="preserve">. </w:t>
            </w:r>
          </w:p>
        </w:tc>
        <w:tc>
          <w:tcPr>
            <w:tcW w:w="1318" w:type="dxa"/>
          </w:tcPr>
          <w:p w14:paraId="74983855" w14:textId="79124642" w:rsidR="00C051C9" w:rsidRPr="009C6C86" w:rsidRDefault="00C051C9" w:rsidP="00C051C9">
            <w:pPr>
              <w:jc w:val="both"/>
              <w:rPr>
                <w:sz w:val="22"/>
                <w:szCs w:val="22"/>
              </w:rPr>
            </w:pPr>
          </w:p>
        </w:tc>
      </w:tr>
      <w:tr w:rsidR="00C051C9" w:rsidRPr="009C6C86" w14:paraId="083D605D"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810EBE0" w14:textId="3E7D35CF" w:rsidR="00C051C9" w:rsidRPr="009C6C86" w:rsidRDefault="008E4312" w:rsidP="00C051C9">
            <w:pPr>
              <w:pStyle w:val="naisc"/>
              <w:spacing w:before="0" w:after="0"/>
              <w:ind w:left="425"/>
              <w:jc w:val="left"/>
              <w:rPr>
                <w:sz w:val="22"/>
                <w:szCs w:val="22"/>
              </w:rPr>
            </w:pPr>
            <w:r w:rsidRPr="009C6C86">
              <w:rPr>
                <w:sz w:val="22"/>
                <w:szCs w:val="22"/>
              </w:rPr>
              <w:t>10.</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0BAA19B" w14:textId="77777777" w:rsidR="00B7669E" w:rsidRPr="009C6C86" w:rsidRDefault="00B7669E" w:rsidP="00B7669E">
            <w:pPr>
              <w:shd w:val="clear" w:color="auto" w:fill="FFFFFF" w:themeFill="background1"/>
              <w:spacing w:after="120"/>
              <w:jc w:val="both"/>
              <w:rPr>
                <w:sz w:val="22"/>
                <w:szCs w:val="22"/>
              </w:rPr>
            </w:pPr>
            <w:r w:rsidRPr="009C6C86">
              <w:rPr>
                <w:sz w:val="22"/>
                <w:szCs w:val="22"/>
              </w:rPr>
              <w:t xml:space="preserve">Konceptuālā ziņojuma </w:t>
            </w:r>
            <w:r>
              <w:rPr>
                <w:sz w:val="22"/>
                <w:szCs w:val="22"/>
              </w:rPr>
              <w:t xml:space="preserve">rīkojuma </w:t>
            </w:r>
            <w:r w:rsidRPr="009C6C86">
              <w:rPr>
                <w:sz w:val="22"/>
                <w:szCs w:val="22"/>
              </w:rPr>
              <w:t>projekts</w:t>
            </w:r>
          </w:p>
          <w:p w14:paraId="6D89E3C9" w14:textId="55B114E8" w:rsidR="00C051C9" w:rsidRPr="009C6C86" w:rsidRDefault="00C051C9" w:rsidP="00C051C9">
            <w:pPr>
              <w:spacing w:after="120"/>
              <w:rPr>
                <w:rFonts w:eastAsia="Calibri"/>
                <w:sz w:val="22"/>
                <w:szCs w:val="22"/>
              </w:rPr>
            </w:pPr>
            <w:r w:rsidRPr="009C6C86">
              <w:rPr>
                <w:sz w:val="22"/>
                <w:szCs w:val="22"/>
              </w:rPr>
              <w:t>5. </w:t>
            </w:r>
            <w:r w:rsidRPr="009C6C86">
              <w:rPr>
                <w:rFonts w:eastAsia="Calibri"/>
                <w:sz w:val="22"/>
                <w:szCs w:val="22"/>
              </w:rPr>
              <w:t xml:space="preserve">Akciju sabiedrības “Latvenergo” valsts kapitāla daļu turētājam paredzēt 2021.gadā dividendēs par 2020.gada pārskata gadu izmaksāt </w:t>
            </w:r>
            <w:r w:rsidRPr="009C6C86">
              <w:rPr>
                <w:sz w:val="22"/>
                <w:szCs w:val="22"/>
              </w:rPr>
              <w:t xml:space="preserve">74 513 776 </w:t>
            </w:r>
            <w:proofErr w:type="spellStart"/>
            <w:r w:rsidRPr="009C6C86">
              <w:rPr>
                <w:rFonts w:eastAsia="Calibri"/>
                <w:i/>
                <w:sz w:val="22"/>
                <w:szCs w:val="22"/>
              </w:rPr>
              <w:t>euro</w:t>
            </w:r>
            <w:proofErr w:type="spellEnd"/>
            <w:r w:rsidRPr="009C6C86">
              <w:rPr>
                <w:rFonts w:eastAsia="Calibri"/>
                <w:sz w:val="22"/>
                <w:szCs w:val="22"/>
              </w:rPr>
              <w:t xml:space="preserve">, 2022.gadā par 2021.gada pārskata gadu – </w:t>
            </w:r>
            <w:r w:rsidRPr="009C6C86">
              <w:rPr>
                <w:sz w:val="22"/>
                <w:szCs w:val="22"/>
              </w:rPr>
              <w:t xml:space="preserve">74 513 776 </w:t>
            </w:r>
            <w:proofErr w:type="spellStart"/>
            <w:r w:rsidRPr="009C6C86">
              <w:rPr>
                <w:rFonts w:eastAsia="Calibri"/>
                <w:i/>
                <w:sz w:val="22"/>
                <w:szCs w:val="22"/>
              </w:rPr>
              <w:t>euro</w:t>
            </w:r>
            <w:proofErr w:type="spellEnd"/>
            <w:r w:rsidRPr="009C6C86">
              <w:rPr>
                <w:rFonts w:eastAsia="Calibri"/>
                <w:sz w:val="22"/>
                <w:szCs w:val="22"/>
              </w:rPr>
              <w:t xml:space="preserve"> un 2023.gadā par 2022.gada pārskata gadu – </w:t>
            </w:r>
            <w:r w:rsidRPr="009C6C86">
              <w:rPr>
                <w:sz w:val="22"/>
                <w:szCs w:val="22"/>
              </w:rPr>
              <w:t xml:space="preserve">74 513 776 </w:t>
            </w:r>
            <w:proofErr w:type="spellStart"/>
            <w:r w:rsidRPr="009C6C86">
              <w:rPr>
                <w:rFonts w:eastAsia="Calibri"/>
                <w:i/>
                <w:sz w:val="22"/>
                <w:szCs w:val="22"/>
              </w:rPr>
              <w:t>euro</w:t>
            </w:r>
            <w:proofErr w:type="spellEnd"/>
            <w:r w:rsidRPr="009C6C86">
              <w:rPr>
                <w:rFonts w:eastAsia="Calibri"/>
                <w:sz w:val="22"/>
                <w:szCs w:val="22"/>
              </w:rPr>
              <w:t>.</w:t>
            </w:r>
          </w:p>
          <w:p w14:paraId="4C35D920" w14:textId="56C20714" w:rsidR="00C051C9" w:rsidRPr="009C6C86" w:rsidRDefault="00C051C9" w:rsidP="00C051C9">
            <w:pPr>
              <w:shd w:val="clear" w:color="auto" w:fill="FFFFFF"/>
              <w:spacing w:after="120"/>
              <w:jc w:val="both"/>
              <w:rPr>
                <w:sz w:val="22"/>
                <w:szCs w:val="22"/>
              </w:rPr>
            </w:pP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5ED31A2" w14:textId="77777777" w:rsidR="00C051C9" w:rsidRPr="009C6C86" w:rsidRDefault="00C051C9" w:rsidP="00C051C9">
            <w:pPr>
              <w:spacing w:line="252" w:lineRule="auto"/>
              <w:jc w:val="center"/>
              <w:rPr>
                <w:b/>
                <w:bCs/>
                <w:sz w:val="22"/>
                <w:szCs w:val="22"/>
              </w:rPr>
            </w:pPr>
            <w:proofErr w:type="spellStart"/>
            <w:r w:rsidRPr="009C6C86">
              <w:rPr>
                <w:b/>
                <w:bCs/>
                <w:sz w:val="22"/>
                <w:szCs w:val="22"/>
              </w:rPr>
              <w:t>Pārresoru</w:t>
            </w:r>
            <w:proofErr w:type="spellEnd"/>
            <w:r w:rsidRPr="009C6C86">
              <w:rPr>
                <w:b/>
                <w:bCs/>
                <w:sz w:val="22"/>
                <w:szCs w:val="22"/>
              </w:rPr>
              <w:t xml:space="preserve"> koordinācijas centrs (25.08.2020)</w:t>
            </w:r>
          </w:p>
          <w:p w14:paraId="58DFD0C8" w14:textId="78D94250" w:rsidR="00C051C9" w:rsidRPr="009C6C86" w:rsidRDefault="00C051C9" w:rsidP="00C051C9">
            <w:pPr>
              <w:jc w:val="both"/>
              <w:rPr>
                <w:sz w:val="22"/>
                <w:szCs w:val="22"/>
              </w:rPr>
            </w:pPr>
            <w:r w:rsidRPr="009C6C86">
              <w:rPr>
                <w:sz w:val="22"/>
                <w:szCs w:val="22"/>
              </w:rPr>
              <w:t xml:space="preserve">5. Lai tiktu nodrošināta  AS “Latvenergo” vidēja termiņa darbības stratēģijā noteikto finanšu mērķu izpilde, kā arī atbilstība Ministru kabineta 2015.gada 22. 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3.punktam, kas nosaka, ka minimālā dividendēs izmaksājamā peļņas daļa ir 80 % apmērā no kapitālsabiedrības pārskata gada peļņas, rīkojuma projekta 5.punktu izteikt šādā redakcijā: </w:t>
            </w:r>
            <w:r w:rsidRPr="009C6C86">
              <w:rPr>
                <w:i/>
                <w:sz w:val="22"/>
                <w:szCs w:val="22"/>
              </w:rPr>
              <w:t xml:space="preserve">“Akciju sabiedrības “Latvenergo” valsts kapitāla daļu turētājam paredzēt dividendes maksāt atbilstoši vidēja termiņa darbības stratēģijai, paredzot, ka 2021.gadā dividendēs no 2020.gada pārskata gada peļņas izmaksāt vismaz 74 513 776 </w:t>
            </w:r>
            <w:proofErr w:type="spellStart"/>
            <w:r w:rsidRPr="009C6C86">
              <w:rPr>
                <w:i/>
                <w:sz w:val="22"/>
                <w:szCs w:val="22"/>
              </w:rPr>
              <w:t>euro</w:t>
            </w:r>
            <w:proofErr w:type="spellEnd"/>
            <w:r w:rsidRPr="009C6C86">
              <w:rPr>
                <w:i/>
                <w:sz w:val="22"/>
                <w:szCs w:val="22"/>
              </w:rPr>
              <w:t xml:space="preserve"> (ieskaitot uzņēmumu ienākuma nodokli), 2022.gadā no 2021.gada pārskata gada peļņas – vismaz 74 513 776 </w:t>
            </w:r>
            <w:proofErr w:type="spellStart"/>
            <w:r w:rsidRPr="009C6C86">
              <w:rPr>
                <w:i/>
                <w:sz w:val="22"/>
                <w:szCs w:val="22"/>
              </w:rPr>
              <w:t>euro</w:t>
            </w:r>
            <w:proofErr w:type="spellEnd"/>
            <w:r w:rsidRPr="009C6C86">
              <w:rPr>
                <w:i/>
                <w:sz w:val="22"/>
                <w:szCs w:val="22"/>
              </w:rPr>
              <w:t xml:space="preserve"> (ieskaitot uzņēmumu ienākuma nodokli), un </w:t>
            </w:r>
            <w:r w:rsidRPr="009C6C86">
              <w:rPr>
                <w:i/>
                <w:sz w:val="22"/>
                <w:szCs w:val="22"/>
              </w:rPr>
              <w:lastRenderedPageBreak/>
              <w:t xml:space="preserve">2023.gadā no 2022.gada pārskata gada peļņas – vismaz 74 513 776 </w:t>
            </w:r>
            <w:proofErr w:type="spellStart"/>
            <w:r w:rsidRPr="009C6C86">
              <w:rPr>
                <w:i/>
                <w:sz w:val="22"/>
                <w:szCs w:val="22"/>
              </w:rPr>
              <w:t>euro</w:t>
            </w:r>
            <w:proofErr w:type="spellEnd"/>
            <w:r w:rsidRPr="009C6C86">
              <w:rPr>
                <w:i/>
                <w:sz w:val="22"/>
                <w:szCs w:val="22"/>
              </w:rPr>
              <w:t xml:space="preserve"> (ieskaitot uzņēmumu ienākuma nodokli).”</w:t>
            </w:r>
            <w:r w:rsidRPr="009C6C86">
              <w:rPr>
                <w:sz w:val="22"/>
                <w:szCs w:val="22"/>
              </w:rPr>
              <w:t>;</w:t>
            </w:r>
          </w:p>
          <w:p w14:paraId="6114D65A" w14:textId="77777777" w:rsidR="00C051C9" w:rsidRPr="009C6C86" w:rsidRDefault="00C051C9" w:rsidP="00C051C9">
            <w:pPr>
              <w:tabs>
                <w:tab w:val="left" w:pos="1134"/>
              </w:tabs>
              <w:contextualSpacing/>
              <w:jc w:val="both"/>
              <w:rPr>
                <w:rFonts w:eastAsia="Calibri"/>
                <w:b/>
                <w:bCs/>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7C65790" w14:textId="77777777" w:rsidR="00C051C9" w:rsidRPr="00B710FA" w:rsidRDefault="5A40C923" w:rsidP="6109C101">
            <w:pPr>
              <w:pStyle w:val="naisc"/>
              <w:spacing w:before="0" w:after="0"/>
              <w:rPr>
                <w:b/>
                <w:bCs/>
                <w:sz w:val="22"/>
                <w:szCs w:val="22"/>
              </w:rPr>
            </w:pPr>
            <w:r w:rsidRPr="00B710FA">
              <w:rPr>
                <w:b/>
                <w:bCs/>
                <w:sz w:val="22"/>
                <w:szCs w:val="22"/>
              </w:rPr>
              <w:lastRenderedPageBreak/>
              <w:t>Ņemts vērā</w:t>
            </w:r>
            <w:r w:rsidR="00B90CD2" w:rsidRPr="00B710FA">
              <w:rPr>
                <w:b/>
                <w:bCs/>
                <w:sz w:val="22"/>
                <w:szCs w:val="22"/>
              </w:rPr>
              <w:t>.</w:t>
            </w:r>
          </w:p>
          <w:p w14:paraId="7770289D" w14:textId="07503D48" w:rsidR="00B7669E" w:rsidRPr="00B710FA" w:rsidRDefault="00B7669E" w:rsidP="6109C101">
            <w:pPr>
              <w:pStyle w:val="naisc"/>
              <w:spacing w:before="0" w:after="0"/>
              <w:rPr>
                <w:b/>
                <w:bCs/>
                <w:sz w:val="22"/>
                <w:szCs w:val="22"/>
              </w:rPr>
            </w:pP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340D17E" w14:textId="77777777" w:rsidR="00B710FA" w:rsidRPr="00B710FA" w:rsidRDefault="005848C2" w:rsidP="00B90CD2">
            <w:pPr>
              <w:jc w:val="both"/>
              <w:rPr>
                <w:sz w:val="22"/>
                <w:szCs w:val="22"/>
              </w:rPr>
            </w:pPr>
            <w:r w:rsidRPr="00B710FA">
              <w:rPr>
                <w:sz w:val="22"/>
                <w:szCs w:val="22"/>
              </w:rPr>
              <w:t>Konceptuālā ziņojuma rīkojuma projekts</w:t>
            </w:r>
            <w:r w:rsidR="00B710FA" w:rsidRPr="00B710FA">
              <w:rPr>
                <w:sz w:val="22"/>
                <w:szCs w:val="22"/>
              </w:rPr>
              <w:t xml:space="preserve"> </w:t>
            </w:r>
          </w:p>
          <w:p w14:paraId="28434FF6" w14:textId="32F53862" w:rsidR="5A40C923" w:rsidRPr="00B710FA" w:rsidRDefault="00B710FA" w:rsidP="00B710FA">
            <w:pPr>
              <w:jc w:val="both"/>
              <w:rPr>
                <w:sz w:val="22"/>
                <w:szCs w:val="22"/>
              </w:rPr>
            </w:pPr>
            <w:r w:rsidRPr="00B710FA">
              <w:rPr>
                <w:sz w:val="22"/>
                <w:szCs w:val="22"/>
              </w:rPr>
              <w:t xml:space="preserve">3. Akciju sabiedrības “Latvenergo” valsts kapitāla daļu turētājam paredzēt dividendes maksāt atbilstoši vidēja termiņa darbības stratēģijai, paredzot, ka 2021.gadā dividendēs no 2020.gada pārskata gada peļņas izmaksāt ne mazāk kā 89 640 000 </w:t>
            </w:r>
            <w:proofErr w:type="spellStart"/>
            <w:r w:rsidRPr="00B710FA">
              <w:rPr>
                <w:sz w:val="22"/>
                <w:szCs w:val="22"/>
              </w:rPr>
              <w:t>euro</w:t>
            </w:r>
            <w:proofErr w:type="spellEnd"/>
            <w:r w:rsidRPr="00B710FA">
              <w:rPr>
                <w:sz w:val="22"/>
                <w:szCs w:val="22"/>
              </w:rPr>
              <w:t xml:space="preserve"> (ieskaitot uzņēmumu ienākuma nodokli), 2022.gadā no 2021.gada pārskata gada peļņas – ne mazāk kā 74 500 000 </w:t>
            </w:r>
            <w:proofErr w:type="spellStart"/>
            <w:r w:rsidRPr="00B710FA">
              <w:rPr>
                <w:sz w:val="22"/>
                <w:szCs w:val="22"/>
              </w:rPr>
              <w:t>euro</w:t>
            </w:r>
            <w:proofErr w:type="spellEnd"/>
            <w:r w:rsidRPr="00B710FA">
              <w:rPr>
                <w:sz w:val="22"/>
                <w:szCs w:val="22"/>
              </w:rPr>
              <w:t xml:space="preserve"> (ieskaitot uzņēmumu ienākuma nodokli), un 2023.gadā no 2022.gada pārskata gada peļņas – ne mazāk kā 74 500 000 </w:t>
            </w:r>
            <w:proofErr w:type="spellStart"/>
            <w:r w:rsidRPr="00B710FA">
              <w:rPr>
                <w:sz w:val="22"/>
                <w:szCs w:val="22"/>
              </w:rPr>
              <w:t>euro</w:t>
            </w:r>
            <w:proofErr w:type="spellEnd"/>
            <w:r w:rsidRPr="00B710FA">
              <w:rPr>
                <w:sz w:val="22"/>
                <w:szCs w:val="22"/>
              </w:rPr>
              <w:t xml:space="preserve"> (ieskaitot uzņēmumu ienākuma nodokli). Ja akciju sabiedrības “Latvenergo” kapitāla daļu turētājs lemj par lielāku dividenžu izmaksu 2021., 2022., vai 2023.gadā, piekrist šo dividenžu novirzīšanu dotācijai akciju sabiedrībai "Enerģijas publiskais tirgotājs" uzkrāto obligātā iepirkuma izmaksu samazinājumam.</w:t>
            </w:r>
          </w:p>
          <w:p w14:paraId="03A4B2E5" w14:textId="1FA2BE3B" w:rsidR="4477E123" w:rsidRPr="00B710FA" w:rsidRDefault="4477E123" w:rsidP="4477E123">
            <w:pPr>
              <w:spacing w:before="120"/>
              <w:jc w:val="both"/>
              <w:rPr>
                <w:sz w:val="22"/>
                <w:szCs w:val="22"/>
              </w:rPr>
            </w:pPr>
          </w:p>
          <w:p w14:paraId="24D2FAC9" w14:textId="1643E035" w:rsidR="00C051C9" w:rsidRPr="00B710FA" w:rsidRDefault="00C051C9" w:rsidP="6109C101">
            <w:pPr>
              <w:spacing w:before="120"/>
              <w:ind w:right="115"/>
              <w:jc w:val="both"/>
              <w:rPr>
                <w:sz w:val="22"/>
                <w:szCs w:val="22"/>
              </w:rPr>
            </w:pPr>
          </w:p>
        </w:tc>
        <w:tc>
          <w:tcPr>
            <w:tcW w:w="1318" w:type="dxa"/>
          </w:tcPr>
          <w:p w14:paraId="4CEBAC4A" w14:textId="77777777" w:rsidR="00C051C9" w:rsidRPr="009C6C86" w:rsidRDefault="00C051C9" w:rsidP="00C051C9">
            <w:pPr>
              <w:jc w:val="both"/>
              <w:rPr>
                <w:sz w:val="22"/>
                <w:szCs w:val="22"/>
              </w:rPr>
            </w:pPr>
          </w:p>
        </w:tc>
      </w:tr>
      <w:tr w:rsidR="00C051C9" w:rsidRPr="009C6C86" w14:paraId="21358522"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0C731A2" w14:textId="72903D32" w:rsidR="00C051C9" w:rsidRPr="009C6C86" w:rsidRDefault="008E4312" w:rsidP="008E4312">
            <w:pPr>
              <w:pStyle w:val="naisc"/>
              <w:rPr>
                <w:sz w:val="22"/>
                <w:szCs w:val="22"/>
              </w:rPr>
            </w:pPr>
            <w:r w:rsidRPr="009C6C86">
              <w:rPr>
                <w:sz w:val="22"/>
                <w:szCs w:val="22"/>
              </w:rPr>
              <w:t>11.</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8F6FE44" w14:textId="77777777" w:rsidR="00B7669E" w:rsidRPr="009C6C86" w:rsidRDefault="00B7669E" w:rsidP="00B7669E">
            <w:pPr>
              <w:shd w:val="clear" w:color="auto" w:fill="FFFFFF" w:themeFill="background1"/>
              <w:spacing w:after="120"/>
              <w:jc w:val="both"/>
              <w:rPr>
                <w:sz w:val="22"/>
                <w:szCs w:val="22"/>
              </w:rPr>
            </w:pPr>
            <w:r w:rsidRPr="009C6C86">
              <w:rPr>
                <w:sz w:val="22"/>
                <w:szCs w:val="22"/>
              </w:rPr>
              <w:t xml:space="preserve">Konceptuālā ziņojuma </w:t>
            </w:r>
            <w:r>
              <w:rPr>
                <w:sz w:val="22"/>
                <w:szCs w:val="22"/>
              </w:rPr>
              <w:t xml:space="preserve">rīkojuma </w:t>
            </w:r>
            <w:r w:rsidRPr="009C6C86">
              <w:rPr>
                <w:sz w:val="22"/>
                <w:szCs w:val="22"/>
              </w:rPr>
              <w:t>projekts</w:t>
            </w:r>
          </w:p>
          <w:p w14:paraId="6F74DFA6" w14:textId="69718FA7" w:rsidR="00C051C9" w:rsidRPr="009C6C86" w:rsidRDefault="00C051C9" w:rsidP="00C051C9">
            <w:pPr>
              <w:spacing w:after="120"/>
              <w:rPr>
                <w:sz w:val="22"/>
                <w:szCs w:val="22"/>
              </w:rPr>
            </w:pPr>
            <w:r w:rsidRPr="009C6C86">
              <w:rPr>
                <w:sz w:val="22"/>
                <w:szCs w:val="22"/>
              </w:rPr>
              <w:t>2. Finanšu ministrijai, sagatavojot likumprojektu “Par valsts budžetu 2021.gadam” un likumprojektu “Par vidēja termiņa budžeta ietvaru 2021., 2022. un 2023.gadam” iekļaut:</w:t>
            </w:r>
          </w:p>
          <w:p w14:paraId="71B4CD1A" w14:textId="77777777" w:rsidR="00C051C9" w:rsidRPr="009C6C86" w:rsidRDefault="00C051C9" w:rsidP="00C051C9">
            <w:pPr>
              <w:spacing w:after="120"/>
              <w:rPr>
                <w:sz w:val="22"/>
                <w:szCs w:val="22"/>
              </w:rPr>
            </w:pPr>
            <w:r w:rsidRPr="009C6C86">
              <w:rPr>
                <w:sz w:val="22"/>
                <w:szCs w:val="22"/>
              </w:rPr>
              <w:t>2.1. regulējumu, kas paredz, kādā apmērā akciju sabiedrība “Latvenergo” ieskaita valsts pamatbudžeta ieņēmumos maksājumus par valsts kapitāla izmantošanu (ieņēmumus no dividendēm) no akciju sabiedrības rīcībā palikušās tīrās peļņas 2020., 2021. un 2022.gadā, tai skaitā dividendes, kas tiek novirzītas elektroenerģijas lietotāju atbalstam, valsts budžeta dotāciju obligātā iepirkuma komponentes samazināšanai 2021.gadā 16,78 </w:t>
            </w:r>
            <w:proofErr w:type="spellStart"/>
            <w:r w:rsidRPr="009C6C86">
              <w:rPr>
                <w:i/>
                <w:sz w:val="22"/>
                <w:szCs w:val="22"/>
              </w:rPr>
              <w:t>euro</w:t>
            </w:r>
            <w:proofErr w:type="spellEnd"/>
            <w:r w:rsidRPr="009C6C86">
              <w:rPr>
                <w:sz w:val="22"/>
                <w:szCs w:val="22"/>
              </w:rPr>
              <w:t>/</w:t>
            </w:r>
            <w:proofErr w:type="spellStart"/>
            <w:r w:rsidRPr="009C6C86">
              <w:rPr>
                <w:sz w:val="22"/>
                <w:szCs w:val="22"/>
              </w:rPr>
              <w:t>MWh</w:t>
            </w:r>
            <w:proofErr w:type="spellEnd"/>
            <w:r w:rsidRPr="009C6C86">
              <w:rPr>
                <w:sz w:val="22"/>
                <w:szCs w:val="22"/>
              </w:rPr>
              <w:t>, 2022.gadā 14,16 </w:t>
            </w:r>
            <w:proofErr w:type="spellStart"/>
            <w:r w:rsidRPr="009C6C86">
              <w:rPr>
                <w:i/>
                <w:sz w:val="22"/>
                <w:szCs w:val="22"/>
              </w:rPr>
              <w:t>euro</w:t>
            </w:r>
            <w:proofErr w:type="spellEnd"/>
            <w:r w:rsidRPr="009C6C86">
              <w:rPr>
                <w:sz w:val="22"/>
                <w:szCs w:val="22"/>
              </w:rPr>
              <w:t>/</w:t>
            </w:r>
            <w:proofErr w:type="spellStart"/>
            <w:r w:rsidRPr="009C6C86">
              <w:rPr>
                <w:sz w:val="22"/>
                <w:szCs w:val="22"/>
              </w:rPr>
              <w:t>MWh</w:t>
            </w:r>
            <w:proofErr w:type="spellEnd"/>
            <w:r w:rsidRPr="009C6C86">
              <w:rPr>
                <w:sz w:val="22"/>
                <w:szCs w:val="22"/>
              </w:rPr>
              <w:t xml:space="preserve"> un 2023.gadā 11,04  </w:t>
            </w:r>
            <w:proofErr w:type="spellStart"/>
            <w:r w:rsidRPr="009C6C86">
              <w:rPr>
                <w:i/>
                <w:sz w:val="22"/>
                <w:szCs w:val="22"/>
              </w:rPr>
              <w:t>euro</w:t>
            </w:r>
            <w:proofErr w:type="spellEnd"/>
            <w:r w:rsidRPr="009C6C86">
              <w:rPr>
                <w:sz w:val="22"/>
                <w:szCs w:val="22"/>
              </w:rPr>
              <w:t>/</w:t>
            </w:r>
            <w:proofErr w:type="spellStart"/>
            <w:r w:rsidRPr="009C6C86">
              <w:rPr>
                <w:sz w:val="22"/>
                <w:szCs w:val="22"/>
              </w:rPr>
              <w:t>MWh</w:t>
            </w:r>
            <w:proofErr w:type="spellEnd"/>
            <w:r w:rsidRPr="009C6C86">
              <w:rPr>
                <w:sz w:val="22"/>
                <w:szCs w:val="22"/>
              </w:rPr>
              <w:t>, apmērā, kā arī valsts pētījumu programmai enerģētikas jomā un Latvijas Nacionālā enerģētikas un klimata plāna 2021. – 2030.gadam pētniecības daļas īstenošanai;</w:t>
            </w:r>
          </w:p>
          <w:p w14:paraId="24C81721" w14:textId="3DE9E6AD" w:rsidR="00C051C9" w:rsidRPr="009C6C86" w:rsidRDefault="00C051C9" w:rsidP="00C051C9">
            <w:pPr>
              <w:shd w:val="clear" w:color="auto" w:fill="FFFFFF" w:themeFill="background1"/>
              <w:spacing w:after="120"/>
              <w:jc w:val="both"/>
              <w:rPr>
                <w:sz w:val="22"/>
                <w:szCs w:val="22"/>
              </w:rPr>
            </w:pP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795C394" w14:textId="77777777" w:rsidR="00C051C9" w:rsidRPr="009C6C86" w:rsidRDefault="00C051C9" w:rsidP="00C051C9">
            <w:pPr>
              <w:spacing w:line="252" w:lineRule="auto"/>
              <w:jc w:val="center"/>
              <w:rPr>
                <w:b/>
                <w:bCs/>
                <w:sz w:val="22"/>
                <w:szCs w:val="22"/>
              </w:rPr>
            </w:pPr>
            <w:proofErr w:type="spellStart"/>
            <w:r w:rsidRPr="009C6C86">
              <w:rPr>
                <w:b/>
                <w:bCs/>
                <w:sz w:val="22"/>
                <w:szCs w:val="22"/>
              </w:rPr>
              <w:t>Pārresoru</w:t>
            </w:r>
            <w:proofErr w:type="spellEnd"/>
            <w:r w:rsidRPr="009C6C86">
              <w:rPr>
                <w:b/>
                <w:bCs/>
                <w:sz w:val="22"/>
                <w:szCs w:val="22"/>
              </w:rPr>
              <w:t xml:space="preserve"> koordinācijas centrs (25.08.2020)</w:t>
            </w:r>
          </w:p>
          <w:p w14:paraId="0C8D0194" w14:textId="492D0718" w:rsidR="00C051C9" w:rsidRPr="009C6C86" w:rsidRDefault="00C051C9" w:rsidP="00C051C9">
            <w:pPr>
              <w:jc w:val="both"/>
              <w:rPr>
                <w:sz w:val="22"/>
                <w:szCs w:val="22"/>
              </w:rPr>
            </w:pPr>
            <w:r w:rsidRPr="009C6C86">
              <w:rPr>
                <w:sz w:val="22"/>
                <w:szCs w:val="22"/>
              </w:rPr>
              <w:t xml:space="preserve">6. Lūdzam MK rīkojuma projektā iekļaut 2.1. punktu, kas paredz likumprojektā “Par vidēja termiņa budžeta ietvaru 2021., 2022. un 2023.gadam”  konkrētu minimālo AS “Latvenergo” dividenžu summu maksājumus: </w:t>
            </w:r>
            <w:r w:rsidRPr="009C6C86">
              <w:rPr>
                <w:i/>
                <w:sz w:val="22"/>
                <w:szCs w:val="22"/>
              </w:rPr>
              <w:t xml:space="preserve">“Noteikt, ka akciju sabiedrības "Latvenergo" dividendēs izmaksājamā peļņas daļa par 2020. pārskata gadu ir ne mazāka kā 74 513 776 </w:t>
            </w:r>
            <w:proofErr w:type="spellStart"/>
            <w:r w:rsidRPr="009C6C86">
              <w:rPr>
                <w:i/>
                <w:sz w:val="22"/>
                <w:szCs w:val="22"/>
              </w:rPr>
              <w:t>euro</w:t>
            </w:r>
            <w:proofErr w:type="spellEnd"/>
            <w:r w:rsidRPr="009C6C86">
              <w:rPr>
                <w:i/>
                <w:sz w:val="22"/>
                <w:szCs w:val="22"/>
              </w:rPr>
              <w:t xml:space="preserve"> (ieskaitot uzņēmumu ienākuma nodokli), par 2021. pārskata gadu ne mazāka kā 74 513 776 </w:t>
            </w:r>
            <w:proofErr w:type="spellStart"/>
            <w:r w:rsidRPr="009C6C86">
              <w:rPr>
                <w:i/>
                <w:sz w:val="22"/>
                <w:szCs w:val="22"/>
              </w:rPr>
              <w:t>euro</w:t>
            </w:r>
            <w:proofErr w:type="spellEnd"/>
            <w:r w:rsidRPr="009C6C86">
              <w:rPr>
                <w:i/>
                <w:sz w:val="22"/>
                <w:szCs w:val="22"/>
              </w:rPr>
              <w:t> (ieskaitot uzņēmumu ienākuma nodokli) un par 2022. pārskata gadu ne mazāka kā 74 513 776  </w:t>
            </w:r>
            <w:proofErr w:type="spellStart"/>
            <w:r w:rsidRPr="009C6C86">
              <w:rPr>
                <w:i/>
                <w:sz w:val="22"/>
                <w:szCs w:val="22"/>
              </w:rPr>
              <w:t>euro</w:t>
            </w:r>
            <w:proofErr w:type="spellEnd"/>
            <w:r w:rsidRPr="009C6C86">
              <w:rPr>
                <w:i/>
                <w:sz w:val="22"/>
                <w:szCs w:val="22"/>
              </w:rPr>
              <w:t> (ieskaitot uzņēmumu ienākuma nodokli).</w:t>
            </w:r>
            <w:r w:rsidRPr="009C6C86">
              <w:rPr>
                <w:sz w:val="22"/>
                <w:szCs w:val="22"/>
              </w:rPr>
              <w:t>”</w:t>
            </w:r>
          </w:p>
          <w:p w14:paraId="2B2C0975" w14:textId="2D29F6B2" w:rsidR="00C051C9" w:rsidRPr="009C6C86" w:rsidRDefault="00C051C9" w:rsidP="00C051C9">
            <w:pPr>
              <w:jc w:val="both"/>
              <w:rPr>
                <w:b/>
                <w:bCs/>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3739762" w14:textId="1FAA0215" w:rsidR="00C051C9" w:rsidRPr="009C6C86" w:rsidRDefault="71A03A2B" w:rsidP="00A72E82">
            <w:pPr>
              <w:pStyle w:val="naisc"/>
              <w:rPr>
                <w:b/>
                <w:bCs/>
                <w:sz w:val="22"/>
                <w:szCs w:val="22"/>
              </w:rPr>
            </w:pPr>
            <w:r w:rsidRPr="00B90CD2">
              <w:rPr>
                <w:b/>
                <w:bCs/>
                <w:sz w:val="22"/>
                <w:szCs w:val="22"/>
              </w:rPr>
              <w:t>Ņemts vērā.</w:t>
            </w: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4836831" w14:textId="45037015" w:rsidR="00C051C9" w:rsidRPr="00B90CD2" w:rsidRDefault="00B710FA" w:rsidP="00B90CD2">
            <w:pPr>
              <w:spacing w:after="120"/>
              <w:jc w:val="both"/>
              <w:rPr>
                <w:sz w:val="22"/>
                <w:szCs w:val="22"/>
              </w:rPr>
            </w:pPr>
            <w:r w:rsidRPr="00B710FA">
              <w:rPr>
                <w:sz w:val="22"/>
                <w:szCs w:val="22"/>
              </w:rPr>
              <w:t xml:space="preserve">3.  Akciju sabiedrības “Latvenergo” valsts kapitāla daļu turētājam paredzēt dividendes maksāt atbilstoši vidēja termiņa darbības stratēģijai, paredzot, ka 2021.gadā dividendēs no 2020.gada pārskata gada peļņas izmaksāt ne mazāk kā 89 640 000 </w:t>
            </w:r>
            <w:proofErr w:type="spellStart"/>
            <w:r w:rsidRPr="00B710FA">
              <w:rPr>
                <w:sz w:val="22"/>
                <w:szCs w:val="22"/>
              </w:rPr>
              <w:t>euro</w:t>
            </w:r>
            <w:proofErr w:type="spellEnd"/>
            <w:r w:rsidRPr="00B710FA">
              <w:rPr>
                <w:sz w:val="22"/>
                <w:szCs w:val="22"/>
              </w:rPr>
              <w:t xml:space="preserve"> (ieskaitot uzņēmumu ienākuma nodokli), 2022.gadā no 2021.gada pārskata gada peļņas – ne mazāk kā 74 500 000 </w:t>
            </w:r>
            <w:proofErr w:type="spellStart"/>
            <w:r w:rsidRPr="00B710FA">
              <w:rPr>
                <w:sz w:val="22"/>
                <w:szCs w:val="22"/>
              </w:rPr>
              <w:t>euro</w:t>
            </w:r>
            <w:proofErr w:type="spellEnd"/>
            <w:r w:rsidRPr="00B710FA">
              <w:rPr>
                <w:sz w:val="22"/>
                <w:szCs w:val="22"/>
              </w:rPr>
              <w:t xml:space="preserve"> (ieskaitot uzņēmumu ienākuma nodokli), un 2023.gadā no 2022.gada pārskata gada peļņas – ne mazāk kā 74 500 000 </w:t>
            </w:r>
            <w:proofErr w:type="spellStart"/>
            <w:r w:rsidRPr="00B710FA">
              <w:rPr>
                <w:sz w:val="22"/>
                <w:szCs w:val="22"/>
              </w:rPr>
              <w:t>euro</w:t>
            </w:r>
            <w:proofErr w:type="spellEnd"/>
            <w:r w:rsidRPr="00B710FA">
              <w:rPr>
                <w:sz w:val="22"/>
                <w:szCs w:val="22"/>
              </w:rPr>
              <w:t xml:space="preserve"> (ieskaitot uzņēmumu ienākuma nodokli). Ja akciju sabiedrības “Latvenergo” kapitāla daļu turētājs lemj par lielāku dividenžu izmaksu 2021., 2022., vai 2023.gadā, piekrist šo dividenžu novirzīšanu dotācijai akciju sabiedrībai "Enerģijas publiskais tirgotājs" uzkrāto obligātā iepirkuma izmaksu samazinājumam.</w:t>
            </w:r>
          </w:p>
        </w:tc>
        <w:tc>
          <w:tcPr>
            <w:tcW w:w="1318" w:type="dxa"/>
          </w:tcPr>
          <w:p w14:paraId="1040CE42" w14:textId="77777777" w:rsidR="00C051C9" w:rsidRPr="009C6C86" w:rsidRDefault="00C051C9" w:rsidP="00C051C9">
            <w:pPr>
              <w:jc w:val="both"/>
              <w:rPr>
                <w:sz w:val="22"/>
                <w:szCs w:val="22"/>
              </w:rPr>
            </w:pPr>
          </w:p>
        </w:tc>
      </w:tr>
      <w:tr w:rsidR="00C051C9" w:rsidRPr="009C6C86" w14:paraId="1CDC3A26"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D2633FC" w14:textId="09F65603" w:rsidR="00C051C9" w:rsidRPr="009C6C86" w:rsidRDefault="008E4312" w:rsidP="008E4312">
            <w:pPr>
              <w:pStyle w:val="naisc"/>
              <w:rPr>
                <w:sz w:val="22"/>
                <w:szCs w:val="22"/>
              </w:rPr>
            </w:pPr>
            <w:r w:rsidRPr="009C6C86">
              <w:rPr>
                <w:sz w:val="22"/>
                <w:szCs w:val="22"/>
              </w:rPr>
              <w:lastRenderedPageBreak/>
              <w:t>12.</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F41054D" w14:textId="77777777" w:rsidR="00B7669E" w:rsidRPr="009C6C86" w:rsidRDefault="00B7669E" w:rsidP="00B7669E">
            <w:pPr>
              <w:shd w:val="clear" w:color="auto" w:fill="FFFFFF" w:themeFill="background1"/>
              <w:spacing w:after="120"/>
              <w:jc w:val="both"/>
              <w:rPr>
                <w:sz w:val="22"/>
                <w:szCs w:val="22"/>
              </w:rPr>
            </w:pPr>
            <w:r w:rsidRPr="009C6C86">
              <w:rPr>
                <w:sz w:val="22"/>
                <w:szCs w:val="22"/>
              </w:rPr>
              <w:t xml:space="preserve">Konceptuālā ziņojuma </w:t>
            </w:r>
            <w:r>
              <w:rPr>
                <w:sz w:val="22"/>
                <w:szCs w:val="22"/>
              </w:rPr>
              <w:t xml:space="preserve">rīkojuma </w:t>
            </w:r>
            <w:r w:rsidRPr="009C6C86">
              <w:rPr>
                <w:sz w:val="22"/>
                <w:szCs w:val="22"/>
              </w:rPr>
              <w:t>projekts</w:t>
            </w:r>
          </w:p>
          <w:p w14:paraId="4E363864" w14:textId="36856BAB" w:rsidR="00C051C9" w:rsidRPr="009C6C86" w:rsidRDefault="00C051C9" w:rsidP="00C051C9">
            <w:pPr>
              <w:spacing w:after="120"/>
              <w:rPr>
                <w:rFonts w:eastAsia="Calibri"/>
                <w:sz w:val="22"/>
                <w:szCs w:val="22"/>
              </w:rPr>
            </w:pPr>
            <w:r w:rsidRPr="009C6C86">
              <w:rPr>
                <w:noProof/>
                <w:sz w:val="22"/>
                <w:szCs w:val="22"/>
              </w:rPr>
              <w:t>6</w:t>
            </w:r>
            <w:r w:rsidRPr="009C6C86">
              <w:rPr>
                <w:rFonts w:eastAsia="Calibri"/>
                <w:sz w:val="22"/>
                <w:szCs w:val="22"/>
              </w:rPr>
              <w:t>. Finanšu ministrijai aktualizēt valsts pamatbudžeta ieņēmumus, paredzot</w:t>
            </w:r>
            <w:r w:rsidRPr="009C6C86">
              <w:rPr>
                <w:noProof/>
                <w:sz w:val="22"/>
                <w:szCs w:val="22"/>
              </w:rPr>
              <w:t xml:space="preserve"> akciju sabiedrības “Latvenergo” </w:t>
            </w:r>
            <w:r w:rsidRPr="009C6C86">
              <w:rPr>
                <w:rFonts w:eastAsia="Calibri"/>
                <w:sz w:val="22"/>
                <w:szCs w:val="22"/>
              </w:rPr>
              <w:t xml:space="preserve">maksājumu prognozi par valsts kapitāla izmantošanu 2021.gadā – </w:t>
            </w:r>
            <w:r w:rsidRPr="009C6C86">
              <w:rPr>
                <w:sz w:val="22"/>
                <w:szCs w:val="22"/>
              </w:rPr>
              <w:t xml:space="preserve">74 513 776 </w:t>
            </w:r>
            <w:proofErr w:type="spellStart"/>
            <w:r w:rsidRPr="009C6C86">
              <w:rPr>
                <w:rFonts w:eastAsia="Calibri"/>
                <w:i/>
                <w:iCs/>
                <w:sz w:val="22"/>
                <w:szCs w:val="22"/>
              </w:rPr>
              <w:t>euro</w:t>
            </w:r>
            <w:proofErr w:type="spellEnd"/>
            <w:r w:rsidRPr="009C6C86">
              <w:rPr>
                <w:rFonts w:eastAsia="Calibri"/>
                <w:sz w:val="22"/>
                <w:szCs w:val="22"/>
              </w:rPr>
              <w:t xml:space="preserve">, 2022.gadā – </w:t>
            </w:r>
            <w:r w:rsidRPr="009C6C86">
              <w:rPr>
                <w:sz w:val="22"/>
                <w:szCs w:val="22"/>
              </w:rPr>
              <w:t xml:space="preserve">74 513 776 </w:t>
            </w:r>
            <w:proofErr w:type="spellStart"/>
            <w:r w:rsidRPr="009C6C86">
              <w:rPr>
                <w:rFonts w:eastAsia="Calibri"/>
                <w:i/>
                <w:iCs/>
                <w:sz w:val="22"/>
                <w:szCs w:val="22"/>
              </w:rPr>
              <w:t>euro</w:t>
            </w:r>
            <w:proofErr w:type="spellEnd"/>
            <w:r w:rsidRPr="009C6C86">
              <w:rPr>
                <w:rFonts w:eastAsia="Calibri"/>
                <w:sz w:val="22"/>
                <w:szCs w:val="22"/>
              </w:rPr>
              <w:t xml:space="preserve"> un 2023.gadā – </w:t>
            </w:r>
            <w:r w:rsidRPr="009C6C86">
              <w:rPr>
                <w:sz w:val="22"/>
                <w:szCs w:val="22"/>
              </w:rPr>
              <w:t xml:space="preserve">74 513 776 </w:t>
            </w:r>
            <w:proofErr w:type="spellStart"/>
            <w:r w:rsidRPr="009C6C86">
              <w:rPr>
                <w:rFonts w:eastAsia="Calibri"/>
                <w:i/>
                <w:iCs/>
                <w:sz w:val="22"/>
                <w:szCs w:val="22"/>
              </w:rPr>
              <w:t>euro</w:t>
            </w:r>
            <w:proofErr w:type="spellEnd"/>
            <w:r w:rsidRPr="009C6C86">
              <w:rPr>
                <w:rFonts w:eastAsia="Calibri"/>
                <w:sz w:val="22"/>
                <w:szCs w:val="22"/>
              </w:rPr>
              <w:t>.</w:t>
            </w:r>
          </w:p>
          <w:p w14:paraId="2106DC9C" w14:textId="083B9001" w:rsidR="00C051C9" w:rsidRPr="009C6C86" w:rsidRDefault="00C051C9" w:rsidP="00C051C9">
            <w:pPr>
              <w:jc w:val="both"/>
              <w:rPr>
                <w:sz w:val="22"/>
                <w:szCs w:val="22"/>
              </w:rPr>
            </w:pP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77CF9A7" w14:textId="77777777" w:rsidR="00C051C9" w:rsidRPr="009C6C86" w:rsidRDefault="00C051C9" w:rsidP="00C051C9">
            <w:pPr>
              <w:spacing w:line="252" w:lineRule="auto"/>
              <w:jc w:val="center"/>
              <w:rPr>
                <w:b/>
                <w:bCs/>
                <w:sz w:val="22"/>
                <w:szCs w:val="22"/>
              </w:rPr>
            </w:pPr>
            <w:proofErr w:type="spellStart"/>
            <w:r w:rsidRPr="009C6C86">
              <w:rPr>
                <w:b/>
                <w:bCs/>
                <w:sz w:val="22"/>
                <w:szCs w:val="22"/>
              </w:rPr>
              <w:t>Pārresoru</w:t>
            </w:r>
            <w:proofErr w:type="spellEnd"/>
            <w:r w:rsidRPr="009C6C86">
              <w:rPr>
                <w:b/>
                <w:bCs/>
                <w:sz w:val="22"/>
                <w:szCs w:val="22"/>
              </w:rPr>
              <w:t xml:space="preserve"> koordinācijas centrs (25.08.2020)</w:t>
            </w:r>
          </w:p>
          <w:p w14:paraId="4E5913EE" w14:textId="6433433F" w:rsidR="00C051C9" w:rsidRPr="009C6C86" w:rsidRDefault="34925988" w:rsidP="00C051C9">
            <w:pPr>
              <w:jc w:val="both"/>
              <w:rPr>
                <w:sz w:val="22"/>
                <w:szCs w:val="22"/>
              </w:rPr>
            </w:pPr>
            <w:r w:rsidRPr="009C6C86">
              <w:rPr>
                <w:sz w:val="22"/>
                <w:szCs w:val="22"/>
              </w:rPr>
              <w:t xml:space="preserve">7. Lūdzam MK rīkojuma projekta 6.punktu izteikt šādā redakcijā: </w:t>
            </w:r>
            <w:r w:rsidRPr="009C6C86">
              <w:rPr>
                <w:i/>
                <w:iCs/>
                <w:sz w:val="22"/>
                <w:szCs w:val="22"/>
              </w:rPr>
              <w:t xml:space="preserve">“Finanšu ministrijai aktualizēt valsts pamatbudžeta ieņēmumus, paredzot akciju sabiedrības “Latvenergo” dividenžu maksājumus, tajā skaitā uzņēmuma ienākuma nodokli, saskaņā ar kapitālsabiedrības apstiprināto vidēja termiņa darbības stratēģiju, paredzot 2021.gadā - ne mazāk kā 74 513 776 </w:t>
            </w:r>
            <w:proofErr w:type="spellStart"/>
            <w:r w:rsidRPr="009C6C86">
              <w:rPr>
                <w:i/>
                <w:iCs/>
                <w:sz w:val="22"/>
                <w:szCs w:val="22"/>
              </w:rPr>
              <w:t>euro</w:t>
            </w:r>
            <w:proofErr w:type="spellEnd"/>
            <w:r w:rsidRPr="009C6C86">
              <w:rPr>
                <w:i/>
                <w:iCs/>
                <w:sz w:val="22"/>
                <w:szCs w:val="22"/>
              </w:rPr>
              <w:t xml:space="preserve"> (ieskaitot uzņēmumu ienākuma nodokli), 2022.gadā - ne mazāk kā 74 513 776 </w:t>
            </w:r>
            <w:proofErr w:type="spellStart"/>
            <w:r w:rsidRPr="009C6C86">
              <w:rPr>
                <w:i/>
                <w:iCs/>
                <w:sz w:val="22"/>
                <w:szCs w:val="22"/>
              </w:rPr>
              <w:t>euro</w:t>
            </w:r>
            <w:proofErr w:type="spellEnd"/>
            <w:r w:rsidRPr="009C6C86">
              <w:rPr>
                <w:i/>
                <w:iCs/>
                <w:sz w:val="22"/>
                <w:szCs w:val="22"/>
              </w:rPr>
              <w:t> (ieskaitot uzņēmumu ienākuma nodokli) un par 2023.gadā - ne mazāk kā 74 513 776  </w:t>
            </w:r>
            <w:proofErr w:type="spellStart"/>
            <w:r w:rsidRPr="009C6C86">
              <w:rPr>
                <w:i/>
                <w:iCs/>
                <w:sz w:val="22"/>
                <w:szCs w:val="22"/>
              </w:rPr>
              <w:t>euro</w:t>
            </w:r>
            <w:proofErr w:type="spellEnd"/>
            <w:r w:rsidRPr="009C6C86">
              <w:rPr>
                <w:i/>
                <w:iCs/>
                <w:sz w:val="22"/>
                <w:szCs w:val="22"/>
              </w:rPr>
              <w:t>.”</w:t>
            </w:r>
            <w:r w:rsidRPr="009C6C86">
              <w:rPr>
                <w:sz w:val="22"/>
                <w:szCs w:val="22"/>
              </w:rPr>
              <w:t> </w:t>
            </w:r>
          </w:p>
          <w:p w14:paraId="79E203EE" w14:textId="0777D1A5" w:rsidR="00C051C9" w:rsidRPr="009C6C86" w:rsidRDefault="00C051C9" w:rsidP="23CB995B">
            <w:pPr>
              <w:pStyle w:val="Default"/>
              <w:spacing w:line="276" w:lineRule="auto"/>
              <w:jc w:val="both"/>
              <w:rPr>
                <w:rFonts w:ascii="Times New Roman" w:hAnsi="Times New Roman" w:cs="Times New Roman"/>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EA30D31" w14:textId="77777777" w:rsidR="00C051C9" w:rsidRDefault="7E08B3AB" w:rsidP="00A72E82">
            <w:pPr>
              <w:pStyle w:val="naisc"/>
              <w:rPr>
                <w:b/>
                <w:bCs/>
                <w:sz w:val="22"/>
                <w:szCs w:val="22"/>
              </w:rPr>
            </w:pPr>
            <w:r w:rsidRPr="00F85B1A">
              <w:rPr>
                <w:b/>
                <w:bCs/>
                <w:sz w:val="22"/>
                <w:szCs w:val="22"/>
              </w:rPr>
              <w:t>Ņemts vērā</w:t>
            </w:r>
            <w:r w:rsidR="38C8773D" w:rsidRPr="00F85B1A">
              <w:rPr>
                <w:b/>
                <w:bCs/>
                <w:sz w:val="22"/>
                <w:szCs w:val="22"/>
              </w:rPr>
              <w:t>.</w:t>
            </w:r>
          </w:p>
          <w:p w14:paraId="7EF72BA0" w14:textId="429C102F" w:rsidR="00B7669E" w:rsidRPr="009C6C86" w:rsidRDefault="00B7669E" w:rsidP="00A72E82">
            <w:pPr>
              <w:pStyle w:val="naisc"/>
              <w:rPr>
                <w:b/>
                <w:bCs/>
                <w:sz w:val="22"/>
                <w:szCs w:val="22"/>
              </w:rPr>
            </w:pP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3196173" w14:textId="208C54C0" w:rsidR="00C051C9" w:rsidRPr="009C6C86" w:rsidRDefault="00FF4180" w:rsidP="6109C101">
            <w:pPr>
              <w:jc w:val="both"/>
              <w:rPr>
                <w:sz w:val="22"/>
                <w:szCs w:val="22"/>
              </w:rPr>
            </w:pPr>
            <w:r w:rsidRPr="00FF4180">
              <w:rPr>
                <w:sz w:val="22"/>
                <w:szCs w:val="22"/>
              </w:rPr>
              <w:t xml:space="preserve">4.  Finanšu ministrijai aktualizēt valsts pamatbudžeta ieņēmumus, paredzot akciju sabiedrības “Latvenergo” dividenžu maksājumus, tajā skaitā uzņēmuma ienākuma nodokli, saskaņā ar kapitālsabiedrības apstiprināto vidēja termiņa darbības stratēģiju, paredzot 2021.gadā - ne mazāk kā 89 640 000 </w:t>
            </w:r>
            <w:proofErr w:type="spellStart"/>
            <w:r w:rsidRPr="00FF4180">
              <w:rPr>
                <w:sz w:val="22"/>
                <w:szCs w:val="22"/>
              </w:rPr>
              <w:t>euro</w:t>
            </w:r>
            <w:proofErr w:type="spellEnd"/>
            <w:r w:rsidRPr="00FF4180">
              <w:rPr>
                <w:sz w:val="22"/>
                <w:szCs w:val="22"/>
              </w:rPr>
              <w:t xml:space="preserve"> (ieskaitot uzņēmumu ienākuma nodokli), 2022.gadā - ne mazāk kā 74 500 000 </w:t>
            </w:r>
            <w:proofErr w:type="spellStart"/>
            <w:r w:rsidRPr="00FF4180">
              <w:rPr>
                <w:sz w:val="22"/>
                <w:szCs w:val="22"/>
              </w:rPr>
              <w:t>euro</w:t>
            </w:r>
            <w:proofErr w:type="spellEnd"/>
            <w:r w:rsidRPr="00FF4180">
              <w:rPr>
                <w:sz w:val="22"/>
                <w:szCs w:val="22"/>
              </w:rPr>
              <w:t xml:space="preserve"> (ieskaitot uzņēmumu ienākuma nodokli) un par 2023.gadā - ne mazāk kā 74 500 000  </w:t>
            </w:r>
            <w:proofErr w:type="spellStart"/>
            <w:r w:rsidRPr="00FF4180">
              <w:rPr>
                <w:sz w:val="22"/>
                <w:szCs w:val="22"/>
              </w:rPr>
              <w:t>euro</w:t>
            </w:r>
            <w:proofErr w:type="spellEnd"/>
            <w:r w:rsidRPr="00FF4180">
              <w:rPr>
                <w:sz w:val="22"/>
                <w:szCs w:val="22"/>
              </w:rPr>
              <w:t>.</w:t>
            </w:r>
          </w:p>
        </w:tc>
        <w:tc>
          <w:tcPr>
            <w:tcW w:w="1318" w:type="dxa"/>
          </w:tcPr>
          <w:p w14:paraId="1085ABF5" w14:textId="62FF0D18" w:rsidR="00C051C9" w:rsidRPr="009C6C86" w:rsidRDefault="00C051C9" w:rsidP="00C051C9">
            <w:pPr>
              <w:jc w:val="both"/>
              <w:rPr>
                <w:sz w:val="22"/>
                <w:szCs w:val="22"/>
              </w:rPr>
            </w:pPr>
          </w:p>
        </w:tc>
      </w:tr>
      <w:tr w:rsidR="00C051C9" w:rsidRPr="009C6C86" w14:paraId="17062159"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4236014" w14:textId="19A3B374" w:rsidR="00C051C9" w:rsidRPr="009C6C86" w:rsidRDefault="24994CF6" w:rsidP="00C051C9">
            <w:pPr>
              <w:pStyle w:val="naisc"/>
              <w:spacing w:before="0" w:after="0"/>
              <w:ind w:left="425"/>
              <w:jc w:val="left"/>
              <w:rPr>
                <w:sz w:val="22"/>
                <w:szCs w:val="22"/>
              </w:rPr>
            </w:pPr>
            <w:r w:rsidRPr="009C6C86">
              <w:rPr>
                <w:sz w:val="22"/>
                <w:szCs w:val="22"/>
              </w:rPr>
              <w:t>13.</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C299C07" w14:textId="3DB58E5C" w:rsidR="00C051C9" w:rsidRPr="009C6C86" w:rsidRDefault="007558C6" w:rsidP="00C051C9">
            <w:pPr>
              <w:shd w:val="clear" w:color="auto" w:fill="FFFFFF"/>
              <w:spacing w:after="120"/>
              <w:jc w:val="both"/>
              <w:rPr>
                <w:sz w:val="22"/>
                <w:szCs w:val="22"/>
              </w:rPr>
            </w:pPr>
            <w:r>
              <w:rPr>
                <w:sz w:val="22"/>
                <w:szCs w:val="22"/>
              </w:rPr>
              <w:t>Konceptuālā ziņojuma projekts</w:t>
            </w: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154CCB4" w14:textId="122095F8" w:rsidR="00C051C9" w:rsidRPr="009C6C86" w:rsidRDefault="56185F8B" w:rsidP="23CB995B">
            <w:pPr>
              <w:spacing w:after="160" w:line="252" w:lineRule="auto"/>
              <w:contextualSpacing/>
              <w:jc w:val="center"/>
              <w:rPr>
                <w:b/>
                <w:bCs/>
                <w:sz w:val="22"/>
                <w:szCs w:val="22"/>
              </w:rPr>
            </w:pPr>
            <w:r w:rsidRPr="009C6C86">
              <w:rPr>
                <w:b/>
                <w:bCs/>
                <w:sz w:val="22"/>
                <w:szCs w:val="22"/>
              </w:rPr>
              <w:t>Finanšu ministrija (28.08.2020)</w:t>
            </w:r>
          </w:p>
          <w:p w14:paraId="0B5508A3" w14:textId="5A51C7E6" w:rsidR="00C051C9" w:rsidRPr="009C6C86" w:rsidRDefault="56185F8B" w:rsidP="00C051C9">
            <w:pPr>
              <w:spacing w:after="160" w:line="252" w:lineRule="auto"/>
              <w:contextualSpacing/>
              <w:jc w:val="both"/>
              <w:rPr>
                <w:sz w:val="22"/>
                <w:szCs w:val="22"/>
              </w:rPr>
            </w:pPr>
            <w:r w:rsidRPr="009C6C86">
              <w:rPr>
                <w:sz w:val="22"/>
                <w:szCs w:val="22"/>
              </w:rPr>
              <w:t xml:space="preserve">1. Ņemot vērā, ka obligātā iepirkuma komponenti (turpmāk - OIK) kā tāds netiek atcelts nevienā no scenārijiem, proti, atbalsts elektroenerģijas obligātā iepirkuma ietvaros tiks sniegts konkrētiem elektroenerģijas ražotājiem, neatkarīgi no tā, vai izmaksas tiks segtas no elektroenerģijas patērētāju maksām, no valsts budžeta vai AS “Latvenergo” dividendēm, lūdzam viennozīmīgai uztverei konceptuālajā </w:t>
            </w:r>
            <w:r w:rsidRPr="0059136B">
              <w:rPr>
                <w:sz w:val="22"/>
                <w:szCs w:val="22"/>
              </w:rPr>
              <w:t>ziņojumā nelietot jēdzienu “OIK atcelšana”, bet</w:t>
            </w:r>
            <w:r w:rsidRPr="009C6C86">
              <w:rPr>
                <w:sz w:val="22"/>
                <w:szCs w:val="22"/>
              </w:rPr>
              <w:t xml:space="preserve"> lietot terminus atbilstošas konkrētajai situācijai. Vienlaikus vēršam uzmanību, ka neatkarīgi no tā, vai izmaksas</w:t>
            </w:r>
            <w:r w:rsidRPr="009C6C86">
              <w:rPr>
                <w:color w:val="1F487C"/>
                <w:sz w:val="22"/>
                <w:szCs w:val="22"/>
              </w:rPr>
              <w:t>,</w:t>
            </w:r>
            <w:r w:rsidRPr="009C6C86">
              <w:rPr>
                <w:sz w:val="22"/>
                <w:szCs w:val="22"/>
              </w:rPr>
              <w:t xml:space="preserve"> sniedzot atbalstu elektroenerģijas ražotājiem obligātā iepirkuma ietvaros, tiks segtas no elektroenerģijas patērētāju maksām, no valsts budžeta vai AS “Latvenergo” </w:t>
            </w:r>
            <w:r w:rsidRPr="009C6C86">
              <w:rPr>
                <w:sz w:val="22"/>
                <w:szCs w:val="22"/>
              </w:rPr>
              <w:lastRenderedPageBreak/>
              <w:t xml:space="preserve">dividendēm, tās kvalificējas kā publiskie resursi, attiecīgi secināms ka OIK shēma turpinās darboties. </w:t>
            </w:r>
          </w:p>
          <w:p w14:paraId="31382232" w14:textId="122095F8" w:rsidR="00C051C9" w:rsidRPr="009C6C86" w:rsidRDefault="00C051C9" w:rsidP="007558C6">
            <w:pPr>
              <w:spacing w:after="160" w:line="252" w:lineRule="auto"/>
              <w:jc w:val="both"/>
              <w:rPr>
                <w:rFonts w:eastAsia="Calibri"/>
                <w:b/>
                <w:bCs/>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87374B8" w14:textId="34DA63A1" w:rsidR="00C051C9" w:rsidRDefault="0109AC74" w:rsidP="00C051C9">
            <w:pPr>
              <w:pStyle w:val="naisc"/>
              <w:spacing w:before="0" w:after="0"/>
              <w:rPr>
                <w:b/>
                <w:bCs/>
                <w:sz w:val="22"/>
                <w:szCs w:val="22"/>
              </w:rPr>
            </w:pPr>
            <w:r w:rsidRPr="4477E123">
              <w:rPr>
                <w:b/>
                <w:bCs/>
                <w:sz w:val="22"/>
                <w:szCs w:val="22"/>
              </w:rPr>
              <w:lastRenderedPageBreak/>
              <w:t>Ņ</w:t>
            </w:r>
            <w:r w:rsidR="00AE43FA" w:rsidRPr="4477E123">
              <w:rPr>
                <w:b/>
                <w:bCs/>
                <w:sz w:val="22"/>
                <w:szCs w:val="22"/>
              </w:rPr>
              <w:t>emts vērā</w:t>
            </w:r>
            <w:r w:rsidR="00B90CD2">
              <w:rPr>
                <w:b/>
                <w:bCs/>
                <w:sz w:val="22"/>
                <w:szCs w:val="22"/>
              </w:rPr>
              <w:t>.</w:t>
            </w:r>
          </w:p>
          <w:p w14:paraId="5184B35A" w14:textId="3247C12F" w:rsidR="00AE43FA" w:rsidRPr="00AA61CC" w:rsidRDefault="00FF4180" w:rsidP="007558C6">
            <w:pPr>
              <w:pStyle w:val="naisc"/>
              <w:spacing w:before="0" w:after="0"/>
              <w:jc w:val="both"/>
              <w:rPr>
                <w:sz w:val="22"/>
                <w:szCs w:val="22"/>
              </w:rPr>
            </w:pPr>
            <w:r w:rsidRPr="0059136B">
              <w:rPr>
                <w:sz w:val="22"/>
                <w:szCs w:val="22"/>
              </w:rPr>
              <w:t>4.scenārijs precizēts “OIK atcelšanas no patērētāju rēķiniem scenārijs”.</w:t>
            </w: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AE15FB4" w14:textId="09A9B290" w:rsidR="00C051C9" w:rsidRPr="0059136B" w:rsidRDefault="00FF4180" w:rsidP="0059136B">
            <w:pPr>
              <w:pStyle w:val="Heading2"/>
              <w:shd w:val="clear" w:color="auto" w:fill="FFFFFF" w:themeFill="background1"/>
              <w:spacing w:before="40" w:after="120"/>
              <w:jc w:val="both"/>
              <w:rPr>
                <w:rFonts w:ascii="Times New Roman" w:hAnsi="Times New Roman" w:cs="Times New Roman"/>
                <w:b w:val="0"/>
                <w:bCs w:val="0"/>
                <w:sz w:val="22"/>
                <w:szCs w:val="22"/>
              </w:rPr>
            </w:pPr>
            <w:r w:rsidRPr="00FF4180">
              <w:rPr>
                <w:rFonts w:ascii="Times New Roman" w:hAnsi="Times New Roman" w:cs="Times New Roman"/>
                <w:b w:val="0"/>
                <w:bCs w:val="0"/>
                <w:color w:val="auto"/>
                <w:sz w:val="22"/>
                <w:szCs w:val="22"/>
              </w:rPr>
              <w:t>Konceptuālā ziņojuma projekts</w:t>
            </w:r>
          </w:p>
        </w:tc>
        <w:tc>
          <w:tcPr>
            <w:tcW w:w="1318" w:type="dxa"/>
          </w:tcPr>
          <w:p w14:paraId="63217EB0" w14:textId="13F1063C" w:rsidR="007558C6" w:rsidRPr="009C6C86" w:rsidRDefault="007558C6" w:rsidP="00C051C9">
            <w:pPr>
              <w:jc w:val="both"/>
              <w:rPr>
                <w:sz w:val="22"/>
                <w:szCs w:val="22"/>
              </w:rPr>
            </w:pPr>
          </w:p>
        </w:tc>
      </w:tr>
      <w:tr w:rsidR="00C051C9" w:rsidRPr="009C6C86" w14:paraId="7D23536F"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4DDF4EC" w14:textId="76A3DBAA" w:rsidR="00C051C9" w:rsidRPr="009C6C86" w:rsidRDefault="56185F8B" w:rsidP="00C051C9">
            <w:pPr>
              <w:pStyle w:val="naisc"/>
              <w:spacing w:before="0" w:after="0"/>
              <w:ind w:left="425"/>
              <w:jc w:val="left"/>
              <w:rPr>
                <w:sz w:val="22"/>
                <w:szCs w:val="22"/>
              </w:rPr>
            </w:pPr>
            <w:r w:rsidRPr="009C6C86">
              <w:rPr>
                <w:sz w:val="22"/>
                <w:szCs w:val="22"/>
              </w:rPr>
              <w:t>14.</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209CF4A" w14:textId="4891335E" w:rsidR="00C051C9" w:rsidRPr="009C6C86" w:rsidRDefault="0059136B" w:rsidP="00C051C9">
            <w:pPr>
              <w:shd w:val="clear" w:color="auto" w:fill="FFFFFF"/>
              <w:spacing w:after="120"/>
              <w:jc w:val="both"/>
              <w:rPr>
                <w:sz w:val="22"/>
                <w:szCs w:val="22"/>
              </w:rPr>
            </w:pPr>
            <w:r>
              <w:rPr>
                <w:sz w:val="22"/>
                <w:szCs w:val="22"/>
              </w:rPr>
              <w:t>Konceptuālā ziņojuma projekts</w:t>
            </w: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F0FF6C6" w14:textId="122095F8" w:rsidR="00C051C9" w:rsidRPr="009C6C86" w:rsidRDefault="56185F8B" w:rsidP="23CB995B">
            <w:pPr>
              <w:spacing w:after="160" w:line="252" w:lineRule="auto"/>
              <w:jc w:val="center"/>
              <w:rPr>
                <w:b/>
                <w:bCs/>
                <w:sz w:val="22"/>
                <w:szCs w:val="22"/>
              </w:rPr>
            </w:pPr>
            <w:r w:rsidRPr="009C6C86">
              <w:rPr>
                <w:b/>
                <w:bCs/>
                <w:sz w:val="22"/>
                <w:szCs w:val="22"/>
              </w:rPr>
              <w:t>Finanšu ministrija (28.08.2020)</w:t>
            </w:r>
          </w:p>
          <w:p w14:paraId="45908D75" w14:textId="122095F8" w:rsidR="00C051C9" w:rsidRPr="009C6C86" w:rsidRDefault="56185F8B" w:rsidP="23CB995B">
            <w:pPr>
              <w:spacing w:line="252" w:lineRule="auto"/>
              <w:jc w:val="both"/>
              <w:rPr>
                <w:color w:val="1F4E79"/>
                <w:sz w:val="22"/>
                <w:szCs w:val="22"/>
              </w:rPr>
            </w:pPr>
            <w:r w:rsidRPr="009C6C86">
              <w:rPr>
                <w:sz w:val="22"/>
                <w:szCs w:val="22"/>
              </w:rPr>
              <w:t xml:space="preserve">2. Lai novērtētu aprēķinu korektumu un sekojoši ietekmi uz vispārējās valdības budžeta bilanci, </w:t>
            </w:r>
            <w:r w:rsidRPr="0059136B">
              <w:rPr>
                <w:sz w:val="22"/>
                <w:szCs w:val="22"/>
              </w:rPr>
              <w:t>lūdzam sniegt detalizētus aprēķinus par konceptuālajā ziņojumā ietverto tabulu pozīcijas “Valsts atbalsta dotācija elektroenerģijas ražotājiem, t.sk. administrēšanas vajadzībām (Ietekme)” prognozēm. Vienlaicīgi identificējam, ka prognozes 2021</w:t>
            </w:r>
            <w:r w:rsidRPr="009C6C86">
              <w:rPr>
                <w:sz w:val="22"/>
                <w:szCs w:val="22"/>
              </w:rPr>
              <w:t>. un 2022.gadam būtiski atšķiras no Finanšu ministrijā 2020.gada jūlija vidū iesniegtajām prognozēm par obligātā iepirkuma ietvaros administrētajām ieņēmumu un izdevumu plūsmām, tādējādi lūdzam sniegt skaidrojumu par prognožu izmaiņām.</w:t>
            </w:r>
          </w:p>
          <w:p w14:paraId="1D61FD49" w14:textId="122095F8" w:rsidR="00C051C9" w:rsidRPr="009C6C86" w:rsidRDefault="00C051C9" w:rsidP="23CB995B">
            <w:pPr>
              <w:jc w:val="both"/>
              <w:rPr>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4822A2C" w14:textId="131F63E6" w:rsidR="00496E0E" w:rsidRDefault="00496E0E" w:rsidP="2DB3DE39">
            <w:pPr>
              <w:pStyle w:val="NormalWeb"/>
              <w:spacing w:before="0" w:beforeAutospacing="0"/>
              <w:jc w:val="center"/>
              <w:rPr>
                <w:b/>
                <w:bCs/>
                <w:sz w:val="22"/>
                <w:szCs w:val="22"/>
              </w:rPr>
            </w:pPr>
            <w:r>
              <w:rPr>
                <w:b/>
                <w:bCs/>
                <w:sz w:val="22"/>
                <w:szCs w:val="22"/>
              </w:rPr>
              <w:t>Ņemts vērā</w:t>
            </w:r>
            <w:r w:rsidR="0059136B">
              <w:rPr>
                <w:b/>
                <w:bCs/>
                <w:sz w:val="22"/>
                <w:szCs w:val="22"/>
              </w:rPr>
              <w:t>.</w:t>
            </w:r>
          </w:p>
          <w:p w14:paraId="6A015C4F" w14:textId="5366DBCE" w:rsidR="00496E0E" w:rsidRPr="00CB3E7A" w:rsidRDefault="00CB3E7A" w:rsidP="0059136B">
            <w:pPr>
              <w:pStyle w:val="NormalWeb"/>
              <w:spacing w:before="0" w:beforeAutospacing="0"/>
              <w:jc w:val="both"/>
              <w:rPr>
                <w:sz w:val="22"/>
                <w:szCs w:val="22"/>
              </w:rPr>
            </w:pPr>
            <w:r w:rsidRPr="4477E123">
              <w:rPr>
                <w:sz w:val="22"/>
                <w:szCs w:val="22"/>
              </w:rPr>
              <w:t xml:space="preserve">Finanšu ministrijā iesniegtās prognozes sakrīt ar ziņojuma projekta 2.scenāriju, izņemot attiecībā uz to, ka šajā scenārijā piedāvāts turpināt </w:t>
            </w:r>
            <w:proofErr w:type="spellStart"/>
            <w:r w:rsidRPr="4477E123">
              <w:rPr>
                <w:sz w:val="22"/>
                <w:szCs w:val="22"/>
              </w:rPr>
              <w:t>energointensīvo</w:t>
            </w:r>
            <w:proofErr w:type="spellEnd"/>
            <w:r w:rsidRPr="4477E123">
              <w:rPr>
                <w:sz w:val="22"/>
                <w:szCs w:val="22"/>
              </w:rPr>
              <w:t xml:space="preserve"> atbalstu arī par 2021. un 2022. gada patēriņu, t.i. izmaksas sedzot 2022. un 2023.gadā. Atšķirības citos scenārijos ir skaidrojamas ar atšķirīgajām OIK likmēm, kas sekojoši maina OIK neto ieņēmumus.</w:t>
            </w:r>
          </w:p>
          <w:p w14:paraId="7228BD95" w14:textId="2464B25F" w:rsidR="00C051C9" w:rsidRPr="009C6C86" w:rsidRDefault="00C051C9" w:rsidP="2DB3DE39">
            <w:pPr>
              <w:pStyle w:val="NormalWeb"/>
              <w:spacing w:before="0" w:beforeAutospacing="0"/>
              <w:jc w:val="center"/>
              <w:rPr>
                <w:b/>
                <w:bCs/>
                <w:sz w:val="22"/>
                <w:szCs w:val="22"/>
              </w:rPr>
            </w:pPr>
          </w:p>
          <w:p w14:paraId="533EA439" w14:textId="7072239E" w:rsidR="00C051C9" w:rsidRPr="009C6C86" w:rsidRDefault="00C051C9" w:rsidP="00CB3E7A">
            <w:pPr>
              <w:pStyle w:val="NormalWeb"/>
              <w:spacing w:before="0" w:beforeAutospacing="0"/>
              <w:rPr>
                <w:b/>
                <w:bCs/>
                <w:sz w:val="22"/>
                <w:szCs w:val="22"/>
              </w:rPr>
            </w:pP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52EFC38" w14:textId="16CD3496" w:rsidR="00C051C9" w:rsidRPr="009C6C86" w:rsidRDefault="00FF4180" w:rsidP="47C7E64A">
            <w:pPr>
              <w:shd w:val="clear" w:color="auto" w:fill="FFFFFF" w:themeFill="background1"/>
              <w:spacing w:after="120"/>
              <w:jc w:val="both"/>
              <w:rPr>
                <w:sz w:val="22"/>
                <w:szCs w:val="22"/>
                <w:highlight w:val="green"/>
              </w:rPr>
            </w:pPr>
            <w:r>
              <w:rPr>
                <w:sz w:val="22"/>
                <w:szCs w:val="22"/>
              </w:rPr>
              <w:t>Konceptuālā ziņojuma projekts</w:t>
            </w:r>
          </w:p>
        </w:tc>
        <w:tc>
          <w:tcPr>
            <w:tcW w:w="1318" w:type="dxa"/>
          </w:tcPr>
          <w:p w14:paraId="168EBE32" w14:textId="77777777" w:rsidR="00C051C9" w:rsidRPr="009C6C86" w:rsidRDefault="00C051C9" w:rsidP="00C051C9">
            <w:pPr>
              <w:jc w:val="both"/>
              <w:rPr>
                <w:sz w:val="22"/>
                <w:szCs w:val="22"/>
              </w:rPr>
            </w:pPr>
          </w:p>
        </w:tc>
      </w:tr>
      <w:tr w:rsidR="00C051C9" w:rsidRPr="009C6C86" w14:paraId="00949111"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24DAE8D" w14:textId="595E2706" w:rsidR="00C051C9" w:rsidRPr="009C6C86" w:rsidRDefault="027DD429" w:rsidP="00C051C9">
            <w:pPr>
              <w:pStyle w:val="naisc"/>
              <w:spacing w:before="0" w:after="0"/>
              <w:ind w:left="425"/>
              <w:jc w:val="left"/>
              <w:rPr>
                <w:sz w:val="22"/>
                <w:szCs w:val="22"/>
              </w:rPr>
            </w:pPr>
            <w:r w:rsidRPr="009C6C86">
              <w:rPr>
                <w:sz w:val="22"/>
                <w:szCs w:val="22"/>
              </w:rPr>
              <w:t>15.</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92E534D" w14:textId="056C6B27" w:rsidR="00C051C9" w:rsidRPr="009C6C86" w:rsidRDefault="0059136B" w:rsidP="00C051C9">
            <w:pPr>
              <w:shd w:val="clear" w:color="auto" w:fill="FFFFFF"/>
              <w:spacing w:after="120"/>
              <w:jc w:val="both"/>
              <w:rPr>
                <w:sz w:val="22"/>
                <w:szCs w:val="22"/>
              </w:rPr>
            </w:pPr>
            <w:r>
              <w:rPr>
                <w:sz w:val="22"/>
                <w:szCs w:val="22"/>
              </w:rPr>
              <w:t>Konceptuālā ziņojuma projekts</w:t>
            </w: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CC4EADD" w14:textId="122095F8" w:rsidR="00C051C9" w:rsidRPr="009C6C86" w:rsidRDefault="56185F8B" w:rsidP="23CB995B">
            <w:pPr>
              <w:spacing w:after="160" w:line="252" w:lineRule="auto"/>
              <w:jc w:val="center"/>
              <w:rPr>
                <w:b/>
                <w:bCs/>
                <w:sz w:val="22"/>
                <w:szCs w:val="22"/>
              </w:rPr>
            </w:pPr>
            <w:r w:rsidRPr="009C6C86">
              <w:rPr>
                <w:b/>
                <w:bCs/>
                <w:sz w:val="22"/>
                <w:szCs w:val="22"/>
              </w:rPr>
              <w:t>Finanšu ministrija (28.08.2020)</w:t>
            </w:r>
          </w:p>
          <w:p w14:paraId="067792B0" w14:textId="122095F8" w:rsidR="00C051C9" w:rsidRPr="009C6C86" w:rsidRDefault="56185F8B" w:rsidP="23CB995B">
            <w:pPr>
              <w:spacing w:line="252" w:lineRule="auto"/>
              <w:jc w:val="both"/>
              <w:rPr>
                <w:sz w:val="22"/>
                <w:szCs w:val="22"/>
              </w:rPr>
            </w:pPr>
            <w:r w:rsidRPr="009C6C86">
              <w:rPr>
                <w:sz w:val="22"/>
                <w:szCs w:val="22"/>
              </w:rPr>
              <w:t xml:space="preserve">3. Konceptuālajā ziņojumā atspoguļoti AS “Latvenergo” plānotie dividenžu maksājumi vidējā termiņā. Atbilstoši Eiropas Kontu sistēmas metodoloģijai tikai tie dividenžu (t.sk uzņēmumu ienākuma nodoklis) maksājumi, kas izpilda </w:t>
            </w:r>
            <w:proofErr w:type="spellStart"/>
            <w:r w:rsidRPr="009C6C86">
              <w:rPr>
                <w:sz w:val="22"/>
                <w:szCs w:val="22"/>
              </w:rPr>
              <w:t>super</w:t>
            </w:r>
            <w:proofErr w:type="spellEnd"/>
            <w:r w:rsidRPr="009C6C86">
              <w:rPr>
                <w:sz w:val="22"/>
                <w:szCs w:val="22"/>
              </w:rPr>
              <w:t xml:space="preserve">-dividendes testu, ir uzskatāmi par vispārējās valdības budžeta </w:t>
            </w:r>
            <w:r w:rsidRPr="0059136B">
              <w:rPr>
                <w:sz w:val="22"/>
                <w:szCs w:val="22"/>
              </w:rPr>
              <w:t xml:space="preserve">ieņēmumiem un sekojoši var neitralizēt priekšlikumu negatīvo ietekmi. Lūdzam papildināt konceptuālo ziņojumu par </w:t>
            </w:r>
            <w:proofErr w:type="spellStart"/>
            <w:r w:rsidRPr="0059136B">
              <w:rPr>
                <w:sz w:val="22"/>
                <w:szCs w:val="22"/>
              </w:rPr>
              <w:t>super</w:t>
            </w:r>
            <w:proofErr w:type="spellEnd"/>
            <w:r w:rsidRPr="0059136B">
              <w:rPr>
                <w:sz w:val="22"/>
                <w:szCs w:val="22"/>
              </w:rPr>
              <w:t xml:space="preserve">-dividendes testa izpildi un iesniegt </w:t>
            </w:r>
            <w:r w:rsidRPr="0059136B">
              <w:rPr>
                <w:sz w:val="22"/>
                <w:szCs w:val="22"/>
              </w:rPr>
              <w:lastRenderedPageBreak/>
              <w:t>Finanšu ministrijā detalizētus testa aprēķinus, ņemot vērā 2020.gada aprīļa vispārējās valdības budžeta deficīta un parāda notifikācijas rezultātā īstenoto uzskaiti attiecībā uz</w:t>
            </w:r>
            <w:r w:rsidRPr="009C6C86">
              <w:rPr>
                <w:sz w:val="22"/>
                <w:szCs w:val="22"/>
              </w:rPr>
              <w:t xml:space="preserve"> AS “Latvenergo” dividendēm un uzņēmumu ienākuma nodokli.</w:t>
            </w:r>
          </w:p>
          <w:p w14:paraId="613EA961" w14:textId="122095F8" w:rsidR="00C051C9" w:rsidRPr="009C6C86" w:rsidRDefault="00C051C9" w:rsidP="23CB995B">
            <w:pPr>
              <w:rPr>
                <w:b/>
                <w:bCs/>
                <w:color w:val="000000"/>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275CFEA" w14:textId="2B576E04" w:rsidR="00EA02D1" w:rsidRPr="00CB3E7A" w:rsidRDefault="00EA02D1" w:rsidP="0059136B">
            <w:pPr>
              <w:pStyle w:val="NormalWeb"/>
              <w:spacing w:before="0" w:beforeAutospacing="0"/>
              <w:jc w:val="center"/>
              <w:rPr>
                <w:b/>
                <w:bCs/>
                <w:sz w:val="22"/>
                <w:szCs w:val="22"/>
              </w:rPr>
            </w:pPr>
            <w:r w:rsidRPr="00CB3E7A">
              <w:rPr>
                <w:b/>
                <w:bCs/>
                <w:sz w:val="22"/>
                <w:szCs w:val="22"/>
              </w:rPr>
              <w:lastRenderedPageBreak/>
              <w:t>Daļēji ņemts vērā</w:t>
            </w:r>
            <w:r w:rsidR="0059136B">
              <w:rPr>
                <w:b/>
                <w:bCs/>
                <w:sz w:val="22"/>
                <w:szCs w:val="22"/>
              </w:rPr>
              <w:t>.</w:t>
            </w:r>
          </w:p>
          <w:p w14:paraId="3BF4EA78" w14:textId="32B43366" w:rsidR="00C051C9" w:rsidRPr="009C6C86" w:rsidRDefault="00EA02D1" w:rsidP="4477E123">
            <w:pPr>
              <w:pStyle w:val="NormalWeb"/>
              <w:spacing w:before="0" w:beforeAutospacing="0"/>
              <w:jc w:val="both"/>
              <w:rPr>
                <w:sz w:val="22"/>
                <w:szCs w:val="22"/>
              </w:rPr>
            </w:pPr>
            <w:r w:rsidRPr="4477E123">
              <w:rPr>
                <w:sz w:val="22"/>
                <w:szCs w:val="22"/>
              </w:rPr>
              <w:t xml:space="preserve"> Konceptuālā ziņojuma visi 4 scenāriji paredz LE dividenžu izmaksu ne </w:t>
            </w:r>
            <w:r w:rsidR="3C489D90" w:rsidRPr="4477E123">
              <w:rPr>
                <w:sz w:val="22"/>
                <w:szCs w:val="22"/>
              </w:rPr>
              <w:t xml:space="preserve">mazāk </w:t>
            </w:r>
            <w:r w:rsidRPr="4477E123">
              <w:rPr>
                <w:sz w:val="22"/>
                <w:szCs w:val="22"/>
              </w:rPr>
              <w:t xml:space="preserve">kā 80% apmērā no Koncerna peļņas. Attiecīgi situācija, kurā nav nepārprotamas skaidrības par </w:t>
            </w:r>
            <w:proofErr w:type="spellStart"/>
            <w:r w:rsidRPr="4477E123">
              <w:rPr>
                <w:sz w:val="22"/>
                <w:szCs w:val="22"/>
              </w:rPr>
              <w:t>superdividenžu</w:t>
            </w:r>
            <w:proofErr w:type="spellEnd"/>
            <w:r w:rsidRPr="4477E123">
              <w:rPr>
                <w:sz w:val="22"/>
                <w:szCs w:val="22"/>
              </w:rPr>
              <w:t xml:space="preserve"> testa izpildes nosacījumiem, ir pamats uzskatīt, ka dividenžu izmaksa piedāvātajā apjomā izpildīs </w:t>
            </w:r>
            <w:proofErr w:type="spellStart"/>
            <w:r w:rsidRPr="4477E123">
              <w:rPr>
                <w:sz w:val="22"/>
                <w:szCs w:val="22"/>
              </w:rPr>
              <w:t>superdividenžu</w:t>
            </w:r>
            <w:proofErr w:type="spellEnd"/>
            <w:r w:rsidRPr="4477E123">
              <w:rPr>
                <w:sz w:val="22"/>
                <w:szCs w:val="22"/>
              </w:rPr>
              <w:t xml:space="preserve"> testu.</w:t>
            </w: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DD3DD94" w14:textId="5967187C" w:rsidR="00C051C9" w:rsidRPr="009C6C86" w:rsidRDefault="00FF4180" w:rsidP="14DF56C3">
            <w:pPr>
              <w:shd w:val="clear" w:color="auto" w:fill="FFFFFF" w:themeFill="background1"/>
              <w:spacing w:after="120"/>
              <w:jc w:val="both"/>
              <w:rPr>
                <w:sz w:val="22"/>
                <w:szCs w:val="22"/>
              </w:rPr>
            </w:pPr>
            <w:r>
              <w:rPr>
                <w:sz w:val="22"/>
                <w:szCs w:val="22"/>
              </w:rPr>
              <w:t>Konceptuālā ziņojuma projekts</w:t>
            </w:r>
          </w:p>
        </w:tc>
        <w:tc>
          <w:tcPr>
            <w:tcW w:w="1318" w:type="dxa"/>
          </w:tcPr>
          <w:p w14:paraId="03E84465" w14:textId="77777777" w:rsidR="00C051C9" w:rsidRPr="009C6C86" w:rsidRDefault="00C051C9" w:rsidP="00C051C9">
            <w:pPr>
              <w:jc w:val="both"/>
              <w:rPr>
                <w:sz w:val="22"/>
                <w:szCs w:val="22"/>
              </w:rPr>
            </w:pPr>
          </w:p>
        </w:tc>
      </w:tr>
      <w:tr w:rsidR="00C051C9" w:rsidRPr="009C6C86" w14:paraId="06D6FB52"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2EC41CA" w14:textId="2D0FDC1D" w:rsidR="00C051C9" w:rsidRPr="009C6C86" w:rsidRDefault="449FA9B1" w:rsidP="37110122">
            <w:pPr>
              <w:pStyle w:val="naisc"/>
              <w:rPr>
                <w:sz w:val="22"/>
                <w:szCs w:val="22"/>
              </w:rPr>
            </w:pPr>
            <w:r w:rsidRPr="009C6C86">
              <w:rPr>
                <w:sz w:val="22"/>
                <w:szCs w:val="22"/>
              </w:rPr>
              <w:t>1</w:t>
            </w:r>
            <w:r w:rsidR="11E3D8D9" w:rsidRPr="009C6C86">
              <w:rPr>
                <w:sz w:val="22"/>
                <w:szCs w:val="22"/>
              </w:rPr>
              <w:t>6</w:t>
            </w:r>
            <w:r w:rsidRPr="009C6C86">
              <w:rPr>
                <w:sz w:val="22"/>
                <w:szCs w:val="22"/>
              </w:rPr>
              <w:t>.</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CA4C61D" w14:textId="12017768" w:rsidR="00C051C9" w:rsidRPr="009C6C86" w:rsidRDefault="001B1B88" w:rsidP="00C051C9">
            <w:pPr>
              <w:shd w:val="clear" w:color="auto" w:fill="FFFFFF" w:themeFill="background1"/>
              <w:spacing w:after="120"/>
              <w:jc w:val="both"/>
              <w:rPr>
                <w:sz w:val="22"/>
                <w:szCs w:val="22"/>
              </w:rPr>
            </w:pPr>
            <w:r>
              <w:rPr>
                <w:sz w:val="22"/>
                <w:szCs w:val="22"/>
              </w:rPr>
              <w:t>Konceptuālā ziņojuma projekts</w:t>
            </w: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4F26555" w14:textId="122095F8" w:rsidR="00C051C9" w:rsidRPr="009C6C86" w:rsidRDefault="56185F8B" w:rsidP="23CB995B">
            <w:pPr>
              <w:spacing w:after="160" w:line="252" w:lineRule="auto"/>
              <w:jc w:val="center"/>
              <w:rPr>
                <w:b/>
                <w:bCs/>
                <w:sz w:val="22"/>
                <w:szCs w:val="22"/>
              </w:rPr>
            </w:pPr>
            <w:r w:rsidRPr="009C6C86">
              <w:rPr>
                <w:b/>
                <w:bCs/>
                <w:sz w:val="22"/>
                <w:szCs w:val="22"/>
              </w:rPr>
              <w:t>Finanšu ministrija (28.08.2020)</w:t>
            </w:r>
          </w:p>
          <w:p w14:paraId="68402572" w14:textId="122095F8" w:rsidR="00C051C9" w:rsidRPr="0059136B" w:rsidRDefault="21BF4FCB" w:rsidP="56E3DDF7">
            <w:pPr>
              <w:spacing w:line="252" w:lineRule="auto"/>
              <w:jc w:val="both"/>
              <w:rPr>
                <w:sz w:val="22"/>
                <w:szCs w:val="22"/>
              </w:rPr>
            </w:pPr>
            <w:r w:rsidRPr="009C6C86">
              <w:rPr>
                <w:sz w:val="22"/>
                <w:szCs w:val="22"/>
              </w:rPr>
              <w:t xml:space="preserve">5. Lai konceptuālajā ziņojumā iekļautu pilnu informāciju par atbalsta pasākumiem, ņemot vērā, ka atbalsts elektroenerģijas obligātā iepirkuma ietvaros un atbalsts energoietilpīgiem apstrādes rūpniecības uzņēmumiem tiek piešķirts saskaņā ar komercdarbības </w:t>
            </w:r>
            <w:r w:rsidRPr="0059136B">
              <w:rPr>
                <w:sz w:val="22"/>
                <w:szCs w:val="22"/>
              </w:rPr>
              <w:t>atbalsta nosacījumiem, kas saskaņoti ar Eiropas Komisiju, lūdzam papildināt konceptuālā ziņojuma 1.1.sadaļas “Atbalsts elektroenerģijas ražošanai un obligātā iepirkuma komponente” 1.rindkopu ar atsaucēm uz konkrētajiem Eiropas Komisijas lēmumiem par atbalsta pasākumu saderību ar iekšējo tirgu.</w:t>
            </w:r>
          </w:p>
          <w:p w14:paraId="7851174E" w14:textId="122095F8" w:rsidR="00C051C9" w:rsidRPr="009C6C86" w:rsidRDefault="00C051C9" w:rsidP="23CB995B">
            <w:pPr>
              <w:spacing w:line="252" w:lineRule="auto"/>
              <w:jc w:val="center"/>
              <w:rPr>
                <w:b/>
                <w:bCs/>
                <w:sz w:val="22"/>
                <w:szCs w:val="22"/>
                <w:highlight w:val="red"/>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20B6FC1" w14:textId="13AEB682" w:rsidR="00C051C9" w:rsidRDefault="001B1B88" w:rsidP="00C051C9">
            <w:pPr>
              <w:pStyle w:val="naisc"/>
              <w:rPr>
                <w:b/>
                <w:bCs/>
                <w:sz w:val="22"/>
                <w:szCs w:val="22"/>
              </w:rPr>
            </w:pPr>
            <w:r>
              <w:rPr>
                <w:b/>
                <w:bCs/>
                <w:sz w:val="22"/>
                <w:szCs w:val="22"/>
              </w:rPr>
              <w:t>Ņemts vērā</w:t>
            </w:r>
            <w:r w:rsidR="0059136B">
              <w:rPr>
                <w:b/>
                <w:bCs/>
                <w:sz w:val="22"/>
                <w:szCs w:val="22"/>
              </w:rPr>
              <w:t>.</w:t>
            </w:r>
          </w:p>
          <w:p w14:paraId="59F80432" w14:textId="41DD68A6" w:rsidR="001B1B88" w:rsidRPr="001B1B88" w:rsidRDefault="001B1B88" w:rsidP="00C051C9">
            <w:pPr>
              <w:pStyle w:val="naisc"/>
              <w:rPr>
                <w:sz w:val="22"/>
                <w:szCs w:val="22"/>
              </w:rPr>
            </w:pP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AC5CB8E" w14:textId="1528309B" w:rsidR="00C051C9" w:rsidRPr="009C6C86" w:rsidRDefault="001B1B88" w:rsidP="00C051C9">
            <w:pPr>
              <w:jc w:val="both"/>
              <w:rPr>
                <w:sz w:val="22"/>
                <w:szCs w:val="22"/>
              </w:rPr>
            </w:pPr>
            <w:r>
              <w:rPr>
                <w:sz w:val="22"/>
                <w:szCs w:val="22"/>
              </w:rPr>
              <w:t>Konceptuālā ziņojuma projekts</w:t>
            </w:r>
            <w:r w:rsidR="00B7669E">
              <w:rPr>
                <w:sz w:val="22"/>
                <w:szCs w:val="22"/>
              </w:rPr>
              <w:t xml:space="preserve"> p</w:t>
            </w:r>
            <w:r w:rsidR="00B7669E" w:rsidRPr="001B1B88">
              <w:rPr>
                <w:sz w:val="22"/>
                <w:szCs w:val="22"/>
              </w:rPr>
              <w:t>apildināts ar zemsvītras atsaucēm 1.1. un 1.3. sadaļās.</w:t>
            </w:r>
          </w:p>
        </w:tc>
        <w:tc>
          <w:tcPr>
            <w:tcW w:w="1318" w:type="dxa"/>
          </w:tcPr>
          <w:p w14:paraId="311ED4D0" w14:textId="77777777" w:rsidR="00C051C9" w:rsidRPr="009C6C86" w:rsidRDefault="00C051C9" w:rsidP="00C051C9">
            <w:pPr>
              <w:jc w:val="both"/>
              <w:rPr>
                <w:sz w:val="22"/>
                <w:szCs w:val="22"/>
              </w:rPr>
            </w:pPr>
          </w:p>
        </w:tc>
      </w:tr>
      <w:tr w:rsidR="00C051C9" w:rsidRPr="009C6C86" w14:paraId="33EBD02F"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6D6FA5E" w14:textId="547C1F92" w:rsidR="00C051C9" w:rsidRPr="009C6C86" w:rsidRDefault="253333AB" w:rsidP="37110122">
            <w:pPr>
              <w:pStyle w:val="naisc"/>
              <w:rPr>
                <w:sz w:val="22"/>
                <w:szCs w:val="22"/>
              </w:rPr>
            </w:pPr>
            <w:r w:rsidRPr="009C6C86">
              <w:rPr>
                <w:sz w:val="22"/>
                <w:szCs w:val="22"/>
              </w:rPr>
              <w:t>1</w:t>
            </w:r>
            <w:r w:rsidR="6AE06155" w:rsidRPr="009C6C86">
              <w:rPr>
                <w:sz w:val="22"/>
                <w:szCs w:val="22"/>
              </w:rPr>
              <w:t>7</w:t>
            </w:r>
            <w:r w:rsidRPr="009C6C86">
              <w:rPr>
                <w:sz w:val="22"/>
                <w:szCs w:val="22"/>
              </w:rPr>
              <w:t>.</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81E6782" w14:textId="7B097710" w:rsidR="00C051C9" w:rsidRPr="009C6C86" w:rsidRDefault="00174443" w:rsidP="00C051C9">
            <w:pPr>
              <w:jc w:val="both"/>
              <w:rPr>
                <w:sz w:val="22"/>
                <w:szCs w:val="22"/>
              </w:rPr>
            </w:pPr>
            <w:r>
              <w:rPr>
                <w:sz w:val="22"/>
                <w:szCs w:val="22"/>
              </w:rPr>
              <w:t>Konceptuālā ziņojuma projekts</w:t>
            </w: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6255C49" w14:textId="122095F8" w:rsidR="00C051C9" w:rsidRPr="009C6C86" w:rsidRDefault="21BF4FCB" w:rsidP="23CB995B">
            <w:pPr>
              <w:spacing w:after="160" w:line="252" w:lineRule="auto"/>
              <w:jc w:val="center"/>
              <w:rPr>
                <w:b/>
                <w:bCs/>
                <w:sz w:val="22"/>
                <w:szCs w:val="22"/>
              </w:rPr>
            </w:pPr>
            <w:r w:rsidRPr="009C6C86">
              <w:rPr>
                <w:b/>
                <w:bCs/>
                <w:sz w:val="22"/>
                <w:szCs w:val="22"/>
              </w:rPr>
              <w:t>Finanšu ministrija (28.08.2020)</w:t>
            </w:r>
          </w:p>
          <w:p w14:paraId="48621889" w14:textId="46F58623" w:rsidR="00C051C9" w:rsidRPr="009C6C86" w:rsidRDefault="291A11C0" w:rsidP="23CB995B">
            <w:pPr>
              <w:spacing w:line="252" w:lineRule="auto"/>
              <w:jc w:val="both"/>
              <w:rPr>
                <w:sz w:val="22"/>
                <w:szCs w:val="22"/>
              </w:rPr>
            </w:pPr>
            <w:r w:rsidRPr="0059136B">
              <w:rPr>
                <w:sz w:val="22"/>
                <w:szCs w:val="22"/>
              </w:rPr>
              <w:t>Papildus lūdzam sniegt detalizētu aprēķinu 2021.gadam nepieciešamā finansējuma apmēram, ņemot vērā, ka atbilstoši Ministru kabineta 2017.gada 22.septembra rīkojumam Nr</w:t>
            </w:r>
            <w:r w:rsidRPr="009C6C86">
              <w:rPr>
                <w:sz w:val="22"/>
                <w:szCs w:val="22"/>
              </w:rPr>
              <w:t xml:space="preserve">.530 “Par konceptuālo ziņojumu “Kompleksi pasākumi elektroenerģijas tirgus attīstībai” (turpmāk – MK rīkojums Nr.530) energoietilpīgo apstrādes </w:t>
            </w:r>
            <w:r w:rsidRPr="009C6C86">
              <w:rPr>
                <w:sz w:val="22"/>
                <w:szCs w:val="22"/>
              </w:rPr>
              <w:lastRenderedPageBreak/>
              <w:t xml:space="preserve">rūpniecības uzņēmumu atbalstam 2020.gadā paredzēts finansējums 3 370 000 </w:t>
            </w:r>
            <w:proofErr w:type="spellStart"/>
            <w:r w:rsidRPr="009C6C86">
              <w:rPr>
                <w:i/>
                <w:iCs/>
                <w:sz w:val="22"/>
                <w:szCs w:val="22"/>
              </w:rPr>
              <w:t>euro</w:t>
            </w:r>
            <w:proofErr w:type="spellEnd"/>
            <w:r w:rsidRPr="009C6C86">
              <w:rPr>
                <w:i/>
                <w:iCs/>
                <w:sz w:val="22"/>
                <w:szCs w:val="22"/>
              </w:rPr>
              <w:t xml:space="preserve"> </w:t>
            </w:r>
            <w:r w:rsidRPr="009C6C86">
              <w:rPr>
                <w:sz w:val="22"/>
                <w:szCs w:val="22"/>
              </w:rPr>
              <w:t>apmērā.</w:t>
            </w:r>
          </w:p>
          <w:p w14:paraId="3D3EF7A5" w14:textId="1F0FF137" w:rsidR="00C051C9" w:rsidRPr="009C6C86" w:rsidRDefault="00C051C9" w:rsidP="56E3DDF7">
            <w:pPr>
              <w:spacing w:line="252" w:lineRule="auto"/>
              <w:jc w:val="both"/>
              <w:rPr>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80172D8" w14:textId="309C51F3" w:rsidR="00C051C9" w:rsidRPr="009C6C86" w:rsidRDefault="00174443" w:rsidP="00C051C9">
            <w:pPr>
              <w:pStyle w:val="naisc"/>
              <w:rPr>
                <w:b/>
                <w:bCs/>
                <w:sz w:val="22"/>
                <w:szCs w:val="22"/>
              </w:rPr>
            </w:pPr>
            <w:r>
              <w:rPr>
                <w:b/>
                <w:bCs/>
                <w:sz w:val="22"/>
                <w:szCs w:val="22"/>
              </w:rPr>
              <w:lastRenderedPageBreak/>
              <w:t>Ņemts vērā</w:t>
            </w:r>
            <w:r w:rsidR="0059136B">
              <w:rPr>
                <w:b/>
                <w:bCs/>
                <w:sz w:val="22"/>
                <w:szCs w:val="22"/>
              </w:rPr>
              <w:t>.</w:t>
            </w: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7BA0E62" w14:textId="77777777" w:rsidR="00C051C9" w:rsidRDefault="00174443" w:rsidP="00C051C9">
            <w:pPr>
              <w:jc w:val="both"/>
              <w:rPr>
                <w:sz w:val="22"/>
                <w:szCs w:val="22"/>
              </w:rPr>
            </w:pPr>
            <w:r>
              <w:rPr>
                <w:sz w:val="22"/>
                <w:szCs w:val="22"/>
              </w:rPr>
              <w:t xml:space="preserve">Konceptuālā ziņojuma projekta </w:t>
            </w:r>
            <w:r w:rsidR="00A83CF2">
              <w:rPr>
                <w:sz w:val="22"/>
                <w:szCs w:val="22"/>
              </w:rPr>
              <w:t>1.3. sadaļa:</w:t>
            </w:r>
          </w:p>
          <w:p w14:paraId="70D28DDA" w14:textId="77777777" w:rsidR="00A83CF2" w:rsidRDefault="00A83CF2" w:rsidP="00C051C9">
            <w:pPr>
              <w:jc w:val="both"/>
              <w:rPr>
                <w:sz w:val="22"/>
                <w:szCs w:val="22"/>
              </w:rPr>
            </w:pPr>
            <w:r>
              <w:rPr>
                <w:sz w:val="22"/>
                <w:szCs w:val="22"/>
              </w:rPr>
              <w:t>(..)</w:t>
            </w:r>
          </w:p>
          <w:p w14:paraId="448DE128" w14:textId="11C94828" w:rsidR="00A83CF2" w:rsidRPr="009C6C86" w:rsidRDefault="0091548A" w:rsidP="00C051C9">
            <w:pPr>
              <w:jc w:val="both"/>
              <w:rPr>
                <w:sz w:val="22"/>
                <w:szCs w:val="22"/>
              </w:rPr>
            </w:pPr>
            <w:r w:rsidRPr="0091548A">
              <w:rPr>
                <w:sz w:val="22"/>
                <w:szCs w:val="22"/>
              </w:rPr>
              <w:t xml:space="preserve">Saskaņā ar EM aplēsēm, t.sk. ņemot vērā vēsturiskos pieteikumus atbalstam, ieskaitot tādus, kuri netika apstiprināti, un ņemot vērā, ka EM līdz ar atbalsta pagarināšanu piedāvās arī izmaiņas esošajā atbalstā, kā arī rūpniecības izaugsmi, paredzams, ka </w:t>
            </w:r>
            <w:r w:rsidRPr="0091548A">
              <w:rPr>
                <w:sz w:val="22"/>
                <w:szCs w:val="22"/>
              </w:rPr>
              <w:lastRenderedPageBreak/>
              <w:t>nepieciešamais finansējums var sasniegt 7,00 milj. EUR.</w:t>
            </w:r>
          </w:p>
        </w:tc>
        <w:tc>
          <w:tcPr>
            <w:tcW w:w="1318" w:type="dxa"/>
          </w:tcPr>
          <w:p w14:paraId="0B3D9089" w14:textId="1CCFDCA6" w:rsidR="00C051C9" w:rsidRPr="009C6C86" w:rsidRDefault="00C051C9" w:rsidP="00C051C9">
            <w:pPr>
              <w:jc w:val="both"/>
              <w:rPr>
                <w:sz w:val="22"/>
                <w:szCs w:val="22"/>
              </w:rPr>
            </w:pPr>
          </w:p>
        </w:tc>
      </w:tr>
      <w:tr w:rsidR="0059136B" w:rsidRPr="009C6C86" w14:paraId="1DFFA27B"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47E8447" w14:textId="38D4187A" w:rsidR="0059136B" w:rsidRPr="009C6C86" w:rsidRDefault="0059136B" w:rsidP="0059136B">
            <w:pPr>
              <w:pStyle w:val="naisc"/>
              <w:rPr>
                <w:sz w:val="22"/>
                <w:szCs w:val="22"/>
              </w:rPr>
            </w:pPr>
            <w:r w:rsidRPr="009C6C86">
              <w:rPr>
                <w:sz w:val="22"/>
                <w:szCs w:val="22"/>
              </w:rPr>
              <w:t>18.</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4A57D3F" w14:textId="53A5AEAE" w:rsidR="0059136B" w:rsidRPr="009C6C86" w:rsidRDefault="0059136B" w:rsidP="0059136B">
            <w:pPr>
              <w:shd w:val="clear" w:color="auto" w:fill="FFFFFF" w:themeFill="background1"/>
              <w:spacing w:after="120"/>
              <w:jc w:val="both"/>
              <w:rPr>
                <w:sz w:val="22"/>
                <w:szCs w:val="22"/>
              </w:rPr>
            </w:pPr>
            <w:r>
              <w:rPr>
                <w:sz w:val="22"/>
                <w:szCs w:val="22"/>
              </w:rPr>
              <w:t>Konceptuālā ziņojuma projekts</w:t>
            </w: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EA83F01" w14:textId="122095F8" w:rsidR="0059136B" w:rsidRPr="009C6C86" w:rsidRDefault="0059136B" w:rsidP="0059136B">
            <w:pPr>
              <w:spacing w:after="160" w:line="252" w:lineRule="auto"/>
              <w:jc w:val="center"/>
              <w:rPr>
                <w:b/>
                <w:bCs/>
                <w:sz w:val="22"/>
                <w:szCs w:val="22"/>
              </w:rPr>
            </w:pPr>
            <w:r w:rsidRPr="009C6C86">
              <w:rPr>
                <w:b/>
                <w:bCs/>
                <w:sz w:val="22"/>
                <w:szCs w:val="22"/>
              </w:rPr>
              <w:t>Finanšu ministrija (28.08.2020)</w:t>
            </w:r>
          </w:p>
          <w:p w14:paraId="47E8AFE1" w14:textId="14BE78B3" w:rsidR="0059136B" w:rsidRPr="009C6C86" w:rsidRDefault="0059136B" w:rsidP="0059136B">
            <w:pPr>
              <w:spacing w:line="252" w:lineRule="auto"/>
              <w:jc w:val="both"/>
              <w:rPr>
                <w:sz w:val="22"/>
                <w:szCs w:val="22"/>
              </w:rPr>
            </w:pPr>
            <w:r w:rsidRPr="009C6C86">
              <w:rPr>
                <w:sz w:val="22"/>
                <w:szCs w:val="22"/>
              </w:rPr>
              <w:t>Ņemot vērā, ka no konceptuālā ziņojuma 1.3.sadaļas izriet, ka saglabājot OIK, ir nepieciešams saglabāt arī atbalstu energoietilpīgiem apstrādes rūpniecības uzņēmumiem, vēršam uzmanību uz sekojošo. Ministru kabineta 2015.gada 14.jūlija noteikumi Nr.395 “Kārtība, kādā energoietilpīgi apstrādes rūpniecības uzņēmumi iegūst tiesības uz samazinātu līdzdalību obligātā iepirkuma komponentes maksājumam” ir valsts atbalsta programma, kura ir ieviesta ievērojot Komisijas paziņojuma “Pamatnostādnes par valsts atbalstu vides aizsardzībai un enerģētikai 2014. – 2020.gadam” nosacījumus un saskaņota ar Eiropas Komisiju valsts atbalsta lietas SA.42854 ietvaros. Atbilstoši valsts atbalsta lietas SA.42854 26.punktā noteiktajam “paziņotā pasākuma beigu termiņš ir 2020.gada 31.decembris.” Vienlaikus informējam, ka Eiropas Komisijas Konkurences ģenerāldirektorāts 2020.gada 2.jūlijā ir pieņēmis</w:t>
            </w:r>
            <w:r w:rsidRPr="009C6C86">
              <w:rPr>
                <w:i/>
                <w:iCs/>
                <w:sz w:val="22"/>
                <w:szCs w:val="22"/>
              </w:rPr>
              <w:t xml:space="preserve"> Komisijas paziņojumu par darbības termiņa pagarināšanu un grozījumiem Reģionālā atbalsta pamatnostādnēs 2014.–2020. gadam, Pamatnostādnēs par valsts atbalstu, lai veicinātu riska finansējuma ieguldījumus, Pamatnostādnēs par valsts atbalstu vides </w:t>
            </w:r>
            <w:r w:rsidRPr="009C6C86">
              <w:rPr>
                <w:i/>
                <w:iCs/>
                <w:sz w:val="22"/>
                <w:szCs w:val="22"/>
              </w:rPr>
              <w:lastRenderedPageBreak/>
              <w:t xml:space="preserve">aizsardzībai un enerģētikai 2014.–2020. gadam, Pamatnostādnēs par valsts atbalstu grūtībās nonākušu </w:t>
            </w:r>
            <w:proofErr w:type="spellStart"/>
            <w:r w:rsidRPr="009C6C86">
              <w:rPr>
                <w:i/>
                <w:iCs/>
                <w:sz w:val="22"/>
                <w:szCs w:val="22"/>
              </w:rPr>
              <w:t>nefinanšu</w:t>
            </w:r>
            <w:proofErr w:type="spellEnd"/>
            <w:r w:rsidRPr="009C6C86">
              <w:rPr>
                <w:i/>
                <w:iCs/>
                <w:sz w:val="22"/>
                <w:szCs w:val="22"/>
              </w:rPr>
              <w:t xml:space="preserve"> uzņēmumu glābšanai un pārstrukturēšanai un Paziņojumā par kritērijiem, pēc kuriem analizē saderīgumu ar iekšējo tirgu valsts atbalstam ar mērķi sekmēt svarīgu projektu īstenošanu visas Eiropas interesēs, Komisijas paziņojumā – Nostādnes par valsts atbalstu pētniecībai, izstrādei un inovācijai un Komisijas Paziņojumā dalībvalstīm par Līguma par Eiropas Savienības darbību 107. un 108. panta piemērošanu īstermiņa eksporta kredīta apdrošināšanai (202/C 224/02)</w:t>
            </w:r>
            <w:r w:rsidRPr="009C6C86">
              <w:rPr>
                <w:sz w:val="22"/>
                <w:szCs w:val="22"/>
              </w:rPr>
              <w:t>, ar kuru, tajā skaitā, tiek pagarināts “Pamatnostādņu par valsts atbalstu vides aizsardzībai un enerģētikai 2014. – 2020.gadam” piemērošanas termiņš līdz 2021.gada 31.decembrim.</w:t>
            </w:r>
          </w:p>
          <w:p w14:paraId="63CBC0DA" w14:textId="122095F8" w:rsidR="0059136B" w:rsidRPr="009C6C86" w:rsidRDefault="0059136B" w:rsidP="0059136B">
            <w:pPr>
              <w:spacing w:line="252" w:lineRule="auto"/>
              <w:ind w:firstLine="720"/>
              <w:jc w:val="both"/>
              <w:rPr>
                <w:sz w:val="22"/>
                <w:szCs w:val="22"/>
              </w:rPr>
            </w:pPr>
            <w:r w:rsidRPr="0059136B">
              <w:rPr>
                <w:sz w:val="22"/>
                <w:szCs w:val="22"/>
              </w:rPr>
              <w:t>Līdz ar to, ja tiek plānots saglabāt atbalstu SA.42854 lietas ietvaros, pasākumu ir iespējams pagarināt par vienu gadu, t.i., līdz 2021.gada 31.decembrim</w:t>
            </w:r>
            <w:r w:rsidRPr="00503769">
              <w:rPr>
                <w:b/>
                <w:bCs/>
                <w:sz w:val="22"/>
                <w:szCs w:val="22"/>
              </w:rPr>
              <w:t xml:space="preserve"> </w:t>
            </w:r>
            <w:r w:rsidRPr="009C6C86">
              <w:rPr>
                <w:sz w:val="22"/>
                <w:szCs w:val="22"/>
              </w:rPr>
              <w:t>(informācija par atbalsta programmu pagarināšanu ir sniegta FM 2020.gada 7.jūlija vēstulē Nr.7-7/18/3706).</w:t>
            </w:r>
          </w:p>
          <w:p w14:paraId="1BC2B17B" w14:textId="122095F8" w:rsidR="0059136B" w:rsidRPr="009C6C86" w:rsidRDefault="0059136B" w:rsidP="0059136B">
            <w:pPr>
              <w:spacing w:line="252" w:lineRule="auto"/>
              <w:jc w:val="center"/>
              <w:rPr>
                <w:b/>
                <w:bCs/>
                <w:sz w:val="22"/>
                <w:szCs w:val="22"/>
                <w:highlight w:val="red"/>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027BD3A" w14:textId="78009E02" w:rsidR="0059136B" w:rsidRPr="0059136B" w:rsidRDefault="0059136B" w:rsidP="0059136B">
            <w:pPr>
              <w:pStyle w:val="paragraph"/>
              <w:shd w:val="clear" w:color="auto" w:fill="FFFFFF" w:themeFill="background1"/>
              <w:spacing w:before="0" w:beforeAutospacing="0" w:after="0" w:afterAutospacing="0"/>
              <w:ind w:left="266"/>
              <w:jc w:val="center"/>
              <w:textAlignment w:val="baseline"/>
              <w:rPr>
                <w:b/>
                <w:bCs/>
                <w:sz w:val="22"/>
                <w:szCs w:val="22"/>
              </w:rPr>
            </w:pPr>
            <w:r w:rsidRPr="0059136B">
              <w:rPr>
                <w:b/>
                <w:bCs/>
                <w:sz w:val="22"/>
                <w:szCs w:val="22"/>
              </w:rPr>
              <w:lastRenderedPageBreak/>
              <w:t>Daļēji ņemts vērā.</w:t>
            </w:r>
          </w:p>
          <w:p w14:paraId="74614962" w14:textId="77777777" w:rsidR="0059136B" w:rsidRDefault="0059136B" w:rsidP="0059136B">
            <w:pPr>
              <w:pStyle w:val="paragraph"/>
              <w:shd w:val="clear" w:color="auto" w:fill="FFFFFF" w:themeFill="background1"/>
              <w:spacing w:before="0" w:beforeAutospacing="0" w:after="0" w:afterAutospacing="0"/>
              <w:jc w:val="both"/>
              <w:textAlignment w:val="baseline"/>
              <w:rPr>
                <w:sz w:val="22"/>
                <w:szCs w:val="22"/>
              </w:rPr>
            </w:pPr>
          </w:p>
          <w:p w14:paraId="6D54F55F" w14:textId="5B3C27D5" w:rsidR="0059136B" w:rsidRPr="009C6C86" w:rsidRDefault="0059136B" w:rsidP="0059136B">
            <w:pPr>
              <w:pStyle w:val="paragraph"/>
              <w:shd w:val="clear" w:color="auto" w:fill="FFFFFF" w:themeFill="background1"/>
              <w:spacing w:before="0" w:beforeAutospacing="0" w:after="0" w:afterAutospacing="0"/>
              <w:jc w:val="both"/>
              <w:textAlignment w:val="baseline"/>
              <w:rPr>
                <w:sz w:val="22"/>
                <w:szCs w:val="22"/>
              </w:rPr>
            </w:pPr>
            <w:r w:rsidRPr="00EA02D1">
              <w:rPr>
                <w:sz w:val="22"/>
                <w:szCs w:val="22"/>
              </w:rPr>
              <w:t>Paredzams, ka arī jaunās valsts atbalsta vadlīnijas pieļaus šāda valsts atbalsta programmu.</w:t>
            </w:r>
            <w:r>
              <w:rPr>
                <w:sz w:val="22"/>
                <w:szCs w:val="22"/>
              </w:rPr>
              <w:t xml:space="preserve"> Precizēta un ar skaidrojumu papildināta 1.3.sadaļa.</w:t>
            </w:r>
          </w:p>
          <w:p w14:paraId="171F7C20" w14:textId="2AD12E7A" w:rsidR="0059136B" w:rsidRPr="009C6C86" w:rsidRDefault="0059136B" w:rsidP="0059136B">
            <w:pPr>
              <w:pStyle w:val="paragraph"/>
              <w:shd w:val="clear" w:color="auto" w:fill="FFFFFF" w:themeFill="background1"/>
              <w:spacing w:before="0" w:beforeAutospacing="0" w:after="0" w:afterAutospacing="0"/>
              <w:jc w:val="both"/>
              <w:textAlignment w:val="baseline"/>
              <w:rPr>
                <w:sz w:val="22"/>
                <w:szCs w:val="22"/>
                <w:highlight w:val="green"/>
              </w:rPr>
            </w:pP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DE99332" w14:textId="29E4F7F1" w:rsidR="0059136B" w:rsidRPr="009C6C86" w:rsidRDefault="0059136B" w:rsidP="0059136B">
            <w:pPr>
              <w:jc w:val="both"/>
              <w:rPr>
                <w:sz w:val="22"/>
                <w:szCs w:val="22"/>
                <w:highlight w:val="green"/>
              </w:rPr>
            </w:pPr>
            <w:r w:rsidRPr="00EA02D1">
              <w:rPr>
                <w:sz w:val="22"/>
                <w:szCs w:val="22"/>
              </w:rPr>
              <w:t xml:space="preserve">Konceptuālā ziņojuma </w:t>
            </w:r>
            <w:r>
              <w:rPr>
                <w:sz w:val="22"/>
                <w:szCs w:val="22"/>
              </w:rPr>
              <w:t>projekta 1.3.sadaļa.</w:t>
            </w:r>
          </w:p>
        </w:tc>
        <w:tc>
          <w:tcPr>
            <w:tcW w:w="1318" w:type="dxa"/>
          </w:tcPr>
          <w:p w14:paraId="74C0A826" w14:textId="77777777" w:rsidR="0059136B" w:rsidRPr="009C6C86" w:rsidRDefault="0059136B" w:rsidP="0059136B">
            <w:pPr>
              <w:jc w:val="both"/>
              <w:rPr>
                <w:sz w:val="22"/>
                <w:szCs w:val="22"/>
              </w:rPr>
            </w:pPr>
          </w:p>
        </w:tc>
      </w:tr>
      <w:tr w:rsidR="0059136B" w:rsidRPr="009C6C86" w14:paraId="793F5BF5"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D0CD09E" w14:textId="014745A7" w:rsidR="0059136B" w:rsidRPr="009C6C86" w:rsidRDefault="0059136B" w:rsidP="0059136B">
            <w:pPr>
              <w:pStyle w:val="naisc"/>
              <w:rPr>
                <w:sz w:val="22"/>
                <w:szCs w:val="22"/>
              </w:rPr>
            </w:pPr>
            <w:r w:rsidRPr="009C6C86">
              <w:rPr>
                <w:sz w:val="22"/>
                <w:szCs w:val="22"/>
              </w:rPr>
              <w:t>19.</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FAC113E" w14:textId="28D6A26E" w:rsidR="0059136B" w:rsidRPr="009C6C86" w:rsidRDefault="0059136B" w:rsidP="0059136B">
            <w:pPr>
              <w:shd w:val="clear" w:color="auto" w:fill="FFFFFF" w:themeFill="background1"/>
              <w:spacing w:after="120"/>
              <w:jc w:val="both"/>
              <w:rPr>
                <w:sz w:val="22"/>
                <w:szCs w:val="22"/>
              </w:rPr>
            </w:pPr>
            <w:r>
              <w:rPr>
                <w:sz w:val="22"/>
                <w:szCs w:val="22"/>
              </w:rPr>
              <w:t>Konceptuālā ziņojuma projekts</w:t>
            </w: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C751892" w14:textId="122095F8" w:rsidR="0059136B" w:rsidRPr="009C6C86" w:rsidRDefault="0059136B" w:rsidP="0059136B">
            <w:pPr>
              <w:widowControl w:val="0"/>
              <w:spacing w:after="160" w:line="252" w:lineRule="auto"/>
              <w:jc w:val="center"/>
              <w:rPr>
                <w:b/>
                <w:bCs/>
                <w:sz w:val="22"/>
                <w:szCs w:val="22"/>
              </w:rPr>
            </w:pPr>
            <w:r w:rsidRPr="009C6C86">
              <w:rPr>
                <w:b/>
                <w:bCs/>
                <w:sz w:val="22"/>
                <w:szCs w:val="22"/>
              </w:rPr>
              <w:t>Finanšu ministrija (28.08.2020)</w:t>
            </w:r>
          </w:p>
          <w:p w14:paraId="74563A84" w14:textId="122095F8" w:rsidR="0059136B" w:rsidRPr="0059136B" w:rsidRDefault="0059136B" w:rsidP="0059136B">
            <w:pPr>
              <w:widowControl w:val="0"/>
              <w:jc w:val="both"/>
              <w:rPr>
                <w:sz w:val="22"/>
                <w:szCs w:val="22"/>
              </w:rPr>
            </w:pPr>
            <w:r w:rsidRPr="009C6C86">
              <w:rPr>
                <w:sz w:val="22"/>
                <w:szCs w:val="22"/>
              </w:rPr>
              <w:t xml:space="preserve">Papildus skaidrojam, ka pagarināt atbalsta pasākumu uz ilgāku laiku nekā ir spēkā “Pamatnostādnes par valsts atbalstu vides aizsardzībai un enerģētikai 2014. – 2020.gadam” nevar un Finanšu ministrijas izstrādātās Valsts atbalsta vadlīnijas ir </w:t>
            </w:r>
            <w:r w:rsidRPr="009C6C86">
              <w:rPr>
                <w:sz w:val="22"/>
                <w:szCs w:val="22"/>
              </w:rPr>
              <w:lastRenderedPageBreak/>
              <w:t>informatīvs materiāls un atbalstu saskaņā ar tām nav iespējams sniegt. Tādējādi lūdzam atbilstoši skaidrotajam precizēt konceptuālā ziņojuma 1.3.sadaļas 2.rindkopu. Vienlaikus skaidrojam, ka gadījumā, ja Eiropas Komisija pēc 2021.gada paredzēs jaunu valsts atbalsta regulējumu vides aizsardzībai un enerģētikai ar mērķi sniegt atbalstu, samazinot līdzdalību enerģijas no atjaunojamajiem energoresursiem finansēšanā, tad pasākumu energoietilpīgiem apstrādes rūpniecības uzņēmumiem pēc Eiropas Komisijas saskaņojuma saņemšanas varēs turpināt īstenot</w:t>
            </w:r>
            <w:r w:rsidRPr="009C6C86">
              <w:rPr>
                <w:color w:val="1F487C"/>
                <w:sz w:val="22"/>
                <w:szCs w:val="22"/>
              </w:rPr>
              <w:t xml:space="preserve">. </w:t>
            </w:r>
            <w:r w:rsidRPr="009C6C86">
              <w:rPr>
                <w:sz w:val="22"/>
                <w:szCs w:val="22"/>
              </w:rPr>
              <w:t xml:space="preserve">Tāpat arī, ņemot vērā atbalsta shēmas SA.42854 iespējamo maksimālo pagarinājuma termiņu līdz 2021.gada 31.decembrim ar nosacījumu, ka OIK izmaksas tiek kompensētas ar gada nobīdi, </w:t>
            </w:r>
            <w:r w:rsidRPr="0059136B">
              <w:rPr>
                <w:sz w:val="22"/>
                <w:szCs w:val="22"/>
              </w:rPr>
              <w:t>lūdzam pārskatīt konceptuālā ziņojuma 3.sadaļas “Risinājumi” 11., 14. un 15.tabulā 2023.gada prognozi energoietilpīgu uzņēmumu finansēšanai.</w:t>
            </w:r>
          </w:p>
          <w:p w14:paraId="671E5B2D" w14:textId="122095F8" w:rsidR="0059136B" w:rsidRPr="009C6C86" w:rsidRDefault="0059136B" w:rsidP="0059136B">
            <w:pPr>
              <w:widowControl w:val="0"/>
              <w:jc w:val="both"/>
              <w:rPr>
                <w:b/>
                <w:bCs/>
                <w:color w:val="000000"/>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338A138" w14:textId="431DEBB5" w:rsidR="0059136B" w:rsidRDefault="0059136B" w:rsidP="0059136B">
            <w:pPr>
              <w:pStyle w:val="paragraph"/>
              <w:shd w:val="clear" w:color="auto" w:fill="FFFFFF" w:themeFill="background1"/>
              <w:spacing w:before="0" w:beforeAutospacing="0" w:after="0" w:afterAutospacing="0"/>
              <w:ind w:left="266"/>
              <w:jc w:val="both"/>
              <w:textAlignment w:val="baseline"/>
              <w:rPr>
                <w:b/>
                <w:bCs/>
                <w:sz w:val="22"/>
                <w:szCs w:val="22"/>
              </w:rPr>
            </w:pPr>
            <w:r w:rsidRPr="0059136B">
              <w:rPr>
                <w:b/>
                <w:bCs/>
                <w:sz w:val="22"/>
                <w:szCs w:val="22"/>
              </w:rPr>
              <w:lastRenderedPageBreak/>
              <w:t>Daļēji ņemts vērā.</w:t>
            </w:r>
          </w:p>
          <w:p w14:paraId="6DE84DA7" w14:textId="77777777" w:rsidR="0059136B" w:rsidRPr="0059136B" w:rsidRDefault="0059136B" w:rsidP="0059136B">
            <w:pPr>
              <w:pStyle w:val="paragraph"/>
              <w:shd w:val="clear" w:color="auto" w:fill="FFFFFF" w:themeFill="background1"/>
              <w:spacing w:before="0" w:beforeAutospacing="0" w:after="0" w:afterAutospacing="0"/>
              <w:ind w:left="266"/>
              <w:jc w:val="both"/>
              <w:textAlignment w:val="baseline"/>
              <w:rPr>
                <w:b/>
                <w:bCs/>
                <w:sz w:val="22"/>
                <w:szCs w:val="22"/>
              </w:rPr>
            </w:pPr>
          </w:p>
          <w:p w14:paraId="1E8D9FB0" w14:textId="2DEEF6EB" w:rsidR="0059136B" w:rsidRPr="009C6C86" w:rsidRDefault="0059136B" w:rsidP="0059136B">
            <w:pPr>
              <w:pStyle w:val="paragraph"/>
              <w:shd w:val="clear" w:color="auto" w:fill="FFFFFF" w:themeFill="background1"/>
              <w:spacing w:before="0" w:beforeAutospacing="0" w:after="0" w:afterAutospacing="0"/>
              <w:jc w:val="both"/>
              <w:textAlignment w:val="baseline"/>
              <w:rPr>
                <w:sz w:val="22"/>
                <w:szCs w:val="22"/>
              </w:rPr>
            </w:pPr>
            <w:r w:rsidRPr="00EA02D1">
              <w:rPr>
                <w:sz w:val="22"/>
                <w:szCs w:val="22"/>
              </w:rPr>
              <w:t>Paredzams, ka arī jaunās valsts atbalsta vadlīnijas pieļaus šāda valsts atbalsta programmu.</w:t>
            </w:r>
            <w:r>
              <w:rPr>
                <w:sz w:val="22"/>
                <w:szCs w:val="22"/>
              </w:rPr>
              <w:t xml:space="preserve"> Precizēta un ar skaidrojumu papildināta 1.3.sadaļa.</w:t>
            </w:r>
          </w:p>
          <w:p w14:paraId="129CBD85" w14:textId="2647BD82" w:rsidR="0059136B" w:rsidRPr="009C6C86" w:rsidRDefault="0059136B" w:rsidP="0059136B">
            <w:pPr>
              <w:pStyle w:val="naisc"/>
              <w:rPr>
                <w:b/>
                <w:bCs/>
                <w:sz w:val="22"/>
                <w:szCs w:val="22"/>
              </w:rPr>
            </w:pP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21F4793" w14:textId="67C7AD88" w:rsidR="0059136B" w:rsidRPr="009C6C86" w:rsidRDefault="0059136B" w:rsidP="0059136B">
            <w:pPr>
              <w:spacing w:after="120"/>
              <w:jc w:val="both"/>
              <w:rPr>
                <w:sz w:val="22"/>
                <w:szCs w:val="22"/>
              </w:rPr>
            </w:pPr>
            <w:r w:rsidRPr="00EA02D1">
              <w:rPr>
                <w:sz w:val="22"/>
                <w:szCs w:val="22"/>
              </w:rPr>
              <w:t xml:space="preserve">Konceptuālā ziņojuma </w:t>
            </w:r>
            <w:r>
              <w:rPr>
                <w:sz w:val="22"/>
                <w:szCs w:val="22"/>
              </w:rPr>
              <w:t>projekta 1.3.sadaļa.</w:t>
            </w:r>
          </w:p>
        </w:tc>
        <w:tc>
          <w:tcPr>
            <w:tcW w:w="1318" w:type="dxa"/>
          </w:tcPr>
          <w:p w14:paraId="250984FB" w14:textId="77777777" w:rsidR="0059136B" w:rsidRPr="009C6C86" w:rsidRDefault="0059136B" w:rsidP="0059136B">
            <w:pPr>
              <w:jc w:val="both"/>
              <w:rPr>
                <w:sz w:val="22"/>
                <w:szCs w:val="22"/>
              </w:rPr>
            </w:pPr>
          </w:p>
        </w:tc>
      </w:tr>
      <w:tr w:rsidR="0059136B" w:rsidRPr="009C6C86" w14:paraId="086735BF"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86B0C67" w14:textId="71438495" w:rsidR="0059136B" w:rsidRPr="009C6C86" w:rsidRDefault="0059136B" w:rsidP="0059136B">
            <w:pPr>
              <w:pStyle w:val="naisc"/>
              <w:rPr>
                <w:sz w:val="22"/>
                <w:szCs w:val="22"/>
              </w:rPr>
            </w:pPr>
            <w:r w:rsidRPr="009C6C86">
              <w:rPr>
                <w:sz w:val="22"/>
                <w:szCs w:val="22"/>
              </w:rPr>
              <w:t>20.</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DC7C195" w14:textId="55528308" w:rsidR="0059136B" w:rsidRPr="009C6C86" w:rsidRDefault="0059136B" w:rsidP="0059136B">
            <w:pPr>
              <w:shd w:val="clear" w:color="auto" w:fill="FFFFFF" w:themeFill="background1"/>
              <w:spacing w:after="120"/>
              <w:jc w:val="both"/>
              <w:rPr>
                <w:sz w:val="22"/>
                <w:szCs w:val="22"/>
              </w:rPr>
            </w:pPr>
            <w:r>
              <w:rPr>
                <w:sz w:val="22"/>
                <w:szCs w:val="22"/>
              </w:rPr>
              <w:t>Konceptuālā ziņojuma projekta 1.4.sadaļa</w:t>
            </w: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38BD729" w14:textId="122095F8" w:rsidR="0059136B" w:rsidRPr="009C6C86" w:rsidRDefault="0059136B" w:rsidP="0059136B">
            <w:pPr>
              <w:widowControl w:val="0"/>
              <w:spacing w:after="160" w:line="252" w:lineRule="auto"/>
              <w:jc w:val="center"/>
              <w:rPr>
                <w:b/>
                <w:bCs/>
                <w:sz w:val="22"/>
                <w:szCs w:val="22"/>
              </w:rPr>
            </w:pPr>
            <w:r w:rsidRPr="009C6C86">
              <w:rPr>
                <w:b/>
                <w:bCs/>
                <w:sz w:val="22"/>
                <w:szCs w:val="22"/>
              </w:rPr>
              <w:t>Finanšu ministrija (28.08.2020)</w:t>
            </w:r>
          </w:p>
          <w:p w14:paraId="4C3EC4E0" w14:textId="122095F8" w:rsidR="0059136B" w:rsidRPr="009C6C86" w:rsidRDefault="0059136B" w:rsidP="0059136B">
            <w:pPr>
              <w:widowControl w:val="0"/>
              <w:jc w:val="both"/>
              <w:rPr>
                <w:sz w:val="22"/>
                <w:szCs w:val="22"/>
              </w:rPr>
            </w:pPr>
            <w:r w:rsidRPr="009C6C86">
              <w:rPr>
                <w:sz w:val="22"/>
                <w:szCs w:val="22"/>
              </w:rPr>
              <w:t xml:space="preserve">1. Konceptuālā ziņojuma 1.4.sadaļā “Atbalsts aizsargātajiem lietotājiem” norādīts, ka aizsargāto lietotāju atbalstam kopā 2021.-2023.gadā ik gadu ir nepieciešams finansējums 11 888 490 </w:t>
            </w:r>
            <w:proofErr w:type="spellStart"/>
            <w:r w:rsidRPr="009C6C86">
              <w:rPr>
                <w:i/>
                <w:iCs/>
                <w:sz w:val="22"/>
                <w:szCs w:val="22"/>
              </w:rPr>
              <w:t>euro</w:t>
            </w:r>
            <w:proofErr w:type="spellEnd"/>
            <w:r w:rsidRPr="009C6C86">
              <w:rPr>
                <w:sz w:val="22"/>
                <w:szCs w:val="22"/>
              </w:rPr>
              <w:t xml:space="preserve"> apmērā (</w:t>
            </w:r>
            <w:r w:rsidRPr="0059136B">
              <w:rPr>
                <w:sz w:val="22"/>
                <w:szCs w:val="22"/>
              </w:rPr>
              <w:t xml:space="preserve">11 573 490 + 315 000 </w:t>
            </w:r>
            <w:proofErr w:type="spellStart"/>
            <w:r w:rsidRPr="0059136B">
              <w:rPr>
                <w:i/>
                <w:iCs/>
                <w:sz w:val="22"/>
                <w:szCs w:val="22"/>
              </w:rPr>
              <w:t>euro</w:t>
            </w:r>
            <w:proofErr w:type="spellEnd"/>
            <w:r w:rsidRPr="009C6C86">
              <w:rPr>
                <w:sz w:val="22"/>
                <w:szCs w:val="22"/>
              </w:rPr>
              <w:t xml:space="preserve">), savukārt tabulās par katra risinājuma ietekmi uz budžetu ir norādīts finansējums 12 000 000 </w:t>
            </w:r>
            <w:proofErr w:type="spellStart"/>
            <w:r w:rsidRPr="009C6C86">
              <w:rPr>
                <w:i/>
                <w:iCs/>
                <w:sz w:val="22"/>
                <w:szCs w:val="22"/>
              </w:rPr>
              <w:t>euro</w:t>
            </w:r>
            <w:proofErr w:type="spellEnd"/>
            <w:r w:rsidRPr="009C6C86">
              <w:rPr>
                <w:sz w:val="22"/>
                <w:szCs w:val="22"/>
              </w:rPr>
              <w:t xml:space="preserve"> apmērā. Lūdzam novērst minēto neatbilstību.</w:t>
            </w:r>
          </w:p>
          <w:p w14:paraId="135A35C4" w14:textId="122095F8" w:rsidR="0059136B" w:rsidRPr="009C6C86" w:rsidRDefault="0059136B" w:rsidP="0059136B">
            <w:pPr>
              <w:widowControl w:val="0"/>
              <w:jc w:val="both"/>
              <w:rPr>
                <w:b/>
                <w:bCs/>
                <w:color w:val="000000"/>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F48E007" w14:textId="14BE78B3" w:rsidR="0059136B" w:rsidRPr="0059136B" w:rsidRDefault="0059136B" w:rsidP="0059136B">
            <w:pPr>
              <w:pStyle w:val="naisc"/>
              <w:rPr>
                <w:b/>
                <w:bCs/>
                <w:sz w:val="22"/>
                <w:szCs w:val="22"/>
              </w:rPr>
            </w:pPr>
            <w:r w:rsidRPr="0059136B">
              <w:rPr>
                <w:b/>
                <w:bCs/>
                <w:sz w:val="22"/>
                <w:szCs w:val="22"/>
              </w:rPr>
              <w:t>Ņemts vērā.</w:t>
            </w:r>
          </w:p>
          <w:p w14:paraId="519E6349" w14:textId="1C4A7476" w:rsidR="0059136B" w:rsidRDefault="0059136B" w:rsidP="0059136B">
            <w:pPr>
              <w:spacing w:after="120"/>
              <w:jc w:val="both"/>
              <w:rPr>
                <w:sz w:val="22"/>
                <w:szCs w:val="22"/>
              </w:rPr>
            </w:pPr>
            <w:r w:rsidRPr="0059136B">
              <w:rPr>
                <w:sz w:val="22"/>
                <w:szCs w:val="22"/>
              </w:rPr>
              <w:t xml:space="preserve">Būtiski uzsvērt, ka aizsargāto lietotāju skaits ir mainīgs, tāpēc atbalstam nepieciešamā summa ir tuvināts aprēķins. Tāpat jāmin, ka tikai pēc jaunā aizsargāto lietotāju atbalsta mehānisma darbības uzsākšanas, izmantojot ALDIS datus, varēs skaidrāk saprast </w:t>
            </w:r>
            <w:r w:rsidR="00B7669E" w:rsidRPr="0059136B">
              <w:rPr>
                <w:sz w:val="22"/>
                <w:szCs w:val="22"/>
              </w:rPr>
              <w:t>ikmēneša</w:t>
            </w:r>
            <w:r w:rsidRPr="0059136B">
              <w:rPr>
                <w:sz w:val="22"/>
                <w:szCs w:val="22"/>
              </w:rPr>
              <w:t xml:space="preserve"> un gada izmaksas pakalpojuma nodrošināšanai, kā arī precizētu aizsargāto lietotāju, kas saņem pakalpojumu, skaitu.</w:t>
            </w:r>
          </w:p>
          <w:p w14:paraId="6F6296E6" w14:textId="3443F310" w:rsidR="00FF4180" w:rsidRPr="0059136B" w:rsidRDefault="00FF4180" w:rsidP="0059136B">
            <w:pPr>
              <w:spacing w:after="120"/>
              <w:jc w:val="both"/>
              <w:rPr>
                <w:sz w:val="22"/>
                <w:szCs w:val="22"/>
              </w:rPr>
            </w:pPr>
            <w:r w:rsidRPr="009C6C86">
              <w:rPr>
                <w:sz w:val="22"/>
                <w:szCs w:val="22"/>
              </w:rPr>
              <w:lastRenderedPageBreak/>
              <w:t>Konceptuālā ziņojuma projekta 1.4 sadaļā veikts papildu skaidrojums un precizētas izmaksas.</w:t>
            </w:r>
          </w:p>
          <w:p w14:paraId="06CD625E" w14:textId="06F31F6F" w:rsidR="0059136B" w:rsidRPr="0059136B" w:rsidRDefault="0059136B" w:rsidP="0059136B">
            <w:pPr>
              <w:pStyle w:val="naisc"/>
              <w:rPr>
                <w:b/>
                <w:bCs/>
                <w:sz w:val="22"/>
                <w:szCs w:val="22"/>
              </w:rPr>
            </w:pP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043728A" w14:textId="724D2BD8" w:rsidR="0059136B" w:rsidRPr="009C6C86" w:rsidRDefault="00FF4180" w:rsidP="0059136B">
            <w:pPr>
              <w:jc w:val="both"/>
              <w:rPr>
                <w:sz w:val="22"/>
                <w:szCs w:val="22"/>
              </w:rPr>
            </w:pPr>
            <w:r w:rsidRPr="009C6C86">
              <w:rPr>
                <w:sz w:val="22"/>
                <w:szCs w:val="22"/>
              </w:rPr>
              <w:lastRenderedPageBreak/>
              <w:t xml:space="preserve">Konceptuālā ziņojuma projekta 1.4 </w:t>
            </w:r>
            <w:r>
              <w:rPr>
                <w:sz w:val="22"/>
                <w:szCs w:val="22"/>
              </w:rPr>
              <w:t>sadaļa</w:t>
            </w:r>
          </w:p>
        </w:tc>
        <w:tc>
          <w:tcPr>
            <w:tcW w:w="1318" w:type="dxa"/>
          </w:tcPr>
          <w:p w14:paraId="068DC911" w14:textId="77777777" w:rsidR="0059136B" w:rsidRPr="009C6C86" w:rsidRDefault="0059136B" w:rsidP="0059136B">
            <w:pPr>
              <w:jc w:val="both"/>
              <w:rPr>
                <w:sz w:val="22"/>
                <w:szCs w:val="22"/>
              </w:rPr>
            </w:pPr>
          </w:p>
        </w:tc>
      </w:tr>
      <w:tr w:rsidR="0059136B" w:rsidRPr="009C6C86" w14:paraId="042F70C2"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D118186" w14:textId="464239CC" w:rsidR="0059136B" w:rsidRPr="009C6C86" w:rsidRDefault="0059136B" w:rsidP="0059136B">
            <w:pPr>
              <w:pStyle w:val="naisc"/>
              <w:rPr>
                <w:sz w:val="22"/>
                <w:szCs w:val="22"/>
              </w:rPr>
            </w:pPr>
            <w:r w:rsidRPr="009C6C86">
              <w:rPr>
                <w:sz w:val="22"/>
                <w:szCs w:val="22"/>
              </w:rPr>
              <w:t>21.</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086ABEF" w14:textId="6F98BCB1" w:rsidR="0059136B" w:rsidRPr="009C6C86" w:rsidRDefault="0059136B" w:rsidP="0059136B">
            <w:pPr>
              <w:jc w:val="both"/>
              <w:rPr>
                <w:sz w:val="22"/>
                <w:szCs w:val="22"/>
              </w:rPr>
            </w:pPr>
            <w:r>
              <w:rPr>
                <w:sz w:val="22"/>
                <w:szCs w:val="22"/>
              </w:rPr>
              <w:t>Konceptuālā ziņojuma projekta 1.4.sadaļa</w:t>
            </w: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9F9B610" w14:textId="122095F8" w:rsidR="0059136B" w:rsidRPr="009C6C86" w:rsidRDefault="0059136B" w:rsidP="0059136B">
            <w:pPr>
              <w:spacing w:after="160" w:line="252" w:lineRule="auto"/>
              <w:jc w:val="center"/>
              <w:rPr>
                <w:b/>
                <w:bCs/>
                <w:sz w:val="22"/>
                <w:szCs w:val="22"/>
              </w:rPr>
            </w:pPr>
            <w:r w:rsidRPr="009C6C86">
              <w:rPr>
                <w:b/>
                <w:bCs/>
                <w:sz w:val="22"/>
                <w:szCs w:val="22"/>
              </w:rPr>
              <w:t>Finanšu ministrija (28.08.2020)</w:t>
            </w:r>
          </w:p>
          <w:p w14:paraId="25F0BD34" w14:textId="122095F8" w:rsidR="0059136B" w:rsidRPr="009C6C86" w:rsidRDefault="0059136B" w:rsidP="0059136B">
            <w:pPr>
              <w:spacing w:line="252" w:lineRule="auto"/>
              <w:jc w:val="both"/>
              <w:rPr>
                <w:sz w:val="22"/>
                <w:szCs w:val="22"/>
              </w:rPr>
            </w:pPr>
            <w:r w:rsidRPr="009C6C86">
              <w:rPr>
                <w:sz w:val="22"/>
                <w:szCs w:val="22"/>
              </w:rPr>
              <w:t xml:space="preserve">Papildus uzskatām, ka nav pamatojuma paredzēt izdevumus aizsargātā lietotāja datu informācijas sistēmas (ALDIS) uzturēšanas izmaksām 75 000 </w:t>
            </w:r>
            <w:proofErr w:type="spellStart"/>
            <w:r w:rsidRPr="009C6C86">
              <w:rPr>
                <w:i/>
                <w:iCs/>
                <w:sz w:val="22"/>
                <w:szCs w:val="22"/>
              </w:rPr>
              <w:t>euro</w:t>
            </w:r>
            <w:proofErr w:type="spellEnd"/>
            <w:r w:rsidRPr="009C6C86">
              <w:rPr>
                <w:sz w:val="22"/>
                <w:szCs w:val="22"/>
              </w:rPr>
              <w:t xml:space="preserve"> apmērā, ņemot vērā informatīvajā ziņojumā “Par enerģētikas politikas administrēšanas funkciju nodošanu Būvniecības valsts kontroles birojam” pielikumā </w:t>
            </w:r>
            <w:r w:rsidRPr="0059136B">
              <w:rPr>
                <w:sz w:val="22"/>
                <w:szCs w:val="22"/>
              </w:rPr>
              <w:t>(Ministru kabineta 2019.gada 1.oktobra sēdes protokola Nr.44 47.§)</w:t>
            </w:r>
            <w:r w:rsidRPr="009C6C86">
              <w:rPr>
                <w:sz w:val="22"/>
                <w:szCs w:val="22"/>
              </w:rPr>
              <w:t xml:space="preserve">  sniegto informāciju, ka informācijas sistēmu izveides un uzturēšanas izmaksas (EMAD, Aizsargājamie lietotāji) 2020.gadā 73 025 </w:t>
            </w:r>
            <w:proofErr w:type="spellStart"/>
            <w:r w:rsidRPr="009C6C86">
              <w:rPr>
                <w:i/>
                <w:iCs/>
                <w:sz w:val="22"/>
                <w:szCs w:val="22"/>
              </w:rPr>
              <w:t>euro</w:t>
            </w:r>
            <w:proofErr w:type="spellEnd"/>
            <w:r w:rsidRPr="009C6C86">
              <w:rPr>
                <w:sz w:val="22"/>
                <w:szCs w:val="22"/>
              </w:rPr>
              <w:t xml:space="preserve">, 2021. un 2022.gadā 72 842 </w:t>
            </w:r>
            <w:proofErr w:type="spellStart"/>
            <w:r w:rsidRPr="009C6C86">
              <w:rPr>
                <w:i/>
                <w:iCs/>
                <w:sz w:val="22"/>
                <w:szCs w:val="22"/>
              </w:rPr>
              <w:t>euro</w:t>
            </w:r>
            <w:proofErr w:type="spellEnd"/>
            <w:r w:rsidRPr="009C6C86">
              <w:rPr>
                <w:sz w:val="22"/>
                <w:szCs w:val="22"/>
              </w:rPr>
              <w:t xml:space="preserve"> apmērā tiks segtas Būvniecības valsts kontroles birojam enerģētikas politikas administrēšanas funkciju nodrošinātai piešķirtā finansējuma ietvaros.</w:t>
            </w:r>
          </w:p>
          <w:p w14:paraId="09CC8BB2" w14:textId="122095F8" w:rsidR="0059136B" w:rsidRPr="009C6C86" w:rsidRDefault="0059136B" w:rsidP="0059136B">
            <w:pPr>
              <w:spacing w:line="252" w:lineRule="auto"/>
              <w:jc w:val="both"/>
              <w:rPr>
                <w:color w:val="000000" w:themeColor="text1"/>
                <w:sz w:val="22"/>
                <w:szCs w:val="22"/>
                <w:highlight w:val="red"/>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F067D71" w14:textId="60A786ED" w:rsidR="0059136B" w:rsidRPr="0059136B" w:rsidRDefault="0059136B" w:rsidP="0059136B">
            <w:pPr>
              <w:pStyle w:val="naisc"/>
              <w:rPr>
                <w:b/>
                <w:bCs/>
                <w:sz w:val="22"/>
                <w:szCs w:val="22"/>
              </w:rPr>
            </w:pPr>
            <w:r w:rsidRPr="0059136B">
              <w:rPr>
                <w:b/>
                <w:bCs/>
                <w:sz w:val="22"/>
                <w:szCs w:val="22"/>
              </w:rPr>
              <w:t>Ņemts vērā.</w:t>
            </w:r>
          </w:p>
          <w:p w14:paraId="09E57939" w14:textId="518BC1F1" w:rsidR="0059136B" w:rsidRPr="009C6C86" w:rsidRDefault="0059136B" w:rsidP="0059136B">
            <w:pPr>
              <w:pStyle w:val="naisc"/>
              <w:jc w:val="both"/>
              <w:rPr>
                <w:sz w:val="22"/>
                <w:szCs w:val="22"/>
              </w:rPr>
            </w:pPr>
            <w:r w:rsidRPr="009C6C86">
              <w:rPr>
                <w:sz w:val="22"/>
                <w:szCs w:val="22"/>
              </w:rPr>
              <w:t>Tā kā ALDIS vēl nav nodota ekspluatācijā, tai BVKB informācijas sistēmu uzturēšanas budžetā nav iedalīts finansējums. BVKB esošā budžeta ietvaros pēc nepieciešamība</w:t>
            </w:r>
            <w:r>
              <w:rPr>
                <w:sz w:val="22"/>
                <w:szCs w:val="22"/>
              </w:rPr>
              <w:t>s</w:t>
            </w:r>
            <w:r w:rsidRPr="009C6C86">
              <w:rPr>
                <w:sz w:val="22"/>
                <w:szCs w:val="22"/>
              </w:rPr>
              <w:t xml:space="preserve"> sedz ALDIS papildu funkciju izstrādes izmaksas, ņemot vērā Ministru kabineta noteikumu projekta “Aizsargātā lietotāja tirdzniecības noteikumi” (VSS-258) saskaņošanas gaitā atbalstītos risinājumus.</w:t>
            </w:r>
          </w:p>
          <w:p w14:paraId="02878932" w14:textId="77777777" w:rsidR="00FF4180" w:rsidRPr="009C6C86" w:rsidRDefault="00FF4180" w:rsidP="00FF4180">
            <w:pPr>
              <w:jc w:val="both"/>
              <w:rPr>
                <w:sz w:val="22"/>
                <w:szCs w:val="22"/>
              </w:rPr>
            </w:pPr>
            <w:r w:rsidRPr="009C6C86">
              <w:rPr>
                <w:sz w:val="22"/>
                <w:szCs w:val="22"/>
              </w:rPr>
              <w:t>Konceptuālā ziņojuma projekta 1.4 sadaļā veikts precizējums par ALDIS uzturēšanas izmaksām.</w:t>
            </w:r>
          </w:p>
          <w:p w14:paraId="180F656F" w14:textId="231714B9" w:rsidR="0059136B" w:rsidRPr="009C6C86" w:rsidRDefault="0059136B" w:rsidP="0059136B">
            <w:pPr>
              <w:pStyle w:val="naisc"/>
              <w:jc w:val="left"/>
              <w:rPr>
                <w:sz w:val="22"/>
                <w:szCs w:val="22"/>
              </w:rPr>
            </w:pPr>
          </w:p>
          <w:p w14:paraId="5B8B02CA" w14:textId="30F7A28C" w:rsidR="0059136B" w:rsidRPr="009C6C86" w:rsidRDefault="0059136B" w:rsidP="0059136B">
            <w:pPr>
              <w:pStyle w:val="naisc"/>
              <w:jc w:val="left"/>
              <w:rPr>
                <w:sz w:val="22"/>
                <w:szCs w:val="22"/>
              </w:rPr>
            </w:pPr>
          </w:p>
          <w:p w14:paraId="5BABC469" w14:textId="3A5BB73D" w:rsidR="0059136B" w:rsidRPr="009C6C86" w:rsidRDefault="0059136B" w:rsidP="0059136B">
            <w:pPr>
              <w:pStyle w:val="naisc"/>
              <w:jc w:val="left"/>
              <w:rPr>
                <w:sz w:val="22"/>
                <w:szCs w:val="22"/>
              </w:rPr>
            </w:pP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4A6FB70" w14:textId="646698E5" w:rsidR="00FF4180" w:rsidRPr="009C6C86" w:rsidRDefault="00FF4180" w:rsidP="00FF4180">
            <w:pPr>
              <w:jc w:val="both"/>
              <w:rPr>
                <w:sz w:val="22"/>
                <w:szCs w:val="22"/>
              </w:rPr>
            </w:pPr>
            <w:r w:rsidRPr="009C6C86">
              <w:rPr>
                <w:sz w:val="22"/>
                <w:szCs w:val="22"/>
              </w:rPr>
              <w:t>Konceptuālā ziņojuma projekta 1.4 sadaļ</w:t>
            </w:r>
            <w:r>
              <w:rPr>
                <w:sz w:val="22"/>
                <w:szCs w:val="22"/>
              </w:rPr>
              <w:t>a</w:t>
            </w:r>
          </w:p>
          <w:p w14:paraId="69E49AC9" w14:textId="067BAFD1" w:rsidR="0059136B" w:rsidRPr="009C6C86" w:rsidRDefault="0059136B" w:rsidP="00FF4180">
            <w:pPr>
              <w:jc w:val="both"/>
              <w:rPr>
                <w:sz w:val="22"/>
                <w:szCs w:val="22"/>
                <w:highlight w:val="green"/>
              </w:rPr>
            </w:pPr>
          </w:p>
        </w:tc>
        <w:tc>
          <w:tcPr>
            <w:tcW w:w="1318" w:type="dxa"/>
          </w:tcPr>
          <w:p w14:paraId="442B4968" w14:textId="4D93E7D4" w:rsidR="0059136B" w:rsidRPr="009C6C86" w:rsidRDefault="0059136B" w:rsidP="0059136B">
            <w:pPr>
              <w:jc w:val="both"/>
              <w:rPr>
                <w:sz w:val="22"/>
                <w:szCs w:val="22"/>
              </w:rPr>
            </w:pPr>
          </w:p>
        </w:tc>
      </w:tr>
      <w:tr w:rsidR="0059136B" w:rsidRPr="009C6C86" w14:paraId="0E3CA120"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03082C9" w14:textId="5214A9C9" w:rsidR="0059136B" w:rsidRPr="009C6C86" w:rsidRDefault="0059136B" w:rsidP="0059136B">
            <w:pPr>
              <w:pStyle w:val="naisc"/>
              <w:rPr>
                <w:sz w:val="22"/>
                <w:szCs w:val="22"/>
              </w:rPr>
            </w:pPr>
            <w:r w:rsidRPr="009C6C86">
              <w:rPr>
                <w:sz w:val="22"/>
                <w:szCs w:val="22"/>
              </w:rPr>
              <w:t>22.</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3A4714E" w14:textId="0057290C" w:rsidR="0059136B" w:rsidRPr="009C6C86" w:rsidRDefault="0059136B" w:rsidP="0059136B">
            <w:pPr>
              <w:jc w:val="both"/>
              <w:rPr>
                <w:sz w:val="22"/>
                <w:szCs w:val="22"/>
              </w:rPr>
            </w:pPr>
            <w:r>
              <w:rPr>
                <w:sz w:val="22"/>
                <w:szCs w:val="22"/>
              </w:rPr>
              <w:t>Konceptuālā ziņojuma projekta 3.sadaļa</w:t>
            </w: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F3A5DD9" w14:textId="5C8AE117" w:rsidR="0059136B" w:rsidRPr="009C6C86" w:rsidRDefault="0059136B" w:rsidP="0059136B">
            <w:pPr>
              <w:spacing w:after="160" w:line="252" w:lineRule="auto"/>
              <w:jc w:val="center"/>
              <w:rPr>
                <w:b/>
                <w:bCs/>
                <w:sz w:val="22"/>
                <w:szCs w:val="22"/>
              </w:rPr>
            </w:pPr>
            <w:r w:rsidRPr="009C6C86">
              <w:rPr>
                <w:b/>
                <w:bCs/>
                <w:sz w:val="22"/>
                <w:szCs w:val="22"/>
              </w:rPr>
              <w:t>Finanšu ministrija (28.08.2020)</w:t>
            </w:r>
          </w:p>
          <w:p w14:paraId="78508CCB" w14:textId="2BBB2F0E" w:rsidR="0059136B" w:rsidRPr="009C6C86" w:rsidRDefault="0059136B" w:rsidP="0059136B">
            <w:pPr>
              <w:jc w:val="both"/>
              <w:rPr>
                <w:sz w:val="22"/>
                <w:szCs w:val="22"/>
              </w:rPr>
            </w:pPr>
            <w:r w:rsidRPr="009C6C86">
              <w:rPr>
                <w:sz w:val="22"/>
                <w:szCs w:val="22"/>
              </w:rPr>
              <w:t xml:space="preserve">3. Konceptuālā ziņojuma 3.sadaļas “Risinājumi” 8., 9., 11., 12., 14., 15., 17. un 18.tabulā ir sniegta informācija par nepieciešamo finansējumu no valsts budžeta atbalsta nodrošināšanai elektroenerģijas ražotājiem (OIK apmēra mazināšanai), </w:t>
            </w:r>
            <w:r w:rsidRPr="009C6C86">
              <w:rPr>
                <w:sz w:val="22"/>
                <w:szCs w:val="22"/>
                <w:u w:val="single"/>
              </w:rPr>
              <w:t>tajā skaitā administrēšanas vajadzībām</w:t>
            </w:r>
            <w:r w:rsidRPr="009C6C86">
              <w:rPr>
                <w:sz w:val="22"/>
                <w:szCs w:val="22"/>
              </w:rPr>
              <w:t xml:space="preserve">. Norādām, ka atbilstoši Ministru kabineta 2019.gada 1.oktobra </w:t>
            </w:r>
            <w:r w:rsidRPr="009C6C86">
              <w:rPr>
                <w:sz w:val="22"/>
                <w:szCs w:val="22"/>
              </w:rPr>
              <w:lastRenderedPageBreak/>
              <w:t xml:space="preserve">sēdes protokola Nr.44 47.§ “Informatīvais ziņojums “Par enerģētikas politikas administrēšanas funkciju nodošanu Būvniecības valsts kontroles birojam” 2.punktam likumā “Par valsts budžetu 2020.gadam” un likumā “Par vidēja termiņa budžeta ietvaru 2020., 2021. un 2022.gadam” Ekonomikas ministrijas budžeta apakšprogrammā 29.06.00 “Enerģētikas jautājumu administrēšana”” ir paredzēts finansējums 2020.gadam 1 271 000 </w:t>
            </w:r>
            <w:proofErr w:type="spellStart"/>
            <w:r w:rsidRPr="009C6C86">
              <w:rPr>
                <w:i/>
                <w:iCs/>
                <w:sz w:val="22"/>
                <w:szCs w:val="22"/>
              </w:rPr>
              <w:t>euro</w:t>
            </w:r>
            <w:proofErr w:type="spellEnd"/>
            <w:r w:rsidRPr="009C6C86">
              <w:rPr>
                <w:sz w:val="22"/>
                <w:szCs w:val="22"/>
              </w:rPr>
              <w:t xml:space="preserve"> apmērā, 2021.gadam un turpmākajiem gadiem 931 000 </w:t>
            </w:r>
            <w:proofErr w:type="spellStart"/>
            <w:r w:rsidRPr="009C6C86">
              <w:rPr>
                <w:i/>
                <w:iCs/>
                <w:sz w:val="22"/>
                <w:szCs w:val="22"/>
              </w:rPr>
              <w:t>euro</w:t>
            </w:r>
            <w:proofErr w:type="spellEnd"/>
            <w:r w:rsidRPr="009C6C86">
              <w:rPr>
                <w:sz w:val="22"/>
                <w:szCs w:val="22"/>
              </w:rPr>
              <w:t xml:space="preserve"> apmērā ik gadu, lai Būvniecības valsts kontroles birojs nodrošinātu enerģētikas politikas administrēšanas funkciju veikšanu, tajā skaitā elektroenerģijas obligātā iepirkuma mehānisma uzraudzību un kontroli. Ņemot vērā minēto, uzskatām, ka nav pamatojuma paredzēt izdevumus administrēšanas vajadzībām un attiecīgi ir pārskatāms un samazināms OIK apmēra mazināšanai nepieciešamā finansējuma apmērs.</w:t>
            </w:r>
          </w:p>
          <w:p w14:paraId="40CDF957" w14:textId="0734713F" w:rsidR="0059136B" w:rsidRPr="009C6C86" w:rsidRDefault="0059136B" w:rsidP="0059136B">
            <w:pPr>
              <w:spacing w:line="252" w:lineRule="auto"/>
              <w:jc w:val="both"/>
              <w:rPr>
                <w:color w:val="000000" w:themeColor="text1"/>
                <w:sz w:val="22"/>
                <w:szCs w:val="22"/>
                <w:highlight w:val="red"/>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74C62ED" w14:textId="2ACE5FD1" w:rsidR="0059136B" w:rsidRPr="0059136B" w:rsidRDefault="0059136B" w:rsidP="0059136B">
            <w:pPr>
              <w:pStyle w:val="naisc"/>
              <w:rPr>
                <w:b/>
                <w:bCs/>
                <w:sz w:val="22"/>
                <w:szCs w:val="22"/>
              </w:rPr>
            </w:pPr>
            <w:r w:rsidRPr="0059136B">
              <w:rPr>
                <w:b/>
                <w:bCs/>
                <w:sz w:val="22"/>
                <w:szCs w:val="22"/>
              </w:rPr>
              <w:lastRenderedPageBreak/>
              <w:t>Ņemts vērā.</w:t>
            </w:r>
          </w:p>
          <w:p w14:paraId="1AA13E30" w14:textId="2BEDC128" w:rsidR="0059136B" w:rsidRPr="009C6C86" w:rsidRDefault="0059136B" w:rsidP="0059136B">
            <w:pPr>
              <w:pStyle w:val="naisc"/>
              <w:jc w:val="left"/>
              <w:rPr>
                <w:sz w:val="22"/>
                <w:szCs w:val="22"/>
              </w:rPr>
            </w:pPr>
            <w:r w:rsidRPr="4477E123">
              <w:rPr>
                <w:sz w:val="22"/>
                <w:szCs w:val="22"/>
              </w:rPr>
              <w:t>No ziņojuma svītrota atsauce noteiktajās pozīcijās uz administrēšanas vajadzībām.</w:t>
            </w: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F665C78" w14:textId="7757D011" w:rsidR="0059136B" w:rsidRPr="009C6C86" w:rsidRDefault="00FF4180" w:rsidP="0059136B">
            <w:pPr>
              <w:jc w:val="both"/>
              <w:rPr>
                <w:sz w:val="22"/>
                <w:szCs w:val="22"/>
                <w:highlight w:val="green"/>
              </w:rPr>
            </w:pPr>
            <w:r>
              <w:rPr>
                <w:sz w:val="22"/>
                <w:szCs w:val="22"/>
              </w:rPr>
              <w:t>Konceptuālā ziņojuma projekta 3.sadaļa</w:t>
            </w:r>
          </w:p>
        </w:tc>
        <w:tc>
          <w:tcPr>
            <w:tcW w:w="1318" w:type="dxa"/>
          </w:tcPr>
          <w:p w14:paraId="4B17FF52" w14:textId="1B69C91B" w:rsidR="0059136B" w:rsidRPr="009C6C86" w:rsidRDefault="0059136B" w:rsidP="0059136B">
            <w:pPr>
              <w:jc w:val="both"/>
              <w:rPr>
                <w:sz w:val="22"/>
                <w:szCs w:val="22"/>
              </w:rPr>
            </w:pPr>
          </w:p>
        </w:tc>
      </w:tr>
      <w:tr w:rsidR="0059136B" w:rsidRPr="009C6C86" w14:paraId="5A94B682"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FE4D0DB" w14:textId="3B470E57" w:rsidR="0059136B" w:rsidRPr="009C6C86" w:rsidRDefault="0059136B" w:rsidP="0059136B">
            <w:pPr>
              <w:pStyle w:val="naisc"/>
              <w:rPr>
                <w:sz w:val="22"/>
                <w:szCs w:val="22"/>
              </w:rPr>
            </w:pPr>
            <w:r w:rsidRPr="009C6C86">
              <w:rPr>
                <w:sz w:val="22"/>
                <w:szCs w:val="22"/>
              </w:rPr>
              <w:t>23.</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C7D07B6" w14:textId="2CD4034A" w:rsidR="00A36443" w:rsidRDefault="00A36443" w:rsidP="0059136B">
            <w:pPr>
              <w:jc w:val="both"/>
              <w:rPr>
                <w:sz w:val="22"/>
                <w:szCs w:val="22"/>
              </w:rPr>
            </w:pPr>
            <w:r>
              <w:rPr>
                <w:sz w:val="22"/>
                <w:szCs w:val="22"/>
              </w:rPr>
              <w:t>Konceptuālā ziņojuma rīkojuma projekts</w:t>
            </w:r>
          </w:p>
          <w:p w14:paraId="3A2EB49F" w14:textId="77777777" w:rsidR="00A36443" w:rsidRDefault="00A36443" w:rsidP="0059136B">
            <w:pPr>
              <w:jc w:val="both"/>
              <w:rPr>
                <w:sz w:val="22"/>
                <w:szCs w:val="22"/>
              </w:rPr>
            </w:pPr>
          </w:p>
          <w:p w14:paraId="4BBC01C8" w14:textId="639DDCDB" w:rsidR="0059136B" w:rsidRPr="00503769" w:rsidRDefault="0059136B" w:rsidP="0059136B">
            <w:pPr>
              <w:jc w:val="both"/>
              <w:rPr>
                <w:sz w:val="22"/>
                <w:szCs w:val="22"/>
              </w:rPr>
            </w:pPr>
            <w:r w:rsidRPr="00503769">
              <w:rPr>
                <w:sz w:val="22"/>
                <w:szCs w:val="22"/>
              </w:rPr>
              <w:t>1. Atbalstīt konceptuālajā ziņojumā “Kompleksi pasākumi obligātā iepirkuma komponentes problemātikas risināšanai un elektroenerģijas tirgus attīstībai” iekļauto 3. risinājuma variantu OIK likmes samazināšanai.</w:t>
            </w:r>
          </w:p>
          <w:p w14:paraId="26F9D190" w14:textId="73ECB87E" w:rsidR="0059136B" w:rsidRPr="009C6C86" w:rsidRDefault="0059136B" w:rsidP="0059136B">
            <w:pPr>
              <w:jc w:val="both"/>
              <w:rPr>
                <w:sz w:val="22"/>
                <w:szCs w:val="22"/>
              </w:rPr>
            </w:pP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581456A" w14:textId="5C8AE117" w:rsidR="0059136B" w:rsidRPr="009C6C86" w:rsidRDefault="0059136B" w:rsidP="0059136B">
            <w:pPr>
              <w:spacing w:after="160" w:line="252" w:lineRule="auto"/>
              <w:jc w:val="center"/>
              <w:rPr>
                <w:b/>
                <w:bCs/>
                <w:sz w:val="22"/>
                <w:szCs w:val="22"/>
              </w:rPr>
            </w:pPr>
            <w:r w:rsidRPr="009C6C86">
              <w:rPr>
                <w:b/>
                <w:bCs/>
                <w:sz w:val="22"/>
                <w:szCs w:val="22"/>
              </w:rPr>
              <w:t>Finanšu ministrija (28.08.2020)</w:t>
            </w:r>
          </w:p>
          <w:p w14:paraId="5E33A65F" w14:textId="5A2D9825" w:rsidR="0059136B" w:rsidRPr="009C6C86" w:rsidRDefault="0059136B" w:rsidP="0059136B">
            <w:pPr>
              <w:jc w:val="both"/>
              <w:rPr>
                <w:sz w:val="22"/>
                <w:szCs w:val="22"/>
              </w:rPr>
            </w:pPr>
            <w:r w:rsidRPr="009C6C86">
              <w:rPr>
                <w:sz w:val="22"/>
                <w:szCs w:val="22"/>
              </w:rPr>
              <w:t>1. Ņemot vērā, ka OIK likmes samazināšanas scenārijs ir noteikts konceptuālā ziņojuma 3.3.sadaļā “OIK samazināšanas scenārijs”, lūdzam atbilstoši precizēt rīkojuma projekta 1.punktu, ietverot tajā atsauci uz konceptuālā ziņojuma 3.3.sadaļā piedāvāto risinājumu.</w:t>
            </w:r>
          </w:p>
          <w:p w14:paraId="534FE2F7" w14:textId="20C3F29D" w:rsidR="0059136B" w:rsidRPr="009C6C86" w:rsidRDefault="0059136B" w:rsidP="0059136B">
            <w:pPr>
              <w:spacing w:line="252" w:lineRule="auto"/>
              <w:jc w:val="both"/>
              <w:rPr>
                <w:color w:val="000000" w:themeColor="text1"/>
                <w:sz w:val="22"/>
                <w:szCs w:val="22"/>
                <w:highlight w:val="red"/>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CEA4136" w14:textId="4A3EA014" w:rsidR="0059136B" w:rsidRPr="0059136B" w:rsidRDefault="0059136B" w:rsidP="0059136B">
            <w:pPr>
              <w:pStyle w:val="naisc"/>
              <w:rPr>
                <w:b/>
                <w:bCs/>
                <w:sz w:val="22"/>
                <w:szCs w:val="22"/>
              </w:rPr>
            </w:pPr>
            <w:r w:rsidRPr="0059136B">
              <w:rPr>
                <w:b/>
                <w:bCs/>
                <w:sz w:val="22"/>
                <w:szCs w:val="22"/>
              </w:rPr>
              <w:t>Ņemts vērā.</w:t>
            </w: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D6D3EE5" w14:textId="2A049F7B" w:rsidR="0059136B" w:rsidRPr="00503769" w:rsidRDefault="0059136B" w:rsidP="0059136B">
            <w:pPr>
              <w:jc w:val="both"/>
              <w:rPr>
                <w:color w:val="D13438"/>
                <w:sz w:val="22"/>
                <w:szCs w:val="22"/>
              </w:rPr>
            </w:pPr>
            <w:r w:rsidRPr="00503769">
              <w:rPr>
                <w:sz w:val="22"/>
                <w:szCs w:val="22"/>
              </w:rPr>
              <w:t xml:space="preserve">1. Atbalstīt konceptuālajā ziņojumā “Kompleksi pasākumi obligātā iepirkuma komponentes problemātikas risināšanai un elektroenerģijas tirgus attīstībai” iekļauto 3. risinājuma </w:t>
            </w:r>
            <w:r w:rsidRPr="0059136B">
              <w:rPr>
                <w:sz w:val="22"/>
                <w:szCs w:val="22"/>
              </w:rPr>
              <w:t>variantu - OIK samazināšanas scenārijs.</w:t>
            </w:r>
          </w:p>
        </w:tc>
        <w:tc>
          <w:tcPr>
            <w:tcW w:w="1318" w:type="dxa"/>
          </w:tcPr>
          <w:p w14:paraId="6B7650B3" w14:textId="63FB6546" w:rsidR="0059136B" w:rsidRPr="009C6C86" w:rsidRDefault="0059136B" w:rsidP="0059136B">
            <w:pPr>
              <w:jc w:val="both"/>
              <w:rPr>
                <w:sz w:val="22"/>
                <w:szCs w:val="22"/>
              </w:rPr>
            </w:pPr>
          </w:p>
        </w:tc>
      </w:tr>
      <w:tr w:rsidR="0059136B" w:rsidRPr="009C6C86" w14:paraId="5E59E97A"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01F1730" w14:textId="2FFE0463" w:rsidR="0059136B" w:rsidRPr="009C6C86" w:rsidRDefault="0059136B" w:rsidP="0059136B">
            <w:pPr>
              <w:pStyle w:val="naisc"/>
              <w:rPr>
                <w:sz w:val="22"/>
                <w:szCs w:val="22"/>
              </w:rPr>
            </w:pPr>
            <w:r w:rsidRPr="009C6C86">
              <w:rPr>
                <w:sz w:val="22"/>
                <w:szCs w:val="22"/>
              </w:rPr>
              <w:t>24.</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A375BDB" w14:textId="447B3E20" w:rsidR="0059136B" w:rsidRPr="009C6C86" w:rsidRDefault="0059136B" w:rsidP="0059136B">
            <w:pPr>
              <w:jc w:val="both"/>
              <w:rPr>
                <w:sz w:val="22"/>
                <w:szCs w:val="22"/>
              </w:rPr>
            </w:pPr>
            <w:r>
              <w:rPr>
                <w:sz w:val="22"/>
                <w:szCs w:val="22"/>
              </w:rPr>
              <w:t>Konceptuālā ziņojuma rīkojuma projekts</w:t>
            </w: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7981A2F" w14:textId="5C8AE117" w:rsidR="0059136B" w:rsidRPr="005E5154" w:rsidRDefault="0059136B" w:rsidP="0059136B">
            <w:pPr>
              <w:spacing w:after="160" w:line="252" w:lineRule="auto"/>
              <w:jc w:val="center"/>
              <w:rPr>
                <w:b/>
                <w:bCs/>
                <w:sz w:val="22"/>
                <w:szCs w:val="22"/>
              </w:rPr>
            </w:pPr>
            <w:r w:rsidRPr="005E5154">
              <w:rPr>
                <w:b/>
                <w:bCs/>
                <w:sz w:val="22"/>
                <w:szCs w:val="22"/>
              </w:rPr>
              <w:t>Finanšu ministrija (28.08.2020)</w:t>
            </w:r>
          </w:p>
          <w:p w14:paraId="3464420D" w14:textId="7094DA02" w:rsidR="0059136B" w:rsidRPr="009C6C86" w:rsidRDefault="0059136B" w:rsidP="0059136B">
            <w:pPr>
              <w:jc w:val="both"/>
              <w:rPr>
                <w:sz w:val="22"/>
                <w:szCs w:val="22"/>
              </w:rPr>
            </w:pPr>
            <w:r w:rsidRPr="005E5154">
              <w:rPr>
                <w:sz w:val="22"/>
                <w:szCs w:val="22"/>
              </w:rPr>
              <w:lastRenderedPageBreak/>
              <w:t xml:space="preserve">3. Lūdzam svītrot </w:t>
            </w:r>
            <w:r w:rsidRPr="00503769">
              <w:rPr>
                <w:sz w:val="22"/>
                <w:szCs w:val="22"/>
              </w:rPr>
              <w:t>rīkojuma</w:t>
            </w:r>
            <w:r w:rsidRPr="005E5154">
              <w:rPr>
                <w:sz w:val="22"/>
                <w:szCs w:val="22"/>
              </w:rPr>
              <w:t xml:space="preserve"> projekta 3.punktu, jo jautājums par nepieciešamo finansējumu </w:t>
            </w:r>
            <w:r w:rsidRPr="00503769">
              <w:rPr>
                <w:sz w:val="22"/>
                <w:szCs w:val="22"/>
              </w:rPr>
              <w:t>pētījumiem</w:t>
            </w:r>
            <w:r w:rsidRPr="005E5154">
              <w:rPr>
                <w:sz w:val="22"/>
                <w:szCs w:val="22"/>
              </w:rPr>
              <w:t xml:space="preserve"> ir skatāms gadskārtējā valsts budžeta</w:t>
            </w:r>
            <w:r w:rsidRPr="009C6C86">
              <w:rPr>
                <w:sz w:val="22"/>
                <w:szCs w:val="22"/>
              </w:rPr>
              <w:t xml:space="preserve"> sagatavošanas procesā vienlaikus visu ministriju iesniegtajiem prioritāro pasākumu pieteikumiem vai  kārtējā Ekonomikas ministrijas sagatavojamā konceptuālā ziņojuma “Kompleksi pasākumi elektroenerģijas tirgus attīstībai” ietvaros.</w:t>
            </w:r>
          </w:p>
          <w:p w14:paraId="70A8A757" w14:textId="712C1123" w:rsidR="0059136B" w:rsidRPr="009C6C86" w:rsidRDefault="0059136B" w:rsidP="0059136B">
            <w:pPr>
              <w:spacing w:line="252" w:lineRule="auto"/>
              <w:jc w:val="both"/>
              <w:rPr>
                <w:color w:val="000000" w:themeColor="text1"/>
                <w:sz w:val="22"/>
                <w:szCs w:val="22"/>
                <w:highlight w:val="red"/>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5F7EBF2" w14:textId="77777777" w:rsidR="0059136B" w:rsidRDefault="0059136B" w:rsidP="0059136B">
            <w:pPr>
              <w:pStyle w:val="naisc"/>
              <w:rPr>
                <w:b/>
                <w:bCs/>
                <w:sz w:val="22"/>
                <w:szCs w:val="22"/>
              </w:rPr>
            </w:pPr>
            <w:r w:rsidRPr="0059136B">
              <w:rPr>
                <w:b/>
                <w:bCs/>
                <w:sz w:val="22"/>
                <w:szCs w:val="22"/>
              </w:rPr>
              <w:lastRenderedPageBreak/>
              <w:t>Ņemts vērā.</w:t>
            </w:r>
          </w:p>
          <w:p w14:paraId="0DEB6F2A" w14:textId="13234C0E" w:rsidR="00FF4180" w:rsidRPr="0059136B" w:rsidRDefault="00FF4180" w:rsidP="0059136B">
            <w:pPr>
              <w:pStyle w:val="naisc"/>
              <w:rPr>
                <w:b/>
                <w:bCs/>
                <w:sz w:val="22"/>
                <w:szCs w:val="22"/>
              </w:rPr>
            </w:pPr>
            <w:r>
              <w:rPr>
                <w:sz w:val="22"/>
                <w:szCs w:val="22"/>
              </w:rPr>
              <w:lastRenderedPageBreak/>
              <w:t>No rīkojuma projekta svītrots 3.punkts par finansējumu NEKP pētniecības daļas īstenošanai.</w:t>
            </w: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968BACC" w14:textId="6EA4CF92" w:rsidR="0059136B" w:rsidRPr="009C6C86" w:rsidRDefault="00FF4180" w:rsidP="0059136B">
            <w:pPr>
              <w:jc w:val="both"/>
              <w:rPr>
                <w:sz w:val="22"/>
                <w:szCs w:val="22"/>
              </w:rPr>
            </w:pPr>
            <w:r>
              <w:rPr>
                <w:sz w:val="22"/>
                <w:szCs w:val="22"/>
              </w:rPr>
              <w:lastRenderedPageBreak/>
              <w:t>Konceptuālā ziņojuma rīkojuma projekts</w:t>
            </w:r>
          </w:p>
        </w:tc>
        <w:tc>
          <w:tcPr>
            <w:tcW w:w="1318" w:type="dxa"/>
          </w:tcPr>
          <w:p w14:paraId="1D3B89A1" w14:textId="2C51E6BE" w:rsidR="0059136B" w:rsidRPr="009C6C86" w:rsidRDefault="0059136B" w:rsidP="0059136B">
            <w:pPr>
              <w:jc w:val="both"/>
              <w:rPr>
                <w:sz w:val="22"/>
                <w:szCs w:val="22"/>
              </w:rPr>
            </w:pPr>
          </w:p>
        </w:tc>
      </w:tr>
      <w:tr w:rsidR="00D26C33" w:rsidRPr="009C6C86" w14:paraId="63746162"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414DD01" w14:textId="3F9CF56B" w:rsidR="00D26C33" w:rsidRPr="009C6C86" w:rsidRDefault="00D26C33" w:rsidP="00D26C33">
            <w:pPr>
              <w:pStyle w:val="naisc"/>
              <w:rPr>
                <w:sz w:val="22"/>
                <w:szCs w:val="22"/>
              </w:rPr>
            </w:pPr>
            <w:r w:rsidRPr="009C6C86">
              <w:rPr>
                <w:sz w:val="22"/>
                <w:szCs w:val="22"/>
              </w:rPr>
              <w:t>25.</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F6F5065" w14:textId="5D61BDA1" w:rsidR="00D26C33" w:rsidRPr="009C6C86" w:rsidRDefault="00D26C33" w:rsidP="00D26C33">
            <w:pPr>
              <w:shd w:val="clear" w:color="auto" w:fill="FFFFFF" w:themeFill="background1"/>
              <w:spacing w:after="120"/>
              <w:jc w:val="both"/>
              <w:rPr>
                <w:sz w:val="22"/>
                <w:szCs w:val="22"/>
              </w:rPr>
            </w:pPr>
            <w:r>
              <w:rPr>
                <w:sz w:val="22"/>
                <w:szCs w:val="22"/>
              </w:rPr>
              <w:t>Konceptuālā ziņojuma rīkojuma projekts</w:t>
            </w: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619816F" w14:textId="122095F8" w:rsidR="00D26C33" w:rsidRPr="009C6C86" w:rsidRDefault="00D26C33" w:rsidP="00D26C33">
            <w:pPr>
              <w:spacing w:after="160" w:line="252" w:lineRule="auto"/>
              <w:jc w:val="center"/>
              <w:rPr>
                <w:b/>
                <w:bCs/>
                <w:sz w:val="22"/>
                <w:szCs w:val="22"/>
              </w:rPr>
            </w:pPr>
            <w:r w:rsidRPr="009C6C86">
              <w:rPr>
                <w:b/>
                <w:bCs/>
                <w:sz w:val="22"/>
                <w:szCs w:val="22"/>
              </w:rPr>
              <w:t>Finanšu ministrija (28.08.2020)</w:t>
            </w:r>
          </w:p>
          <w:p w14:paraId="0CCE1069" w14:textId="122095F8" w:rsidR="00D26C33" w:rsidRPr="009C6C86" w:rsidRDefault="00D26C33" w:rsidP="00D26C33">
            <w:pPr>
              <w:spacing w:line="252" w:lineRule="auto"/>
              <w:jc w:val="both"/>
              <w:rPr>
                <w:sz w:val="22"/>
                <w:szCs w:val="22"/>
              </w:rPr>
            </w:pPr>
            <w:r w:rsidRPr="009C6C86">
              <w:rPr>
                <w:sz w:val="22"/>
                <w:szCs w:val="22"/>
              </w:rPr>
              <w:t>4. Uzskatām, ka nav pamatojuma paredzēt, ka Ekonomikas ministrijas budžeta apakšprogrammā 29.02.00 “Elektroenerģijas lietotāju atbalsts” paredzētais finansējums varētu būt nepietiekams un attiecīgi būtu nepieciešama apropriācijas pārdale no citām valsts budžeta programmām, tādējādi lūdzam svītrot rīkojuma projekta 4.punktu.</w:t>
            </w:r>
          </w:p>
          <w:p w14:paraId="1C6C1526" w14:textId="122095F8" w:rsidR="00D26C33" w:rsidRPr="009C6C86" w:rsidRDefault="00D26C33" w:rsidP="00D26C33">
            <w:pPr>
              <w:spacing w:line="252" w:lineRule="auto"/>
              <w:rPr>
                <w:b/>
                <w:bCs/>
                <w:color w:val="000000" w:themeColor="text1"/>
                <w:sz w:val="22"/>
                <w:szCs w:val="22"/>
                <w:highlight w:val="red"/>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E24E97E" w14:textId="77777777" w:rsidR="00D26C33" w:rsidRDefault="00D26C33" w:rsidP="00D26C33">
            <w:pPr>
              <w:pStyle w:val="naisc"/>
              <w:rPr>
                <w:b/>
                <w:bCs/>
                <w:sz w:val="22"/>
                <w:szCs w:val="22"/>
              </w:rPr>
            </w:pPr>
            <w:r w:rsidRPr="0059136B">
              <w:rPr>
                <w:b/>
                <w:bCs/>
                <w:sz w:val="22"/>
                <w:szCs w:val="22"/>
              </w:rPr>
              <w:t>Ņemts vērā.</w:t>
            </w:r>
          </w:p>
          <w:p w14:paraId="7974205A" w14:textId="791E6123" w:rsidR="00FF4180" w:rsidRPr="0059136B" w:rsidRDefault="00FF4180" w:rsidP="00D26C33">
            <w:pPr>
              <w:pStyle w:val="naisc"/>
              <w:rPr>
                <w:b/>
                <w:bCs/>
                <w:sz w:val="22"/>
                <w:szCs w:val="22"/>
              </w:rPr>
            </w:pPr>
            <w:r>
              <w:rPr>
                <w:sz w:val="22"/>
                <w:szCs w:val="22"/>
              </w:rPr>
              <w:t>No rīkojuma projekta svītrots 4.punkts par finansējuma pārdali no citām valsts budžeta programmām.</w:t>
            </w: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70A1CD2" w14:textId="6BD80119" w:rsidR="00D26C33" w:rsidRPr="009C6C86" w:rsidRDefault="00FF4180" w:rsidP="00D26C33">
            <w:pPr>
              <w:jc w:val="both"/>
              <w:rPr>
                <w:sz w:val="22"/>
                <w:szCs w:val="22"/>
              </w:rPr>
            </w:pPr>
            <w:r>
              <w:rPr>
                <w:sz w:val="22"/>
                <w:szCs w:val="22"/>
              </w:rPr>
              <w:t>Konceptuālā ziņojuma rīkojuma projekts</w:t>
            </w:r>
          </w:p>
        </w:tc>
        <w:tc>
          <w:tcPr>
            <w:tcW w:w="1318" w:type="dxa"/>
          </w:tcPr>
          <w:p w14:paraId="5A009581" w14:textId="77777777" w:rsidR="00D26C33" w:rsidRPr="009C6C86" w:rsidRDefault="00D26C33" w:rsidP="00D26C33">
            <w:pPr>
              <w:jc w:val="both"/>
              <w:rPr>
                <w:sz w:val="22"/>
                <w:szCs w:val="22"/>
              </w:rPr>
            </w:pPr>
          </w:p>
        </w:tc>
      </w:tr>
      <w:tr w:rsidR="00D26C33" w:rsidRPr="009C6C86" w14:paraId="53261A6C"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5FDD28B" w14:textId="5D04A6A4" w:rsidR="00D26C33" w:rsidRPr="009C6C86" w:rsidRDefault="00D26C33" w:rsidP="00D26C33">
            <w:pPr>
              <w:pStyle w:val="naisc"/>
              <w:rPr>
                <w:sz w:val="22"/>
                <w:szCs w:val="22"/>
              </w:rPr>
            </w:pPr>
            <w:r w:rsidRPr="009C6C86">
              <w:rPr>
                <w:sz w:val="22"/>
                <w:szCs w:val="22"/>
              </w:rPr>
              <w:t>26.</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493F48A" w14:textId="32C6451A" w:rsidR="00A36443" w:rsidRDefault="00A36443" w:rsidP="00D26C33">
            <w:pPr>
              <w:jc w:val="both"/>
              <w:rPr>
                <w:sz w:val="22"/>
                <w:szCs w:val="22"/>
              </w:rPr>
            </w:pPr>
            <w:r>
              <w:rPr>
                <w:sz w:val="22"/>
                <w:szCs w:val="22"/>
              </w:rPr>
              <w:t>Konceptuālā ziņojuma rīkojuma projekts</w:t>
            </w:r>
          </w:p>
          <w:p w14:paraId="48B9F1B3" w14:textId="77777777" w:rsidR="00A36443" w:rsidRDefault="00A36443" w:rsidP="00D26C33">
            <w:pPr>
              <w:jc w:val="both"/>
              <w:rPr>
                <w:sz w:val="22"/>
                <w:szCs w:val="22"/>
              </w:rPr>
            </w:pPr>
          </w:p>
          <w:p w14:paraId="411854DA" w14:textId="3B18FD4B" w:rsidR="00D26C33" w:rsidRPr="00503769" w:rsidRDefault="00D26C33" w:rsidP="00D26C33">
            <w:pPr>
              <w:jc w:val="both"/>
              <w:rPr>
                <w:sz w:val="22"/>
                <w:szCs w:val="22"/>
              </w:rPr>
            </w:pPr>
            <w:r w:rsidRPr="00503769">
              <w:rPr>
                <w:sz w:val="22"/>
                <w:szCs w:val="22"/>
              </w:rPr>
              <w:t xml:space="preserve">7. Finanšu ministrijai, sagatavojot likumprojektu “Par valsts budžetu 2021.gadam”, ņemt vērā plānoto ieņēmumu prognozes Ekonomikas ministrijas izdevumu segšanai (pēc naudas plūsmas metodes), lai īstenotu šā rīkojuma 1. punktā atbalstīto komplekso risinājumu 2021.gadā – 74 513 776 </w:t>
            </w:r>
            <w:proofErr w:type="spellStart"/>
            <w:r w:rsidRPr="00503769">
              <w:rPr>
                <w:i/>
                <w:iCs/>
                <w:sz w:val="22"/>
                <w:szCs w:val="22"/>
              </w:rPr>
              <w:t>euro</w:t>
            </w:r>
            <w:proofErr w:type="spellEnd"/>
            <w:r w:rsidRPr="00503769">
              <w:rPr>
                <w:sz w:val="22"/>
                <w:szCs w:val="22"/>
              </w:rPr>
              <w:t xml:space="preserve">, 2022.gadā – 74 513 776 </w:t>
            </w:r>
            <w:proofErr w:type="spellStart"/>
            <w:r w:rsidRPr="00503769">
              <w:rPr>
                <w:i/>
                <w:iCs/>
                <w:sz w:val="22"/>
                <w:szCs w:val="22"/>
              </w:rPr>
              <w:t>euro</w:t>
            </w:r>
            <w:proofErr w:type="spellEnd"/>
            <w:r w:rsidRPr="00503769">
              <w:rPr>
                <w:sz w:val="22"/>
                <w:szCs w:val="22"/>
              </w:rPr>
              <w:t xml:space="preserve"> un 2023.gadā – 74 513 776 </w:t>
            </w:r>
            <w:proofErr w:type="spellStart"/>
            <w:r w:rsidRPr="00503769">
              <w:rPr>
                <w:i/>
                <w:iCs/>
                <w:sz w:val="22"/>
                <w:szCs w:val="22"/>
              </w:rPr>
              <w:t>euro</w:t>
            </w:r>
            <w:proofErr w:type="spellEnd"/>
            <w:r w:rsidRPr="00503769">
              <w:rPr>
                <w:sz w:val="22"/>
                <w:szCs w:val="22"/>
              </w:rPr>
              <w:t xml:space="preserve"> apmērā </w:t>
            </w:r>
            <w:r w:rsidRPr="00503769">
              <w:rPr>
                <w:sz w:val="22"/>
                <w:szCs w:val="22"/>
              </w:rPr>
              <w:lastRenderedPageBreak/>
              <w:t>no akciju sabiedrības “Latvenergo” dividendēm.</w:t>
            </w:r>
          </w:p>
          <w:p w14:paraId="188B1643" w14:textId="5D0C14FA" w:rsidR="00D26C33" w:rsidRPr="009C6C86" w:rsidRDefault="00D26C33" w:rsidP="00D26C33">
            <w:pPr>
              <w:jc w:val="both"/>
              <w:rPr>
                <w:sz w:val="22"/>
                <w:szCs w:val="22"/>
              </w:rPr>
            </w:pP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42EC95D" w14:textId="5C8AE117" w:rsidR="00D26C33" w:rsidRPr="009C6C86" w:rsidRDefault="00D26C33" w:rsidP="00D26C33">
            <w:pPr>
              <w:spacing w:after="160" w:line="252" w:lineRule="auto"/>
              <w:jc w:val="center"/>
              <w:rPr>
                <w:b/>
                <w:bCs/>
                <w:sz w:val="22"/>
                <w:szCs w:val="22"/>
              </w:rPr>
            </w:pPr>
            <w:r w:rsidRPr="009C6C86">
              <w:rPr>
                <w:b/>
                <w:bCs/>
                <w:sz w:val="22"/>
                <w:szCs w:val="22"/>
              </w:rPr>
              <w:lastRenderedPageBreak/>
              <w:t>Finanšu ministrija (28.08.2020)</w:t>
            </w:r>
          </w:p>
          <w:p w14:paraId="3BC6599B" w14:textId="5AD5EFAE" w:rsidR="00D26C33" w:rsidRPr="009C6C86" w:rsidRDefault="00D26C33" w:rsidP="00D26C33">
            <w:pPr>
              <w:jc w:val="both"/>
              <w:rPr>
                <w:sz w:val="22"/>
                <w:szCs w:val="22"/>
              </w:rPr>
            </w:pPr>
            <w:r w:rsidRPr="009C6C86">
              <w:rPr>
                <w:sz w:val="22"/>
                <w:szCs w:val="22"/>
              </w:rPr>
              <w:t>5. Lūdzam papildināt rīkojuma projekta 7.punktu ar atsauci uz likumprojektu “Par vidēja termiņa budžeta ietvaru 2021., 2022. un 2023.gadam”.</w:t>
            </w:r>
          </w:p>
          <w:p w14:paraId="63B1007E" w14:textId="30377EE5" w:rsidR="00D26C33" w:rsidRPr="009C6C86" w:rsidRDefault="00D26C33" w:rsidP="00D26C33">
            <w:pPr>
              <w:spacing w:line="252" w:lineRule="auto"/>
              <w:jc w:val="center"/>
              <w:rPr>
                <w:b/>
                <w:bCs/>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08E1F24" w14:textId="77777777" w:rsidR="00D26C33" w:rsidRDefault="00D26C33" w:rsidP="00D26C33">
            <w:pPr>
              <w:pStyle w:val="naisc"/>
              <w:rPr>
                <w:b/>
                <w:bCs/>
                <w:sz w:val="22"/>
                <w:szCs w:val="22"/>
              </w:rPr>
            </w:pPr>
            <w:r w:rsidRPr="0059136B">
              <w:rPr>
                <w:b/>
                <w:bCs/>
                <w:sz w:val="22"/>
                <w:szCs w:val="22"/>
              </w:rPr>
              <w:t>Ņemts vērā.</w:t>
            </w:r>
          </w:p>
          <w:p w14:paraId="1487EBF8" w14:textId="58AF0043" w:rsidR="00A36443" w:rsidRPr="0059136B" w:rsidRDefault="00A36443" w:rsidP="00D26C33">
            <w:pPr>
              <w:pStyle w:val="naisc"/>
              <w:rPr>
                <w:b/>
                <w:bCs/>
                <w:sz w:val="22"/>
                <w:szCs w:val="22"/>
              </w:rPr>
            </w:pP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4D0D0D3" w14:textId="1119C358" w:rsidR="00A36443" w:rsidRPr="0059136B" w:rsidRDefault="00FF4180" w:rsidP="00A36443">
            <w:pPr>
              <w:spacing w:after="120"/>
              <w:jc w:val="both"/>
              <w:rPr>
                <w:rFonts w:eastAsia="Calibri"/>
                <w:sz w:val="22"/>
                <w:szCs w:val="22"/>
                <w:highlight w:val="yellow"/>
              </w:rPr>
            </w:pPr>
            <w:r w:rsidRPr="00FF4180">
              <w:rPr>
                <w:rFonts w:eastAsia="Calibri"/>
                <w:sz w:val="22"/>
                <w:szCs w:val="22"/>
              </w:rPr>
              <w:t xml:space="preserve">5. Finanšu ministrijai, sagatavojot likumprojektu “Par valsts budžetu 2021.gadam” un likumprojektu “Par vidēja termiņa budžeta ietvaru 2021., 2022. un 2023.gadam”, ņemt vērā plānoto ieņēmumu prognozes, lai īstenotu šā rīkojuma 1. punktā atbalstīto komplekso risinājumu 2021.gadā – 69 640 000 </w:t>
            </w:r>
            <w:proofErr w:type="spellStart"/>
            <w:r w:rsidRPr="00FF4180">
              <w:rPr>
                <w:rFonts w:eastAsia="Calibri"/>
                <w:sz w:val="22"/>
                <w:szCs w:val="22"/>
              </w:rPr>
              <w:t>euro</w:t>
            </w:r>
            <w:proofErr w:type="spellEnd"/>
            <w:r w:rsidRPr="00FF4180">
              <w:rPr>
                <w:rFonts w:eastAsia="Calibri"/>
                <w:sz w:val="22"/>
                <w:szCs w:val="22"/>
              </w:rPr>
              <w:t xml:space="preserve">, 2022.gadā – 59 500 000 </w:t>
            </w:r>
            <w:proofErr w:type="spellStart"/>
            <w:r w:rsidRPr="00FF4180">
              <w:rPr>
                <w:rFonts w:eastAsia="Calibri"/>
                <w:sz w:val="22"/>
                <w:szCs w:val="22"/>
              </w:rPr>
              <w:t>euro</w:t>
            </w:r>
            <w:proofErr w:type="spellEnd"/>
            <w:r w:rsidRPr="00FF4180">
              <w:rPr>
                <w:rFonts w:eastAsia="Calibri"/>
                <w:sz w:val="22"/>
                <w:szCs w:val="22"/>
              </w:rPr>
              <w:t xml:space="preserve"> un 2023.gadā – 59 500 000 </w:t>
            </w:r>
            <w:proofErr w:type="spellStart"/>
            <w:r w:rsidRPr="00FF4180">
              <w:rPr>
                <w:rFonts w:eastAsia="Calibri"/>
                <w:sz w:val="22"/>
                <w:szCs w:val="22"/>
              </w:rPr>
              <w:t>euro</w:t>
            </w:r>
            <w:proofErr w:type="spellEnd"/>
            <w:r w:rsidRPr="00FF4180">
              <w:rPr>
                <w:rFonts w:eastAsia="Calibri"/>
                <w:sz w:val="22"/>
                <w:szCs w:val="22"/>
              </w:rPr>
              <w:t xml:space="preserve"> apmērā no akciju sabiedrības “Latvenergo” dividendēm.</w:t>
            </w:r>
          </w:p>
        </w:tc>
        <w:tc>
          <w:tcPr>
            <w:tcW w:w="1318" w:type="dxa"/>
          </w:tcPr>
          <w:p w14:paraId="5A1999D9" w14:textId="69436BCF" w:rsidR="00D26C33" w:rsidRPr="009C6C86" w:rsidRDefault="00D26C33" w:rsidP="00D26C33">
            <w:pPr>
              <w:jc w:val="both"/>
              <w:rPr>
                <w:sz w:val="22"/>
                <w:szCs w:val="22"/>
              </w:rPr>
            </w:pPr>
          </w:p>
        </w:tc>
      </w:tr>
      <w:tr w:rsidR="00D26C33" w:rsidRPr="009C6C86" w14:paraId="65571D74"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9A04295" w14:textId="6787FCAA" w:rsidR="00D26C33" w:rsidRPr="009C6C86" w:rsidRDefault="00D26C33" w:rsidP="00D26C33">
            <w:pPr>
              <w:pStyle w:val="naisc"/>
              <w:rPr>
                <w:sz w:val="22"/>
                <w:szCs w:val="22"/>
              </w:rPr>
            </w:pPr>
            <w:r w:rsidRPr="009C6C86">
              <w:rPr>
                <w:sz w:val="22"/>
                <w:szCs w:val="22"/>
              </w:rPr>
              <w:t>27.</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3D1A480" w14:textId="72B3D622" w:rsidR="00D26C33" w:rsidRPr="009C6C86" w:rsidRDefault="00D26C33" w:rsidP="00D26C33">
            <w:pPr>
              <w:jc w:val="both"/>
              <w:rPr>
                <w:sz w:val="22"/>
                <w:szCs w:val="22"/>
              </w:rPr>
            </w:pPr>
            <w:r>
              <w:rPr>
                <w:sz w:val="22"/>
                <w:szCs w:val="22"/>
              </w:rPr>
              <w:t>Konceptuālā ziņojuma rīkojuma projekts</w:t>
            </w: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DBE767E" w14:textId="5C8AE117" w:rsidR="00D26C33" w:rsidRPr="009C6C86" w:rsidRDefault="00D26C33" w:rsidP="00D26C33">
            <w:pPr>
              <w:spacing w:after="160" w:line="252" w:lineRule="auto"/>
              <w:jc w:val="center"/>
              <w:rPr>
                <w:b/>
                <w:bCs/>
                <w:sz w:val="22"/>
                <w:szCs w:val="22"/>
              </w:rPr>
            </w:pPr>
            <w:r w:rsidRPr="009C6C86">
              <w:rPr>
                <w:b/>
                <w:bCs/>
                <w:sz w:val="22"/>
                <w:szCs w:val="22"/>
              </w:rPr>
              <w:t>Finanšu ministrija (28.08.2020)</w:t>
            </w:r>
          </w:p>
          <w:p w14:paraId="191D0A09" w14:textId="765A000D" w:rsidR="00D26C33" w:rsidRPr="009C6C86" w:rsidRDefault="00D26C33" w:rsidP="00D26C33">
            <w:pPr>
              <w:jc w:val="both"/>
              <w:rPr>
                <w:sz w:val="22"/>
                <w:szCs w:val="22"/>
              </w:rPr>
            </w:pPr>
            <w:r w:rsidRPr="009C6C86">
              <w:rPr>
                <w:sz w:val="22"/>
                <w:szCs w:val="22"/>
              </w:rPr>
              <w:t>6. Lūdzam svītrot rīkojuma projekta 8.punktu, jo tas dublē jau rīkojuma projekta 2.punktā noteikto.</w:t>
            </w:r>
          </w:p>
          <w:p w14:paraId="5FE0F41F" w14:textId="38C2971D" w:rsidR="00D26C33" w:rsidRPr="009C6C86" w:rsidRDefault="00D26C33" w:rsidP="00D26C33">
            <w:pPr>
              <w:spacing w:line="252" w:lineRule="auto"/>
              <w:jc w:val="center"/>
              <w:rPr>
                <w:b/>
                <w:bCs/>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13F3C67" w14:textId="77777777" w:rsidR="00D26C33" w:rsidRPr="00D26C33" w:rsidRDefault="00D26C33" w:rsidP="00D26C33">
            <w:pPr>
              <w:pStyle w:val="naisc"/>
              <w:rPr>
                <w:b/>
                <w:bCs/>
                <w:sz w:val="22"/>
                <w:szCs w:val="22"/>
              </w:rPr>
            </w:pPr>
            <w:r w:rsidRPr="00D26C33">
              <w:rPr>
                <w:b/>
                <w:bCs/>
                <w:sz w:val="22"/>
                <w:szCs w:val="22"/>
              </w:rPr>
              <w:t>Daļēji ņemts vērā.</w:t>
            </w:r>
          </w:p>
          <w:p w14:paraId="24EB841F" w14:textId="0DF9DEC8" w:rsidR="00D26C33" w:rsidRPr="009C6C86" w:rsidRDefault="00FF4180" w:rsidP="00D26C33">
            <w:pPr>
              <w:pStyle w:val="naisc"/>
              <w:jc w:val="both"/>
              <w:rPr>
                <w:sz w:val="22"/>
                <w:szCs w:val="22"/>
              </w:rPr>
            </w:pPr>
            <w:r>
              <w:rPr>
                <w:sz w:val="22"/>
                <w:szCs w:val="22"/>
              </w:rPr>
              <w:t>Attiecīgie punkti precizēti un izteikti jaunā redakcijā.</w:t>
            </w: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AB6CD52" w14:textId="77777777" w:rsidR="00FF4180" w:rsidRPr="00FF4180" w:rsidRDefault="00FF4180" w:rsidP="00FF4180">
            <w:pPr>
              <w:jc w:val="both"/>
              <w:rPr>
                <w:sz w:val="22"/>
                <w:szCs w:val="22"/>
              </w:rPr>
            </w:pPr>
            <w:r w:rsidRPr="00FF4180">
              <w:rPr>
                <w:sz w:val="22"/>
                <w:szCs w:val="22"/>
              </w:rPr>
              <w:t>2. Finanšu ministrijai, sagatavojot likumprojektu “Par valsts budžetu 2021.gadam” un likumprojektu “Par vidēja termiņa budžeta ietvaru 2021., 2022. un 2023.gadam” iekļaut:</w:t>
            </w:r>
          </w:p>
          <w:p w14:paraId="21EF6FF9" w14:textId="77777777" w:rsidR="00FF4180" w:rsidRPr="00FF4180" w:rsidRDefault="00FF4180" w:rsidP="00FF4180">
            <w:pPr>
              <w:jc w:val="both"/>
              <w:rPr>
                <w:sz w:val="22"/>
                <w:szCs w:val="22"/>
              </w:rPr>
            </w:pPr>
            <w:r w:rsidRPr="00FF4180">
              <w:rPr>
                <w:sz w:val="22"/>
                <w:szCs w:val="22"/>
              </w:rPr>
              <w:t xml:space="preserve">2.1. regulējumu, kas paredz, kādā apmērā akciju sabiedrība “Latvenergo” ieskaita valsts pamatbudžeta ieņēmumos  dividendēs izmaksājamo peļņas daļu par  2020., 2021. un 2022.gadu, tai skaitā dividendes, kas tiek novirzītas elektroenerģijas lietotāju atbalstam, valsts budžeta dotāciju obligātā iepirkuma komponentes samazināšanai 2021.gadā 17,51 </w:t>
            </w:r>
            <w:proofErr w:type="spellStart"/>
            <w:r w:rsidRPr="00FF4180">
              <w:rPr>
                <w:sz w:val="22"/>
                <w:szCs w:val="22"/>
              </w:rPr>
              <w:t>euro</w:t>
            </w:r>
            <w:proofErr w:type="spellEnd"/>
            <w:r w:rsidRPr="00FF4180">
              <w:rPr>
                <w:sz w:val="22"/>
                <w:szCs w:val="22"/>
              </w:rPr>
              <w:t>/</w:t>
            </w:r>
            <w:proofErr w:type="spellStart"/>
            <w:r w:rsidRPr="00FF4180">
              <w:rPr>
                <w:sz w:val="22"/>
                <w:szCs w:val="22"/>
              </w:rPr>
              <w:t>MWh</w:t>
            </w:r>
            <w:proofErr w:type="spellEnd"/>
            <w:r w:rsidRPr="00FF4180">
              <w:rPr>
                <w:sz w:val="22"/>
                <w:szCs w:val="22"/>
              </w:rPr>
              <w:t xml:space="preserve">, 2022.gadā 16,38 </w:t>
            </w:r>
            <w:proofErr w:type="spellStart"/>
            <w:r w:rsidRPr="00FF4180">
              <w:rPr>
                <w:sz w:val="22"/>
                <w:szCs w:val="22"/>
              </w:rPr>
              <w:t>euro</w:t>
            </w:r>
            <w:proofErr w:type="spellEnd"/>
            <w:r w:rsidRPr="00FF4180">
              <w:rPr>
                <w:sz w:val="22"/>
                <w:szCs w:val="22"/>
              </w:rPr>
              <w:t>/</w:t>
            </w:r>
            <w:proofErr w:type="spellStart"/>
            <w:r w:rsidRPr="00FF4180">
              <w:rPr>
                <w:sz w:val="22"/>
                <w:szCs w:val="22"/>
              </w:rPr>
              <w:t>MWh</w:t>
            </w:r>
            <w:proofErr w:type="spellEnd"/>
            <w:r w:rsidRPr="00FF4180">
              <w:rPr>
                <w:sz w:val="22"/>
                <w:szCs w:val="22"/>
              </w:rPr>
              <w:t xml:space="preserve"> un 2023.gadā 13,25  </w:t>
            </w:r>
            <w:proofErr w:type="spellStart"/>
            <w:r w:rsidRPr="00FF4180">
              <w:rPr>
                <w:sz w:val="22"/>
                <w:szCs w:val="22"/>
              </w:rPr>
              <w:t>euro</w:t>
            </w:r>
            <w:proofErr w:type="spellEnd"/>
            <w:r w:rsidRPr="00FF4180">
              <w:rPr>
                <w:sz w:val="22"/>
                <w:szCs w:val="22"/>
              </w:rPr>
              <w:t>/</w:t>
            </w:r>
            <w:proofErr w:type="spellStart"/>
            <w:r w:rsidRPr="00FF4180">
              <w:rPr>
                <w:sz w:val="22"/>
                <w:szCs w:val="22"/>
              </w:rPr>
              <w:t>MWh</w:t>
            </w:r>
            <w:proofErr w:type="spellEnd"/>
            <w:r w:rsidRPr="00FF4180">
              <w:rPr>
                <w:sz w:val="22"/>
                <w:szCs w:val="22"/>
              </w:rPr>
              <w:t>, apmērā, kā arī valsts pētījumu programmai enerģētikas jomā un Latvijas Nacionālā enerģētikas un klimata plāna 2021. – 2030.gadam pētniecības daļas īstenošanai;</w:t>
            </w:r>
          </w:p>
          <w:p w14:paraId="79A76B3C" w14:textId="77777777" w:rsidR="00FF4180" w:rsidRPr="00FF4180" w:rsidRDefault="00FF4180" w:rsidP="00FF4180">
            <w:pPr>
              <w:jc w:val="both"/>
              <w:rPr>
                <w:sz w:val="22"/>
                <w:szCs w:val="22"/>
              </w:rPr>
            </w:pPr>
            <w:r w:rsidRPr="00FF4180">
              <w:rPr>
                <w:sz w:val="22"/>
                <w:szCs w:val="22"/>
              </w:rPr>
              <w:t xml:space="preserve">2.2.  finansējumu obligātās iepirkuma komponentes samazināšanai  un energoietilpīgo uzņēmumu atbalsta finansēšanai 2021.gadā – 19 576 857 </w:t>
            </w:r>
            <w:proofErr w:type="spellStart"/>
            <w:r w:rsidRPr="00FF4180">
              <w:rPr>
                <w:sz w:val="22"/>
                <w:szCs w:val="22"/>
              </w:rPr>
              <w:t>euro</w:t>
            </w:r>
            <w:proofErr w:type="spellEnd"/>
            <w:r w:rsidRPr="00FF4180">
              <w:rPr>
                <w:sz w:val="22"/>
                <w:szCs w:val="22"/>
              </w:rPr>
              <w:t xml:space="preserve">, 2022.gadā – 31 688 226 </w:t>
            </w:r>
            <w:proofErr w:type="spellStart"/>
            <w:r w:rsidRPr="00FF4180">
              <w:rPr>
                <w:sz w:val="22"/>
                <w:szCs w:val="22"/>
              </w:rPr>
              <w:t>euro</w:t>
            </w:r>
            <w:proofErr w:type="spellEnd"/>
            <w:r w:rsidRPr="00FF4180">
              <w:rPr>
                <w:sz w:val="22"/>
                <w:szCs w:val="22"/>
              </w:rPr>
              <w:t xml:space="preserve"> un 2023.gadā – 21 496 400 </w:t>
            </w:r>
            <w:proofErr w:type="spellStart"/>
            <w:r w:rsidRPr="00FF4180">
              <w:rPr>
                <w:sz w:val="22"/>
                <w:szCs w:val="22"/>
              </w:rPr>
              <w:t>euro</w:t>
            </w:r>
            <w:proofErr w:type="spellEnd"/>
            <w:r w:rsidRPr="00FF4180">
              <w:rPr>
                <w:sz w:val="22"/>
                <w:szCs w:val="22"/>
              </w:rPr>
              <w:t>;</w:t>
            </w:r>
          </w:p>
          <w:p w14:paraId="26C9DD73" w14:textId="77777777" w:rsidR="00FF4180" w:rsidRPr="00FF4180" w:rsidRDefault="00FF4180" w:rsidP="00FF4180">
            <w:pPr>
              <w:jc w:val="both"/>
              <w:rPr>
                <w:sz w:val="22"/>
                <w:szCs w:val="22"/>
              </w:rPr>
            </w:pPr>
            <w:r w:rsidRPr="00FF4180">
              <w:rPr>
                <w:sz w:val="22"/>
                <w:szCs w:val="22"/>
              </w:rPr>
              <w:t xml:space="preserve">2.3. finansējumu aizsargāto lietotāju atbalsta 2021., 2022. un 2023.gadā  finansēšanai katru gadu 12 000 000 </w:t>
            </w:r>
            <w:proofErr w:type="spellStart"/>
            <w:r w:rsidRPr="00FF4180">
              <w:rPr>
                <w:sz w:val="22"/>
                <w:szCs w:val="22"/>
              </w:rPr>
              <w:t>euro</w:t>
            </w:r>
            <w:proofErr w:type="spellEnd"/>
            <w:r w:rsidRPr="00FF4180">
              <w:rPr>
                <w:sz w:val="22"/>
                <w:szCs w:val="22"/>
              </w:rPr>
              <w:t xml:space="preserve">; </w:t>
            </w:r>
          </w:p>
          <w:p w14:paraId="294159F9" w14:textId="77777777" w:rsidR="00FF4180" w:rsidRPr="00FF4180" w:rsidRDefault="00FF4180" w:rsidP="00FF4180">
            <w:pPr>
              <w:jc w:val="both"/>
              <w:rPr>
                <w:sz w:val="22"/>
                <w:szCs w:val="22"/>
              </w:rPr>
            </w:pPr>
            <w:r w:rsidRPr="00FF4180">
              <w:rPr>
                <w:sz w:val="22"/>
                <w:szCs w:val="22"/>
              </w:rPr>
              <w:t xml:space="preserve">2.4. finansējumu, kas paredzēts valsts enerģētikas un klimata politikas izstrādei un tās ietvaros īstenojamo </w:t>
            </w:r>
            <w:r w:rsidRPr="00FF4180">
              <w:rPr>
                <w:sz w:val="22"/>
                <w:szCs w:val="22"/>
              </w:rPr>
              <w:lastRenderedPageBreak/>
              <w:t xml:space="preserve">pasākumu izpētei visās piecās Enerģētikas savienības dimensijās, 2021.gadā 545 160 </w:t>
            </w:r>
            <w:proofErr w:type="spellStart"/>
            <w:r w:rsidRPr="00FF4180">
              <w:rPr>
                <w:sz w:val="22"/>
                <w:szCs w:val="22"/>
              </w:rPr>
              <w:t>euro</w:t>
            </w:r>
            <w:proofErr w:type="spellEnd"/>
            <w:r w:rsidRPr="00FF4180">
              <w:rPr>
                <w:sz w:val="22"/>
                <w:szCs w:val="22"/>
              </w:rPr>
              <w:t xml:space="preserve"> apmērā, tai skaitā minētās apakšprogrammas administrēšanas izdevumiem;</w:t>
            </w:r>
          </w:p>
          <w:p w14:paraId="64354841" w14:textId="75D6D7B4" w:rsidR="00FF4180" w:rsidRDefault="00FF4180" w:rsidP="00FF4180">
            <w:pPr>
              <w:jc w:val="both"/>
              <w:rPr>
                <w:sz w:val="22"/>
                <w:szCs w:val="22"/>
              </w:rPr>
            </w:pPr>
            <w:r w:rsidRPr="00FF4180">
              <w:rPr>
                <w:sz w:val="22"/>
                <w:szCs w:val="22"/>
              </w:rPr>
              <w:t xml:space="preserve">2.5. finansējumu NEKP pētniecības daļas īstenošanai un tās ietvaros īstenojamo pasākumu izpētei, fokusējoties uz enerģētikas ekosistēmu iedzīvināšanu, papildinot Latvijas zinātnes esošo un nākotnes potenciālu ar Latvijas enerģētikas sektora attīstības virzieniem, tostarp sekmējot pētniecību enerģētikas industrijas attīstībai, 2021.gadā 1 403 014 </w:t>
            </w:r>
            <w:proofErr w:type="spellStart"/>
            <w:r w:rsidRPr="00FF4180">
              <w:rPr>
                <w:sz w:val="22"/>
                <w:szCs w:val="22"/>
              </w:rPr>
              <w:t>euro</w:t>
            </w:r>
            <w:proofErr w:type="spellEnd"/>
            <w:r w:rsidRPr="00FF4180">
              <w:rPr>
                <w:sz w:val="22"/>
                <w:szCs w:val="22"/>
              </w:rPr>
              <w:t xml:space="preserve"> apmērā un 2022.gadā un 2023.gadā ik gadu 2 000 000 </w:t>
            </w:r>
            <w:proofErr w:type="spellStart"/>
            <w:r w:rsidRPr="00FF4180">
              <w:rPr>
                <w:sz w:val="22"/>
                <w:szCs w:val="22"/>
              </w:rPr>
              <w:t>euro</w:t>
            </w:r>
            <w:proofErr w:type="spellEnd"/>
            <w:r w:rsidRPr="00FF4180">
              <w:rPr>
                <w:sz w:val="22"/>
                <w:szCs w:val="22"/>
              </w:rPr>
              <w:t xml:space="preserve"> apmērā, tai skaitā administrēšanas izdevumiem.</w:t>
            </w:r>
          </w:p>
          <w:p w14:paraId="09F3E8B8" w14:textId="123C50CB" w:rsidR="00FF4180" w:rsidRDefault="00FF4180" w:rsidP="00FF4180">
            <w:pPr>
              <w:jc w:val="both"/>
              <w:rPr>
                <w:sz w:val="22"/>
                <w:szCs w:val="22"/>
              </w:rPr>
            </w:pPr>
            <w:r>
              <w:rPr>
                <w:sz w:val="22"/>
                <w:szCs w:val="22"/>
              </w:rPr>
              <w:t>(..)</w:t>
            </w:r>
          </w:p>
          <w:p w14:paraId="7CADC242" w14:textId="6B21C79E" w:rsidR="00D26C33" w:rsidRPr="00D26C33" w:rsidRDefault="00FF4180" w:rsidP="00FF4180">
            <w:pPr>
              <w:jc w:val="both"/>
              <w:rPr>
                <w:sz w:val="22"/>
                <w:szCs w:val="22"/>
              </w:rPr>
            </w:pPr>
            <w:r w:rsidRPr="00FF4180">
              <w:rPr>
                <w:sz w:val="22"/>
                <w:szCs w:val="22"/>
              </w:rPr>
              <w:t xml:space="preserve">6. Atbalstīt akciju sabiedrības “Latvenergo” ikgadējo dividenžu novirzīšanu Ekonomikas ministrijas valsts budžeta apakšprogrammai 29.02.00 “Elektroenerģijas lietotāju atbalsts” nepieciešamajā apjomā 2021.gadā – 31 576 857 </w:t>
            </w:r>
            <w:proofErr w:type="spellStart"/>
            <w:r w:rsidRPr="00FF4180">
              <w:rPr>
                <w:sz w:val="22"/>
                <w:szCs w:val="22"/>
              </w:rPr>
              <w:t>euro</w:t>
            </w:r>
            <w:proofErr w:type="spellEnd"/>
            <w:r w:rsidRPr="00FF4180">
              <w:rPr>
                <w:sz w:val="22"/>
                <w:szCs w:val="22"/>
              </w:rPr>
              <w:t xml:space="preserve">, 2022.gadā – 43 688 226 </w:t>
            </w:r>
            <w:proofErr w:type="spellStart"/>
            <w:r w:rsidRPr="00FF4180">
              <w:rPr>
                <w:sz w:val="22"/>
                <w:szCs w:val="22"/>
              </w:rPr>
              <w:t>euro</w:t>
            </w:r>
            <w:proofErr w:type="spellEnd"/>
            <w:r w:rsidRPr="00FF4180">
              <w:rPr>
                <w:sz w:val="22"/>
                <w:szCs w:val="22"/>
              </w:rPr>
              <w:t xml:space="preserve">, 2023.gadā – 33 496 400 </w:t>
            </w:r>
            <w:proofErr w:type="spellStart"/>
            <w:r w:rsidRPr="00FF4180">
              <w:rPr>
                <w:sz w:val="22"/>
                <w:szCs w:val="22"/>
              </w:rPr>
              <w:t>euro</w:t>
            </w:r>
            <w:proofErr w:type="spellEnd"/>
            <w:r w:rsidRPr="00FF4180">
              <w:rPr>
                <w:sz w:val="22"/>
                <w:szCs w:val="22"/>
              </w:rPr>
              <w:t xml:space="preserve"> un Ekonomikas ministrijas valsts budžeta apakšprogrammai 29.05.00 “Valsts pētījumu programma enerģētikā” 2021.gadā 545 160 </w:t>
            </w:r>
            <w:proofErr w:type="spellStart"/>
            <w:r w:rsidRPr="00FF4180">
              <w:rPr>
                <w:sz w:val="22"/>
                <w:szCs w:val="22"/>
              </w:rPr>
              <w:t>euro</w:t>
            </w:r>
            <w:proofErr w:type="spellEnd"/>
            <w:r w:rsidRPr="00FF4180">
              <w:rPr>
                <w:sz w:val="22"/>
                <w:szCs w:val="22"/>
              </w:rPr>
              <w:t xml:space="preserve"> apmērā un Ekonomikas ministrijas valsts budžeta programmai 97.00.00 “Nozaru vadība un politikas plānošana” 2021.gadā 1 403 014 </w:t>
            </w:r>
            <w:proofErr w:type="spellStart"/>
            <w:r w:rsidRPr="00FF4180">
              <w:rPr>
                <w:sz w:val="22"/>
                <w:szCs w:val="22"/>
              </w:rPr>
              <w:t>euro</w:t>
            </w:r>
            <w:proofErr w:type="spellEnd"/>
            <w:r w:rsidRPr="00FF4180">
              <w:rPr>
                <w:sz w:val="22"/>
                <w:szCs w:val="22"/>
              </w:rPr>
              <w:t xml:space="preserve"> apmērā un 2022.gadā un 2023.gadā ik gadu 2 000 000 </w:t>
            </w:r>
            <w:proofErr w:type="spellStart"/>
            <w:r w:rsidRPr="00FF4180">
              <w:rPr>
                <w:sz w:val="22"/>
                <w:szCs w:val="22"/>
              </w:rPr>
              <w:t>euro</w:t>
            </w:r>
            <w:proofErr w:type="spellEnd"/>
            <w:r w:rsidRPr="00FF4180">
              <w:rPr>
                <w:sz w:val="22"/>
                <w:szCs w:val="22"/>
              </w:rPr>
              <w:t xml:space="preserve"> apmērā NEKP pētniecības daļas </w:t>
            </w:r>
            <w:r w:rsidRPr="00FF4180">
              <w:rPr>
                <w:sz w:val="22"/>
                <w:szCs w:val="22"/>
              </w:rPr>
              <w:lastRenderedPageBreak/>
              <w:t xml:space="preserve">īstenošanai un tās ietvaros īstenojamo NEKP pasākumu izpētei tai skaitā administrēšanas izdevumiem. </w:t>
            </w:r>
          </w:p>
        </w:tc>
        <w:tc>
          <w:tcPr>
            <w:tcW w:w="1318" w:type="dxa"/>
          </w:tcPr>
          <w:p w14:paraId="3CA33F21" w14:textId="1107E20D" w:rsidR="00D26C33" w:rsidRPr="009C6C86" w:rsidRDefault="00D26C33" w:rsidP="00D26C33">
            <w:pPr>
              <w:jc w:val="both"/>
              <w:rPr>
                <w:sz w:val="22"/>
                <w:szCs w:val="22"/>
              </w:rPr>
            </w:pPr>
          </w:p>
        </w:tc>
      </w:tr>
      <w:tr w:rsidR="00D26C33" w:rsidRPr="009C6C86" w14:paraId="7684F1CB"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B514B35" w14:textId="66F4E79D" w:rsidR="00D26C33" w:rsidRPr="009C6C86" w:rsidRDefault="00D26C33" w:rsidP="00D26C33">
            <w:pPr>
              <w:pStyle w:val="naisc"/>
              <w:rPr>
                <w:sz w:val="22"/>
                <w:szCs w:val="22"/>
              </w:rPr>
            </w:pPr>
            <w:r w:rsidRPr="009C6C86">
              <w:rPr>
                <w:sz w:val="22"/>
                <w:szCs w:val="22"/>
              </w:rPr>
              <w:lastRenderedPageBreak/>
              <w:t>28.</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BDB4B58" w14:textId="0AFBA27E" w:rsidR="00D26C33" w:rsidRPr="009C6C86" w:rsidRDefault="00D26C33" w:rsidP="00D26C33">
            <w:pPr>
              <w:jc w:val="both"/>
              <w:rPr>
                <w:sz w:val="22"/>
                <w:szCs w:val="22"/>
              </w:rPr>
            </w:pPr>
            <w:r>
              <w:rPr>
                <w:sz w:val="22"/>
                <w:szCs w:val="22"/>
              </w:rPr>
              <w:t>Konceptuālā ziņojuma rīkojuma projekts</w:t>
            </w: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5ECEDFA" w14:textId="5C8AE117" w:rsidR="00D26C33" w:rsidRPr="009C6C86" w:rsidRDefault="00D26C33" w:rsidP="00D26C33">
            <w:pPr>
              <w:spacing w:after="160" w:line="252" w:lineRule="auto"/>
              <w:jc w:val="center"/>
              <w:rPr>
                <w:b/>
                <w:bCs/>
                <w:sz w:val="22"/>
                <w:szCs w:val="22"/>
              </w:rPr>
            </w:pPr>
            <w:r w:rsidRPr="009C6C86">
              <w:rPr>
                <w:b/>
                <w:bCs/>
                <w:sz w:val="22"/>
                <w:szCs w:val="22"/>
              </w:rPr>
              <w:t>Finanšu ministrija (28.08.2020)</w:t>
            </w:r>
          </w:p>
          <w:p w14:paraId="688AE1D8" w14:textId="3006CD1A" w:rsidR="00D26C33" w:rsidRPr="009C6C86" w:rsidRDefault="00D26C33" w:rsidP="00D26C33">
            <w:pPr>
              <w:jc w:val="both"/>
              <w:rPr>
                <w:sz w:val="22"/>
                <w:szCs w:val="22"/>
              </w:rPr>
            </w:pPr>
            <w:r w:rsidRPr="009C6C86">
              <w:rPr>
                <w:sz w:val="22"/>
                <w:szCs w:val="22"/>
              </w:rPr>
              <w:t>7. Ministru kabineta 2015.gada 22.decembra noteikumu Nr. 806 “Kārtība, kādā valsts kapitālsabiedrības un publiski privātās kapitālsabiedrības, kurās valsts ir dalībnieks (akcionārs), prognozē un nosaka dividendēs izmaksājamo peļņas daļu un veic maksājumus valsts budžetā par valsts kapitāla izmantošanu” (turpmāk MK noteikumi Nr.806) 3.punkts paredz minimālo dividendēs izmaksājamo summu, t.i., 80% no kapitālsabiedrības pārskata gada peļņas. Lai nodrošinātu, ka valsts budžets saņem piekritīgo valsts daļu ne mazāku kā noteikts minētajā normatīvajā aktā, lūdzam papildināt rīkojuma projekta 5.punktu pirms skaitliskās vērtības ar vārdiem “ne mazāk kā”.</w:t>
            </w:r>
          </w:p>
          <w:p w14:paraId="0DE9AF86" w14:textId="3972F7BD" w:rsidR="00D26C33" w:rsidRPr="009C6C86" w:rsidRDefault="00D26C33" w:rsidP="00D26C33">
            <w:pPr>
              <w:spacing w:line="252" w:lineRule="auto"/>
              <w:jc w:val="center"/>
              <w:rPr>
                <w:b/>
                <w:bCs/>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E61A3AC" w14:textId="77777777" w:rsidR="00D26C33" w:rsidRDefault="00D26C33" w:rsidP="00D26C33">
            <w:pPr>
              <w:pStyle w:val="naisc"/>
              <w:rPr>
                <w:b/>
                <w:bCs/>
                <w:sz w:val="22"/>
                <w:szCs w:val="22"/>
              </w:rPr>
            </w:pPr>
            <w:r w:rsidRPr="00D26C33">
              <w:rPr>
                <w:b/>
                <w:bCs/>
                <w:sz w:val="22"/>
                <w:szCs w:val="22"/>
              </w:rPr>
              <w:t>Ņemts vērā.</w:t>
            </w:r>
          </w:p>
          <w:p w14:paraId="4EABEBBB" w14:textId="2EF44254" w:rsidR="00D26C33" w:rsidRPr="00D26C33" w:rsidRDefault="00D26C33" w:rsidP="00A36443">
            <w:pPr>
              <w:pStyle w:val="naisc"/>
              <w:jc w:val="both"/>
              <w:rPr>
                <w:sz w:val="22"/>
                <w:szCs w:val="22"/>
              </w:rPr>
            </w:pP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179831D" w14:textId="201CB874" w:rsidR="00D26C33" w:rsidRPr="00D26C33" w:rsidRDefault="00D26C33" w:rsidP="00D26C33">
            <w:pPr>
              <w:jc w:val="both"/>
              <w:rPr>
                <w:color w:val="D13438"/>
                <w:sz w:val="22"/>
                <w:szCs w:val="22"/>
              </w:rPr>
            </w:pPr>
            <w:r w:rsidRPr="00D26C33">
              <w:rPr>
                <w:sz w:val="22"/>
                <w:szCs w:val="22"/>
              </w:rPr>
              <w:t>4.Finanšu ministrijai aktualizēt valsts pamatbudžeta ieņēmumus, paredzot akciju sabiedrības “Latvenergo” dividenžu maksājumus, tajā skaitā uzņēmuma ienākuma nodokli, saskaņā ar kapitālsabiedrības apstiprināto vidēja termiņa darbības stratēģiju, paredzot 2021.gadā - ne mazāk kā 89 640 000</w:t>
            </w:r>
            <w:r w:rsidRPr="00D26C33">
              <w:rPr>
                <w:rFonts w:ascii="Calibri Light" w:hAnsi="Calibri Light" w:cs="Calibri Light"/>
                <w:b/>
                <w:bCs/>
                <w:color w:val="FF0000"/>
                <w:sz w:val="22"/>
                <w:szCs w:val="22"/>
              </w:rPr>
              <w:t xml:space="preserve"> </w:t>
            </w:r>
            <w:proofErr w:type="spellStart"/>
            <w:r w:rsidRPr="00D26C33">
              <w:rPr>
                <w:sz w:val="22"/>
                <w:szCs w:val="22"/>
              </w:rPr>
              <w:t>euro</w:t>
            </w:r>
            <w:proofErr w:type="spellEnd"/>
            <w:r w:rsidRPr="00D26C33">
              <w:rPr>
                <w:sz w:val="22"/>
                <w:szCs w:val="22"/>
              </w:rPr>
              <w:t xml:space="preserve"> (ieskaitot uzņēmumu ienākuma nodokli), 2022.gadā - ne mazāk kā 74 500 000 </w:t>
            </w:r>
            <w:proofErr w:type="spellStart"/>
            <w:r w:rsidRPr="00D26C33">
              <w:rPr>
                <w:sz w:val="22"/>
                <w:szCs w:val="22"/>
              </w:rPr>
              <w:t>euro</w:t>
            </w:r>
            <w:proofErr w:type="spellEnd"/>
            <w:r w:rsidRPr="00D26C33">
              <w:rPr>
                <w:sz w:val="22"/>
                <w:szCs w:val="22"/>
              </w:rPr>
              <w:t> (ieskaitot uzņēmumu ienākuma nodokli) un par 2023.gadā - ne mazāk kā 74 500 000  </w:t>
            </w:r>
            <w:proofErr w:type="spellStart"/>
            <w:r w:rsidRPr="00D26C33">
              <w:rPr>
                <w:sz w:val="22"/>
                <w:szCs w:val="22"/>
              </w:rPr>
              <w:t>euro</w:t>
            </w:r>
            <w:proofErr w:type="spellEnd"/>
            <w:r w:rsidRPr="00D26C33">
              <w:rPr>
                <w:sz w:val="22"/>
                <w:szCs w:val="22"/>
              </w:rPr>
              <w:t>.</w:t>
            </w:r>
          </w:p>
          <w:p w14:paraId="7F57AF62" w14:textId="371466E7" w:rsidR="00D26C33" w:rsidRPr="00D26C33" w:rsidRDefault="00D26C33" w:rsidP="00D26C33">
            <w:pPr>
              <w:jc w:val="both"/>
              <w:rPr>
                <w:sz w:val="22"/>
                <w:szCs w:val="22"/>
              </w:rPr>
            </w:pPr>
          </w:p>
        </w:tc>
        <w:tc>
          <w:tcPr>
            <w:tcW w:w="1318" w:type="dxa"/>
          </w:tcPr>
          <w:p w14:paraId="0DAF017B" w14:textId="6D59D79A" w:rsidR="00D26C33" w:rsidRPr="009C6C86" w:rsidRDefault="00D26C33" w:rsidP="00D26C33">
            <w:pPr>
              <w:jc w:val="both"/>
              <w:rPr>
                <w:sz w:val="22"/>
                <w:szCs w:val="22"/>
              </w:rPr>
            </w:pPr>
          </w:p>
        </w:tc>
      </w:tr>
      <w:tr w:rsidR="00D26C33" w:rsidRPr="009C6C86" w14:paraId="3A657F7B"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0C84CFB" w14:textId="110F6E18" w:rsidR="00D26C33" w:rsidRPr="009C6C86" w:rsidRDefault="00D26C33" w:rsidP="00D26C33">
            <w:pPr>
              <w:pStyle w:val="naisc"/>
              <w:rPr>
                <w:sz w:val="22"/>
                <w:szCs w:val="22"/>
              </w:rPr>
            </w:pPr>
            <w:r w:rsidRPr="009C6C86">
              <w:rPr>
                <w:sz w:val="22"/>
                <w:szCs w:val="22"/>
              </w:rPr>
              <w:t>29.</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D1654EB" w14:textId="5EE607D8" w:rsidR="00D26C33" w:rsidRPr="009C6C86" w:rsidRDefault="00D26C33" w:rsidP="00D26C33">
            <w:pPr>
              <w:jc w:val="both"/>
              <w:rPr>
                <w:sz w:val="22"/>
                <w:szCs w:val="22"/>
              </w:rPr>
            </w:pPr>
            <w:r>
              <w:rPr>
                <w:sz w:val="22"/>
                <w:szCs w:val="22"/>
              </w:rPr>
              <w:t>Konceptuālā ziņojuma projekts</w:t>
            </w: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577668E" w14:textId="5C8AE117" w:rsidR="00D26C33" w:rsidRPr="009C6C86" w:rsidRDefault="00D26C33" w:rsidP="00D26C33">
            <w:pPr>
              <w:spacing w:after="160" w:line="252" w:lineRule="auto"/>
              <w:jc w:val="center"/>
              <w:rPr>
                <w:b/>
                <w:bCs/>
                <w:sz w:val="22"/>
                <w:szCs w:val="22"/>
              </w:rPr>
            </w:pPr>
            <w:r w:rsidRPr="009C6C86">
              <w:rPr>
                <w:b/>
                <w:bCs/>
                <w:sz w:val="22"/>
                <w:szCs w:val="22"/>
              </w:rPr>
              <w:t>Finanšu ministrija (28.08.2020)</w:t>
            </w:r>
          </w:p>
          <w:p w14:paraId="3328FB90" w14:textId="7C0B0F30" w:rsidR="00D26C33" w:rsidRPr="009C6C86" w:rsidRDefault="00D26C33" w:rsidP="00D26C33">
            <w:pPr>
              <w:jc w:val="both"/>
              <w:rPr>
                <w:b/>
                <w:bCs/>
                <w:sz w:val="22"/>
                <w:szCs w:val="22"/>
              </w:rPr>
            </w:pPr>
            <w:r w:rsidRPr="009C6C86">
              <w:rPr>
                <w:sz w:val="22"/>
                <w:szCs w:val="22"/>
              </w:rPr>
              <w:t xml:space="preserve">Gadījumā, ja plānots noteikt minimālo dividendēs izmaksājamo summu mazāku kā noteikts Ministru kabineta noteikumu Nr.806 3.punktā un, ņemot vērā, ka šobrīd rīkojuma projekta 5.punktā nav skaidri noteikts, vai dividenžu apmērs, ko AS “Latvenergo” paredzēts izmaksāt valstij atbilst MK noteikumu Nr. 806 3.punktam vai arī ar rīkojuma projekta 5.punktu paredzēts noteikt atšķirīgu prognozējamo dividendēs izmaksājamo peļņas daļu, </w:t>
            </w:r>
            <w:r w:rsidRPr="00D26C33">
              <w:rPr>
                <w:sz w:val="22"/>
                <w:szCs w:val="22"/>
              </w:rPr>
              <w:t xml:space="preserve">lūdzam papildināt konceptuālo ziņojumu ar attiecīgu skaidrojumu un </w:t>
            </w:r>
            <w:r w:rsidRPr="00D26C33">
              <w:rPr>
                <w:sz w:val="22"/>
                <w:szCs w:val="22"/>
              </w:rPr>
              <w:lastRenderedPageBreak/>
              <w:t xml:space="preserve">nepieciešamības gadījumā arī </w:t>
            </w:r>
            <w:proofErr w:type="spellStart"/>
            <w:r w:rsidRPr="00D26C33">
              <w:rPr>
                <w:sz w:val="22"/>
                <w:szCs w:val="22"/>
              </w:rPr>
              <w:t>izvērtējumu</w:t>
            </w:r>
            <w:proofErr w:type="spellEnd"/>
            <w:r w:rsidRPr="00D26C33">
              <w:rPr>
                <w:sz w:val="22"/>
                <w:szCs w:val="22"/>
              </w:rPr>
              <w:t xml:space="preserve"> atbilstoši MK noteikumu Nr.806 6.1. un 6.2.apakšpunktam.</w:t>
            </w:r>
          </w:p>
          <w:p w14:paraId="2990FE64" w14:textId="0406163C" w:rsidR="00D26C33" w:rsidRPr="009C6C86" w:rsidRDefault="00D26C33" w:rsidP="00D26C33">
            <w:pPr>
              <w:spacing w:line="252" w:lineRule="auto"/>
              <w:jc w:val="center"/>
              <w:rPr>
                <w:b/>
                <w:bCs/>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E14C150" w14:textId="4328D681" w:rsidR="00D26C33" w:rsidRPr="00D26C33" w:rsidRDefault="00D26C33" w:rsidP="00D26C33">
            <w:pPr>
              <w:pStyle w:val="naisc"/>
              <w:rPr>
                <w:b/>
                <w:bCs/>
                <w:sz w:val="22"/>
                <w:szCs w:val="22"/>
              </w:rPr>
            </w:pPr>
            <w:r w:rsidRPr="00D26C33">
              <w:rPr>
                <w:b/>
                <w:bCs/>
                <w:sz w:val="22"/>
                <w:szCs w:val="22"/>
              </w:rPr>
              <w:lastRenderedPageBreak/>
              <w:t>Daļēji ņemts vērā</w:t>
            </w:r>
            <w:r>
              <w:rPr>
                <w:b/>
                <w:bCs/>
                <w:sz w:val="22"/>
                <w:szCs w:val="22"/>
              </w:rPr>
              <w:t>.</w:t>
            </w:r>
          </w:p>
          <w:p w14:paraId="60BECE0D" w14:textId="25D38151" w:rsidR="00D26C33" w:rsidRPr="009C6C86" w:rsidRDefault="00D26C33" w:rsidP="00D26C33">
            <w:pPr>
              <w:pStyle w:val="naisc"/>
              <w:jc w:val="both"/>
              <w:rPr>
                <w:sz w:val="22"/>
                <w:szCs w:val="22"/>
              </w:rPr>
            </w:pPr>
            <w:r w:rsidRPr="00960680">
              <w:rPr>
                <w:sz w:val="22"/>
                <w:szCs w:val="22"/>
              </w:rPr>
              <w:t>Visos gados tiek paredzēts izmaksāt vismaz 80% no plānotās pelņas, attiecīgi MK noteikumu Nr.806 noteikto 6.1 un 6.2 punktu gadījumi neiestājas.</w:t>
            </w: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DCCFD5D" w14:textId="2B152FC0" w:rsidR="00D26C33" w:rsidRPr="009C6C86" w:rsidRDefault="00FF4180" w:rsidP="00D26C33">
            <w:pPr>
              <w:jc w:val="both"/>
              <w:rPr>
                <w:sz w:val="22"/>
                <w:szCs w:val="22"/>
                <w:highlight w:val="green"/>
              </w:rPr>
            </w:pPr>
            <w:r>
              <w:rPr>
                <w:sz w:val="22"/>
                <w:szCs w:val="22"/>
              </w:rPr>
              <w:t>Konceptuālā ziņojuma projekts</w:t>
            </w:r>
          </w:p>
        </w:tc>
        <w:tc>
          <w:tcPr>
            <w:tcW w:w="1318" w:type="dxa"/>
          </w:tcPr>
          <w:p w14:paraId="26F45963" w14:textId="2492A4D0" w:rsidR="00D26C33" w:rsidRPr="009C6C86" w:rsidRDefault="00D26C33" w:rsidP="00D26C33">
            <w:pPr>
              <w:jc w:val="both"/>
              <w:rPr>
                <w:sz w:val="22"/>
                <w:szCs w:val="22"/>
              </w:rPr>
            </w:pPr>
          </w:p>
        </w:tc>
      </w:tr>
      <w:tr w:rsidR="00D26C33" w14:paraId="1FB4189E"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BC1EAAC" w14:textId="6BEE1DAD" w:rsidR="00D26C33" w:rsidRDefault="00D26C33" w:rsidP="00D26C33">
            <w:pPr>
              <w:pStyle w:val="naisc"/>
              <w:rPr>
                <w:sz w:val="22"/>
                <w:szCs w:val="22"/>
              </w:rPr>
            </w:pPr>
            <w:r w:rsidRPr="1F93C7B3">
              <w:rPr>
                <w:sz w:val="22"/>
                <w:szCs w:val="22"/>
              </w:rPr>
              <w:t>30.</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FD54D21" w14:textId="12017768" w:rsidR="00D26C33" w:rsidRDefault="00D26C33" w:rsidP="00D26C33">
            <w:pPr>
              <w:shd w:val="clear" w:color="auto" w:fill="FFFFFF" w:themeFill="background1"/>
              <w:spacing w:after="120"/>
              <w:jc w:val="both"/>
              <w:rPr>
                <w:sz w:val="22"/>
                <w:szCs w:val="22"/>
              </w:rPr>
            </w:pPr>
            <w:r w:rsidRPr="208AB4D1">
              <w:rPr>
                <w:sz w:val="22"/>
                <w:szCs w:val="22"/>
              </w:rPr>
              <w:t>Konceptuālā ziņojuma projekts</w:t>
            </w:r>
          </w:p>
          <w:p w14:paraId="06F0F049" w14:textId="71DC7B77" w:rsidR="00D26C33" w:rsidRDefault="00D26C33" w:rsidP="00D26C33">
            <w:pPr>
              <w:jc w:val="both"/>
              <w:rPr>
                <w:sz w:val="22"/>
                <w:szCs w:val="22"/>
              </w:rPr>
            </w:pP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D76514C" w14:textId="645F8C6C" w:rsidR="00D26C33" w:rsidRPr="00D26C33" w:rsidRDefault="00D26C33" w:rsidP="00D26C33">
            <w:pPr>
              <w:spacing w:line="252" w:lineRule="auto"/>
              <w:jc w:val="center"/>
              <w:rPr>
                <w:b/>
                <w:bCs/>
                <w:sz w:val="22"/>
                <w:szCs w:val="22"/>
              </w:rPr>
            </w:pPr>
            <w:r>
              <w:rPr>
                <w:b/>
                <w:bCs/>
                <w:sz w:val="22"/>
                <w:szCs w:val="22"/>
              </w:rPr>
              <w:t>Vides aizsardzības un reģionālās attīstības ministrija</w:t>
            </w:r>
            <w:r w:rsidRPr="00D26C33">
              <w:rPr>
                <w:b/>
                <w:bCs/>
                <w:sz w:val="22"/>
                <w:szCs w:val="22"/>
              </w:rPr>
              <w:t xml:space="preserve"> (25.08.2020.)</w:t>
            </w:r>
          </w:p>
          <w:p w14:paraId="47F9C438" w14:textId="77777777" w:rsidR="00D26C33" w:rsidRPr="00D26C33" w:rsidRDefault="00D26C33" w:rsidP="00D26C33">
            <w:pPr>
              <w:spacing w:line="252" w:lineRule="auto"/>
              <w:jc w:val="center"/>
              <w:rPr>
                <w:b/>
                <w:bCs/>
                <w:sz w:val="22"/>
                <w:szCs w:val="22"/>
              </w:rPr>
            </w:pPr>
          </w:p>
          <w:p w14:paraId="51063643" w14:textId="009B6D9B" w:rsidR="00D26C33" w:rsidRPr="00D26C33" w:rsidRDefault="00D26C33" w:rsidP="00D26C33">
            <w:pPr>
              <w:jc w:val="both"/>
              <w:rPr>
                <w:sz w:val="22"/>
                <w:szCs w:val="22"/>
              </w:rPr>
            </w:pPr>
            <w:r w:rsidRPr="00D26C33">
              <w:rPr>
                <w:sz w:val="22"/>
                <w:szCs w:val="22"/>
              </w:rPr>
              <w:t>Papildināt konceptuālo ziņojumu ar informāciju, atbilstoši Ministru kabineta 2014. gada 12.decembra noteikumu Nr. 737 “Attīstības plānošanas dokumentu izstrādes un ietekmes izvērtēšanas noteikumi” 28. punkta prasībām.</w:t>
            </w:r>
          </w:p>
          <w:p w14:paraId="346E3B44" w14:textId="5168B158" w:rsidR="00D26C33" w:rsidRPr="00D26C33" w:rsidRDefault="00D26C33" w:rsidP="00D26C33">
            <w:pPr>
              <w:spacing w:line="252" w:lineRule="auto"/>
              <w:jc w:val="center"/>
              <w:rPr>
                <w:b/>
                <w:bCs/>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F99CE21" w14:textId="53E963CC" w:rsidR="00D26C33" w:rsidRPr="00D26C33" w:rsidRDefault="00D26C33" w:rsidP="00D26C33">
            <w:pPr>
              <w:pStyle w:val="naisc"/>
              <w:rPr>
                <w:b/>
                <w:bCs/>
                <w:sz w:val="22"/>
                <w:szCs w:val="22"/>
              </w:rPr>
            </w:pPr>
            <w:r w:rsidRPr="00D26C33">
              <w:rPr>
                <w:b/>
                <w:bCs/>
                <w:sz w:val="22"/>
                <w:szCs w:val="22"/>
              </w:rPr>
              <w:t>Daļēji ņemts vērā.</w:t>
            </w:r>
          </w:p>
          <w:p w14:paraId="662A1958" w14:textId="7FB17ABD" w:rsidR="00D26C33" w:rsidRPr="00D26C33" w:rsidRDefault="00D26C33" w:rsidP="00D26C33">
            <w:pPr>
              <w:pStyle w:val="naisc"/>
              <w:jc w:val="both"/>
              <w:rPr>
                <w:sz w:val="22"/>
                <w:szCs w:val="22"/>
              </w:rPr>
            </w:pPr>
            <w:r w:rsidRPr="00D26C33">
              <w:rPr>
                <w:sz w:val="22"/>
                <w:szCs w:val="22"/>
              </w:rPr>
              <w:t>Ekonomikas ministrijas ieskatā konceptuālā ziņojuma struktūra un tajā ietvertā informācija atbilst Ministru kabineta 2014.gada 12.decembra noteikumu Nr.737 “Attīstības un plānošanas dokumentu izstrādes un ietekmes izvērtēšanas noteikumi” 28.punkta prasībām. Papildus ziņojumi par OIK un citiem enerģētikas jautājumiem un to risināšanu ir regulāri aprakstīti ziņojumos, kuri skatīti Ministru kabinetā.</w:t>
            </w: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12D56D6" w14:textId="66D5936B" w:rsidR="00D26C33" w:rsidRDefault="00FF4180" w:rsidP="00D26C33">
            <w:pPr>
              <w:jc w:val="both"/>
              <w:rPr>
                <w:sz w:val="22"/>
                <w:szCs w:val="22"/>
                <w:highlight w:val="green"/>
              </w:rPr>
            </w:pPr>
            <w:r>
              <w:rPr>
                <w:sz w:val="22"/>
                <w:szCs w:val="22"/>
              </w:rPr>
              <w:t>Konceptuālā ziņojuma projekts</w:t>
            </w:r>
          </w:p>
        </w:tc>
        <w:tc>
          <w:tcPr>
            <w:tcW w:w="1318" w:type="dxa"/>
          </w:tcPr>
          <w:p w14:paraId="57365164" w14:textId="72754EC5" w:rsidR="00D26C33" w:rsidRDefault="00D26C33" w:rsidP="00D26C33">
            <w:pPr>
              <w:jc w:val="both"/>
              <w:rPr>
                <w:sz w:val="22"/>
                <w:szCs w:val="22"/>
              </w:rPr>
            </w:pPr>
          </w:p>
        </w:tc>
      </w:tr>
      <w:tr w:rsidR="00D26C33" w14:paraId="6BD98BCB"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781401F" w14:textId="5CC1D7D3" w:rsidR="00D26C33" w:rsidRDefault="00D26C33" w:rsidP="00D26C33">
            <w:pPr>
              <w:pStyle w:val="naisc"/>
              <w:rPr>
                <w:sz w:val="22"/>
                <w:szCs w:val="22"/>
              </w:rPr>
            </w:pPr>
            <w:r w:rsidRPr="1F93C7B3">
              <w:rPr>
                <w:sz w:val="22"/>
                <w:szCs w:val="22"/>
              </w:rPr>
              <w:t>31.</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4DF9DFE" w14:textId="12017768" w:rsidR="00D26C33" w:rsidRDefault="00D26C33" w:rsidP="00D26C33">
            <w:pPr>
              <w:shd w:val="clear" w:color="auto" w:fill="FFFFFF" w:themeFill="background1"/>
              <w:spacing w:after="120"/>
              <w:jc w:val="both"/>
              <w:rPr>
                <w:sz w:val="22"/>
                <w:szCs w:val="22"/>
              </w:rPr>
            </w:pPr>
            <w:r w:rsidRPr="208AB4D1">
              <w:rPr>
                <w:sz w:val="22"/>
                <w:szCs w:val="22"/>
              </w:rPr>
              <w:t>Konceptuālā ziņojuma projekts</w:t>
            </w:r>
          </w:p>
          <w:p w14:paraId="1BB684FA" w14:textId="5DBE699B" w:rsidR="00D26C33" w:rsidRDefault="00D26C33" w:rsidP="00D26C33">
            <w:pPr>
              <w:jc w:val="both"/>
              <w:rPr>
                <w:sz w:val="22"/>
                <w:szCs w:val="22"/>
              </w:rPr>
            </w:pP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CFB4C72" w14:textId="48AFEBCF" w:rsidR="00D26C33" w:rsidRPr="00D26C33" w:rsidRDefault="00D26C33" w:rsidP="00D26C33">
            <w:pPr>
              <w:spacing w:line="252" w:lineRule="auto"/>
              <w:jc w:val="center"/>
              <w:rPr>
                <w:b/>
                <w:bCs/>
                <w:sz w:val="22"/>
                <w:szCs w:val="22"/>
              </w:rPr>
            </w:pPr>
            <w:r>
              <w:rPr>
                <w:b/>
                <w:bCs/>
                <w:sz w:val="22"/>
                <w:szCs w:val="22"/>
              </w:rPr>
              <w:t>Vides aizsardzības un reģionālās attīstības ministrija</w:t>
            </w:r>
            <w:r w:rsidRPr="00D26C33">
              <w:rPr>
                <w:b/>
                <w:bCs/>
                <w:sz w:val="22"/>
                <w:szCs w:val="22"/>
              </w:rPr>
              <w:t xml:space="preserve"> (25.08.2020.)</w:t>
            </w:r>
          </w:p>
          <w:p w14:paraId="131E45B1" w14:textId="3B4738C3" w:rsidR="00D26C33" w:rsidRPr="00D26C33" w:rsidRDefault="00D26C33" w:rsidP="00D26C33">
            <w:pPr>
              <w:spacing w:line="252" w:lineRule="auto"/>
              <w:jc w:val="center"/>
              <w:rPr>
                <w:b/>
                <w:bCs/>
                <w:sz w:val="22"/>
                <w:szCs w:val="22"/>
              </w:rPr>
            </w:pPr>
          </w:p>
          <w:p w14:paraId="3BF66880" w14:textId="0404C4D1" w:rsidR="00D26C33" w:rsidRPr="00D26C33" w:rsidRDefault="00D26C33" w:rsidP="00D26C33">
            <w:pPr>
              <w:spacing w:line="252" w:lineRule="auto"/>
              <w:jc w:val="both"/>
              <w:rPr>
                <w:sz w:val="22"/>
                <w:szCs w:val="22"/>
              </w:rPr>
            </w:pPr>
            <w:r w:rsidRPr="00D26C33">
              <w:rPr>
                <w:sz w:val="22"/>
                <w:szCs w:val="22"/>
              </w:rPr>
              <w:t>Konceptuālā ziņojuma mērķis ir piedāvāt scenārijus obligātā iepirkuma komponentes problemātikas risināšanai, t.sk. atbalsta nosacījumus specifiskiem ar obligāto iepirkumu saistītiem gadījumiem. Tajā pat laikā nav skaidra obligātā iepirkuma sasaiste ar konceptuālajā ziņojumā iekļauto sadaļu un rīcībām par Nacionālā enerģētikas un klimata plāna līdz 2030.gadam pētniecības daļas īstenošanu. Papildināt konceptuālo ziņojumu ar atbilstošu argumentāciju.</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F088EE4" w14:textId="0140412F" w:rsidR="00D26C33" w:rsidRPr="00D26C33" w:rsidRDefault="00D26C33" w:rsidP="00D26C33">
            <w:pPr>
              <w:jc w:val="center"/>
              <w:rPr>
                <w:b/>
                <w:bCs/>
                <w:sz w:val="22"/>
                <w:szCs w:val="22"/>
              </w:rPr>
            </w:pPr>
            <w:r w:rsidRPr="00D26C33">
              <w:rPr>
                <w:b/>
                <w:bCs/>
                <w:sz w:val="22"/>
                <w:szCs w:val="22"/>
              </w:rPr>
              <w:t>Daļēji ņemts vērā.</w:t>
            </w:r>
          </w:p>
          <w:p w14:paraId="19115B07" w14:textId="77777777" w:rsidR="00D26C33" w:rsidRPr="00D26C33" w:rsidRDefault="00D26C33" w:rsidP="00D26C33">
            <w:pPr>
              <w:jc w:val="center"/>
              <w:rPr>
                <w:b/>
                <w:bCs/>
                <w:sz w:val="22"/>
                <w:szCs w:val="22"/>
              </w:rPr>
            </w:pPr>
          </w:p>
          <w:p w14:paraId="4E121F84" w14:textId="6F270561" w:rsidR="00D26C33" w:rsidRPr="00D26C33" w:rsidRDefault="00D26C33" w:rsidP="00D26C33">
            <w:pPr>
              <w:jc w:val="both"/>
              <w:rPr>
                <w:sz w:val="22"/>
                <w:szCs w:val="22"/>
              </w:rPr>
            </w:pPr>
            <w:r w:rsidRPr="00D26C33">
              <w:rPr>
                <w:sz w:val="22"/>
                <w:szCs w:val="22"/>
              </w:rPr>
              <w:t>Paskaidrojam, ka nozaru ministrijas finansējumu VPP veidošanai pieprasa individuāli, ņemot vērā nozares prioritātes un plānošanas dokumentos noteiktos mērķus. NEKP noteikto ambiciozo mērķu sasniegšanai ir nepieciešams īstenot virkni pētījumu un pasākumu enerģētikas nozarē. Šie pasākumi ir tieši saistīti ar 2030.gada mērķiem nepieciešamajām enerģētikas tirgus izmaiņām.</w:t>
            </w:r>
          </w:p>
          <w:p w14:paraId="6831B1F5" w14:textId="1B162BE4" w:rsidR="00D26C33" w:rsidRPr="00D26C33" w:rsidRDefault="00D26C33" w:rsidP="00D26C33">
            <w:pPr>
              <w:pStyle w:val="naisc"/>
              <w:jc w:val="both"/>
              <w:rPr>
                <w:sz w:val="22"/>
                <w:szCs w:val="22"/>
              </w:rPr>
            </w:pP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D573155" w14:textId="36525C33" w:rsidR="00D26C33" w:rsidRPr="00FF4180" w:rsidRDefault="00FF4180" w:rsidP="00D26C33">
            <w:pPr>
              <w:jc w:val="both"/>
            </w:pPr>
            <w:r>
              <w:rPr>
                <w:sz w:val="22"/>
                <w:szCs w:val="22"/>
              </w:rPr>
              <w:t>Konceptuālā ziņojuma projekts</w:t>
            </w:r>
          </w:p>
        </w:tc>
        <w:tc>
          <w:tcPr>
            <w:tcW w:w="1318" w:type="dxa"/>
          </w:tcPr>
          <w:p w14:paraId="4A0ED5A4" w14:textId="504CC955" w:rsidR="00D26C33" w:rsidRDefault="00D26C33" w:rsidP="00D26C33">
            <w:pPr>
              <w:jc w:val="both"/>
              <w:rPr>
                <w:sz w:val="22"/>
                <w:szCs w:val="22"/>
              </w:rPr>
            </w:pPr>
          </w:p>
        </w:tc>
      </w:tr>
      <w:tr w:rsidR="00A23913" w14:paraId="11FAF255"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5C3D74A" w14:textId="4A0582B9" w:rsidR="00A23913" w:rsidRDefault="00A23913" w:rsidP="00A23913">
            <w:pPr>
              <w:pStyle w:val="naisc"/>
              <w:rPr>
                <w:sz w:val="22"/>
                <w:szCs w:val="22"/>
              </w:rPr>
            </w:pPr>
            <w:r>
              <w:rPr>
                <w:sz w:val="22"/>
                <w:szCs w:val="22"/>
              </w:rPr>
              <w:t>32.</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35C553A" w14:textId="77777777" w:rsidR="00A23913" w:rsidRDefault="00A23913" w:rsidP="00A23913">
            <w:pPr>
              <w:shd w:val="clear" w:color="auto" w:fill="FFFFFF" w:themeFill="background1"/>
              <w:spacing w:after="120"/>
              <w:jc w:val="both"/>
              <w:rPr>
                <w:sz w:val="22"/>
                <w:szCs w:val="22"/>
              </w:rPr>
            </w:pPr>
            <w:r w:rsidRPr="208AB4D1">
              <w:rPr>
                <w:sz w:val="22"/>
                <w:szCs w:val="22"/>
              </w:rPr>
              <w:t>Konceptuālā ziņojuma projekts</w:t>
            </w:r>
          </w:p>
          <w:p w14:paraId="4526D83F" w14:textId="77777777" w:rsidR="00A23913" w:rsidRPr="208AB4D1" w:rsidRDefault="00A23913" w:rsidP="00A23913">
            <w:pPr>
              <w:shd w:val="clear" w:color="auto" w:fill="FFFFFF" w:themeFill="background1"/>
              <w:spacing w:after="120"/>
              <w:jc w:val="both"/>
              <w:rPr>
                <w:sz w:val="22"/>
                <w:szCs w:val="22"/>
              </w:rPr>
            </w:pP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EDE236F" w14:textId="77777777" w:rsidR="00A23913" w:rsidRPr="009C6C86" w:rsidRDefault="00A23913" w:rsidP="00A23913">
            <w:pPr>
              <w:spacing w:after="160" w:line="252" w:lineRule="auto"/>
              <w:jc w:val="center"/>
              <w:rPr>
                <w:b/>
                <w:bCs/>
                <w:sz w:val="22"/>
                <w:szCs w:val="22"/>
              </w:rPr>
            </w:pPr>
            <w:r w:rsidRPr="009C6C86">
              <w:rPr>
                <w:b/>
                <w:bCs/>
                <w:sz w:val="22"/>
                <w:szCs w:val="22"/>
              </w:rPr>
              <w:t>Finanšu ministrija (28.08.2020)</w:t>
            </w:r>
          </w:p>
          <w:p w14:paraId="60BC098C" w14:textId="77777777" w:rsidR="00A23913" w:rsidRPr="00A22550" w:rsidRDefault="00A23913" w:rsidP="00A23913">
            <w:pPr>
              <w:spacing w:after="160" w:line="252" w:lineRule="auto"/>
              <w:rPr>
                <w:color w:val="1F4E79"/>
              </w:rPr>
            </w:pPr>
            <w:r>
              <w:t>4</w:t>
            </w:r>
            <w:r w:rsidRPr="00A22550">
              <w:t xml:space="preserve">. Vēršam uzmanību, ka konceptuālā ziņojuma 4.scenārija gadījumā mainās OI mehānisma darbību no tāda, kur </w:t>
            </w:r>
            <w:r w:rsidRPr="00A22550">
              <w:lastRenderedPageBreak/>
              <w:t xml:space="preserve">izmaksas sedz patērētāji (iedzīvotāji) uz tādu, kur izmaksas sedz valsts budžets, kā rezultātā priekšlikuma īstenošana varētu nozīmēt, ka atbilstoši Eiropas Kontu sistēmas metodoloģijai lielākā daļa ar attiecīgās elektroenerģijas ražošanas staciju saistītajiem riskiem ir pārnesti uz publisko partneri un sekojošo aktīvi būtu attiecināmi kā vispārējās valdības sektora aktīvi, radot negatīvu ietekmi uz budžeta bilanci un parādu. Ņemot vērā minēto, lūdzam papildināt konceptuālo ziņojumu, ka risinājuma īstenošanas procesā 4.scenārija priekšlikums pirms </w:t>
            </w:r>
            <w:r>
              <w:t>tā ieviešanas ir jāsaskaņo ar Eiropas Savienības</w:t>
            </w:r>
            <w:r w:rsidRPr="00A22550">
              <w:t xml:space="preserve"> statistikas biroju </w:t>
            </w:r>
            <w:proofErr w:type="spellStart"/>
            <w:r w:rsidRPr="00A22550">
              <w:rPr>
                <w:i/>
                <w:iCs/>
              </w:rPr>
              <w:t>Eurostat</w:t>
            </w:r>
            <w:proofErr w:type="spellEnd"/>
            <w:r w:rsidRPr="00A22550">
              <w:t xml:space="preserve">. </w:t>
            </w:r>
          </w:p>
          <w:p w14:paraId="7E42C2B9" w14:textId="77777777" w:rsidR="00A23913" w:rsidRPr="00D57000" w:rsidRDefault="00A23913" w:rsidP="00A23913">
            <w:pPr>
              <w:spacing w:line="252" w:lineRule="auto"/>
              <w:jc w:val="center"/>
              <w:rPr>
                <w:b/>
                <w:bCs/>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156D290" w14:textId="77777777" w:rsidR="00CC1B2A" w:rsidRDefault="00CC1B2A" w:rsidP="00CC1B2A">
            <w:pPr>
              <w:pStyle w:val="naisc"/>
              <w:rPr>
                <w:b/>
                <w:bCs/>
                <w:sz w:val="22"/>
                <w:szCs w:val="22"/>
              </w:rPr>
            </w:pPr>
            <w:r w:rsidRPr="00D26C33">
              <w:rPr>
                <w:b/>
                <w:bCs/>
                <w:sz w:val="22"/>
                <w:szCs w:val="22"/>
              </w:rPr>
              <w:lastRenderedPageBreak/>
              <w:t>Ņemts vērā.</w:t>
            </w:r>
          </w:p>
          <w:p w14:paraId="62352B3E" w14:textId="77777777" w:rsidR="00A23913" w:rsidRPr="00D26C33" w:rsidRDefault="00A23913" w:rsidP="00A23913">
            <w:pPr>
              <w:jc w:val="center"/>
              <w:rPr>
                <w:b/>
                <w:bCs/>
                <w:sz w:val="22"/>
                <w:szCs w:val="22"/>
              </w:rPr>
            </w:pP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CC8C310" w14:textId="2A8A6720" w:rsidR="00A23913" w:rsidRPr="00631834" w:rsidRDefault="00CC1B2A" w:rsidP="00A23913">
            <w:pPr>
              <w:tabs>
                <w:tab w:val="left" w:pos="1134"/>
              </w:tabs>
              <w:jc w:val="both"/>
              <w:rPr>
                <w:sz w:val="22"/>
                <w:szCs w:val="22"/>
              </w:rPr>
            </w:pPr>
            <w:r w:rsidRPr="00631834">
              <w:rPr>
                <w:sz w:val="22"/>
                <w:szCs w:val="22"/>
              </w:rPr>
              <w:t xml:space="preserve">Konceptuālā ziņojuma projekta 3.4. sadaļa papildināta “Risinājuma īstenošanas procesā 4.scenārija priekšlikums pirms tā ieviešanas ir </w:t>
            </w:r>
            <w:r w:rsidRPr="00631834">
              <w:rPr>
                <w:sz w:val="22"/>
                <w:szCs w:val="22"/>
              </w:rPr>
              <w:lastRenderedPageBreak/>
              <w:t xml:space="preserve">jāsaskaņo ar Eiropas Savienības statistikas biroju </w:t>
            </w:r>
            <w:proofErr w:type="spellStart"/>
            <w:r w:rsidRPr="00631834">
              <w:rPr>
                <w:i/>
                <w:iCs/>
                <w:sz w:val="22"/>
                <w:szCs w:val="22"/>
              </w:rPr>
              <w:t>Eurostat</w:t>
            </w:r>
            <w:proofErr w:type="spellEnd"/>
            <w:r w:rsidRPr="00631834">
              <w:rPr>
                <w:sz w:val="22"/>
                <w:szCs w:val="22"/>
              </w:rPr>
              <w:t xml:space="preserve">.” </w:t>
            </w:r>
          </w:p>
        </w:tc>
        <w:tc>
          <w:tcPr>
            <w:tcW w:w="1318" w:type="dxa"/>
          </w:tcPr>
          <w:p w14:paraId="2CF018FA" w14:textId="77777777" w:rsidR="00A23913" w:rsidRDefault="00A23913" w:rsidP="00A23913">
            <w:pPr>
              <w:jc w:val="both"/>
              <w:rPr>
                <w:sz w:val="22"/>
                <w:szCs w:val="22"/>
              </w:rPr>
            </w:pPr>
          </w:p>
        </w:tc>
      </w:tr>
      <w:tr w:rsidR="00A23913" w14:paraId="43C3B074"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BEEEE80" w14:textId="29D74EF5" w:rsidR="00A23913" w:rsidRPr="1F93C7B3" w:rsidRDefault="00A23913" w:rsidP="00A23913">
            <w:pPr>
              <w:pStyle w:val="naisc"/>
              <w:rPr>
                <w:sz w:val="22"/>
                <w:szCs w:val="22"/>
              </w:rPr>
            </w:pPr>
            <w:r>
              <w:rPr>
                <w:sz w:val="22"/>
                <w:szCs w:val="22"/>
              </w:rPr>
              <w:t>33.</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3D0951A" w14:textId="77777777" w:rsidR="00A23913" w:rsidRDefault="00A23913" w:rsidP="00A23913">
            <w:pPr>
              <w:shd w:val="clear" w:color="auto" w:fill="FFFFFF" w:themeFill="background1"/>
              <w:spacing w:after="120"/>
              <w:jc w:val="both"/>
              <w:rPr>
                <w:sz w:val="22"/>
                <w:szCs w:val="22"/>
              </w:rPr>
            </w:pPr>
            <w:r w:rsidRPr="208AB4D1">
              <w:rPr>
                <w:sz w:val="22"/>
                <w:szCs w:val="22"/>
              </w:rPr>
              <w:t>Konceptuālā ziņojuma projekts</w:t>
            </w:r>
          </w:p>
          <w:p w14:paraId="684064C9" w14:textId="77777777" w:rsidR="00A23913" w:rsidRPr="208AB4D1" w:rsidRDefault="00A23913" w:rsidP="00A23913">
            <w:pPr>
              <w:shd w:val="clear" w:color="auto" w:fill="FFFFFF" w:themeFill="background1"/>
              <w:spacing w:after="120"/>
              <w:jc w:val="both"/>
              <w:rPr>
                <w:sz w:val="22"/>
                <w:szCs w:val="22"/>
              </w:rPr>
            </w:pP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98B9D0F" w14:textId="7C4DA8F7" w:rsidR="00A23913" w:rsidRDefault="00A23913" w:rsidP="00A23913">
            <w:pPr>
              <w:spacing w:line="252" w:lineRule="auto"/>
              <w:jc w:val="center"/>
              <w:rPr>
                <w:b/>
                <w:bCs/>
                <w:sz w:val="22"/>
                <w:szCs w:val="22"/>
              </w:rPr>
            </w:pPr>
            <w:r w:rsidRPr="00D57000">
              <w:rPr>
                <w:b/>
                <w:bCs/>
                <w:sz w:val="22"/>
                <w:szCs w:val="22"/>
              </w:rPr>
              <w:t>Tieslietu ministrija (06.09.2020.)</w:t>
            </w:r>
          </w:p>
          <w:p w14:paraId="4A5800B1" w14:textId="77777777" w:rsidR="00631834" w:rsidRPr="00D57000" w:rsidRDefault="00631834" w:rsidP="00A23913">
            <w:pPr>
              <w:spacing w:line="252" w:lineRule="auto"/>
              <w:jc w:val="center"/>
              <w:rPr>
                <w:b/>
                <w:bCs/>
                <w:sz w:val="22"/>
                <w:szCs w:val="22"/>
              </w:rPr>
            </w:pPr>
          </w:p>
          <w:p w14:paraId="0C1527FC" w14:textId="77777777" w:rsidR="00A23913" w:rsidRPr="00D57000" w:rsidRDefault="00A23913" w:rsidP="00A23913">
            <w:pPr>
              <w:rPr>
                <w:sz w:val="22"/>
                <w:szCs w:val="22"/>
              </w:rPr>
            </w:pPr>
            <w:r w:rsidRPr="00D57000">
              <w:rPr>
                <w:sz w:val="22"/>
                <w:szCs w:val="22"/>
              </w:rPr>
              <w:t xml:space="preserve">Vēršam uzmanību, ka ziņojuma projektā iztrūkst informācijas par vairākiem svarīgiem aspektiem. Pirmkārt, ziņojuma projektā trūkst izklāsta par problemātiku, kuras dēļ vispār ziņojuma projekts sagatavots, proti, tajā ir apraksts par obligātā iepirkuma komponenti, taču nav ietverts Ekonomikas ministrijas kā nozares politikas veidotājas redzējums par aktuālajām problēmām elektroenerģijas tirgū saistībā ar obligātā iepirkuma komponenti, līdz ar to nav arī līdz galam skaidrs, kādas tieši problēmas radušās pašreiz spēkā esošā obligātā </w:t>
            </w:r>
            <w:r w:rsidRPr="00D57000">
              <w:rPr>
                <w:sz w:val="22"/>
                <w:szCs w:val="22"/>
              </w:rPr>
              <w:lastRenderedPageBreak/>
              <w:t xml:space="preserve">iepirkuma komponentes regulējuma ietvaros, vai regulējums būtu jāgroza, un kādi mērķi elektroenerģijas tirgū saistībā ar atjaunojamajiem energoresursiem un augstas efektivitātes koģenerācijā būtu sasniedzami obligātā iepirkuma komponentes problemātikas risināšanā un elektroenerģijas tirgus attīstībā. Otrkārt, pēc tam, kad tiek definēta ar obligātā iepirkuma komponenti saistītā problemātika, ir nepieciešams attiecībā uz visiem ziņojuma projektā piedāvātajiem risinājumu variantiem skaidrot, vai un kā tie varētu/nevarētu risināt obligātā iepirkuma komponentes problemātiku, lai Ministru kabinets varētu lemt par to, vai ir atbalstāms Ministru kabineta rīkojuma projekta "Par konceptuālo ziņojumu "Kompleksi pasākumi obligātā iepirkuma komponentes problemātikas risināšanai un elektroenerģijas tirgus attīstībai"" (turpmāk – rīkojuma projekts) 1. punktā minētais risinājuma variants. No ziņojuma projekta ir jābūt skaidram, vai un kādēļ izvēlētais risinājums ir uzskatāms par tādu, kas visveiksmīgāk un efektīvāk risina konstatēto problemātiku. Turklāt ziņojuma projektā būtu jāatspoguļo risinājumu </w:t>
            </w:r>
            <w:proofErr w:type="spellStart"/>
            <w:r w:rsidRPr="00D57000">
              <w:rPr>
                <w:sz w:val="22"/>
                <w:szCs w:val="22"/>
              </w:rPr>
              <w:t>izvērtējums</w:t>
            </w:r>
            <w:proofErr w:type="spellEnd"/>
            <w:r w:rsidRPr="00D57000">
              <w:rPr>
                <w:sz w:val="22"/>
                <w:szCs w:val="22"/>
              </w:rPr>
              <w:t xml:space="preserve"> no dažādiem aspektiem, nevis tikai no valsts budžeta līdzekļu izlietojuma viedokļa, piemēram, tajā būtu jāiekļauj arī informācija par to, kā risinājumi ietekmēs elektroenerģijas galalietotājus un elektroenerģijas ražotājus, kuriem tiek sniegts atbalsts, izmantojot obligātā iepirkuma komponenti. Tāpat arī uzskatām, ka ziņojuma projektā </w:t>
            </w:r>
            <w:r w:rsidRPr="00D57000">
              <w:rPr>
                <w:sz w:val="22"/>
                <w:szCs w:val="22"/>
              </w:rPr>
              <w:lastRenderedPageBreak/>
              <w:t xml:space="preserve">nepieciešams ietvert informāciju par to, vai un kādas izmaiņas izvēlētais risinājuma variants prasītu šobrīd spēkā esošajā regulējumā, un kā tas salāgojams ar prasībām, kuras Latvijas Republikai ir noteiktas saskaņā ar Eiropas Savienības tiesību aktiem. </w:t>
            </w:r>
          </w:p>
          <w:p w14:paraId="22ABB8BA" w14:textId="77777777" w:rsidR="00A23913" w:rsidRPr="00D57000" w:rsidRDefault="00A23913" w:rsidP="00A23913">
            <w:pPr>
              <w:ind w:firstLine="720"/>
              <w:rPr>
                <w:i/>
                <w:iCs/>
                <w:sz w:val="22"/>
                <w:szCs w:val="22"/>
              </w:rPr>
            </w:pPr>
            <w:r w:rsidRPr="00D57000">
              <w:rPr>
                <w:sz w:val="22"/>
                <w:szCs w:val="22"/>
              </w:rPr>
              <w:t>Vēršam uzmanību uz to, ka, ja izvēlētā risinājuma ietvaros tiek plānots samazināt atbalstu elektroenerģijas ražotājiem (kas ražo elektroenerģiju no atjaunojamiem energoresursiem), tas izvērtējams no viņu tiesību uz īpašumu ierobežojuma aspekta un tiesiskās paļāvības principa kontekstā. Latvijas Republikas Satversmes 105. pants paredz, ka ikvienam ir tiesības uz īpašumu. Ar "tiesībām uz īpašumu" saprotamas visas mantiska rakstura tiesības, kuras tiesīgā persona var izlietot par labu sev un ar kurām tā var rīkoties pēc savas gribas, kā arī dažādas ekonomiskās intereses (</w:t>
            </w:r>
            <w:r w:rsidRPr="00D57000">
              <w:rPr>
                <w:i/>
                <w:iCs/>
                <w:sz w:val="22"/>
                <w:szCs w:val="22"/>
              </w:rPr>
              <w:t>skat., piemēram, Latvijas Republikas Satversmes tiesas 2011. gada 30. marta sprieduma lietā Nr. 2010-60-01 17.1. apakšpunktu un 2012. gada 7. jūnija sprieduma lietā Nr. 2011-19-01 9.1. apakšpunktu</w:t>
            </w:r>
            <w:r w:rsidRPr="00D57000">
              <w:rPr>
                <w:sz w:val="22"/>
                <w:szCs w:val="22"/>
              </w:rPr>
              <w:t xml:space="preserve">). Ņemot vērā minēto, ja tiek plānots atcelt vai samazināt personai līdz šim garantētās tiesības (atbalsta sniegšana), ir jāizvērtē, vai šāds ierobežojums ir attaisnojams, kā ietvaros ir jāpamato gan ierobežojuma leģitīmais mērķis, gan tā atbilstība samērīguma principam. </w:t>
            </w:r>
          </w:p>
          <w:p w14:paraId="09676D62" w14:textId="28C2E867" w:rsidR="00A23913" w:rsidRPr="00D57000" w:rsidRDefault="00A23913" w:rsidP="00A23913">
            <w:pPr>
              <w:ind w:firstLine="720"/>
              <w:rPr>
                <w:i/>
                <w:iCs/>
                <w:sz w:val="22"/>
                <w:szCs w:val="22"/>
              </w:rPr>
            </w:pPr>
            <w:r w:rsidRPr="00D57000">
              <w:rPr>
                <w:sz w:val="22"/>
                <w:szCs w:val="22"/>
              </w:rPr>
              <w:t xml:space="preserve">Ņemot vērā minēto, ziņojuma projektu nepieciešams papildināt ar iepriekš minēto informāciju, plašāk </w:t>
            </w:r>
            <w:r w:rsidRPr="00D57000">
              <w:rPr>
                <w:sz w:val="22"/>
                <w:szCs w:val="22"/>
              </w:rPr>
              <w:lastRenderedPageBreak/>
              <w:t xml:space="preserve">aprakstot ar obligātā iepirkuma komponenti saistīto konstatēto problemātiku, kuras risināšanai sagatavots ziņojuma projekts, risinājumu efektivitāti problemātikas risināšanai un to ietekmi uz dažādiem subjektiem, ar izvēlēto risinājumu saistītās nepieciešamās izmaiņas normatīvajā regulējumā (un kā tas vērtējams kopsakarā ar Eiropas Savienības tiesību aktos noteiktajiem dalībvalstu pienākumiem elektroenerģijas jomā), kā arī ziņojuma projektā nepieciešams ietvert izvērstākus secinājumus par to, kādēļ uzskatāms, ka izvēlētais risinājums visveiksmīgāk atrisinātu ar obligātā iepirkuma komponenti saistīto problemātiku, kā arī šī risinājuma </w:t>
            </w:r>
            <w:proofErr w:type="spellStart"/>
            <w:r w:rsidRPr="00D57000">
              <w:rPr>
                <w:sz w:val="22"/>
                <w:szCs w:val="22"/>
              </w:rPr>
              <w:t>izvērtējumu</w:t>
            </w:r>
            <w:proofErr w:type="spellEnd"/>
            <w:r w:rsidRPr="00D57000">
              <w:rPr>
                <w:sz w:val="22"/>
                <w:szCs w:val="22"/>
              </w:rPr>
              <w:t xml:space="preserve"> kontekstā ar Latvijas Republikas Satversmē ietvertajiem principiem, ja tas varētu skart atbalsta saņēmēju tiesības uz īpašumu.</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6414BC4" w14:textId="5D3D56B3" w:rsidR="00A23913" w:rsidRDefault="00A23913" w:rsidP="00A23913">
            <w:pPr>
              <w:jc w:val="center"/>
              <w:rPr>
                <w:b/>
                <w:bCs/>
                <w:sz w:val="22"/>
                <w:szCs w:val="22"/>
              </w:rPr>
            </w:pPr>
            <w:r w:rsidRPr="00D26C33">
              <w:rPr>
                <w:b/>
                <w:bCs/>
                <w:sz w:val="22"/>
                <w:szCs w:val="22"/>
              </w:rPr>
              <w:lastRenderedPageBreak/>
              <w:t>Daļēji ņemts vērā.</w:t>
            </w:r>
          </w:p>
          <w:p w14:paraId="1533F4FC" w14:textId="77777777" w:rsidR="00631834" w:rsidRPr="00D26C33" w:rsidRDefault="00631834" w:rsidP="00A23913">
            <w:pPr>
              <w:jc w:val="center"/>
              <w:rPr>
                <w:b/>
                <w:bCs/>
                <w:sz w:val="22"/>
                <w:szCs w:val="22"/>
              </w:rPr>
            </w:pPr>
          </w:p>
          <w:p w14:paraId="52102931" w14:textId="054A26DD" w:rsidR="00A23913" w:rsidRDefault="00A23913" w:rsidP="00A23913">
            <w:pPr>
              <w:spacing w:after="120"/>
              <w:jc w:val="both"/>
              <w:rPr>
                <w:sz w:val="22"/>
                <w:szCs w:val="22"/>
              </w:rPr>
            </w:pPr>
            <w:r>
              <w:rPr>
                <w:sz w:val="22"/>
                <w:szCs w:val="22"/>
              </w:rPr>
              <w:t>Papildināta k</w:t>
            </w:r>
            <w:r w:rsidRPr="00166D48">
              <w:rPr>
                <w:sz w:val="22"/>
                <w:szCs w:val="22"/>
              </w:rPr>
              <w:t xml:space="preserve">onceptuālā ziņojuma </w:t>
            </w:r>
            <w:r>
              <w:rPr>
                <w:sz w:val="22"/>
                <w:szCs w:val="22"/>
              </w:rPr>
              <w:t xml:space="preserve">projekta 1. sadaļa, </w:t>
            </w:r>
            <w:r w:rsidR="00631834">
              <w:rPr>
                <w:sz w:val="22"/>
                <w:szCs w:val="22"/>
              </w:rPr>
              <w:t xml:space="preserve">3.3. sadaļa un </w:t>
            </w:r>
            <w:r w:rsidR="00CC1B2A">
              <w:rPr>
                <w:sz w:val="22"/>
                <w:szCs w:val="22"/>
              </w:rPr>
              <w:t>3.4</w:t>
            </w:r>
            <w:r w:rsidR="00631834">
              <w:rPr>
                <w:sz w:val="22"/>
                <w:szCs w:val="22"/>
              </w:rPr>
              <w:t>.</w:t>
            </w:r>
            <w:r w:rsidR="00CC1B2A">
              <w:rPr>
                <w:sz w:val="22"/>
                <w:szCs w:val="22"/>
              </w:rPr>
              <w:t>. sadaļa</w:t>
            </w:r>
            <w:r w:rsidR="00631834">
              <w:rPr>
                <w:sz w:val="22"/>
                <w:szCs w:val="22"/>
              </w:rPr>
              <w:t>.</w:t>
            </w:r>
          </w:p>
          <w:p w14:paraId="5F904E7B" w14:textId="0B9C9840" w:rsidR="00A23913" w:rsidRPr="004E4FBE" w:rsidRDefault="00631834" w:rsidP="00A23913">
            <w:pPr>
              <w:spacing w:after="120"/>
            </w:pPr>
            <w:r>
              <w:rPr>
                <w:sz w:val="22"/>
                <w:szCs w:val="22"/>
              </w:rPr>
              <w:t>Paskaidrojam, ka p</w:t>
            </w:r>
            <w:r w:rsidRPr="00CC1B2A">
              <w:rPr>
                <w:sz w:val="22"/>
                <w:szCs w:val="22"/>
              </w:rPr>
              <w:t xml:space="preserve">iedāvātais OIK mazināšanas scenārijs neparedz elektroenerģijas obligātā iepirkuma un garantētās maksas maksājumu atcelšanu, bet gan tā daļēju finansēšanu no valsts budžeta līdzekļiem, nav sagaidāma tā ietekme uz Latvijas starptautiskajām saistībām atjaunojamās enerģijas jomā, siltumenerģijas cenām, elektroenerģijas jaudu nodrošinājumu vai Latvijas enerģētisko neatkarību. OIK daļēja </w:t>
            </w:r>
            <w:r w:rsidRPr="00CC1B2A">
              <w:rPr>
                <w:sz w:val="22"/>
                <w:szCs w:val="22"/>
              </w:rPr>
              <w:lastRenderedPageBreak/>
              <w:t>finansēšana no valsts budžeta neietekmēs elektroenerģijas ražotāju, kas saņem valsts atbalstu, darbību.</w:t>
            </w:r>
          </w:p>
          <w:p w14:paraId="5FDBED77" w14:textId="3E1FAA83" w:rsidR="00A23913" w:rsidRPr="00166D48" w:rsidRDefault="00A23913" w:rsidP="00A23913">
            <w:pPr>
              <w:jc w:val="both"/>
              <w:rPr>
                <w:sz w:val="22"/>
                <w:szCs w:val="22"/>
              </w:rPr>
            </w:pP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A547EA2" w14:textId="795383D8" w:rsidR="002E188A" w:rsidRDefault="00A23913" w:rsidP="002E188A">
            <w:pPr>
              <w:rPr>
                <w:sz w:val="22"/>
                <w:szCs w:val="22"/>
              </w:rPr>
            </w:pPr>
            <w:r w:rsidRPr="00631834">
              <w:rPr>
                <w:sz w:val="22"/>
                <w:szCs w:val="22"/>
              </w:rPr>
              <w:lastRenderedPageBreak/>
              <w:t>Konceptuālā ziņojuma projekta 1.sadaļa</w:t>
            </w:r>
            <w:r w:rsidR="00631834">
              <w:rPr>
                <w:sz w:val="22"/>
                <w:szCs w:val="22"/>
              </w:rPr>
              <w:t>:</w:t>
            </w:r>
          </w:p>
          <w:p w14:paraId="13F5EFD4" w14:textId="77777777" w:rsidR="00631834" w:rsidRPr="00631834" w:rsidRDefault="00631834" w:rsidP="002E188A">
            <w:pPr>
              <w:rPr>
                <w:sz w:val="22"/>
                <w:szCs w:val="22"/>
              </w:rPr>
            </w:pPr>
          </w:p>
          <w:p w14:paraId="0CCE6C90" w14:textId="0C733211" w:rsidR="002E188A" w:rsidRPr="00631834" w:rsidRDefault="00A23913" w:rsidP="00631834">
            <w:pPr>
              <w:jc w:val="both"/>
              <w:rPr>
                <w:sz w:val="22"/>
                <w:szCs w:val="22"/>
              </w:rPr>
            </w:pPr>
            <w:r w:rsidRPr="00631834">
              <w:rPr>
                <w:sz w:val="22"/>
                <w:szCs w:val="22"/>
              </w:rPr>
              <w:t xml:space="preserve"> “</w:t>
            </w:r>
            <w:r w:rsidR="002E188A" w:rsidRPr="00631834">
              <w:rPr>
                <w:sz w:val="22"/>
                <w:szCs w:val="22"/>
              </w:rPr>
              <w:t xml:space="preserve">Pašreizējā Latvijas ekonomikas attīstības līmenī esošais OIK maksājuma apmērs elektroenerģijas gala lietotājiem radījis būtisku slogu, atstājot negatīvu ietekmi uz Latvijas globālo konkurētspēju ilgtermiņā, ko vēl vairāk pastiprina globālās pandēmijas radītās ietekmes. . </w:t>
            </w:r>
          </w:p>
          <w:p w14:paraId="66277FBD" w14:textId="568AD921" w:rsidR="002E188A" w:rsidRPr="00631834" w:rsidRDefault="002E188A" w:rsidP="00631834">
            <w:pPr>
              <w:jc w:val="both"/>
              <w:rPr>
                <w:sz w:val="22"/>
                <w:szCs w:val="22"/>
              </w:rPr>
            </w:pPr>
            <w:r w:rsidRPr="00631834">
              <w:rPr>
                <w:sz w:val="22"/>
                <w:szCs w:val="22"/>
              </w:rPr>
              <w:t xml:space="preserve">Lai arī pēdējos gados valdības īstenotās politikas rezultātā ir izdevies būtiski mazināt elektroenerģijas izmaksu slogu noteiktām elektroenerģijas lietotāju grupām, aplūkojot reģionālā griezumā, </w:t>
            </w:r>
            <w:r w:rsidRPr="00631834">
              <w:rPr>
                <w:sz w:val="22"/>
                <w:szCs w:val="22"/>
              </w:rPr>
              <w:lastRenderedPageBreak/>
              <w:t>joprojām mazo un vidējo uzņēmumu elektroenerģijas izmaksas Latvijā ir vērtējamas kā salīdzinoši augstas, tādējādi samazinot rūpniecības, īpaši apstrādes rūpniecības attīstības iespējas. Energoresursu izmaksu īpatsvars uzņēmumu apgrozījumā īpaši kritisks ir kļuvis piespiedu ekonomiskās dīkstāves laikā.</w:t>
            </w:r>
          </w:p>
          <w:p w14:paraId="43FC31C8" w14:textId="5A093D8E" w:rsidR="00A23913" w:rsidRPr="00631834" w:rsidRDefault="002E188A" w:rsidP="002E188A">
            <w:pPr>
              <w:jc w:val="both"/>
              <w:rPr>
                <w:sz w:val="22"/>
                <w:szCs w:val="22"/>
              </w:rPr>
            </w:pPr>
            <w:r w:rsidRPr="00631834">
              <w:rPr>
                <w:sz w:val="22"/>
                <w:szCs w:val="22"/>
              </w:rPr>
              <w:t>Līdz šim ar Ministru kabineta lēmumiem OIK ir bijusi fiksēta noteiktā līmenī, šim mērķim novirzot budžeta līdzekļus, kā arī ir piešķirti līdzekļu atbalstam energoietilpīgiem apstrādes rūpniecības uzņēmumiem</w:t>
            </w:r>
            <w:r w:rsidR="00FB69BF">
              <w:rPr>
                <w:sz w:val="22"/>
                <w:szCs w:val="22"/>
              </w:rPr>
              <w:t>, aizsargāto lietotāju atbalstam</w:t>
            </w:r>
            <w:r w:rsidRPr="00631834">
              <w:rPr>
                <w:sz w:val="22"/>
                <w:szCs w:val="22"/>
              </w:rPr>
              <w:t xml:space="preserve"> un Valsts pētījumu programmai enerģētikā. Vidēja termiņa budžetā 2020. – 2022.gadam nav iezīmēti līdzekļi minētajiem pasākumiem</w:t>
            </w:r>
            <w:r w:rsidR="00A23913" w:rsidRPr="00631834">
              <w:rPr>
                <w:sz w:val="22"/>
                <w:szCs w:val="22"/>
              </w:rPr>
              <w:t>”.</w:t>
            </w:r>
          </w:p>
          <w:p w14:paraId="0A6114AD" w14:textId="4962ED77" w:rsidR="002E188A" w:rsidRPr="00631834" w:rsidRDefault="002E188A" w:rsidP="002E188A">
            <w:pPr>
              <w:jc w:val="both"/>
              <w:rPr>
                <w:sz w:val="22"/>
                <w:szCs w:val="22"/>
              </w:rPr>
            </w:pPr>
          </w:p>
          <w:p w14:paraId="733CC60B" w14:textId="7D868FB3" w:rsidR="002E188A" w:rsidRPr="00631834" w:rsidRDefault="002E188A" w:rsidP="002E188A">
            <w:pPr>
              <w:jc w:val="both"/>
              <w:rPr>
                <w:sz w:val="22"/>
                <w:szCs w:val="22"/>
              </w:rPr>
            </w:pPr>
          </w:p>
          <w:p w14:paraId="035A832B" w14:textId="37F3556F" w:rsidR="002E188A" w:rsidRPr="00631834" w:rsidRDefault="002E188A" w:rsidP="00631834">
            <w:pPr>
              <w:pStyle w:val="BodyText2"/>
              <w:spacing w:line="240" w:lineRule="auto"/>
              <w:jc w:val="both"/>
              <w:rPr>
                <w:sz w:val="22"/>
                <w:szCs w:val="22"/>
              </w:rPr>
            </w:pPr>
            <w:r w:rsidRPr="00631834">
              <w:rPr>
                <w:sz w:val="22"/>
                <w:szCs w:val="22"/>
              </w:rPr>
              <w:t>Konceptuālā ziņojuma projekta 1.1. sadaļa papildināta:</w:t>
            </w:r>
          </w:p>
          <w:p w14:paraId="78779E6B" w14:textId="7B3E6B1E" w:rsidR="002E188A" w:rsidRPr="00631834" w:rsidRDefault="002E188A" w:rsidP="00631834">
            <w:pPr>
              <w:pStyle w:val="BodyText2"/>
              <w:spacing w:line="240" w:lineRule="auto"/>
              <w:jc w:val="both"/>
              <w:rPr>
                <w:sz w:val="22"/>
                <w:szCs w:val="22"/>
              </w:rPr>
            </w:pPr>
            <w:r w:rsidRPr="00631834">
              <w:rPr>
                <w:sz w:val="22"/>
                <w:szCs w:val="22"/>
              </w:rPr>
              <w:t>“Elektroenerģijas tirgus cenas samazinājuma rezultātā 2020. gadā, prognozētā OIK 2021. gadā pārsniegs līdzšinējo politikā noteiktos ierobežojuma griestus 22,68 EUR/</w:t>
            </w:r>
            <w:proofErr w:type="spellStart"/>
            <w:r w:rsidRPr="00631834">
              <w:rPr>
                <w:sz w:val="22"/>
                <w:szCs w:val="22"/>
              </w:rPr>
              <w:t>MWh</w:t>
            </w:r>
            <w:proofErr w:type="spellEnd"/>
            <w:r w:rsidRPr="00631834">
              <w:rPr>
                <w:sz w:val="22"/>
                <w:szCs w:val="22"/>
              </w:rPr>
              <w:t xml:space="preserve"> apmērā. Tādējādi pretēji valdības noteiktajam mērķim par OIK mazināšanu bez papildu valsts budžeta dotācijas OIK  2021. un 2022.gadā salīdzinājumā ar 2020.gada līmeni palielinātos. Ņemot vērā minēto, Ministru kabinetam ir jālemj par atbilstošo risinājumu.”</w:t>
            </w:r>
          </w:p>
          <w:p w14:paraId="2B880264" w14:textId="32E7B510" w:rsidR="00CC1B2A" w:rsidRPr="00631834" w:rsidRDefault="00CC1B2A" w:rsidP="00631834">
            <w:pPr>
              <w:jc w:val="both"/>
              <w:rPr>
                <w:sz w:val="22"/>
                <w:szCs w:val="22"/>
              </w:rPr>
            </w:pPr>
          </w:p>
          <w:p w14:paraId="7E19E958" w14:textId="18096CB3" w:rsidR="00E54C45" w:rsidRPr="00631834" w:rsidRDefault="00E54C45" w:rsidP="00A23913">
            <w:pPr>
              <w:jc w:val="both"/>
              <w:rPr>
                <w:sz w:val="22"/>
                <w:szCs w:val="22"/>
              </w:rPr>
            </w:pPr>
            <w:r w:rsidRPr="00631834">
              <w:rPr>
                <w:sz w:val="22"/>
                <w:szCs w:val="22"/>
              </w:rPr>
              <w:t>Konceptuālā ziņojuma projekta 3.3. sadaļa papildināta:</w:t>
            </w:r>
          </w:p>
          <w:p w14:paraId="52C8B713" w14:textId="6A87AB3B" w:rsidR="00E54C45" w:rsidRPr="00631834" w:rsidRDefault="00E54C45" w:rsidP="00A23913">
            <w:pPr>
              <w:jc w:val="both"/>
              <w:rPr>
                <w:sz w:val="22"/>
                <w:szCs w:val="22"/>
              </w:rPr>
            </w:pPr>
            <w:r w:rsidRPr="00631834">
              <w:rPr>
                <w:sz w:val="22"/>
                <w:szCs w:val="22"/>
              </w:rPr>
              <w:t>“Tādējādi salīdzinājumā ar esošo situāciju, mazinot izdevumus par elektroenerģiju, tiktu veicināta komersantu konkurētspēja un izdevumu samazinājums mājsaimniecībā</w:t>
            </w:r>
            <w:r w:rsidR="00AE43A8">
              <w:rPr>
                <w:sz w:val="22"/>
                <w:szCs w:val="22"/>
              </w:rPr>
              <w:t>m</w:t>
            </w:r>
            <w:r w:rsidRPr="00631834">
              <w:rPr>
                <w:sz w:val="22"/>
                <w:szCs w:val="22"/>
              </w:rPr>
              <w:t xml:space="preserve">. Vienlaikus ar šo risinājumu tiktu nodrošināts, ka daļa Latvenergo koncerna dividenžu būtu citām budžeta vajadzībām  (20 milj. </w:t>
            </w:r>
            <w:proofErr w:type="spellStart"/>
            <w:r w:rsidRPr="00631834">
              <w:rPr>
                <w:i/>
                <w:iCs/>
                <w:sz w:val="22"/>
                <w:szCs w:val="22"/>
              </w:rPr>
              <w:t>euro</w:t>
            </w:r>
            <w:proofErr w:type="spellEnd"/>
            <w:r w:rsidRPr="00631834">
              <w:rPr>
                <w:i/>
                <w:iCs/>
                <w:sz w:val="22"/>
                <w:szCs w:val="22"/>
              </w:rPr>
              <w:t xml:space="preserve"> </w:t>
            </w:r>
            <w:r w:rsidRPr="00631834">
              <w:rPr>
                <w:sz w:val="22"/>
                <w:szCs w:val="22"/>
              </w:rPr>
              <w:t xml:space="preserve">2021. gadā un 15 milj. </w:t>
            </w:r>
            <w:proofErr w:type="spellStart"/>
            <w:r w:rsidRPr="00631834">
              <w:rPr>
                <w:i/>
                <w:iCs/>
                <w:sz w:val="22"/>
                <w:szCs w:val="22"/>
              </w:rPr>
              <w:t>euro</w:t>
            </w:r>
            <w:proofErr w:type="spellEnd"/>
            <w:r w:rsidRPr="00631834">
              <w:rPr>
                <w:sz w:val="22"/>
                <w:szCs w:val="22"/>
              </w:rPr>
              <w:t xml:space="preserve"> 2022. un 2023.gadā).”</w:t>
            </w:r>
          </w:p>
          <w:p w14:paraId="7B12CE2B" w14:textId="1B7C3BFD" w:rsidR="00E54C45" w:rsidRPr="00631834" w:rsidRDefault="00E54C45" w:rsidP="00A23913">
            <w:pPr>
              <w:jc w:val="both"/>
              <w:rPr>
                <w:sz w:val="22"/>
                <w:szCs w:val="22"/>
              </w:rPr>
            </w:pPr>
          </w:p>
          <w:p w14:paraId="08160FD6" w14:textId="77777777" w:rsidR="00E54C45" w:rsidRPr="00631834" w:rsidRDefault="00E54C45" w:rsidP="00A23913">
            <w:pPr>
              <w:jc w:val="both"/>
              <w:rPr>
                <w:sz w:val="22"/>
                <w:szCs w:val="22"/>
              </w:rPr>
            </w:pPr>
          </w:p>
          <w:p w14:paraId="1331D629" w14:textId="7769849F" w:rsidR="00CC1B2A" w:rsidRPr="00631834" w:rsidRDefault="00CC1B2A" w:rsidP="00AE43A8">
            <w:pPr>
              <w:spacing w:after="160" w:line="252" w:lineRule="auto"/>
              <w:jc w:val="both"/>
              <w:rPr>
                <w:sz w:val="22"/>
                <w:szCs w:val="22"/>
              </w:rPr>
            </w:pPr>
          </w:p>
        </w:tc>
        <w:tc>
          <w:tcPr>
            <w:tcW w:w="1318" w:type="dxa"/>
          </w:tcPr>
          <w:p w14:paraId="79F193E5" w14:textId="77777777" w:rsidR="00A23913" w:rsidRDefault="00A23913" w:rsidP="00A23913">
            <w:pPr>
              <w:jc w:val="both"/>
              <w:rPr>
                <w:sz w:val="22"/>
                <w:szCs w:val="22"/>
              </w:rPr>
            </w:pPr>
          </w:p>
        </w:tc>
      </w:tr>
      <w:tr w:rsidR="00A23913" w14:paraId="41F5692A"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60B17DD" w14:textId="5764A752" w:rsidR="00A23913" w:rsidRPr="1F93C7B3" w:rsidRDefault="00A23913" w:rsidP="00A23913">
            <w:pPr>
              <w:pStyle w:val="naisc"/>
              <w:rPr>
                <w:sz w:val="22"/>
                <w:szCs w:val="22"/>
              </w:rPr>
            </w:pPr>
            <w:r>
              <w:rPr>
                <w:sz w:val="22"/>
                <w:szCs w:val="22"/>
              </w:rPr>
              <w:lastRenderedPageBreak/>
              <w:t>34.</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7E9B15A" w14:textId="52A05F78" w:rsidR="00A23913" w:rsidRDefault="00A23913" w:rsidP="00A23913">
            <w:pPr>
              <w:shd w:val="clear" w:color="auto" w:fill="FFFFFF" w:themeFill="background1"/>
              <w:spacing w:after="120"/>
              <w:jc w:val="both"/>
              <w:rPr>
                <w:sz w:val="22"/>
                <w:szCs w:val="22"/>
              </w:rPr>
            </w:pPr>
            <w:r w:rsidRPr="208AB4D1">
              <w:rPr>
                <w:sz w:val="22"/>
                <w:szCs w:val="22"/>
              </w:rPr>
              <w:t>Konceptuālā ziņojuma projekt</w:t>
            </w:r>
            <w:r w:rsidR="007039EC">
              <w:rPr>
                <w:sz w:val="22"/>
                <w:szCs w:val="22"/>
              </w:rPr>
              <w:t>a kopsavilkums:</w:t>
            </w:r>
          </w:p>
          <w:p w14:paraId="529F6050" w14:textId="781346FA" w:rsidR="00A23913" w:rsidRPr="208AB4D1" w:rsidRDefault="007039EC" w:rsidP="00A23913">
            <w:pPr>
              <w:shd w:val="clear" w:color="auto" w:fill="FFFFFF" w:themeFill="background1"/>
              <w:spacing w:after="120"/>
              <w:jc w:val="both"/>
              <w:rPr>
                <w:sz w:val="22"/>
                <w:szCs w:val="22"/>
              </w:rPr>
            </w:pPr>
            <w:r w:rsidRPr="004E4FBE">
              <w:t>Konceptuālais ziņojums “Kompleksi pasākumi obligātā iepirkuma komponentes problemātikas risināšanai un elektroenerģijas tirgus attīstībai” (turpmāk – konceptuālais ziņojums) sagatavots, lai risinātu aktuālās problēmas elektroenerģijas tirgū, piedāvājot scenārijus obligātā iepirkuma komponentes (turpmāk – OIK) problemātikas risināšanai</w:t>
            </w: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9870E53" w14:textId="77777777" w:rsidR="00631834" w:rsidRDefault="00A23913" w:rsidP="00A23913">
            <w:pPr>
              <w:spacing w:line="252" w:lineRule="auto"/>
              <w:jc w:val="center"/>
              <w:rPr>
                <w:b/>
                <w:bCs/>
                <w:sz w:val="22"/>
                <w:szCs w:val="22"/>
              </w:rPr>
            </w:pPr>
            <w:r w:rsidRPr="00D57000">
              <w:rPr>
                <w:b/>
                <w:bCs/>
                <w:sz w:val="22"/>
                <w:szCs w:val="22"/>
              </w:rPr>
              <w:t>Tieslietu ministrija (06.</w:t>
            </w:r>
          </w:p>
          <w:p w14:paraId="7991FD98" w14:textId="3FCA28AB" w:rsidR="00A23913" w:rsidRDefault="00A23913" w:rsidP="00A23913">
            <w:pPr>
              <w:spacing w:line="252" w:lineRule="auto"/>
              <w:jc w:val="center"/>
              <w:rPr>
                <w:b/>
                <w:bCs/>
                <w:sz w:val="22"/>
                <w:szCs w:val="22"/>
              </w:rPr>
            </w:pPr>
            <w:r w:rsidRPr="00D57000">
              <w:rPr>
                <w:b/>
                <w:bCs/>
                <w:sz w:val="22"/>
                <w:szCs w:val="22"/>
              </w:rPr>
              <w:t>09.2020.)</w:t>
            </w:r>
          </w:p>
          <w:p w14:paraId="3D7154AC" w14:textId="77777777" w:rsidR="00631834" w:rsidRDefault="00631834" w:rsidP="00A23913">
            <w:pPr>
              <w:spacing w:line="252" w:lineRule="auto"/>
              <w:jc w:val="center"/>
              <w:rPr>
                <w:b/>
                <w:bCs/>
                <w:sz w:val="22"/>
                <w:szCs w:val="22"/>
              </w:rPr>
            </w:pPr>
          </w:p>
          <w:p w14:paraId="70BAB6F0" w14:textId="77777777" w:rsidR="00A23913" w:rsidRDefault="00A23913" w:rsidP="00A23913">
            <w:pPr>
              <w:ind w:firstLine="720"/>
              <w:jc w:val="both"/>
            </w:pPr>
            <w:r w:rsidRPr="00D57000">
              <w:rPr>
                <w:sz w:val="22"/>
                <w:szCs w:val="22"/>
              </w:rPr>
              <w:t xml:space="preserve">Ziņojuma projekta kopsavilkumā norādīts, ka tas izstrādāts, lai risinātu obligātā iepirkuma komponentes problemātiku. Vienlaikus ziņojuma projekta 2. nodaļa paredz Latvijas Nacionālā Enerģētikas un klimata plāna 2021.-2030. gadam pētniecības daļas īstenošanu. No ziņojuma projekta nav skaidrs, kā pētniecības enerģētikas jomā finansēšana attiecināma uz obligātā iepirkuma komponentes problemātikas risināšanu. Ņemot vērā minēto, lūdzam precizēt ziņojuma projektu vai svītrot no </w:t>
            </w:r>
            <w:r w:rsidRPr="00D57000">
              <w:rPr>
                <w:sz w:val="22"/>
                <w:szCs w:val="22"/>
              </w:rPr>
              <w:lastRenderedPageBreak/>
              <w:t>ziņojuma projektu 2. nodaļu un citu informāciju, kas saistīta ar pētniecības enerģētikas jomā finansēšanu. Vienlaikus lūdzam attiecīgi precizēt ziņojuma projektam pievienoto rīkojuma projektu.</w:t>
            </w:r>
          </w:p>
          <w:p w14:paraId="473EAD89" w14:textId="24E829A2" w:rsidR="00A23913" w:rsidRDefault="00A23913" w:rsidP="00A23913">
            <w:pPr>
              <w:spacing w:line="252" w:lineRule="auto"/>
              <w:jc w:val="center"/>
              <w:rPr>
                <w:b/>
                <w:bCs/>
                <w:sz w:val="22"/>
                <w:szCs w:val="22"/>
              </w:rPr>
            </w:pP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012DF53" w14:textId="6E0B09C9" w:rsidR="00A23913" w:rsidRPr="00D26C33" w:rsidRDefault="007039EC" w:rsidP="00A23913">
            <w:pPr>
              <w:jc w:val="center"/>
              <w:rPr>
                <w:b/>
                <w:bCs/>
                <w:sz w:val="22"/>
                <w:szCs w:val="22"/>
              </w:rPr>
            </w:pPr>
            <w:r>
              <w:rPr>
                <w:b/>
                <w:bCs/>
                <w:sz w:val="22"/>
                <w:szCs w:val="22"/>
              </w:rPr>
              <w:lastRenderedPageBreak/>
              <w:t>Ņ</w:t>
            </w:r>
            <w:r w:rsidR="00A23913" w:rsidRPr="00D26C33">
              <w:rPr>
                <w:b/>
                <w:bCs/>
                <w:sz w:val="22"/>
                <w:szCs w:val="22"/>
              </w:rPr>
              <w:t>emts vērā.</w:t>
            </w:r>
          </w:p>
          <w:p w14:paraId="5F0E371C" w14:textId="77777777" w:rsidR="00A23913" w:rsidRPr="00D26C33" w:rsidRDefault="00A23913" w:rsidP="00A23913">
            <w:pPr>
              <w:jc w:val="center"/>
              <w:rPr>
                <w:b/>
                <w:bCs/>
                <w:sz w:val="22"/>
                <w:szCs w:val="22"/>
              </w:rPr>
            </w:pPr>
          </w:p>
          <w:p w14:paraId="4A943DC1" w14:textId="77777777" w:rsidR="00A23913" w:rsidRPr="00D26C33" w:rsidRDefault="00A23913" w:rsidP="007039EC">
            <w:pPr>
              <w:jc w:val="both"/>
              <w:rPr>
                <w:b/>
                <w:bCs/>
                <w:sz w:val="22"/>
                <w:szCs w:val="22"/>
              </w:rPr>
            </w:pP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B45B451" w14:textId="3E6BDCFD" w:rsidR="00A23913" w:rsidRDefault="00A23913" w:rsidP="00A23913">
            <w:pPr>
              <w:shd w:val="clear" w:color="auto" w:fill="FFFFFF" w:themeFill="background1"/>
              <w:spacing w:after="120"/>
              <w:jc w:val="both"/>
              <w:rPr>
                <w:sz w:val="22"/>
                <w:szCs w:val="22"/>
              </w:rPr>
            </w:pPr>
            <w:r w:rsidRPr="208AB4D1">
              <w:rPr>
                <w:sz w:val="22"/>
                <w:szCs w:val="22"/>
              </w:rPr>
              <w:t>Konceptuālā ziņojuma projekt</w:t>
            </w:r>
            <w:r w:rsidR="007039EC">
              <w:rPr>
                <w:sz w:val="22"/>
                <w:szCs w:val="22"/>
              </w:rPr>
              <w:t>a kopsavilkums:</w:t>
            </w:r>
          </w:p>
          <w:p w14:paraId="2875716E" w14:textId="23674701" w:rsidR="002E188A" w:rsidRPr="002E188A" w:rsidRDefault="002E188A" w:rsidP="002E188A">
            <w:pPr>
              <w:spacing w:after="120"/>
              <w:rPr>
                <w:sz w:val="22"/>
                <w:szCs w:val="22"/>
              </w:rPr>
            </w:pPr>
            <w:r w:rsidRPr="002E188A">
              <w:rPr>
                <w:sz w:val="22"/>
                <w:szCs w:val="22"/>
              </w:rPr>
              <w:t xml:space="preserve">“Konceptuālais ziņojums “Kompleksi pasākumi obligātā iepirkuma komponentes problemātikas risināšanai un elektroenerģijas tirgus attīstībai” (turpmāk – konceptuālais ziņojums) sagatavots, lai piedāvātu pasākumus obligātā iepirkuma komponentes (turpmāk – OIK) problemātikas risināšanai un risinātu citas aktuālās problēmas elektroenerģijas tirgū, tostarp veicinātu enerģētikas sektoram noteikto mērķu sasniegšanu. Konceptuālajā ziņojumā </w:t>
            </w:r>
            <w:r w:rsidRPr="002E188A">
              <w:rPr>
                <w:sz w:val="22"/>
                <w:szCs w:val="22"/>
              </w:rPr>
              <w:lastRenderedPageBreak/>
              <w:t>ir piedāvāti četri iespējamie attīstības scenāriji:..”</w:t>
            </w:r>
          </w:p>
          <w:p w14:paraId="3411FEEA" w14:textId="6D040359" w:rsidR="00A23913" w:rsidRPr="009769E1" w:rsidRDefault="007039EC" w:rsidP="009769E1">
            <w:pPr>
              <w:rPr>
                <w:sz w:val="22"/>
              </w:rPr>
            </w:pPr>
            <w:r w:rsidRPr="208AB4D1">
              <w:rPr>
                <w:sz w:val="22"/>
                <w:szCs w:val="22"/>
              </w:rPr>
              <w:t>Konceptuālā ziņojuma projekt</w:t>
            </w:r>
            <w:r>
              <w:rPr>
                <w:sz w:val="22"/>
                <w:szCs w:val="22"/>
              </w:rPr>
              <w:t>a 2.sadaļa papildināta “</w:t>
            </w:r>
            <w:r w:rsidR="00E54C45" w:rsidRPr="00E54C45">
              <w:rPr>
                <w:sz w:val="22"/>
                <w:szCs w:val="22"/>
              </w:rPr>
              <w:t>Lai sasniegtu Latvijas Nacionālā Enerģētikas un klimata plāna 2021.-2030. gadam īstenošanu (turpmāk – NEKP) noteiktos ambiciozos mērķus, kā arī ņemot vērā nozares prioritātes un plānošanas dokumentus, ir nepieciešams īstenot virkni pētījumu un pasākumu enerģētikas nozarē. Šie pasākumi ir tieši saistīti ar 2030.gada mērķiem nepieciešamajām enerģētikas tirgus izmaiņām.</w:t>
            </w:r>
            <w:r w:rsidR="009769E1" w:rsidRPr="00E54C45">
              <w:rPr>
                <w:sz w:val="22"/>
                <w:szCs w:val="22"/>
              </w:rPr>
              <w:t>”</w:t>
            </w:r>
          </w:p>
        </w:tc>
        <w:tc>
          <w:tcPr>
            <w:tcW w:w="1318" w:type="dxa"/>
          </w:tcPr>
          <w:p w14:paraId="316D1CC4" w14:textId="77777777" w:rsidR="00A23913" w:rsidRDefault="00A23913" w:rsidP="00A23913">
            <w:pPr>
              <w:jc w:val="both"/>
              <w:rPr>
                <w:sz w:val="22"/>
                <w:szCs w:val="22"/>
              </w:rPr>
            </w:pPr>
          </w:p>
        </w:tc>
      </w:tr>
      <w:tr w:rsidR="005860CC" w14:paraId="2BEE73A6" w14:textId="77777777" w:rsidTr="00503769">
        <w:trPr>
          <w:trHeight w:val="447"/>
          <w:tblCellSpacing w:w="0" w:type="dxa"/>
        </w:trPr>
        <w:tc>
          <w:tcPr>
            <w:tcW w:w="9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848EF34" w14:textId="38543F6C" w:rsidR="005860CC" w:rsidRPr="1F93C7B3" w:rsidRDefault="005860CC" w:rsidP="005860CC">
            <w:pPr>
              <w:pStyle w:val="naisc"/>
              <w:rPr>
                <w:sz w:val="22"/>
                <w:szCs w:val="22"/>
              </w:rPr>
            </w:pPr>
            <w:r>
              <w:rPr>
                <w:sz w:val="22"/>
                <w:szCs w:val="22"/>
              </w:rPr>
              <w:t>35.</w:t>
            </w:r>
          </w:p>
        </w:tc>
        <w:tc>
          <w:tcPr>
            <w:tcW w:w="32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C23738D" w14:textId="5F9016E1" w:rsidR="005860CC" w:rsidRDefault="005860CC" w:rsidP="005860CC">
            <w:pPr>
              <w:shd w:val="clear" w:color="auto" w:fill="FFFFFF" w:themeFill="background1"/>
              <w:spacing w:after="120"/>
              <w:jc w:val="both"/>
              <w:rPr>
                <w:sz w:val="22"/>
                <w:szCs w:val="22"/>
              </w:rPr>
            </w:pPr>
            <w:r w:rsidRPr="208AB4D1">
              <w:rPr>
                <w:sz w:val="22"/>
                <w:szCs w:val="22"/>
              </w:rPr>
              <w:t xml:space="preserve">Konceptuālā ziņojuma </w:t>
            </w:r>
            <w:r>
              <w:rPr>
                <w:sz w:val="22"/>
                <w:szCs w:val="22"/>
              </w:rPr>
              <w:t xml:space="preserve">rīkojuma </w:t>
            </w:r>
            <w:r w:rsidRPr="208AB4D1">
              <w:rPr>
                <w:sz w:val="22"/>
                <w:szCs w:val="22"/>
              </w:rPr>
              <w:t>projekts</w:t>
            </w:r>
          </w:p>
          <w:p w14:paraId="410D51AB" w14:textId="77777777" w:rsidR="005860CC" w:rsidRPr="208AB4D1" w:rsidRDefault="005860CC" w:rsidP="005860CC">
            <w:pPr>
              <w:shd w:val="clear" w:color="auto" w:fill="FFFFFF" w:themeFill="background1"/>
              <w:spacing w:after="120"/>
              <w:jc w:val="both"/>
              <w:rPr>
                <w:sz w:val="22"/>
                <w:szCs w:val="22"/>
              </w:rPr>
            </w:pPr>
          </w:p>
        </w:tc>
        <w:tc>
          <w:tcPr>
            <w:tcW w:w="373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47754CA" w14:textId="2D1F74F9" w:rsidR="005860CC" w:rsidRDefault="005860CC" w:rsidP="00631834">
            <w:pPr>
              <w:spacing w:line="252" w:lineRule="auto"/>
              <w:jc w:val="center"/>
              <w:rPr>
                <w:b/>
                <w:bCs/>
                <w:sz w:val="22"/>
                <w:szCs w:val="22"/>
              </w:rPr>
            </w:pPr>
            <w:r w:rsidRPr="00D57000">
              <w:rPr>
                <w:b/>
                <w:bCs/>
                <w:sz w:val="22"/>
                <w:szCs w:val="22"/>
              </w:rPr>
              <w:t>Tieslietu ministrija (06.09.2020.)</w:t>
            </w:r>
          </w:p>
          <w:p w14:paraId="2AD732CD" w14:textId="77777777" w:rsidR="00631834" w:rsidRPr="00D57000" w:rsidRDefault="00631834" w:rsidP="005860CC">
            <w:pPr>
              <w:spacing w:line="252" w:lineRule="auto"/>
              <w:jc w:val="both"/>
              <w:rPr>
                <w:b/>
                <w:bCs/>
                <w:sz w:val="22"/>
                <w:szCs w:val="22"/>
              </w:rPr>
            </w:pPr>
          </w:p>
          <w:p w14:paraId="3702D44E" w14:textId="00FCAD6B" w:rsidR="005860CC" w:rsidRPr="00D57000" w:rsidRDefault="005860CC" w:rsidP="005860CC">
            <w:pPr>
              <w:spacing w:line="252" w:lineRule="auto"/>
              <w:jc w:val="both"/>
              <w:rPr>
                <w:b/>
                <w:bCs/>
                <w:sz w:val="22"/>
                <w:szCs w:val="22"/>
              </w:rPr>
            </w:pPr>
            <w:r w:rsidRPr="00D57000">
              <w:rPr>
                <w:sz w:val="22"/>
                <w:szCs w:val="22"/>
              </w:rPr>
              <w:t xml:space="preserve">Rīkojuma projekta 1. punkts paredz atbalstīt risinājuma variantu obligātā iepirkuma komponentes likmes mazināšanai. Rīkojuma projekta 2. punkts paredz pienākumu Finanšu ministrijai, sagatavojot likumprojektu "Par valsts budžetu 2021. gadam" un likumprojektu "Par vidēja termiņa budžeta ietvaru 2021., 2022. un 2023. gadam" paredzēt tajos obligātā iepirkuma komponentes likmes samazināšanai nepieciešamo finansējumu. Rīkojuma projekta 2.4. apakšpunktā paredzēts, ka finansējums jāparedz arī pētniecības enerģētikas jomā finansēšanai. No ziņojuma projekta neizriet, ka šobrīd pētniecību enerģētikas jomā finansē no obligātā iepirkuma komponentes ieņēmumiem. Līdz ar to nav skaidrs, kāpēc obligātā iepirkuma komponentes </w:t>
            </w:r>
            <w:r w:rsidRPr="00D57000">
              <w:rPr>
                <w:sz w:val="22"/>
                <w:szCs w:val="22"/>
              </w:rPr>
              <w:lastRenderedPageBreak/>
              <w:t>likmes samazināšanas rezultātā nepieciešams papildu finansējums pētniecības enerģētikas jomā finansēšanai. Ja ar ziņojuma projektu paredzēts risināt jautājumu par pētniecībai enerģētikas jomā papildu nepieciešamo finansējumu, lūdzam attiecīgi precizēt ziņojuma projektu. Savukārt, ja pētniecību enerģētikas jomā finansē no obligātā iepirkuma komponentes ieņēmumiem, lūdzam to norādīt ziņojuma projektā.</w:t>
            </w:r>
          </w:p>
        </w:tc>
        <w:tc>
          <w:tcPr>
            <w:tcW w:w="3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F5D0ED4" w14:textId="77777777" w:rsidR="005860CC" w:rsidRPr="00D26C33" w:rsidRDefault="005860CC" w:rsidP="005860CC">
            <w:pPr>
              <w:jc w:val="center"/>
              <w:rPr>
                <w:b/>
                <w:bCs/>
                <w:sz w:val="22"/>
                <w:szCs w:val="22"/>
              </w:rPr>
            </w:pPr>
            <w:r w:rsidRPr="00D26C33">
              <w:rPr>
                <w:b/>
                <w:bCs/>
                <w:sz w:val="22"/>
                <w:szCs w:val="22"/>
              </w:rPr>
              <w:lastRenderedPageBreak/>
              <w:t>Daļēji ņemts vērā.</w:t>
            </w:r>
          </w:p>
          <w:p w14:paraId="500E8C65" w14:textId="77777777" w:rsidR="005860CC" w:rsidRPr="00D26C33" w:rsidRDefault="005860CC" w:rsidP="005860CC">
            <w:pPr>
              <w:jc w:val="center"/>
              <w:rPr>
                <w:b/>
                <w:bCs/>
                <w:sz w:val="22"/>
                <w:szCs w:val="22"/>
              </w:rPr>
            </w:pPr>
          </w:p>
          <w:p w14:paraId="56AD0DCC" w14:textId="77777777" w:rsidR="00D75348" w:rsidRPr="00D26C33" w:rsidRDefault="00D75348" w:rsidP="00D75348">
            <w:pPr>
              <w:jc w:val="both"/>
              <w:rPr>
                <w:sz w:val="22"/>
                <w:szCs w:val="22"/>
              </w:rPr>
            </w:pPr>
            <w:r w:rsidRPr="00D26C33">
              <w:rPr>
                <w:sz w:val="22"/>
                <w:szCs w:val="22"/>
              </w:rPr>
              <w:t xml:space="preserve">Paskaidrojam, ka nozaru ministrijas finansējumu VPP veidošanai pieprasa individuāli, ņemot vērā nozares prioritātes un plānošanas dokumentos noteiktos mērķus. </w:t>
            </w:r>
            <w:r>
              <w:rPr>
                <w:sz w:val="22"/>
                <w:szCs w:val="22"/>
              </w:rPr>
              <w:t>Paredzot finansējumu obligātā iepirkuma komponentes likmes mazināšanai no Latvenergo koncerna dividendēm, ir paredzēts daļu no dividendēm izmantot pētījumu un pasākumu īstenošanai enerģētikas nozarē.</w:t>
            </w:r>
          </w:p>
          <w:p w14:paraId="65EC54A8" w14:textId="47F73176" w:rsidR="005860CC" w:rsidRDefault="00D75348" w:rsidP="00D75348">
            <w:pPr>
              <w:jc w:val="both"/>
              <w:rPr>
                <w:b/>
                <w:bCs/>
                <w:sz w:val="22"/>
                <w:szCs w:val="22"/>
              </w:rPr>
            </w:pPr>
            <w:r w:rsidRPr="00D26C33">
              <w:rPr>
                <w:sz w:val="22"/>
                <w:szCs w:val="22"/>
              </w:rPr>
              <w:t>Šie pasākumi ir tieši saistīti ar 2030.gada mērķiem nepieciešamajām enerģētikas tirgus izmaiņām.</w:t>
            </w:r>
            <w:bookmarkStart w:id="4" w:name="_GoBack"/>
            <w:bookmarkEnd w:id="4"/>
          </w:p>
          <w:p w14:paraId="4E5C862B" w14:textId="77777777" w:rsidR="00212FF0" w:rsidRPr="00212FF0" w:rsidRDefault="00212FF0" w:rsidP="00212FF0">
            <w:pPr>
              <w:rPr>
                <w:sz w:val="22"/>
                <w:szCs w:val="22"/>
              </w:rPr>
            </w:pPr>
          </w:p>
          <w:p w14:paraId="1E181291" w14:textId="77777777" w:rsidR="00212FF0" w:rsidRPr="00212FF0" w:rsidRDefault="00212FF0" w:rsidP="00212FF0">
            <w:pPr>
              <w:rPr>
                <w:sz w:val="22"/>
                <w:szCs w:val="22"/>
              </w:rPr>
            </w:pPr>
          </w:p>
          <w:p w14:paraId="6A127F91" w14:textId="77777777" w:rsidR="00212FF0" w:rsidRPr="00212FF0" w:rsidRDefault="00212FF0" w:rsidP="00212FF0">
            <w:pPr>
              <w:rPr>
                <w:sz w:val="22"/>
                <w:szCs w:val="22"/>
              </w:rPr>
            </w:pPr>
          </w:p>
          <w:p w14:paraId="4CF09218" w14:textId="77777777" w:rsidR="00212FF0" w:rsidRPr="00212FF0" w:rsidRDefault="00212FF0" w:rsidP="00212FF0">
            <w:pPr>
              <w:rPr>
                <w:sz w:val="22"/>
                <w:szCs w:val="22"/>
              </w:rPr>
            </w:pPr>
          </w:p>
          <w:p w14:paraId="55779751" w14:textId="77777777" w:rsidR="00212FF0" w:rsidRPr="00212FF0" w:rsidRDefault="00212FF0" w:rsidP="00212FF0">
            <w:pPr>
              <w:rPr>
                <w:sz w:val="22"/>
                <w:szCs w:val="22"/>
              </w:rPr>
            </w:pPr>
          </w:p>
          <w:p w14:paraId="37CE923A" w14:textId="77777777" w:rsidR="00212FF0" w:rsidRPr="00212FF0" w:rsidRDefault="00212FF0" w:rsidP="00212FF0">
            <w:pPr>
              <w:rPr>
                <w:sz w:val="22"/>
                <w:szCs w:val="22"/>
              </w:rPr>
            </w:pPr>
          </w:p>
          <w:p w14:paraId="66BE51B3" w14:textId="77777777" w:rsidR="00212FF0" w:rsidRPr="00212FF0" w:rsidRDefault="00212FF0" w:rsidP="00212FF0">
            <w:pPr>
              <w:rPr>
                <w:sz w:val="22"/>
                <w:szCs w:val="22"/>
              </w:rPr>
            </w:pPr>
          </w:p>
          <w:p w14:paraId="7D3C930F" w14:textId="77777777" w:rsidR="00212FF0" w:rsidRPr="00212FF0" w:rsidRDefault="00212FF0" w:rsidP="00212FF0">
            <w:pPr>
              <w:rPr>
                <w:sz w:val="22"/>
                <w:szCs w:val="22"/>
              </w:rPr>
            </w:pPr>
          </w:p>
          <w:p w14:paraId="6E9E7523" w14:textId="77777777" w:rsidR="00212FF0" w:rsidRPr="00212FF0" w:rsidRDefault="00212FF0" w:rsidP="00212FF0">
            <w:pPr>
              <w:rPr>
                <w:sz w:val="22"/>
                <w:szCs w:val="22"/>
              </w:rPr>
            </w:pPr>
          </w:p>
          <w:p w14:paraId="02977D3F" w14:textId="17E2B09F" w:rsidR="00212FF0" w:rsidRPr="00212FF0" w:rsidRDefault="00212FF0" w:rsidP="00212FF0">
            <w:pPr>
              <w:jc w:val="center"/>
              <w:rPr>
                <w:sz w:val="22"/>
                <w:szCs w:val="22"/>
              </w:rPr>
            </w:pPr>
          </w:p>
        </w:tc>
        <w:tc>
          <w:tcPr>
            <w:tcW w:w="349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8AC8340" w14:textId="26C3DEDE" w:rsidR="005860CC" w:rsidRPr="00D57000" w:rsidRDefault="005860CC" w:rsidP="005860CC">
            <w:pPr>
              <w:jc w:val="both"/>
              <w:rPr>
                <w:sz w:val="22"/>
                <w:szCs w:val="22"/>
              </w:rPr>
            </w:pPr>
            <w:r>
              <w:rPr>
                <w:sz w:val="22"/>
                <w:szCs w:val="22"/>
              </w:rPr>
              <w:lastRenderedPageBreak/>
              <w:t>Konceptuālā ziņojuma projekts</w:t>
            </w:r>
          </w:p>
        </w:tc>
        <w:tc>
          <w:tcPr>
            <w:tcW w:w="1318" w:type="dxa"/>
          </w:tcPr>
          <w:p w14:paraId="5D33EBEB" w14:textId="77777777" w:rsidR="005860CC" w:rsidRDefault="005860CC" w:rsidP="005860CC">
            <w:pPr>
              <w:jc w:val="both"/>
              <w:rPr>
                <w:sz w:val="22"/>
                <w:szCs w:val="22"/>
              </w:rPr>
            </w:pPr>
          </w:p>
        </w:tc>
      </w:tr>
      <w:tr w:rsidR="005860CC" w:rsidRPr="009C6C86" w14:paraId="71DA0CD9" w14:textId="77777777" w:rsidTr="00503769">
        <w:trPr>
          <w:gridAfter w:val="2"/>
          <w:wAfter w:w="1805" w:type="dxa"/>
          <w:tblCellSpacing w:w="0" w:type="dxa"/>
        </w:trPr>
        <w:tc>
          <w:tcPr>
            <w:tcW w:w="4330" w:type="dxa"/>
            <w:gridSpan w:val="3"/>
            <w:tcBorders>
              <w:top w:val="nil"/>
              <w:left w:val="nil"/>
              <w:bottom w:val="nil"/>
              <w:right w:val="nil"/>
            </w:tcBorders>
            <w:vAlign w:val="center"/>
            <w:hideMark/>
          </w:tcPr>
          <w:p w14:paraId="1F5057A7" w14:textId="77777777" w:rsidR="005860CC" w:rsidRPr="009C6C86" w:rsidRDefault="005860CC" w:rsidP="005860CC">
            <w:pPr>
              <w:spacing w:before="120" w:after="75"/>
              <w:rPr>
                <w:sz w:val="22"/>
                <w:szCs w:val="22"/>
              </w:rPr>
            </w:pPr>
            <w:r w:rsidRPr="009C6C86">
              <w:rPr>
                <w:sz w:val="22"/>
                <w:szCs w:val="22"/>
              </w:rPr>
              <w:t>Atbildīgā amatpersona</w:t>
            </w:r>
          </w:p>
        </w:tc>
        <w:tc>
          <w:tcPr>
            <w:tcW w:w="7406" w:type="dxa"/>
            <w:gridSpan w:val="2"/>
            <w:tcBorders>
              <w:top w:val="nil"/>
              <w:left w:val="nil"/>
              <w:bottom w:val="nil"/>
              <w:right w:val="nil"/>
            </w:tcBorders>
            <w:hideMark/>
          </w:tcPr>
          <w:p w14:paraId="683F5B5C" w14:textId="77777777" w:rsidR="005860CC" w:rsidRPr="009C6C86" w:rsidRDefault="005860CC" w:rsidP="005860CC">
            <w:pPr>
              <w:spacing w:after="120"/>
              <w:jc w:val="both"/>
              <w:rPr>
                <w:b/>
                <w:bCs/>
                <w:sz w:val="22"/>
                <w:szCs w:val="22"/>
              </w:rPr>
            </w:pPr>
          </w:p>
        </w:tc>
        <w:tc>
          <w:tcPr>
            <w:tcW w:w="3007" w:type="dxa"/>
            <w:tcBorders>
              <w:top w:val="nil"/>
              <w:left w:val="nil"/>
              <w:bottom w:val="nil"/>
              <w:right w:val="nil"/>
            </w:tcBorders>
            <w:hideMark/>
          </w:tcPr>
          <w:p w14:paraId="61A0D361" w14:textId="77777777" w:rsidR="005860CC" w:rsidRPr="009C6C86" w:rsidRDefault="005860CC" w:rsidP="005860CC">
            <w:pPr>
              <w:spacing w:after="120"/>
              <w:jc w:val="both"/>
              <w:rPr>
                <w:b/>
                <w:bCs/>
                <w:sz w:val="22"/>
                <w:szCs w:val="22"/>
              </w:rPr>
            </w:pPr>
          </w:p>
        </w:tc>
      </w:tr>
      <w:tr w:rsidR="005860CC" w:rsidRPr="009C6C86" w14:paraId="5D6A1F91" w14:textId="77777777" w:rsidTr="00503769">
        <w:trPr>
          <w:gridAfter w:val="2"/>
          <w:wAfter w:w="1805" w:type="dxa"/>
          <w:trHeight w:val="237"/>
          <w:tblCellSpacing w:w="0" w:type="dxa"/>
        </w:trPr>
        <w:tc>
          <w:tcPr>
            <w:tcW w:w="4330" w:type="dxa"/>
            <w:gridSpan w:val="3"/>
            <w:tcBorders>
              <w:top w:val="nil"/>
              <w:left w:val="nil"/>
              <w:bottom w:val="nil"/>
              <w:right w:val="nil"/>
            </w:tcBorders>
            <w:vAlign w:val="center"/>
            <w:hideMark/>
          </w:tcPr>
          <w:p w14:paraId="552BCE27" w14:textId="6A9F6E2C" w:rsidR="005860CC" w:rsidRPr="009C6C86" w:rsidRDefault="005860CC" w:rsidP="005860CC">
            <w:pPr>
              <w:spacing w:before="75" w:after="75"/>
              <w:rPr>
                <w:sz w:val="22"/>
                <w:szCs w:val="22"/>
              </w:rPr>
            </w:pPr>
          </w:p>
        </w:tc>
        <w:tc>
          <w:tcPr>
            <w:tcW w:w="7406" w:type="dxa"/>
            <w:gridSpan w:val="2"/>
            <w:tcBorders>
              <w:top w:val="single" w:sz="8" w:space="0" w:color="000000" w:themeColor="text1"/>
              <w:left w:val="nil"/>
              <w:bottom w:val="nil"/>
              <w:right w:val="nil"/>
            </w:tcBorders>
            <w:vAlign w:val="center"/>
            <w:hideMark/>
          </w:tcPr>
          <w:p w14:paraId="0C90889C" w14:textId="77777777" w:rsidR="005860CC" w:rsidRPr="009C6C86" w:rsidRDefault="005860CC" w:rsidP="005860CC">
            <w:pPr>
              <w:spacing w:before="75" w:after="75"/>
              <w:jc w:val="both"/>
              <w:rPr>
                <w:sz w:val="22"/>
                <w:szCs w:val="22"/>
              </w:rPr>
            </w:pPr>
            <w:r w:rsidRPr="009C6C86">
              <w:rPr>
                <w:sz w:val="22"/>
                <w:szCs w:val="22"/>
              </w:rPr>
              <w:t>(paraksts)*</w:t>
            </w:r>
          </w:p>
        </w:tc>
        <w:tc>
          <w:tcPr>
            <w:tcW w:w="3007" w:type="dxa"/>
            <w:tcBorders>
              <w:top w:val="nil"/>
              <w:left w:val="nil"/>
              <w:bottom w:val="nil"/>
              <w:right w:val="nil"/>
            </w:tcBorders>
            <w:vAlign w:val="center"/>
            <w:hideMark/>
          </w:tcPr>
          <w:p w14:paraId="1FD5855E" w14:textId="77777777" w:rsidR="005860CC" w:rsidRPr="009C6C86" w:rsidRDefault="005860CC" w:rsidP="005860CC">
            <w:pPr>
              <w:spacing w:before="75" w:after="75"/>
              <w:ind w:firstLine="375"/>
              <w:jc w:val="both"/>
              <w:rPr>
                <w:sz w:val="22"/>
                <w:szCs w:val="22"/>
              </w:rPr>
            </w:pPr>
            <w:r w:rsidRPr="009C6C86">
              <w:rPr>
                <w:sz w:val="22"/>
                <w:szCs w:val="22"/>
              </w:rPr>
              <w:t> </w:t>
            </w:r>
          </w:p>
        </w:tc>
      </w:tr>
    </w:tbl>
    <w:p w14:paraId="71A11194" w14:textId="1A40D43D" w:rsidR="716D5E17" w:rsidRPr="009C6C86" w:rsidRDefault="716D5E17">
      <w:pPr>
        <w:rPr>
          <w:sz w:val="22"/>
          <w:szCs w:val="22"/>
        </w:rPr>
      </w:pPr>
    </w:p>
    <w:p w14:paraId="4B49F543" w14:textId="77777777" w:rsidR="00BD6FD2" w:rsidRPr="009C6C86" w:rsidRDefault="00BD6FD2" w:rsidP="00BD6FD2">
      <w:pPr>
        <w:jc w:val="both"/>
        <w:rPr>
          <w:sz w:val="22"/>
          <w:szCs w:val="22"/>
        </w:rPr>
      </w:pPr>
      <w:r w:rsidRPr="009C6C86">
        <w:rPr>
          <w:sz w:val="22"/>
          <w:szCs w:val="22"/>
        </w:rPr>
        <w:t>Piezīme. * Dokumenta rekvizītu "paraksts" neaizpilda, ja elektroniskais dokuments ir sagatavots atbilstoši normatīvajiem aktiem par elektronisko dokumentu noformēšanu.</w:t>
      </w:r>
    </w:p>
    <w:p w14:paraId="6F52E148" w14:textId="3D3614BC" w:rsidR="00AE6D8E" w:rsidRPr="009C6C86" w:rsidRDefault="00AE6D8E" w:rsidP="00BD6FD2">
      <w:pPr>
        <w:spacing w:before="75" w:after="75"/>
        <w:ind w:firstLine="375"/>
        <w:jc w:val="both"/>
        <w:rPr>
          <w:sz w:val="22"/>
          <w:szCs w:val="22"/>
        </w:rPr>
      </w:pPr>
    </w:p>
    <w:p w14:paraId="5EC64317" w14:textId="77777777" w:rsidR="00AA5833" w:rsidRPr="009C6C86" w:rsidRDefault="00AA5833" w:rsidP="00BD6FD2">
      <w:pPr>
        <w:spacing w:before="75" w:after="75"/>
        <w:ind w:firstLine="375"/>
        <w:jc w:val="both"/>
        <w:rPr>
          <w:sz w:val="22"/>
          <w:szCs w:val="22"/>
        </w:rPr>
      </w:pPr>
    </w:p>
    <w:p w14:paraId="3820711B" w14:textId="19597E78" w:rsidR="009647CD" w:rsidRPr="009C6C86" w:rsidRDefault="00D317CA" w:rsidP="009647CD">
      <w:pPr>
        <w:spacing w:after="75"/>
        <w:ind w:firstLine="374"/>
        <w:jc w:val="both"/>
        <w:rPr>
          <w:sz w:val="22"/>
          <w:szCs w:val="22"/>
        </w:rPr>
      </w:pPr>
      <w:r w:rsidRPr="009C6C86">
        <w:rPr>
          <w:sz w:val="22"/>
          <w:szCs w:val="22"/>
        </w:rPr>
        <w:t>Agnese Līckrastiņa</w:t>
      </w:r>
    </w:p>
    <w:tbl>
      <w:tblPr>
        <w:tblW w:w="0" w:type="auto"/>
        <w:tblCellSpacing w:w="0" w:type="dxa"/>
        <w:tblCellMar>
          <w:left w:w="0" w:type="dxa"/>
          <w:right w:w="0" w:type="dxa"/>
        </w:tblCellMar>
        <w:tblLook w:val="04A0" w:firstRow="1" w:lastRow="0" w:firstColumn="1" w:lastColumn="0" w:noHBand="0" w:noVBand="1"/>
      </w:tblPr>
      <w:tblGrid>
        <w:gridCol w:w="8265"/>
      </w:tblGrid>
      <w:tr w:rsidR="00AE739A" w:rsidRPr="009C6C86" w14:paraId="46B3B5E6" w14:textId="77777777" w:rsidTr="716D5E17">
        <w:trPr>
          <w:tblCellSpacing w:w="0" w:type="dxa"/>
        </w:trPr>
        <w:tc>
          <w:tcPr>
            <w:tcW w:w="8265" w:type="dxa"/>
            <w:tcBorders>
              <w:top w:val="single" w:sz="8" w:space="0" w:color="000000" w:themeColor="text1"/>
              <w:left w:val="nil"/>
              <w:bottom w:val="nil"/>
              <w:right w:val="nil"/>
            </w:tcBorders>
            <w:hideMark/>
          </w:tcPr>
          <w:p w14:paraId="4F9FF62B" w14:textId="77777777" w:rsidR="009647CD" w:rsidRPr="009C6C86" w:rsidRDefault="009647CD" w:rsidP="00074BE1">
            <w:pPr>
              <w:spacing w:before="120"/>
              <w:jc w:val="center"/>
              <w:rPr>
                <w:sz w:val="22"/>
                <w:szCs w:val="22"/>
              </w:rPr>
            </w:pPr>
            <w:r w:rsidRPr="009C6C86">
              <w:rPr>
                <w:sz w:val="22"/>
                <w:szCs w:val="22"/>
              </w:rPr>
              <w:t>(par projektu atbildīgās amatpersonas vārds un uzvārds)</w:t>
            </w:r>
          </w:p>
        </w:tc>
      </w:tr>
      <w:tr w:rsidR="00AE739A" w:rsidRPr="009C6C86" w14:paraId="3BB3625F" w14:textId="77777777" w:rsidTr="716D5E17">
        <w:trPr>
          <w:tblCellSpacing w:w="0" w:type="dxa"/>
        </w:trPr>
        <w:tc>
          <w:tcPr>
            <w:tcW w:w="8265" w:type="dxa"/>
            <w:tcBorders>
              <w:top w:val="nil"/>
              <w:left w:val="nil"/>
              <w:bottom w:val="single" w:sz="8" w:space="0" w:color="000000" w:themeColor="text1"/>
              <w:right w:val="nil"/>
            </w:tcBorders>
            <w:hideMark/>
          </w:tcPr>
          <w:p w14:paraId="77561011" w14:textId="4F86FB17" w:rsidR="009647CD" w:rsidRPr="009C6C86" w:rsidRDefault="009647CD" w:rsidP="00074BE1">
            <w:pPr>
              <w:spacing w:before="120"/>
              <w:ind w:firstLine="375"/>
              <w:jc w:val="both"/>
              <w:rPr>
                <w:sz w:val="22"/>
                <w:szCs w:val="22"/>
              </w:rPr>
            </w:pPr>
            <w:r w:rsidRPr="009C6C86">
              <w:rPr>
                <w:sz w:val="22"/>
                <w:szCs w:val="22"/>
              </w:rPr>
              <w:t>Vecāk</w:t>
            </w:r>
            <w:r w:rsidR="00934A86">
              <w:rPr>
                <w:sz w:val="22"/>
                <w:szCs w:val="22"/>
              </w:rPr>
              <w:t>ā</w:t>
            </w:r>
            <w:r w:rsidRPr="009C6C86">
              <w:rPr>
                <w:sz w:val="22"/>
                <w:szCs w:val="22"/>
              </w:rPr>
              <w:t xml:space="preserve"> ekspert</w:t>
            </w:r>
            <w:r w:rsidR="00934A86">
              <w:rPr>
                <w:sz w:val="22"/>
                <w:szCs w:val="22"/>
              </w:rPr>
              <w:t>e</w:t>
            </w:r>
          </w:p>
        </w:tc>
      </w:tr>
      <w:tr w:rsidR="00AE739A" w:rsidRPr="009C6C86" w14:paraId="683EA928" w14:textId="77777777" w:rsidTr="716D5E17">
        <w:trPr>
          <w:tblCellSpacing w:w="0" w:type="dxa"/>
        </w:trPr>
        <w:tc>
          <w:tcPr>
            <w:tcW w:w="8265" w:type="dxa"/>
            <w:tcBorders>
              <w:top w:val="nil"/>
              <w:left w:val="nil"/>
              <w:bottom w:val="single" w:sz="8" w:space="0" w:color="000000" w:themeColor="text1"/>
              <w:right w:val="nil"/>
            </w:tcBorders>
            <w:vAlign w:val="center"/>
            <w:hideMark/>
          </w:tcPr>
          <w:p w14:paraId="6BD1BCA3" w14:textId="7E4BB4A3" w:rsidR="009647CD" w:rsidRPr="009C6C86" w:rsidRDefault="009647CD" w:rsidP="00074BE1">
            <w:pPr>
              <w:ind w:firstLine="374"/>
              <w:jc w:val="both"/>
              <w:rPr>
                <w:sz w:val="22"/>
                <w:szCs w:val="22"/>
              </w:rPr>
            </w:pPr>
            <w:r w:rsidRPr="009C6C86">
              <w:rPr>
                <w:sz w:val="22"/>
                <w:szCs w:val="22"/>
              </w:rPr>
              <w:t>67013</w:t>
            </w:r>
            <w:r w:rsidR="00D317CA" w:rsidRPr="009C6C86">
              <w:rPr>
                <w:sz w:val="22"/>
                <w:szCs w:val="22"/>
              </w:rPr>
              <w:t>029</w:t>
            </w:r>
          </w:p>
        </w:tc>
      </w:tr>
      <w:tr w:rsidR="009647CD" w:rsidRPr="009C6C86" w14:paraId="72231E5A" w14:textId="77777777" w:rsidTr="716D5E17">
        <w:trPr>
          <w:tblCellSpacing w:w="0" w:type="dxa"/>
        </w:trPr>
        <w:tc>
          <w:tcPr>
            <w:tcW w:w="8265" w:type="dxa"/>
            <w:tcBorders>
              <w:top w:val="nil"/>
              <w:left w:val="nil"/>
              <w:bottom w:val="single" w:sz="8" w:space="0" w:color="000000" w:themeColor="text1"/>
              <w:right w:val="nil"/>
            </w:tcBorders>
            <w:vAlign w:val="center"/>
            <w:hideMark/>
          </w:tcPr>
          <w:p w14:paraId="46EC4BC2" w14:textId="6374BC73" w:rsidR="009647CD" w:rsidRPr="009C6C86" w:rsidRDefault="47E7EC94" w:rsidP="00074BE1">
            <w:pPr>
              <w:spacing w:before="120"/>
              <w:ind w:firstLine="375"/>
              <w:jc w:val="both"/>
              <w:rPr>
                <w:sz w:val="22"/>
                <w:szCs w:val="22"/>
              </w:rPr>
            </w:pPr>
            <w:r w:rsidRPr="009C6C86">
              <w:rPr>
                <w:sz w:val="22"/>
                <w:szCs w:val="22"/>
              </w:rPr>
              <w:t>a</w:t>
            </w:r>
            <w:r w:rsidR="00D317CA" w:rsidRPr="009C6C86">
              <w:rPr>
                <w:sz w:val="22"/>
                <w:szCs w:val="22"/>
              </w:rPr>
              <w:t>gnese.lickrastina</w:t>
            </w:r>
            <w:r w:rsidR="009647CD" w:rsidRPr="009C6C86">
              <w:rPr>
                <w:sz w:val="22"/>
                <w:szCs w:val="22"/>
              </w:rPr>
              <w:t xml:space="preserve">@em.gov.lv </w:t>
            </w:r>
          </w:p>
        </w:tc>
      </w:tr>
    </w:tbl>
    <w:p w14:paraId="750B8737" w14:textId="418D9BED" w:rsidR="716D5E17" w:rsidRPr="009C6C86" w:rsidRDefault="716D5E17">
      <w:pPr>
        <w:rPr>
          <w:sz w:val="22"/>
          <w:szCs w:val="22"/>
        </w:rPr>
      </w:pPr>
    </w:p>
    <w:p w14:paraId="5E5D92EF" w14:textId="56D8040E" w:rsidR="00BD6FD2" w:rsidRPr="009C6C86" w:rsidRDefault="00BD6FD2" w:rsidP="009647CD">
      <w:pPr>
        <w:spacing w:after="75"/>
        <w:ind w:firstLine="374"/>
        <w:jc w:val="both"/>
        <w:rPr>
          <w:sz w:val="22"/>
          <w:szCs w:val="22"/>
        </w:rPr>
      </w:pPr>
    </w:p>
    <w:p w14:paraId="7FB034D8" w14:textId="52AF0DE7" w:rsidR="00BD6FD2" w:rsidRPr="009C6C86" w:rsidRDefault="00BD6FD2" w:rsidP="009647CD">
      <w:pPr>
        <w:spacing w:after="75"/>
        <w:ind w:firstLine="374"/>
        <w:jc w:val="both"/>
        <w:rPr>
          <w:sz w:val="22"/>
          <w:szCs w:val="22"/>
        </w:rPr>
      </w:pPr>
    </w:p>
    <w:sectPr w:rsidR="00BD6FD2" w:rsidRPr="009C6C86" w:rsidSect="005B7A33">
      <w:headerReference w:type="even" r:id="rId11"/>
      <w:headerReference w:type="default" r:id="rId12"/>
      <w:footerReference w:type="default" r:id="rId13"/>
      <w:headerReference w:type="first" r:id="rId14"/>
      <w:footerReference w:type="first" r:id="rId15"/>
      <w:pgSz w:w="16838" w:h="11906" w:orient="landscape" w:code="9"/>
      <w:pgMar w:top="709" w:right="1134" w:bottom="1134" w:left="1418"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83A25F" w16cex:dateUtc="2020-08-31T14:49:00Z"/>
  <w16cex:commentExtensible w16cex:durableId="513238F6" w16cex:dateUtc="2020-08-31T14:48:00Z"/>
  <w16cex:commentExtensible w16cex:durableId="3A17B061" w16cex:dateUtc="2020-09-03T17:00:49.662Z"/>
  <w16cex:commentExtensible w16cex:durableId="1EEB647D" w16cex:dateUtc="2020-09-03T17:01:07.169Z"/>
  <w16cex:commentExtensible w16cex:durableId="64F40EB9" w16cex:dateUtc="2020-09-03T17:08:42.5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E55B1" w14:textId="77777777" w:rsidR="00631834" w:rsidRPr="0076341D" w:rsidRDefault="00631834" w:rsidP="00667113">
      <w:pPr>
        <w:rPr>
          <w:sz w:val="22"/>
          <w:szCs w:val="22"/>
        </w:rPr>
      </w:pPr>
      <w:r w:rsidRPr="0076341D">
        <w:rPr>
          <w:sz w:val="22"/>
          <w:szCs w:val="22"/>
        </w:rPr>
        <w:separator/>
      </w:r>
    </w:p>
  </w:endnote>
  <w:endnote w:type="continuationSeparator" w:id="0">
    <w:p w14:paraId="534824AD" w14:textId="77777777" w:rsidR="00631834" w:rsidRPr="0076341D" w:rsidRDefault="00631834" w:rsidP="00667113">
      <w:pPr>
        <w:rPr>
          <w:sz w:val="22"/>
          <w:szCs w:val="22"/>
        </w:rPr>
      </w:pPr>
      <w:r w:rsidRPr="0076341D">
        <w:rPr>
          <w:sz w:val="22"/>
          <w:szCs w:val="22"/>
        </w:rPr>
        <w:continuationSeparator/>
      </w:r>
    </w:p>
  </w:endnote>
  <w:endnote w:type="continuationNotice" w:id="1">
    <w:p w14:paraId="3B32AB1C" w14:textId="77777777" w:rsidR="00631834" w:rsidRDefault="00631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12F1" w14:textId="680B111E" w:rsidR="00631834" w:rsidRPr="009647CD" w:rsidRDefault="00631834" w:rsidP="009647CD">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Pr>
        <w:noProof/>
        <w:sz w:val="20"/>
        <w:szCs w:val="20"/>
      </w:rPr>
      <w:t>EMIzz_</w:t>
    </w:r>
    <w:r w:rsidR="00DD5BDD">
      <w:rPr>
        <w:noProof/>
        <w:sz w:val="20"/>
        <w:szCs w:val="20"/>
      </w:rPr>
      <w:t>10</w:t>
    </w:r>
    <w:r>
      <w:rPr>
        <w:noProof/>
        <w:sz w:val="20"/>
        <w:szCs w:val="20"/>
      </w:rPr>
      <w:t>0920_OIK.docx</w:t>
    </w:r>
    <w:r w:rsidRPr="003E0C7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9019" w14:textId="2659F326" w:rsidR="00631834" w:rsidRPr="000C3947" w:rsidRDefault="00631834" w:rsidP="000C3947">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Pr>
        <w:noProof/>
        <w:sz w:val="20"/>
        <w:szCs w:val="20"/>
      </w:rPr>
      <w:t>EMIzz_040920_OIK.docx</w:t>
    </w:r>
    <w:r w:rsidRPr="003E0C7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ABA55" w14:textId="77777777" w:rsidR="00631834" w:rsidRPr="0076341D" w:rsidRDefault="00631834" w:rsidP="00667113">
      <w:pPr>
        <w:rPr>
          <w:sz w:val="22"/>
          <w:szCs w:val="22"/>
        </w:rPr>
      </w:pPr>
      <w:r w:rsidRPr="0076341D">
        <w:rPr>
          <w:sz w:val="22"/>
          <w:szCs w:val="22"/>
        </w:rPr>
        <w:separator/>
      </w:r>
    </w:p>
  </w:footnote>
  <w:footnote w:type="continuationSeparator" w:id="0">
    <w:p w14:paraId="5A70BFDB" w14:textId="77777777" w:rsidR="00631834" w:rsidRPr="0076341D" w:rsidRDefault="00631834" w:rsidP="00667113">
      <w:pPr>
        <w:rPr>
          <w:sz w:val="22"/>
          <w:szCs w:val="22"/>
        </w:rPr>
      </w:pPr>
      <w:r w:rsidRPr="0076341D">
        <w:rPr>
          <w:sz w:val="22"/>
          <w:szCs w:val="22"/>
        </w:rPr>
        <w:continuationSeparator/>
      </w:r>
    </w:p>
  </w:footnote>
  <w:footnote w:type="continuationNotice" w:id="1">
    <w:p w14:paraId="06474692" w14:textId="77777777" w:rsidR="00631834" w:rsidRDefault="006318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58E2" w14:textId="77777777" w:rsidR="00631834" w:rsidRPr="0076341D" w:rsidRDefault="00631834"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end"/>
    </w:r>
  </w:p>
  <w:p w14:paraId="300BB4E3" w14:textId="77777777" w:rsidR="00631834" w:rsidRPr="0076341D" w:rsidRDefault="00631834">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CEAE2" w14:textId="77777777" w:rsidR="00631834" w:rsidRPr="0076341D" w:rsidRDefault="00631834"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separate"/>
    </w:r>
    <w:r>
      <w:rPr>
        <w:rStyle w:val="PageNumber"/>
        <w:noProof/>
        <w:sz w:val="22"/>
        <w:szCs w:val="22"/>
      </w:rPr>
      <w:t>7</w:t>
    </w:r>
    <w:r w:rsidRPr="0076341D">
      <w:rPr>
        <w:rStyle w:val="PageNumber"/>
        <w:sz w:val="22"/>
        <w:szCs w:val="22"/>
      </w:rPr>
      <w:fldChar w:fldCharType="end"/>
    </w:r>
  </w:p>
  <w:p w14:paraId="112BA0B1" w14:textId="77777777" w:rsidR="00631834" w:rsidRPr="0076341D" w:rsidRDefault="00631834">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62"/>
      <w:gridCol w:w="4762"/>
      <w:gridCol w:w="4762"/>
    </w:tblGrid>
    <w:tr w:rsidR="00631834" w14:paraId="4D5865DB" w14:textId="77777777" w:rsidTr="1B2AF25A">
      <w:tc>
        <w:tcPr>
          <w:tcW w:w="4762" w:type="dxa"/>
        </w:tcPr>
        <w:p w14:paraId="3F80CFB7" w14:textId="7C760CC8" w:rsidR="00631834" w:rsidRDefault="00631834" w:rsidP="1B2AF25A">
          <w:pPr>
            <w:pStyle w:val="Header"/>
            <w:ind w:left="-115"/>
          </w:pPr>
        </w:p>
      </w:tc>
      <w:tc>
        <w:tcPr>
          <w:tcW w:w="4762" w:type="dxa"/>
        </w:tcPr>
        <w:p w14:paraId="76B7BC0D" w14:textId="5211F6E2" w:rsidR="00631834" w:rsidRDefault="00631834" w:rsidP="1B2AF25A">
          <w:pPr>
            <w:pStyle w:val="Header"/>
            <w:jc w:val="center"/>
          </w:pPr>
        </w:p>
      </w:tc>
      <w:tc>
        <w:tcPr>
          <w:tcW w:w="4762" w:type="dxa"/>
        </w:tcPr>
        <w:p w14:paraId="115D3277" w14:textId="00B319AA" w:rsidR="00631834" w:rsidRDefault="00631834" w:rsidP="1B2AF25A">
          <w:pPr>
            <w:pStyle w:val="Header"/>
            <w:ind w:right="-115"/>
            <w:jc w:val="right"/>
          </w:pPr>
        </w:p>
      </w:tc>
    </w:tr>
  </w:tbl>
  <w:p w14:paraId="0158674E" w14:textId="4FB1AD51" w:rsidR="00631834" w:rsidRDefault="00631834" w:rsidP="1B2AF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74A"/>
    <w:multiLevelType w:val="hybridMultilevel"/>
    <w:tmpl w:val="0206031C"/>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66477E"/>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 w15:restartNumberingAfterBreak="0">
    <w:nsid w:val="0A285D79"/>
    <w:multiLevelType w:val="hybridMultilevel"/>
    <w:tmpl w:val="7C1A5CE0"/>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8C3837"/>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 w15:restartNumberingAfterBreak="0">
    <w:nsid w:val="0E297318"/>
    <w:multiLevelType w:val="hybridMultilevel"/>
    <w:tmpl w:val="265A8E9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 w15:restartNumberingAfterBreak="0">
    <w:nsid w:val="10DB5252"/>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6" w15:restartNumberingAfterBreak="0">
    <w:nsid w:val="13083C67"/>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7" w15:restartNumberingAfterBreak="0">
    <w:nsid w:val="175E2A78"/>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8" w15:restartNumberingAfterBreak="0">
    <w:nsid w:val="186A5D04"/>
    <w:multiLevelType w:val="hybridMultilevel"/>
    <w:tmpl w:val="567C27F0"/>
    <w:lvl w:ilvl="0" w:tplc="7DF6A246">
      <w:start w:val="1"/>
      <w:numFmt w:val="bullet"/>
      <w:lvlText w:val=""/>
      <w:lvlJc w:val="left"/>
      <w:pPr>
        <w:ind w:left="720" w:hanging="360"/>
      </w:pPr>
      <w:rPr>
        <w:rFonts w:ascii="Symbol" w:hAnsi="Symbol" w:hint="default"/>
      </w:rPr>
    </w:lvl>
    <w:lvl w:ilvl="1" w:tplc="DB3C2E30">
      <w:start w:val="1"/>
      <w:numFmt w:val="bullet"/>
      <w:lvlText w:val="o"/>
      <w:lvlJc w:val="left"/>
      <w:pPr>
        <w:ind w:left="1440" w:hanging="360"/>
      </w:pPr>
      <w:rPr>
        <w:rFonts w:ascii="Courier New" w:hAnsi="Courier New" w:hint="default"/>
      </w:rPr>
    </w:lvl>
    <w:lvl w:ilvl="2" w:tplc="2CE0ED9A">
      <w:start w:val="1"/>
      <w:numFmt w:val="bullet"/>
      <w:lvlText w:val=""/>
      <w:lvlJc w:val="left"/>
      <w:pPr>
        <w:ind w:left="2160" w:hanging="360"/>
      </w:pPr>
      <w:rPr>
        <w:rFonts w:ascii="Wingdings" w:hAnsi="Wingdings" w:hint="default"/>
      </w:rPr>
    </w:lvl>
    <w:lvl w:ilvl="3" w:tplc="B28C4508">
      <w:start w:val="1"/>
      <w:numFmt w:val="bullet"/>
      <w:lvlText w:val=""/>
      <w:lvlJc w:val="left"/>
      <w:pPr>
        <w:ind w:left="2880" w:hanging="360"/>
      </w:pPr>
      <w:rPr>
        <w:rFonts w:ascii="Symbol" w:hAnsi="Symbol" w:hint="default"/>
      </w:rPr>
    </w:lvl>
    <w:lvl w:ilvl="4" w:tplc="B3706456">
      <w:start w:val="1"/>
      <w:numFmt w:val="bullet"/>
      <w:lvlText w:val="o"/>
      <w:lvlJc w:val="left"/>
      <w:pPr>
        <w:ind w:left="3600" w:hanging="360"/>
      </w:pPr>
      <w:rPr>
        <w:rFonts w:ascii="Courier New" w:hAnsi="Courier New" w:hint="default"/>
      </w:rPr>
    </w:lvl>
    <w:lvl w:ilvl="5" w:tplc="BF605D92">
      <w:start w:val="1"/>
      <w:numFmt w:val="bullet"/>
      <w:lvlText w:val=""/>
      <w:lvlJc w:val="left"/>
      <w:pPr>
        <w:ind w:left="4320" w:hanging="360"/>
      </w:pPr>
      <w:rPr>
        <w:rFonts w:ascii="Wingdings" w:hAnsi="Wingdings" w:hint="default"/>
      </w:rPr>
    </w:lvl>
    <w:lvl w:ilvl="6" w:tplc="0D863A20">
      <w:start w:val="1"/>
      <w:numFmt w:val="bullet"/>
      <w:lvlText w:val=""/>
      <w:lvlJc w:val="left"/>
      <w:pPr>
        <w:ind w:left="5040" w:hanging="360"/>
      </w:pPr>
      <w:rPr>
        <w:rFonts w:ascii="Symbol" w:hAnsi="Symbol" w:hint="default"/>
      </w:rPr>
    </w:lvl>
    <w:lvl w:ilvl="7" w:tplc="5D422AD4">
      <w:start w:val="1"/>
      <w:numFmt w:val="bullet"/>
      <w:lvlText w:val="o"/>
      <w:lvlJc w:val="left"/>
      <w:pPr>
        <w:ind w:left="5760" w:hanging="360"/>
      </w:pPr>
      <w:rPr>
        <w:rFonts w:ascii="Courier New" w:hAnsi="Courier New" w:hint="default"/>
      </w:rPr>
    </w:lvl>
    <w:lvl w:ilvl="8" w:tplc="67C2F5C0">
      <w:start w:val="1"/>
      <w:numFmt w:val="bullet"/>
      <w:lvlText w:val=""/>
      <w:lvlJc w:val="left"/>
      <w:pPr>
        <w:ind w:left="6480" w:hanging="360"/>
      </w:pPr>
      <w:rPr>
        <w:rFonts w:ascii="Wingdings" w:hAnsi="Wingdings" w:hint="default"/>
      </w:rPr>
    </w:lvl>
  </w:abstractNum>
  <w:abstractNum w:abstractNumId="9" w15:restartNumberingAfterBreak="0">
    <w:nsid w:val="208308FD"/>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0" w15:restartNumberingAfterBreak="0">
    <w:nsid w:val="230476DF"/>
    <w:multiLevelType w:val="hybridMultilevel"/>
    <w:tmpl w:val="0CF2DE58"/>
    <w:lvl w:ilvl="0" w:tplc="67A837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52E051B"/>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DC51F3"/>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3" w15:restartNumberingAfterBreak="0">
    <w:nsid w:val="33601C16"/>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4" w15:restartNumberingAfterBreak="0">
    <w:nsid w:val="350842AC"/>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5" w15:restartNumberingAfterBreak="0">
    <w:nsid w:val="3525111F"/>
    <w:multiLevelType w:val="hybridMultilevel"/>
    <w:tmpl w:val="EE3649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460A8C"/>
    <w:multiLevelType w:val="hybridMultilevel"/>
    <w:tmpl w:val="FFFFFFFF"/>
    <w:lvl w:ilvl="0" w:tplc="88BC09B4">
      <w:start w:val="1"/>
      <w:numFmt w:val="bullet"/>
      <w:lvlText w:val=""/>
      <w:lvlJc w:val="left"/>
      <w:pPr>
        <w:ind w:left="720" w:hanging="360"/>
      </w:pPr>
      <w:rPr>
        <w:rFonts w:ascii="Symbol" w:hAnsi="Symbol" w:hint="default"/>
      </w:rPr>
    </w:lvl>
    <w:lvl w:ilvl="1" w:tplc="A3A47884">
      <w:start w:val="1"/>
      <w:numFmt w:val="bullet"/>
      <w:lvlText w:val="o"/>
      <w:lvlJc w:val="left"/>
      <w:pPr>
        <w:ind w:left="1440" w:hanging="360"/>
      </w:pPr>
      <w:rPr>
        <w:rFonts w:ascii="Courier New" w:hAnsi="Courier New" w:hint="default"/>
      </w:rPr>
    </w:lvl>
    <w:lvl w:ilvl="2" w:tplc="DBE21644">
      <w:start w:val="1"/>
      <w:numFmt w:val="bullet"/>
      <w:lvlText w:val=""/>
      <w:lvlJc w:val="left"/>
      <w:pPr>
        <w:ind w:left="2160" w:hanging="360"/>
      </w:pPr>
      <w:rPr>
        <w:rFonts w:ascii="Wingdings" w:hAnsi="Wingdings" w:hint="default"/>
      </w:rPr>
    </w:lvl>
    <w:lvl w:ilvl="3" w:tplc="7466F3F4">
      <w:start w:val="1"/>
      <w:numFmt w:val="bullet"/>
      <w:lvlText w:val=""/>
      <w:lvlJc w:val="left"/>
      <w:pPr>
        <w:ind w:left="2880" w:hanging="360"/>
      </w:pPr>
      <w:rPr>
        <w:rFonts w:ascii="Symbol" w:hAnsi="Symbol" w:hint="default"/>
      </w:rPr>
    </w:lvl>
    <w:lvl w:ilvl="4" w:tplc="7DA2441A">
      <w:start w:val="1"/>
      <w:numFmt w:val="bullet"/>
      <w:lvlText w:val="o"/>
      <w:lvlJc w:val="left"/>
      <w:pPr>
        <w:ind w:left="3600" w:hanging="360"/>
      </w:pPr>
      <w:rPr>
        <w:rFonts w:ascii="Courier New" w:hAnsi="Courier New" w:hint="default"/>
      </w:rPr>
    </w:lvl>
    <w:lvl w:ilvl="5" w:tplc="E5D0EA4C">
      <w:start w:val="1"/>
      <w:numFmt w:val="bullet"/>
      <w:lvlText w:val=""/>
      <w:lvlJc w:val="left"/>
      <w:pPr>
        <w:ind w:left="4320" w:hanging="360"/>
      </w:pPr>
      <w:rPr>
        <w:rFonts w:ascii="Wingdings" w:hAnsi="Wingdings" w:hint="default"/>
      </w:rPr>
    </w:lvl>
    <w:lvl w:ilvl="6" w:tplc="F63638B4">
      <w:start w:val="1"/>
      <w:numFmt w:val="bullet"/>
      <w:lvlText w:val=""/>
      <w:lvlJc w:val="left"/>
      <w:pPr>
        <w:ind w:left="5040" w:hanging="360"/>
      </w:pPr>
      <w:rPr>
        <w:rFonts w:ascii="Symbol" w:hAnsi="Symbol" w:hint="default"/>
      </w:rPr>
    </w:lvl>
    <w:lvl w:ilvl="7" w:tplc="C1EE82D0">
      <w:start w:val="1"/>
      <w:numFmt w:val="bullet"/>
      <w:lvlText w:val="o"/>
      <w:lvlJc w:val="left"/>
      <w:pPr>
        <w:ind w:left="5760" w:hanging="360"/>
      </w:pPr>
      <w:rPr>
        <w:rFonts w:ascii="Courier New" w:hAnsi="Courier New" w:hint="default"/>
      </w:rPr>
    </w:lvl>
    <w:lvl w:ilvl="8" w:tplc="08A03B90">
      <w:start w:val="1"/>
      <w:numFmt w:val="bullet"/>
      <w:lvlText w:val=""/>
      <w:lvlJc w:val="left"/>
      <w:pPr>
        <w:ind w:left="6480" w:hanging="360"/>
      </w:pPr>
      <w:rPr>
        <w:rFonts w:ascii="Wingdings" w:hAnsi="Wingdings" w:hint="default"/>
      </w:rPr>
    </w:lvl>
  </w:abstractNum>
  <w:abstractNum w:abstractNumId="17" w15:restartNumberingAfterBreak="0">
    <w:nsid w:val="36D30191"/>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E01D69"/>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E2644A"/>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0" w15:restartNumberingAfterBreak="0">
    <w:nsid w:val="3C3C772C"/>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1" w15:restartNumberingAfterBreak="0">
    <w:nsid w:val="3CC514B1"/>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2" w15:restartNumberingAfterBreak="0">
    <w:nsid w:val="3CEB4F59"/>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3" w15:restartNumberingAfterBreak="0">
    <w:nsid w:val="3DE238C5"/>
    <w:multiLevelType w:val="multilevel"/>
    <w:tmpl w:val="2DB4DA2C"/>
    <w:lvl w:ilvl="0">
      <w:start w:val="5"/>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1986"/>
        </w:tabs>
        <w:ind w:left="1135"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F364ABE"/>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5" w15:restartNumberingAfterBreak="0">
    <w:nsid w:val="43C52301"/>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D47002"/>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937EBD"/>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8" w15:restartNumberingAfterBreak="0">
    <w:nsid w:val="51A74C80"/>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9" w15:restartNumberingAfterBreak="0">
    <w:nsid w:val="564A13B8"/>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0" w15:restartNumberingAfterBreak="0">
    <w:nsid w:val="5DD756F1"/>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1" w15:restartNumberingAfterBreak="0">
    <w:nsid w:val="5EF516B9"/>
    <w:multiLevelType w:val="hybridMultilevel"/>
    <w:tmpl w:val="0B52B790"/>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A5CE7520">
      <w:start w:val="13"/>
      <w:numFmt w:val="decimal"/>
      <w:lvlText w:val="%3."/>
      <w:lvlJc w:val="left"/>
      <w:pPr>
        <w:ind w:left="2340" w:hanging="360"/>
      </w:pPr>
      <w:rPr>
        <w:rFont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03B15A5"/>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3" w15:restartNumberingAfterBreak="0">
    <w:nsid w:val="61390B12"/>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4" w15:restartNumberingAfterBreak="0">
    <w:nsid w:val="65CC108F"/>
    <w:multiLevelType w:val="hybridMultilevel"/>
    <w:tmpl w:val="AB94DA92"/>
    <w:lvl w:ilvl="0" w:tplc="CBDC31FA">
      <w:start w:val="1"/>
      <w:numFmt w:val="decimal"/>
      <w:lvlText w:val="%1."/>
      <w:lvlJc w:val="left"/>
      <w:pPr>
        <w:ind w:left="927"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5" w15:restartNumberingAfterBreak="0">
    <w:nsid w:val="65FA01DF"/>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6" w15:restartNumberingAfterBreak="1">
    <w:nsid w:val="675878C9"/>
    <w:multiLevelType w:val="hybridMultilevel"/>
    <w:tmpl w:val="074AF92A"/>
    <w:lvl w:ilvl="0" w:tplc="2E4455CC">
      <w:start w:val="1"/>
      <w:numFmt w:val="decimal"/>
      <w:lvlText w:val="%1."/>
      <w:lvlJc w:val="left"/>
      <w:pPr>
        <w:ind w:left="720" w:hanging="360"/>
      </w:pPr>
      <w:rPr>
        <w:rFonts w:hint="default"/>
      </w:rPr>
    </w:lvl>
    <w:lvl w:ilvl="1" w:tplc="DBB08940" w:tentative="1">
      <w:start w:val="1"/>
      <w:numFmt w:val="lowerLetter"/>
      <w:lvlText w:val="%2."/>
      <w:lvlJc w:val="left"/>
      <w:pPr>
        <w:ind w:left="1440" w:hanging="360"/>
      </w:pPr>
    </w:lvl>
    <w:lvl w:ilvl="2" w:tplc="F8349DB4" w:tentative="1">
      <w:start w:val="1"/>
      <w:numFmt w:val="lowerRoman"/>
      <w:lvlText w:val="%3."/>
      <w:lvlJc w:val="right"/>
      <w:pPr>
        <w:ind w:left="2160" w:hanging="180"/>
      </w:pPr>
    </w:lvl>
    <w:lvl w:ilvl="3" w:tplc="8B12BFB0" w:tentative="1">
      <w:start w:val="1"/>
      <w:numFmt w:val="decimal"/>
      <w:lvlText w:val="%4."/>
      <w:lvlJc w:val="left"/>
      <w:pPr>
        <w:ind w:left="2880" w:hanging="360"/>
      </w:pPr>
    </w:lvl>
    <w:lvl w:ilvl="4" w:tplc="3B24464C" w:tentative="1">
      <w:start w:val="1"/>
      <w:numFmt w:val="lowerLetter"/>
      <w:lvlText w:val="%5."/>
      <w:lvlJc w:val="left"/>
      <w:pPr>
        <w:ind w:left="3600" w:hanging="360"/>
      </w:pPr>
    </w:lvl>
    <w:lvl w:ilvl="5" w:tplc="23A4C002" w:tentative="1">
      <w:start w:val="1"/>
      <w:numFmt w:val="lowerRoman"/>
      <w:lvlText w:val="%6."/>
      <w:lvlJc w:val="right"/>
      <w:pPr>
        <w:ind w:left="4320" w:hanging="180"/>
      </w:pPr>
    </w:lvl>
    <w:lvl w:ilvl="6" w:tplc="A31A84B8" w:tentative="1">
      <w:start w:val="1"/>
      <w:numFmt w:val="decimal"/>
      <w:lvlText w:val="%7."/>
      <w:lvlJc w:val="left"/>
      <w:pPr>
        <w:ind w:left="5040" w:hanging="360"/>
      </w:pPr>
    </w:lvl>
    <w:lvl w:ilvl="7" w:tplc="2034E708" w:tentative="1">
      <w:start w:val="1"/>
      <w:numFmt w:val="lowerLetter"/>
      <w:lvlText w:val="%8."/>
      <w:lvlJc w:val="left"/>
      <w:pPr>
        <w:ind w:left="5760" w:hanging="360"/>
      </w:pPr>
    </w:lvl>
    <w:lvl w:ilvl="8" w:tplc="B52E4F2E" w:tentative="1">
      <w:start w:val="1"/>
      <w:numFmt w:val="lowerRoman"/>
      <w:lvlText w:val="%9."/>
      <w:lvlJc w:val="right"/>
      <w:pPr>
        <w:ind w:left="6480" w:hanging="180"/>
      </w:pPr>
    </w:lvl>
  </w:abstractNum>
  <w:abstractNum w:abstractNumId="37" w15:restartNumberingAfterBreak="0">
    <w:nsid w:val="6A2D1088"/>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8" w15:restartNumberingAfterBreak="0">
    <w:nsid w:val="6CD1536A"/>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AD1656"/>
    <w:multiLevelType w:val="hybridMultilevel"/>
    <w:tmpl w:val="C7E67D7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6EE5CF7"/>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1" w15:restartNumberingAfterBreak="0">
    <w:nsid w:val="79016AB5"/>
    <w:multiLevelType w:val="hybridMultilevel"/>
    <w:tmpl w:val="ED348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8822ED"/>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3" w15:restartNumberingAfterBreak="0">
    <w:nsid w:val="7A5C7226"/>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4" w15:restartNumberingAfterBreak="0">
    <w:nsid w:val="7CA93191"/>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140064"/>
    <w:multiLevelType w:val="hybridMultilevel"/>
    <w:tmpl w:val="759C4878"/>
    <w:lvl w:ilvl="0" w:tplc="0426000F">
      <w:start w:val="1"/>
      <w:numFmt w:val="bullet"/>
      <w:pStyle w:val="bullet"/>
      <w:lvlText w:val=""/>
      <w:lvlJc w:val="left"/>
      <w:pPr>
        <w:tabs>
          <w:tab w:val="num" w:pos="644"/>
        </w:tabs>
        <w:ind w:left="644" w:hanging="360"/>
      </w:pPr>
      <w:rPr>
        <w:rFonts w:ascii="Symbol" w:hAnsi="Symbol" w:hint="default"/>
      </w:rPr>
    </w:lvl>
    <w:lvl w:ilvl="1" w:tplc="EAE4E820">
      <w:start w:val="1"/>
      <w:numFmt w:val="bullet"/>
      <w:lvlText w:val="o"/>
      <w:lvlJc w:val="left"/>
      <w:pPr>
        <w:tabs>
          <w:tab w:val="num" w:pos="1367"/>
        </w:tabs>
        <w:ind w:left="1367" w:hanging="360"/>
      </w:pPr>
      <w:rPr>
        <w:rFonts w:ascii="Courier New" w:hAnsi="Courier New" w:hint="default"/>
      </w:rPr>
    </w:lvl>
    <w:lvl w:ilvl="2" w:tplc="9F38B92C">
      <w:start w:val="1"/>
      <w:numFmt w:val="bullet"/>
      <w:lvlText w:val=""/>
      <w:lvlJc w:val="left"/>
      <w:pPr>
        <w:tabs>
          <w:tab w:val="num" w:pos="2087"/>
        </w:tabs>
        <w:ind w:left="2087" w:hanging="360"/>
      </w:pPr>
      <w:rPr>
        <w:rFonts w:ascii="Wingdings" w:hAnsi="Wingdings" w:hint="default"/>
      </w:rPr>
    </w:lvl>
    <w:lvl w:ilvl="3" w:tplc="74D8103C" w:tentative="1">
      <w:start w:val="1"/>
      <w:numFmt w:val="bullet"/>
      <w:lvlText w:val=""/>
      <w:lvlJc w:val="left"/>
      <w:pPr>
        <w:tabs>
          <w:tab w:val="num" w:pos="2807"/>
        </w:tabs>
        <w:ind w:left="2807" w:hanging="360"/>
      </w:pPr>
      <w:rPr>
        <w:rFonts w:ascii="Symbol" w:hAnsi="Symbol" w:hint="default"/>
      </w:rPr>
    </w:lvl>
    <w:lvl w:ilvl="4" w:tplc="544A2A0C" w:tentative="1">
      <w:start w:val="1"/>
      <w:numFmt w:val="bullet"/>
      <w:lvlText w:val="o"/>
      <w:lvlJc w:val="left"/>
      <w:pPr>
        <w:tabs>
          <w:tab w:val="num" w:pos="3527"/>
        </w:tabs>
        <w:ind w:left="3527" w:hanging="360"/>
      </w:pPr>
      <w:rPr>
        <w:rFonts w:ascii="Courier New" w:hAnsi="Courier New" w:hint="default"/>
      </w:rPr>
    </w:lvl>
    <w:lvl w:ilvl="5" w:tplc="6A3E48EA" w:tentative="1">
      <w:start w:val="1"/>
      <w:numFmt w:val="bullet"/>
      <w:lvlText w:val=""/>
      <w:lvlJc w:val="left"/>
      <w:pPr>
        <w:tabs>
          <w:tab w:val="num" w:pos="4247"/>
        </w:tabs>
        <w:ind w:left="4247" w:hanging="360"/>
      </w:pPr>
      <w:rPr>
        <w:rFonts w:ascii="Wingdings" w:hAnsi="Wingdings" w:hint="default"/>
      </w:rPr>
    </w:lvl>
    <w:lvl w:ilvl="6" w:tplc="CE7CE910" w:tentative="1">
      <w:start w:val="1"/>
      <w:numFmt w:val="bullet"/>
      <w:lvlText w:val=""/>
      <w:lvlJc w:val="left"/>
      <w:pPr>
        <w:tabs>
          <w:tab w:val="num" w:pos="4967"/>
        </w:tabs>
        <w:ind w:left="4967" w:hanging="360"/>
      </w:pPr>
      <w:rPr>
        <w:rFonts w:ascii="Symbol" w:hAnsi="Symbol" w:hint="default"/>
      </w:rPr>
    </w:lvl>
    <w:lvl w:ilvl="7" w:tplc="876E1C2A" w:tentative="1">
      <w:start w:val="1"/>
      <w:numFmt w:val="bullet"/>
      <w:lvlText w:val="o"/>
      <w:lvlJc w:val="left"/>
      <w:pPr>
        <w:tabs>
          <w:tab w:val="num" w:pos="5687"/>
        </w:tabs>
        <w:ind w:left="5687" w:hanging="360"/>
      </w:pPr>
      <w:rPr>
        <w:rFonts w:ascii="Courier New" w:hAnsi="Courier New" w:hint="default"/>
      </w:rPr>
    </w:lvl>
    <w:lvl w:ilvl="8" w:tplc="C1B6EEAC" w:tentative="1">
      <w:start w:val="1"/>
      <w:numFmt w:val="bullet"/>
      <w:lvlText w:val=""/>
      <w:lvlJc w:val="left"/>
      <w:pPr>
        <w:tabs>
          <w:tab w:val="num" w:pos="6407"/>
        </w:tabs>
        <w:ind w:left="6407" w:hanging="360"/>
      </w:pPr>
      <w:rPr>
        <w:rFonts w:ascii="Wingdings" w:hAnsi="Wingdings" w:hint="default"/>
      </w:rPr>
    </w:lvl>
  </w:abstractNum>
  <w:abstractNum w:abstractNumId="46" w15:restartNumberingAfterBreak="0">
    <w:nsid w:val="7FD97F8B"/>
    <w:multiLevelType w:val="hybridMultilevel"/>
    <w:tmpl w:val="AB94DA92"/>
    <w:lvl w:ilvl="0" w:tplc="CBDC31FA">
      <w:start w:val="1"/>
      <w:numFmt w:val="decimal"/>
      <w:lvlText w:val="%1."/>
      <w:lvlJc w:val="left"/>
      <w:pPr>
        <w:ind w:left="785" w:hanging="360"/>
      </w:pPr>
      <w:rPr>
        <w:strike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abstractNumId w:val="8"/>
  </w:num>
  <w:num w:numId="2">
    <w:abstractNumId w:val="23"/>
  </w:num>
  <w:num w:numId="3">
    <w:abstractNumId w:val="45"/>
  </w:num>
  <w:num w:numId="4">
    <w:abstractNumId w:val="2"/>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
  </w:num>
  <w:num w:numId="9">
    <w:abstractNumId w:val="33"/>
  </w:num>
  <w:num w:numId="10">
    <w:abstractNumId w:val="28"/>
  </w:num>
  <w:num w:numId="11">
    <w:abstractNumId w:val="34"/>
  </w:num>
  <w:num w:numId="12">
    <w:abstractNumId w:val="22"/>
  </w:num>
  <w:num w:numId="13">
    <w:abstractNumId w:val="9"/>
  </w:num>
  <w:num w:numId="14">
    <w:abstractNumId w:val="30"/>
  </w:num>
  <w:num w:numId="15">
    <w:abstractNumId w:val="35"/>
  </w:num>
  <w:num w:numId="16">
    <w:abstractNumId w:val="21"/>
  </w:num>
  <w:num w:numId="17">
    <w:abstractNumId w:val="32"/>
  </w:num>
  <w:num w:numId="18">
    <w:abstractNumId w:val="12"/>
  </w:num>
  <w:num w:numId="19">
    <w:abstractNumId w:val="27"/>
  </w:num>
  <w:num w:numId="20">
    <w:abstractNumId w:val="14"/>
  </w:num>
  <w:num w:numId="21">
    <w:abstractNumId w:val="43"/>
  </w:num>
  <w:num w:numId="22">
    <w:abstractNumId w:val="42"/>
  </w:num>
  <w:num w:numId="23">
    <w:abstractNumId w:val="44"/>
  </w:num>
  <w:num w:numId="24">
    <w:abstractNumId w:val="31"/>
  </w:num>
  <w:num w:numId="25">
    <w:abstractNumId w:val="5"/>
  </w:num>
  <w:num w:numId="26">
    <w:abstractNumId w:val="6"/>
  </w:num>
  <w:num w:numId="27">
    <w:abstractNumId w:val="29"/>
  </w:num>
  <w:num w:numId="28">
    <w:abstractNumId w:val="7"/>
  </w:num>
  <w:num w:numId="29">
    <w:abstractNumId w:val="24"/>
  </w:num>
  <w:num w:numId="30">
    <w:abstractNumId w:val="46"/>
  </w:num>
  <w:num w:numId="31">
    <w:abstractNumId w:val="19"/>
  </w:num>
  <w:num w:numId="32">
    <w:abstractNumId w:val="3"/>
  </w:num>
  <w:num w:numId="33">
    <w:abstractNumId w:val="13"/>
  </w:num>
  <w:num w:numId="34">
    <w:abstractNumId w:val="37"/>
  </w:num>
  <w:num w:numId="35">
    <w:abstractNumId w:val="20"/>
  </w:num>
  <w:num w:numId="36">
    <w:abstractNumId w:val="26"/>
  </w:num>
  <w:num w:numId="37">
    <w:abstractNumId w:val="18"/>
  </w:num>
  <w:num w:numId="38">
    <w:abstractNumId w:val="11"/>
  </w:num>
  <w:num w:numId="39">
    <w:abstractNumId w:val="38"/>
  </w:num>
  <w:num w:numId="40">
    <w:abstractNumId w:val="25"/>
  </w:num>
  <w:num w:numId="41">
    <w:abstractNumId w:val="17"/>
  </w:num>
  <w:num w:numId="42">
    <w:abstractNumId w:val="36"/>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41"/>
  </w:num>
  <w:num w:numId="46">
    <w:abstractNumId w:val="10"/>
  </w:num>
  <w:num w:numId="47">
    <w:abstractNumId w:val="0"/>
  </w:num>
  <w:num w:numId="48">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GrammaticalErrors/>
  <w:proofState w:spelling="clean" w:grammar="clean"/>
  <w:doNotTrackFormatting/>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D2"/>
    <w:rsid w:val="00000060"/>
    <w:rsid w:val="00000F35"/>
    <w:rsid w:val="000018ED"/>
    <w:rsid w:val="00001D3E"/>
    <w:rsid w:val="0000290C"/>
    <w:rsid w:val="000029FE"/>
    <w:rsid w:val="00003D15"/>
    <w:rsid w:val="000042FE"/>
    <w:rsid w:val="000044F1"/>
    <w:rsid w:val="0000506D"/>
    <w:rsid w:val="000056B6"/>
    <w:rsid w:val="00005A61"/>
    <w:rsid w:val="000063BD"/>
    <w:rsid w:val="000065C8"/>
    <w:rsid w:val="000071E4"/>
    <w:rsid w:val="00007281"/>
    <w:rsid w:val="00010710"/>
    <w:rsid w:val="00010A1D"/>
    <w:rsid w:val="00011433"/>
    <w:rsid w:val="0001157B"/>
    <w:rsid w:val="00011784"/>
    <w:rsid w:val="00011EF1"/>
    <w:rsid w:val="0001271F"/>
    <w:rsid w:val="00012BA1"/>
    <w:rsid w:val="00013627"/>
    <w:rsid w:val="000152EA"/>
    <w:rsid w:val="00015A6B"/>
    <w:rsid w:val="00015BD5"/>
    <w:rsid w:val="00015C9D"/>
    <w:rsid w:val="00015DD8"/>
    <w:rsid w:val="000160F5"/>
    <w:rsid w:val="00016AF0"/>
    <w:rsid w:val="00016B7E"/>
    <w:rsid w:val="00020E37"/>
    <w:rsid w:val="00021F61"/>
    <w:rsid w:val="000220FC"/>
    <w:rsid w:val="000221C5"/>
    <w:rsid w:val="0002252E"/>
    <w:rsid w:val="00022A56"/>
    <w:rsid w:val="00022BC9"/>
    <w:rsid w:val="00023296"/>
    <w:rsid w:val="00023407"/>
    <w:rsid w:val="00023D96"/>
    <w:rsid w:val="0002430A"/>
    <w:rsid w:val="000244A2"/>
    <w:rsid w:val="00025376"/>
    <w:rsid w:val="00025A73"/>
    <w:rsid w:val="000278E0"/>
    <w:rsid w:val="00027C8F"/>
    <w:rsid w:val="000305D0"/>
    <w:rsid w:val="0003093E"/>
    <w:rsid w:val="00030A96"/>
    <w:rsid w:val="00030D30"/>
    <w:rsid w:val="000315EE"/>
    <w:rsid w:val="000316D3"/>
    <w:rsid w:val="00031918"/>
    <w:rsid w:val="00031ACD"/>
    <w:rsid w:val="00032223"/>
    <w:rsid w:val="00032363"/>
    <w:rsid w:val="00032580"/>
    <w:rsid w:val="00032BEF"/>
    <w:rsid w:val="00032E7E"/>
    <w:rsid w:val="0003346E"/>
    <w:rsid w:val="0003420D"/>
    <w:rsid w:val="00034493"/>
    <w:rsid w:val="00034721"/>
    <w:rsid w:val="00034A65"/>
    <w:rsid w:val="00034B21"/>
    <w:rsid w:val="00034CF3"/>
    <w:rsid w:val="00035569"/>
    <w:rsid w:val="0003557C"/>
    <w:rsid w:val="0003638B"/>
    <w:rsid w:val="00036E3B"/>
    <w:rsid w:val="000370E8"/>
    <w:rsid w:val="00037729"/>
    <w:rsid w:val="0003789B"/>
    <w:rsid w:val="00037FF9"/>
    <w:rsid w:val="00040013"/>
    <w:rsid w:val="00040564"/>
    <w:rsid w:val="00040922"/>
    <w:rsid w:val="000410C8"/>
    <w:rsid w:val="0004188F"/>
    <w:rsid w:val="00041E34"/>
    <w:rsid w:val="00041E9B"/>
    <w:rsid w:val="000421C0"/>
    <w:rsid w:val="000421D6"/>
    <w:rsid w:val="000427EB"/>
    <w:rsid w:val="00044DFE"/>
    <w:rsid w:val="00045003"/>
    <w:rsid w:val="00045185"/>
    <w:rsid w:val="000454D3"/>
    <w:rsid w:val="00045CAD"/>
    <w:rsid w:val="00045EBD"/>
    <w:rsid w:val="00046292"/>
    <w:rsid w:val="00046391"/>
    <w:rsid w:val="000464D8"/>
    <w:rsid w:val="0004757A"/>
    <w:rsid w:val="00047C8E"/>
    <w:rsid w:val="000507B7"/>
    <w:rsid w:val="00050A9B"/>
    <w:rsid w:val="00051CA8"/>
    <w:rsid w:val="00051CB8"/>
    <w:rsid w:val="00052417"/>
    <w:rsid w:val="00052A38"/>
    <w:rsid w:val="00052E70"/>
    <w:rsid w:val="00052F0F"/>
    <w:rsid w:val="00053082"/>
    <w:rsid w:val="00053A27"/>
    <w:rsid w:val="00053A90"/>
    <w:rsid w:val="00053E1A"/>
    <w:rsid w:val="000545B4"/>
    <w:rsid w:val="0005481B"/>
    <w:rsid w:val="00054B4B"/>
    <w:rsid w:val="00055430"/>
    <w:rsid w:val="00055FD6"/>
    <w:rsid w:val="000562FA"/>
    <w:rsid w:val="000568C8"/>
    <w:rsid w:val="00056A1F"/>
    <w:rsid w:val="00056A7D"/>
    <w:rsid w:val="00056D84"/>
    <w:rsid w:val="00057713"/>
    <w:rsid w:val="00057C37"/>
    <w:rsid w:val="00057EFB"/>
    <w:rsid w:val="00060B29"/>
    <w:rsid w:val="00060E17"/>
    <w:rsid w:val="00061DA8"/>
    <w:rsid w:val="0006259B"/>
    <w:rsid w:val="000625B0"/>
    <w:rsid w:val="00062A8A"/>
    <w:rsid w:val="00062D42"/>
    <w:rsid w:val="00063285"/>
    <w:rsid w:val="00063EF4"/>
    <w:rsid w:val="00063FF1"/>
    <w:rsid w:val="0006578D"/>
    <w:rsid w:val="00066466"/>
    <w:rsid w:val="000668AB"/>
    <w:rsid w:val="00066EA4"/>
    <w:rsid w:val="00067075"/>
    <w:rsid w:val="000673FA"/>
    <w:rsid w:val="00067AAF"/>
    <w:rsid w:val="00070311"/>
    <w:rsid w:val="000703F3"/>
    <w:rsid w:val="00071423"/>
    <w:rsid w:val="00071532"/>
    <w:rsid w:val="00071745"/>
    <w:rsid w:val="000722FD"/>
    <w:rsid w:val="000724A8"/>
    <w:rsid w:val="000725F3"/>
    <w:rsid w:val="00072945"/>
    <w:rsid w:val="00072980"/>
    <w:rsid w:val="00072DF4"/>
    <w:rsid w:val="00072E6C"/>
    <w:rsid w:val="000730AF"/>
    <w:rsid w:val="000743AD"/>
    <w:rsid w:val="000743B4"/>
    <w:rsid w:val="000743EF"/>
    <w:rsid w:val="00074775"/>
    <w:rsid w:val="0007484B"/>
    <w:rsid w:val="00074A6E"/>
    <w:rsid w:val="00074BE1"/>
    <w:rsid w:val="00074FFE"/>
    <w:rsid w:val="00075003"/>
    <w:rsid w:val="00075AC7"/>
    <w:rsid w:val="00075C17"/>
    <w:rsid w:val="0007680E"/>
    <w:rsid w:val="00076F8F"/>
    <w:rsid w:val="0007745A"/>
    <w:rsid w:val="00077BB4"/>
    <w:rsid w:val="00077D16"/>
    <w:rsid w:val="00080CD0"/>
    <w:rsid w:val="00081FE8"/>
    <w:rsid w:val="00082B44"/>
    <w:rsid w:val="00083495"/>
    <w:rsid w:val="0008399D"/>
    <w:rsid w:val="00083ABE"/>
    <w:rsid w:val="00083CE6"/>
    <w:rsid w:val="00084003"/>
    <w:rsid w:val="0008484B"/>
    <w:rsid w:val="00084D0D"/>
    <w:rsid w:val="00084F5F"/>
    <w:rsid w:val="000851D4"/>
    <w:rsid w:val="000855D7"/>
    <w:rsid w:val="00085998"/>
    <w:rsid w:val="000859C0"/>
    <w:rsid w:val="0008781E"/>
    <w:rsid w:val="000904BE"/>
    <w:rsid w:val="000904E0"/>
    <w:rsid w:val="000906CF"/>
    <w:rsid w:val="0009070A"/>
    <w:rsid w:val="00090BD4"/>
    <w:rsid w:val="00090ED9"/>
    <w:rsid w:val="00090F8E"/>
    <w:rsid w:val="000911F4"/>
    <w:rsid w:val="00091CD2"/>
    <w:rsid w:val="00091E21"/>
    <w:rsid w:val="00092DAD"/>
    <w:rsid w:val="00093937"/>
    <w:rsid w:val="00093E66"/>
    <w:rsid w:val="00094EA6"/>
    <w:rsid w:val="00095512"/>
    <w:rsid w:val="0009597E"/>
    <w:rsid w:val="00095A96"/>
    <w:rsid w:val="00095E10"/>
    <w:rsid w:val="00095EC4"/>
    <w:rsid w:val="00096AC8"/>
    <w:rsid w:val="00097687"/>
    <w:rsid w:val="00097B6C"/>
    <w:rsid w:val="000A03FE"/>
    <w:rsid w:val="000A0623"/>
    <w:rsid w:val="000A072E"/>
    <w:rsid w:val="000A0D41"/>
    <w:rsid w:val="000A107B"/>
    <w:rsid w:val="000A1577"/>
    <w:rsid w:val="000A1AD5"/>
    <w:rsid w:val="000A1BA6"/>
    <w:rsid w:val="000A1BED"/>
    <w:rsid w:val="000A1D9C"/>
    <w:rsid w:val="000A1DBB"/>
    <w:rsid w:val="000A26A8"/>
    <w:rsid w:val="000A30AD"/>
    <w:rsid w:val="000A3313"/>
    <w:rsid w:val="000A3B50"/>
    <w:rsid w:val="000A4600"/>
    <w:rsid w:val="000A4D6C"/>
    <w:rsid w:val="000A54F1"/>
    <w:rsid w:val="000A566A"/>
    <w:rsid w:val="000A56BC"/>
    <w:rsid w:val="000A604E"/>
    <w:rsid w:val="000A6BED"/>
    <w:rsid w:val="000A7896"/>
    <w:rsid w:val="000B0340"/>
    <w:rsid w:val="000B04F7"/>
    <w:rsid w:val="000B0AE9"/>
    <w:rsid w:val="000B0C75"/>
    <w:rsid w:val="000B0C81"/>
    <w:rsid w:val="000B0FEA"/>
    <w:rsid w:val="000B12B5"/>
    <w:rsid w:val="000B1379"/>
    <w:rsid w:val="000B174A"/>
    <w:rsid w:val="000B1752"/>
    <w:rsid w:val="000B1763"/>
    <w:rsid w:val="000B1EC9"/>
    <w:rsid w:val="000B3A3E"/>
    <w:rsid w:val="000B440C"/>
    <w:rsid w:val="000B4ABC"/>
    <w:rsid w:val="000B5851"/>
    <w:rsid w:val="000B5B72"/>
    <w:rsid w:val="000B62DC"/>
    <w:rsid w:val="000B62FC"/>
    <w:rsid w:val="000B6483"/>
    <w:rsid w:val="000B6FB9"/>
    <w:rsid w:val="000B74F4"/>
    <w:rsid w:val="000C08BF"/>
    <w:rsid w:val="000C1646"/>
    <w:rsid w:val="000C197D"/>
    <w:rsid w:val="000C2148"/>
    <w:rsid w:val="000C22E9"/>
    <w:rsid w:val="000C3040"/>
    <w:rsid w:val="000C30BB"/>
    <w:rsid w:val="000C3268"/>
    <w:rsid w:val="000C3947"/>
    <w:rsid w:val="000C3BE2"/>
    <w:rsid w:val="000C43C7"/>
    <w:rsid w:val="000C470C"/>
    <w:rsid w:val="000C4846"/>
    <w:rsid w:val="000C5170"/>
    <w:rsid w:val="000C6B57"/>
    <w:rsid w:val="000C6BC3"/>
    <w:rsid w:val="000C701D"/>
    <w:rsid w:val="000C7509"/>
    <w:rsid w:val="000C7B51"/>
    <w:rsid w:val="000D12DD"/>
    <w:rsid w:val="000D187D"/>
    <w:rsid w:val="000D220C"/>
    <w:rsid w:val="000D22BD"/>
    <w:rsid w:val="000D4366"/>
    <w:rsid w:val="000D4381"/>
    <w:rsid w:val="000D43DB"/>
    <w:rsid w:val="000D5307"/>
    <w:rsid w:val="000D5C90"/>
    <w:rsid w:val="000D62FB"/>
    <w:rsid w:val="000D635A"/>
    <w:rsid w:val="000D660E"/>
    <w:rsid w:val="000D68B8"/>
    <w:rsid w:val="000D790E"/>
    <w:rsid w:val="000D7E9E"/>
    <w:rsid w:val="000E0178"/>
    <w:rsid w:val="000E0241"/>
    <w:rsid w:val="000E0C23"/>
    <w:rsid w:val="000E15DD"/>
    <w:rsid w:val="000E1C40"/>
    <w:rsid w:val="000E2A20"/>
    <w:rsid w:val="000E2B30"/>
    <w:rsid w:val="000E2BD0"/>
    <w:rsid w:val="000E4C93"/>
    <w:rsid w:val="000E4E81"/>
    <w:rsid w:val="000E50D9"/>
    <w:rsid w:val="000E52F7"/>
    <w:rsid w:val="000E58FC"/>
    <w:rsid w:val="000E5AE4"/>
    <w:rsid w:val="000E65ED"/>
    <w:rsid w:val="000E6618"/>
    <w:rsid w:val="000E66D7"/>
    <w:rsid w:val="000E6701"/>
    <w:rsid w:val="000E6B04"/>
    <w:rsid w:val="000E6D71"/>
    <w:rsid w:val="000E738C"/>
    <w:rsid w:val="000F03BD"/>
    <w:rsid w:val="000F080E"/>
    <w:rsid w:val="000F0A8E"/>
    <w:rsid w:val="000F1575"/>
    <w:rsid w:val="000F1DD9"/>
    <w:rsid w:val="000F1EB8"/>
    <w:rsid w:val="000F23C6"/>
    <w:rsid w:val="000F4117"/>
    <w:rsid w:val="000F459E"/>
    <w:rsid w:val="000F480A"/>
    <w:rsid w:val="000F48D2"/>
    <w:rsid w:val="000F4C39"/>
    <w:rsid w:val="000F5652"/>
    <w:rsid w:val="000F5A5F"/>
    <w:rsid w:val="000F5B0F"/>
    <w:rsid w:val="000F5E49"/>
    <w:rsid w:val="000F6458"/>
    <w:rsid w:val="000F6A35"/>
    <w:rsid w:val="000F6A78"/>
    <w:rsid w:val="000F72EB"/>
    <w:rsid w:val="000F7801"/>
    <w:rsid w:val="000F7A7A"/>
    <w:rsid w:val="000F7C7D"/>
    <w:rsid w:val="00103956"/>
    <w:rsid w:val="00103D50"/>
    <w:rsid w:val="00103E6A"/>
    <w:rsid w:val="00103F3E"/>
    <w:rsid w:val="001043AB"/>
    <w:rsid w:val="00104816"/>
    <w:rsid w:val="0010501B"/>
    <w:rsid w:val="00105C4A"/>
    <w:rsid w:val="0010602E"/>
    <w:rsid w:val="00106DAF"/>
    <w:rsid w:val="00106ED8"/>
    <w:rsid w:val="0010781A"/>
    <w:rsid w:val="001100BF"/>
    <w:rsid w:val="00110CFC"/>
    <w:rsid w:val="0011212E"/>
    <w:rsid w:val="001122C2"/>
    <w:rsid w:val="001125BA"/>
    <w:rsid w:val="00112A64"/>
    <w:rsid w:val="001134FB"/>
    <w:rsid w:val="0011396F"/>
    <w:rsid w:val="00114307"/>
    <w:rsid w:val="00114B5B"/>
    <w:rsid w:val="00114CD1"/>
    <w:rsid w:val="00114DE0"/>
    <w:rsid w:val="001151F8"/>
    <w:rsid w:val="001157E9"/>
    <w:rsid w:val="0011640E"/>
    <w:rsid w:val="001169A2"/>
    <w:rsid w:val="0011717B"/>
    <w:rsid w:val="0011742B"/>
    <w:rsid w:val="00117E34"/>
    <w:rsid w:val="00117FEA"/>
    <w:rsid w:val="00120068"/>
    <w:rsid w:val="0012019C"/>
    <w:rsid w:val="0012099B"/>
    <w:rsid w:val="001211FD"/>
    <w:rsid w:val="00122873"/>
    <w:rsid w:val="00122E78"/>
    <w:rsid w:val="00123148"/>
    <w:rsid w:val="00123A33"/>
    <w:rsid w:val="00123A5F"/>
    <w:rsid w:val="0012469D"/>
    <w:rsid w:val="00124852"/>
    <w:rsid w:val="001255C6"/>
    <w:rsid w:val="0012589F"/>
    <w:rsid w:val="00125A65"/>
    <w:rsid w:val="00125E67"/>
    <w:rsid w:val="00126B36"/>
    <w:rsid w:val="00126D5B"/>
    <w:rsid w:val="0012758E"/>
    <w:rsid w:val="0012759F"/>
    <w:rsid w:val="00130C68"/>
    <w:rsid w:val="00131657"/>
    <w:rsid w:val="00131BFB"/>
    <w:rsid w:val="00131D37"/>
    <w:rsid w:val="001323FF"/>
    <w:rsid w:val="0013245A"/>
    <w:rsid w:val="00132A89"/>
    <w:rsid w:val="00133648"/>
    <w:rsid w:val="00133794"/>
    <w:rsid w:val="00133F8C"/>
    <w:rsid w:val="001341B3"/>
    <w:rsid w:val="00134275"/>
    <w:rsid w:val="00134877"/>
    <w:rsid w:val="0013501C"/>
    <w:rsid w:val="00135246"/>
    <w:rsid w:val="00136611"/>
    <w:rsid w:val="001366C5"/>
    <w:rsid w:val="00136CB4"/>
    <w:rsid w:val="00137001"/>
    <w:rsid w:val="0013724A"/>
    <w:rsid w:val="001377D1"/>
    <w:rsid w:val="001377EA"/>
    <w:rsid w:val="00137A20"/>
    <w:rsid w:val="00140871"/>
    <w:rsid w:val="001410E9"/>
    <w:rsid w:val="001410F2"/>
    <w:rsid w:val="00141965"/>
    <w:rsid w:val="00142004"/>
    <w:rsid w:val="001424D0"/>
    <w:rsid w:val="00142545"/>
    <w:rsid w:val="0014329A"/>
    <w:rsid w:val="00143684"/>
    <w:rsid w:val="00143921"/>
    <w:rsid w:val="001439BA"/>
    <w:rsid w:val="00143BC7"/>
    <w:rsid w:val="00143DFF"/>
    <w:rsid w:val="001450C8"/>
    <w:rsid w:val="0014510D"/>
    <w:rsid w:val="00146113"/>
    <w:rsid w:val="001463E7"/>
    <w:rsid w:val="0014653C"/>
    <w:rsid w:val="001475EA"/>
    <w:rsid w:val="00147EB9"/>
    <w:rsid w:val="0015002B"/>
    <w:rsid w:val="0015041D"/>
    <w:rsid w:val="00150722"/>
    <w:rsid w:val="00150A52"/>
    <w:rsid w:val="00150AB6"/>
    <w:rsid w:val="00150F7A"/>
    <w:rsid w:val="0015141F"/>
    <w:rsid w:val="0015152D"/>
    <w:rsid w:val="00151B22"/>
    <w:rsid w:val="00151C10"/>
    <w:rsid w:val="00152682"/>
    <w:rsid w:val="00152CC3"/>
    <w:rsid w:val="00153275"/>
    <w:rsid w:val="00154098"/>
    <w:rsid w:val="0015486D"/>
    <w:rsid w:val="0015534F"/>
    <w:rsid w:val="00155DB4"/>
    <w:rsid w:val="001562A1"/>
    <w:rsid w:val="001563D0"/>
    <w:rsid w:val="00156C70"/>
    <w:rsid w:val="001579A1"/>
    <w:rsid w:val="00157A2D"/>
    <w:rsid w:val="00157AFF"/>
    <w:rsid w:val="00160089"/>
    <w:rsid w:val="00160845"/>
    <w:rsid w:val="0016094D"/>
    <w:rsid w:val="0016114A"/>
    <w:rsid w:val="00162CB5"/>
    <w:rsid w:val="00163C30"/>
    <w:rsid w:val="00163EFB"/>
    <w:rsid w:val="00164247"/>
    <w:rsid w:val="001646E5"/>
    <w:rsid w:val="00164CA2"/>
    <w:rsid w:val="00164D20"/>
    <w:rsid w:val="001667A3"/>
    <w:rsid w:val="00166D48"/>
    <w:rsid w:val="001671A2"/>
    <w:rsid w:val="00167636"/>
    <w:rsid w:val="00171469"/>
    <w:rsid w:val="00171474"/>
    <w:rsid w:val="0017168C"/>
    <w:rsid w:val="00171866"/>
    <w:rsid w:val="001728FB"/>
    <w:rsid w:val="001731E3"/>
    <w:rsid w:val="001736E0"/>
    <w:rsid w:val="0017392A"/>
    <w:rsid w:val="001740EC"/>
    <w:rsid w:val="001743A5"/>
    <w:rsid w:val="00174443"/>
    <w:rsid w:val="00174A2B"/>
    <w:rsid w:val="00175340"/>
    <w:rsid w:val="0017553F"/>
    <w:rsid w:val="0017554B"/>
    <w:rsid w:val="00175729"/>
    <w:rsid w:val="00175FAF"/>
    <w:rsid w:val="00176163"/>
    <w:rsid w:val="00177432"/>
    <w:rsid w:val="0017752B"/>
    <w:rsid w:val="00177769"/>
    <w:rsid w:val="00177DD2"/>
    <w:rsid w:val="00180102"/>
    <w:rsid w:val="00181370"/>
    <w:rsid w:val="001830D3"/>
    <w:rsid w:val="0018323E"/>
    <w:rsid w:val="0018330A"/>
    <w:rsid w:val="0018347D"/>
    <w:rsid w:val="00184EE0"/>
    <w:rsid w:val="001855A4"/>
    <w:rsid w:val="001857E4"/>
    <w:rsid w:val="00185BA8"/>
    <w:rsid w:val="00185C29"/>
    <w:rsid w:val="00186BA5"/>
    <w:rsid w:val="00186FAA"/>
    <w:rsid w:val="00186FBD"/>
    <w:rsid w:val="00186FD6"/>
    <w:rsid w:val="00187B60"/>
    <w:rsid w:val="00187D95"/>
    <w:rsid w:val="001910FA"/>
    <w:rsid w:val="001917EB"/>
    <w:rsid w:val="00191964"/>
    <w:rsid w:val="00191A9D"/>
    <w:rsid w:val="001922DC"/>
    <w:rsid w:val="001923A2"/>
    <w:rsid w:val="001926F8"/>
    <w:rsid w:val="00193561"/>
    <w:rsid w:val="001947DD"/>
    <w:rsid w:val="00194F8D"/>
    <w:rsid w:val="001952FA"/>
    <w:rsid w:val="001953C8"/>
    <w:rsid w:val="00195995"/>
    <w:rsid w:val="00195BA3"/>
    <w:rsid w:val="0019612C"/>
    <w:rsid w:val="00196384"/>
    <w:rsid w:val="0019688A"/>
    <w:rsid w:val="00196AA0"/>
    <w:rsid w:val="00196ACD"/>
    <w:rsid w:val="00197080"/>
    <w:rsid w:val="001971F0"/>
    <w:rsid w:val="0019764D"/>
    <w:rsid w:val="00197EB7"/>
    <w:rsid w:val="001A09E8"/>
    <w:rsid w:val="001A128C"/>
    <w:rsid w:val="001A140D"/>
    <w:rsid w:val="001A187B"/>
    <w:rsid w:val="001A199F"/>
    <w:rsid w:val="001A33E3"/>
    <w:rsid w:val="001A4968"/>
    <w:rsid w:val="001A58F7"/>
    <w:rsid w:val="001A61DE"/>
    <w:rsid w:val="001A673A"/>
    <w:rsid w:val="001A68B6"/>
    <w:rsid w:val="001A7051"/>
    <w:rsid w:val="001A76E1"/>
    <w:rsid w:val="001A7957"/>
    <w:rsid w:val="001A7BDD"/>
    <w:rsid w:val="001A7CDD"/>
    <w:rsid w:val="001A7FC0"/>
    <w:rsid w:val="001B060C"/>
    <w:rsid w:val="001B1342"/>
    <w:rsid w:val="001B1545"/>
    <w:rsid w:val="001B1765"/>
    <w:rsid w:val="001B1B88"/>
    <w:rsid w:val="001B218D"/>
    <w:rsid w:val="001B2986"/>
    <w:rsid w:val="001B347B"/>
    <w:rsid w:val="001B5129"/>
    <w:rsid w:val="001B5A32"/>
    <w:rsid w:val="001B5E2F"/>
    <w:rsid w:val="001B776F"/>
    <w:rsid w:val="001B7CED"/>
    <w:rsid w:val="001C05D9"/>
    <w:rsid w:val="001C08A6"/>
    <w:rsid w:val="001C1A5D"/>
    <w:rsid w:val="001C262C"/>
    <w:rsid w:val="001C2901"/>
    <w:rsid w:val="001C292E"/>
    <w:rsid w:val="001C428D"/>
    <w:rsid w:val="001C499A"/>
    <w:rsid w:val="001C4A80"/>
    <w:rsid w:val="001C4FD5"/>
    <w:rsid w:val="001C55C3"/>
    <w:rsid w:val="001C6C3F"/>
    <w:rsid w:val="001C6EE9"/>
    <w:rsid w:val="001C7ED2"/>
    <w:rsid w:val="001D0A14"/>
    <w:rsid w:val="001D0DAA"/>
    <w:rsid w:val="001D162A"/>
    <w:rsid w:val="001D197C"/>
    <w:rsid w:val="001D1986"/>
    <w:rsid w:val="001D1A3E"/>
    <w:rsid w:val="001D23F8"/>
    <w:rsid w:val="001D2778"/>
    <w:rsid w:val="001D32DA"/>
    <w:rsid w:val="001D38E5"/>
    <w:rsid w:val="001D3EA5"/>
    <w:rsid w:val="001D3F1A"/>
    <w:rsid w:val="001D46F6"/>
    <w:rsid w:val="001D47A4"/>
    <w:rsid w:val="001D4AB1"/>
    <w:rsid w:val="001D5CCD"/>
    <w:rsid w:val="001D5E35"/>
    <w:rsid w:val="001D66DB"/>
    <w:rsid w:val="001E119E"/>
    <w:rsid w:val="001E176F"/>
    <w:rsid w:val="001E1A78"/>
    <w:rsid w:val="001E1C91"/>
    <w:rsid w:val="001E2109"/>
    <w:rsid w:val="001E22D7"/>
    <w:rsid w:val="001E293A"/>
    <w:rsid w:val="001E3DB1"/>
    <w:rsid w:val="001E4949"/>
    <w:rsid w:val="001E53D1"/>
    <w:rsid w:val="001E5C70"/>
    <w:rsid w:val="001E6065"/>
    <w:rsid w:val="001E6C51"/>
    <w:rsid w:val="001E71AB"/>
    <w:rsid w:val="001F0580"/>
    <w:rsid w:val="001F07A3"/>
    <w:rsid w:val="001F0804"/>
    <w:rsid w:val="001F08E0"/>
    <w:rsid w:val="001F096A"/>
    <w:rsid w:val="001F0BCD"/>
    <w:rsid w:val="001F0EB3"/>
    <w:rsid w:val="001F12E9"/>
    <w:rsid w:val="001F20DD"/>
    <w:rsid w:val="001F2F49"/>
    <w:rsid w:val="001F39C8"/>
    <w:rsid w:val="001F3BF8"/>
    <w:rsid w:val="001F3D2F"/>
    <w:rsid w:val="001F4585"/>
    <w:rsid w:val="001F499B"/>
    <w:rsid w:val="001F4E36"/>
    <w:rsid w:val="001F5273"/>
    <w:rsid w:val="001F5403"/>
    <w:rsid w:val="001F633A"/>
    <w:rsid w:val="001F65BE"/>
    <w:rsid w:val="001F6AF4"/>
    <w:rsid w:val="001F6EED"/>
    <w:rsid w:val="001F7DF8"/>
    <w:rsid w:val="001F7EF2"/>
    <w:rsid w:val="002003BF"/>
    <w:rsid w:val="002004E4"/>
    <w:rsid w:val="00200C1F"/>
    <w:rsid w:val="00200E1F"/>
    <w:rsid w:val="002029DD"/>
    <w:rsid w:val="00203414"/>
    <w:rsid w:val="00203F73"/>
    <w:rsid w:val="00204854"/>
    <w:rsid w:val="00204CB9"/>
    <w:rsid w:val="002058A6"/>
    <w:rsid w:val="002061A0"/>
    <w:rsid w:val="00206300"/>
    <w:rsid w:val="0020631D"/>
    <w:rsid w:val="00206523"/>
    <w:rsid w:val="00210267"/>
    <w:rsid w:val="002104A8"/>
    <w:rsid w:val="002106A6"/>
    <w:rsid w:val="00210F6C"/>
    <w:rsid w:val="002116BF"/>
    <w:rsid w:val="00211761"/>
    <w:rsid w:val="00211797"/>
    <w:rsid w:val="00211B10"/>
    <w:rsid w:val="00211BCA"/>
    <w:rsid w:val="00211C85"/>
    <w:rsid w:val="00212497"/>
    <w:rsid w:val="002124F9"/>
    <w:rsid w:val="00212582"/>
    <w:rsid w:val="00212819"/>
    <w:rsid w:val="00212A6A"/>
    <w:rsid w:val="00212FF0"/>
    <w:rsid w:val="002138FA"/>
    <w:rsid w:val="002143A1"/>
    <w:rsid w:val="0021446E"/>
    <w:rsid w:val="0021470C"/>
    <w:rsid w:val="002152E9"/>
    <w:rsid w:val="002154E3"/>
    <w:rsid w:val="00216246"/>
    <w:rsid w:val="00216353"/>
    <w:rsid w:val="00216743"/>
    <w:rsid w:val="00216E3F"/>
    <w:rsid w:val="0021711E"/>
    <w:rsid w:val="00217122"/>
    <w:rsid w:val="00217618"/>
    <w:rsid w:val="00217694"/>
    <w:rsid w:val="0021787A"/>
    <w:rsid w:val="00220515"/>
    <w:rsid w:val="00221091"/>
    <w:rsid w:val="00221477"/>
    <w:rsid w:val="00221736"/>
    <w:rsid w:val="00222255"/>
    <w:rsid w:val="00222D2A"/>
    <w:rsid w:val="00223609"/>
    <w:rsid w:val="00223957"/>
    <w:rsid w:val="0022497B"/>
    <w:rsid w:val="00224CB2"/>
    <w:rsid w:val="00225C3D"/>
    <w:rsid w:val="00225E15"/>
    <w:rsid w:val="00226670"/>
    <w:rsid w:val="00226D23"/>
    <w:rsid w:val="00226F81"/>
    <w:rsid w:val="002270AF"/>
    <w:rsid w:val="002271E3"/>
    <w:rsid w:val="0022754A"/>
    <w:rsid w:val="00227F27"/>
    <w:rsid w:val="002306C9"/>
    <w:rsid w:val="00230B92"/>
    <w:rsid w:val="00230B9D"/>
    <w:rsid w:val="00230C51"/>
    <w:rsid w:val="00230CEF"/>
    <w:rsid w:val="00230E29"/>
    <w:rsid w:val="0023313B"/>
    <w:rsid w:val="002342A8"/>
    <w:rsid w:val="00234EE6"/>
    <w:rsid w:val="00235020"/>
    <w:rsid w:val="00235306"/>
    <w:rsid w:val="00235720"/>
    <w:rsid w:val="0023618A"/>
    <w:rsid w:val="00236265"/>
    <w:rsid w:val="00236EB2"/>
    <w:rsid w:val="00237095"/>
    <w:rsid w:val="002370E1"/>
    <w:rsid w:val="00237D01"/>
    <w:rsid w:val="0024054A"/>
    <w:rsid w:val="002406A8"/>
    <w:rsid w:val="00240C17"/>
    <w:rsid w:val="00241045"/>
    <w:rsid w:val="00241D03"/>
    <w:rsid w:val="00241FBC"/>
    <w:rsid w:val="00242044"/>
    <w:rsid w:val="0024261F"/>
    <w:rsid w:val="0024335E"/>
    <w:rsid w:val="0024367B"/>
    <w:rsid w:val="00244233"/>
    <w:rsid w:val="00244E04"/>
    <w:rsid w:val="002461AB"/>
    <w:rsid w:val="00246377"/>
    <w:rsid w:val="0024639B"/>
    <w:rsid w:val="002464F4"/>
    <w:rsid w:val="00246E86"/>
    <w:rsid w:val="00246FF3"/>
    <w:rsid w:val="00247E02"/>
    <w:rsid w:val="0025027E"/>
    <w:rsid w:val="002503D8"/>
    <w:rsid w:val="00250632"/>
    <w:rsid w:val="0025134B"/>
    <w:rsid w:val="00251553"/>
    <w:rsid w:val="002516DD"/>
    <w:rsid w:val="00251B19"/>
    <w:rsid w:val="00251D27"/>
    <w:rsid w:val="00252574"/>
    <w:rsid w:val="002528D3"/>
    <w:rsid w:val="00252CB6"/>
    <w:rsid w:val="002533D0"/>
    <w:rsid w:val="0025560C"/>
    <w:rsid w:val="002567E1"/>
    <w:rsid w:val="0025746C"/>
    <w:rsid w:val="00257D4F"/>
    <w:rsid w:val="0026062C"/>
    <w:rsid w:val="00261C23"/>
    <w:rsid w:val="00261CFA"/>
    <w:rsid w:val="002620DB"/>
    <w:rsid w:val="00262207"/>
    <w:rsid w:val="002625DF"/>
    <w:rsid w:val="0026278D"/>
    <w:rsid w:val="0026403B"/>
    <w:rsid w:val="00264560"/>
    <w:rsid w:val="0026493D"/>
    <w:rsid w:val="00264F21"/>
    <w:rsid w:val="00265644"/>
    <w:rsid w:val="00265F7E"/>
    <w:rsid w:val="00266A15"/>
    <w:rsid w:val="00270392"/>
    <w:rsid w:val="002709A7"/>
    <w:rsid w:val="00270CF2"/>
    <w:rsid w:val="002712A3"/>
    <w:rsid w:val="00271415"/>
    <w:rsid w:val="00271452"/>
    <w:rsid w:val="002714FD"/>
    <w:rsid w:val="00271997"/>
    <w:rsid w:val="00271CD4"/>
    <w:rsid w:val="002720EE"/>
    <w:rsid w:val="00272281"/>
    <w:rsid w:val="002725FF"/>
    <w:rsid w:val="00272C44"/>
    <w:rsid w:val="00272EC2"/>
    <w:rsid w:val="00275F05"/>
    <w:rsid w:val="002764F5"/>
    <w:rsid w:val="00276889"/>
    <w:rsid w:val="00277AAA"/>
    <w:rsid w:val="00280EF1"/>
    <w:rsid w:val="002815FC"/>
    <w:rsid w:val="00281757"/>
    <w:rsid w:val="00281AE1"/>
    <w:rsid w:val="00281FC9"/>
    <w:rsid w:val="00282F14"/>
    <w:rsid w:val="0028361F"/>
    <w:rsid w:val="0028396E"/>
    <w:rsid w:val="00284A99"/>
    <w:rsid w:val="00284B4B"/>
    <w:rsid w:val="00284CCF"/>
    <w:rsid w:val="0028583A"/>
    <w:rsid w:val="00285947"/>
    <w:rsid w:val="00285B56"/>
    <w:rsid w:val="00286550"/>
    <w:rsid w:val="00287113"/>
    <w:rsid w:val="0029034E"/>
    <w:rsid w:val="00290772"/>
    <w:rsid w:val="00290A80"/>
    <w:rsid w:val="00290C90"/>
    <w:rsid w:val="0029148B"/>
    <w:rsid w:val="00291F0C"/>
    <w:rsid w:val="00292075"/>
    <w:rsid w:val="00292D0D"/>
    <w:rsid w:val="00292D22"/>
    <w:rsid w:val="00293200"/>
    <w:rsid w:val="00294EAA"/>
    <w:rsid w:val="0029515F"/>
    <w:rsid w:val="002962E0"/>
    <w:rsid w:val="0029642E"/>
    <w:rsid w:val="00296EC4"/>
    <w:rsid w:val="00297E3C"/>
    <w:rsid w:val="002A0088"/>
    <w:rsid w:val="002A0168"/>
    <w:rsid w:val="002A1273"/>
    <w:rsid w:val="002A127E"/>
    <w:rsid w:val="002A1CB8"/>
    <w:rsid w:val="002A2881"/>
    <w:rsid w:val="002A2BF9"/>
    <w:rsid w:val="002A2FF7"/>
    <w:rsid w:val="002A3469"/>
    <w:rsid w:val="002A3BC5"/>
    <w:rsid w:val="002A404C"/>
    <w:rsid w:val="002A4DEE"/>
    <w:rsid w:val="002A517A"/>
    <w:rsid w:val="002A5338"/>
    <w:rsid w:val="002A6450"/>
    <w:rsid w:val="002A64A2"/>
    <w:rsid w:val="002A6945"/>
    <w:rsid w:val="002A6E62"/>
    <w:rsid w:val="002A702C"/>
    <w:rsid w:val="002A7D7F"/>
    <w:rsid w:val="002A7E7A"/>
    <w:rsid w:val="002A7F48"/>
    <w:rsid w:val="002B05A3"/>
    <w:rsid w:val="002B0B9A"/>
    <w:rsid w:val="002B18C5"/>
    <w:rsid w:val="002B19B4"/>
    <w:rsid w:val="002B1A68"/>
    <w:rsid w:val="002B2275"/>
    <w:rsid w:val="002B2373"/>
    <w:rsid w:val="002B32BF"/>
    <w:rsid w:val="002B36E9"/>
    <w:rsid w:val="002B380E"/>
    <w:rsid w:val="002B4070"/>
    <w:rsid w:val="002B46AC"/>
    <w:rsid w:val="002B4EB2"/>
    <w:rsid w:val="002B5A9C"/>
    <w:rsid w:val="002B6102"/>
    <w:rsid w:val="002B6525"/>
    <w:rsid w:val="002B7452"/>
    <w:rsid w:val="002B7AA8"/>
    <w:rsid w:val="002C0420"/>
    <w:rsid w:val="002C0460"/>
    <w:rsid w:val="002C04EB"/>
    <w:rsid w:val="002C1943"/>
    <w:rsid w:val="002C1CCF"/>
    <w:rsid w:val="002C1F81"/>
    <w:rsid w:val="002C2345"/>
    <w:rsid w:val="002C275C"/>
    <w:rsid w:val="002C27D0"/>
    <w:rsid w:val="002C37D1"/>
    <w:rsid w:val="002C3D56"/>
    <w:rsid w:val="002C3E86"/>
    <w:rsid w:val="002C4503"/>
    <w:rsid w:val="002C490A"/>
    <w:rsid w:val="002C567F"/>
    <w:rsid w:val="002C6604"/>
    <w:rsid w:val="002C6B02"/>
    <w:rsid w:val="002C6C3D"/>
    <w:rsid w:val="002C6CA6"/>
    <w:rsid w:val="002C7BD0"/>
    <w:rsid w:val="002C7EA8"/>
    <w:rsid w:val="002D1099"/>
    <w:rsid w:val="002D1ADF"/>
    <w:rsid w:val="002D1BB9"/>
    <w:rsid w:val="002D1CF4"/>
    <w:rsid w:val="002D1E75"/>
    <w:rsid w:val="002D2588"/>
    <w:rsid w:val="002D3A28"/>
    <w:rsid w:val="002D4513"/>
    <w:rsid w:val="002D5A47"/>
    <w:rsid w:val="002D6E2F"/>
    <w:rsid w:val="002D7307"/>
    <w:rsid w:val="002D73EA"/>
    <w:rsid w:val="002D7841"/>
    <w:rsid w:val="002D7B20"/>
    <w:rsid w:val="002E0CFA"/>
    <w:rsid w:val="002E0E43"/>
    <w:rsid w:val="002E1072"/>
    <w:rsid w:val="002E11AD"/>
    <w:rsid w:val="002E172F"/>
    <w:rsid w:val="002E1828"/>
    <w:rsid w:val="002E188A"/>
    <w:rsid w:val="002E1B9C"/>
    <w:rsid w:val="002E20EF"/>
    <w:rsid w:val="002E2F14"/>
    <w:rsid w:val="002E3163"/>
    <w:rsid w:val="002E35D7"/>
    <w:rsid w:val="002E5DFB"/>
    <w:rsid w:val="002E6402"/>
    <w:rsid w:val="002E7149"/>
    <w:rsid w:val="002E75B1"/>
    <w:rsid w:val="002E7863"/>
    <w:rsid w:val="002E78CB"/>
    <w:rsid w:val="002F04FB"/>
    <w:rsid w:val="002F06C8"/>
    <w:rsid w:val="002F0C50"/>
    <w:rsid w:val="002F148E"/>
    <w:rsid w:val="002F20BA"/>
    <w:rsid w:val="002F27C3"/>
    <w:rsid w:val="002F307A"/>
    <w:rsid w:val="002F40AE"/>
    <w:rsid w:val="002F45B7"/>
    <w:rsid w:val="002F4A66"/>
    <w:rsid w:val="002F4C3C"/>
    <w:rsid w:val="002F564E"/>
    <w:rsid w:val="002F5B6A"/>
    <w:rsid w:val="002F5D5B"/>
    <w:rsid w:val="002F648E"/>
    <w:rsid w:val="002F6894"/>
    <w:rsid w:val="002F69FD"/>
    <w:rsid w:val="002F6EC7"/>
    <w:rsid w:val="002F71A7"/>
    <w:rsid w:val="002F74B7"/>
    <w:rsid w:val="002F7CDF"/>
    <w:rsid w:val="003007AF"/>
    <w:rsid w:val="003007BD"/>
    <w:rsid w:val="00300963"/>
    <w:rsid w:val="0030127A"/>
    <w:rsid w:val="00301DB6"/>
    <w:rsid w:val="0030203A"/>
    <w:rsid w:val="00302379"/>
    <w:rsid w:val="00303DA8"/>
    <w:rsid w:val="003046E8"/>
    <w:rsid w:val="00305DED"/>
    <w:rsid w:val="003060F8"/>
    <w:rsid w:val="00306D82"/>
    <w:rsid w:val="00307FF8"/>
    <w:rsid w:val="00310167"/>
    <w:rsid w:val="003101FC"/>
    <w:rsid w:val="003103B3"/>
    <w:rsid w:val="0031042E"/>
    <w:rsid w:val="00310A91"/>
    <w:rsid w:val="003111C7"/>
    <w:rsid w:val="003114BB"/>
    <w:rsid w:val="00312493"/>
    <w:rsid w:val="003124CC"/>
    <w:rsid w:val="0031277A"/>
    <w:rsid w:val="00313B8D"/>
    <w:rsid w:val="003140C0"/>
    <w:rsid w:val="00314150"/>
    <w:rsid w:val="003142C7"/>
    <w:rsid w:val="003142E5"/>
    <w:rsid w:val="00314D88"/>
    <w:rsid w:val="003154BE"/>
    <w:rsid w:val="003160C2"/>
    <w:rsid w:val="00316A8A"/>
    <w:rsid w:val="003177F7"/>
    <w:rsid w:val="00317D67"/>
    <w:rsid w:val="0032071D"/>
    <w:rsid w:val="003207C9"/>
    <w:rsid w:val="003218C4"/>
    <w:rsid w:val="00321F69"/>
    <w:rsid w:val="003220D8"/>
    <w:rsid w:val="003225A3"/>
    <w:rsid w:val="00322750"/>
    <w:rsid w:val="003229FA"/>
    <w:rsid w:val="003234E1"/>
    <w:rsid w:val="0032374A"/>
    <w:rsid w:val="0032455F"/>
    <w:rsid w:val="00325CA5"/>
    <w:rsid w:val="003262D0"/>
    <w:rsid w:val="0032694D"/>
    <w:rsid w:val="00326DD3"/>
    <w:rsid w:val="00327817"/>
    <w:rsid w:val="0033007F"/>
    <w:rsid w:val="003325BB"/>
    <w:rsid w:val="00332B0E"/>
    <w:rsid w:val="00333841"/>
    <w:rsid w:val="003348AC"/>
    <w:rsid w:val="00334A5B"/>
    <w:rsid w:val="0033598D"/>
    <w:rsid w:val="00335A0B"/>
    <w:rsid w:val="00336977"/>
    <w:rsid w:val="003408DA"/>
    <w:rsid w:val="00340944"/>
    <w:rsid w:val="003412DC"/>
    <w:rsid w:val="00341A49"/>
    <w:rsid w:val="00342420"/>
    <w:rsid w:val="00342D7C"/>
    <w:rsid w:val="00343991"/>
    <w:rsid w:val="00343FAE"/>
    <w:rsid w:val="0034466E"/>
    <w:rsid w:val="003455BF"/>
    <w:rsid w:val="00345D76"/>
    <w:rsid w:val="00346C62"/>
    <w:rsid w:val="003472B0"/>
    <w:rsid w:val="003472F6"/>
    <w:rsid w:val="00347DA6"/>
    <w:rsid w:val="00350025"/>
    <w:rsid w:val="0035024C"/>
    <w:rsid w:val="00350896"/>
    <w:rsid w:val="00350D07"/>
    <w:rsid w:val="00350FBA"/>
    <w:rsid w:val="003512A3"/>
    <w:rsid w:val="0035130C"/>
    <w:rsid w:val="0035188C"/>
    <w:rsid w:val="003531C3"/>
    <w:rsid w:val="003533F3"/>
    <w:rsid w:val="00353C80"/>
    <w:rsid w:val="00353D7E"/>
    <w:rsid w:val="00354F83"/>
    <w:rsid w:val="003553D1"/>
    <w:rsid w:val="003554C2"/>
    <w:rsid w:val="0035581C"/>
    <w:rsid w:val="00355AA0"/>
    <w:rsid w:val="00355C0D"/>
    <w:rsid w:val="00356C90"/>
    <w:rsid w:val="00356F69"/>
    <w:rsid w:val="00360254"/>
    <w:rsid w:val="00360453"/>
    <w:rsid w:val="00360E68"/>
    <w:rsid w:val="0036289E"/>
    <w:rsid w:val="00362995"/>
    <w:rsid w:val="00362E3C"/>
    <w:rsid w:val="0036327A"/>
    <w:rsid w:val="003635D5"/>
    <w:rsid w:val="00364678"/>
    <w:rsid w:val="003647DA"/>
    <w:rsid w:val="003648BB"/>
    <w:rsid w:val="003655FD"/>
    <w:rsid w:val="00365AE4"/>
    <w:rsid w:val="00365E9D"/>
    <w:rsid w:val="00366CA7"/>
    <w:rsid w:val="0036730E"/>
    <w:rsid w:val="00367372"/>
    <w:rsid w:val="00370324"/>
    <w:rsid w:val="00370388"/>
    <w:rsid w:val="003706E5"/>
    <w:rsid w:val="003719E9"/>
    <w:rsid w:val="00371CD9"/>
    <w:rsid w:val="00372304"/>
    <w:rsid w:val="00372360"/>
    <w:rsid w:val="003727D0"/>
    <w:rsid w:val="003735B4"/>
    <w:rsid w:val="00373B89"/>
    <w:rsid w:val="003746AA"/>
    <w:rsid w:val="003749C3"/>
    <w:rsid w:val="00374FA3"/>
    <w:rsid w:val="00375043"/>
    <w:rsid w:val="003754D1"/>
    <w:rsid w:val="00375644"/>
    <w:rsid w:val="003768E0"/>
    <w:rsid w:val="003778DB"/>
    <w:rsid w:val="00380D7F"/>
    <w:rsid w:val="00381C5E"/>
    <w:rsid w:val="0038233A"/>
    <w:rsid w:val="003827E9"/>
    <w:rsid w:val="003828DA"/>
    <w:rsid w:val="00382F73"/>
    <w:rsid w:val="00383407"/>
    <w:rsid w:val="003841E0"/>
    <w:rsid w:val="003854EE"/>
    <w:rsid w:val="00385A72"/>
    <w:rsid w:val="00385A8A"/>
    <w:rsid w:val="0038628B"/>
    <w:rsid w:val="003866C1"/>
    <w:rsid w:val="0038695B"/>
    <w:rsid w:val="00387285"/>
    <w:rsid w:val="003873F5"/>
    <w:rsid w:val="00387B0F"/>
    <w:rsid w:val="00387B1C"/>
    <w:rsid w:val="00387FBD"/>
    <w:rsid w:val="00390089"/>
    <w:rsid w:val="00390DEF"/>
    <w:rsid w:val="0039223B"/>
    <w:rsid w:val="00392274"/>
    <w:rsid w:val="00393ABB"/>
    <w:rsid w:val="00393FCA"/>
    <w:rsid w:val="00394EEB"/>
    <w:rsid w:val="00395845"/>
    <w:rsid w:val="003960CC"/>
    <w:rsid w:val="00397CCD"/>
    <w:rsid w:val="003A13DE"/>
    <w:rsid w:val="003A1916"/>
    <w:rsid w:val="003A1EF2"/>
    <w:rsid w:val="003A27C8"/>
    <w:rsid w:val="003A30C5"/>
    <w:rsid w:val="003A32F9"/>
    <w:rsid w:val="003A3458"/>
    <w:rsid w:val="003A3781"/>
    <w:rsid w:val="003A43FF"/>
    <w:rsid w:val="003A4506"/>
    <w:rsid w:val="003A4E04"/>
    <w:rsid w:val="003A5502"/>
    <w:rsid w:val="003A57F5"/>
    <w:rsid w:val="003A6AA8"/>
    <w:rsid w:val="003A6C4F"/>
    <w:rsid w:val="003A76A3"/>
    <w:rsid w:val="003B053C"/>
    <w:rsid w:val="003B1BF9"/>
    <w:rsid w:val="003B2526"/>
    <w:rsid w:val="003B2BD1"/>
    <w:rsid w:val="003B5DF2"/>
    <w:rsid w:val="003B5EBD"/>
    <w:rsid w:val="003B6006"/>
    <w:rsid w:val="003B635D"/>
    <w:rsid w:val="003B6519"/>
    <w:rsid w:val="003B6EC4"/>
    <w:rsid w:val="003B7DB0"/>
    <w:rsid w:val="003B7EFB"/>
    <w:rsid w:val="003C0F2C"/>
    <w:rsid w:val="003C1BB2"/>
    <w:rsid w:val="003C3103"/>
    <w:rsid w:val="003C3CCD"/>
    <w:rsid w:val="003C3E21"/>
    <w:rsid w:val="003C42A6"/>
    <w:rsid w:val="003C44FD"/>
    <w:rsid w:val="003C4D4E"/>
    <w:rsid w:val="003C4DC3"/>
    <w:rsid w:val="003C5288"/>
    <w:rsid w:val="003C5447"/>
    <w:rsid w:val="003C5564"/>
    <w:rsid w:val="003C560C"/>
    <w:rsid w:val="003C56D9"/>
    <w:rsid w:val="003C5A2A"/>
    <w:rsid w:val="003C5A6B"/>
    <w:rsid w:val="003C7BC8"/>
    <w:rsid w:val="003C7E93"/>
    <w:rsid w:val="003D0131"/>
    <w:rsid w:val="003D0434"/>
    <w:rsid w:val="003D05AA"/>
    <w:rsid w:val="003D1B95"/>
    <w:rsid w:val="003D1FC4"/>
    <w:rsid w:val="003D2543"/>
    <w:rsid w:val="003D2A37"/>
    <w:rsid w:val="003D311E"/>
    <w:rsid w:val="003D3569"/>
    <w:rsid w:val="003D40FE"/>
    <w:rsid w:val="003D44DA"/>
    <w:rsid w:val="003D4561"/>
    <w:rsid w:val="003D47E5"/>
    <w:rsid w:val="003D4D21"/>
    <w:rsid w:val="003D4DD3"/>
    <w:rsid w:val="003D53E8"/>
    <w:rsid w:val="003D5A82"/>
    <w:rsid w:val="003D61C2"/>
    <w:rsid w:val="003D6412"/>
    <w:rsid w:val="003D6450"/>
    <w:rsid w:val="003D6EC0"/>
    <w:rsid w:val="003E0946"/>
    <w:rsid w:val="003E0A6C"/>
    <w:rsid w:val="003E2334"/>
    <w:rsid w:val="003E2CB2"/>
    <w:rsid w:val="003E3E44"/>
    <w:rsid w:val="003E4469"/>
    <w:rsid w:val="003E458A"/>
    <w:rsid w:val="003E4A80"/>
    <w:rsid w:val="003E4E36"/>
    <w:rsid w:val="003E6B99"/>
    <w:rsid w:val="003E6FB9"/>
    <w:rsid w:val="003E70E7"/>
    <w:rsid w:val="003E733D"/>
    <w:rsid w:val="003F00FD"/>
    <w:rsid w:val="003F02B6"/>
    <w:rsid w:val="003F054A"/>
    <w:rsid w:val="003F0A8D"/>
    <w:rsid w:val="003F0B74"/>
    <w:rsid w:val="003F1A52"/>
    <w:rsid w:val="003F1D4E"/>
    <w:rsid w:val="003F1F0E"/>
    <w:rsid w:val="003F2132"/>
    <w:rsid w:val="003F2A21"/>
    <w:rsid w:val="003F33CA"/>
    <w:rsid w:val="003F3760"/>
    <w:rsid w:val="003F3809"/>
    <w:rsid w:val="003F3E7C"/>
    <w:rsid w:val="003F3F89"/>
    <w:rsid w:val="003F40E1"/>
    <w:rsid w:val="003F4215"/>
    <w:rsid w:val="003F450F"/>
    <w:rsid w:val="003F488F"/>
    <w:rsid w:val="003F6342"/>
    <w:rsid w:val="003F648D"/>
    <w:rsid w:val="003F6754"/>
    <w:rsid w:val="003F69C1"/>
    <w:rsid w:val="003F7F55"/>
    <w:rsid w:val="0040070B"/>
    <w:rsid w:val="00400A88"/>
    <w:rsid w:val="00401584"/>
    <w:rsid w:val="00401DBB"/>
    <w:rsid w:val="00401EA7"/>
    <w:rsid w:val="004023E2"/>
    <w:rsid w:val="004026A8"/>
    <w:rsid w:val="00403717"/>
    <w:rsid w:val="0040396C"/>
    <w:rsid w:val="00403F42"/>
    <w:rsid w:val="00404477"/>
    <w:rsid w:val="00404CCE"/>
    <w:rsid w:val="0040535E"/>
    <w:rsid w:val="00405F98"/>
    <w:rsid w:val="00407580"/>
    <w:rsid w:val="0040766A"/>
    <w:rsid w:val="00407804"/>
    <w:rsid w:val="00407B18"/>
    <w:rsid w:val="00410B56"/>
    <w:rsid w:val="00411DDF"/>
    <w:rsid w:val="00411F13"/>
    <w:rsid w:val="00412207"/>
    <w:rsid w:val="00412572"/>
    <w:rsid w:val="0041340D"/>
    <w:rsid w:val="00413901"/>
    <w:rsid w:val="00413EFC"/>
    <w:rsid w:val="004143F3"/>
    <w:rsid w:val="00416443"/>
    <w:rsid w:val="004164B8"/>
    <w:rsid w:val="00416FCB"/>
    <w:rsid w:val="0041701E"/>
    <w:rsid w:val="004174DB"/>
    <w:rsid w:val="00417B9A"/>
    <w:rsid w:val="00417BE0"/>
    <w:rsid w:val="004201AF"/>
    <w:rsid w:val="00420E29"/>
    <w:rsid w:val="0042238E"/>
    <w:rsid w:val="00422FC2"/>
    <w:rsid w:val="00423958"/>
    <w:rsid w:val="00423B4E"/>
    <w:rsid w:val="0042471E"/>
    <w:rsid w:val="00424BD3"/>
    <w:rsid w:val="004251E0"/>
    <w:rsid w:val="00425693"/>
    <w:rsid w:val="00425C8E"/>
    <w:rsid w:val="00425CC3"/>
    <w:rsid w:val="004278FD"/>
    <w:rsid w:val="00427994"/>
    <w:rsid w:val="00427D3B"/>
    <w:rsid w:val="00427D5A"/>
    <w:rsid w:val="00427F16"/>
    <w:rsid w:val="00430783"/>
    <w:rsid w:val="00430D2B"/>
    <w:rsid w:val="00430D3E"/>
    <w:rsid w:val="00431133"/>
    <w:rsid w:val="004318F5"/>
    <w:rsid w:val="0043203F"/>
    <w:rsid w:val="00432D53"/>
    <w:rsid w:val="00432FE1"/>
    <w:rsid w:val="004333F9"/>
    <w:rsid w:val="00433C22"/>
    <w:rsid w:val="00434085"/>
    <w:rsid w:val="00434914"/>
    <w:rsid w:val="00434CB4"/>
    <w:rsid w:val="004354C2"/>
    <w:rsid w:val="0043576C"/>
    <w:rsid w:val="00436514"/>
    <w:rsid w:val="00436AE4"/>
    <w:rsid w:val="00436AF0"/>
    <w:rsid w:val="00437161"/>
    <w:rsid w:val="0043730D"/>
    <w:rsid w:val="00437C9C"/>
    <w:rsid w:val="0044065A"/>
    <w:rsid w:val="00440F06"/>
    <w:rsid w:val="0044119C"/>
    <w:rsid w:val="0044156A"/>
    <w:rsid w:val="004417FF"/>
    <w:rsid w:val="0044236E"/>
    <w:rsid w:val="00442682"/>
    <w:rsid w:val="004459F3"/>
    <w:rsid w:val="00445C25"/>
    <w:rsid w:val="00445CE8"/>
    <w:rsid w:val="0044657B"/>
    <w:rsid w:val="00446742"/>
    <w:rsid w:val="00446EE6"/>
    <w:rsid w:val="00447512"/>
    <w:rsid w:val="004505B3"/>
    <w:rsid w:val="004518AD"/>
    <w:rsid w:val="004519B3"/>
    <w:rsid w:val="00451B26"/>
    <w:rsid w:val="00451C3D"/>
    <w:rsid w:val="00451FBB"/>
    <w:rsid w:val="0045360A"/>
    <w:rsid w:val="00453CDF"/>
    <w:rsid w:val="00454090"/>
    <w:rsid w:val="00455159"/>
    <w:rsid w:val="004551E0"/>
    <w:rsid w:val="00455E60"/>
    <w:rsid w:val="00456826"/>
    <w:rsid w:val="0045699A"/>
    <w:rsid w:val="004574CA"/>
    <w:rsid w:val="0045797D"/>
    <w:rsid w:val="004579B3"/>
    <w:rsid w:val="004605D2"/>
    <w:rsid w:val="0046088A"/>
    <w:rsid w:val="004616B1"/>
    <w:rsid w:val="00461DD6"/>
    <w:rsid w:val="00462127"/>
    <w:rsid w:val="004624E9"/>
    <w:rsid w:val="004628F8"/>
    <w:rsid w:val="00463E8A"/>
    <w:rsid w:val="00464BDC"/>
    <w:rsid w:val="00464DB1"/>
    <w:rsid w:val="004654BE"/>
    <w:rsid w:val="004661C4"/>
    <w:rsid w:val="00466238"/>
    <w:rsid w:val="00466AEB"/>
    <w:rsid w:val="00467DD1"/>
    <w:rsid w:val="00467F2A"/>
    <w:rsid w:val="00470127"/>
    <w:rsid w:val="004707C5"/>
    <w:rsid w:val="004716D0"/>
    <w:rsid w:val="0047178F"/>
    <w:rsid w:val="0047184D"/>
    <w:rsid w:val="00471CF6"/>
    <w:rsid w:val="00471EAC"/>
    <w:rsid w:val="00472341"/>
    <w:rsid w:val="0047357E"/>
    <w:rsid w:val="004736BA"/>
    <w:rsid w:val="004745CF"/>
    <w:rsid w:val="00474638"/>
    <w:rsid w:val="0047465B"/>
    <w:rsid w:val="004763F6"/>
    <w:rsid w:val="004770F3"/>
    <w:rsid w:val="004771CF"/>
    <w:rsid w:val="00477DA5"/>
    <w:rsid w:val="00480211"/>
    <w:rsid w:val="004808D5"/>
    <w:rsid w:val="004811B6"/>
    <w:rsid w:val="004819EC"/>
    <w:rsid w:val="00481C19"/>
    <w:rsid w:val="00481FD8"/>
    <w:rsid w:val="00482180"/>
    <w:rsid w:val="004821E6"/>
    <w:rsid w:val="00482A5E"/>
    <w:rsid w:val="00483061"/>
    <w:rsid w:val="0048331B"/>
    <w:rsid w:val="00483AA2"/>
    <w:rsid w:val="0048429A"/>
    <w:rsid w:val="004853FC"/>
    <w:rsid w:val="00485AC3"/>
    <w:rsid w:val="00486014"/>
    <w:rsid w:val="00486674"/>
    <w:rsid w:val="004866A2"/>
    <w:rsid w:val="00486885"/>
    <w:rsid w:val="00486B54"/>
    <w:rsid w:val="00486B55"/>
    <w:rsid w:val="00486C67"/>
    <w:rsid w:val="0048787A"/>
    <w:rsid w:val="00487AB1"/>
    <w:rsid w:val="00487DDE"/>
    <w:rsid w:val="0049084E"/>
    <w:rsid w:val="00491A7C"/>
    <w:rsid w:val="00493795"/>
    <w:rsid w:val="00493C8D"/>
    <w:rsid w:val="00494CD6"/>
    <w:rsid w:val="00495318"/>
    <w:rsid w:val="00495660"/>
    <w:rsid w:val="00495716"/>
    <w:rsid w:val="004958F7"/>
    <w:rsid w:val="004960C8"/>
    <w:rsid w:val="00496D0A"/>
    <w:rsid w:val="00496E0E"/>
    <w:rsid w:val="004975D7"/>
    <w:rsid w:val="00497660"/>
    <w:rsid w:val="004976D3"/>
    <w:rsid w:val="00497BFD"/>
    <w:rsid w:val="00497C06"/>
    <w:rsid w:val="004A0093"/>
    <w:rsid w:val="004A1CA0"/>
    <w:rsid w:val="004A1DD6"/>
    <w:rsid w:val="004A2909"/>
    <w:rsid w:val="004A2CDC"/>
    <w:rsid w:val="004A3666"/>
    <w:rsid w:val="004A3DB8"/>
    <w:rsid w:val="004A44D2"/>
    <w:rsid w:val="004A4CB7"/>
    <w:rsid w:val="004A5005"/>
    <w:rsid w:val="004A5587"/>
    <w:rsid w:val="004A591D"/>
    <w:rsid w:val="004A6284"/>
    <w:rsid w:val="004A6F10"/>
    <w:rsid w:val="004A6F92"/>
    <w:rsid w:val="004B005F"/>
    <w:rsid w:val="004B056E"/>
    <w:rsid w:val="004B093B"/>
    <w:rsid w:val="004B0F1C"/>
    <w:rsid w:val="004B17B7"/>
    <w:rsid w:val="004B2EE5"/>
    <w:rsid w:val="004B3DA3"/>
    <w:rsid w:val="004B432A"/>
    <w:rsid w:val="004B4512"/>
    <w:rsid w:val="004B4F2A"/>
    <w:rsid w:val="004B5B81"/>
    <w:rsid w:val="004B612B"/>
    <w:rsid w:val="004B73D7"/>
    <w:rsid w:val="004B7440"/>
    <w:rsid w:val="004B78D1"/>
    <w:rsid w:val="004B79B4"/>
    <w:rsid w:val="004C0234"/>
    <w:rsid w:val="004C0601"/>
    <w:rsid w:val="004C1043"/>
    <w:rsid w:val="004C1C68"/>
    <w:rsid w:val="004C1E38"/>
    <w:rsid w:val="004C1F3C"/>
    <w:rsid w:val="004C1FCB"/>
    <w:rsid w:val="004C23BC"/>
    <w:rsid w:val="004C2DD7"/>
    <w:rsid w:val="004C316E"/>
    <w:rsid w:val="004C39D2"/>
    <w:rsid w:val="004C3AFB"/>
    <w:rsid w:val="004C3B1A"/>
    <w:rsid w:val="004C4243"/>
    <w:rsid w:val="004C446B"/>
    <w:rsid w:val="004C4A79"/>
    <w:rsid w:val="004C5322"/>
    <w:rsid w:val="004C5724"/>
    <w:rsid w:val="004C5F7C"/>
    <w:rsid w:val="004C60A1"/>
    <w:rsid w:val="004C61DA"/>
    <w:rsid w:val="004C6B11"/>
    <w:rsid w:val="004C6EEA"/>
    <w:rsid w:val="004D0059"/>
    <w:rsid w:val="004D014D"/>
    <w:rsid w:val="004D0226"/>
    <w:rsid w:val="004D0300"/>
    <w:rsid w:val="004D0418"/>
    <w:rsid w:val="004D0431"/>
    <w:rsid w:val="004D0AD9"/>
    <w:rsid w:val="004D0F48"/>
    <w:rsid w:val="004D14C2"/>
    <w:rsid w:val="004D18B0"/>
    <w:rsid w:val="004D193B"/>
    <w:rsid w:val="004D3203"/>
    <w:rsid w:val="004D37AF"/>
    <w:rsid w:val="004D421D"/>
    <w:rsid w:val="004D4A0F"/>
    <w:rsid w:val="004D71D5"/>
    <w:rsid w:val="004E036B"/>
    <w:rsid w:val="004E098E"/>
    <w:rsid w:val="004E09A6"/>
    <w:rsid w:val="004E153E"/>
    <w:rsid w:val="004E25CF"/>
    <w:rsid w:val="004E295C"/>
    <w:rsid w:val="004E2976"/>
    <w:rsid w:val="004E3053"/>
    <w:rsid w:val="004E36E7"/>
    <w:rsid w:val="004E44B3"/>
    <w:rsid w:val="004E487A"/>
    <w:rsid w:val="004E5442"/>
    <w:rsid w:val="004E5655"/>
    <w:rsid w:val="004E5BAA"/>
    <w:rsid w:val="004E68F4"/>
    <w:rsid w:val="004E6A97"/>
    <w:rsid w:val="004E7BA2"/>
    <w:rsid w:val="004F160E"/>
    <w:rsid w:val="004F1A30"/>
    <w:rsid w:val="004F21F7"/>
    <w:rsid w:val="004F2311"/>
    <w:rsid w:val="004F26D8"/>
    <w:rsid w:val="004F2A03"/>
    <w:rsid w:val="004F2BB9"/>
    <w:rsid w:val="004F2CF2"/>
    <w:rsid w:val="004F2FAE"/>
    <w:rsid w:val="004F332A"/>
    <w:rsid w:val="004F3501"/>
    <w:rsid w:val="004F3587"/>
    <w:rsid w:val="004F38D8"/>
    <w:rsid w:val="004F3A6D"/>
    <w:rsid w:val="004F3ECF"/>
    <w:rsid w:val="004F3EDC"/>
    <w:rsid w:val="004F3F84"/>
    <w:rsid w:val="004F521E"/>
    <w:rsid w:val="004F54E2"/>
    <w:rsid w:val="004F56D8"/>
    <w:rsid w:val="004F595F"/>
    <w:rsid w:val="004F6C8F"/>
    <w:rsid w:val="004F75C1"/>
    <w:rsid w:val="004F75E4"/>
    <w:rsid w:val="004F7619"/>
    <w:rsid w:val="004F76D9"/>
    <w:rsid w:val="00500139"/>
    <w:rsid w:val="00500339"/>
    <w:rsid w:val="00500416"/>
    <w:rsid w:val="0050067A"/>
    <w:rsid w:val="00500817"/>
    <w:rsid w:val="0050118B"/>
    <w:rsid w:val="00501627"/>
    <w:rsid w:val="00501A65"/>
    <w:rsid w:val="00501B62"/>
    <w:rsid w:val="00501E32"/>
    <w:rsid w:val="00503769"/>
    <w:rsid w:val="005037BA"/>
    <w:rsid w:val="00503921"/>
    <w:rsid w:val="00503A14"/>
    <w:rsid w:val="00503DD8"/>
    <w:rsid w:val="00504BF3"/>
    <w:rsid w:val="00505039"/>
    <w:rsid w:val="0050503B"/>
    <w:rsid w:val="00505286"/>
    <w:rsid w:val="005063C9"/>
    <w:rsid w:val="0050733B"/>
    <w:rsid w:val="005074F6"/>
    <w:rsid w:val="00507AC0"/>
    <w:rsid w:val="00510414"/>
    <w:rsid w:val="005109FD"/>
    <w:rsid w:val="00511202"/>
    <w:rsid w:val="00511575"/>
    <w:rsid w:val="005115FE"/>
    <w:rsid w:val="0051172B"/>
    <w:rsid w:val="00511A9B"/>
    <w:rsid w:val="00511E73"/>
    <w:rsid w:val="00512164"/>
    <w:rsid w:val="005123AA"/>
    <w:rsid w:val="005138FB"/>
    <w:rsid w:val="0051451C"/>
    <w:rsid w:val="00514D8C"/>
    <w:rsid w:val="00515D27"/>
    <w:rsid w:val="00516086"/>
    <w:rsid w:val="00516598"/>
    <w:rsid w:val="00516FC0"/>
    <w:rsid w:val="005174B1"/>
    <w:rsid w:val="0052013B"/>
    <w:rsid w:val="005201B1"/>
    <w:rsid w:val="0052156B"/>
    <w:rsid w:val="00522039"/>
    <w:rsid w:val="00522878"/>
    <w:rsid w:val="00522FEB"/>
    <w:rsid w:val="005259DD"/>
    <w:rsid w:val="00526132"/>
    <w:rsid w:val="00526559"/>
    <w:rsid w:val="00527A2A"/>
    <w:rsid w:val="00527A64"/>
    <w:rsid w:val="00530093"/>
    <w:rsid w:val="00530894"/>
    <w:rsid w:val="00531015"/>
    <w:rsid w:val="005311E4"/>
    <w:rsid w:val="005316B9"/>
    <w:rsid w:val="00531827"/>
    <w:rsid w:val="00531CFA"/>
    <w:rsid w:val="00531D8E"/>
    <w:rsid w:val="00531FB5"/>
    <w:rsid w:val="0053216C"/>
    <w:rsid w:val="005327B0"/>
    <w:rsid w:val="00532946"/>
    <w:rsid w:val="00533752"/>
    <w:rsid w:val="0053431F"/>
    <w:rsid w:val="0053475C"/>
    <w:rsid w:val="0053511B"/>
    <w:rsid w:val="005354D7"/>
    <w:rsid w:val="00535984"/>
    <w:rsid w:val="00535A5F"/>
    <w:rsid w:val="00535B01"/>
    <w:rsid w:val="0053616F"/>
    <w:rsid w:val="00536495"/>
    <w:rsid w:val="00536F9A"/>
    <w:rsid w:val="005371F4"/>
    <w:rsid w:val="005375C7"/>
    <w:rsid w:val="0053763C"/>
    <w:rsid w:val="00537AAF"/>
    <w:rsid w:val="00537BFC"/>
    <w:rsid w:val="005414F8"/>
    <w:rsid w:val="00541635"/>
    <w:rsid w:val="0054184F"/>
    <w:rsid w:val="00541980"/>
    <w:rsid w:val="005421AB"/>
    <w:rsid w:val="00542254"/>
    <w:rsid w:val="00542458"/>
    <w:rsid w:val="0054298D"/>
    <w:rsid w:val="00542F44"/>
    <w:rsid w:val="00542FB2"/>
    <w:rsid w:val="0054303A"/>
    <w:rsid w:val="00543455"/>
    <w:rsid w:val="005435C9"/>
    <w:rsid w:val="00543F72"/>
    <w:rsid w:val="005447A1"/>
    <w:rsid w:val="0054507D"/>
    <w:rsid w:val="005465CF"/>
    <w:rsid w:val="0054742B"/>
    <w:rsid w:val="00547A08"/>
    <w:rsid w:val="005501FF"/>
    <w:rsid w:val="00551921"/>
    <w:rsid w:val="00551B49"/>
    <w:rsid w:val="00551C1E"/>
    <w:rsid w:val="00552093"/>
    <w:rsid w:val="00552A5A"/>
    <w:rsid w:val="00552C20"/>
    <w:rsid w:val="00554744"/>
    <w:rsid w:val="0055522F"/>
    <w:rsid w:val="005552E9"/>
    <w:rsid w:val="005552FC"/>
    <w:rsid w:val="0055556D"/>
    <w:rsid w:val="005556DB"/>
    <w:rsid w:val="00555A11"/>
    <w:rsid w:val="00555D64"/>
    <w:rsid w:val="0055602F"/>
    <w:rsid w:val="00556D10"/>
    <w:rsid w:val="005572D8"/>
    <w:rsid w:val="005577DE"/>
    <w:rsid w:val="00557869"/>
    <w:rsid w:val="00557A24"/>
    <w:rsid w:val="00557D2E"/>
    <w:rsid w:val="00561182"/>
    <w:rsid w:val="00562DA6"/>
    <w:rsid w:val="00563729"/>
    <w:rsid w:val="00563968"/>
    <w:rsid w:val="00563B0C"/>
    <w:rsid w:val="00563D7D"/>
    <w:rsid w:val="0056458B"/>
    <w:rsid w:val="00564A0D"/>
    <w:rsid w:val="00564BE6"/>
    <w:rsid w:val="00565DE9"/>
    <w:rsid w:val="00565F10"/>
    <w:rsid w:val="005661E3"/>
    <w:rsid w:val="0056688D"/>
    <w:rsid w:val="00567A51"/>
    <w:rsid w:val="00567D15"/>
    <w:rsid w:val="00567D5D"/>
    <w:rsid w:val="005701CC"/>
    <w:rsid w:val="0057033B"/>
    <w:rsid w:val="00570442"/>
    <w:rsid w:val="00571228"/>
    <w:rsid w:val="00571ACA"/>
    <w:rsid w:val="00572661"/>
    <w:rsid w:val="0057295A"/>
    <w:rsid w:val="00572DCB"/>
    <w:rsid w:val="00574A36"/>
    <w:rsid w:val="005751EC"/>
    <w:rsid w:val="00576995"/>
    <w:rsid w:val="00576ECB"/>
    <w:rsid w:val="00576FEF"/>
    <w:rsid w:val="005771D3"/>
    <w:rsid w:val="0057799F"/>
    <w:rsid w:val="00577D6F"/>
    <w:rsid w:val="00577DF4"/>
    <w:rsid w:val="00577EAB"/>
    <w:rsid w:val="005800FF"/>
    <w:rsid w:val="00580752"/>
    <w:rsid w:val="00580875"/>
    <w:rsid w:val="00580B9E"/>
    <w:rsid w:val="00580BE3"/>
    <w:rsid w:val="00581874"/>
    <w:rsid w:val="00581AE2"/>
    <w:rsid w:val="00581C55"/>
    <w:rsid w:val="0058257E"/>
    <w:rsid w:val="005848C2"/>
    <w:rsid w:val="00584CE8"/>
    <w:rsid w:val="0058513D"/>
    <w:rsid w:val="00585CDF"/>
    <w:rsid w:val="005860CC"/>
    <w:rsid w:val="005865E4"/>
    <w:rsid w:val="00586713"/>
    <w:rsid w:val="00586C51"/>
    <w:rsid w:val="005875F6"/>
    <w:rsid w:val="00587A23"/>
    <w:rsid w:val="00587A73"/>
    <w:rsid w:val="00587CDD"/>
    <w:rsid w:val="00587FCF"/>
    <w:rsid w:val="0059028D"/>
    <w:rsid w:val="005904AD"/>
    <w:rsid w:val="0059099A"/>
    <w:rsid w:val="0059136B"/>
    <w:rsid w:val="005927CB"/>
    <w:rsid w:val="00592BE8"/>
    <w:rsid w:val="00592CEB"/>
    <w:rsid w:val="00593B4E"/>
    <w:rsid w:val="00593BAD"/>
    <w:rsid w:val="00594C12"/>
    <w:rsid w:val="00595227"/>
    <w:rsid w:val="00596ECF"/>
    <w:rsid w:val="005976A8"/>
    <w:rsid w:val="0059797A"/>
    <w:rsid w:val="005A169E"/>
    <w:rsid w:val="005A198C"/>
    <w:rsid w:val="005A1D6F"/>
    <w:rsid w:val="005A2962"/>
    <w:rsid w:val="005A29B0"/>
    <w:rsid w:val="005A33EE"/>
    <w:rsid w:val="005A3581"/>
    <w:rsid w:val="005A3651"/>
    <w:rsid w:val="005A3724"/>
    <w:rsid w:val="005A38BB"/>
    <w:rsid w:val="005A3B81"/>
    <w:rsid w:val="005A3C2A"/>
    <w:rsid w:val="005A3C79"/>
    <w:rsid w:val="005A3CE2"/>
    <w:rsid w:val="005A42C2"/>
    <w:rsid w:val="005A4672"/>
    <w:rsid w:val="005A4936"/>
    <w:rsid w:val="005A4F2F"/>
    <w:rsid w:val="005A5326"/>
    <w:rsid w:val="005A5685"/>
    <w:rsid w:val="005A5D94"/>
    <w:rsid w:val="005A67FC"/>
    <w:rsid w:val="005A7DDC"/>
    <w:rsid w:val="005B230F"/>
    <w:rsid w:val="005B234B"/>
    <w:rsid w:val="005B265A"/>
    <w:rsid w:val="005B2816"/>
    <w:rsid w:val="005B28BE"/>
    <w:rsid w:val="005B379E"/>
    <w:rsid w:val="005B3816"/>
    <w:rsid w:val="005B39EE"/>
    <w:rsid w:val="005B3E57"/>
    <w:rsid w:val="005B41FD"/>
    <w:rsid w:val="005B4C26"/>
    <w:rsid w:val="005B4F26"/>
    <w:rsid w:val="005B4F96"/>
    <w:rsid w:val="005B51A7"/>
    <w:rsid w:val="005B5767"/>
    <w:rsid w:val="005B587A"/>
    <w:rsid w:val="005B595C"/>
    <w:rsid w:val="005B66F0"/>
    <w:rsid w:val="005B6C86"/>
    <w:rsid w:val="005B73E7"/>
    <w:rsid w:val="005B7951"/>
    <w:rsid w:val="005B7A33"/>
    <w:rsid w:val="005C13BB"/>
    <w:rsid w:val="005C16C0"/>
    <w:rsid w:val="005C2728"/>
    <w:rsid w:val="005C34A0"/>
    <w:rsid w:val="005C3718"/>
    <w:rsid w:val="005C4E81"/>
    <w:rsid w:val="005C4F3E"/>
    <w:rsid w:val="005C50EA"/>
    <w:rsid w:val="005C5106"/>
    <w:rsid w:val="005C5339"/>
    <w:rsid w:val="005C5862"/>
    <w:rsid w:val="005C68FF"/>
    <w:rsid w:val="005C6C9C"/>
    <w:rsid w:val="005C7FDC"/>
    <w:rsid w:val="005D01D1"/>
    <w:rsid w:val="005D027D"/>
    <w:rsid w:val="005D0FC6"/>
    <w:rsid w:val="005D1AEB"/>
    <w:rsid w:val="005D2690"/>
    <w:rsid w:val="005D26E0"/>
    <w:rsid w:val="005D3085"/>
    <w:rsid w:val="005D36B9"/>
    <w:rsid w:val="005D3771"/>
    <w:rsid w:val="005D39A3"/>
    <w:rsid w:val="005D3F3D"/>
    <w:rsid w:val="005D483F"/>
    <w:rsid w:val="005D4965"/>
    <w:rsid w:val="005D4E5B"/>
    <w:rsid w:val="005D4EEB"/>
    <w:rsid w:val="005D606D"/>
    <w:rsid w:val="005D623B"/>
    <w:rsid w:val="005D62DC"/>
    <w:rsid w:val="005D6380"/>
    <w:rsid w:val="005D71BF"/>
    <w:rsid w:val="005E03E3"/>
    <w:rsid w:val="005E08E0"/>
    <w:rsid w:val="005E09D3"/>
    <w:rsid w:val="005E0FB8"/>
    <w:rsid w:val="005E10C5"/>
    <w:rsid w:val="005E1BC9"/>
    <w:rsid w:val="005E1CA7"/>
    <w:rsid w:val="005E214F"/>
    <w:rsid w:val="005E27A8"/>
    <w:rsid w:val="005E2883"/>
    <w:rsid w:val="005E3796"/>
    <w:rsid w:val="005E37ED"/>
    <w:rsid w:val="005E3DB3"/>
    <w:rsid w:val="005E3EFD"/>
    <w:rsid w:val="005E4115"/>
    <w:rsid w:val="005E5154"/>
    <w:rsid w:val="005E5603"/>
    <w:rsid w:val="005E56E0"/>
    <w:rsid w:val="005E585E"/>
    <w:rsid w:val="005E5BA5"/>
    <w:rsid w:val="005E69DC"/>
    <w:rsid w:val="005E7985"/>
    <w:rsid w:val="005E7BBC"/>
    <w:rsid w:val="005E7D26"/>
    <w:rsid w:val="005F03A6"/>
    <w:rsid w:val="005F092F"/>
    <w:rsid w:val="005F11B5"/>
    <w:rsid w:val="005F11D3"/>
    <w:rsid w:val="005F1519"/>
    <w:rsid w:val="005F1561"/>
    <w:rsid w:val="005F17EF"/>
    <w:rsid w:val="005F1C7A"/>
    <w:rsid w:val="005F2029"/>
    <w:rsid w:val="005F2CF3"/>
    <w:rsid w:val="005F30BE"/>
    <w:rsid w:val="005F3835"/>
    <w:rsid w:val="005F389C"/>
    <w:rsid w:val="005F4181"/>
    <w:rsid w:val="005F4AE5"/>
    <w:rsid w:val="005F53E3"/>
    <w:rsid w:val="005F671B"/>
    <w:rsid w:val="005F6B93"/>
    <w:rsid w:val="005F7163"/>
    <w:rsid w:val="005F7B22"/>
    <w:rsid w:val="00600C9B"/>
    <w:rsid w:val="006018D5"/>
    <w:rsid w:val="00601A8A"/>
    <w:rsid w:val="00601F2B"/>
    <w:rsid w:val="00602541"/>
    <w:rsid w:val="00602887"/>
    <w:rsid w:val="00605755"/>
    <w:rsid w:val="00605BDB"/>
    <w:rsid w:val="0060783C"/>
    <w:rsid w:val="00607A93"/>
    <w:rsid w:val="00610312"/>
    <w:rsid w:val="00610AEB"/>
    <w:rsid w:val="00610F04"/>
    <w:rsid w:val="00611189"/>
    <w:rsid w:val="0061168D"/>
    <w:rsid w:val="00611C15"/>
    <w:rsid w:val="0061265F"/>
    <w:rsid w:val="0061281C"/>
    <w:rsid w:val="0061284E"/>
    <w:rsid w:val="00612FAF"/>
    <w:rsid w:val="006137B9"/>
    <w:rsid w:val="006149DB"/>
    <w:rsid w:val="0061557D"/>
    <w:rsid w:val="0061584F"/>
    <w:rsid w:val="00615C87"/>
    <w:rsid w:val="00616217"/>
    <w:rsid w:val="006175DE"/>
    <w:rsid w:val="0061795F"/>
    <w:rsid w:val="0062152A"/>
    <w:rsid w:val="0062160C"/>
    <w:rsid w:val="006221AE"/>
    <w:rsid w:val="0062265E"/>
    <w:rsid w:val="0062269C"/>
    <w:rsid w:val="00624ADA"/>
    <w:rsid w:val="0062512A"/>
    <w:rsid w:val="00625EAD"/>
    <w:rsid w:val="00625EC4"/>
    <w:rsid w:val="00625F09"/>
    <w:rsid w:val="00626040"/>
    <w:rsid w:val="00626609"/>
    <w:rsid w:val="006278D8"/>
    <w:rsid w:val="00627DEA"/>
    <w:rsid w:val="006301BB"/>
    <w:rsid w:val="00630973"/>
    <w:rsid w:val="006314CA"/>
    <w:rsid w:val="00631834"/>
    <w:rsid w:val="006321BF"/>
    <w:rsid w:val="00632D7C"/>
    <w:rsid w:val="0063420E"/>
    <w:rsid w:val="00634851"/>
    <w:rsid w:val="00634C20"/>
    <w:rsid w:val="00635012"/>
    <w:rsid w:val="0063505B"/>
    <w:rsid w:val="00635177"/>
    <w:rsid w:val="00636397"/>
    <w:rsid w:val="00636AC3"/>
    <w:rsid w:val="00637706"/>
    <w:rsid w:val="00640A53"/>
    <w:rsid w:val="006415D1"/>
    <w:rsid w:val="00641A80"/>
    <w:rsid w:val="00641DB0"/>
    <w:rsid w:val="0064203C"/>
    <w:rsid w:val="006435BA"/>
    <w:rsid w:val="00643DD8"/>
    <w:rsid w:val="00643F46"/>
    <w:rsid w:val="0064423F"/>
    <w:rsid w:val="00644436"/>
    <w:rsid w:val="00645301"/>
    <w:rsid w:val="006456F8"/>
    <w:rsid w:val="0064587C"/>
    <w:rsid w:val="00646602"/>
    <w:rsid w:val="00646634"/>
    <w:rsid w:val="00646744"/>
    <w:rsid w:val="00646B3C"/>
    <w:rsid w:val="00646BF8"/>
    <w:rsid w:val="0064777E"/>
    <w:rsid w:val="00647BF8"/>
    <w:rsid w:val="00650420"/>
    <w:rsid w:val="006509BF"/>
    <w:rsid w:val="00650B76"/>
    <w:rsid w:val="00650FA2"/>
    <w:rsid w:val="0065163F"/>
    <w:rsid w:val="00651BAD"/>
    <w:rsid w:val="00652572"/>
    <w:rsid w:val="00652718"/>
    <w:rsid w:val="006529BC"/>
    <w:rsid w:val="00652E94"/>
    <w:rsid w:val="00652FCF"/>
    <w:rsid w:val="006530B8"/>
    <w:rsid w:val="006531B3"/>
    <w:rsid w:val="006534CC"/>
    <w:rsid w:val="00653B6E"/>
    <w:rsid w:val="00653D2F"/>
    <w:rsid w:val="00655ABF"/>
    <w:rsid w:val="00655BC7"/>
    <w:rsid w:val="00655DFF"/>
    <w:rsid w:val="00656140"/>
    <w:rsid w:val="006572FD"/>
    <w:rsid w:val="00657A95"/>
    <w:rsid w:val="006600C5"/>
    <w:rsid w:val="0066070D"/>
    <w:rsid w:val="00660A25"/>
    <w:rsid w:val="00660B67"/>
    <w:rsid w:val="00660E24"/>
    <w:rsid w:val="0066142A"/>
    <w:rsid w:val="006616CB"/>
    <w:rsid w:val="00661E95"/>
    <w:rsid w:val="00662123"/>
    <w:rsid w:val="0066238D"/>
    <w:rsid w:val="0066348D"/>
    <w:rsid w:val="00663637"/>
    <w:rsid w:val="00663710"/>
    <w:rsid w:val="00663C5A"/>
    <w:rsid w:val="00663DCF"/>
    <w:rsid w:val="00664CFC"/>
    <w:rsid w:val="0066513F"/>
    <w:rsid w:val="006662E7"/>
    <w:rsid w:val="00667113"/>
    <w:rsid w:val="00667B06"/>
    <w:rsid w:val="00667F0A"/>
    <w:rsid w:val="00670094"/>
    <w:rsid w:val="006702CA"/>
    <w:rsid w:val="00670DAB"/>
    <w:rsid w:val="00671246"/>
    <w:rsid w:val="00671313"/>
    <w:rsid w:val="0067153B"/>
    <w:rsid w:val="006719CD"/>
    <w:rsid w:val="00671EAC"/>
    <w:rsid w:val="00672032"/>
    <w:rsid w:val="0067256E"/>
    <w:rsid w:val="006739C8"/>
    <w:rsid w:val="006741E9"/>
    <w:rsid w:val="006742E6"/>
    <w:rsid w:val="006748F1"/>
    <w:rsid w:val="006755BB"/>
    <w:rsid w:val="006755EE"/>
    <w:rsid w:val="00675EA6"/>
    <w:rsid w:val="0067615D"/>
    <w:rsid w:val="006762A1"/>
    <w:rsid w:val="006763FD"/>
    <w:rsid w:val="006765BA"/>
    <w:rsid w:val="00676AB3"/>
    <w:rsid w:val="0068027D"/>
    <w:rsid w:val="00680D9A"/>
    <w:rsid w:val="00680F2C"/>
    <w:rsid w:val="0068106E"/>
    <w:rsid w:val="006813D0"/>
    <w:rsid w:val="00681AFC"/>
    <w:rsid w:val="00682123"/>
    <w:rsid w:val="0068259D"/>
    <w:rsid w:val="0068297C"/>
    <w:rsid w:val="006857B0"/>
    <w:rsid w:val="0068589D"/>
    <w:rsid w:val="006858AB"/>
    <w:rsid w:val="00685C36"/>
    <w:rsid w:val="00686126"/>
    <w:rsid w:val="00686B5B"/>
    <w:rsid w:val="006871A8"/>
    <w:rsid w:val="00687277"/>
    <w:rsid w:val="00687C67"/>
    <w:rsid w:val="00687CB5"/>
    <w:rsid w:val="006901B4"/>
    <w:rsid w:val="00690B2A"/>
    <w:rsid w:val="006914E3"/>
    <w:rsid w:val="00691A5E"/>
    <w:rsid w:val="00691B7B"/>
    <w:rsid w:val="00691B82"/>
    <w:rsid w:val="006927B8"/>
    <w:rsid w:val="0069310B"/>
    <w:rsid w:val="00693752"/>
    <w:rsid w:val="0069395B"/>
    <w:rsid w:val="006944AF"/>
    <w:rsid w:val="006945C1"/>
    <w:rsid w:val="006950AC"/>
    <w:rsid w:val="00695A30"/>
    <w:rsid w:val="00696B28"/>
    <w:rsid w:val="00697166"/>
    <w:rsid w:val="006978F0"/>
    <w:rsid w:val="00697A7C"/>
    <w:rsid w:val="00697DCC"/>
    <w:rsid w:val="00697FE0"/>
    <w:rsid w:val="006A054A"/>
    <w:rsid w:val="006A05D5"/>
    <w:rsid w:val="006A0963"/>
    <w:rsid w:val="006A0C86"/>
    <w:rsid w:val="006A0F86"/>
    <w:rsid w:val="006A2784"/>
    <w:rsid w:val="006A2DA4"/>
    <w:rsid w:val="006A33D0"/>
    <w:rsid w:val="006A3744"/>
    <w:rsid w:val="006A413B"/>
    <w:rsid w:val="006A4B42"/>
    <w:rsid w:val="006A55B9"/>
    <w:rsid w:val="006A5779"/>
    <w:rsid w:val="006A5E34"/>
    <w:rsid w:val="006A691C"/>
    <w:rsid w:val="006A7620"/>
    <w:rsid w:val="006A7800"/>
    <w:rsid w:val="006A7829"/>
    <w:rsid w:val="006A7A47"/>
    <w:rsid w:val="006A7BB4"/>
    <w:rsid w:val="006A7BCE"/>
    <w:rsid w:val="006B09D9"/>
    <w:rsid w:val="006B0C9E"/>
    <w:rsid w:val="006B1830"/>
    <w:rsid w:val="006B2628"/>
    <w:rsid w:val="006B265B"/>
    <w:rsid w:val="006B2D17"/>
    <w:rsid w:val="006B363A"/>
    <w:rsid w:val="006B3905"/>
    <w:rsid w:val="006B4435"/>
    <w:rsid w:val="006B4A62"/>
    <w:rsid w:val="006B4C64"/>
    <w:rsid w:val="006B6046"/>
    <w:rsid w:val="006B69BA"/>
    <w:rsid w:val="006B6C73"/>
    <w:rsid w:val="006B6CC7"/>
    <w:rsid w:val="006B6D21"/>
    <w:rsid w:val="006B74B2"/>
    <w:rsid w:val="006B7539"/>
    <w:rsid w:val="006B7B3F"/>
    <w:rsid w:val="006B7DC5"/>
    <w:rsid w:val="006C0741"/>
    <w:rsid w:val="006C0ACB"/>
    <w:rsid w:val="006C0C6C"/>
    <w:rsid w:val="006C28BA"/>
    <w:rsid w:val="006C314B"/>
    <w:rsid w:val="006C36FA"/>
    <w:rsid w:val="006C37E9"/>
    <w:rsid w:val="006C3945"/>
    <w:rsid w:val="006C3DFC"/>
    <w:rsid w:val="006C4293"/>
    <w:rsid w:val="006C4854"/>
    <w:rsid w:val="006C4922"/>
    <w:rsid w:val="006C4B14"/>
    <w:rsid w:val="006C4D05"/>
    <w:rsid w:val="006C4E8A"/>
    <w:rsid w:val="006C5937"/>
    <w:rsid w:val="006C59A3"/>
    <w:rsid w:val="006C5CF6"/>
    <w:rsid w:val="006C648F"/>
    <w:rsid w:val="006C70D0"/>
    <w:rsid w:val="006C7B9A"/>
    <w:rsid w:val="006D04FD"/>
    <w:rsid w:val="006D076C"/>
    <w:rsid w:val="006D0D5E"/>
    <w:rsid w:val="006D1391"/>
    <w:rsid w:val="006D17BB"/>
    <w:rsid w:val="006D1914"/>
    <w:rsid w:val="006D1EA3"/>
    <w:rsid w:val="006D242F"/>
    <w:rsid w:val="006D246A"/>
    <w:rsid w:val="006D286F"/>
    <w:rsid w:val="006D2D25"/>
    <w:rsid w:val="006D33C1"/>
    <w:rsid w:val="006D382A"/>
    <w:rsid w:val="006D4079"/>
    <w:rsid w:val="006D40B4"/>
    <w:rsid w:val="006D454F"/>
    <w:rsid w:val="006D4F50"/>
    <w:rsid w:val="006D5252"/>
    <w:rsid w:val="006D5579"/>
    <w:rsid w:val="006D559E"/>
    <w:rsid w:val="006D5AF0"/>
    <w:rsid w:val="006D601F"/>
    <w:rsid w:val="006D609C"/>
    <w:rsid w:val="006D67DB"/>
    <w:rsid w:val="006D6929"/>
    <w:rsid w:val="006D76B4"/>
    <w:rsid w:val="006D7AD3"/>
    <w:rsid w:val="006E014B"/>
    <w:rsid w:val="006E0246"/>
    <w:rsid w:val="006E0498"/>
    <w:rsid w:val="006E1657"/>
    <w:rsid w:val="006E18E9"/>
    <w:rsid w:val="006E1A16"/>
    <w:rsid w:val="006E1B67"/>
    <w:rsid w:val="006E1C18"/>
    <w:rsid w:val="006E1D96"/>
    <w:rsid w:val="006E218B"/>
    <w:rsid w:val="006E2C74"/>
    <w:rsid w:val="006E30E8"/>
    <w:rsid w:val="006E39A7"/>
    <w:rsid w:val="006E4088"/>
    <w:rsid w:val="006E4FF1"/>
    <w:rsid w:val="006E6956"/>
    <w:rsid w:val="006E6A6C"/>
    <w:rsid w:val="006E6AC0"/>
    <w:rsid w:val="006E6B1F"/>
    <w:rsid w:val="006E6DD9"/>
    <w:rsid w:val="006E70BA"/>
    <w:rsid w:val="006E77B3"/>
    <w:rsid w:val="006E7812"/>
    <w:rsid w:val="006F0107"/>
    <w:rsid w:val="006F03D2"/>
    <w:rsid w:val="006F0B27"/>
    <w:rsid w:val="006F0F4E"/>
    <w:rsid w:val="006F10A5"/>
    <w:rsid w:val="006F146D"/>
    <w:rsid w:val="006F1A7F"/>
    <w:rsid w:val="006F1C35"/>
    <w:rsid w:val="006F24EF"/>
    <w:rsid w:val="006F254A"/>
    <w:rsid w:val="006F2B06"/>
    <w:rsid w:val="006F2F52"/>
    <w:rsid w:val="006F31E2"/>
    <w:rsid w:val="006F395C"/>
    <w:rsid w:val="006F3B3F"/>
    <w:rsid w:val="006F3C83"/>
    <w:rsid w:val="006F4019"/>
    <w:rsid w:val="006F4959"/>
    <w:rsid w:val="006F4B08"/>
    <w:rsid w:val="006F52C6"/>
    <w:rsid w:val="006F53EE"/>
    <w:rsid w:val="006F57A7"/>
    <w:rsid w:val="006F6789"/>
    <w:rsid w:val="006F6AC1"/>
    <w:rsid w:val="006F7C0A"/>
    <w:rsid w:val="007001AE"/>
    <w:rsid w:val="00700B9A"/>
    <w:rsid w:val="00700FE5"/>
    <w:rsid w:val="007018BA"/>
    <w:rsid w:val="00701D89"/>
    <w:rsid w:val="00702DD0"/>
    <w:rsid w:val="007039EC"/>
    <w:rsid w:val="007046BD"/>
    <w:rsid w:val="0070481B"/>
    <w:rsid w:val="00704A32"/>
    <w:rsid w:val="007053FE"/>
    <w:rsid w:val="00705493"/>
    <w:rsid w:val="007066D0"/>
    <w:rsid w:val="00706E7E"/>
    <w:rsid w:val="00707527"/>
    <w:rsid w:val="007077C2"/>
    <w:rsid w:val="00707FBE"/>
    <w:rsid w:val="0071072A"/>
    <w:rsid w:val="00710C01"/>
    <w:rsid w:val="00711235"/>
    <w:rsid w:val="00711A1D"/>
    <w:rsid w:val="00711A7E"/>
    <w:rsid w:val="007124B1"/>
    <w:rsid w:val="0071282F"/>
    <w:rsid w:val="007133E1"/>
    <w:rsid w:val="0071415D"/>
    <w:rsid w:val="0071466C"/>
    <w:rsid w:val="00714CCD"/>
    <w:rsid w:val="00715732"/>
    <w:rsid w:val="0071577E"/>
    <w:rsid w:val="007163F6"/>
    <w:rsid w:val="00716D62"/>
    <w:rsid w:val="00716D8E"/>
    <w:rsid w:val="00716F8C"/>
    <w:rsid w:val="007175C3"/>
    <w:rsid w:val="00717812"/>
    <w:rsid w:val="00717AC3"/>
    <w:rsid w:val="00717EFC"/>
    <w:rsid w:val="00720129"/>
    <w:rsid w:val="00720EF3"/>
    <w:rsid w:val="00722D11"/>
    <w:rsid w:val="007233D6"/>
    <w:rsid w:val="007239BA"/>
    <w:rsid w:val="00723F4F"/>
    <w:rsid w:val="00724587"/>
    <w:rsid w:val="007252A8"/>
    <w:rsid w:val="00725BC6"/>
    <w:rsid w:val="00725CD2"/>
    <w:rsid w:val="00726278"/>
    <w:rsid w:val="0072704C"/>
    <w:rsid w:val="00727AFB"/>
    <w:rsid w:val="007308F8"/>
    <w:rsid w:val="0073095D"/>
    <w:rsid w:val="00730F08"/>
    <w:rsid w:val="0073141B"/>
    <w:rsid w:val="0073141F"/>
    <w:rsid w:val="0073211D"/>
    <w:rsid w:val="00732306"/>
    <w:rsid w:val="00733847"/>
    <w:rsid w:val="007338CD"/>
    <w:rsid w:val="00733DCE"/>
    <w:rsid w:val="00733FA1"/>
    <w:rsid w:val="00734885"/>
    <w:rsid w:val="00734A8B"/>
    <w:rsid w:val="00734E4D"/>
    <w:rsid w:val="00734FDC"/>
    <w:rsid w:val="007351DD"/>
    <w:rsid w:val="00735224"/>
    <w:rsid w:val="00736275"/>
    <w:rsid w:val="0073636F"/>
    <w:rsid w:val="00736373"/>
    <w:rsid w:val="00736A5C"/>
    <w:rsid w:val="00736B82"/>
    <w:rsid w:val="00736E8C"/>
    <w:rsid w:val="0073759F"/>
    <w:rsid w:val="00737D1B"/>
    <w:rsid w:val="00737E7D"/>
    <w:rsid w:val="00740141"/>
    <w:rsid w:val="00740266"/>
    <w:rsid w:val="00741434"/>
    <w:rsid w:val="00741AAF"/>
    <w:rsid w:val="0074249D"/>
    <w:rsid w:val="00742539"/>
    <w:rsid w:val="00742614"/>
    <w:rsid w:val="00742F9F"/>
    <w:rsid w:val="00744597"/>
    <w:rsid w:val="0074467D"/>
    <w:rsid w:val="00745FA5"/>
    <w:rsid w:val="00746346"/>
    <w:rsid w:val="0074637F"/>
    <w:rsid w:val="00746CEE"/>
    <w:rsid w:val="00747469"/>
    <w:rsid w:val="00747C4B"/>
    <w:rsid w:val="00750361"/>
    <w:rsid w:val="0075055C"/>
    <w:rsid w:val="00750F7D"/>
    <w:rsid w:val="00751392"/>
    <w:rsid w:val="007519D0"/>
    <w:rsid w:val="00752241"/>
    <w:rsid w:val="00752426"/>
    <w:rsid w:val="007539AA"/>
    <w:rsid w:val="00753F35"/>
    <w:rsid w:val="00753F4C"/>
    <w:rsid w:val="0075412E"/>
    <w:rsid w:val="00755222"/>
    <w:rsid w:val="0075538E"/>
    <w:rsid w:val="007558C6"/>
    <w:rsid w:val="00755E57"/>
    <w:rsid w:val="007562ED"/>
    <w:rsid w:val="007563BD"/>
    <w:rsid w:val="00756517"/>
    <w:rsid w:val="0075760A"/>
    <w:rsid w:val="00760221"/>
    <w:rsid w:val="007614EC"/>
    <w:rsid w:val="007628E4"/>
    <w:rsid w:val="00762D05"/>
    <w:rsid w:val="0076341D"/>
    <w:rsid w:val="00763933"/>
    <w:rsid w:val="00763F4E"/>
    <w:rsid w:val="007644E8"/>
    <w:rsid w:val="007647B9"/>
    <w:rsid w:val="0076494A"/>
    <w:rsid w:val="00764A1E"/>
    <w:rsid w:val="0076548F"/>
    <w:rsid w:val="0076577F"/>
    <w:rsid w:val="00765B63"/>
    <w:rsid w:val="00765C74"/>
    <w:rsid w:val="00765D54"/>
    <w:rsid w:val="00766134"/>
    <w:rsid w:val="00766198"/>
    <w:rsid w:val="0076627D"/>
    <w:rsid w:val="007701A2"/>
    <w:rsid w:val="00770DA4"/>
    <w:rsid w:val="00770E92"/>
    <w:rsid w:val="00770F2C"/>
    <w:rsid w:val="00771034"/>
    <w:rsid w:val="007712D9"/>
    <w:rsid w:val="00771470"/>
    <w:rsid w:val="0077230D"/>
    <w:rsid w:val="00773070"/>
    <w:rsid w:val="00773C7E"/>
    <w:rsid w:val="00773E6F"/>
    <w:rsid w:val="0077475C"/>
    <w:rsid w:val="00774AE7"/>
    <w:rsid w:val="00774B60"/>
    <w:rsid w:val="00775184"/>
    <w:rsid w:val="007757E9"/>
    <w:rsid w:val="00775E02"/>
    <w:rsid w:val="007764F1"/>
    <w:rsid w:val="00777A33"/>
    <w:rsid w:val="0078019E"/>
    <w:rsid w:val="007808CB"/>
    <w:rsid w:val="007809D3"/>
    <w:rsid w:val="00781204"/>
    <w:rsid w:val="00781904"/>
    <w:rsid w:val="00781941"/>
    <w:rsid w:val="00781CD0"/>
    <w:rsid w:val="00781D3C"/>
    <w:rsid w:val="00781F4F"/>
    <w:rsid w:val="00781F73"/>
    <w:rsid w:val="0078221F"/>
    <w:rsid w:val="00783354"/>
    <w:rsid w:val="00783B12"/>
    <w:rsid w:val="00784C9A"/>
    <w:rsid w:val="00785CB1"/>
    <w:rsid w:val="00787564"/>
    <w:rsid w:val="00787575"/>
    <w:rsid w:val="0079064C"/>
    <w:rsid w:val="00790B1D"/>
    <w:rsid w:val="00791E64"/>
    <w:rsid w:val="0079287F"/>
    <w:rsid w:val="007931CB"/>
    <w:rsid w:val="00793AA8"/>
    <w:rsid w:val="00793BB7"/>
    <w:rsid w:val="00794745"/>
    <w:rsid w:val="00794D4C"/>
    <w:rsid w:val="007951CE"/>
    <w:rsid w:val="007956CD"/>
    <w:rsid w:val="00795A05"/>
    <w:rsid w:val="007964DA"/>
    <w:rsid w:val="0079680C"/>
    <w:rsid w:val="00796911"/>
    <w:rsid w:val="00796AE2"/>
    <w:rsid w:val="00796F27"/>
    <w:rsid w:val="00797333"/>
    <w:rsid w:val="00797A43"/>
    <w:rsid w:val="00797F27"/>
    <w:rsid w:val="007A0BCD"/>
    <w:rsid w:val="007A1730"/>
    <w:rsid w:val="007A28F3"/>
    <w:rsid w:val="007A2E79"/>
    <w:rsid w:val="007A34A6"/>
    <w:rsid w:val="007A3A56"/>
    <w:rsid w:val="007A3CFD"/>
    <w:rsid w:val="007A40F5"/>
    <w:rsid w:val="007A43B8"/>
    <w:rsid w:val="007A45E6"/>
    <w:rsid w:val="007A6B49"/>
    <w:rsid w:val="007A7134"/>
    <w:rsid w:val="007A7422"/>
    <w:rsid w:val="007A76B1"/>
    <w:rsid w:val="007A7B9C"/>
    <w:rsid w:val="007B0126"/>
    <w:rsid w:val="007B0F5B"/>
    <w:rsid w:val="007B1EF4"/>
    <w:rsid w:val="007B2C5C"/>
    <w:rsid w:val="007B3511"/>
    <w:rsid w:val="007B6029"/>
    <w:rsid w:val="007B669B"/>
    <w:rsid w:val="007B68F8"/>
    <w:rsid w:val="007B6CD3"/>
    <w:rsid w:val="007B7033"/>
    <w:rsid w:val="007B73D2"/>
    <w:rsid w:val="007B7E48"/>
    <w:rsid w:val="007C0C7B"/>
    <w:rsid w:val="007C107B"/>
    <w:rsid w:val="007C1E46"/>
    <w:rsid w:val="007C302C"/>
    <w:rsid w:val="007C30F7"/>
    <w:rsid w:val="007C31AA"/>
    <w:rsid w:val="007C33BE"/>
    <w:rsid w:val="007C3A40"/>
    <w:rsid w:val="007C3DB1"/>
    <w:rsid w:val="007C3F65"/>
    <w:rsid w:val="007C48C3"/>
    <w:rsid w:val="007C4E88"/>
    <w:rsid w:val="007C5D8F"/>
    <w:rsid w:val="007C7270"/>
    <w:rsid w:val="007C7329"/>
    <w:rsid w:val="007C78AE"/>
    <w:rsid w:val="007C7A7E"/>
    <w:rsid w:val="007C7BAB"/>
    <w:rsid w:val="007C7D79"/>
    <w:rsid w:val="007D0286"/>
    <w:rsid w:val="007D02E0"/>
    <w:rsid w:val="007D0BF2"/>
    <w:rsid w:val="007D1036"/>
    <w:rsid w:val="007D1076"/>
    <w:rsid w:val="007D16D8"/>
    <w:rsid w:val="007D16DC"/>
    <w:rsid w:val="007D1C6E"/>
    <w:rsid w:val="007D1EC8"/>
    <w:rsid w:val="007D2CB0"/>
    <w:rsid w:val="007D393D"/>
    <w:rsid w:val="007D55D1"/>
    <w:rsid w:val="007D6422"/>
    <w:rsid w:val="007D6B25"/>
    <w:rsid w:val="007D6B38"/>
    <w:rsid w:val="007D6D97"/>
    <w:rsid w:val="007D7291"/>
    <w:rsid w:val="007D767F"/>
    <w:rsid w:val="007E051C"/>
    <w:rsid w:val="007E0D40"/>
    <w:rsid w:val="007E2054"/>
    <w:rsid w:val="007E28C6"/>
    <w:rsid w:val="007E2907"/>
    <w:rsid w:val="007E2AFC"/>
    <w:rsid w:val="007E3D8F"/>
    <w:rsid w:val="007E4462"/>
    <w:rsid w:val="007E447C"/>
    <w:rsid w:val="007E451A"/>
    <w:rsid w:val="007E4FF1"/>
    <w:rsid w:val="007E509C"/>
    <w:rsid w:val="007E5439"/>
    <w:rsid w:val="007E588D"/>
    <w:rsid w:val="007E617A"/>
    <w:rsid w:val="007E6590"/>
    <w:rsid w:val="007E72D1"/>
    <w:rsid w:val="007E7CB4"/>
    <w:rsid w:val="007F0AAC"/>
    <w:rsid w:val="007F0E04"/>
    <w:rsid w:val="007F0E85"/>
    <w:rsid w:val="007F19E8"/>
    <w:rsid w:val="007F25FD"/>
    <w:rsid w:val="007F26CA"/>
    <w:rsid w:val="007F2768"/>
    <w:rsid w:val="007F28CA"/>
    <w:rsid w:val="007F2AB0"/>
    <w:rsid w:val="007F3590"/>
    <w:rsid w:val="007F3869"/>
    <w:rsid w:val="007F4AB4"/>
    <w:rsid w:val="007F56BA"/>
    <w:rsid w:val="007F5893"/>
    <w:rsid w:val="007F5D25"/>
    <w:rsid w:val="007F5D2F"/>
    <w:rsid w:val="007F5D8C"/>
    <w:rsid w:val="007F5F12"/>
    <w:rsid w:val="007F6996"/>
    <w:rsid w:val="00800480"/>
    <w:rsid w:val="008009A8"/>
    <w:rsid w:val="00800D25"/>
    <w:rsid w:val="008019D3"/>
    <w:rsid w:val="008024FB"/>
    <w:rsid w:val="0080273F"/>
    <w:rsid w:val="00805342"/>
    <w:rsid w:val="00805420"/>
    <w:rsid w:val="00805D5F"/>
    <w:rsid w:val="00805F81"/>
    <w:rsid w:val="008068E1"/>
    <w:rsid w:val="00807B7F"/>
    <w:rsid w:val="0081138A"/>
    <w:rsid w:val="0081146D"/>
    <w:rsid w:val="0081194C"/>
    <w:rsid w:val="00811B1A"/>
    <w:rsid w:val="00812723"/>
    <w:rsid w:val="008134BA"/>
    <w:rsid w:val="0081379F"/>
    <w:rsid w:val="00813C4A"/>
    <w:rsid w:val="00814418"/>
    <w:rsid w:val="008144FA"/>
    <w:rsid w:val="008148CB"/>
    <w:rsid w:val="00815281"/>
    <w:rsid w:val="00815587"/>
    <w:rsid w:val="00816CAF"/>
    <w:rsid w:val="00817C3D"/>
    <w:rsid w:val="00817CB5"/>
    <w:rsid w:val="008205B2"/>
    <w:rsid w:val="00820861"/>
    <w:rsid w:val="00820E2C"/>
    <w:rsid w:val="00820E8A"/>
    <w:rsid w:val="008213DF"/>
    <w:rsid w:val="00821F81"/>
    <w:rsid w:val="00822562"/>
    <w:rsid w:val="00822A61"/>
    <w:rsid w:val="00822BA7"/>
    <w:rsid w:val="00823C0D"/>
    <w:rsid w:val="00823E27"/>
    <w:rsid w:val="008244ED"/>
    <w:rsid w:val="00824DB2"/>
    <w:rsid w:val="00824FB3"/>
    <w:rsid w:val="008253ED"/>
    <w:rsid w:val="00825E47"/>
    <w:rsid w:val="00825E87"/>
    <w:rsid w:val="00826949"/>
    <w:rsid w:val="00826E68"/>
    <w:rsid w:val="00827C7D"/>
    <w:rsid w:val="00830330"/>
    <w:rsid w:val="008321D0"/>
    <w:rsid w:val="0083261E"/>
    <w:rsid w:val="008329DD"/>
    <w:rsid w:val="00832A75"/>
    <w:rsid w:val="008333B0"/>
    <w:rsid w:val="00833605"/>
    <w:rsid w:val="00833BE5"/>
    <w:rsid w:val="00833C74"/>
    <w:rsid w:val="00834E22"/>
    <w:rsid w:val="00834EDF"/>
    <w:rsid w:val="008350EC"/>
    <w:rsid w:val="00835157"/>
    <w:rsid w:val="00835963"/>
    <w:rsid w:val="008365F8"/>
    <w:rsid w:val="00836787"/>
    <w:rsid w:val="00836B63"/>
    <w:rsid w:val="00836BAF"/>
    <w:rsid w:val="00836F20"/>
    <w:rsid w:val="008370C1"/>
    <w:rsid w:val="00837256"/>
    <w:rsid w:val="00840144"/>
    <w:rsid w:val="00841932"/>
    <w:rsid w:val="00841A41"/>
    <w:rsid w:val="00841A63"/>
    <w:rsid w:val="00841B03"/>
    <w:rsid w:val="00842380"/>
    <w:rsid w:val="00842448"/>
    <w:rsid w:val="00842882"/>
    <w:rsid w:val="008434B8"/>
    <w:rsid w:val="00843DB5"/>
    <w:rsid w:val="00845180"/>
    <w:rsid w:val="0084536D"/>
    <w:rsid w:val="008453B2"/>
    <w:rsid w:val="008459CC"/>
    <w:rsid w:val="00846AA7"/>
    <w:rsid w:val="00846C2F"/>
    <w:rsid w:val="00846DCB"/>
    <w:rsid w:val="00846EC8"/>
    <w:rsid w:val="008471D3"/>
    <w:rsid w:val="00847411"/>
    <w:rsid w:val="008476E9"/>
    <w:rsid w:val="00847ED1"/>
    <w:rsid w:val="00847EEB"/>
    <w:rsid w:val="00847FBF"/>
    <w:rsid w:val="00851262"/>
    <w:rsid w:val="0085213D"/>
    <w:rsid w:val="00852371"/>
    <w:rsid w:val="00852380"/>
    <w:rsid w:val="00853177"/>
    <w:rsid w:val="008534B5"/>
    <w:rsid w:val="00854478"/>
    <w:rsid w:val="008544B2"/>
    <w:rsid w:val="00854638"/>
    <w:rsid w:val="00854A1D"/>
    <w:rsid w:val="00854D8C"/>
    <w:rsid w:val="00854ECD"/>
    <w:rsid w:val="00855DED"/>
    <w:rsid w:val="0085668D"/>
    <w:rsid w:val="00857245"/>
    <w:rsid w:val="0085752A"/>
    <w:rsid w:val="00857638"/>
    <w:rsid w:val="00857AFF"/>
    <w:rsid w:val="00860157"/>
    <w:rsid w:val="00860601"/>
    <w:rsid w:val="0086142F"/>
    <w:rsid w:val="0086169F"/>
    <w:rsid w:val="00861B45"/>
    <w:rsid w:val="00862691"/>
    <w:rsid w:val="00862973"/>
    <w:rsid w:val="00862A46"/>
    <w:rsid w:val="00862DF9"/>
    <w:rsid w:val="00862EBC"/>
    <w:rsid w:val="008632F2"/>
    <w:rsid w:val="00864889"/>
    <w:rsid w:val="00864A6B"/>
    <w:rsid w:val="00864CB6"/>
    <w:rsid w:val="00865666"/>
    <w:rsid w:val="00865E34"/>
    <w:rsid w:val="008662FA"/>
    <w:rsid w:val="0086638A"/>
    <w:rsid w:val="008675DA"/>
    <w:rsid w:val="00867E9F"/>
    <w:rsid w:val="0087034E"/>
    <w:rsid w:val="00870A78"/>
    <w:rsid w:val="00870A8B"/>
    <w:rsid w:val="0087140F"/>
    <w:rsid w:val="00871C2C"/>
    <w:rsid w:val="00871D7A"/>
    <w:rsid w:val="008720D3"/>
    <w:rsid w:val="00872632"/>
    <w:rsid w:val="00872CF6"/>
    <w:rsid w:val="00873623"/>
    <w:rsid w:val="00874064"/>
    <w:rsid w:val="00874CD7"/>
    <w:rsid w:val="008757D8"/>
    <w:rsid w:val="00875897"/>
    <w:rsid w:val="0087592E"/>
    <w:rsid w:val="0087659D"/>
    <w:rsid w:val="008766C7"/>
    <w:rsid w:val="00876946"/>
    <w:rsid w:val="008778F7"/>
    <w:rsid w:val="00877A29"/>
    <w:rsid w:val="00880C4B"/>
    <w:rsid w:val="00880F5F"/>
    <w:rsid w:val="008813B9"/>
    <w:rsid w:val="00881611"/>
    <w:rsid w:val="0088163D"/>
    <w:rsid w:val="00881739"/>
    <w:rsid w:val="00881B61"/>
    <w:rsid w:val="00881C80"/>
    <w:rsid w:val="00881F3B"/>
    <w:rsid w:val="0088201A"/>
    <w:rsid w:val="008828D8"/>
    <w:rsid w:val="00883268"/>
    <w:rsid w:val="008837FF"/>
    <w:rsid w:val="008839F1"/>
    <w:rsid w:val="00884622"/>
    <w:rsid w:val="00884D12"/>
    <w:rsid w:val="00884EE5"/>
    <w:rsid w:val="00885613"/>
    <w:rsid w:val="00885C5F"/>
    <w:rsid w:val="0088602E"/>
    <w:rsid w:val="00886482"/>
    <w:rsid w:val="0088667D"/>
    <w:rsid w:val="00886B84"/>
    <w:rsid w:val="00886EB4"/>
    <w:rsid w:val="008873D3"/>
    <w:rsid w:val="00890987"/>
    <w:rsid w:val="00891414"/>
    <w:rsid w:val="00891C5B"/>
    <w:rsid w:val="008929B1"/>
    <w:rsid w:val="00892A42"/>
    <w:rsid w:val="00893125"/>
    <w:rsid w:val="00893628"/>
    <w:rsid w:val="008936EF"/>
    <w:rsid w:val="00893C97"/>
    <w:rsid w:val="0089421B"/>
    <w:rsid w:val="00894354"/>
    <w:rsid w:val="008946E4"/>
    <w:rsid w:val="00894F66"/>
    <w:rsid w:val="008950E7"/>
    <w:rsid w:val="00895A5D"/>
    <w:rsid w:val="00896FC0"/>
    <w:rsid w:val="0089701B"/>
    <w:rsid w:val="00897438"/>
    <w:rsid w:val="00897A72"/>
    <w:rsid w:val="008A011C"/>
    <w:rsid w:val="008A06C7"/>
    <w:rsid w:val="008A07A1"/>
    <w:rsid w:val="008A1005"/>
    <w:rsid w:val="008A1D80"/>
    <w:rsid w:val="008A20F9"/>
    <w:rsid w:val="008A3309"/>
    <w:rsid w:val="008A3385"/>
    <w:rsid w:val="008A3677"/>
    <w:rsid w:val="008A443A"/>
    <w:rsid w:val="008A461C"/>
    <w:rsid w:val="008A4927"/>
    <w:rsid w:val="008A4B4E"/>
    <w:rsid w:val="008A5872"/>
    <w:rsid w:val="008A58B1"/>
    <w:rsid w:val="008A5A47"/>
    <w:rsid w:val="008A620A"/>
    <w:rsid w:val="008A7749"/>
    <w:rsid w:val="008A7A8D"/>
    <w:rsid w:val="008B023D"/>
    <w:rsid w:val="008B04D8"/>
    <w:rsid w:val="008B0705"/>
    <w:rsid w:val="008B0979"/>
    <w:rsid w:val="008B0AA4"/>
    <w:rsid w:val="008B14E3"/>
    <w:rsid w:val="008B1754"/>
    <w:rsid w:val="008B23EC"/>
    <w:rsid w:val="008B322B"/>
    <w:rsid w:val="008B379E"/>
    <w:rsid w:val="008B3D8D"/>
    <w:rsid w:val="008B5D0E"/>
    <w:rsid w:val="008B5FCB"/>
    <w:rsid w:val="008B6259"/>
    <w:rsid w:val="008B63F7"/>
    <w:rsid w:val="008B68A6"/>
    <w:rsid w:val="008B68D7"/>
    <w:rsid w:val="008B74C5"/>
    <w:rsid w:val="008B7605"/>
    <w:rsid w:val="008C00CA"/>
    <w:rsid w:val="008C0797"/>
    <w:rsid w:val="008C2383"/>
    <w:rsid w:val="008C299F"/>
    <w:rsid w:val="008C2D1D"/>
    <w:rsid w:val="008C357F"/>
    <w:rsid w:val="008C4614"/>
    <w:rsid w:val="008C58D1"/>
    <w:rsid w:val="008C59B2"/>
    <w:rsid w:val="008C5AA6"/>
    <w:rsid w:val="008C5EB9"/>
    <w:rsid w:val="008C799F"/>
    <w:rsid w:val="008D02AE"/>
    <w:rsid w:val="008D0A43"/>
    <w:rsid w:val="008D0C8A"/>
    <w:rsid w:val="008D15C5"/>
    <w:rsid w:val="008D1F03"/>
    <w:rsid w:val="008D2852"/>
    <w:rsid w:val="008D33CC"/>
    <w:rsid w:val="008D3487"/>
    <w:rsid w:val="008D38FE"/>
    <w:rsid w:val="008D3CF4"/>
    <w:rsid w:val="008D3DA8"/>
    <w:rsid w:val="008D482F"/>
    <w:rsid w:val="008D4AC4"/>
    <w:rsid w:val="008D4E27"/>
    <w:rsid w:val="008D5035"/>
    <w:rsid w:val="008D5157"/>
    <w:rsid w:val="008D53C1"/>
    <w:rsid w:val="008D5C2A"/>
    <w:rsid w:val="008D6341"/>
    <w:rsid w:val="008D653C"/>
    <w:rsid w:val="008D6EB6"/>
    <w:rsid w:val="008E014D"/>
    <w:rsid w:val="008E111A"/>
    <w:rsid w:val="008E1F78"/>
    <w:rsid w:val="008E21E3"/>
    <w:rsid w:val="008E26A1"/>
    <w:rsid w:val="008E3274"/>
    <w:rsid w:val="008E3470"/>
    <w:rsid w:val="008E3741"/>
    <w:rsid w:val="008E390F"/>
    <w:rsid w:val="008E4084"/>
    <w:rsid w:val="008E4312"/>
    <w:rsid w:val="008E4634"/>
    <w:rsid w:val="008E48D1"/>
    <w:rsid w:val="008E4AF4"/>
    <w:rsid w:val="008E4B43"/>
    <w:rsid w:val="008E562B"/>
    <w:rsid w:val="008E59FC"/>
    <w:rsid w:val="008E7E84"/>
    <w:rsid w:val="008F0B14"/>
    <w:rsid w:val="008F13C7"/>
    <w:rsid w:val="008F172B"/>
    <w:rsid w:val="008F1B6A"/>
    <w:rsid w:val="008F1BEA"/>
    <w:rsid w:val="008F2158"/>
    <w:rsid w:val="008F2462"/>
    <w:rsid w:val="008F257E"/>
    <w:rsid w:val="008F2E1B"/>
    <w:rsid w:val="008F31A8"/>
    <w:rsid w:val="008F34CF"/>
    <w:rsid w:val="008F4909"/>
    <w:rsid w:val="008F4C08"/>
    <w:rsid w:val="008F4FEB"/>
    <w:rsid w:val="008F57C8"/>
    <w:rsid w:val="008F6C62"/>
    <w:rsid w:val="008F7116"/>
    <w:rsid w:val="008F75C2"/>
    <w:rsid w:val="008F7824"/>
    <w:rsid w:val="008F795F"/>
    <w:rsid w:val="008F7C9D"/>
    <w:rsid w:val="009017AE"/>
    <w:rsid w:val="00901880"/>
    <w:rsid w:val="00903469"/>
    <w:rsid w:val="009036D8"/>
    <w:rsid w:val="00903CFB"/>
    <w:rsid w:val="00903FCE"/>
    <w:rsid w:val="009044B5"/>
    <w:rsid w:val="0090511F"/>
    <w:rsid w:val="0090533F"/>
    <w:rsid w:val="00905412"/>
    <w:rsid w:val="00905955"/>
    <w:rsid w:val="00905D92"/>
    <w:rsid w:val="00905DFA"/>
    <w:rsid w:val="00905ED0"/>
    <w:rsid w:val="0090680B"/>
    <w:rsid w:val="009070E6"/>
    <w:rsid w:val="0090783D"/>
    <w:rsid w:val="009079C1"/>
    <w:rsid w:val="0091015A"/>
    <w:rsid w:val="009109B5"/>
    <w:rsid w:val="009111E2"/>
    <w:rsid w:val="00911CB0"/>
    <w:rsid w:val="00912418"/>
    <w:rsid w:val="00912B05"/>
    <w:rsid w:val="009138EE"/>
    <w:rsid w:val="00913D64"/>
    <w:rsid w:val="00913F52"/>
    <w:rsid w:val="00913F59"/>
    <w:rsid w:val="0091410B"/>
    <w:rsid w:val="00914674"/>
    <w:rsid w:val="0091482B"/>
    <w:rsid w:val="00914F9C"/>
    <w:rsid w:val="009151DC"/>
    <w:rsid w:val="0091548A"/>
    <w:rsid w:val="00915C20"/>
    <w:rsid w:val="00916824"/>
    <w:rsid w:val="00916DCA"/>
    <w:rsid w:val="00920552"/>
    <w:rsid w:val="00921755"/>
    <w:rsid w:val="00921987"/>
    <w:rsid w:val="00922438"/>
    <w:rsid w:val="0092373C"/>
    <w:rsid w:val="009237AB"/>
    <w:rsid w:val="00923C90"/>
    <w:rsid w:val="00923D75"/>
    <w:rsid w:val="009240D8"/>
    <w:rsid w:val="00924ACC"/>
    <w:rsid w:val="009256CE"/>
    <w:rsid w:val="00925C24"/>
    <w:rsid w:val="00926903"/>
    <w:rsid w:val="00927234"/>
    <w:rsid w:val="009274EE"/>
    <w:rsid w:val="00927C61"/>
    <w:rsid w:val="00927DB5"/>
    <w:rsid w:val="009301C3"/>
    <w:rsid w:val="009305DF"/>
    <w:rsid w:val="00930829"/>
    <w:rsid w:val="00930DA7"/>
    <w:rsid w:val="00930F81"/>
    <w:rsid w:val="0093132B"/>
    <w:rsid w:val="0093144D"/>
    <w:rsid w:val="00931638"/>
    <w:rsid w:val="00931996"/>
    <w:rsid w:val="0093248E"/>
    <w:rsid w:val="00932EEE"/>
    <w:rsid w:val="0093338D"/>
    <w:rsid w:val="00934456"/>
    <w:rsid w:val="00934553"/>
    <w:rsid w:val="00934617"/>
    <w:rsid w:val="00934A86"/>
    <w:rsid w:val="00934C29"/>
    <w:rsid w:val="00935697"/>
    <w:rsid w:val="00935A03"/>
    <w:rsid w:val="009369D1"/>
    <w:rsid w:val="00937831"/>
    <w:rsid w:val="009404DF"/>
    <w:rsid w:val="00940703"/>
    <w:rsid w:val="00940B60"/>
    <w:rsid w:val="00940C8B"/>
    <w:rsid w:val="00941317"/>
    <w:rsid w:val="00941490"/>
    <w:rsid w:val="00942407"/>
    <w:rsid w:val="00942747"/>
    <w:rsid w:val="0094367C"/>
    <w:rsid w:val="00943845"/>
    <w:rsid w:val="00944292"/>
    <w:rsid w:val="00944587"/>
    <w:rsid w:val="00944F7B"/>
    <w:rsid w:val="00944FA6"/>
    <w:rsid w:val="00945034"/>
    <w:rsid w:val="0094559A"/>
    <w:rsid w:val="009461B0"/>
    <w:rsid w:val="00946380"/>
    <w:rsid w:val="00946796"/>
    <w:rsid w:val="00947042"/>
    <w:rsid w:val="0094744D"/>
    <w:rsid w:val="0094767D"/>
    <w:rsid w:val="00950574"/>
    <w:rsid w:val="00950666"/>
    <w:rsid w:val="00950ABC"/>
    <w:rsid w:val="00950C49"/>
    <w:rsid w:val="0095100D"/>
    <w:rsid w:val="009510A2"/>
    <w:rsid w:val="00952962"/>
    <w:rsid w:val="0095377E"/>
    <w:rsid w:val="00953DD2"/>
    <w:rsid w:val="00954608"/>
    <w:rsid w:val="00954934"/>
    <w:rsid w:val="009552E9"/>
    <w:rsid w:val="009559E1"/>
    <w:rsid w:val="00955A13"/>
    <w:rsid w:val="00955B0B"/>
    <w:rsid w:val="00956189"/>
    <w:rsid w:val="00956396"/>
    <w:rsid w:val="0095643C"/>
    <w:rsid w:val="00956DFE"/>
    <w:rsid w:val="0095797A"/>
    <w:rsid w:val="00957C66"/>
    <w:rsid w:val="00960680"/>
    <w:rsid w:val="00960A98"/>
    <w:rsid w:val="00960EE3"/>
    <w:rsid w:val="0096116A"/>
    <w:rsid w:val="00961A82"/>
    <w:rsid w:val="00962313"/>
    <w:rsid w:val="009625FC"/>
    <w:rsid w:val="00962698"/>
    <w:rsid w:val="00962CD5"/>
    <w:rsid w:val="009647CD"/>
    <w:rsid w:val="00965241"/>
    <w:rsid w:val="0096525C"/>
    <w:rsid w:val="00965F29"/>
    <w:rsid w:val="00966187"/>
    <w:rsid w:val="00966C58"/>
    <w:rsid w:val="00966D00"/>
    <w:rsid w:val="00966D82"/>
    <w:rsid w:val="00966DD3"/>
    <w:rsid w:val="00966F15"/>
    <w:rsid w:val="00967541"/>
    <w:rsid w:val="00970069"/>
    <w:rsid w:val="0097040C"/>
    <w:rsid w:val="00970C0B"/>
    <w:rsid w:val="009712AD"/>
    <w:rsid w:val="00972B59"/>
    <w:rsid w:val="00973171"/>
    <w:rsid w:val="00973A08"/>
    <w:rsid w:val="00973E91"/>
    <w:rsid w:val="00973F53"/>
    <w:rsid w:val="00973F6A"/>
    <w:rsid w:val="00973FEA"/>
    <w:rsid w:val="0097438F"/>
    <w:rsid w:val="00974580"/>
    <w:rsid w:val="00975C20"/>
    <w:rsid w:val="0097602D"/>
    <w:rsid w:val="0097664C"/>
    <w:rsid w:val="00976969"/>
    <w:rsid w:val="009769E1"/>
    <w:rsid w:val="00976BC1"/>
    <w:rsid w:val="00976CBE"/>
    <w:rsid w:val="00976CE8"/>
    <w:rsid w:val="00977194"/>
    <w:rsid w:val="00977E3C"/>
    <w:rsid w:val="00977FFC"/>
    <w:rsid w:val="009805D3"/>
    <w:rsid w:val="00980E0C"/>
    <w:rsid w:val="00981AE3"/>
    <w:rsid w:val="00982014"/>
    <w:rsid w:val="0098289E"/>
    <w:rsid w:val="00982CD8"/>
    <w:rsid w:val="00982DFA"/>
    <w:rsid w:val="00982E8C"/>
    <w:rsid w:val="00984858"/>
    <w:rsid w:val="00984886"/>
    <w:rsid w:val="00985379"/>
    <w:rsid w:val="009858D9"/>
    <w:rsid w:val="00986F0C"/>
    <w:rsid w:val="0098707C"/>
    <w:rsid w:val="00987441"/>
    <w:rsid w:val="00987DAC"/>
    <w:rsid w:val="00990239"/>
    <w:rsid w:val="00992252"/>
    <w:rsid w:val="009938E2"/>
    <w:rsid w:val="009942E7"/>
    <w:rsid w:val="00994D29"/>
    <w:rsid w:val="00994EC1"/>
    <w:rsid w:val="009952E2"/>
    <w:rsid w:val="00995CEE"/>
    <w:rsid w:val="009970B2"/>
    <w:rsid w:val="009971EC"/>
    <w:rsid w:val="009974E3"/>
    <w:rsid w:val="009977CA"/>
    <w:rsid w:val="009977D7"/>
    <w:rsid w:val="009A05A5"/>
    <w:rsid w:val="009A1080"/>
    <w:rsid w:val="009A15E6"/>
    <w:rsid w:val="009A1EB2"/>
    <w:rsid w:val="009A1F19"/>
    <w:rsid w:val="009A2A08"/>
    <w:rsid w:val="009A30B9"/>
    <w:rsid w:val="009A4142"/>
    <w:rsid w:val="009A4B19"/>
    <w:rsid w:val="009A4BBE"/>
    <w:rsid w:val="009A4E53"/>
    <w:rsid w:val="009A4F81"/>
    <w:rsid w:val="009A5120"/>
    <w:rsid w:val="009A5ED6"/>
    <w:rsid w:val="009A6E57"/>
    <w:rsid w:val="009A6E93"/>
    <w:rsid w:val="009A75D3"/>
    <w:rsid w:val="009B04FA"/>
    <w:rsid w:val="009B1E42"/>
    <w:rsid w:val="009B219B"/>
    <w:rsid w:val="009B3144"/>
    <w:rsid w:val="009B3156"/>
    <w:rsid w:val="009B3E1B"/>
    <w:rsid w:val="009B3E3A"/>
    <w:rsid w:val="009B4550"/>
    <w:rsid w:val="009B4624"/>
    <w:rsid w:val="009B4990"/>
    <w:rsid w:val="009B4F81"/>
    <w:rsid w:val="009B57DB"/>
    <w:rsid w:val="009B5EDA"/>
    <w:rsid w:val="009B6A2E"/>
    <w:rsid w:val="009B6E64"/>
    <w:rsid w:val="009B6EAA"/>
    <w:rsid w:val="009B7511"/>
    <w:rsid w:val="009C1216"/>
    <w:rsid w:val="009C1306"/>
    <w:rsid w:val="009C1CCB"/>
    <w:rsid w:val="009C1D2D"/>
    <w:rsid w:val="009C20DE"/>
    <w:rsid w:val="009C2478"/>
    <w:rsid w:val="009C28FF"/>
    <w:rsid w:val="009C2C62"/>
    <w:rsid w:val="009C3DC9"/>
    <w:rsid w:val="009C3EA8"/>
    <w:rsid w:val="009C40EF"/>
    <w:rsid w:val="009C42A6"/>
    <w:rsid w:val="009C4B27"/>
    <w:rsid w:val="009C4B5F"/>
    <w:rsid w:val="009C5AA5"/>
    <w:rsid w:val="009C68E9"/>
    <w:rsid w:val="009C6C86"/>
    <w:rsid w:val="009C6D86"/>
    <w:rsid w:val="009C7653"/>
    <w:rsid w:val="009C78B6"/>
    <w:rsid w:val="009D0371"/>
    <w:rsid w:val="009D0407"/>
    <w:rsid w:val="009D1088"/>
    <w:rsid w:val="009D14FA"/>
    <w:rsid w:val="009D2107"/>
    <w:rsid w:val="009D2113"/>
    <w:rsid w:val="009D25A6"/>
    <w:rsid w:val="009D283C"/>
    <w:rsid w:val="009D311D"/>
    <w:rsid w:val="009D34CB"/>
    <w:rsid w:val="009D384B"/>
    <w:rsid w:val="009D3F54"/>
    <w:rsid w:val="009D4776"/>
    <w:rsid w:val="009D47B3"/>
    <w:rsid w:val="009D486C"/>
    <w:rsid w:val="009D4B8B"/>
    <w:rsid w:val="009D4C4E"/>
    <w:rsid w:val="009D4C50"/>
    <w:rsid w:val="009D52D9"/>
    <w:rsid w:val="009D55D1"/>
    <w:rsid w:val="009D5ABD"/>
    <w:rsid w:val="009D5B68"/>
    <w:rsid w:val="009D6B28"/>
    <w:rsid w:val="009D7468"/>
    <w:rsid w:val="009D7C5E"/>
    <w:rsid w:val="009E0FC9"/>
    <w:rsid w:val="009E1A58"/>
    <w:rsid w:val="009E1AB5"/>
    <w:rsid w:val="009E227D"/>
    <w:rsid w:val="009E2CFC"/>
    <w:rsid w:val="009E2DEB"/>
    <w:rsid w:val="009E3197"/>
    <w:rsid w:val="009E3F06"/>
    <w:rsid w:val="009E3F6F"/>
    <w:rsid w:val="009E4A22"/>
    <w:rsid w:val="009E5113"/>
    <w:rsid w:val="009E59AF"/>
    <w:rsid w:val="009E60CD"/>
    <w:rsid w:val="009E6211"/>
    <w:rsid w:val="009E6E37"/>
    <w:rsid w:val="009E74A6"/>
    <w:rsid w:val="009E7631"/>
    <w:rsid w:val="009E785D"/>
    <w:rsid w:val="009E7F17"/>
    <w:rsid w:val="009F04C7"/>
    <w:rsid w:val="009F0908"/>
    <w:rsid w:val="009F168D"/>
    <w:rsid w:val="009F16C5"/>
    <w:rsid w:val="009F16F1"/>
    <w:rsid w:val="009F16FB"/>
    <w:rsid w:val="009F171F"/>
    <w:rsid w:val="009F17F5"/>
    <w:rsid w:val="009F1B9B"/>
    <w:rsid w:val="009F1E58"/>
    <w:rsid w:val="009F1EE1"/>
    <w:rsid w:val="009F35F8"/>
    <w:rsid w:val="009F3ADF"/>
    <w:rsid w:val="009F4F5F"/>
    <w:rsid w:val="009F52C6"/>
    <w:rsid w:val="009F5CCD"/>
    <w:rsid w:val="009F615E"/>
    <w:rsid w:val="009F648B"/>
    <w:rsid w:val="009F665C"/>
    <w:rsid w:val="009F6C2A"/>
    <w:rsid w:val="009F7C8A"/>
    <w:rsid w:val="00A0062C"/>
    <w:rsid w:val="00A0066B"/>
    <w:rsid w:val="00A00925"/>
    <w:rsid w:val="00A00A5F"/>
    <w:rsid w:val="00A00A6E"/>
    <w:rsid w:val="00A00BFF"/>
    <w:rsid w:val="00A00E9C"/>
    <w:rsid w:val="00A00F2C"/>
    <w:rsid w:val="00A011A4"/>
    <w:rsid w:val="00A011F5"/>
    <w:rsid w:val="00A0181B"/>
    <w:rsid w:val="00A02398"/>
    <w:rsid w:val="00A026C0"/>
    <w:rsid w:val="00A026D0"/>
    <w:rsid w:val="00A02B37"/>
    <w:rsid w:val="00A02E79"/>
    <w:rsid w:val="00A02F23"/>
    <w:rsid w:val="00A036E3"/>
    <w:rsid w:val="00A038C6"/>
    <w:rsid w:val="00A038D9"/>
    <w:rsid w:val="00A03D46"/>
    <w:rsid w:val="00A03E1C"/>
    <w:rsid w:val="00A041E5"/>
    <w:rsid w:val="00A042F3"/>
    <w:rsid w:val="00A043EC"/>
    <w:rsid w:val="00A0581A"/>
    <w:rsid w:val="00A05872"/>
    <w:rsid w:val="00A0591E"/>
    <w:rsid w:val="00A061DB"/>
    <w:rsid w:val="00A06303"/>
    <w:rsid w:val="00A065D1"/>
    <w:rsid w:val="00A0771C"/>
    <w:rsid w:val="00A10D2C"/>
    <w:rsid w:val="00A11236"/>
    <w:rsid w:val="00A11904"/>
    <w:rsid w:val="00A11A22"/>
    <w:rsid w:val="00A1334D"/>
    <w:rsid w:val="00A1512A"/>
    <w:rsid w:val="00A15513"/>
    <w:rsid w:val="00A15A88"/>
    <w:rsid w:val="00A16276"/>
    <w:rsid w:val="00A17757"/>
    <w:rsid w:val="00A219CF"/>
    <w:rsid w:val="00A21DEE"/>
    <w:rsid w:val="00A22B3E"/>
    <w:rsid w:val="00A22FB2"/>
    <w:rsid w:val="00A2321C"/>
    <w:rsid w:val="00A232BF"/>
    <w:rsid w:val="00A23647"/>
    <w:rsid w:val="00A23657"/>
    <w:rsid w:val="00A23913"/>
    <w:rsid w:val="00A23BC4"/>
    <w:rsid w:val="00A23CFF"/>
    <w:rsid w:val="00A241B2"/>
    <w:rsid w:val="00A25BE1"/>
    <w:rsid w:val="00A26447"/>
    <w:rsid w:val="00A268AD"/>
    <w:rsid w:val="00A276C9"/>
    <w:rsid w:val="00A27884"/>
    <w:rsid w:val="00A27BF4"/>
    <w:rsid w:val="00A30867"/>
    <w:rsid w:val="00A30BB8"/>
    <w:rsid w:val="00A30EDB"/>
    <w:rsid w:val="00A30F52"/>
    <w:rsid w:val="00A31635"/>
    <w:rsid w:val="00A31B68"/>
    <w:rsid w:val="00A32005"/>
    <w:rsid w:val="00A32602"/>
    <w:rsid w:val="00A32A38"/>
    <w:rsid w:val="00A339E1"/>
    <w:rsid w:val="00A33C94"/>
    <w:rsid w:val="00A33FEF"/>
    <w:rsid w:val="00A35263"/>
    <w:rsid w:val="00A35520"/>
    <w:rsid w:val="00A3557C"/>
    <w:rsid w:val="00A358CB"/>
    <w:rsid w:val="00A36440"/>
    <w:rsid w:val="00A36443"/>
    <w:rsid w:val="00A36B6E"/>
    <w:rsid w:val="00A36EF1"/>
    <w:rsid w:val="00A37547"/>
    <w:rsid w:val="00A377F3"/>
    <w:rsid w:val="00A415E8"/>
    <w:rsid w:val="00A426CE"/>
    <w:rsid w:val="00A428DE"/>
    <w:rsid w:val="00A4315F"/>
    <w:rsid w:val="00A4357D"/>
    <w:rsid w:val="00A44191"/>
    <w:rsid w:val="00A44573"/>
    <w:rsid w:val="00A44804"/>
    <w:rsid w:val="00A44A08"/>
    <w:rsid w:val="00A44DD9"/>
    <w:rsid w:val="00A45543"/>
    <w:rsid w:val="00A4561E"/>
    <w:rsid w:val="00A457B3"/>
    <w:rsid w:val="00A46D67"/>
    <w:rsid w:val="00A470BC"/>
    <w:rsid w:val="00A47F1F"/>
    <w:rsid w:val="00A50A65"/>
    <w:rsid w:val="00A5156B"/>
    <w:rsid w:val="00A517BC"/>
    <w:rsid w:val="00A51EB1"/>
    <w:rsid w:val="00A52435"/>
    <w:rsid w:val="00A547D4"/>
    <w:rsid w:val="00A551BC"/>
    <w:rsid w:val="00A552EE"/>
    <w:rsid w:val="00A56556"/>
    <w:rsid w:val="00A568A4"/>
    <w:rsid w:val="00A57472"/>
    <w:rsid w:val="00A5748E"/>
    <w:rsid w:val="00A578BC"/>
    <w:rsid w:val="00A579A2"/>
    <w:rsid w:val="00A57BC2"/>
    <w:rsid w:val="00A608B5"/>
    <w:rsid w:val="00A62A84"/>
    <w:rsid w:val="00A62CF2"/>
    <w:rsid w:val="00A630F0"/>
    <w:rsid w:val="00A646A8"/>
    <w:rsid w:val="00A6491A"/>
    <w:rsid w:val="00A652E0"/>
    <w:rsid w:val="00A652E5"/>
    <w:rsid w:val="00A6539F"/>
    <w:rsid w:val="00A65D39"/>
    <w:rsid w:val="00A661C8"/>
    <w:rsid w:val="00A66B4E"/>
    <w:rsid w:val="00A6724D"/>
    <w:rsid w:val="00A6786E"/>
    <w:rsid w:val="00A67DF7"/>
    <w:rsid w:val="00A70D80"/>
    <w:rsid w:val="00A71183"/>
    <w:rsid w:val="00A723B9"/>
    <w:rsid w:val="00A72E82"/>
    <w:rsid w:val="00A72EE9"/>
    <w:rsid w:val="00A72FA8"/>
    <w:rsid w:val="00A7480A"/>
    <w:rsid w:val="00A74985"/>
    <w:rsid w:val="00A75063"/>
    <w:rsid w:val="00A77649"/>
    <w:rsid w:val="00A77773"/>
    <w:rsid w:val="00A803BB"/>
    <w:rsid w:val="00A812D8"/>
    <w:rsid w:val="00A81FF6"/>
    <w:rsid w:val="00A82020"/>
    <w:rsid w:val="00A82079"/>
    <w:rsid w:val="00A82151"/>
    <w:rsid w:val="00A8236A"/>
    <w:rsid w:val="00A825FD"/>
    <w:rsid w:val="00A83281"/>
    <w:rsid w:val="00A837B4"/>
    <w:rsid w:val="00A838FB"/>
    <w:rsid w:val="00A83CF2"/>
    <w:rsid w:val="00A847B7"/>
    <w:rsid w:val="00A849D7"/>
    <w:rsid w:val="00A84DD8"/>
    <w:rsid w:val="00A84E15"/>
    <w:rsid w:val="00A85E04"/>
    <w:rsid w:val="00A863F2"/>
    <w:rsid w:val="00A86767"/>
    <w:rsid w:val="00A867F8"/>
    <w:rsid w:val="00A871EB"/>
    <w:rsid w:val="00A87715"/>
    <w:rsid w:val="00A877DF"/>
    <w:rsid w:val="00A87ADF"/>
    <w:rsid w:val="00A90331"/>
    <w:rsid w:val="00A9039A"/>
    <w:rsid w:val="00A90D09"/>
    <w:rsid w:val="00A91C0A"/>
    <w:rsid w:val="00A924E1"/>
    <w:rsid w:val="00A9406E"/>
    <w:rsid w:val="00A940E6"/>
    <w:rsid w:val="00A94AC5"/>
    <w:rsid w:val="00A94D64"/>
    <w:rsid w:val="00A94DCD"/>
    <w:rsid w:val="00A97CF4"/>
    <w:rsid w:val="00AA106E"/>
    <w:rsid w:val="00AA1BF9"/>
    <w:rsid w:val="00AA253F"/>
    <w:rsid w:val="00AA2814"/>
    <w:rsid w:val="00AA2998"/>
    <w:rsid w:val="00AA2D13"/>
    <w:rsid w:val="00AA3216"/>
    <w:rsid w:val="00AA4954"/>
    <w:rsid w:val="00AA4D2B"/>
    <w:rsid w:val="00AA5833"/>
    <w:rsid w:val="00AA5BBD"/>
    <w:rsid w:val="00AA610B"/>
    <w:rsid w:val="00AA61CC"/>
    <w:rsid w:val="00AA66A7"/>
    <w:rsid w:val="00AA6B9F"/>
    <w:rsid w:val="00AA72A7"/>
    <w:rsid w:val="00AB0330"/>
    <w:rsid w:val="00AB0935"/>
    <w:rsid w:val="00AB0AF0"/>
    <w:rsid w:val="00AB1033"/>
    <w:rsid w:val="00AB1D27"/>
    <w:rsid w:val="00AB233C"/>
    <w:rsid w:val="00AB2BDF"/>
    <w:rsid w:val="00AB315B"/>
    <w:rsid w:val="00AB3423"/>
    <w:rsid w:val="00AB3548"/>
    <w:rsid w:val="00AB36F9"/>
    <w:rsid w:val="00AB3A66"/>
    <w:rsid w:val="00AB42FA"/>
    <w:rsid w:val="00AB43AF"/>
    <w:rsid w:val="00AB4D8F"/>
    <w:rsid w:val="00AB4FDD"/>
    <w:rsid w:val="00AB54EC"/>
    <w:rsid w:val="00AB59F2"/>
    <w:rsid w:val="00AB612C"/>
    <w:rsid w:val="00AB62EC"/>
    <w:rsid w:val="00AB72D0"/>
    <w:rsid w:val="00AB7BAF"/>
    <w:rsid w:val="00AB7E54"/>
    <w:rsid w:val="00AC1413"/>
    <w:rsid w:val="00AC1E43"/>
    <w:rsid w:val="00AC2CB8"/>
    <w:rsid w:val="00AC2DDE"/>
    <w:rsid w:val="00AC4249"/>
    <w:rsid w:val="00AC4510"/>
    <w:rsid w:val="00AC4BE6"/>
    <w:rsid w:val="00AC4D57"/>
    <w:rsid w:val="00AC5356"/>
    <w:rsid w:val="00AC6B44"/>
    <w:rsid w:val="00AC6E87"/>
    <w:rsid w:val="00AC7325"/>
    <w:rsid w:val="00AD040D"/>
    <w:rsid w:val="00AD0671"/>
    <w:rsid w:val="00AD1935"/>
    <w:rsid w:val="00AD2184"/>
    <w:rsid w:val="00AD23ED"/>
    <w:rsid w:val="00AD2870"/>
    <w:rsid w:val="00AD2D4F"/>
    <w:rsid w:val="00AD36A2"/>
    <w:rsid w:val="00AD3800"/>
    <w:rsid w:val="00AD3BA3"/>
    <w:rsid w:val="00AD403C"/>
    <w:rsid w:val="00AD419E"/>
    <w:rsid w:val="00AD421F"/>
    <w:rsid w:val="00AD4A1F"/>
    <w:rsid w:val="00AD4EBF"/>
    <w:rsid w:val="00AD5F8C"/>
    <w:rsid w:val="00AD612E"/>
    <w:rsid w:val="00AD670D"/>
    <w:rsid w:val="00AD702D"/>
    <w:rsid w:val="00AD71D5"/>
    <w:rsid w:val="00AD78E2"/>
    <w:rsid w:val="00AE07EE"/>
    <w:rsid w:val="00AE0CDE"/>
    <w:rsid w:val="00AE119F"/>
    <w:rsid w:val="00AE15E1"/>
    <w:rsid w:val="00AE19E9"/>
    <w:rsid w:val="00AE1C53"/>
    <w:rsid w:val="00AE22BD"/>
    <w:rsid w:val="00AE43A8"/>
    <w:rsid w:val="00AE43FA"/>
    <w:rsid w:val="00AE4CEB"/>
    <w:rsid w:val="00AE563F"/>
    <w:rsid w:val="00AE5BAC"/>
    <w:rsid w:val="00AE6143"/>
    <w:rsid w:val="00AE6488"/>
    <w:rsid w:val="00AE655E"/>
    <w:rsid w:val="00AE6D8E"/>
    <w:rsid w:val="00AE739A"/>
    <w:rsid w:val="00AE7871"/>
    <w:rsid w:val="00AE7A80"/>
    <w:rsid w:val="00AE7B29"/>
    <w:rsid w:val="00AE7C94"/>
    <w:rsid w:val="00AF064A"/>
    <w:rsid w:val="00AF0725"/>
    <w:rsid w:val="00AF12E6"/>
    <w:rsid w:val="00AF25FC"/>
    <w:rsid w:val="00AF3011"/>
    <w:rsid w:val="00AF3256"/>
    <w:rsid w:val="00AF3BB3"/>
    <w:rsid w:val="00AF598C"/>
    <w:rsid w:val="00AF5B07"/>
    <w:rsid w:val="00AF66F3"/>
    <w:rsid w:val="00AF6D1E"/>
    <w:rsid w:val="00AF6D9F"/>
    <w:rsid w:val="00AF72BB"/>
    <w:rsid w:val="00AF747E"/>
    <w:rsid w:val="00B00E16"/>
    <w:rsid w:val="00B012C6"/>
    <w:rsid w:val="00B01785"/>
    <w:rsid w:val="00B01965"/>
    <w:rsid w:val="00B01B9F"/>
    <w:rsid w:val="00B01D25"/>
    <w:rsid w:val="00B01F2E"/>
    <w:rsid w:val="00B02225"/>
    <w:rsid w:val="00B034EE"/>
    <w:rsid w:val="00B0355C"/>
    <w:rsid w:val="00B03836"/>
    <w:rsid w:val="00B03C16"/>
    <w:rsid w:val="00B03C17"/>
    <w:rsid w:val="00B03E5B"/>
    <w:rsid w:val="00B03F6A"/>
    <w:rsid w:val="00B0401E"/>
    <w:rsid w:val="00B0457F"/>
    <w:rsid w:val="00B048C0"/>
    <w:rsid w:val="00B04B6E"/>
    <w:rsid w:val="00B04D83"/>
    <w:rsid w:val="00B0501A"/>
    <w:rsid w:val="00B051BA"/>
    <w:rsid w:val="00B05538"/>
    <w:rsid w:val="00B05748"/>
    <w:rsid w:val="00B06C2F"/>
    <w:rsid w:val="00B0761D"/>
    <w:rsid w:val="00B07846"/>
    <w:rsid w:val="00B07B53"/>
    <w:rsid w:val="00B10D4F"/>
    <w:rsid w:val="00B112D4"/>
    <w:rsid w:val="00B11C31"/>
    <w:rsid w:val="00B137F3"/>
    <w:rsid w:val="00B15461"/>
    <w:rsid w:val="00B15572"/>
    <w:rsid w:val="00B15FD2"/>
    <w:rsid w:val="00B1626B"/>
    <w:rsid w:val="00B179CF"/>
    <w:rsid w:val="00B203ED"/>
    <w:rsid w:val="00B20BC4"/>
    <w:rsid w:val="00B20DAB"/>
    <w:rsid w:val="00B21037"/>
    <w:rsid w:val="00B2182B"/>
    <w:rsid w:val="00B21F02"/>
    <w:rsid w:val="00B238C6"/>
    <w:rsid w:val="00B23E1D"/>
    <w:rsid w:val="00B249D1"/>
    <w:rsid w:val="00B24D32"/>
    <w:rsid w:val="00B25B53"/>
    <w:rsid w:val="00B25BC0"/>
    <w:rsid w:val="00B261FE"/>
    <w:rsid w:val="00B26D34"/>
    <w:rsid w:val="00B271F9"/>
    <w:rsid w:val="00B279E3"/>
    <w:rsid w:val="00B30368"/>
    <w:rsid w:val="00B30838"/>
    <w:rsid w:val="00B308F1"/>
    <w:rsid w:val="00B31336"/>
    <w:rsid w:val="00B31537"/>
    <w:rsid w:val="00B3243C"/>
    <w:rsid w:val="00B325F8"/>
    <w:rsid w:val="00B32631"/>
    <w:rsid w:val="00B32779"/>
    <w:rsid w:val="00B32908"/>
    <w:rsid w:val="00B333BA"/>
    <w:rsid w:val="00B33468"/>
    <w:rsid w:val="00B344D9"/>
    <w:rsid w:val="00B34A45"/>
    <w:rsid w:val="00B34B38"/>
    <w:rsid w:val="00B36CBE"/>
    <w:rsid w:val="00B37120"/>
    <w:rsid w:val="00B372E3"/>
    <w:rsid w:val="00B37546"/>
    <w:rsid w:val="00B403A4"/>
    <w:rsid w:val="00B40F54"/>
    <w:rsid w:val="00B412E6"/>
    <w:rsid w:val="00B414AD"/>
    <w:rsid w:val="00B41D9D"/>
    <w:rsid w:val="00B42747"/>
    <w:rsid w:val="00B43D78"/>
    <w:rsid w:val="00B440AD"/>
    <w:rsid w:val="00B44617"/>
    <w:rsid w:val="00B45E37"/>
    <w:rsid w:val="00B466DE"/>
    <w:rsid w:val="00B467C9"/>
    <w:rsid w:val="00B46C90"/>
    <w:rsid w:val="00B473FC"/>
    <w:rsid w:val="00B47DFF"/>
    <w:rsid w:val="00B47EA5"/>
    <w:rsid w:val="00B47FB8"/>
    <w:rsid w:val="00B50567"/>
    <w:rsid w:val="00B50DF0"/>
    <w:rsid w:val="00B512AD"/>
    <w:rsid w:val="00B512D8"/>
    <w:rsid w:val="00B516C4"/>
    <w:rsid w:val="00B517D2"/>
    <w:rsid w:val="00B51B92"/>
    <w:rsid w:val="00B51FCD"/>
    <w:rsid w:val="00B521FC"/>
    <w:rsid w:val="00B52238"/>
    <w:rsid w:val="00B52F76"/>
    <w:rsid w:val="00B52F83"/>
    <w:rsid w:val="00B53435"/>
    <w:rsid w:val="00B53ABD"/>
    <w:rsid w:val="00B544EF"/>
    <w:rsid w:val="00B54B43"/>
    <w:rsid w:val="00B54C93"/>
    <w:rsid w:val="00B5538C"/>
    <w:rsid w:val="00B5556F"/>
    <w:rsid w:val="00B56F65"/>
    <w:rsid w:val="00B57405"/>
    <w:rsid w:val="00B57D70"/>
    <w:rsid w:val="00B57DB2"/>
    <w:rsid w:val="00B60787"/>
    <w:rsid w:val="00B60D8F"/>
    <w:rsid w:val="00B616B2"/>
    <w:rsid w:val="00B6220B"/>
    <w:rsid w:val="00B625B8"/>
    <w:rsid w:val="00B630DB"/>
    <w:rsid w:val="00B633B1"/>
    <w:rsid w:val="00B634AB"/>
    <w:rsid w:val="00B63E1F"/>
    <w:rsid w:val="00B6461F"/>
    <w:rsid w:val="00B64626"/>
    <w:rsid w:val="00B64858"/>
    <w:rsid w:val="00B64F88"/>
    <w:rsid w:val="00B65633"/>
    <w:rsid w:val="00B65C47"/>
    <w:rsid w:val="00B670C5"/>
    <w:rsid w:val="00B671D3"/>
    <w:rsid w:val="00B67A17"/>
    <w:rsid w:val="00B710FA"/>
    <w:rsid w:val="00B72B1F"/>
    <w:rsid w:val="00B73FF1"/>
    <w:rsid w:val="00B745E7"/>
    <w:rsid w:val="00B746B0"/>
    <w:rsid w:val="00B752C5"/>
    <w:rsid w:val="00B75F00"/>
    <w:rsid w:val="00B7602A"/>
    <w:rsid w:val="00B7621A"/>
    <w:rsid w:val="00B7669E"/>
    <w:rsid w:val="00B77209"/>
    <w:rsid w:val="00B77961"/>
    <w:rsid w:val="00B80447"/>
    <w:rsid w:val="00B82A96"/>
    <w:rsid w:val="00B82E21"/>
    <w:rsid w:val="00B833D4"/>
    <w:rsid w:val="00B83403"/>
    <w:rsid w:val="00B83640"/>
    <w:rsid w:val="00B836FF"/>
    <w:rsid w:val="00B84396"/>
    <w:rsid w:val="00B8474E"/>
    <w:rsid w:val="00B84EFD"/>
    <w:rsid w:val="00B85044"/>
    <w:rsid w:val="00B862A0"/>
    <w:rsid w:val="00B86854"/>
    <w:rsid w:val="00B86C09"/>
    <w:rsid w:val="00B86DE5"/>
    <w:rsid w:val="00B8731A"/>
    <w:rsid w:val="00B87C02"/>
    <w:rsid w:val="00B87DD8"/>
    <w:rsid w:val="00B90584"/>
    <w:rsid w:val="00B90721"/>
    <w:rsid w:val="00B90CD2"/>
    <w:rsid w:val="00B91880"/>
    <w:rsid w:val="00B92CD7"/>
    <w:rsid w:val="00B93747"/>
    <w:rsid w:val="00B93ED3"/>
    <w:rsid w:val="00B944B8"/>
    <w:rsid w:val="00B94730"/>
    <w:rsid w:val="00B9476F"/>
    <w:rsid w:val="00B948CC"/>
    <w:rsid w:val="00B948DD"/>
    <w:rsid w:val="00B94F74"/>
    <w:rsid w:val="00B95D45"/>
    <w:rsid w:val="00B9628D"/>
    <w:rsid w:val="00B96586"/>
    <w:rsid w:val="00B96FBB"/>
    <w:rsid w:val="00B97261"/>
    <w:rsid w:val="00B973D7"/>
    <w:rsid w:val="00BA0CD5"/>
    <w:rsid w:val="00BA0E5A"/>
    <w:rsid w:val="00BA1322"/>
    <w:rsid w:val="00BA16E6"/>
    <w:rsid w:val="00BA2447"/>
    <w:rsid w:val="00BA27FC"/>
    <w:rsid w:val="00BA3F08"/>
    <w:rsid w:val="00BA50A0"/>
    <w:rsid w:val="00BA5674"/>
    <w:rsid w:val="00BA6172"/>
    <w:rsid w:val="00BA6C85"/>
    <w:rsid w:val="00BA707E"/>
    <w:rsid w:val="00BA77EB"/>
    <w:rsid w:val="00BA77F4"/>
    <w:rsid w:val="00BA7CBF"/>
    <w:rsid w:val="00BB0972"/>
    <w:rsid w:val="00BB0A44"/>
    <w:rsid w:val="00BB1369"/>
    <w:rsid w:val="00BB15F6"/>
    <w:rsid w:val="00BB174B"/>
    <w:rsid w:val="00BB1BB0"/>
    <w:rsid w:val="00BB256D"/>
    <w:rsid w:val="00BB329D"/>
    <w:rsid w:val="00BB34C3"/>
    <w:rsid w:val="00BB3613"/>
    <w:rsid w:val="00BB3C6E"/>
    <w:rsid w:val="00BB3C89"/>
    <w:rsid w:val="00BB3DCE"/>
    <w:rsid w:val="00BB4455"/>
    <w:rsid w:val="00BB4542"/>
    <w:rsid w:val="00BB4AA2"/>
    <w:rsid w:val="00BB4ECD"/>
    <w:rsid w:val="00BB59FA"/>
    <w:rsid w:val="00BB5D46"/>
    <w:rsid w:val="00BB5DD2"/>
    <w:rsid w:val="00BB657D"/>
    <w:rsid w:val="00BB6584"/>
    <w:rsid w:val="00BB70E4"/>
    <w:rsid w:val="00BB720B"/>
    <w:rsid w:val="00BB7585"/>
    <w:rsid w:val="00BB7C08"/>
    <w:rsid w:val="00BC01E4"/>
    <w:rsid w:val="00BC0A09"/>
    <w:rsid w:val="00BC12BF"/>
    <w:rsid w:val="00BC2F25"/>
    <w:rsid w:val="00BC3317"/>
    <w:rsid w:val="00BC3ECF"/>
    <w:rsid w:val="00BC42EF"/>
    <w:rsid w:val="00BC463D"/>
    <w:rsid w:val="00BC605E"/>
    <w:rsid w:val="00BC6426"/>
    <w:rsid w:val="00BD0091"/>
    <w:rsid w:val="00BD02BA"/>
    <w:rsid w:val="00BD0761"/>
    <w:rsid w:val="00BD12AC"/>
    <w:rsid w:val="00BD1720"/>
    <w:rsid w:val="00BD2CFB"/>
    <w:rsid w:val="00BD4151"/>
    <w:rsid w:val="00BD491E"/>
    <w:rsid w:val="00BD4EB4"/>
    <w:rsid w:val="00BD568B"/>
    <w:rsid w:val="00BD6FD2"/>
    <w:rsid w:val="00BD722F"/>
    <w:rsid w:val="00BD751E"/>
    <w:rsid w:val="00BE01C0"/>
    <w:rsid w:val="00BE05E2"/>
    <w:rsid w:val="00BE0DFD"/>
    <w:rsid w:val="00BE10D5"/>
    <w:rsid w:val="00BE1FA8"/>
    <w:rsid w:val="00BE2094"/>
    <w:rsid w:val="00BE249C"/>
    <w:rsid w:val="00BE2BFB"/>
    <w:rsid w:val="00BE2E4B"/>
    <w:rsid w:val="00BE2F8F"/>
    <w:rsid w:val="00BE3058"/>
    <w:rsid w:val="00BE318C"/>
    <w:rsid w:val="00BE3F2E"/>
    <w:rsid w:val="00BE40BB"/>
    <w:rsid w:val="00BE4314"/>
    <w:rsid w:val="00BE453F"/>
    <w:rsid w:val="00BE5ACA"/>
    <w:rsid w:val="00BE6952"/>
    <w:rsid w:val="00BE6AA4"/>
    <w:rsid w:val="00BE7A18"/>
    <w:rsid w:val="00BE7D90"/>
    <w:rsid w:val="00BF1C28"/>
    <w:rsid w:val="00BF2448"/>
    <w:rsid w:val="00BF2839"/>
    <w:rsid w:val="00BF2938"/>
    <w:rsid w:val="00BF3101"/>
    <w:rsid w:val="00BF393D"/>
    <w:rsid w:val="00BF41A9"/>
    <w:rsid w:val="00BF4B1E"/>
    <w:rsid w:val="00BF4CA8"/>
    <w:rsid w:val="00BF5138"/>
    <w:rsid w:val="00BF55C9"/>
    <w:rsid w:val="00BF5618"/>
    <w:rsid w:val="00BF564C"/>
    <w:rsid w:val="00BF5843"/>
    <w:rsid w:val="00BF5DA6"/>
    <w:rsid w:val="00BF6070"/>
    <w:rsid w:val="00BF6321"/>
    <w:rsid w:val="00BF66BA"/>
    <w:rsid w:val="00BF6A1C"/>
    <w:rsid w:val="00BF6C35"/>
    <w:rsid w:val="00BF7FDA"/>
    <w:rsid w:val="00C017C5"/>
    <w:rsid w:val="00C01940"/>
    <w:rsid w:val="00C0199D"/>
    <w:rsid w:val="00C01A80"/>
    <w:rsid w:val="00C01E17"/>
    <w:rsid w:val="00C033C2"/>
    <w:rsid w:val="00C037F5"/>
    <w:rsid w:val="00C04261"/>
    <w:rsid w:val="00C051C9"/>
    <w:rsid w:val="00C05455"/>
    <w:rsid w:val="00C057CE"/>
    <w:rsid w:val="00C05B7B"/>
    <w:rsid w:val="00C05BDE"/>
    <w:rsid w:val="00C05D1D"/>
    <w:rsid w:val="00C06532"/>
    <w:rsid w:val="00C06EC5"/>
    <w:rsid w:val="00C07115"/>
    <w:rsid w:val="00C07D18"/>
    <w:rsid w:val="00C07D55"/>
    <w:rsid w:val="00C105FA"/>
    <w:rsid w:val="00C1091C"/>
    <w:rsid w:val="00C10B86"/>
    <w:rsid w:val="00C11E4A"/>
    <w:rsid w:val="00C11FE4"/>
    <w:rsid w:val="00C1265F"/>
    <w:rsid w:val="00C1267A"/>
    <w:rsid w:val="00C12CC8"/>
    <w:rsid w:val="00C1338E"/>
    <w:rsid w:val="00C146BF"/>
    <w:rsid w:val="00C14A5D"/>
    <w:rsid w:val="00C14E10"/>
    <w:rsid w:val="00C15B82"/>
    <w:rsid w:val="00C15F54"/>
    <w:rsid w:val="00C16098"/>
    <w:rsid w:val="00C16756"/>
    <w:rsid w:val="00C17418"/>
    <w:rsid w:val="00C177F1"/>
    <w:rsid w:val="00C1795C"/>
    <w:rsid w:val="00C17D19"/>
    <w:rsid w:val="00C17E63"/>
    <w:rsid w:val="00C20278"/>
    <w:rsid w:val="00C20748"/>
    <w:rsid w:val="00C209FE"/>
    <w:rsid w:val="00C20B33"/>
    <w:rsid w:val="00C20F99"/>
    <w:rsid w:val="00C210F9"/>
    <w:rsid w:val="00C214E8"/>
    <w:rsid w:val="00C219AE"/>
    <w:rsid w:val="00C21C55"/>
    <w:rsid w:val="00C22C10"/>
    <w:rsid w:val="00C23250"/>
    <w:rsid w:val="00C23EDB"/>
    <w:rsid w:val="00C24001"/>
    <w:rsid w:val="00C259B5"/>
    <w:rsid w:val="00C25F39"/>
    <w:rsid w:val="00C26B5D"/>
    <w:rsid w:val="00C275D4"/>
    <w:rsid w:val="00C27FEF"/>
    <w:rsid w:val="00C30559"/>
    <w:rsid w:val="00C3108E"/>
    <w:rsid w:val="00C31557"/>
    <w:rsid w:val="00C3157F"/>
    <w:rsid w:val="00C31809"/>
    <w:rsid w:val="00C31E80"/>
    <w:rsid w:val="00C32357"/>
    <w:rsid w:val="00C3316B"/>
    <w:rsid w:val="00C34201"/>
    <w:rsid w:val="00C34453"/>
    <w:rsid w:val="00C34F1C"/>
    <w:rsid w:val="00C350D4"/>
    <w:rsid w:val="00C35817"/>
    <w:rsid w:val="00C36139"/>
    <w:rsid w:val="00C3712B"/>
    <w:rsid w:val="00C37636"/>
    <w:rsid w:val="00C4032E"/>
    <w:rsid w:val="00C4042C"/>
    <w:rsid w:val="00C40C82"/>
    <w:rsid w:val="00C4133A"/>
    <w:rsid w:val="00C4191A"/>
    <w:rsid w:val="00C41988"/>
    <w:rsid w:val="00C41F38"/>
    <w:rsid w:val="00C427D6"/>
    <w:rsid w:val="00C42A95"/>
    <w:rsid w:val="00C42D3B"/>
    <w:rsid w:val="00C42D63"/>
    <w:rsid w:val="00C43AF0"/>
    <w:rsid w:val="00C43C4B"/>
    <w:rsid w:val="00C44323"/>
    <w:rsid w:val="00C44422"/>
    <w:rsid w:val="00C45458"/>
    <w:rsid w:val="00C455A5"/>
    <w:rsid w:val="00C46B06"/>
    <w:rsid w:val="00C47498"/>
    <w:rsid w:val="00C47524"/>
    <w:rsid w:val="00C47CF6"/>
    <w:rsid w:val="00C50934"/>
    <w:rsid w:val="00C5111D"/>
    <w:rsid w:val="00C51151"/>
    <w:rsid w:val="00C511E4"/>
    <w:rsid w:val="00C51FA3"/>
    <w:rsid w:val="00C529A8"/>
    <w:rsid w:val="00C52ED3"/>
    <w:rsid w:val="00C53936"/>
    <w:rsid w:val="00C53B19"/>
    <w:rsid w:val="00C544F4"/>
    <w:rsid w:val="00C5459B"/>
    <w:rsid w:val="00C54ABD"/>
    <w:rsid w:val="00C54DE1"/>
    <w:rsid w:val="00C55060"/>
    <w:rsid w:val="00C55BCD"/>
    <w:rsid w:val="00C55CEE"/>
    <w:rsid w:val="00C55FC6"/>
    <w:rsid w:val="00C565C1"/>
    <w:rsid w:val="00C575C2"/>
    <w:rsid w:val="00C57771"/>
    <w:rsid w:val="00C60687"/>
    <w:rsid w:val="00C60967"/>
    <w:rsid w:val="00C614BC"/>
    <w:rsid w:val="00C61702"/>
    <w:rsid w:val="00C620C6"/>
    <w:rsid w:val="00C620D5"/>
    <w:rsid w:val="00C62B7B"/>
    <w:rsid w:val="00C62CAE"/>
    <w:rsid w:val="00C62E5E"/>
    <w:rsid w:val="00C630D0"/>
    <w:rsid w:val="00C6370D"/>
    <w:rsid w:val="00C63765"/>
    <w:rsid w:val="00C63FA0"/>
    <w:rsid w:val="00C6436B"/>
    <w:rsid w:val="00C646D5"/>
    <w:rsid w:val="00C648F7"/>
    <w:rsid w:val="00C6573C"/>
    <w:rsid w:val="00C667E4"/>
    <w:rsid w:val="00C674D0"/>
    <w:rsid w:val="00C702CB"/>
    <w:rsid w:val="00C70740"/>
    <w:rsid w:val="00C7096F"/>
    <w:rsid w:val="00C7217A"/>
    <w:rsid w:val="00C729A4"/>
    <w:rsid w:val="00C73036"/>
    <w:rsid w:val="00C7360C"/>
    <w:rsid w:val="00C737FA"/>
    <w:rsid w:val="00C73F3E"/>
    <w:rsid w:val="00C74086"/>
    <w:rsid w:val="00C740A3"/>
    <w:rsid w:val="00C742E1"/>
    <w:rsid w:val="00C74753"/>
    <w:rsid w:val="00C74AAB"/>
    <w:rsid w:val="00C74C6D"/>
    <w:rsid w:val="00C76236"/>
    <w:rsid w:val="00C76873"/>
    <w:rsid w:val="00C76AC9"/>
    <w:rsid w:val="00C76FC5"/>
    <w:rsid w:val="00C77090"/>
    <w:rsid w:val="00C77326"/>
    <w:rsid w:val="00C77601"/>
    <w:rsid w:val="00C80859"/>
    <w:rsid w:val="00C80A03"/>
    <w:rsid w:val="00C80C1F"/>
    <w:rsid w:val="00C816C3"/>
    <w:rsid w:val="00C822FB"/>
    <w:rsid w:val="00C83381"/>
    <w:rsid w:val="00C848A7"/>
    <w:rsid w:val="00C84CC1"/>
    <w:rsid w:val="00C84CD4"/>
    <w:rsid w:val="00C854A6"/>
    <w:rsid w:val="00C85539"/>
    <w:rsid w:val="00C85B9F"/>
    <w:rsid w:val="00C860FF"/>
    <w:rsid w:val="00C868E7"/>
    <w:rsid w:val="00C86B30"/>
    <w:rsid w:val="00C8715F"/>
    <w:rsid w:val="00C87533"/>
    <w:rsid w:val="00C90080"/>
    <w:rsid w:val="00C905C0"/>
    <w:rsid w:val="00C90CE1"/>
    <w:rsid w:val="00C90E03"/>
    <w:rsid w:val="00C90EBD"/>
    <w:rsid w:val="00C91328"/>
    <w:rsid w:val="00C917B5"/>
    <w:rsid w:val="00C925B6"/>
    <w:rsid w:val="00C92C4E"/>
    <w:rsid w:val="00C92D94"/>
    <w:rsid w:val="00C92DBA"/>
    <w:rsid w:val="00C93041"/>
    <w:rsid w:val="00C93666"/>
    <w:rsid w:val="00C93F9F"/>
    <w:rsid w:val="00C940ED"/>
    <w:rsid w:val="00C948A2"/>
    <w:rsid w:val="00C95100"/>
    <w:rsid w:val="00C95676"/>
    <w:rsid w:val="00C9582E"/>
    <w:rsid w:val="00C95C87"/>
    <w:rsid w:val="00C962D0"/>
    <w:rsid w:val="00C96ECD"/>
    <w:rsid w:val="00C96FB4"/>
    <w:rsid w:val="00C9744B"/>
    <w:rsid w:val="00CA0086"/>
    <w:rsid w:val="00CA0A52"/>
    <w:rsid w:val="00CA12F2"/>
    <w:rsid w:val="00CA1A09"/>
    <w:rsid w:val="00CA2336"/>
    <w:rsid w:val="00CA2DCA"/>
    <w:rsid w:val="00CA318D"/>
    <w:rsid w:val="00CA373A"/>
    <w:rsid w:val="00CA3B4C"/>
    <w:rsid w:val="00CA3CA8"/>
    <w:rsid w:val="00CA49B3"/>
    <w:rsid w:val="00CA5D86"/>
    <w:rsid w:val="00CA5D8F"/>
    <w:rsid w:val="00CA5DA4"/>
    <w:rsid w:val="00CA5EFC"/>
    <w:rsid w:val="00CA638C"/>
    <w:rsid w:val="00CA691F"/>
    <w:rsid w:val="00CA6C07"/>
    <w:rsid w:val="00CA70CD"/>
    <w:rsid w:val="00CA75D5"/>
    <w:rsid w:val="00CA7A64"/>
    <w:rsid w:val="00CA7EFD"/>
    <w:rsid w:val="00CB001C"/>
    <w:rsid w:val="00CB034D"/>
    <w:rsid w:val="00CB06D9"/>
    <w:rsid w:val="00CB06E5"/>
    <w:rsid w:val="00CB081E"/>
    <w:rsid w:val="00CB088F"/>
    <w:rsid w:val="00CB0E54"/>
    <w:rsid w:val="00CB1145"/>
    <w:rsid w:val="00CB202E"/>
    <w:rsid w:val="00CB3730"/>
    <w:rsid w:val="00CB3895"/>
    <w:rsid w:val="00CB3E7A"/>
    <w:rsid w:val="00CB556A"/>
    <w:rsid w:val="00CB67A1"/>
    <w:rsid w:val="00CB6FF8"/>
    <w:rsid w:val="00CB7027"/>
    <w:rsid w:val="00CC03DE"/>
    <w:rsid w:val="00CC040B"/>
    <w:rsid w:val="00CC0DEE"/>
    <w:rsid w:val="00CC10F1"/>
    <w:rsid w:val="00CC1777"/>
    <w:rsid w:val="00CC197D"/>
    <w:rsid w:val="00CC1B2A"/>
    <w:rsid w:val="00CC1F5A"/>
    <w:rsid w:val="00CC22F9"/>
    <w:rsid w:val="00CC2934"/>
    <w:rsid w:val="00CC2E09"/>
    <w:rsid w:val="00CC2E3A"/>
    <w:rsid w:val="00CC3124"/>
    <w:rsid w:val="00CC3772"/>
    <w:rsid w:val="00CC3AC4"/>
    <w:rsid w:val="00CC41B0"/>
    <w:rsid w:val="00CC4EA5"/>
    <w:rsid w:val="00CC5261"/>
    <w:rsid w:val="00CC60BD"/>
    <w:rsid w:val="00CC6798"/>
    <w:rsid w:val="00CC7360"/>
    <w:rsid w:val="00CC736A"/>
    <w:rsid w:val="00CC7416"/>
    <w:rsid w:val="00CD1374"/>
    <w:rsid w:val="00CD1EA9"/>
    <w:rsid w:val="00CD1F9E"/>
    <w:rsid w:val="00CD205C"/>
    <w:rsid w:val="00CD26D4"/>
    <w:rsid w:val="00CD2D93"/>
    <w:rsid w:val="00CD3B25"/>
    <w:rsid w:val="00CD3EC9"/>
    <w:rsid w:val="00CD4E84"/>
    <w:rsid w:val="00CD5654"/>
    <w:rsid w:val="00CD5D67"/>
    <w:rsid w:val="00CD6159"/>
    <w:rsid w:val="00CD72E4"/>
    <w:rsid w:val="00CD772F"/>
    <w:rsid w:val="00CD7CEC"/>
    <w:rsid w:val="00CD7DF2"/>
    <w:rsid w:val="00CE00C0"/>
    <w:rsid w:val="00CE05EE"/>
    <w:rsid w:val="00CE0F21"/>
    <w:rsid w:val="00CE11A5"/>
    <w:rsid w:val="00CE1CDB"/>
    <w:rsid w:val="00CE1F1D"/>
    <w:rsid w:val="00CE2271"/>
    <w:rsid w:val="00CE2AE3"/>
    <w:rsid w:val="00CE2BE2"/>
    <w:rsid w:val="00CE341C"/>
    <w:rsid w:val="00CE3491"/>
    <w:rsid w:val="00CE350D"/>
    <w:rsid w:val="00CE3A01"/>
    <w:rsid w:val="00CE3BA5"/>
    <w:rsid w:val="00CE3D3A"/>
    <w:rsid w:val="00CE4098"/>
    <w:rsid w:val="00CE40F2"/>
    <w:rsid w:val="00CE418E"/>
    <w:rsid w:val="00CE41A7"/>
    <w:rsid w:val="00CE493C"/>
    <w:rsid w:val="00CE5AD5"/>
    <w:rsid w:val="00CE65C7"/>
    <w:rsid w:val="00CE6687"/>
    <w:rsid w:val="00CE6693"/>
    <w:rsid w:val="00CE70C5"/>
    <w:rsid w:val="00CE7359"/>
    <w:rsid w:val="00CE7458"/>
    <w:rsid w:val="00CE7837"/>
    <w:rsid w:val="00CF02B7"/>
    <w:rsid w:val="00CF089C"/>
    <w:rsid w:val="00CF0A21"/>
    <w:rsid w:val="00CF0EE7"/>
    <w:rsid w:val="00CF19D5"/>
    <w:rsid w:val="00CF34B8"/>
    <w:rsid w:val="00CF3846"/>
    <w:rsid w:val="00CF3A18"/>
    <w:rsid w:val="00CF43B9"/>
    <w:rsid w:val="00CF4879"/>
    <w:rsid w:val="00CF4B2D"/>
    <w:rsid w:val="00CF4D84"/>
    <w:rsid w:val="00CF576F"/>
    <w:rsid w:val="00CF692C"/>
    <w:rsid w:val="00CF7056"/>
    <w:rsid w:val="00CF70FD"/>
    <w:rsid w:val="00CF7F65"/>
    <w:rsid w:val="00D005FA"/>
    <w:rsid w:val="00D011E1"/>
    <w:rsid w:val="00D014EE"/>
    <w:rsid w:val="00D01C67"/>
    <w:rsid w:val="00D01FE5"/>
    <w:rsid w:val="00D024B0"/>
    <w:rsid w:val="00D02E9F"/>
    <w:rsid w:val="00D032B1"/>
    <w:rsid w:val="00D043E4"/>
    <w:rsid w:val="00D0444D"/>
    <w:rsid w:val="00D047C4"/>
    <w:rsid w:val="00D0596C"/>
    <w:rsid w:val="00D06191"/>
    <w:rsid w:val="00D07110"/>
    <w:rsid w:val="00D07149"/>
    <w:rsid w:val="00D078E6"/>
    <w:rsid w:val="00D10103"/>
    <w:rsid w:val="00D107BF"/>
    <w:rsid w:val="00D10C6E"/>
    <w:rsid w:val="00D11082"/>
    <w:rsid w:val="00D1208A"/>
    <w:rsid w:val="00D13D3D"/>
    <w:rsid w:val="00D14256"/>
    <w:rsid w:val="00D14561"/>
    <w:rsid w:val="00D1517D"/>
    <w:rsid w:val="00D159BD"/>
    <w:rsid w:val="00D15B87"/>
    <w:rsid w:val="00D16092"/>
    <w:rsid w:val="00D17BDA"/>
    <w:rsid w:val="00D20158"/>
    <w:rsid w:val="00D210B1"/>
    <w:rsid w:val="00D213F4"/>
    <w:rsid w:val="00D2147A"/>
    <w:rsid w:val="00D2154A"/>
    <w:rsid w:val="00D21A0A"/>
    <w:rsid w:val="00D21E38"/>
    <w:rsid w:val="00D23004"/>
    <w:rsid w:val="00D23BDC"/>
    <w:rsid w:val="00D24ABB"/>
    <w:rsid w:val="00D25B2B"/>
    <w:rsid w:val="00D25D2D"/>
    <w:rsid w:val="00D26C33"/>
    <w:rsid w:val="00D26F93"/>
    <w:rsid w:val="00D2757E"/>
    <w:rsid w:val="00D278C7"/>
    <w:rsid w:val="00D278E2"/>
    <w:rsid w:val="00D27E96"/>
    <w:rsid w:val="00D30050"/>
    <w:rsid w:val="00D301F7"/>
    <w:rsid w:val="00D30AE2"/>
    <w:rsid w:val="00D30AEE"/>
    <w:rsid w:val="00D310E5"/>
    <w:rsid w:val="00D31304"/>
    <w:rsid w:val="00D315A9"/>
    <w:rsid w:val="00D317CA"/>
    <w:rsid w:val="00D32B9B"/>
    <w:rsid w:val="00D32ECA"/>
    <w:rsid w:val="00D33196"/>
    <w:rsid w:val="00D337AA"/>
    <w:rsid w:val="00D33FC2"/>
    <w:rsid w:val="00D344F9"/>
    <w:rsid w:val="00D35597"/>
    <w:rsid w:val="00D36F1D"/>
    <w:rsid w:val="00D3706E"/>
    <w:rsid w:val="00D377A0"/>
    <w:rsid w:val="00D37F67"/>
    <w:rsid w:val="00D40127"/>
    <w:rsid w:val="00D401F8"/>
    <w:rsid w:val="00D40A96"/>
    <w:rsid w:val="00D40AF9"/>
    <w:rsid w:val="00D40E04"/>
    <w:rsid w:val="00D40E2A"/>
    <w:rsid w:val="00D40EC1"/>
    <w:rsid w:val="00D4259E"/>
    <w:rsid w:val="00D427EC"/>
    <w:rsid w:val="00D42E47"/>
    <w:rsid w:val="00D4304A"/>
    <w:rsid w:val="00D43D71"/>
    <w:rsid w:val="00D440C5"/>
    <w:rsid w:val="00D44AD6"/>
    <w:rsid w:val="00D45139"/>
    <w:rsid w:val="00D459C0"/>
    <w:rsid w:val="00D45AE2"/>
    <w:rsid w:val="00D45D07"/>
    <w:rsid w:val="00D45D51"/>
    <w:rsid w:val="00D45E33"/>
    <w:rsid w:val="00D4627D"/>
    <w:rsid w:val="00D46733"/>
    <w:rsid w:val="00D46B44"/>
    <w:rsid w:val="00D46D21"/>
    <w:rsid w:val="00D46DC8"/>
    <w:rsid w:val="00D46EA7"/>
    <w:rsid w:val="00D47505"/>
    <w:rsid w:val="00D47CD9"/>
    <w:rsid w:val="00D47DD1"/>
    <w:rsid w:val="00D47F24"/>
    <w:rsid w:val="00D50180"/>
    <w:rsid w:val="00D50A39"/>
    <w:rsid w:val="00D51D00"/>
    <w:rsid w:val="00D51F9F"/>
    <w:rsid w:val="00D52074"/>
    <w:rsid w:val="00D53056"/>
    <w:rsid w:val="00D53597"/>
    <w:rsid w:val="00D53E6A"/>
    <w:rsid w:val="00D54930"/>
    <w:rsid w:val="00D54D32"/>
    <w:rsid w:val="00D55080"/>
    <w:rsid w:val="00D55A70"/>
    <w:rsid w:val="00D560BA"/>
    <w:rsid w:val="00D56212"/>
    <w:rsid w:val="00D568F5"/>
    <w:rsid w:val="00D57000"/>
    <w:rsid w:val="00D57ADB"/>
    <w:rsid w:val="00D57C9E"/>
    <w:rsid w:val="00D6008B"/>
    <w:rsid w:val="00D607E4"/>
    <w:rsid w:val="00D607F8"/>
    <w:rsid w:val="00D60BBE"/>
    <w:rsid w:val="00D61946"/>
    <w:rsid w:val="00D61A52"/>
    <w:rsid w:val="00D620E5"/>
    <w:rsid w:val="00D63F8D"/>
    <w:rsid w:val="00D64359"/>
    <w:rsid w:val="00D64474"/>
    <w:rsid w:val="00D65041"/>
    <w:rsid w:val="00D66451"/>
    <w:rsid w:val="00D667F8"/>
    <w:rsid w:val="00D668CA"/>
    <w:rsid w:val="00D67089"/>
    <w:rsid w:val="00D672F3"/>
    <w:rsid w:val="00D7064C"/>
    <w:rsid w:val="00D7075C"/>
    <w:rsid w:val="00D708AE"/>
    <w:rsid w:val="00D70AD2"/>
    <w:rsid w:val="00D70ED6"/>
    <w:rsid w:val="00D71B60"/>
    <w:rsid w:val="00D71D84"/>
    <w:rsid w:val="00D74724"/>
    <w:rsid w:val="00D7499D"/>
    <w:rsid w:val="00D75115"/>
    <w:rsid w:val="00D751B1"/>
    <w:rsid w:val="00D751C5"/>
    <w:rsid w:val="00D75348"/>
    <w:rsid w:val="00D76215"/>
    <w:rsid w:val="00D76655"/>
    <w:rsid w:val="00D76705"/>
    <w:rsid w:val="00D769BE"/>
    <w:rsid w:val="00D77563"/>
    <w:rsid w:val="00D777A5"/>
    <w:rsid w:val="00D804E4"/>
    <w:rsid w:val="00D80ACB"/>
    <w:rsid w:val="00D80D7A"/>
    <w:rsid w:val="00D82684"/>
    <w:rsid w:val="00D82C35"/>
    <w:rsid w:val="00D82F59"/>
    <w:rsid w:val="00D8388A"/>
    <w:rsid w:val="00D83FAF"/>
    <w:rsid w:val="00D853F9"/>
    <w:rsid w:val="00D85C91"/>
    <w:rsid w:val="00D85D71"/>
    <w:rsid w:val="00D85D75"/>
    <w:rsid w:val="00D86419"/>
    <w:rsid w:val="00D866FE"/>
    <w:rsid w:val="00D87455"/>
    <w:rsid w:val="00D874A1"/>
    <w:rsid w:val="00D9045D"/>
    <w:rsid w:val="00D90E2C"/>
    <w:rsid w:val="00D91405"/>
    <w:rsid w:val="00D919A7"/>
    <w:rsid w:val="00D91B50"/>
    <w:rsid w:val="00D920DD"/>
    <w:rsid w:val="00D92AFF"/>
    <w:rsid w:val="00D93468"/>
    <w:rsid w:val="00D9374A"/>
    <w:rsid w:val="00D949C6"/>
    <w:rsid w:val="00D95A44"/>
    <w:rsid w:val="00D9642A"/>
    <w:rsid w:val="00D96C97"/>
    <w:rsid w:val="00D96DB9"/>
    <w:rsid w:val="00D9746B"/>
    <w:rsid w:val="00DA061B"/>
    <w:rsid w:val="00DA090E"/>
    <w:rsid w:val="00DA133A"/>
    <w:rsid w:val="00DA151C"/>
    <w:rsid w:val="00DA15DF"/>
    <w:rsid w:val="00DA1995"/>
    <w:rsid w:val="00DA221A"/>
    <w:rsid w:val="00DA23C6"/>
    <w:rsid w:val="00DA2B01"/>
    <w:rsid w:val="00DA2CC0"/>
    <w:rsid w:val="00DA2DFD"/>
    <w:rsid w:val="00DA30E6"/>
    <w:rsid w:val="00DA31C8"/>
    <w:rsid w:val="00DA3C3C"/>
    <w:rsid w:val="00DA3D35"/>
    <w:rsid w:val="00DA4B59"/>
    <w:rsid w:val="00DA4B96"/>
    <w:rsid w:val="00DA4C59"/>
    <w:rsid w:val="00DA51A6"/>
    <w:rsid w:val="00DA63CA"/>
    <w:rsid w:val="00DA6C5B"/>
    <w:rsid w:val="00DA77C1"/>
    <w:rsid w:val="00DB0CC4"/>
    <w:rsid w:val="00DB0F24"/>
    <w:rsid w:val="00DB105A"/>
    <w:rsid w:val="00DB27F6"/>
    <w:rsid w:val="00DB2D68"/>
    <w:rsid w:val="00DB3162"/>
    <w:rsid w:val="00DB3801"/>
    <w:rsid w:val="00DB3976"/>
    <w:rsid w:val="00DB4113"/>
    <w:rsid w:val="00DB4C4C"/>
    <w:rsid w:val="00DB50A3"/>
    <w:rsid w:val="00DB6CA6"/>
    <w:rsid w:val="00DB6F1A"/>
    <w:rsid w:val="00DB7EFC"/>
    <w:rsid w:val="00DC01B3"/>
    <w:rsid w:val="00DC06E1"/>
    <w:rsid w:val="00DC0760"/>
    <w:rsid w:val="00DC12FD"/>
    <w:rsid w:val="00DC1DAF"/>
    <w:rsid w:val="00DC2013"/>
    <w:rsid w:val="00DC42ED"/>
    <w:rsid w:val="00DC52DC"/>
    <w:rsid w:val="00DC5AB1"/>
    <w:rsid w:val="00DC650D"/>
    <w:rsid w:val="00DC6A81"/>
    <w:rsid w:val="00DC748B"/>
    <w:rsid w:val="00DD026D"/>
    <w:rsid w:val="00DD1A41"/>
    <w:rsid w:val="00DD2BC0"/>
    <w:rsid w:val="00DD2DCC"/>
    <w:rsid w:val="00DD32AB"/>
    <w:rsid w:val="00DD35DF"/>
    <w:rsid w:val="00DD3733"/>
    <w:rsid w:val="00DD3A39"/>
    <w:rsid w:val="00DD3E17"/>
    <w:rsid w:val="00DD3EC4"/>
    <w:rsid w:val="00DD41AE"/>
    <w:rsid w:val="00DD4FC0"/>
    <w:rsid w:val="00DD53B9"/>
    <w:rsid w:val="00DD5BA0"/>
    <w:rsid w:val="00DD5BDD"/>
    <w:rsid w:val="00DD5BF1"/>
    <w:rsid w:val="00DD5CEF"/>
    <w:rsid w:val="00DD63B0"/>
    <w:rsid w:val="00DE0366"/>
    <w:rsid w:val="00DE0622"/>
    <w:rsid w:val="00DE0FF8"/>
    <w:rsid w:val="00DE11E4"/>
    <w:rsid w:val="00DE1249"/>
    <w:rsid w:val="00DE1764"/>
    <w:rsid w:val="00DE17B6"/>
    <w:rsid w:val="00DE1B4B"/>
    <w:rsid w:val="00DE2177"/>
    <w:rsid w:val="00DE29C9"/>
    <w:rsid w:val="00DE2BB1"/>
    <w:rsid w:val="00DE3559"/>
    <w:rsid w:val="00DE3F9E"/>
    <w:rsid w:val="00DE4167"/>
    <w:rsid w:val="00DE4322"/>
    <w:rsid w:val="00DE4CF9"/>
    <w:rsid w:val="00DE50B2"/>
    <w:rsid w:val="00DE5CDB"/>
    <w:rsid w:val="00DE60B0"/>
    <w:rsid w:val="00DE66B6"/>
    <w:rsid w:val="00DE6CB7"/>
    <w:rsid w:val="00DE7309"/>
    <w:rsid w:val="00DE7791"/>
    <w:rsid w:val="00DF15A9"/>
    <w:rsid w:val="00DF1709"/>
    <w:rsid w:val="00DF1B92"/>
    <w:rsid w:val="00DF2286"/>
    <w:rsid w:val="00DF232B"/>
    <w:rsid w:val="00DF2BB8"/>
    <w:rsid w:val="00DF3D36"/>
    <w:rsid w:val="00DF5F1F"/>
    <w:rsid w:val="00DF613F"/>
    <w:rsid w:val="00DF6918"/>
    <w:rsid w:val="00DF6ACB"/>
    <w:rsid w:val="00DF6DFC"/>
    <w:rsid w:val="00DF6E60"/>
    <w:rsid w:val="00E0068D"/>
    <w:rsid w:val="00E007A3"/>
    <w:rsid w:val="00E0128D"/>
    <w:rsid w:val="00E01740"/>
    <w:rsid w:val="00E020BB"/>
    <w:rsid w:val="00E020EE"/>
    <w:rsid w:val="00E024D6"/>
    <w:rsid w:val="00E02668"/>
    <w:rsid w:val="00E02C53"/>
    <w:rsid w:val="00E034DD"/>
    <w:rsid w:val="00E0354D"/>
    <w:rsid w:val="00E03C67"/>
    <w:rsid w:val="00E06201"/>
    <w:rsid w:val="00E0673A"/>
    <w:rsid w:val="00E068AC"/>
    <w:rsid w:val="00E0725A"/>
    <w:rsid w:val="00E0734D"/>
    <w:rsid w:val="00E07B35"/>
    <w:rsid w:val="00E1052C"/>
    <w:rsid w:val="00E10588"/>
    <w:rsid w:val="00E10D11"/>
    <w:rsid w:val="00E11858"/>
    <w:rsid w:val="00E11C6B"/>
    <w:rsid w:val="00E11FFE"/>
    <w:rsid w:val="00E120BF"/>
    <w:rsid w:val="00E128F9"/>
    <w:rsid w:val="00E12B90"/>
    <w:rsid w:val="00E12CB5"/>
    <w:rsid w:val="00E136F7"/>
    <w:rsid w:val="00E13AC5"/>
    <w:rsid w:val="00E1471D"/>
    <w:rsid w:val="00E15115"/>
    <w:rsid w:val="00E15E95"/>
    <w:rsid w:val="00E168DE"/>
    <w:rsid w:val="00E17926"/>
    <w:rsid w:val="00E21B87"/>
    <w:rsid w:val="00E21E0F"/>
    <w:rsid w:val="00E22673"/>
    <w:rsid w:val="00E22798"/>
    <w:rsid w:val="00E22C09"/>
    <w:rsid w:val="00E22D4C"/>
    <w:rsid w:val="00E23E61"/>
    <w:rsid w:val="00E247C4"/>
    <w:rsid w:val="00E249C9"/>
    <w:rsid w:val="00E24B96"/>
    <w:rsid w:val="00E24DA5"/>
    <w:rsid w:val="00E2610A"/>
    <w:rsid w:val="00E26D67"/>
    <w:rsid w:val="00E27098"/>
    <w:rsid w:val="00E27827"/>
    <w:rsid w:val="00E2793F"/>
    <w:rsid w:val="00E27F99"/>
    <w:rsid w:val="00E301E6"/>
    <w:rsid w:val="00E30800"/>
    <w:rsid w:val="00E30DC0"/>
    <w:rsid w:val="00E3102D"/>
    <w:rsid w:val="00E3115A"/>
    <w:rsid w:val="00E318AF"/>
    <w:rsid w:val="00E319B2"/>
    <w:rsid w:val="00E31BD7"/>
    <w:rsid w:val="00E32197"/>
    <w:rsid w:val="00E323A0"/>
    <w:rsid w:val="00E33900"/>
    <w:rsid w:val="00E340E5"/>
    <w:rsid w:val="00E34348"/>
    <w:rsid w:val="00E34427"/>
    <w:rsid w:val="00E34F33"/>
    <w:rsid w:val="00E35137"/>
    <w:rsid w:val="00E351AC"/>
    <w:rsid w:val="00E35A57"/>
    <w:rsid w:val="00E364DF"/>
    <w:rsid w:val="00E40374"/>
    <w:rsid w:val="00E40881"/>
    <w:rsid w:val="00E40ED3"/>
    <w:rsid w:val="00E41956"/>
    <w:rsid w:val="00E41C3D"/>
    <w:rsid w:val="00E42597"/>
    <w:rsid w:val="00E427F9"/>
    <w:rsid w:val="00E43525"/>
    <w:rsid w:val="00E4354A"/>
    <w:rsid w:val="00E4390B"/>
    <w:rsid w:val="00E43BE8"/>
    <w:rsid w:val="00E44229"/>
    <w:rsid w:val="00E44F3B"/>
    <w:rsid w:val="00E45679"/>
    <w:rsid w:val="00E45939"/>
    <w:rsid w:val="00E45B70"/>
    <w:rsid w:val="00E45F14"/>
    <w:rsid w:val="00E46328"/>
    <w:rsid w:val="00E464B0"/>
    <w:rsid w:val="00E46B65"/>
    <w:rsid w:val="00E46D1F"/>
    <w:rsid w:val="00E475AC"/>
    <w:rsid w:val="00E502D5"/>
    <w:rsid w:val="00E50423"/>
    <w:rsid w:val="00E5113A"/>
    <w:rsid w:val="00E51232"/>
    <w:rsid w:val="00E51E43"/>
    <w:rsid w:val="00E522EF"/>
    <w:rsid w:val="00E52BA3"/>
    <w:rsid w:val="00E5375E"/>
    <w:rsid w:val="00E53FF9"/>
    <w:rsid w:val="00E547AA"/>
    <w:rsid w:val="00E54C45"/>
    <w:rsid w:val="00E54E4D"/>
    <w:rsid w:val="00E552EB"/>
    <w:rsid w:val="00E56135"/>
    <w:rsid w:val="00E5634A"/>
    <w:rsid w:val="00E563FB"/>
    <w:rsid w:val="00E56990"/>
    <w:rsid w:val="00E573B3"/>
    <w:rsid w:val="00E57A3E"/>
    <w:rsid w:val="00E610AE"/>
    <w:rsid w:val="00E61105"/>
    <w:rsid w:val="00E619B8"/>
    <w:rsid w:val="00E61B22"/>
    <w:rsid w:val="00E61FD3"/>
    <w:rsid w:val="00E6273B"/>
    <w:rsid w:val="00E62AFB"/>
    <w:rsid w:val="00E62BD5"/>
    <w:rsid w:val="00E62D23"/>
    <w:rsid w:val="00E633E8"/>
    <w:rsid w:val="00E64A16"/>
    <w:rsid w:val="00E64A1E"/>
    <w:rsid w:val="00E64B90"/>
    <w:rsid w:val="00E64C0A"/>
    <w:rsid w:val="00E656D7"/>
    <w:rsid w:val="00E65BAC"/>
    <w:rsid w:val="00E65C13"/>
    <w:rsid w:val="00E65F21"/>
    <w:rsid w:val="00E65F3B"/>
    <w:rsid w:val="00E661DC"/>
    <w:rsid w:val="00E6712D"/>
    <w:rsid w:val="00E67244"/>
    <w:rsid w:val="00E6785B"/>
    <w:rsid w:val="00E67EFE"/>
    <w:rsid w:val="00E700A2"/>
    <w:rsid w:val="00E7035F"/>
    <w:rsid w:val="00E70361"/>
    <w:rsid w:val="00E704BE"/>
    <w:rsid w:val="00E73198"/>
    <w:rsid w:val="00E7352E"/>
    <w:rsid w:val="00E735D2"/>
    <w:rsid w:val="00E7393D"/>
    <w:rsid w:val="00E73997"/>
    <w:rsid w:val="00E73CEA"/>
    <w:rsid w:val="00E74231"/>
    <w:rsid w:val="00E74463"/>
    <w:rsid w:val="00E744DF"/>
    <w:rsid w:val="00E74829"/>
    <w:rsid w:val="00E748E5"/>
    <w:rsid w:val="00E75361"/>
    <w:rsid w:val="00E75935"/>
    <w:rsid w:val="00E767D4"/>
    <w:rsid w:val="00E76E59"/>
    <w:rsid w:val="00E779D2"/>
    <w:rsid w:val="00E77C12"/>
    <w:rsid w:val="00E77DD7"/>
    <w:rsid w:val="00E8011A"/>
    <w:rsid w:val="00E80195"/>
    <w:rsid w:val="00E80ED0"/>
    <w:rsid w:val="00E816DE"/>
    <w:rsid w:val="00E82196"/>
    <w:rsid w:val="00E83AB9"/>
    <w:rsid w:val="00E83DAD"/>
    <w:rsid w:val="00E83F9B"/>
    <w:rsid w:val="00E85276"/>
    <w:rsid w:val="00E85505"/>
    <w:rsid w:val="00E86A7B"/>
    <w:rsid w:val="00E87F28"/>
    <w:rsid w:val="00E912FF"/>
    <w:rsid w:val="00E919F2"/>
    <w:rsid w:val="00E91E61"/>
    <w:rsid w:val="00E91E7F"/>
    <w:rsid w:val="00E935F9"/>
    <w:rsid w:val="00E94D72"/>
    <w:rsid w:val="00E9577C"/>
    <w:rsid w:val="00E9605A"/>
    <w:rsid w:val="00E96E9E"/>
    <w:rsid w:val="00E97631"/>
    <w:rsid w:val="00E97CBC"/>
    <w:rsid w:val="00EA0163"/>
    <w:rsid w:val="00EA02D1"/>
    <w:rsid w:val="00EA0948"/>
    <w:rsid w:val="00EA0A3D"/>
    <w:rsid w:val="00EA0B31"/>
    <w:rsid w:val="00EA1BEF"/>
    <w:rsid w:val="00EA1DEE"/>
    <w:rsid w:val="00EA228F"/>
    <w:rsid w:val="00EA2430"/>
    <w:rsid w:val="00EA29E0"/>
    <w:rsid w:val="00EA384B"/>
    <w:rsid w:val="00EA3C04"/>
    <w:rsid w:val="00EA40D1"/>
    <w:rsid w:val="00EA4E20"/>
    <w:rsid w:val="00EA527E"/>
    <w:rsid w:val="00EA5948"/>
    <w:rsid w:val="00EA5A62"/>
    <w:rsid w:val="00EA636A"/>
    <w:rsid w:val="00EA639C"/>
    <w:rsid w:val="00EA6AE9"/>
    <w:rsid w:val="00EA7125"/>
    <w:rsid w:val="00EA7AE2"/>
    <w:rsid w:val="00EA7D08"/>
    <w:rsid w:val="00EA7DD7"/>
    <w:rsid w:val="00EB0BF5"/>
    <w:rsid w:val="00EB2323"/>
    <w:rsid w:val="00EB26E8"/>
    <w:rsid w:val="00EB28D7"/>
    <w:rsid w:val="00EB2B3C"/>
    <w:rsid w:val="00EB2BB3"/>
    <w:rsid w:val="00EB3151"/>
    <w:rsid w:val="00EB3F38"/>
    <w:rsid w:val="00EB3FBF"/>
    <w:rsid w:val="00EB41D4"/>
    <w:rsid w:val="00EB497B"/>
    <w:rsid w:val="00EB50C1"/>
    <w:rsid w:val="00EB68E8"/>
    <w:rsid w:val="00EB6B26"/>
    <w:rsid w:val="00EB7E70"/>
    <w:rsid w:val="00EB7FFD"/>
    <w:rsid w:val="00EC0771"/>
    <w:rsid w:val="00EC0D3E"/>
    <w:rsid w:val="00EC1385"/>
    <w:rsid w:val="00EC14E0"/>
    <w:rsid w:val="00EC1C6C"/>
    <w:rsid w:val="00EC1D16"/>
    <w:rsid w:val="00EC2023"/>
    <w:rsid w:val="00EC2977"/>
    <w:rsid w:val="00EC2B30"/>
    <w:rsid w:val="00EC2C7C"/>
    <w:rsid w:val="00EC2EBF"/>
    <w:rsid w:val="00EC302E"/>
    <w:rsid w:val="00EC35E6"/>
    <w:rsid w:val="00EC365C"/>
    <w:rsid w:val="00EC3F55"/>
    <w:rsid w:val="00EC4100"/>
    <w:rsid w:val="00EC41AF"/>
    <w:rsid w:val="00EC41C1"/>
    <w:rsid w:val="00EC4534"/>
    <w:rsid w:val="00EC474C"/>
    <w:rsid w:val="00EC49AF"/>
    <w:rsid w:val="00EC525E"/>
    <w:rsid w:val="00EC590A"/>
    <w:rsid w:val="00EC5E08"/>
    <w:rsid w:val="00EC6836"/>
    <w:rsid w:val="00EC6EAA"/>
    <w:rsid w:val="00EC6F35"/>
    <w:rsid w:val="00EC705C"/>
    <w:rsid w:val="00EC779F"/>
    <w:rsid w:val="00ED011F"/>
    <w:rsid w:val="00ED0F8C"/>
    <w:rsid w:val="00ED1811"/>
    <w:rsid w:val="00ED2426"/>
    <w:rsid w:val="00ED3204"/>
    <w:rsid w:val="00ED3D2C"/>
    <w:rsid w:val="00ED428B"/>
    <w:rsid w:val="00ED44F4"/>
    <w:rsid w:val="00ED4930"/>
    <w:rsid w:val="00ED4998"/>
    <w:rsid w:val="00ED4EB7"/>
    <w:rsid w:val="00ED561D"/>
    <w:rsid w:val="00ED5F69"/>
    <w:rsid w:val="00ED6457"/>
    <w:rsid w:val="00ED6921"/>
    <w:rsid w:val="00ED6BA8"/>
    <w:rsid w:val="00ED6FD5"/>
    <w:rsid w:val="00ED72EF"/>
    <w:rsid w:val="00ED7DCB"/>
    <w:rsid w:val="00EE00D3"/>
    <w:rsid w:val="00EE010F"/>
    <w:rsid w:val="00EE0E46"/>
    <w:rsid w:val="00EE0E9B"/>
    <w:rsid w:val="00EE159A"/>
    <w:rsid w:val="00EE316D"/>
    <w:rsid w:val="00EE46CE"/>
    <w:rsid w:val="00EE4899"/>
    <w:rsid w:val="00EE51C6"/>
    <w:rsid w:val="00EE5B2D"/>
    <w:rsid w:val="00EE5D75"/>
    <w:rsid w:val="00EE5F27"/>
    <w:rsid w:val="00EE65B5"/>
    <w:rsid w:val="00EE65BD"/>
    <w:rsid w:val="00EE6CDA"/>
    <w:rsid w:val="00EE6EF9"/>
    <w:rsid w:val="00EE787C"/>
    <w:rsid w:val="00EF04DD"/>
    <w:rsid w:val="00EF140F"/>
    <w:rsid w:val="00EF170E"/>
    <w:rsid w:val="00EF1D50"/>
    <w:rsid w:val="00EF1F7E"/>
    <w:rsid w:val="00EF2778"/>
    <w:rsid w:val="00EF2A99"/>
    <w:rsid w:val="00EF2D0B"/>
    <w:rsid w:val="00EF3015"/>
    <w:rsid w:val="00EF3A70"/>
    <w:rsid w:val="00EF3B38"/>
    <w:rsid w:val="00EF475D"/>
    <w:rsid w:val="00EF4EFC"/>
    <w:rsid w:val="00EF4FDB"/>
    <w:rsid w:val="00EF5799"/>
    <w:rsid w:val="00EF6319"/>
    <w:rsid w:val="00EF6396"/>
    <w:rsid w:val="00EF68C7"/>
    <w:rsid w:val="00EF6A03"/>
    <w:rsid w:val="00EF7161"/>
    <w:rsid w:val="00F00064"/>
    <w:rsid w:val="00F00A21"/>
    <w:rsid w:val="00F00DB3"/>
    <w:rsid w:val="00F014B6"/>
    <w:rsid w:val="00F01A5C"/>
    <w:rsid w:val="00F01A65"/>
    <w:rsid w:val="00F01B6D"/>
    <w:rsid w:val="00F02522"/>
    <w:rsid w:val="00F02957"/>
    <w:rsid w:val="00F037E8"/>
    <w:rsid w:val="00F037E9"/>
    <w:rsid w:val="00F03935"/>
    <w:rsid w:val="00F03B18"/>
    <w:rsid w:val="00F04247"/>
    <w:rsid w:val="00F043C9"/>
    <w:rsid w:val="00F05271"/>
    <w:rsid w:val="00F05667"/>
    <w:rsid w:val="00F056C4"/>
    <w:rsid w:val="00F058A2"/>
    <w:rsid w:val="00F0599D"/>
    <w:rsid w:val="00F05A30"/>
    <w:rsid w:val="00F07558"/>
    <w:rsid w:val="00F1128F"/>
    <w:rsid w:val="00F112EF"/>
    <w:rsid w:val="00F1164A"/>
    <w:rsid w:val="00F117CE"/>
    <w:rsid w:val="00F11B44"/>
    <w:rsid w:val="00F12621"/>
    <w:rsid w:val="00F12703"/>
    <w:rsid w:val="00F12E60"/>
    <w:rsid w:val="00F12F73"/>
    <w:rsid w:val="00F13362"/>
    <w:rsid w:val="00F13EE2"/>
    <w:rsid w:val="00F1458B"/>
    <w:rsid w:val="00F14A7E"/>
    <w:rsid w:val="00F153CE"/>
    <w:rsid w:val="00F15639"/>
    <w:rsid w:val="00F15A8C"/>
    <w:rsid w:val="00F15D45"/>
    <w:rsid w:val="00F1603A"/>
    <w:rsid w:val="00F1606D"/>
    <w:rsid w:val="00F16661"/>
    <w:rsid w:val="00F167ED"/>
    <w:rsid w:val="00F173F1"/>
    <w:rsid w:val="00F17869"/>
    <w:rsid w:val="00F1786F"/>
    <w:rsid w:val="00F17D2F"/>
    <w:rsid w:val="00F2040C"/>
    <w:rsid w:val="00F20A93"/>
    <w:rsid w:val="00F21871"/>
    <w:rsid w:val="00F234DA"/>
    <w:rsid w:val="00F236A1"/>
    <w:rsid w:val="00F23F06"/>
    <w:rsid w:val="00F242ED"/>
    <w:rsid w:val="00F24A1D"/>
    <w:rsid w:val="00F24E11"/>
    <w:rsid w:val="00F2573E"/>
    <w:rsid w:val="00F26429"/>
    <w:rsid w:val="00F267D8"/>
    <w:rsid w:val="00F268B5"/>
    <w:rsid w:val="00F26B02"/>
    <w:rsid w:val="00F27156"/>
    <w:rsid w:val="00F27218"/>
    <w:rsid w:val="00F274B9"/>
    <w:rsid w:val="00F275FB"/>
    <w:rsid w:val="00F27611"/>
    <w:rsid w:val="00F27ACE"/>
    <w:rsid w:val="00F3005D"/>
    <w:rsid w:val="00F305C7"/>
    <w:rsid w:val="00F3129A"/>
    <w:rsid w:val="00F3188F"/>
    <w:rsid w:val="00F3286E"/>
    <w:rsid w:val="00F32C55"/>
    <w:rsid w:val="00F3312E"/>
    <w:rsid w:val="00F33336"/>
    <w:rsid w:val="00F33656"/>
    <w:rsid w:val="00F33924"/>
    <w:rsid w:val="00F348C6"/>
    <w:rsid w:val="00F34E93"/>
    <w:rsid w:val="00F34F64"/>
    <w:rsid w:val="00F35D99"/>
    <w:rsid w:val="00F35FE2"/>
    <w:rsid w:val="00F36189"/>
    <w:rsid w:val="00F3642A"/>
    <w:rsid w:val="00F36847"/>
    <w:rsid w:val="00F369D7"/>
    <w:rsid w:val="00F36BD3"/>
    <w:rsid w:val="00F36C8A"/>
    <w:rsid w:val="00F370EC"/>
    <w:rsid w:val="00F37FDD"/>
    <w:rsid w:val="00F4110D"/>
    <w:rsid w:val="00F411ED"/>
    <w:rsid w:val="00F41F7D"/>
    <w:rsid w:val="00F4234B"/>
    <w:rsid w:val="00F4272D"/>
    <w:rsid w:val="00F42D2C"/>
    <w:rsid w:val="00F437EA"/>
    <w:rsid w:val="00F438E2"/>
    <w:rsid w:val="00F43A16"/>
    <w:rsid w:val="00F44033"/>
    <w:rsid w:val="00F44E04"/>
    <w:rsid w:val="00F45172"/>
    <w:rsid w:val="00F453A7"/>
    <w:rsid w:val="00F4591D"/>
    <w:rsid w:val="00F463D9"/>
    <w:rsid w:val="00F47B58"/>
    <w:rsid w:val="00F51262"/>
    <w:rsid w:val="00F52041"/>
    <w:rsid w:val="00F52182"/>
    <w:rsid w:val="00F5219C"/>
    <w:rsid w:val="00F522DE"/>
    <w:rsid w:val="00F523F0"/>
    <w:rsid w:val="00F52743"/>
    <w:rsid w:val="00F52E8F"/>
    <w:rsid w:val="00F53680"/>
    <w:rsid w:val="00F53BC3"/>
    <w:rsid w:val="00F54C10"/>
    <w:rsid w:val="00F55601"/>
    <w:rsid w:val="00F55FA7"/>
    <w:rsid w:val="00F55FF1"/>
    <w:rsid w:val="00F5630E"/>
    <w:rsid w:val="00F57D6D"/>
    <w:rsid w:val="00F57D9E"/>
    <w:rsid w:val="00F57FE1"/>
    <w:rsid w:val="00F60410"/>
    <w:rsid w:val="00F61E5A"/>
    <w:rsid w:val="00F62368"/>
    <w:rsid w:val="00F624A6"/>
    <w:rsid w:val="00F62B20"/>
    <w:rsid w:val="00F63CCF"/>
    <w:rsid w:val="00F643F1"/>
    <w:rsid w:val="00F64D60"/>
    <w:rsid w:val="00F65BE1"/>
    <w:rsid w:val="00F66A6F"/>
    <w:rsid w:val="00F66DB0"/>
    <w:rsid w:val="00F67060"/>
    <w:rsid w:val="00F67141"/>
    <w:rsid w:val="00F6736A"/>
    <w:rsid w:val="00F67DB4"/>
    <w:rsid w:val="00F707AE"/>
    <w:rsid w:val="00F70A97"/>
    <w:rsid w:val="00F71035"/>
    <w:rsid w:val="00F71BDE"/>
    <w:rsid w:val="00F722E3"/>
    <w:rsid w:val="00F7335E"/>
    <w:rsid w:val="00F74EF9"/>
    <w:rsid w:val="00F768E8"/>
    <w:rsid w:val="00F76D75"/>
    <w:rsid w:val="00F76EFC"/>
    <w:rsid w:val="00F7742A"/>
    <w:rsid w:val="00F77858"/>
    <w:rsid w:val="00F77A82"/>
    <w:rsid w:val="00F77ECC"/>
    <w:rsid w:val="00F8108F"/>
    <w:rsid w:val="00F81E02"/>
    <w:rsid w:val="00F82B13"/>
    <w:rsid w:val="00F831E0"/>
    <w:rsid w:val="00F833C6"/>
    <w:rsid w:val="00F838C6"/>
    <w:rsid w:val="00F83D63"/>
    <w:rsid w:val="00F83E2F"/>
    <w:rsid w:val="00F84F31"/>
    <w:rsid w:val="00F8561D"/>
    <w:rsid w:val="00F85B1A"/>
    <w:rsid w:val="00F85FDE"/>
    <w:rsid w:val="00F86413"/>
    <w:rsid w:val="00F866F3"/>
    <w:rsid w:val="00F87302"/>
    <w:rsid w:val="00F873D2"/>
    <w:rsid w:val="00F8758B"/>
    <w:rsid w:val="00F87812"/>
    <w:rsid w:val="00F911C0"/>
    <w:rsid w:val="00F91415"/>
    <w:rsid w:val="00F91860"/>
    <w:rsid w:val="00F9187F"/>
    <w:rsid w:val="00F918BD"/>
    <w:rsid w:val="00F91E83"/>
    <w:rsid w:val="00F920BC"/>
    <w:rsid w:val="00F9225B"/>
    <w:rsid w:val="00F92710"/>
    <w:rsid w:val="00F92C29"/>
    <w:rsid w:val="00F932FE"/>
    <w:rsid w:val="00F941B2"/>
    <w:rsid w:val="00F9468C"/>
    <w:rsid w:val="00F94A78"/>
    <w:rsid w:val="00F94DA8"/>
    <w:rsid w:val="00F94F04"/>
    <w:rsid w:val="00F956AD"/>
    <w:rsid w:val="00F95E9F"/>
    <w:rsid w:val="00F95ED4"/>
    <w:rsid w:val="00F963B9"/>
    <w:rsid w:val="00F9653A"/>
    <w:rsid w:val="00F96599"/>
    <w:rsid w:val="00F965CC"/>
    <w:rsid w:val="00F96AF0"/>
    <w:rsid w:val="00F9715A"/>
    <w:rsid w:val="00F97168"/>
    <w:rsid w:val="00F974B9"/>
    <w:rsid w:val="00F97B7D"/>
    <w:rsid w:val="00FA0095"/>
    <w:rsid w:val="00FA03E4"/>
    <w:rsid w:val="00FA0718"/>
    <w:rsid w:val="00FA1040"/>
    <w:rsid w:val="00FA12D0"/>
    <w:rsid w:val="00FA1365"/>
    <w:rsid w:val="00FA1AC5"/>
    <w:rsid w:val="00FA1E1C"/>
    <w:rsid w:val="00FA2AAA"/>
    <w:rsid w:val="00FA323C"/>
    <w:rsid w:val="00FA3CBB"/>
    <w:rsid w:val="00FA4238"/>
    <w:rsid w:val="00FA423F"/>
    <w:rsid w:val="00FA4E22"/>
    <w:rsid w:val="00FA5416"/>
    <w:rsid w:val="00FA55A4"/>
    <w:rsid w:val="00FA6F9A"/>
    <w:rsid w:val="00FA7573"/>
    <w:rsid w:val="00FA7A61"/>
    <w:rsid w:val="00FB0368"/>
    <w:rsid w:val="00FB0532"/>
    <w:rsid w:val="00FB0E89"/>
    <w:rsid w:val="00FB19F4"/>
    <w:rsid w:val="00FB1C26"/>
    <w:rsid w:val="00FB259B"/>
    <w:rsid w:val="00FB396A"/>
    <w:rsid w:val="00FB4058"/>
    <w:rsid w:val="00FB4ED4"/>
    <w:rsid w:val="00FB5401"/>
    <w:rsid w:val="00FB58D0"/>
    <w:rsid w:val="00FB5FAC"/>
    <w:rsid w:val="00FB601A"/>
    <w:rsid w:val="00FB69BF"/>
    <w:rsid w:val="00FB6A75"/>
    <w:rsid w:val="00FB70F2"/>
    <w:rsid w:val="00FB72EF"/>
    <w:rsid w:val="00FB74F2"/>
    <w:rsid w:val="00FB791A"/>
    <w:rsid w:val="00FB7A5F"/>
    <w:rsid w:val="00FC0224"/>
    <w:rsid w:val="00FC04C0"/>
    <w:rsid w:val="00FC13E2"/>
    <w:rsid w:val="00FC1788"/>
    <w:rsid w:val="00FC17F0"/>
    <w:rsid w:val="00FC1933"/>
    <w:rsid w:val="00FC24DD"/>
    <w:rsid w:val="00FC3E04"/>
    <w:rsid w:val="00FC4024"/>
    <w:rsid w:val="00FC420A"/>
    <w:rsid w:val="00FC4658"/>
    <w:rsid w:val="00FC47B2"/>
    <w:rsid w:val="00FC4971"/>
    <w:rsid w:val="00FC521E"/>
    <w:rsid w:val="00FC55B4"/>
    <w:rsid w:val="00FC569E"/>
    <w:rsid w:val="00FC7270"/>
    <w:rsid w:val="00FC78FE"/>
    <w:rsid w:val="00FC7CAA"/>
    <w:rsid w:val="00FD10C9"/>
    <w:rsid w:val="00FD11C0"/>
    <w:rsid w:val="00FD12D2"/>
    <w:rsid w:val="00FD14D6"/>
    <w:rsid w:val="00FD185C"/>
    <w:rsid w:val="00FD2B78"/>
    <w:rsid w:val="00FD2DD4"/>
    <w:rsid w:val="00FD33A7"/>
    <w:rsid w:val="00FD3566"/>
    <w:rsid w:val="00FD35C4"/>
    <w:rsid w:val="00FD3E2B"/>
    <w:rsid w:val="00FD3E85"/>
    <w:rsid w:val="00FD60EA"/>
    <w:rsid w:val="00FD61B3"/>
    <w:rsid w:val="00FD639E"/>
    <w:rsid w:val="00FD64A9"/>
    <w:rsid w:val="00FD795F"/>
    <w:rsid w:val="00FE0FBA"/>
    <w:rsid w:val="00FE192E"/>
    <w:rsid w:val="00FE2638"/>
    <w:rsid w:val="00FE26E6"/>
    <w:rsid w:val="00FE2BC8"/>
    <w:rsid w:val="00FE31B3"/>
    <w:rsid w:val="00FE3A57"/>
    <w:rsid w:val="00FE3DBC"/>
    <w:rsid w:val="00FE3DE9"/>
    <w:rsid w:val="00FE4282"/>
    <w:rsid w:val="00FE5F69"/>
    <w:rsid w:val="00FE6059"/>
    <w:rsid w:val="00FE6594"/>
    <w:rsid w:val="00FE6926"/>
    <w:rsid w:val="00FE798D"/>
    <w:rsid w:val="00FE7BF3"/>
    <w:rsid w:val="00FF0285"/>
    <w:rsid w:val="00FF032D"/>
    <w:rsid w:val="00FF0766"/>
    <w:rsid w:val="00FF0BBD"/>
    <w:rsid w:val="00FF0CCF"/>
    <w:rsid w:val="00FF1245"/>
    <w:rsid w:val="00FF1D46"/>
    <w:rsid w:val="00FF2DC8"/>
    <w:rsid w:val="00FF3065"/>
    <w:rsid w:val="00FF387A"/>
    <w:rsid w:val="00FF4180"/>
    <w:rsid w:val="00FF4A3B"/>
    <w:rsid w:val="00FF4C82"/>
    <w:rsid w:val="00FF4E7C"/>
    <w:rsid w:val="00FF51AF"/>
    <w:rsid w:val="00FF52F3"/>
    <w:rsid w:val="00FF611A"/>
    <w:rsid w:val="00FF66B7"/>
    <w:rsid w:val="00FF69B0"/>
    <w:rsid w:val="00FF7B27"/>
    <w:rsid w:val="00FF7B7A"/>
    <w:rsid w:val="00FF7CBA"/>
    <w:rsid w:val="0109AC74"/>
    <w:rsid w:val="010A9F49"/>
    <w:rsid w:val="012AA8D3"/>
    <w:rsid w:val="012DCA22"/>
    <w:rsid w:val="01537CD0"/>
    <w:rsid w:val="0177E212"/>
    <w:rsid w:val="017FF664"/>
    <w:rsid w:val="0191BB78"/>
    <w:rsid w:val="01A152B7"/>
    <w:rsid w:val="01DA6C0D"/>
    <w:rsid w:val="021D3344"/>
    <w:rsid w:val="02418B06"/>
    <w:rsid w:val="02774F11"/>
    <w:rsid w:val="027B5261"/>
    <w:rsid w:val="027DD429"/>
    <w:rsid w:val="0299A2E0"/>
    <w:rsid w:val="02E0E56B"/>
    <w:rsid w:val="03026564"/>
    <w:rsid w:val="0302AA57"/>
    <w:rsid w:val="030FCFD8"/>
    <w:rsid w:val="031BC301"/>
    <w:rsid w:val="031DC9E3"/>
    <w:rsid w:val="0386F9EB"/>
    <w:rsid w:val="03AEBCA0"/>
    <w:rsid w:val="041575EA"/>
    <w:rsid w:val="04173FB1"/>
    <w:rsid w:val="0449E803"/>
    <w:rsid w:val="048E790A"/>
    <w:rsid w:val="04DBB6AC"/>
    <w:rsid w:val="0568C074"/>
    <w:rsid w:val="0569DCF6"/>
    <w:rsid w:val="056FE970"/>
    <w:rsid w:val="057E0BE9"/>
    <w:rsid w:val="05D357A0"/>
    <w:rsid w:val="05DD392E"/>
    <w:rsid w:val="06178A0E"/>
    <w:rsid w:val="06244476"/>
    <w:rsid w:val="06566E35"/>
    <w:rsid w:val="06820678"/>
    <w:rsid w:val="06BBE80A"/>
    <w:rsid w:val="06CA1683"/>
    <w:rsid w:val="06D510BA"/>
    <w:rsid w:val="073757DC"/>
    <w:rsid w:val="076C8D9A"/>
    <w:rsid w:val="077C1414"/>
    <w:rsid w:val="07C3210F"/>
    <w:rsid w:val="07C3ADA7"/>
    <w:rsid w:val="07D0FF5C"/>
    <w:rsid w:val="082AA365"/>
    <w:rsid w:val="08460384"/>
    <w:rsid w:val="08653349"/>
    <w:rsid w:val="0871D649"/>
    <w:rsid w:val="087E33AA"/>
    <w:rsid w:val="088D44A5"/>
    <w:rsid w:val="08AA78F6"/>
    <w:rsid w:val="08ED0EE2"/>
    <w:rsid w:val="0943FCD2"/>
    <w:rsid w:val="098560CF"/>
    <w:rsid w:val="09BF9075"/>
    <w:rsid w:val="09C3D5E3"/>
    <w:rsid w:val="09C6D70A"/>
    <w:rsid w:val="0A30664A"/>
    <w:rsid w:val="0A7A391D"/>
    <w:rsid w:val="0AA26D0C"/>
    <w:rsid w:val="0AABF405"/>
    <w:rsid w:val="0ACEFCB2"/>
    <w:rsid w:val="0ADAB684"/>
    <w:rsid w:val="0AE9398B"/>
    <w:rsid w:val="0AF7DDD4"/>
    <w:rsid w:val="0B0B99C0"/>
    <w:rsid w:val="0B40BEC0"/>
    <w:rsid w:val="0C4CD1DD"/>
    <w:rsid w:val="0C787C15"/>
    <w:rsid w:val="0CB3A193"/>
    <w:rsid w:val="0D086AAF"/>
    <w:rsid w:val="0D176922"/>
    <w:rsid w:val="0D41FEF5"/>
    <w:rsid w:val="0D8F065C"/>
    <w:rsid w:val="0DBE3196"/>
    <w:rsid w:val="0DCF52E4"/>
    <w:rsid w:val="0E904EF5"/>
    <w:rsid w:val="0E94235A"/>
    <w:rsid w:val="0EA43774"/>
    <w:rsid w:val="0EB83EB2"/>
    <w:rsid w:val="0F4A1745"/>
    <w:rsid w:val="0F771F57"/>
    <w:rsid w:val="0FB33997"/>
    <w:rsid w:val="1021FA6A"/>
    <w:rsid w:val="104406F8"/>
    <w:rsid w:val="1063B4CC"/>
    <w:rsid w:val="10B184A4"/>
    <w:rsid w:val="10BDAC3E"/>
    <w:rsid w:val="10D5B2DC"/>
    <w:rsid w:val="110A5372"/>
    <w:rsid w:val="112FE44B"/>
    <w:rsid w:val="115F91D5"/>
    <w:rsid w:val="117CECBC"/>
    <w:rsid w:val="11D7C329"/>
    <w:rsid w:val="11E3D8D9"/>
    <w:rsid w:val="11F839C0"/>
    <w:rsid w:val="11F9A74E"/>
    <w:rsid w:val="11FB08C4"/>
    <w:rsid w:val="129F2778"/>
    <w:rsid w:val="12D176E0"/>
    <w:rsid w:val="12E80B49"/>
    <w:rsid w:val="1360CA29"/>
    <w:rsid w:val="138BD644"/>
    <w:rsid w:val="13A5257F"/>
    <w:rsid w:val="13ACA334"/>
    <w:rsid w:val="13FA433B"/>
    <w:rsid w:val="13FDA51D"/>
    <w:rsid w:val="146B140C"/>
    <w:rsid w:val="1481FDFA"/>
    <w:rsid w:val="14DF56C3"/>
    <w:rsid w:val="150628C7"/>
    <w:rsid w:val="151D3900"/>
    <w:rsid w:val="152FFD45"/>
    <w:rsid w:val="15C4DF0A"/>
    <w:rsid w:val="15E332D3"/>
    <w:rsid w:val="162EE627"/>
    <w:rsid w:val="1636C361"/>
    <w:rsid w:val="16524929"/>
    <w:rsid w:val="166CD071"/>
    <w:rsid w:val="166DC8D2"/>
    <w:rsid w:val="16997521"/>
    <w:rsid w:val="169A70F2"/>
    <w:rsid w:val="16D0B8DC"/>
    <w:rsid w:val="16EF60D6"/>
    <w:rsid w:val="173D996F"/>
    <w:rsid w:val="176E80F0"/>
    <w:rsid w:val="1792FA17"/>
    <w:rsid w:val="17B44E14"/>
    <w:rsid w:val="17B97D9C"/>
    <w:rsid w:val="17D2215C"/>
    <w:rsid w:val="18450B55"/>
    <w:rsid w:val="18574857"/>
    <w:rsid w:val="189F71AA"/>
    <w:rsid w:val="18A954D0"/>
    <w:rsid w:val="18B23742"/>
    <w:rsid w:val="18D6E9CA"/>
    <w:rsid w:val="19168CD1"/>
    <w:rsid w:val="192DAB4F"/>
    <w:rsid w:val="19340918"/>
    <w:rsid w:val="1976AE24"/>
    <w:rsid w:val="1991002F"/>
    <w:rsid w:val="19A7D15C"/>
    <w:rsid w:val="19CAF0E5"/>
    <w:rsid w:val="19CE01E7"/>
    <w:rsid w:val="19FAAA9C"/>
    <w:rsid w:val="19FF8576"/>
    <w:rsid w:val="1A640377"/>
    <w:rsid w:val="1ABAA9D5"/>
    <w:rsid w:val="1AC8662A"/>
    <w:rsid w:val="1ACEBBEC"/>
    <w:rsid w:val="1B23921E"/>
    <w:rsid w:val="1B25F02B"/>
    <w:rsid w:val="1B2AF25A"/>
    <w:rsid w:val="1BA41B74"/>
    <w:rsid w:val="1BA4C528"/>
    <w:rsid w:val="1BAF31C8"/>
    <w:rsid w:val="1C0CF8F7"/>
    <w:rsid w:val="1C24C6AA"/>
    <w:rsid w:val="1C2797F8"/>
    <w:rsid w:val="1C7D0F87"/>
    <w:rsid w:val="1CB42D83"/>
    <w:rsid w:val="1CBC0328"/>
    <w:rsid w:val="1CE7D4BC"/>
    <w:rsid w:val="1CF02375"/>
    <w:rsid w:val="1CFE7A00"/>
    <w:rsid w:val="1D334164"/>
    <w:rsid w:val="1D556FE8"/>
    <w:rsid w:val="1D5D3E27"/>
    <w:rsid w:val="1D7C98B7"/>
    <w:rsid w:val="1D7D917E"/>
    <w:rsid w:val="1D7F8F68"/>
    <w:rsid w:val="1DEE333E"/>
    <w:rsid w:val="1E12CFA9"/>
    <w:rsid w:val="1E75A33A"/>
    <w:rsid w:val="1EB1C034"/>
    <w:rsid w:val="1EB6E829"/>
    <w:rsid w:val="1EC5B33A"/>
    <w:rsid w:val="1ED9B2F6"/>
    <w:rsid w:val="1F17E544"/>
    <w:rsid w:val="1F88BA4B"/>
    <w:rsid w:val="1F93C7B3"/>
    <w:rsid w:val="20389B5C"/>
    <w:rsid w:val="2040A237"/>
    <w:rsid w:val="207AFD34"/>
    <w:rsid w:val="2088B847"/>
    <w:rsid w:val="208AB4D1"/>
    <w:rsid w:val="20D9DC53"/>
    <w:rsid w:val="211F61C8"/>
    <w:rsid w:val="21229883"/>
    <w:rsid w:val="2136C8D0"/>
    <w:rsid w:val="2138DB85"/>
    <w:rsid w:val="21486F54"/>
    <w:rsid w:val="21541341"/>
    <w:rsid w:val="215ABA5D"/>
    <w:rsid w:val="2171A191"/>
    <w:rsid w:val="21BF4FCB"/>
    <w:rsid w:val="21E127F1"/>
    <w:rsid w:val="2227EF5B"/>
    <w:rsid w:val="227E4468"/>
    <w:rsid w:val="22A456B7"/>
    <w:rsid w:val="22B01CC2"/>
    <w:rsid w:val="23A8B0D2"/>
    <w:rsid w:val="23CB995B"/>
    <w:rsid w:val="2440E055"/>
    <w:rsid w:val="24552B06"/>
    <w:rsid w:val="24994CF6"/>
    <w:rsid w:val="24BB062D"/>
    <w:rsid w:val="25006074"/>
    <w:rsid w:val="253333AB"/>
    <w:rsid w:val="25EEBB4A"/>
    <w:rsid w:val="26254FD0"/>
    <w:rsid w:val="26403C44"/>
    <w:rsid w:val="2653A739"/>
    <w:rsid w:val="2662EC11"/>
    <w:rsid w:val="26E2B767"/>
    <w:rsid w:val="26F4E542"/>
    <w:rsid w:val="2706023B"/>
    <w:rsid w:val="27218CA3"/>
    <w:rsid w:val="27308CF2"/>
    <w:rsid w:val="2740ABF6"/>
    <w:rsid w:val="2752735C"/>
    <w:rsid w:val="2781B6A0"/>
    <w:rsid w:val="27B81FD7"/>
    <w:rsid w:val="27D1A2DA"/>
    <w:rsid w:val="27E5641C"/>
    <w:rsid w:val="281D727A"/>
    <w:rsid w:val="28E6BBC7"/>
    <w:rsid w:val="290F3ACA"/>
    <w:rsid w:val="291A11C0"/>
    <w:rsid w:val="29F1ED80"/>
    <w:rsid w:val="2A248970"/>
    <w:rsid w:val="2AABBFD4"/>
    <w:rsid w:val="2AABDBC7"/>
    <w:rsid w:val="2AD72AC8"/>
    <w:rsid w:val="2B142F37"/>
    <w:rsid w:val="2B33825D"/>
    <w:rsid w:val="2B7A4975"/>
    <w:rsid w:val="2BAB0849"/>
    <w:rsid w:val="2BB6BE2E"/>
    <w:rsid w:val="2BDFD110"/>
    <w:rsid w:val="2C0B0E67"/>
    <w:rsid w:val="2C524419"/>
    <w:rsid w:val="2C65B31B"/>
    <w:rsid w:val="2CBA61FD"/>
    <w:rsid w:val="2CBCB767"/>
    <w:rsid w:val="2D3E832F"/>
    <w:rsid w:val="2D62F025"/>
    <w:rsid w:val="2D9AF6C6"/>
    <w:rsid w:val="2D9EEB23"/>
    <w:rsid w:val="2DB3DE39"/>
    <w:rsid w:val="2DDF91E9"/>
    <w:rsid w:val="2E11F282"/>
    <w:rsid w:val="2E52B574"/>
    <w:rsid w:val="2EA11EDC"/>
    <w:rsid w:val="2EA1E6F4"/>
    <w:rsid w:val="2EC17F6A"/>
    <w:rsid w:val="2EED24B5"/>
    <w:rsid w:val="2EFA61F8"/>
    <w:rsid w:val="2EFEF3F5"/>
    <w:rsid w:val="2F18CE7C"/>
    <w:rsid w:val="2F2DECC7"/>
    <w:rsid w:val="2FDBD999"/>
    <w:rsid w:val="304ABF05"/>
    <w:rsid w:val="30EFAF27"/>
    <w:rsid w:val="30FA7286"/>
    <w:rsid w:val="3107A59A"/>
    <w:rsid w:val="31167F13"/>
    <w:rsid w:val="31324743"/>
    <w:rsid w:val="319EAF1C"/>
    <w:rsid w:val="3200E049"/>
    <w:rsid w:val="320FF854"/>
    <w:rsid w:val="32367A81"/>
    <w:rsid w:val="324388A1"/>
    <w:rsid w:val="324C28A2"/>
    <w:rsid w:val="328AA97C"/>
    <w:rsid w:val="32969F5C"/>
    <w:rsid w:val="32C1E684"/>
    <w:rsid w:val="32CBEA3A"/>
    <w:rsid w:val="32E99004"/>
    <w:rsid w:val="3306381F"/>
    <w:rsid w:val="33146151"/>
    <w:rsid w:val="332F256C"/>
    <w:rsid w:val="337E459F"/>
    <w:rsid w:val="33E9410E"/>
    <w:rsid w:val="33F972C2"/>
    <w:rsid w:val="34925988"/>
    <w:rsid w:val="34F2993B"/>
    <w:rsid w:val="34F3AEB9"/>
    <w:rsid w:val="34F7D02E"/>
    <w:rsid w:val="350D28D2"/>
    <w:rsid w:val="3530D726"/>
    <w:rsid w:val="356C356A"/>
    <w:rsid w:val="35AC3487"/>
    <w:rsid w:val="35ACE363"/>
    <w:rsid w:val="35B48946"/>
    <w:rsid w:val="368A5917"/>
    <w:rsid w:val="370FBD6F"/>
    <w:rsid w:val="37110122"/>
    <w:rsid w:val="374E7A55"/>
    <w:rsid w:val="37F4544B"/>
    <w:rsid w:val="381A3646"/>
    <w:rsid w:val="386572F0"/>
    <w:rsid w:val="386BBDBC"/>
    <w:rsid w:val="3885FC09"/>
    <w:rsid w:val="38C4AB90"/>
    <w:rsid w:val="38C8773D"/>
    <w:rsid w:val="38E6F0D7"/>
    <w:rsid w:val="38FD78A2"/>
    <w:rsid w:val="390AA34F"/>
    <w:rsid w:val="390C1A08"/>
    <w:rsid w:val="391E9C98"/>
    <w:rsid w:val="392D2A39"/>
    <w:rsid w:val="39435354"/>
    <w:rsid w:val="394F0E08"/>
    <w:rsid w:val="398FDD62"/>
    <w:rsid w:val="399BB88C"/>
    <w:rsid w:val="39BA798D"/>
    <w:rsid w:val="3A08982F"/>
    <w:rsid w:val="3A475B7A"/>
    <w:rsid w:val="3A7474D6"/>
    <w:rsid w:val="3B27638C"/>
    <w:rsid w:val="3B3FB128"/>
    <w:rsid w:val="3B8D5503"/>
    <w:rsid w:val="3C056694"/>
    <w:rsid w:val="3C09E0F1"/>
    <w:rsid w:val="3C36C31C"/>
    <w:rsid w:val="3C41110C"/>
    <w:rsid w:val="3C489D90"/>
    <w:rsid w:val="3C4C29E0"/>
    <w:rsid w:val="3C93842C"/>
    <w:rsid w:val="3DAAAD82"/>
    <w:rsid w:val="3DC405E9"/>
    <w:rsid w:val="3DCA1996"/>
    <w:rsid w:val="3E8B6CCA"/>
    <w:rsid w:val="3E8C1C8B"/>
    <w:rsid w:val="3EA7FB5E"/>
    <w:rsid w:val="3EB1DA5A"/>
    <w:rsid w:val="3EDED159"/>
    <w:rsid w:val="3FAD36CE"/>
    <w:rsid w:val="3FB40E44"/>
    <w:rsid w:val="3FB8942F"/>
    <w:rsid w:val="40193232"/>
    <w:rsid w:val="405E611B"/>
    <w:rsid w:val="406457E8"/>
    <w:rsid w:val="406861D7"/>
    <w:rsid w:val="4068BE71"/>
    <w:rsid w:val="4088829A"/>
    <w:rsid w:val="40980F4F"/>
    <w:rsid w:val="40EADEAC"/>
    <w:rsid w:val="40FA77BB"/>
    <w:rsid w:val="415B5C1F"/>
    <w:rsid w:val="419B940A"/>
    <w:rsid w:val="41BD0923"/>
    <w:rsid w:val="41F10690"/>
    <w:rsid w:val="42041BCA"/>
    <w:rsid w:val="420BD4D4"/>
    <w:rsid w:val="423C7FE9"/>
    <w:rsid w:val="4285C9F9"/>
    <w:rsid w:val="4286184B"/>
    <w:rsid w:val="4291B82E"/>
    <w:rsid w:val="42A04E12"/>
    <w:rsid w:val="42B60CA1"/>
    <w:rsid w:val="42D16295"/>
    <w:rsid w:val="42D6B2B7"/>
    <w:rsid w:val="431B60ED"/>
    <w:rsid w:val="434AC30D"/>
    <w:rsid w:val="435326F2"/>
    <w:rsid w:val="435DA4A9"/>
    <w:rsid w:val="44387D37"/>
    <w:rsid w:val="443A3C22"/>
    <w:rsid w:val="444BD9A1"/>
    <w:rsid w:val="445A55FA"/>
    <w:rsid w:val="445ADFC7"/>
    <w:rsid w:val="4477E123"/>
    <w:rsid w:val="449FA9B1"/>
    <w:rsid w:val="44BDC6FB"/>
    <w:rsid w:val="44EC9051"/>
    <w:rsid w:val="450FCADC"/>
    <w:rsid w:val="451C6114"/>
    <w:rsid w:val="451DEBF1"/>
    <w:rsid w:val="4521D8A3"/>
    <w:rsid w:val="4550AEC5"/>
    <w:rsid w:val="455DC193"/>
    <w:rsid w:val="45854869"/>
    <w:rsid w:val="45BE1194"/>
    <w:rsid w:val="46947036"/>
    <w:rsid w:val="469A5622"/>
    <w:rsid w:val="46CBF83E"/>
    <w:rsid w:val="471E9F54"/>
    <w:rsid w:val="47C20124"/>
    <w:rsid w:val="47C7E64A"/>
    <w:rsid w:val="47E7EC94"/>
    <w:rsid w:val="48AC5496"/>
    <w:rsid w:val="48D1784E"/>
    <w:rsid w:val="49498711"/>
    <w:rsid w:val="4A0E68EE"/>
    <w:rsid w:val="4A2ADE65"/>
    <w:rsid w:val="4A5746CD"/>
    <w:rsid w:val="4B02F81E"/>
    <w:rsid w:val="4B60A8BA"/>
    <w:rsid w:val="4BBB485F"/>
    <w:rsid w:val="4BC28789"/>
    <w:rsid w:val="4BCF43D8"/>
    <w:rsid w:val="4C40D604"/>
    <w:rsid w:val="4C6B6F1A"/>
    <w:rsid w:val="4CCAFFA7"/>
    <w:rsid w:val="4CEB8F61"/>
    <w:rsid w:val="4D057AED"/>
    <w:rsid w:val="4D31A93D"/>
    <w:rsid w:val="4D3F7BF9"/>
    <w:rsid w:val="4D88BF3B"/>
    <w:rsid w:val="4DC30527"/>
    <w:rsid w:val="4E51E6F0"/>
    <w:rsid w:val="4E5370FE"/>
    <w:rsid w:val="4ED80268"/>
    <w:rsid w:val="4EE3C2FB"/>
    <w:rsid w:val="4F3BC914"/>
    <w:rsid w:val="4F5CBF25"/>
    <w:rsid w:val="4F806A18"/>
    <w:rsid w:val="4F80F5FC"/>
    <w:rsid w:val="4FC72147"/>
    <w:rsid w:val="4FCF6ABB"/>
    <w:rsid w:val="50178DCB"/>
    <w:rsid w:val="50608AB1"/>
    <w:rsid w:val="50630466"/>
    <w:rsid w:val="5112AEAC"/>
    <w:rsid w:val="512FBD1C"/>
    <w:rsid w:val="5147A0E0"/>
    <w:rsid w:val="51683127"/>
    <w:rsid w:val="5175B73D"/>
    <w:rsid w:val="517E1C7D"/>
    <w:rsid w:val="51868E39"/>
    <w:rsid w:val="51890D11"/>
    <w:rsid w:val="51C2D7B3"/>
    <w:rsid w:val="51FB6552"/>
    <w:rsid w:val="521883B3"/>
    <w:rsid w:val="52740A4B"/>
    <w:rsid w:val="528C6B07"/>
    <w:rsid w:val="52B9C3FD"/>
    <w:rsid w:val="5316D23B"/>
    <w:rsid w:val="5327F740"/>
    <w:rsid w:val="53DF7FA0"/>
    <w:rsid w:val="54427D6C"/>
    <w:rsid w:val="54852B97"/>
    <w:rsid w:val="54885F38"/>
    <w:rsid w:val="54A0A372"/>
    <w:rsid w:val="54F2122A"/>
    <w:rsid w:val="550F1B8A"/>
    <w:rsid w:val="551FFD0B"/>
    <w:rsid w:val="5559901A"/>
    <w:rsid w:val="557D092B"/>
    <w:rsid w:val="55B5A781"/>
    <w:rsid w:val="55D928C3"/>
    <w:rsid w:val="56185F8B"/>
    <w:rsid w:val="564E5802"/>
    <w:rsid w:val="565BF76D"/>
    <w:rsid w:val="56888FEC"/>
    <w:rsid w:val="568EB55F"/>
    <w:rsid w:val="56E3DDF7"/>
    <w:rsid w:val="57439CAA"/>
    <w:rsid w:val="5744DAAC"/>
    <w:rsid w:val="57B43099"/>
    <w:rsid w:val="583EE09A"/>
    <w:rsid w:val="588F1353"/>
    <w:rsid w:val="589C0285"/>
    <w:rsid w:val="59007541"/>
    <w:rsid w:val="594126CE"/>
    <w:rsid w:val="596C8717"/>
    <w:rsid w:val="597AB4C5"/>
    <w:rsid w:val="5980C840"/>
    <w:rsid w:val="59E839A9"/>
    <w:rsid w:val="5A40C923"/>
    <w:rsid w:val="5A553052"/>
    <w:rsid w:val="5A5B6375"/>
    <w:rsid w:val="5A9B7DF9"/>
    <w:rsid w:val="5AB2DF82"/>
    <w:rsid w:val="5B16FCE6"/>
    <w:rsid w:val="5B1A929A"/>
    <w:rsid w:val="5B2BBCAB"/>
    <w:rsid w:val="5B2E2C51"/>
    <w:rsid w:val="5B8EC988"/>
    <w:rsid w:val="5BA2A6A9"/>
    <w:rsid w:val="5BA971EC"/>
    <w:rsid w:val="5C014C39"/>
    <w:rsid w:val="5C29BCD2"/>
    <w:rsid w:val="5C3BA853"/>
    <w:rsid w:val="5C4E8DF4"/>
    <w:rsid w:val="5C56B31F"/>
    <w:rsid w:val="5C84B9A2"/>
    <w:rsid w:val="5D23F8C2"/>
    <w:rsid w:val="5D97D07A"/>
    <w:rsid w:val="5DCF0511"/>
    <w:rsid w:val="5DF99A1E"/>
    <w:rsid w:val="5E32F5D5"/>
    <w:rsid w:val="5ECE421D"/>
    <w:rsid w:val="5FA4F856"/>
    <w:rsid w:val="5FF074B5"/>
    <w:rsid w:val="603C7742"/>
    <w:rsid w:val="60E3DA33"/>
    <w:rsid w:val="6109C101"/>
    <w:rsid w:val="6122E8C2"/>
    <w:rsid w:val="617EEA4E"/>
    <w:rsid w:val="6186E171"/>
    <w:rsid w:val="619C3915"/>
    <w:rsid w:val="61D3262E"/>
    <w:rsid w:val="61EA4C23"/>
    <w:rsid w:val="620D75B0"/>
    <w:rsid w:val="622E2EC6"/>
    <w:rsid w:val="6273418F"/>
    <w:rsid w:val="62A09A59"/>
    <w:rsid w:val="6335AF1E"/>
    <w:rsid w:val="636323DE"/>
    <w:rsid w:val="636522F3"/>
    <w:rsid w:val="639BE384"/>
    <w:rsid w:val="63B2BD29"/>
    <w:rsid w:val="63C04CA2"/>
    <w:rsid w:val="63D9A44C"/>
    <w:rsid w:val="640FA498"/>
    <w:rsid w:val="64727853"/>
    <w:rsid w:val="64799A44"/>
    <w:rsid w:val="650543E7"/>
    <w:rsid w:val="65059E69"/>
    <w:rsid w:val="6553980B"/>
    <w:rsid w:val="6565838C"/>
    <w:rsid w:val="65696801"/>
    <w:rsid w:val="656D4C82"/>
    <w:rsid w:val="65E29DEA"/>
    <w:rsid w:val="65F7147B"/>
    <w:rsid w:val="667136ED"/>
    <w:rsid w:val="6676D6F2"/>
    <w:rsid w:val="668B00D3"/>
    <w:rsid w:val="66909D36"/>
    <w:rsid w:val="66CE7C9B"/>
    <w:rsid w:val="66D78595"/>
    <w:rsid w:val="66DE4922"/>
    <w:rsid w:val="67309155"/>
    <w:rsid w:val="673E9168"/>
    <w:rsid w:val="674BA3F3"/>
    <w:rsid w:val="67520D84"/>
    <w:rsid w:val="67A08A1A"/>
    <w:rsid w:val="67A4D25B"/>
    <w:rsid w:val="67DE450E"/>
    <w:rsid w:val="67E7C990"/>
    <w:rsid w:val="67EBA209"/>
    <w:rsid w:val="67FF05DC"/>
    <w:rsid w:val="682908AA"/>
    <w:rsid w:val="683D5000"/>
    <w:rsid w:val="683E8255"/>
    <w:rsid w:val="68757A4A"/>
    <w:rsid w:val="69506319"/>
    <w:rsid w:val="69AEEE42"/>
    <w:rsid w:val="69AF8AD0"/>
    <w:rsid w:val="69CA6B9B"/>
    <w:rsid w:val="69D395C7"/>
    <w:rsid w:val="69EA7EDF"/>
    <w:rsid w:val="69FD1027"/>
    <w:rsid w:val="6A036EE6"/>
    <w:rsid w:val="6A7416DA"/>
    <w:rsid w:val="6ADC8210"/>
    <w:rsid w:val="6AE06155"/>
    <w:rsid w:val="6AFF8C26"/>
    <w:rsid w:val="6B17ECF2"/>
    <w:rsid w:val="6B4D850F"/>
    <w:rsid w:val="6B623425"/>
    <w:rsid w:val="6B62633F"/>
    <w:rsid w:val="6C555837"/>
    <w:rsid w:val="6C843B59"/>
    <w:rsid w:val="6CCD5060"/>
    <w:rsid w:val="6D1DD8C0"/>
    <w:rsid w:val="6D380412"/>
    <w:rsid w:val="6DA569F6"/>
    <w:rsid w:val="6DB6EA46"/>
    <w:rsid w:val="6DC4D2AC"/>
    <w:rsid w:val="6E13AA74"/>
    <w:rsid w:val="6E5FF8EF"/>
    <w:rsid w:val="6EDD7391"/>
    <w:rsid w:val="6EE7B6ED"/>
    <w:rsid w:val="6EF325A9"/>
    <w:rsid w:val="6F4193A1"/>
    <w:rsid w:val="6F7510F5"/>
    <w:rsid w:val="6F807BC9"/>
    <w:rsid w:val="6FCB9261"/>
    <w:rsid w:val="702B07A4"/>
    <w:rsid w:val="7050E7DF"/>
    <w:rsid w:val="70A3D14F"/>
    <w:rsid w:val="70C8746D"/>
    <w:rsid w:val="70E88B5B"/>
    <w:rsid w:val="70F73788"/>
    <w:rsid w:val="716D5E17"/>
    <w:rsid w:val="719E0A19"/>
    <w:rsid w:val="71A03A2B"/>
    <w:rsid w:val="72138B71"/>
    <w:rsid w:val="722C8B28"/>
    <w:rsid w:val="72345A3A"/>
    <w:rsid w:val="72454802"/>
    <w:rsid w:val="727E22EF"/>
    <w:rsid w:val="72F33DB8"/>
    <w:rsid w:val="72FAD120"/>
    <w:rsid w:val="73229078"/>
    <w:rsid w:val="733983A7"/>
    <w:rsid w:val="735DD7C5"/>
    <w:rsid w:val="735F6DE1"/>
    <w:rsid w:val="7376AB82"/>
    <w:rsid w:val="73C76BB5"/>
    <w:rsid w:val="73CB502C"/>
    <w:rsid w:val="73FB5284"/>
    <w:rsid w:val="745816CD"/>
    <w:rsid w:val="74921B92"/>
    <w:rsid w:val="749C65B7"/>
    <w:rsid w:val="75002C4B"/>
    <w:rsid w:val="7511453F"/>
    <w:rsid w:val="7571EFE1"/>
    <w:rsid w:val="75DC0108"/>
    <w:rsid w:val="762BF4D5"/>
    <w:rsid w:val="76311F78"/>
    <w:rsid w:val="7645AC62"/>
    <w:rsid w:val="768BACE2"/>
    <w:rsid w:val="76C3C7D7"/>
    <w:rsid w:val="76DFC43E"/>
    <w:rsid w:val="76F6FC7E"/>
    <w:rsid w:val="76FD1BE9"/>
    <w:rsid w:val="773CBB2B"/>
    <w:rsid w:val="77466129"/>
    <w:rsid w:val="780C5B12"/>
    <w:rsid w:val="78384AD2"/>
    <w:rsid w:val="7868B956"/>
    <w:rsid w:val="787F7ACB"/>
    <w:rsid w:val="789E1273"/>
    <w:rsid w:val="78AB5C02"/>
    <w:rsid w:val="78E518F6"/>
    <w:rsid w:val="791074BC"/>
    <w:rsid w:val="792244B1"/>
    <w:rsid w:val="793597BD"/>
    <w:rsid w:val="796ACF74"/>
    <w:rsid w:val="79B42A20"/>
    <w:rsid w:val="79EA3205"/>
    <w:rsid w:val="7A05E1F0"/>
    <w:rsid w:val="7A060D99"/>
    <w:rsid w:val="7A1019B9"/>
    <w:rsid w:val="7A5B4B93"/>
    <w:rsid w:val="7A6225AA"/>
    <w:rsid w:val="7A91CA70"/>
    <w:rsid w:val="7AB68EED"/>
    <w:rsid w:val="7ABD37DE"/>
    <w:rsid w:val="7ABE0612"/>
    <w:rsid w:val="7AD6880A"/>
    <w:rsid w:val="7AFAEEA7"/>
    <w:rsid w:val="7B3CE68F"/>
    <w:rsid w:val="7B65F059"/>
    <w:rsid w:val="7B9BEB10"/>
    <w:rsid w:val="7C3F427B"/>
    <w:rsid w:val="7C570DCD"/>
    <w:rsid w:val="7C995337"/>
    <w:rsid w:val="7D328CCA"/>
    <w:rsid w:val="7D58B3E7"/>
    <w:rsid w:val="7D96977A"/>
    <w:rsid w:val="7DF6D646"/>
    <w:rsid w:val="7E016D2F"/>
    <w:rsid w:val="7E08B3AB"/>
    <w:rsid w:val="7E0B207E"/>
    <w:rsid w:val="7E653C07"/>
    <w:rsid w:val="7E7E452C"/>
    <w:rsid w:val="7E8CF46A"/>
    <w:rsid w:val="7ECAAFC2"/>
    <w:rsid w:val="7F39AC58"/>
    <w:rsid w:val="7F6C4B03"/>
    <w:rsid w:val="7FCE31CA"/>
    <w:rsid w:val="7FF82FF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EC8B1F"/>
  <w15:docId w15:val="{FB6E98AE-F111-47C9-BE1A-3E887892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E2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BD6F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BD6F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D6FD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6FD2"/>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rsid w:val="00BD6FD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BD6FD2"/>
    <w:rPr>
      <w:rFonts w:ascii="Cambria" w:eastAsia="Times New Roman" w:hAnsi="Cambria" w:cs="Times New Roman"/>
      <w:b/>
      <w:bCs/>
      <w:sz w:val="26"/>
      <w:szCs w:val="26"/>
      <w:lang w:eastAsia="lv-LV"/>
    </w:rPr>
  </w:style>
  <w:style w:type="character" w:styleId="Hyperlink">
    <w:name w:val="Hyperlink"/>
    <w:basedOn w:val="DefaultParagraphFont"/>
    <w:rsid w:val="00BD6FD2"/>
    <w:rPr>
      <w:rFonts w:cs="Times New Roman"/>
      <w:color w:val="0000FF"/>
      <w:u w:val="single"/>
    </w:rPr>
  </w:style>
  <w:style w:type="character" w:styleId="FollowedHyperlink">
    <w:name w:val="FollowedHyperlink"/>
    <w:basedOn w:val="DefaultParagraphFont"/>
    <w:uiPriority w:val="99"/>
    <w:semiHidden/>
    <w:rsid w:val="00BD6FD2"/>
    <w:rPr>
      <w:rFonts w:cs="Times New Roman"/>
      <w:color w:val="800080"/>
      <w:u w:val="single"/>
    </w:rPr>
  </w:style>
  <w:style w:type="paragraph" w:customStyle="1" w:styleId="h1">
    <w:name w:val="h1"/>
    <w:basedOn w:val="Normal"/>
    <w:uiPriority w:val="99"/>
    <w:rsid w:val="00BD6FD2"/>
    <w:pPr>
      <w:spacing w:after="150"/>
    </w:pPr>
    <w:rPr>
      <w:color w:val="306060"/>
      <w:sz w:val="31"/>
      <w:szCs w:val="31"/>
    </w:rPr>
  </w:style>
  <w:style w:type="paragraph" w:customStyle="1" w:styleId="h2">
    <w:name w:val="h2"/>
    <w:basedOn w:val="Normal"/>
    <w:uiPriority w:val="99"/>
    <w:rsid w:val="00BD6FD2"/>
    <w:pPr>
      <w:spacing w:before="100" w:beforeAutospacing="1" w:after="100" w:afterAutospacing="1"/>
    </w:pPr>
    <w:rPr>
      <w:color w:val="306060"/>
    </w:rPr>
  </w:style>
  <w:style w:type="paragraph" w:customStyle="1" w:styleId="a">
    <w:name w:val="a"/>
    <w:basedOn w:val="Normal"/>
    <w:uiPriority w:val="99"/>
    <w:rsid w:val="00BD6FD2"/>
    <w:pPr>
      <w:spacing w:before="100" w:beforeAutospacing="1" w:after="100" w:afterAutospacing="1"/>
    </w:pPr>
    <w:rPr>
      <w:color w:val="306060"/>
    </w:rPr>
  </w:style>
  <w:style w:type="paragraph" w:customStyle="1" w:styleId="b">
    <w:name w:val="b"/>
    <w:basedOn w:val="Normal"/>
    <w:uiPriority w:val="99"/>
    <w:rsid w:val="00BD6FD2"/>
    <w:pPr>
      <w:spacing w:before="100" w:beforeAutospacing="1" w:after="100" w:afterAutospacing="1"/>
    </w:pPr>
    <w:rPr>
      <w:color w:val="306060"/>
    </w:rPr>
  </w:style>
  <w:style w:type="paragraph" w:customStyle="1" w:styleId="body">
    <w:name w:val="body"/>
    <w:basedOn w:val="Normal"/>
    <w:uiPriority w:val="99"/>
    <w:rsid w:val="00BD6FD2"/>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BD6FD2"/>
    <w:pPr>
      <w:spacing w:before="100" w:beforeAutospacing="1" w:after="100" w:afterAutospacing="1"/>
    </w:pPr>
    <w:rPr>
      <w:color w:val="F0F8F8"/>
    </w:rPr>
  </w:style>
  <w:style w:type="paragraph" w:customStyle="1" w:styleId="radio">
    <w:name w:val="radio"/>
    <w:basedOn w:val="Normal"/>
    <w:uiPriority w:val="99"/>
    <w:rsid w:val="00BD6FD2"/>
    <w:pPr>
      <w:spacing w:before="100" w:beforeAutospacing="1" w:after="100" w:afterAutospacing="1"/>
    </w:pPr>
  </w:style>
  <w:style w:type="paragraph" w:customStyle="1" w:styleId="headcol">
    <w:name w:val="headcol"/>
    <w:basedOn w:val="Normal"/>
    <w:uiPriority w:val="99"/>
    <w:rsid w:val="00BD6FD2"/>
    <w:pPr>
      <w:spacing w:before="100" w:beforeAutospacing="1" w:after="100" w:afterAutospacing="1"/>
    </w:pPr>
    <w:rPr>
      <w:color w:val="F0F8F8"/>
    </w:rPr>
  </w:style>
  <w:style w:type="paragraph" w:customStyle="1" w:styleId="titlecol">
    <w:name w:val="titlecol"/>
    <w:basedOn w:val="Normal"/>
    <w:uiPriority w:val="99"/>
    <w:rsid w:val="00BD6FD2"/>
    <w:pPr>
      <w:spacing w:before="100" w:beforeAutospacing="1" w:after="100" w:afterAutospacing="1"/>
      <w:jc w:val="right"/>
    </w:pPr>
    <w:rPr>
      <w:b/>
      <w:bCs/>
    </w:rPr>
  </w:style>
  <w:style w:type="paragraph" w:customStyle="1" w:styleId="th">
    <w:name w:val="th"/>
    <w:basedOn w:val="Normal"/>
    <w:uiPriority w:val="99"/>
    <w:rsid w:val="00BD6FD2"/>
    <w:pPr>
      <w:spacing w:before="100" w:beforeAutospacing="1" w:after="100" w:afterAutospacing="1"/>
    </w:pPr>
    <w:rPr>
      <w:b/>
      <w:bCs/>
      <w:color w:val="333333"/>
    </w:rPr>
  </w:style>
  <w:style w:type="paragraph" w:customStyle="1" w:styleId="thr">
    <w:name w:val="thr"/>
    <w:basedOn w:val="Normal"/>
    <w:uiPriority w:val="99"/>
    <w:rsid w:val="00BD6FD2"/>
    <w:pPr>
      <w:spacing w:before="100" w:beforeAutospacing="1" w:after="100" w:afterAutospacing="1"/>
      <w:jc w:val="right"/>
    </w:pPr>
  </w:style>
  <w:style w:type="paragraph" w:customStyle="1" w:styleId="bdc">
    <w:name w:val="bdc"/>
    <w:basedOn w:val="Normal"/>
    <w:uiPriority w:val="99"/>
    <w:rsid w:val="00BD6FD2"/>
    <w:pPr>
      <w:spacing w:before="100" w:beforeAutospacing="1" w:after="100" w:afterAutospacing="1"/>
    </w:pPr>
    <w:rPr>
      <w:b/>
      <w:bCs/>
    </w:rPr>
  </w:style>
  <w:style w:type="paragraph" w:customStyle="1" w:styleId="input">
    <w:name w:val="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BD6FD2"/>
    <w:pPr>
      <w:shd w:val="clear" w:color="auto" w:fill="F0F8F8"/>
      <w:spacing w:before="100" w:beforeAutospacing="1" w:after="100" w:afterAutospacing="1"/>
    </w:pPr>
    <w:rPr>
      <w:color w:val="333333"/>
    </w:rPr>
  </w:style>
  <w:style w:type="paragraph" w:customStyle="1" w:styleId="top1">
    <w:name w:val="top1"/>
    <w:basedOn w:val="Normal"/>
    <w:uiPriority w:val="99"/>
    <w:rsid w:val="00BD6FD2"/>
    <w:pPr>
      <w:spacing w:before="100" w:beforeAutospacing="1" w:after="100" w:afterAutospacing="1"/>
    </w:pPr>
  </w:style>
  <w:style w:type="paragraph" w:customStyle="1" w:styleId="logo">
    <w:name w:val="logo"/>
    <w:basedOn w:val="Normal"/>
    <w:uiPriority w:val="99"/>
    <w:rsid w:val="00BD6FD2"/>
    <w:pPr>
      <w:spacing w:before="100" w:beforeAutospacing="1" w:after="100" w:afterAutospacing="1"/>
    </w:pPr>
  </w:style>
  <w:style w:type="paragraph" w:customStyle="1" w:styleId="top2">
    <w:name w:val="top2"/>
    <w:basedOn w:val="Normal"/>
    <w:uiPriority w:val="99"/>
    <w:rsid w:val="00BD6FD2"/>
    <w:pPr>
      <w:spacing w:before="100" w:beforeAutospacing="1" w:after="100" w:afterAutospacing="1"/>
    </w:pPr>
  </w:style>
  <w:style w:type="paragraph" w:customStyle="1" w:styleId="hline">
    <w:name w:val="hline"/>
    <w:basedOn w:val="Normal"/>
    <w:uiPriority w:val="99"/>
    <w:rsid w:val="00BD6FD2"/>
    <w:pPr>
      <w:spacing w:before="100" w:beforeAutospacing="1" w:after="100" w:afterAutospacing="1"/>
    </w:pPr>
  </w:style>
  <w:style w:type="paragraph" w:customStyle="1" w:styleId="vline">
    <w:name w:val="vline"/>
    <w:basedOn w:val="Normal"/>
    <w:uiPriority w:val="99"/>
    <w:rsid w:val="00BD6FD2"/>
    <w:pPr>
      <w:spacing w:before="100" w:beforeAutospacing="1" w:after="100" w:afterAutospacing="1"/>
    </w:pPr>
  </w:style>
  <w:style w:type="paragraph" w:customStyle="1" w:styleId="zvabri">
    <w:name w:val="zvabri"/>
    <w:basedOn w:val="Normal"/>
    <w:uiPriority w:val="99"/>
    <w:rsid w:val="00BD6FD2"/>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BD6F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6FD2"/>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BD6F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D6FD2"/>
    <w:rPr>
      <w:rFonts w:ascii="Arial" w:eastAsia="Times New Roman" w:hAnsi="Arial" w:cs="Arial"/>
      <w:vanish/>
      <w:sz w:val="16"/>
      <w:szCs w:val="16"/>
      <w:lang w:eastAsia="lv-LV"/>
    </w:rPr>
  </w:style>
  <w:style w:type="paragraph" w:styleId="NormalWeb">
    <w:name w:val="Normal (Web)"/>
    <w:basedOn w:val="Normal"/>
    <w:uiPriority w:val="99"/>
    <w:rsid w:val="00BD6FD2"/>
    <w:pPr>
      <w:spacing w:before="100" w:beforeAutospacing="1" w:after="100" w:afterAutospacing="1"/>
    </w:pPr>
  </w:style>
  <w:style w:type="paragraph" w:customStyle="1" w:styleId="naisf">
    <w:name w:val="naisf"/>
    <w:basedOn w:val="Normal"/>
    <w:uiPriority w:val="99"/>
    <w:rsid w:val="00BD6FD2"/>
    <w:pPr>
      <w:spacing w:before="75" w:after="75"/>
      <w:ind w:firstLine="375"/>
      <w:jc w:val="both"/>
    </w:pPr>
  </w:style>
  <w:style w:type="paragraph" w:customStyle="1" w:styleId="nais1">
    <w:name w:val="nais1"/>
    <w:basedOn w:val="Normal"/>
    <w:uiPriority w:val="99"/>
    <w:rsid w:val="00BD6FD2"/>
    <w:pPr>
      <w:spacing w:before="75" w:after="75"/>
      <w:ind w:left="450" w:firstLine="375"/>
      <w:jc w:val="both"/>
    </w:pPr>
  </w:style>
  <w:style w:type="paragraph" w:customStyle="1" w:styleId="nais2">
    <w:name w:val="nais2"/>
    <w:basedOn w:val="Normal"/>
    <w:uiPriority w:val="99"/>
    <w:rsid w:val="00BD6FD2"/>
    <w:pPr>
      <w:spacing w:before="75" w:after="75"/>
      <w:ind w:left="900" w:firstLine="375"/>
      <w:jc w:val="both"/>
    </w:pPr>
  </w:style>
  <w:style w:type="paragraph" w:customStyle="1" w:styleId="naispant">
    <w:name w:val="naispant"/>
    <w:basedOn w:val="Normal"/>
    <w:uiPriority w:val="99"/>
    <w:rsid w:val="00BD6FD2"/>
    <w:pPr>
      <w:spacing w:before="75" w:after="75"/>
      <w:ind w:left="375" w:firstLine="375"/>
      <w:jc w:val="both"/>
    </w:pPr>
    <w:rPr>
      <w:b/>
      <w:bCs/>
    </w:rPr>
  </w:style>
  <w:style w:type="paragraph" w:customStyle="1" w:styleId="naisvisr">
    <w:name w:val="naisvisr"/>
    <w:basedOn w:val="Normal"/>
    <w:uiPriority w:val="99"/>
    <w:rsid w:val="00BD6FD2"/>
    <w:pPr>
      <w:spacing w:before="150" w:after="150"/>
      <w:jc w:val="center"/>
    </w:pPr>
    <w:rPr>
      <w:b/>
      <w:bCs/>
      <w:sz w:val="28"/>
      <w:szCs w:val="28"/>
    </w:rPr>
  </w:style>
  <w:style w:type="paragraph" w:customStyle="1" w:styleId="naisnod">
    <w:name w:val="naisnod"/>
    <w:basedOn w:val="Normal"/>
    <w:rsid w:val="00BD6FD2"/>
    <w:pPr>
      <w:spacing w:before="150" w:after="150"/>
      <w:jc w:val="center"/>
    </w:pPr>
    <w:rPr>
      <w:b/>
      <w:bCs/>
    </w:rPr>
  </w:style>
  <w:style w:type="paragraph" w:customStyle="1" w:styleId="naislab">
    <w:name w:val="naislab"/>
    <w:basedOn w:val="Normal"/>
    <w:rsid w:val="00BD6FD2"/>
    <w:pPr>
      <w:spacing w:before="75" w:after="75"/>
      <w:jc w:val="right"/>
    </w:pPr>
  </w:style>
  <w:style w:type="paragraph" w:customStyle="1" w:styleId="naiskr">
    <w:name w:val="naiskr"/>
    <w:basedOn w:val="Normal"/>
    <w:rsid w:val="00BD6FD2"/>
    <w:pPr>
      <w:spacing w:before="75" w:after="75"/>
    </w:pPr>
  </w:style>
  <w:style w:type="paragraph" w:customStyle="1" w:styleId="naisc">
    <w:name w:val="naisc"/>
    <w:basedOn w:val="Normal"/>
    <w:rsid w:val="00BD6FD2"/>
    <w:pPr>
      <w:spacing w:before="75" w:after="75"/>
      <w:jc w:val="center"/>
    </w:pPr>
  </w:style>
  <w:style w:type="character" w:styleId="Strong">
    <w:name w:val="Strong"/>
    <w:basedOn w:val="DefaultParagraphFont"/>
    <w:uiPriority w:val="22"/>
    <w:qFormat/>
    <w:rsid w:val="00BD6FD2"/>
    <w:rPr>
      <w:rFonts w:cs="Times New Roman"/>
      <w:b/>
      <w:bCs/>
    </w:rPr>
  </w:style>
  <w:style w:type="character" w:customStyle="1" w:styleId="th1">
    <w:name w:val="th1"/>
    <w:basedOn w:val="DefaultParagraphFont"/>
    <w:uiPriority w:val="99"/>
    <w:rsid w:val="00BD6FD2"/>
    <w:rPr>
      <w:rFonts w:cs="Times New Roman"/>
      <w:b/>
      <w:bCs/>
      <w:color w:val="333333"/>
    </w:rPr>
  </w:style>
  <w:style w:type="character" w:styleId="Emphasis">
    <w:name w:val="Emphasis"/>
    <w:basedOn w:val="DefaultParagraphFont"/>
    <w:uiPriority w:val="20"/>
    <w:qFormat/>
    <w:rsid w:val="00BD6FD2"/>
    <w:rPr>
      <w:rFonts w:cs="Times New Roman"/>
      <w:i/>
      <w:iCs/>
    </w:rPr>
  </w:style>
  <w:style w:type="paragraph" w:styleId="BalloonText">
    <w:name w:val="Balloon Text"/>
    <w:basedOn w:val="Normal"/>
    <w:link w:val="BalloonTextChar"/>
    <w:uiPriority w:val="99"/>
    <w:semiHidden/>
    <w:rsid w:val="00BD6FD2"/>
    <w:rPr>
      <w:rFonts w:ascii="Tahoma" w:hAnsi="Tahoma" w:cs="Tahoma"/>
      <w:sz w:val="16"/>
      <w:szCs w:val="16"/>
    </w:rPr>
  </w:style>
  <w:style w:type="character" w:customStyle="1" w:styleId="BalloonTextChar">
    <w:name w:val="Balloon Text Char"/>
    <w:basedOn w:val="DefaultParagraphFont"/>
    <w:link w:val="BalloonText"/>
    <w:uiPriority w:val="99"/>
    <w:semiHidden/>
    <w:rsid w:val="00BD6FD2"/>
    <w:rPr>
      <w:rFonts w:ascii="Tahoma" w:eastAsia="Times New Roman" w:hAnsi="Tahoma" w:cs="Tahoma"/>
      <w:sz w:val="16"/>
      <w:szCs w:val="16"/>
      <w:lang w:eastAsia="lv-LV"/>
    </w:rPr>
  </w:style>
  <w:style w:type="table" w:styleId="TableGrid">
    <w:name w:val="Table Grid"/>
    <w:basedOn w:val="TableNormal"/>
    <w:uiPriority w:val="99"/>
    <w:rsid w:val="00BD6F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BD6FD2"/>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BD6FD2"/>
    <w:rPr>
      <w:rFonts w:ascii="Times New Roman" w:eastAsia="Times New Roman" w:hAnsi="Times New Roman" w:cs="Times New Roman"/>
      <w:sz w:val="28"/>
      <w:szCs w:val="28"/>
    </w:rPr>
  </w:style>
  <w:style w:type="paragraph" w:styleId="Header">
    <w:name w:val="header"/>
    <w:basedOn w:val="Normal"/>
    <w:link w:val="HeaderChar"/>
    <w:uiPriority w:val="99"/>
    <w:rsid w:val="00BD6FD2"/>
    <w:pPr>
      <w:tabs>
        <w:tab w:val="center" w:pos="4153"/>
        <w:tab w:val="right" w:pos="8306"/>
      </w:tabs>
    </w:pPr>
  </w:style>
  <w:style w:type="character" w:customStyle="1" w:styleId="HeaderChar">
    <w:name w:val="Header Char"/>
    <w:basedOn w:val="DefaultParagraphFont"/>
    <w:link w:val="Header"/>
    <w:uiPriority w:val="99"/>
    <w:rsid w:val="00BD6FD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BD6FD2"/>
    <w:rPr>
      <w:rFonts w:cs="Times New Roman"/>
    </w:rPr>
  </w:style>
  <w:style w:type="paragraph" w:styleId="Footer">
    <w:name w:val="footer"/>
    <w:basedOn w:val="Normal"/>
    <w:link w:val="FooterChar"/>
    <w:uiPriority w:val="99"/>
    <w:rsid w:val="00BD6FD2"/>
    <w:pPr>
      <w:tabs>
        <w:tab w:val="center" w:pos="4153"/>
        <w:tab w:val="right" w:pos="8306"/>
      </w:tabs>
    </w:pPr>
  </w:style>
  <w:style w:type="character" w:customStyle="1" w:styleId="FooterChar">
    <w:name w:val="Footer Char"/>
    <w:basedOn w:val="DefaultParagraphFont"/>
    <w:link w:val="Footer"/>
    <w:uiPriority w:val="99"/>
    <w:rsid w:val="00BD6FD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D6FD2"/>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BD6FD2"/>
    <w:rPr>
      <w:sz w:val="16"/>
      <w:szCs w:val="16"/>
    </w:rPr>
  </w:style>
  <w:style w:type="paragraph" w:styleId="CommentText">
    <w:name w:val="annotation text"/>
    <w:basedOn w:val="Normal"/>
    <w:link w:val="CommentTextChar"/>
    <w:uiPriority w:val="99"/>
    <w:unhideWhenUsed/>
    <w:rsid w:val="00BD6FD2"/>
    <w:rPr>
      <w:sz w:val="20"/>
      <w:szCs w:val="20"/>
    </w:rPr>
  </w:style>
  <w:style w:type="character" w:customStyle="1" w:styleId="CommentTextChar">
    <w:name w:val="Comment Text Char"/>
    <w:basedOn w:val="DefaultParagraphFont"/>
    <w:link w:val="CommentText"/>
    <w:uiPriority w:val="99"/>
    <w:rsid w:val="00BD6F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D6FD2"/>
    <w:rPr>
      <w:b/>
      <w:bCs/>
    </w:rPr>
  </w:style>
  <w:style w:type="character" w:customStyle="1" w:styleId="CommentSubjectChar">
    <w:name w:val="Comment Subject Char"/>
    <w:basedOn w:val="CommentTextChar"/>
    <w:link w:val="CommentSubject"/>
    <w:uiPriority w:val="99"/>
    <w:semiHidden/>
    <w:rsid w:val="00BD6FD2"/>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BD6FD2"/>
    <w:pPr>
      <w:spacing w:after="120"/>
    </w:pPr>
    <w:rPr>
      <w:rFonts w:cs="Arial"/>
      <w:bCs/>
      <w:kern w:val="32"/>
      <w:sz w:val="28"/>
      <w:szCs w:val="32"/>
      <w:lang w:eastAsia="en-US"/>
    </w:rPr>
  </w:style>
  <w:style w:type="character" w:customStyle="1" w:styleId="BodyTextChar">
    <w:name w:val="Body Text Char"/>
    <w:basedOn w:val="DefaultParagraphFont"/>
    <w:link w:val="BodyText"/>
    <w:rsid w:val="00BD6FD2"/>
    <w:rPr>
      <w:rFonts w:ascii="Times New Roman" w:eastAsia="Times New Roman" w:hAnsi="Times New Roman" w:cs="Arial"/>
      <w:bCs/>
      <w:kern w:val="32"/>
      <w:sz w:val="28"/>
      <w:szCs w:val="32"/>
    </w:rPr>
  </w:style>
  <w:style w:type="paragraph" w:customStyle="1" w:styleId="tvhtmlmktable">
    <w:name w:val="tv_html mk_table"/>
    <w:basedOn w:val="Normal"/>
    <w:rsid w:val="00BD6FD2"/>
    <w:pPr>
      <w:spacing w:before="100" w:beforeAutospacing="1" w:after="100" w:afterAutospacing="1"/>
    </w:pPr>
  </w:style>
  <w:style w:type="paragraph" w:customStyle="1" w:styleId="Noteikumutekstam">
    <w:name w:val="Noteikumu tekstam"/>
    <w:basedOn w:val="Normal"/>
    <w:link w:val="NoteikumutekstamRakstz"/>
    <w:autoRedefine/>
    <w:rsid w:val="00BD6FD2"/>
    <w:pPr>
      <w:tabs>
        <w:tab w:val="left" w:pos="127"/>
      </w:tabs>
      <w:spacing w:after="240"/>
      <w:ind w:left="127" w:right="125" w:hanging="15"/>
      <w:jc w:val="both"/>
    </w:pPr>
  </w:style>
  <w:style w:type="character" w:customStyle="1" w:styleId="NoteikumutekstamRakstz">
    <w:name w:val="Noteikumu tekstam Rakstz."/>
    <w:basedOn w:val="DefaultParagraphFont"/>
    <w:link w:val="Noteikumutekstam"/>
    <w:rsid w:val="00BD6FD2"/>
    <w:rPr>
      <w:rFonts w:ascii="Times New Roman" w:eastAsia="Times New Roman" w:hAnsi="Times New Roman" w:cs="Times New Roman"/>
      <w:sz w:val="24"/>
      <w:szCs w:val="24"/>
      <w:lang w:eastAsia="lv-LV"/>
    </w:rPr>
  </w:style>
  <w:style w:type="paragraph" w:customStyle="1" w:styleId="Noteikumuapakpunkti">
    <w:name w:val="Noteikumu apakšpunkti"/>
    <w:basedOn w:val="Noteikumutekstam"/>
    <w:rsid w:val="00BD6FD2"/>
    <w:pPr>
      <w:numPr>
        <w:ilvl w:val="1"/>
        <w:numId w:val="2"/>
      </w:numPr>
      <w:ind w:right="0"/>
    </w:pPr>
    <w:rPr>
      <w:sz w:val="22"/>
      <w:szCs w:val="22"/>
    </w:rPr>
  </w:style>
  <w:style w:type="paragraph" w:customStyle="1" w:styleId="Noteikumuapakpunkti2">
    <w:name w:val="Noteikumu apakšpunkti_2"/>
    <w:basedOn w:val="Noteikumuapakpunkti"/>
    <w:rsid w:val="00BD6FD2"/>
    <w:pPr>
      <w:numPr>
        <w:ilvl w:val="2"/>
      </w:numPr>
    </w:pPr>
  </w:style>
  <w:style w:type="paragraph" w:customStyle="1" w:styleId="Noteikumuapakpunkt3">
    <w:name w:val="Noteikumu apakšpunkt_3"/>
    <w:basedOn w:val="Noteikumuapakpunkti2"/>
    <w:rsid w:val="00BD6FD2"/>
    <w:pPr>
      <w:numPr>
        <w:ilvl w:val="3"/>
      </w:numPr>
    </w:pPr>
  </w:style>
  <w:style w:type="paragraph" w:customStyle="1" w:styleId="NormalMK">
    <w:name w:val="Normal MK"/>
    <w:basedOn w:val="Normal"/>
    <w:rsid w:val="00BD6FD2"/>
    <w:rPr>
      <w:rFonts w:ascii="RimTimes" w:hAnsi="RimTimes"/>
      <w:sz w:val="28"/>
      <w:szCs w:val="20"/>
      <w:lang w:eastAsia="en-US"/>
    </w:rPr>
  </w:style>
  <w:style w:type="character" w:customStyle="1" w:styleId="spelle">
    <w:name w:val="spelle"/>
    <w:basedOn w:val="DefaultParagraphFont"/>
    <w:rsid w:val="00BD6FD2"/>
  </w:style>
  <w:style w:type="paragraph" w:styleId="BodyText2">
    <w:name w:val="Body Text 2"/>
    <w:basedOn w:val="Normal"/>
    <w:link w:val="BodyText2Char"/>
    <w:uiPriority w:val="99"/>
    <w:unhideWhenUsed/>
    <w:rsid w:val="00BD6FD2"/>
    <w:pPr>
      <w:spacing w:after="120" w:line="480" w:lineRule="auto"/>
    </w:pPr>
  </w:style>
  <w:style w:type="character" w:customStyle="1" w:styleId="BodyText2Char">
    <w:name w:val="Body Text 2 Char"/>
    <w:basedOn w:val="DefaultParagraphFont"/>
    <w:link w:val="BodyText2"/>
    <w:uiPriority w:val="99"/>
    <w:rsid w:val="00BD6FD2"/>
    <w:rPr>
      <w:rFonts w:ascii="Times New Roman" w:eastAsia="Times New Roman" w:hAnsi="Times New Roman" w:cs="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qFormat/>
    <w:rsid w:val="00BD6FD2"/>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BD6FD2"/>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qFormat/>
    <w:rsid w:val="00BD6FD2"/>
    <w:rPr>
      <w:vertAlign w:val="superscript"/>
    </w:rPr>
  </w:style>
  <w:style w:type="paragraph" w:customStyle="1" w:styleId="CharChar1CharRakstzRakstz">
    <w:name w:val="Char Char1 Char Rakstz. Rakstz."/>
    <w:basedOn w:val="Normal"/>
    <w:rsid w:val="00BD6FD2"/>
    <w:pPr>
      <w:spacing w:after="160" w:line="240" w:lineRule="exact"/>
    </w:pPr>
    <w:rPr>
      <w:rFonts w:ascii="Tahoma" w:hAnsi="Tahoma"/>
      <w:sz w:val="20"/>
      <w:szCs w:val="20"/>
      <w:lang w:val="en-US" w:eastAsia="en-US"/>
    </w:rPr>
  </w:style>
  <w:style w:type="paragraph" w:customStyle="1" w:styleId="1">
    <w:name w:val="1."/>
    <w:basedOn w:val="Heading1"/>
    <w:link w:val="1Char"/>
    <w:uiPriority w:val="99"/>
    <w:rsid w:val="00BD6FD2"/>
    <w:pPr>
      <w:keepNext/>
      <w:keepLines/>
      <w:spacing w:before="120" w:beforeAutospacing="0" w:after="120" w:afterAutospacing="0"/>
      <w:ind w:hanging="11"/>
      <w:jc w:val="center"/>
    </w:pPr>
    <w:rPr>
      <w:kern w:val="0"/>
      <w:sz w:val="28"/>
      <w:szCs w:val="28"/>
      <w:lang w:eastAsia="en-US"/>
    </w:rPr>
  </w:style>
  <w:style w:type="character" w:customStyle="1" w:styleId="1Char">
    <w:name w:val="1. Char"/>
    <w:basedOn w:val="Heading1Char"/>
    <w:link w:val="1"/>
    <w:uiPriority w:val="99"/>
    <w:locked/>
    <w:rsid w:val="00BD6FD2"/>
    <w:rPr>
      <w:rFonts w:ascii="Times New Roman" w:eastAsia="Times New Roman" w:hAnsi="Times New Roman" w:cs="Times New Roman"/>
      <w:b/>
      <w:bCs/>
      <w:kern w:val="36"/>
      <w:sz w:val="28"/>
      <w:szCs w:val="28"/>
      <w:lang w:eastAsia="lv-LV"/>
    </w:rPr>
  </w:style>
  <w:style w:type="paragraph" w:customStyle="1" w:styleId="bullet">
    <w:name w:val="bullet"/>
    <w:basedOn w:val="Normal"/>
    <w:uiPriority w:val="99"/>
    <w:rsid w:val="00BD6FD2"/>
    <w:pPr>
      <w:numPr>
        <w:numId w:val="3"/>
      </w:numPr>
      <w:spacing w:after="120"/>
      <w:ind w:left="714" w:hanging="357"/>
      <w:jc w:val="both"/>
    </w:pPr>
    <w:rPr>
      <w:bCs/>
      <w:szCs w:val="20"/>
      <w:lang w:eastAsia="en-US"/>
    </w:rPr>
  </w:style>
  <w:style w:type="character" w:customStyle="1" w:styleId="apple-style-span">
    <w:name w:val="apple-style-span"/>
    <w:basedOn w:val="DefaultParagraphFont"/>
    <w:uiPriority w:val="99"/>
    <w:rsid w:val="00BD6FD2"/>
    <w:rPr>
      <w:rFonts w:cs="Times New Roman"/>
    </w:rPr>
  </w:style>
  <w:style w:type="character" w:customStyle="1" w:styleId="apple-converted-space">
    <w:name w:val="apple-converted-space"/>
    <w:basedOn w:val="DefaultParagraphFont"/>
    <w:uiPriority w:val="99"/>
    <w:rsid w:val="00BD6FD2"/>
    <w:rPr>
      <w:rFonts w:cs="Times New Roman"/>
    </w:rPr>
  </w:style>
  <w:style w:type="paragraph" w:customStyle="1" w:styleId="Default">
    <w:name w:val="Default"/>
    <w:rsid w:val="00BD6FD2"/>
    <w:pPr>
      <w:autoSpaceDE w:val="0"/>
      <w:autoSpaceDN w:val="0"/>
      <w:adjustRightInd w:val="0"/>
      <w:spacing w:after="0" w:line="240" w:lineRule="auto"/>
    </w:pPr>
    <w:rPr>
      <w:rFonts w:ascii="Calibri" w:eastAsia="Times New Roman" w:hAnsi="Calibri" w:cs="Calibri"/>
      <w:color w:val="000000"/>
      <w:sz w:val="24"/>
      <w:szCs w:val="24"/>
      <w:lang w:eastAsia="lv-LV"/>
    </w:rPr>
  </w:style>
  <w:style w:type="paragraph" w:customStyle="1" w:styleId="CharChar1CharRakstzCharChar">
    <w:name w:val="Char Char1 Char Rakstz. Char Char"/>
    <w:basedOn w:val="Normal"/>
    <w:rsid w:val="00BD6FD2"/>
    <w:rPr>
      <w:lang w:val="pl-PL" w:eastAsia="pl-PL"/>
    </w:rPr>
  </w:style>
  <w:style w:type="character" w:customStyle="1" w:styleId="FontStyle15">
    <w:name w:val="Font Style15"/>
    <w:basedOn w:val="DefaultParagraphFont"/>
    <w:rsid w:val="002E7149"/>
    <w:rPr>
      <w:rFonts w:ascii="Times New Roman" w:hAnsi="Times New Roman" w:cs="Times New Roman"/>
      <w:b/>
      <w:bCs/>
      <w:sz w:val="22"/>
      <w:szCs w:val="22"/>
    </w:rPr>
  </w:style>
  <w:style w:type="paragraph" w:styleId="HTMLPreformatted">
    <w:name w:val="HTML Preformatted"/>
    <w:basedOn w:val="Normal"/>
    <w:link w:val="HTMLPreformattedChar"/>
    <w:rsid w:val="00F2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20A93"/>
    <w:rPr>
      <w:rFonts w:ascii="Courier New" w:eastAsia="Times New Roman" w:hAnsi="Courier New" w:cs="Courier New"/>
      <w:sz w:val="20"/>
      <w:szCs w:val="20"/>
      <w:lang w:eastAsia="lv-LV"/>
    </w:rPr>
  </w:style>
  <w:style w:type="character" w:customStyle="1" w:styleId="FontStyle16">
    <w:name w:val="Font Style16"/>
    <w:basedOn w:val="DefaultParagraphFont"/>
    <w:uiPriority w:val="99"/>
    <w:rsid w:val="005115FE"/>
    <w:rPr>
      <w:rFonts w:ascii="Times New Roman" w:hAnsi="Times New Roman" w:cs="Times New Roman"/>
      <w:sz w:val="22"/>
      <w:szCs w:val="22"/>
    </w:rPr>
  </w:style>
  <w:style w:type="paragraph" w:customStyle="1" w:styleId="tvhtml">
    <w:name w:val="tv_html"/>
    <w:basedOn w:val="Normal"/>
    <w:rsid w:val="001671A2"/>
    <w:pPr>
      <w:spacing w:before="100" w:beforeAutospacing="1" w:after="100" w:afterAutospacing="1"/>
    </w:pPr>
    <w:rPr>
      <w:rFonts w:ascii="Verdana" w:eastAsia="Calibri" w:hAnsi="Verdana"/>
      <w:sz w:val="18"/>
      <w:szCs w:val="18"/>
    </w:rPr>
  </w:style>
  <w:style w:type="paragraph" w:customStyle="1" w:styleId="Normaltext">
    <w:name w:val="Normal text"/>
    <w:basedOn w:val="Normal"/>
    <w:link w:val="NormaltextChar"/>
    <w:rsid w:val="0091482B"/>
    <w:pPr>
      <w:spacing w:line="360" w:lineRule="auto"/>
      <w:ind w:firstLine="720"/>
      <w:jc w:val="both"/>
    </w:pPr>
    <w:rPr>
      <w:lang w:eastAsia="en-US"/>
    </w:rPr>
  </w:style>
  <w:style w:type="character" w:customStyle="1" w:styleId="NormaltextChar">
    <w:name w:val="Normal text Char"/>
    <w:basedOn w:val="DefaultParagraphFont"/>
    <w:link w:val="Normaltext"/>
    <w:rsid w:val="0091482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F4FDB"/>
    <w:pPr>
      <w:spacing w:after="120"/>
      <w:ind w:left="283"/>
    </w:pPr>
  </w:style>
  <w:style w:type="character" w:customStyle="1" w:styleId="BodyTextIndentChar">
    <w:name w:val="Body Text Indent Char"/>
    <w:basedOn w:val="DefaultParagraphFont"/>
    <w:link w:val="BodyTextIndent"/>
    <w:uiPriority w:val="99"/>
    <w:semiHidden/>
    <w:rsid w:val="00EF4FDB"/>
    <w:rPr>
      <w:rFonts w:ascii="Times New Roman" w:eastAsia="Times New Roman" w:hAnsi="Times New Roman" w:cs="Times New Roman"/>
      <w:sz w:val="24"/>
      <w:szCs w:val="24"/>
      <w:lang w:eastAsia="lv-LV"/>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8523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5123AA"/>
    <w:pPr>
      <w:spacing w:after="0" w:line="240" w:lineRule="auto"/>
    </w:pPr>
    <w:rPr>
      <w:rFonts w:ascii="Times New Roman" w:eastAsia="Times New Roman" w:hAnsi="Times New Roman" w:cs="Times New Roman"/>
      <w:sz w:val="24"/>
      <w:szCs w:val="20"/>
      <w:lang w:val="en-AU" w:eastAsia="lv-LV"/>
    </w:rPr>
  </w:style>
  <w:style w:type="paragraph" w:customStyle="1" w:styleId="tv213">
    <w:name w:val="tv213"/>
    <w:basedOn w:val="Normal"/>
    <w:rsid w:val="00766134"/>
    <w:pPr>
      <w:spacing w:before="100" w:beforeAutospacing="1" w:after="100" w:afterAutospacing="1"/>
    </w:p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6F6AC1"/>
    <w:pPr>
      <w:spacing w:after="160" w:line="240" w:lineRule="exact"/>
      <w:jc w:val="both"/>
    </w:pPr>
    <w:rPr>
      <w:rFonts w:ascii="Calibri" w:eastAsia="Calibri" w:hAnsi="Calibri"/>
      <w:sz w:val="22"/>
      <w:szCs w:val="22"/>
      <w:vertAlign w:val="superscript"/>
      <w:lang w:eastAsia="en-US"/>
    </w:rPr>
  </w:style>
  <w:style w:type="character" w:styleId="UnresolvedMention">
    <w:name w:val="Unresolved Mention"/>
    <w:basedOn w:val="DefaultParagraphFont"/>
    <w:uiPriority w:val="99"/>
    <w:semiHidden/>
    <w:unhideWhenUsed/>
    <w:rsid w:val="00AA5833"/>
    <w:rPr>
      <w:color w:val="605E5C"/>
      <w:shd w:val="clear" w:color="auto" w:fill="E1DFDD"/>
    </w:rPr>
  </w:style>
  <w:style w:type="paragraph" w:styleId="Revision">
    <w:name w:val="Revision"/>
    <w:hidden/>
    <w:uiPriority w:val="99"/>
    <w:semiHidden/>
    <w:rsid w:val="00A1334D"/>
    <w:pPr>
      <w:spacing w:after="0"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646634"/>
  </w:style>
  <w:style w:type="paragraph" w:customStyle="1" w:styleId="paragraph">
    <w:name w:val="paragraph"/>
    <w:basedOn w:val="Normal"/>
    <w:rsid w:val="00646634"/>
    <w:pPr>
      <w:spacing w:before="100" w:beforeAutospacing="1" w:after="100" w:afterAutospacing="1"/>
    </w:pPr>
  </w:style>
  <w:style w:type="character" w:customStyle="1" w:styleId="findhit">
    <w:name w:val="findhit"/>
    <w:basedOn w:val="DefaultParagraphFont"/>
    <w:rsid w:val="00646634"/>
  </w:style>
  <w:style w:type="character" w:customStyle="1" w:styleId="eop">
    <w:name w:val="eop"/>
    <w:basedOn w:val="DefaultParagraphFont"/>
    <w:rsid w:val="00646634"/>
  </w:style>
  <w:style w:type="character" w:customStyle="1" w:styleId="spellingerror">
    <w:name w:val="spellingerror"/>
    <w:basedOn w:val="DefaultParagraphFont"/>
    <w:rsid w:val="00646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177">
      <w:bodyDiv w:val="1"/>
      <w:marLeft w:val="0"/>
      <w:marRight w:val="0"/>
      <w:marTop w:val="0"/>
      <w:marBottom w:val="0"/>
      <w:divBdr>
        <w:top w:val="none" w:sz="0" w:space="0" w:color="auto"/>
        <w:left w:val="none" w:sz="0" w:space="0" w:color="auto"/>
        <w:bottom w:val="none" w:sz="0" w:space="0" w:color="auto"/>
        <w:right w:val="none" w:sz="0" w:space="0" w:color="auto"/>
      </w:divBdr>
    </w:div>
    <w:div w:id="39743634">
      <w:bodyDiv w:val="1"/>
      <w:marLeft w:val="0"/>
      <w:marRight w:val="0"/>
      <w:marTop w:val="0"/>
      <w:marBottom w:val="0"/>
      <w:divBdr>
        <w:top w:val="none" w:sz="0" w:space="0" w:color="auto"/>
        <w:left w:val="none" w:sz="0" w:space="0" w:color="auto"/>
        <w:bottom w:val="none" w:sz="0" w:space="0" w:color="auto"/>
        <w:right w:val="none" w:sz="0" w:space="0" w:color="auto"/>
      </w:divBdr>
    </w:div>
    <w:div w:id="40834312">
      <w:bodyDiv w:val="1"/>
      <w:marLeft w:val="0"/>
      <w:marRight w:val="0"/>
      <w:marTop w:val="0"/>
      <w:marBottom w:val="0"/>
      <w:divBdr>
        <w:top w:val="none" w:sz="0" w:space="0" w:color="auto"/>
        <w:left w:val="none" w:sz="0" w:space="0" w:color="auto"/>
        <w:bottom w:val="none" w:sz="0" w:space="0" w:color="auto"/>
        <w:right w:val="none" w:sz="0" w:space="0" w:color="auto"/>
      </w:divBdr>
    </w:div>
    <w:div w:id="88164915">
      <w:bodyDiv w:val="1"/>
      <w:marLeft w:val="0"/>
      <w:marRight w:val="0"/>
      <w:marTop w:val="0"/>
      <w:marBottom w:val="0"/>
      <w:divBdr>
        <w:top w:val="none" w:sz="0" w:space="0" w:color="auto"/>
        <w:left w:val="none" w:sz="0" w:space="0" w:color="auto"/>
        <w:bottom w:val="none" w:sz="0" w:space="0" w:color="auto"/>
        <w:right w:val="none" w:sz="0" w:space="0" w:color="auto"/>
      </w:divBdr>
    </w:div>
    <w:div w:id="93019978">
      <w:bodyDiv w:val="1"/>
      <w:marLeft w:val="0"/>
      <w:marRight w:val="0"/>
      <w:marTop w:val="0"/>
      <w:marBottom w:val="0"/>
      <w:divBdr>
        <w:top w:val="none" w:sz="0" w:space="0" w:color="auto"/>
        <w:left w:val="none" w:sz="0" w:space="0" w:color="auto"/>
        <w:bottom w:val="none" w:sz="0" w:space="0" w:color="auto"/>
        <w:right w:val="none" w:sz="0" w:space="0" w:color="auto"/>
      </w:divBdr>
    </w:div>
    <w:div w:id="99224365">
      <w:bodyDiv w:val="1"/>
      <w:marLeft w:val="0"/>
      <w:marRight w:val="0"/>
      <w:marTop w:val="0"/>
      <w:marBottom w:val="0"/>
      <w:divBdr>
        <w:top w:val="none" w:sz="0" w:space="0" w:color="auto"/>
        <w:left w:val="none" w:sz="0" w:space="0" w:color="auto"/>
        <w:bottom w:val="none" w:sz="0" w:space="0" w:color="auto"/>
        <w:right w:val="none" w:sz="0" w:space="0" w:color="auto"/>
      </w:divBdr>
    </w:div>
    <w:div w:id="189611603">
      <w:bodyDiv w:val="1"/>
      <w:marLeft w:val="0"/>
      <w:marRight w:val="0"/>
      <w:marTop w:val="0"/>
      <w:marBottom w:val="0"/>
      <w:divBdr>
        <w:top w:val="none" w:sz="0" w:space="0" w:color="auto"/>
        <w:left w:val="none" w:sz="0" w:space="0" w:color="auto"/>
        <w:bottom w:val="none" w:sz="0" w:space="0" w:color="auto"/>
        <w:right w:val="none" w:sz="0" w:space="0" w:color="auto"/>
      </w:divBdr>
    </w:div>
    <w:div w:id="240022286">
      <w:bodyDiv w:val="1"/>
      <w:marLeft w:val="0"/>
      <w:marRight w:val="0"/>
      <w:marTop w:val="0"/>
      <w:marBottom w:val="0"/>
      <w:divBdr>
        <w:top w:val="none" w:sz="0" w:space="0" w:color="auto"/>
        <w:left w:val="none" w:sz="0" w:space="0" w:color="auto"/>
        <w:bottom w:val="none" w:sz="0" w:space="0" w:color="auto"/>
        <w:right w:val="none" w:sz="0" w:space="0" w:color="auto"/>
      </w:divBdr>
    </w:div>
    <w:div w:id="275020845">
      <w:bodyDiv w:val="1"/>
      <w:marLeft w:val="0"/>
      <w:marRight w:val="0"/>
      <w:marTop w:val="0"/>
      <w:marBottom w:val="0"/>
      <w:divBdr>
        <w:top w:val="none" w:sz="0" w:space="0" w:color="auto"/>
        <w:left w:val="none" w:sz="0" w:space="0" w:color="auto"/>
        <w:bottom w:val="none" w:sz="0" w:space="0" w:color="auto"/>
        <w:right w:val="none" w:sz="0" w:space="0" w:color="auto"/>
      </w:divBdr>
    </w:div>
    <w:div w:id="281571088">
      <w:bodyDiv w:val="1"/>
      <w:marLeft w:val="0"/>
      <w:marRight w:val="0"/>
      <w:marTop w:val="0"/>
      <w:marBottom w:val="0"/>
      <w:divBdr>
        <w:top w:val="none" w:sz="0" w:space="0" w:color="auto"/>
        <w:left w:val="none" w:sz="0" w:space="0" w:color="auto"/>
        <w:bottom w:val="none" w:sz="0" w:space="0" w:color="auto"/>
        <w:right w:val="none" w:sz="0" w:space="0" w:color="auto"/>
      </w:divBdr>
    </w:div>
    <w:div w:id="288049942">
      <w:bodyDiv w:val="1"/>
      <w:marLeft w:val="0"/>
      <w:marRight w:val="0"/>
      <w:marTop w:val="0"/>
      <w:marBottom w:val="0"/>
      <w:divBdr>
        <w:top w:val="none" w:sz="0" w:space="0" w:color="auto"/>
        <w:left w:val="none" w:sz="0" w:space="0" w:color="auto"/>
        <w:bottom w:val="none" w:sz="0" w:space="0" w:color="auto"/>
        <w:right w:val="none" w:sz="0" w:space="0" w:color="auto"/>
      </w:divBdr>
    </w:div>
    <w:div w:id="339744060">
      <w:bodyDiv w:val="1"/>
      <w:marLeft w:val="0"/>
      <w:marRight w:val="0"/>
      <w:marTop w:val="0"/>
      <w:marBottom w:val="0"/>
      <w:divBdr>
        <w:top w:val="none" w:sz="0" w:space="0" w:color="auto"/>
        <w:left w:val="none" w:sz="0" w:space="0" w:color="auto"/>
        <w:bottom w:val="none" w:sz="0" w:space="0" w:color="auto"/>
        <w:right w:val="none" w:sz="0" w:space="0" w:color="auto"/>
      </w:divBdr>
    </w:div>
    <w:div w:id="443305884">
      <w:bodyDiv w:val="1"/>
      <w:marLeft w:val="0"/>
      <w:marRight w:val="0"/>
      <w:marTop w:val="0"/>
      <w:marBottom w:val="0"/>
      <w:divBdr>
        <w:top w:val="none" w:sz="0" w:space="0" w:color="auto"/>
        <w:left w:val="none" w:sz="0" w:space="0" w:color="auto"/>
        <w:bottom w:val="none" w:sz="0" w:space="0" w:color="auto"/>
        <w:right w:val="none" w:sz="0" w:space="0" w:color="auto"/>
      </w:divBdr>
      <w:divsChild>
        <w:div w:id="959996438">
          <w:marLeft w:val="0"/>
          <w:marRight w:val="0"/>
          <w:marTop w:val="0"/>
          <w:marBottom w:val="0"/>
          <w:divBdr>
            <w:top w:val="none" w:sz="0" w:space="0" w:color="auto"/>
            <w:left w:val="none" w:sz="0" w:space="0" w:color="auto"/>
            <w:bottom w:val="none" w:sz="0" w:space="0" w:color="auto"/>
            <w:right w:val="none" w:sz="0" w:space="0" w:color="auto"/>
          </w:divBdr>
          <w:divsChild>
            <w:div w:id="467238535">
              <w:marLeft w:val="0"/>
              <w:marRight w:val="0"/>
              <w:marTop w:val="0"/>
              <w:marBottom w:val="0"/>
              <w:divBdr>
                <w:top w:val="none" w:sz="0" w:space="0" w:color="auto"/>
                <w:left w:val="none" w:sz="0" w:space="0" w:color="auto"/>
                <w:bottom w:val="none" w:sz="0" w:space="0" w:color="auto"/>
                <w:right w:val="none" w:sz="0" w:space="0" w:color="auto"/>
              </w:divBdr>
              <w:divsChild>
                <w:div w:id="5056539">
                  <w:marLeft w:val="0"/>
                  <w:marRight w:val="0"/>
                  <w:marTop w:val="0"/>
                  <w:marBottom w:val="0"/>
                  <w:divBdr>
                    <w:top w:val="none" w:sz="0" w:space="0" w:color="auto"/>
                    <w:left w:val="none" w:sz="0" w:space="0" w:color="auto"/>
                    <w:bottom w:val="none" w:sz="0" w:space="0" w:color="auto"/>
                    <w:right w:val="none" w:sz="0" w:space="0" w:color="auto"/>
                  </w:divBdr>
                  <w:divsChild>
                    <w:div w:id="628977999">
                      <w:marLeft w:val="150"/>
                      <w:marRight w:val="150"/>
                      <w:marTop w:val="0"/>
                      <w:marBottom w:val="0"/>
                      <w:divBdr>
                        <w:top w:val="single" w:sz="12" w:space="0" w:color="E3E3E3"/>
                        <w:left w:val="single" w:sz="6" w:space="0" w:color="D3D3D3"/>
                        <w:bottom w:val="single" w:sz="12" w:space="0" w:color="FFFFFF"/>
                        <w:right w:val="single" w:sz="6" w:space="0" w:color="D3D3D3"/>
                      </w:divBdr>
                      <w:divsChild>
                        <w:div w:id="1823892141">
                          <w:marLeft w:val="150"/>
                          <w:marRight w:val="150"/>
                          <w:marTop w:val="0"/>
                          <w:marBottom w:val="0"/>
                          <w:divBdr>
                            <w:top w:val="none" w:sz="0" w:space="0" w:color="auto"/>
                            <w:left w:val="none" w:sz="0" w:space="0" w:color="auto"/>
                            <w:bottom w:val="none" w:sz="0" w:space="0" w:color="auto"/>
                            <w:right w:val="none" w:sz="0" w:space="0" w:color="auto"/>
                          </w:divBdr>
                          <w:divsChild>
                            <w:div w:id="1009648523">
                              <w:marLeft w:val="150"/>
                              <w:marRight w:val="0"/>
                              <w:marTop w:val="150"/>
                              <w:marBottom w:val="150"/>
                              <w:divBdr>
                                <w:top w:val="single" w:sz="6" w:space="8" w:color="FFFFFF"/>
                                <w:left w:val="single" w:sz="6" w:space="8" w:color="D7D7D7"/>
                                <w:bottom w:val="single" w:sz="6" w:space="8" w:color="D7D7D7"/>
                                <w:right w:val="single" w:sz="6" w:space="8" w:color="D7D7D7"/>
                              </w:divBdr>
                            </w:div>
                          </w:divsChild>
                        </w:div>
                      </w:divsChild>
                    </w:div>
                  </w:divsChild>
                </w:div>
              </w:divsChild>
            </w:div>
          </w:divsChild>
        </w:div>
      </w:divsChild>
    </w:div>
    <w:div w:id="453452525">
      <w:bodyDiv w:val="1"/>
      <w:marLeft w:val="0"/>
      <w:marRight w:val="0"/>
      <w:marTop w:val="0"/>
      <w:marBottom w:val="0"/>
      <w:divBdr>
        <w:top w:val="none" w:sz="0" w:space="0" w:color="auto"/>
        <w:left w:val="none" w:sz="0" w:space="0" w:color="auto"/>
        <w:bottom w:val="none" w:sz="0" w:space="0" w:color="auto"/>
        <w:right w:val="none" w:sz="0" w:space="0" w:color="auto"/>
      </w:divBdr>
    </w:div>
    <w:div w:id="453836855">
      <w:bodyDiv w:val="1"/>
      <w:marLeft w:val="0"/>
      <w:marRight w:val="0"/>
      <w:marTop w:val="0"/>
      <w:marBottom w:val="0"/>
      <w:divBdr>
        <w:top w:val="none" w:sz="0" w:space="0" w:color="auto"/>
        <w:left w:val="none" w:sz="0" w:space="0" w:color="auto"/>
        <w:bottom w:val="none" w:sz="0" w:space="0" w:color="auto"/>
        <w:right w:val="none" w:sz="0" w:space="0" w:color="auto"/>
      </w:divBdr>
    </w:div>
    <w:div w:id="473568734">
      <w:bodyDiv w:val="1"/>
      <w:marLeft w:val="0"/>
      <w:marRight w:val="0"/>
      <w:marTop w:val="0"/>
      <w:marBottom w:val="0"/>
      <w:divBdr>
        <w:top w:val="none" w:sz="0" w:space="0" w:color="auto"/>
        <w:left w:val="none" w:sz="0" w:space="0" w:color="auto"/>
        <w:bottom w:val="none" w:sz="0" w:space="0" w:color="auto"/>
        <w:right w:val="none" w:sz="0" w:space="0" w:color="auto"/>
      </w:divBdr>
    </w:div>
    <w:div w:id="497768896">
      <w:bodyDiv w:val="1"/>
      <w:marLeft w:val="0"/>
      <w:marRight w:val="0"/>
      <w:marTop w:val="0"/>
      <w:marBottom w:val="0"/>
      <w:divBdr>
        <w:top w:val="none" w:sz="0" w:space="0" w:color="auto"/>
        <w:left w:val="none" w:sz="0" w:space="0" w:color="auto"/>
        <w:bottom w:val="none" w:sz="0" w:space="0" w:color="auto"/>
        <w:right w:val="none" w:sz="0" w:space="0" w:color="auto"/>
      </w:divBdr>
    </w:div>
    <w:div w:id="514151089">
      <w:bodyDiv w:val="1"/>
      <w:marLeft w:val="0"/>
      <w:marRight w:val="0"/>
      <w:marTop w:val="0"/>
      <w:marBottom w:val="0"/>
      <w:divBdr>
        <w:top w:val="none" w:sz="0" w:space="0" w:color="auto"/>
        <w:left w:val="none" w:sz="0" w:space="0" w:color="auto"/>
        <w:bottom w:val="none" w:sz="0" w:space="0" w:color="auto"/>
        <w:right w:val="none" w:sz="0" w:space="0" w:color="auto"/>
      </w:divBdr>
    </w:div>
    <w:div w:id="531454220">
      <w:bodyDiv w:val="1"/>
      <w:marLeft w:val="0"/>
      <w:marRight w:val="0"/>
      <w:marTop w:val="0"/>
      <w:marBottom w:val="0"/>
      <w:divBdr>
        <w:top w:val="none" w:sz="0" w:space="0" w:color="auto"/>
        <w:left w:val="none" w:sz="0" w:space="0" w:color="auto"/>
        <w:bottom w:val="none" w:sz="0" w:space="0" w:color="auto"/>
        <w:right w:val="none" w:sz="0" w:space="0" w:color="auto"/>
      </w:divBdr>
    </w:div>
    <w:div w:id="546645250">
      <w:bodyDiv w:val="1"/>
      <w:marLeft w:val="0"/>
      <w:marRight w:val="0"/>
      <w:marTop w:val="0"/>
      <w:marBottom w:val="0"/>
      <w:divBdr>
        <w:top w:val="none" w:sz="0" w:space="0" w:color="auto"/>
        <w:left w:val="none" w:sz="0" w:space="0" w:color="auto"/>
        <w:bottom w:val="none" w:sz="0" w:space="0" w:color="auto"/>
        <w:right w:val="none" w:sz="0" w:space="0" w:color="auto"/>
      </w:divBdr>
      <w:divsChild>
        <w:div w:id="575939430">
          <w:marLeft w:val="0"/>
          <w:marRight w:val="0"/>
          <w:marTop w:val="0"/>
          <w:marBottom w:val="0"/>
          <w:divBdr>
            <w:top w:val="none" w:sz="0" w:space="0" w:color="auto"/>
            <w:left w:val="none" w:sz="0" w:space="0" w:color="auto"/>
            <w:bottom w:val="none" w:sz="0" w:space="0" w:color="auto"/>
            <w:right w:val="none" w:sz="0" w:space="0" w:color="auto"/>
          </w:divBdr>
          <w:divsChild>
            <w:div w:id="69348137">
              <w:marLeft w:val="0"/>
              <w:marRight w:val="0"/>
              <w:marTop w:val="0"/>
              <w:marBottom w:val="0"/>
              <w:divBdr>
                <w:top w:val="none" w:sz="0" w:space="0" w:color="auto"/>
                <w:left w:val="none" w:sz="0" w:space="0" w:color="auto"/>
                <w:bottom w:val="none" w:sz="0" w:space="0" w:color="auto"/>
                <w:right w:val="none" w:sz="0" w:space="0" w:color="auto"/>
              </w:divBdr>
            </w:div>
            <w:div w:id="339430502">
              <w:marLeft w:val="0"/>
              <w:marRight w:val="0"/>
              <w:marTop w:val="0"/>
              <w:marBottom w:val="0"/>
              <w:divBdr>
                <w:top w:val="none" w:sz="0" w:space="0" w:color="auto"/>
                <w:left w:val="none" w:sz="0" w:space="0" w:color="auto"/>
                <w:bottom w:val="none" w:sz="0" w:space="0" w:color="auto"/>
                <w:right w:val="none" w:sz="0" w:space="0" w:color="auto"/>
              </w:divBdr>
              <w:divsChild>
                <w:div w:id="341510322">
                  <w:marLeft w:val="0"/>
                  <w:marRight w:val="0"/>
                  <w:marTop w:val="0"/>
                  <w:marBottom w:val="0"/>
                  <w:divBdr>
                    <w:top w:val="none" w:sz="0" w:space="0" w:color="auto"/>
                    <w:left w:val="none" w:sz="0" w:space="0" w:color="auto"/>
                    <w:bottom w:val="none" w:sz="0" w:space="0" w:color="auto"/>
                    <w:right w:val="none" w:sz="0" w:space="0" w:color="auto"/>
                  </w:divBdr>
                  <w:divsChild>
                    <w:div w:id="1738354812">
                      <w:marLeft w:val="0"/>
                      <w:marRight w:val="0"/>
                      <w:marTop w:val="0"/>
                      <w:marBottom w:val="0"/>
                      <w:divBdr>
                        <w:top w:val="none" w:sz="0" w:space="0" w:color="auto"/>
                        <w:left w:val="none" w:sz="0" w:space="0" w:color="auto"/>
                        <w:bottom w:val="none" w:sz="0" w:space="0" w:color="auto"/>
                        <w:right w:val="none" w:sz="0" w:space="0" w:color="auto"/>
                      </w:divBdr>
                      <w:divsChild>
                        <w:div w:id="7860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5595">
              <w:marLeft w:val="0"/>
              <w:marRight w:val="0"/>
              <w:marTop w:val="0"/>
              <w:marBottom w:val="0"/>
              <w:divBdr>
                <w:top w:val="none" w:sz="0" w:space="0" w:color="auto"/>
                <w:left w:val="none" w:sz="0" w:space="0" w:color="auto"/>
                <w:bottom w:val="none" w:sz="0" w:space="0" w:color="auto"/>
                <w:right w:val="none" w:sz="0" w:space="0" w:color="auto"/>
              </w:divBdr>
            </w:div>
            <w:div w:id="762147619">
              <w:marLeft w:val="0"/>
              <w:marRight w:val="0"/>
              <w:marTop w:val="0"/>
              <w:marBottom w:val="0"/>
              <w:divBdr>
                <w:top w:val="none" w:sz="0" w:space="0" w:color="auto"/>
                <w:left w:val="none" w:sz="0" w:space="0" w:color="auto"/>
                <w:bottom w:val="none" w:sz="0" w:space="0" w:color="auto"/>
                <w:right w:val="none" w:sz="0" w:space="0" w:color="auto"/>
              </w:divBdr>
              <w:divsChild>
                <w:div w:id="101924996">
                  <w:marLeft w:val="0"/>
                  <w:marRight w:val="0"/>
                  <w:marTop w:val="0"/>
                  <w:marBottom w:val="0"/>
                  <w:divBdr>
                    <w:top w:val="none" w:sz="0" w:space="0" w:color="auto"/>
                    <w:left w:val="none" w:sz="0" w:space="0" w:color="auto"/>
                    <w:bottom w:val="none" w:sz="0" w:space="0" w:color="auto"/>
                    <w:right w:val="none" w:sz="0" w:space="0" w:color="auto"/>
                  </w:divBdr>
                  <w:divsChild>
                    <w:div w:id="237902450">
                      <w:marLeft w:val="0"/>
                      <w:marRight w:val="0"/>
                      <w:marTop w:val="0"/>
                      <w:marBottom w:val="0"/>
                      <w:divBdr>
                        <w:top w:val="none" w:sz="0" w:space="0" w:color="auto"/>
                        <w:left w:val="none" w:sz="0" w:space="0" w:color="auto"/>
                        <w:bottom w:val="none" w:sz="0" w:space="0" w:color="auto"/>
                        <w:right w:val="none" w:sz="0" w:space="0" w:color="auto"/>
                      </w:divBdr>
                      <w:divsChild>
                        <w:div w:id="5729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69667">
              <w:marLeft w:val="0"/>
              <w:marRight w:val="0"/>
              <w:marTop w:val="0"/>
              <w:marBottom w:val="0"/>
              <w:divBdr>
                <w:top w:val="none" w:sz="0" w:space="0" w:color="auto"/>
                <w:left w:val="none" w:sz="0" w:space="0" w:color="auto"/>
                <w:bottom w:val="none" w:sz="0" w:space="0" w:color="auto"/>
                <w:right w:val="none" w:sz="0" w:space="0" w:color="auto"/>
              </w:divBdr>
              <w:divsChild>
                <w:div w:id="2117358696">
                  <w:marLeft w:val="0"/>
                  <w:marRight w:val="0"/>
                  <w:marTop w:val="0"/>
                  <w:marBottom w:val="0"/>
                  <w:divBdr>
                    <w:top w:val="none" w:sz="0" w:space="0" w:color="auto"/>
                    <w:left w:val="none" w:sz="0" w:space="0" w:color="auto"/>
                    <w:bottom w:val="none" w:sz="0" w:space="0" w:color="auto"/>
                    <w:right w:val="none" w:sz="0" w:space="0" w:color="auto"/>
                  </w:divBdr>
                  <w:divsChild>
                    <w:div w:id="978999479">
                      <w:marLeft w:val="0"/>
                      <w:marRight w:val="0"/>
                      <w:marTop w:val="0"/>
                      <w:marBottom w:val="0"/>
                      <w:divBdr>
                        <w:top w:val="none" w:sz="0" w:space="0" w:color="auto"/>
                        <w:left w:val="none" w:sz="0" w:space="0" w:color="auto"/>
                        <w:bottom w:val="none" w:sz="0" w:space="0" w:color="auto"/>
                        <w:right w:val="none" w:sz="0" w:space="0" w:color="auto"/>
                      </w:divBdr>
                      <w:divsChild>
                        <w:div w:id="1636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3471">
              <w:marLeft w:val="0"/>
              <w:marRight w:val="0"/>
              <w:marTop w:val="0"/>
              <w:marBottom w:val="0"/>
              <w:divBdr>
                <w:top w:val="none" w:sz="0" w:space="0" w:color="auto"/>
                <w:left w:val="none" w:sz="0" w:space="0" w:color="auto"/>
                <w:bottom w:val="none" w:sz="0" w:space="0" w:color="auto"/>
                <w:right w:val="none" w:sz="0" w:space="0" w:color="auto"/>
              </w:divBdr>
              <w:divsChild>
                <w:div w:id="892544394">
                  <w:marLeft w:val="0"/>
                  <w:marRight w:val="0"/>
                  <w:marTop w:val="0"/>
                  <w:marBottom w:val="0"/>
                  <w:divBdr>
                    <w:top w:val="none" w:sz="0" w:space="0" w:color="auto"/>
                    <w:left w:val="none" w:sz="0" w:space="0" w:color="auto"/>
                    <w:bottom w:val="none" w:sz="0" w:space="0" w:color="auto"/>
                    <w:right w:val="none" w:sz="0" w:space="0" w:color="auto"/>
                  </w:divBdr>
                  <w:divsChild>
                    <w:div w:id="731390002">
                      <w:marLeft w:val="0"/>
                      <w:marRight w:val="0"/>
                      <w:marTop w:val="0"/>
                      <w:marBottom w:val="0"/>
                      <w:divBdr>
                        <w:top w:val="none" w:sz="0" w:space="0" w:color="auto"/>
                        <w:left w:val="none" w:sz="0" w:space="0" w:color="auto"/>
                        <w:bottom w:val="none" w:sz="0" w:space="0" w:color="auto"/>
                        <w:right w:val="none" w:sz="0" w:space="0" w:color="auto"/>
                      </w:divBdr>
                      <w:divsChild>
                        <w:div w:id="2243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877">
      <w:bodyDiv w:val="1"/>
      <w:marLeft w:val="0"/>
      <w:marRight w:val="0"/>
      <w:marTop w:val="0"/>
      <w:marBottom w:val="0"/>
      <w:divBdr>
        <w:top w:val="none" w:sz="0" w:space="0" w:color="auto"/>
        <w:left w:val="none" w:sz="0" w:space="0" w:color="auto"/>
        <w:bottom w:val="none" w:sz="0" w:space="0" w:color="auto"/>
        <w:right w:val="none" w:sz="0" w:space="0" w:color="auto"/>
      </w:divBdr>
    </w:div>
    <w:div w:id="569773275">
      <w:bodyDiv w:val="1"/>
      <w:marLeft w:val="0"/>
      <w:marRight w:val="0"/>
      <w:marTop w:val="0"/>
      <w:marBottom w:val="0"/>
      <w:divBdr>
        <w:top w:val="none" w:sz="0" w:space="0" w:color="auto"/>
        <w:left w:val="none" w:sz="0" w:space="0" w:color="auto"/>
        <w:bottom w:val="none" w:sz="0" w:space="0" w:color="auto"/>
        <w:right w:val="none" w:sz="0" w:space="0" w:color="auto"/>
      </w:divBdr>
    </w:div>
    <w:div w:id="574319281">
      <w:bodyDiv w:val="1"/>
      <w:marLeft w:val="0"/>
      <w:marRight w:val="0"/>
      <w:marTop w:val="0"/>
      <w:marBottom w:val="0"/>
      <w:divBdr>
        <w:top w:val="none" w:sz="0" w:space="0" w:color="auto"/>
        <w:left w:val="none" w:sz="0" w:space="0" w:color="auto"/>
        <w:bottom w:val="none" w:sz="0" w:space="0" w:color="auto"/>
        <w:right w:val="none" w:sz="0" w:space="0" w:color="auto"/>
      </w:divBdr>
    </w:div>
    <w:div w:id="588005301">
      <w:bodyDiv w:val="1"/>
      <w:marLeft w:val="0"/>
      <w:marRight w:val="0"/>
      <w:marTop w:val="0"/>
      <w:marBottom w:val="0"/>
      <w:divBdr>
        <w:top w:val="none" w:sz="0" w:space="0" w:color="auto"/>
        <w:left w:val="none" w:sz="0" w:space="0" w:color="auto"/>
        <w:bottom w:val="none" w:sz="0" w:space="0" w:color="auto"/>
        <w:right w:val="none" w:sz="0" w:space="0" w:color="auto"/>
      </w:divBdr>
    </w:div>
    <w:div w:id="623148881">
      <w:bodyDiv w:val="1"/>
      <w:marLeft w:val="0"/>
      <w:marRight w:val="0"/>
      <w:marTop w:val="0"/>
      <w:marBottom w:val="0"/>
      <w:divBdr>
        <w:top w:val="none" w:sz="0" w:space="0" w:color="auto"/>
        <w:left w:val="none" w:sz="0" w:space="0" w:color="auto"/>
        <w:bottom w:val="none" w:sz="0" w:space="0" w:color="auto"/>
        <w:right w:val="none" w:sz="0" w:space="0" w:color="auto"/>
      </w:divBdr>
    </w:div>
    <w:div w:id="649864891">
      <w:bodyDiv w:val="1"/>
      <w:marLeft w:val="0"/>
      <w:marRight w:val="0"/>
      <w:marTop w:val="0"/>
      <w:marBottom w:val="0"/>
      <w:divBdr>
        <w:top w:val="none" w:sz="0" w:space="0" w:color="auto"/>
        <w:left w:val="none" w:sz="0" w:space="0" w:color="auto"/>
        <w:bottom w:val="none" w:sz="0" w:space="0" w:color="auto"/>
        <w:right w:val="none" w:sz="0" w:space="0" w:color="auto"/>
      </w:divBdr>
    </w:div>
    <w:div w:id="715085010">
      <w:bodyDiv w:val="1"/>
      <w:marLeft w:val="0"/>
      <w:marRight w:val="0"/>
      <w:marTop w:val="0"/>
      <w:marBottom w:val="0"/>
      <w:divBdr>
        <w:top w:val="none" w:sz="0" w:space="0" w:color="auto"/>
        <w:left w:val="none" w:sz="0" w:space="0" w:color="auto"/>
        <w:bottom w:val="none" w:sz="0" w:space="0" w:color="auto"/>
        <w:right w:val="none" w:sz="0" w:space="0" w:color="auto"/>
      </w:divBdr>
    </w:div>
    <w:div w:id="733621551">
      <w:bodyDiv w:val="1"/>
      <w:marLeft w:val="0"/>
      <w:marRight w:val="0"/>
      <w:marTop w:val="0"/>
      <w:marBottom w:val="0"/>
      <w:divBdr>
        <w:top w:val="none" w:sz="0" w:space="0" w:color="auto"/>
        <w:left w:val="none" w:sz="0" w:space="0" w:color="auto"/>
        <w:bottom w:val="none" w:sz="0" w:space="0" w:color="auto"/>
        <w:right w:val="none" w:sz="0" w:space="0" w:color="auto"/>
      </w:divBdr>
    </w:div>
    <w:div w:id="736585461">
      <w:bodyDiv w:val="1"/>
      <w:marLeft w:val="0"/>
      <w:marRight w:val="0"/>
      <w:marTop w:val="0"/>
      <w:marBottom w:val="0"/>
      <w:divBdr>
        <w:top w:val="none" w:sz="0" w:space="0" w:color="auto"/>
        <w:left w:val="none" w:sz="0" w:space="0" w:color="auto"/>
        <w:bottom w:val="none" w:sz="0" w:space="0" w:color="auto"/>
        <w:right w:val="none" w:sz="0" w:space="0" w:color="auto"/>
      </w:divBdr>
    </w:div>
    <w:div w:id="763964265">
      <w:bodyDiv w:val="1"/>
      <w:marLeft w:val="0"/>
      <w:marRight w:val="0"/>
      <w:marTop w:val="0"/>
      <w:marBottom w:val="0"/>
      <w:divBdr>
        <w:top w:val="none" w:sz="0" w:space="0" w:color="auto"/>
        <w:left w:val="none" w:sz="0" w:space="0" w:color="auto"/>
        <w:bottom w:val="none" w:sz="0" w:space="0" w:color="auto"/>
        <w:right w:val="none" w:sz="0" w:space="0" w:color="auto"/>
      </w:divBdr>
    </w:div>
    <w:div w:id="800418415">
      <w:bodyDiv w:val="1"/>
      <w:marLeft w:val="0"/>
      <w:marRight w:val="0"/>
      <w:marTop w:val="0"/>
      <w:marBottom w:val="0"/>
      <w:divBdr>
        <w:top w:val="none" w:sz="0" w:space="0" w:color="auto"/>
        <w:left w:val="none" w:sz="0" w:space="0" w:color="auto"/>
        <w:bottom w:val="none" w:sz="0" w:space="0" w:color="auto"/>
        <w:right w:val="none" w:sz="0" w:space="0" w:color="auto"/>
      </w:divBdr>
    </w:div>
    <w:div w:id="805782840">
      <w:bodyDiv w:val="1"/>
      <w:marLeft w:val="0"/>
      <w:marRight w:val="0"/>
      <w:marTop w:val="0"/>
      <w:marBottom w:val="0"/>
      <w:divBdr>
        <w:top w:val="none" w:sz="0" w:space="0" w:color="auto"/>
        <w:left w:val="none" w:sz="0" w:space="0" w:color="auto"/>
        <w:bottom w:val="none" w:sz="0" w:space="0" w:color="auto"/>
        <w:right w:val="none" w:sz="0" w:space="0" w:color="auto"/>
      </w:divBdr>
    </w:div>
    <w:div w:id="809834058">
      <w:bodyDiv w:val="1"/>
      <w:marLeft w:val="0"/>
      <w:marRight w:val="0"/>
      <w:marTop w:val="0"/>
      <w:marBottom w:val="0"/>
      <w:divBdr>
        <w:top w:val="none" w:sz="0" w:space="0" w:color="auto"/>
        <w:left w:val="none" w:sz="0" w:space="0" w:color="auto"/>
        <w:bottom w:val="none" w:sz="0" w:space="0" w:color="auto"/>
        <w:right w:val="none" w:sz="0" w:space="0" w:color="auto"/>
      </w:divBdr>
    </w:div>
    <w:div w:id="863052481">
      <w:bodyDiv w:val="1"/>
      <w:marLeft w:val="0"/>
      <w:marRight w:val="0"/>
      <w:marTop w:val="0"/>
      <w:marBottom w:val="0"/>
      <w:divBdr>
        <w:top w:val="none" w:sz="0" w:space="0" w:color="auto"/>
        <w:left w:val="none" w:sz="0" w:space="0" w:color="auto"/>
        <w:bottom w:val="none" w:sz="0" w:space="0" w:color="auto"/>
        <w:right w:val="none" w:sz="0" w:space="0" w:color="auto"/>
      </w:divBdr>
    </w:div>
    <w:div w:id="918909358">
      <w:bodyDiv w:val="1"/>
      <w:marLeft w:val="0"/>
      <w:marRight w:val="0"/>
      <w:marTop w:val="0"/>
      <w:marBottom w:val="0"/>
      <w:divBdr>
        <w:top w:val="none" w:sz="0" w:space="0" w:color="auto"/>
        <w:left w:val="none" w:sz="0" w:space="0" w:color="auto"/>
        <w:bottom w:val="none" w:sz="0" w:space="0" w:color="auto"/>
        <w:right w:val="none" w:sz="0" w:space="0" w:color="auto"/>
      </w:divBdr>
    </w:div>
    <w:div w:id="990790022">
      <w:bodyDiv w:val="1"/>
      <w:marLeft w:val="0"/>
      <w:marRight w:val="0"/>
      <w:marTop w:val="0"/>
      <w:marBottom w:val="0"/>
      <w:divBdr>
        <w:top w:val="none" w:sz="0" w:space="0" w:color="auto"/>
        <w:left w:val="none" w:sz="0" w:space="0" w:color="auto"/>
        <w:bottom w:val="none" w:sz="0" w:space="0" w:color="auto"/>
        <w:right w:val="none" w:sz="0" w:space="0" w:color="auto"/>
      </w:divBdr>
    </w:div>
    <w:div w:id="1011300154">
      <w:bodyDiv w:val="1"/>
      <w:marLeft w:val="0"/>
      <w:marRight w:val="0"/>
      <w:marTop w:val="0"/>
      <w:marBottom w:val="0"/>
      <w:divBdr>
        <w:top w:val="none" w:sz="0" w:space="0" w:color="auto"/>
        <w:left w:val="none" w:sz="0" w:space="0" w:color="auto"/>
        <w:bottom w:val="none" w:sz="0" w:space="0" w:color="auto"/>
        <w:right w:val="none" w:sz="0" w:space="0" w:color="auto"/>
      </w:divBdr>
    </w:div>
    <w:div w:id="1154220203">
      <w:bodyDiv w:val="1"/>
      <w:marLeft w:val="0"/>
      <w:marRight w:val="0"/>
      <w:marTop w:val="0"/>
      <w:marBottom w:val="0"/>
      <w:divBdr>
        <w:top w:val="none" w:sz="0" w:space="0" w:color="auto"/>
        <w:left w:val="none" w:sz="0" w:space="0" w:color="auto"/>
        <w:bottom w:val="none" w:sz="0" w:space="0" w:color="auto"/>
        <w:right w:val="none" w:sz="0" w:space="0" w:color="auto"/>
      </w:divBdr>
    </w:div>
    <w:div w:id="1164516238">
      <w:bodyDiv w:val="1"/>
      <w:marLeft w:val="0"/>
      <w:marRight w:val="0"/>
      <w:marTop w:val="0"/>
      <w:marBottom w:val="0"/>
      <w:divBdr>
        <w:top w:val="none" w:sz="0" w:space="0" w:color="auto"/>
        <w:left w:val="none" w:sz="0" w:space="0" w:color="auto"/>
        <w:bottom w:val="none" w:sz="0" w:space="0" w:color="auto"/>
        <w:right w:val="none" w:sz="0" w:space="0" w:color="auto"/>
      </w:divBdr>
    </w:div>
    <w:div w:id="1172572701">
      <w:bodyDiv w:val="1"/>
      <w:marLeft w:val="0"/>
      <w:marRight w:val="0"/>
      <w:marTop w:val="0"/>
      <w:marBottom w:val="0"/>
      <w:divBdr>
        <w:top w:val="none" w:sz="0" w:space="0" w:color="auto"/>
        <w:left w:val="none" w:sz="0" w:space="0" w:color="auto"/>
        <w:bottom w:val="none" w:sz="0" w:space="0" w:color="auto"/>
        <w:right w:val="none" w:sz="0" w:space="0" w:color="auto"/>
      </w:divBdr>
    </w:div>
    <w:div w:id="1252394809">
      <w:bodyDiv w:val="1"/>
      <w:marLeft w:val="0"/>
      <w:marRight w:val="0"/>
      <w:marTop w:val="0"/>
      <w:marBottom w:val="0"/>
      <w:divBdr>
        <w:top w:val="none" w:sz="0" w:space="0" w:color="auto"/>
        <w:left w:val="none" w:sz="0" w:space="0" w:color="auto"/>
        <w:bottom w:val="none" w:sz="0" w:space="0" w:color="auto"/>
        <w:right w:val="none" w:sz="0" w:space="0" w:color="auto"/>
      </w:divBdr>
    </w:div>
    <w:div w:id="1319920642">
      <w:bodyDiv w:val="1"/>
      <w:marLeft w:val="0"/>
      <w:marRight w:val="0"/>
      <w:marTop w:val="0"/>
      <w:marBottom w:val="0"/>
      <w:divBdr>
        <w:top w:val="none" w:sz="0" w:space="0" w:color="auto"/>
        <w:left w:val="none" w:sz="0" w:space="0" w:color="auto"/>
        <w:bottom w:val="none" w:sz="0" w:space="0" w:color="auto"/>
        <w:right w:val="none" w:sz="0" w:space="0" w:color="auto"/>
      </w:divBdr>
    </w:div>
    <w:div w:id="1337000781">
      <w:bodyDiv w:val="1"/>
      <w:marLeft w:val="0"/>
      <w:marRight w:val="0"/>
      <w:marTop w:val="0"/>
      <w:marBottom w:val="0"/>
      <w:divBdr>
        <w:top w:val="none" w:sz="0" w:space="0" w:color="auto"/>
        <w:left w:val="none" w:sz="0" w:space="0" w:color="auto"/>
        <w:bottom w:val="none" w:sz="0" w:space="0" w:color="auto"/>
        <w:right w:val="none" w:sz="0" w:space="0" w:color="auto"/>
      </w:divBdr>
    </w:div>
    <w:div w:id="1367830598">
      <w:bodyDiv w:val="1"/>
      <w:marLeft w:val="0"/>
      <w:marRight w:val="0"/>
      <w:marTop w:val="0"/>
      <w:marBottom w:val="0"/>
      <w:divBdr>
        <w:top w:val="none" w:sz="0" w:space="0" w:color="auto"/>
        <w:left w:val="none" w:sz="0" w:space="0" w:color="auto"/>
        <w:bottom w:val="none" w:sz="0" w:space="0" w:color="auto"/>
        <w:right w:val="none" w:sz="0" w:space="0" w:color="auto"/>
      </w:divBdr>
    </w:div>
    <w:div w:id="1403023232">
      <w:bodyDiv w:val="1"/>
      <w:marLeft w:val="45"/>
      <w:marRight w:val="45"/>
      <w:marTop w:val="90"/>
      <w:marBottom w:val="90"/>
      <w:divBdr>
        <w:top w:val="none" w:sz="0" w:space="0" w:color="auto"/>
        <w:left w:val="none" w:sz="0" w:space="0" w:color="auto"/>
        <w:bottom w:val="none" w:sz="0" w:space="0" w:color="auto"/>
        <w:right w:val="none" w:sz="0" w:space="0" w:color="auto"/>
      </w:divBdr>
      <w:divsChild>
        <w:div w:id="1155998317">
          <w:marLeft w:val="0"/>
          <w:marRight w:val="0"/>
          <w:marTop w:val="0"/>
          <w:marBottom w:val="567"/>
          <w:divBdr>
            <w:top w:val="none" w:sz="0" w:space="0" w:color="auto"/>
            <w:left w:val="none" w:sz="0" w:space="0" w:color="auto"/>
            <w:bottom w:val="none" w:sz="0" w:space="0" w:color="auto"/>
            <w:right w:val="none" w:sz="0" w:space="0" w:color="auto"/>
          </w:divBdr>
        </w:div>
      </w:divsChild>
    </w:div>
    <w:div w:id="1403408589">
      <w:bodyDiv w:val="1"/>
      <w:marLeft w:val="0"/>
      <w:marRight w:val="0"/>
      <w:marTop w:val="0"/>
      <w:marBottom w:val="0"/>
      <w:divBdr>
        <w:top w:val="none" w:sz="0" w:space="0" w:color="auto"/>
        <w:left w:val="none" w:sz="0" w:space="0" w:color="auto"/>
        <w:bottom w:val="none" w:sz="0" w:space="0" w:color="auto"/>
        <w:right w:val="none" w:sz="0" w:space="0" w:color="auto"/>
      </w:divBdr>
    </w:div>
    <w:div w:id="1407801359">
      <w:bodyDiv w:val="1"/>
      <w:marLeft w:val="0"/>
      <w:marRight w:val="0"/>
      <w:marTop w:val="0"/>
      <w:marBottom w:val="0"/>
      <w:divBdr>
        <w:top w:val="none" w:sz="0" w:space="0" w:color="auto"/>
        <w:left w:val="none" w:sz="0" w:space="0" w:color="auto"/>
        <w:bottom w:val="none" w:sz="0" w:space="0" w:color="auto"/>
        <w:right w:val="none" w:sz="0" w:space="0" w:color="auto"/>
      </w:divBdr>
    </w:div>
    <w:div w:id="1416972892">
      <w:bodyDiv w:val="1"/>
      <w:marLeft w:val="0"/>
      <w:marRight w:val="0"/>
      <w:marTop w:val="0"/>
      <w:marBottom w:val="0"/>
      <w:divBdr>
        <w:top w:val="none" w:sz="0" w:space="0" w:color="auto"/>
        <w:left w:val="none" w:sz="0" w:space="0" w:color="auto"/>
        <w:bottom w:val="none" w:sz="0" w:space="0" w:color="auto"/>
        <w:right w:val="none" w:sz="0" w:space="0" w:color="auto"/>
      </w:divBdr>
    </w:div>
    <w:div w:id="1462573435">
      <w:bodyDiv w:val="1"/>
      <w:marLeft w:val="0"/>
      <w:marRight w:val="0"/>
      <w:marTop w:val="0"/>
      <w:marBottom w:val="0"/>
      <w:divBdr>
        <w:top w:val="none" w:sz="0" w:space="0" w:color="auto"/>
        <w:left w:val="none" w:sz="0" w:space="0" w:color="auto"/>
        <w:bottom w:val="none" w:sz="0" w:space="0" w:color="auto"/>
        <w:right w:val="none" w:sz="0" w:space="0" w:color="auto"/>
      </w:divBdr>
    </w:div>
    <w:div w:id="1471558363">
      <w:bodyDiv w:val="1"/>
      <w:marLeft w:val="0"/>
      <w:marRight w:val="0"/>
      <w:marTop w:val="0"/>
      <w:marBottom w:val="0"/>
      <w:divBdr>
        <w:top w:val="none" w:sz="0" w:space="0" w:color="auto"/>
        <w:left w:val="none" w:sz="0" w:space="0" w:color="auto"/>
        <w:bottom w:val="none" w:sz="0" w:space="0" w:color="auto"/>
        <w:right w:val="none" w:sz="0" w:space="0" w:color="auto"/>
      </w:divBdr>
    </w:div>
    <w:div w:id="1503274763">
      <w:bodyDiv w:val="1"/>
      <w:marLeft w:val="0"/>
      <w:marRight w:val="0"/>
      <w:marTop w:val="0"/>
      <w:marBottom w:val="0"/>
      <w:divBdr>
        <w:top w:val="none" w:sz="0" w:space="0" w:color="auto"/>
        <w:left w:val="none" w:sz="0" w:space="0" w:color="auto"/>
        <w:bottom w:val="none" w:sz="0" w:space="0" w:color="auto"/>
        <w:right w:val="none" w:sz="0" w:space="0" w:color="auto"/>
      </w:divBdr>
    </w:div>
    <w:div w:id="1530754667">
      <w:bodyDiv w:val="1"/>
      <w:marLeft w:val="0"/>
      <w:marRight w:val="0"/>
      <w:marTop w:val="0"/>
      <w:marBottom w:val="0"/>
      <w:divBdr>
        <w:top w:val="none" w:sz="0" w:space="0" w:color="auto"/>
        <w:left w:val="none" w:sz="0" w:space="0" w:color="auto"/>
        <w:bottom w:val="none" w:sz="0" w:space="0" w:color="auto"/>
        <w:right w:val="none" w:sz="0" w:space="0" w:color="auto"/>
      </w:divBdr>
    </w:div>
    <w:div w:id="1547838592">
      <w:bodyDiv w:val="1"/>
      <w:marLeft w:val="0"/>
      <w:marRight w:val="0"/>
      <w:marTop w:val="0"/>
      <w:marBottom w:val="0"/>
      <w:divBdr>
        <w:top w:val="none" w:sz="0" w:space="0" w:color="auto"/>
        <w:left w:val="none" w:sz="0" w:space="0" w:color="auto"/>
        <w:bottom w:val="none" w:sz="0" w:space="0" w:color="auto"/>
        <w:right w:val="none" w:sz="0" w:space="0" w:color="auto"/>
      </w:divBdr>
    </w:div>
    <w:div w:id="1561362306">
      <w:bodyDiv w:val="1"/>
      <w:marLeft w:val="0"/>
      <w:marRight w:val="0"/>
      <w:marTop w:val="0"/>
      <w:marBottom w:val="0"/>
      <w:divBdr>
        <w:top w:val="none" w:sz="0" w:space="0" w:color="auto"/>
        <w:left w:val="none" w:sz="0" w:space="0" w:color="auto"/>
        <w:bottom w:val="none" w:sz="0" w:space="0" w:color="auto"/>
        <w:right w:val="none" w:sz="0" w:space="0" w:color="auto"/>
      </w:divBdr>
    </w:div>
    <w:div w:id="1578057905">
      <w:bodyDiv w:val="1"/>
      <w:marLeft w:val="0"/>
      <w:marRight w:val="0"/>
      <w:marTop w:val="0"/>
      <w:marBottom w:val="0"/>
      <w:divBdr>
        <w:top w:val="none" w:sz="0" w:space="0" w:color="auto"/>
        <w:left w:val="none" w:sz="0" w:space="0" w:color="auto"/>
        <w:bottom w:val="none" w:sz="0" w:space="0" w:color="auto"/>
        <w:right w:val="none" w:sz="0" w:space="0" w:color="auto"/>
      </w:divBdr>
    </w:div>
    <w:div w:id="1598979221">
      <w:bodyDiv w:val="1"/>
      <w:marLeft w:val="0"/>
      <w:marRight w:val="0"/>
      <w:marTop w:val="0"/>
      <w:marBottom w:val="0"/>
      <w:divBdr>
        <w:top w:val="none" w:sz="0" w:space="0" w:color="auto"/>
        <w:left w:val="none" w:sz="0" w:space="0" w:color="auto"/>
        <w:bottom w:val="none" w:sz="0" w:space="0" w:color="auto"/>
        <w:right w:val="none" w:sz="0" w:space="0" w:color="auto"/>
      </w:divBdr>
    </w:div>
    <w:div w:id="1612012987">
      <w:bodyDiv w:val="1"/>
      <w:marLeft w:val="0"/>
      <w:marRight w:val="0"/>
      <w:marTop w:val="0"/>
      <w:marBottom w:val="0"/>
      <w:divBdr>
        <w:top w:val="none" w:sz="0" w:space="0" w:color="auto"/>
        <w:left w:val="none" w:sz="0" w:space="0" w:color="auto"/>
        <w:bottom w:val="none" w:sz="0" w:space="0" w:color="auto"/>
        <w:right w:val="none" w:sz="0" w:space="0" w:color="auto"/>
      </w:divBdr>
    </w:div>
    <w:div w:id="1654529987">
      <w:bodyDiv w:val="1"/>
      <w:marLeft w:val="0"/>
      <w:marRight w:val="0"/>
      <w:marTop w:val="0"/>
      <w:marBottom w:val="0"/>
      <w:divBdr>
        <w:top w:val="none" w:sz="0" w:space="0" w:color="auto"/>
        <w:left w:val="none" w:sz="0" w:space="0" w:color="auto"/>
        <w:bottom w:val="none" w:sz="0" w:space="0" w:color="auto"/>
        <w:right w:val="none" w:sz="0" w:space="0" w:color="auto"/>
      </w:divBdr>
    </w:div>
    <w:div w:id="1663115728">
      <w:bodyDiv w:val="1"/>
      <w:marLeft w:val="0"/>
      <w:marRight w:val="0"/>
      <w:marTop w:val="0"/>
      <w:marBottom w:val="0"/>
      <w:divBdr>
        <w:top w:val="none" w:sz="0" w:space="0" w:color="auto"/>
        <w:left w:val="none" w:sz="0" w:space="0" w:color="auto"/>
        <w:bottom w:val="none" w:sz="0" w:space="0" w:color="auto"/>
        <w:right w:val="none" w:sz="0" w:space="0" w:color="auto"/>
      </w:divBdr>
    </w:div>
    <w:div w:id="1670329752">
      <w:bodyDiv w:val="1"/>
      <w:marLeft w:val="0"/>
      <w:marRight w:val="0"/>
      <w:marTop w:val="0"/>
      <w:marBottom w:val="0"/>
      <w:divBdr>
        <w:top w:val="none" w:sz="0" w:space="0" w:color="auto"/>
        <w:left w:val="none" w:sz="0" w:space="0" w:color="auto"/>
        <w:bottom w:val="none" w:sz="0" w:space="0" w:color="auto"/>
        <w:right w:val="none" w:sz="0" w:space="0" w:color="auto"/>
      </w:divBdr>
    </w:div>
    <w:div w:id="1757945920">
      <w:bodyDiv w:val="1"/>
      <w:marLeft w:val="0"/>
      <w:marRight w:val="0"/>
      <w:marTop w:val="0"/>
      <w:marBottom w:val="0"/>
      <w:divBdr>
        <w:top w:val="none" w:sz="0" w:space="0" w:color="auto"/>
        <w:left w:val="none" w:sz="0" w:space="0" w:color="auto"/>
        <w:bottom w:val="none" w:sz="0" w:space="0" w:color="auto"/>
        <w:right w:val="none" w:sz="0" w:space="0" w:color="auto"/>
      </w:divBdr>
    </w:div>
    <w:div w:id="1758940436">
      <w:bodyDiv w:val="1"/>
      <w:marLeft w:val="0"/>
      <w:marRight w:val="0"/>
      <w:marTop w:val="0"/>
      <w:marBottom w:val="0"/>
      <w:divBdr>
        <w:top w:val="none" w:sz="0" w:space="0" w:color="auto"/>
        <w:left w:val="none" w:sz="0" w:space="0" w:color="auto"/>
        <w:bottom w:val="none" w:sz="0" w:space="0" w:color="auto"/>
        <w:right w:val="none" w:sz="0" w:space="0" w:color="auto"/>
      </w:divBdr>
    </w:div>
    <w:div w:id="1771006262">
      <w:bodyDiv w:val="1"/>
      <w:marLeft w:val="0"/>
      <w:marRight w:val="0"/>
      <w:marTop w:val="0"/>
      <w:marBottom w:val="0"/>
      <w:divBdr>
        <w:top w:val="none" w:sz="0" w:space="0" w:color="auto"/>
        <w:left w:val="none" w:sz="0" w:space="0" w:color="auto"/>
        <w:bottom w:val="none" w:sz="0" w:space="0" w:color="auto"/>
        <w:right w:val="none" w:sz="0" w:space="0" w:color="auto"/>
      </w:divBdr>
    </w:div>
    <w:div w:id="1824732319">
      <w:bodyDiv w:val="1"/>
      <w:marLeft w:val="0"/>
      <w:marRight w:val="0"/>
      <w:marTop w:val="0"/>
      <w:marBottom w:val="0"/>
      <w:divBdr>
        <w:top w:val="none" w:sz="0" w:space="0" w:color="auto"/>
        <w:left w:val="none" w:sz="0" w:space="0" w:color="auto"/>
        <w:bottom w:val="none" w:sz="0" w:space="0" w:color="auto"/>
        <w:right w:val="none" w:sz="0" w:space="0" w:color="auto"/>
      </w:divBdr>
    </w:div>
    <w:div w:id="1844126309">
      <w:bodyDiv w:val="1"/>
      <w:marLeft w:val="0"/>
      <w:marRight w:val="0"/>
      <w:marTop w:val="0"/>
      <w:marBottom w:val="0"/>
      <w:divBdr>
        <w:top w:val="none" w:sz="0" w:space="0" w:color="auto"/>
        <w:left w:val="none" w:sz="0" w:space="0" w:color="auto"/>
        <w:bottom w:val="none" w:sz="0" w:space="0" w:color="auto"/>
        <w:right w:val="none" w:sz="0" w:space="0" w:color="auto"/>
      </w:divBdr>
    </w:div>
    <w:div w:id="1846826324">
      <w:bodyDiv w:val="1"/>
      <w:marLeft w:val="0"/>
      <w:marRight w:val="0"/>
      <w:marTop w:val="0"/>
      <w:marBottom w:val="0"/>
      <w:divBdr>
        <w:top w:val="none" w:sz="0" w:space="0" w:color="auto"/>
        <w:left w:val="none" w:sz="0" w:space="0" w:color="auto"/>
        <w:bottom w:val="none" w:sz="0" w:space="0" w:color="auto"/>
        <w:right w:val="none" w:sz="0" w:space="0" w:color="auto"/>
      </w:divBdr>
    </w:div>
    <w:div w:id="1885212294">
      <w:bodyDiv w:val="1"/>
      <w:marLeft w:val="0"/>
      <w:marRight w:val="0"/>
      <w:marTop w:val="0"/>
      <w:marBottom w:val="0"/>
      <w:divBdr>
        <w:top w:val="none" w:sz="0" w:space="0" w:color="auto"/>
        <w:left w:val="none" w:sz="0" w:space="0" w:color="auto"/>
        <w:bottom w:val="none" w:sz="0" w:space="0" w:color="auto"/>
        <w:right w:val="none" w:sz="0" w:space="0" w:color="auto"/>
      </w:divBdr>
    </w:div>
    <w:div w:id="1912503462">
      <w:bodyDiv w:val="1"/>
      <w:marLeft w:val="0"/>
      <w:marRight w:val="0"/>
      <w:marTop w:val="0"/>
      <w:marBottom w:val="0"/>
      <w:divBdr>
        <w:top w:val="none" w:sz="0" w:space="0" w:color="auto"/>
        <w:left w:val="none" w:sz="0" w:space="0" w:color="auto"/>
        <w:bottom w:val="none" w:sz="0" w:space="0" w:color="auto"/>
        <w:right w:val="none" w:sz="0" w:space="0" w:color="auto"/>
      </w:divBdr>
    </w:div>
    <w:div w:id="2021081740">
      <w:bodyDiv w:val="1"/>
      <w:marLeft w:val="0"/>
      <w:marRight w:val="0"/>
      <w:marTop w:val="0"/>
      <w:marBottom w:val="0"/>
      <w:divBdr>
        <w:top w:val="none" w:sz="0" w:space="0" w:color="auto"/>
        <w:left w:val="none" w:sz="0" w:space="0" w:color="auto"/>
        <w:bottom w:val="none" w:sz="0" w:space="0" w:color="auto"/>
        <w:right w:val="none" w:sz="0" w:space="0" w:color="auto"/>
      </w:divBdr>
    </w:div>
    <w:div w:id="2045444825">
      <w:bodyDiv w:val="1"/>
      <w:marLeft w:val="0"/>
      <w:marRight w:val="0"/>
      <w:marTop w:val="0"/>
      <w:marBottom w:val="0"/>
      <w:divBdr>
        <w:top w:val="none" w:sz="0" w:space="0" w:color="auto"/>
        <w:left w:val="none" w:sz="0" w:space="0" w:color="auto"/>
        <w:bottom w:val="none" w:sz="0" w:space="0" w:color="auto"/>
        <w:right w:val="none" w:sz="0" w:space="0" w:color="auto"/>
      </w:divBdr>
    </w:div>
    <w:div w:id="2058040636">
      <w:bodyDiv w:val="1"/>
      <w:marLeft w:val="0"/>
      <w:marRight w:val="0"/>
      <w:marTop w:val="0"/>
      <w:marBottom w:val="0"/>
      <w:divBdr>
        <w:top w:val="none" w:sz="0" w:space="0" w:color="auto"/>
        <w:left w:val="none" w:sz="0" w:space="0" w:color="auto"/>
        <w:bottom w:val="none" w:sz="0" w:space="0" w:color="auto"/>
        <w:right w:val="none" w:sz="0" w:space="0" w:color="auto"/>
      </w:divBdr>
    </w:div>
    <w:div w:id="2084184427">
      <w:bodyDiv w:val="1"/>
      <w:marLeft w:val="0"/>
      <w:marRight w:val="0"/>
      <w:marTop w:val="0"/>
      <w:marBottom w:val="0"/>
      <w:divBdr>
        <w:top w:val="none" w:sz="0" w:space="0" w:color="auto"/>
        <w:left w:val="none" w:sz="0" w:space="0" w:color="auto"/>
        <w:bottom w:val="none" w:sz="0" w:space="0" w:color="auto"/>
        <w:right w:val="none" w:sz="0" w:space="0" w:color="auto"/>
      </w:divBdr>
    </w:div>
    <w:div w:id="2137064502">
      <w:bodyDiv w:val="1"/>
      <w:marLeft w:val="0"/>
      <w:marRight w:val="0"/>
      <w:marTop w:val="0"/>
      <w:marBottom w:val="0"/>
      <w:divBdr>
        <w:top w:val="none" w:sz="0" w:space="0" w:color="auto"/>
        <w:left w:val="none" w:sz="0" w:space="0" w:color="auto"/>
        <w:bottom w:val="none" w:sz="0" w:space="0" w:color="auto"/>
        <w:right w:val="none" w:sz="0" w:space="0" w:color="auto"/>
      </w:divBdr>
    </w:div>
    <w:div w:id="21404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1" ma:contentTypeDescription="Create a new document." ma:contentTypeScope="" ma:versionID="3d4c82f3e5358b4896337e63c9450142">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3b665a88ace6102841f906754d1dd951"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AD75-F970-44CF-AA6A-6EC9015AAFF9}">
  <ds:schemaRefs>
    <ds:schemaRef ds:uri="http://purl.org/dc/elements/1.1/"/>
    <ds:schemaRef ds:uri="http://purl.org/dc/dcmitype/"/>
    <ds:schemaRef ds:uri="http://schemas.microsoft.com/office/infopath/2007/PartnerControls"/>
    <ds:schemaRef ds:uri="http://schemas.microsoft.com/office/2006/metadata/properties"/>
    <ds:schemaRef ds:uri="1388daf0-616b-448a-8847-390cfdcfaebc"/>
    <ds:schemaRef ds:uri="http://schemas.microsoft.com/office/2006/documentManagement/types"/>
    <ds:schemaRef ds:uri="http://purl.org/dc/terms/"/>
    <ds:schemaRef ds:uri="http://schemas.openxmlformats.org/package/2006/metadata/core-properties"/>
    <ds:schemaRef ds:uri="b09f89a3-b0d6-4ddb-a5a3-dca19365fc74"/>
    <ds:schemaRef ds:uri="http://www.w3.org/XML/1998/namespace"/>
  </ds:schemaRefs>
</ds:datastoreItem>
</file>

<file path=customXml/itemProps2.xml><?xml version="1.0" encoding="utf-8"?>
<ds:datastoreItem xmlns:ds="http://schemas.openxmlformats.org/officeDocument/2006/customXml" ds:itemID="{5C953C76-140C-45CA-A93A-3D247FCAC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9BF9A-D3E2-492A-8E17-8FE562674B58}">
  <ds:schemaRefs>
    <ds:schemaRef ds:uri="http://schemas.microsoft.com/sharepoint/v3/contenttype/forms"/>
  </ds:schemaRefs>
</ds:datastoreItem>
</file>

<file path=customXml/itemProps4.xml><?xml version="1.0" encoding="utf-8"?>
<ds:datastoreItem xmlns:ds="http://schemas.openxmlformats.org/officeDocument/2006/customXml" ds:itemID="{4A4155D6-F9B0-4B95-8609-7627C50F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31</Pages>
  <Words>37728</Words>
  <Characters>21506</Characters>
  <Application>Microsoft Office Word</Application>
  <DocSecurity>0</DocSecurity>
  <Lines>179</Lines>
  <Paragraphs>118</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59116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EM</dc:creator>
  <cp:keywords/>
  <dc:description/>
  <cp:lastModifiedBy>Agnese Līckrastiņa</cp:lastModifiedBy>
  <cp:revision>14</cp:revision>
  <cp:lastPrinted>2020-03-06T02:38:00Z</cp:lastPrinted>
  <dcterms:created xsi:type="dcterms:W3CDTF">2020-09-10T06:49:00Z</dcterms:created>
  <dcterms:modified xsi:type="dcterms:W3CDTF">2020-09-11T10:36:00Z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