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4C7DFA" w14:paraId="4D61FD41" w14:textId="77777777" w:rsidTr="00F43A16">
        <w:trPr>
          <w:jc w:val="center"/>
        </w:trPr>
        <w:tc>
          <w:tcPr>
            <w:tcW w:w="10188" w:type="dxa"/>
            <w:tcBorders>
              <w:bottom w:val="single" w:sz="6" w:space="0" w:color="000000"/>
            </w:tcBorders>
          </w:tcPr>
          <w:p w14:paraId="4CE3A860" w14:textId="1BDA0B02" w:rsidR="00BD6FD2" w:rsidRPr="004C7DFA" w:rsidRDefault="000C3947" w:rsidP="00622853">
            <w:pPr>
              <w:pStyle w:val="Heading3"/>
              <w:rPr>
                <w:rFonts w:ascii="Times New Roman" w:hAnsi="Times New Roman"/>
              </w:rPr>
            </w:pPr>
            <w:bookmarkStart w:id="0" w:name="OLE_LINK1"/>
            <w:bookmarkStart w:id="1" w:name="OLE_LINK2"/>
            <w:r w:rsidRPr="004C7DFA">
              <w:rPr>
                <w:rFonts w:ascii="Times New Roman" w:hAnsi="Times New Roman"/>
              </w:rPr>
              <w:t>Izziņa par atzinumos sniegtajiem iebildumiem</w:t>
            </w:r>
          </w:p>
          <w:p w14:paraId="4B0657C5" w14:textId="5DE90737" w:rsidR="00BD6FD2" w:rsidRPr="004C7DFA" w:rsidRDefault="00F043C9" w:rsidP="0008781E">
            <w:pPr>
              <w:spacing w:before="120" w:after="120"/>
              <w:jc w:val="center"/>
              <w:rPr>
                <w:b/>
                <w:sz w:val="20"/>
                <w:szCs w:val="20"/>
              </w:rPr>
            </w:pPr>
            <w:r w:rsidRPr="004C7DFA">
              <w:rPr>
                <w:b/>
                <w:sz w:val="20"/>
                <w:szCs w:val="20"/>
              </w:rPr>
              <w:t>Ministru kabineta noteikumu projekts</w:t>
            </w:r>
            <w:bookmarkEnd w:id="0"/>
            <w:bookmarkEnd w:id="1"/>
            <w:r w:rsidR="00872632" w:rsidRPr="004C7DFA">
              <w:rPr>
                <w:b/>
                <w:sz w:val="20"/>
                <w:szCs w:val="20"/>
              </w:rPr>
              <w:t xml:space="preserve"> “</w:t>
            </w:r>
            <w:r w:rsidR="00F74294" w:rsidRPr="004C7DFA">
              <w:rPr>
                <w:b/>
                <w:sz w:val="20"/>
                <w:szCs w:val="20"/>
              </w:rPr>
              <w:t>Noteikumi par elektroenerģijas ražošanu, izmantojot atjaunojamos energoresursus, cenu noteikšanas kārtību un uzraudzību</w:t>
            </w:r>
            <w:r w:rsidR="00872632" w:rsidRPr="004C7DFA">
              <w:rPr>
                <w:b/>
                <w:sz w:val="20"/>
                <w:szCs w:val="20"/>
              </w:rPr>
              <w:t>”</w:t>
            </w:r>
          </w:p>
        </w:tc>
      </w:tr>
    </w:tbl>
    <w:p w14:paraId="433D748A" w14:textId="77777777" w:rsidR="00BD6FD2" w:rsidRPr="004C7DFA" w:rsidRDefault="00BD6FD2" w:rsidP="00BD6FD2">
      <w:pPr>
        <w:pStyle w:val="naisf"/>
        <w:spacing w:before="0" w:after="0"/>
        <w:ind w:firstLine="0"/>
        <w:rPr>
          <w:b/>
          <w:sz w:val="20"/>
          <w:szCs w:val="20"/>
        </w:rPr>
      </w:pPr>
    </w:p>
    <w:p w14:paraId="27ACA861" w14:textId="77777777" w:rsidR="00BD6FD2" w:rsidRPr="004C7DFA" w:rsidRDefault="00BD6FD2" w:rsidP="00BD6FD2">
      <w:pPr>
        <w:pStyle w:val="naisf"/>
        <w:spacing w:before="0" w:after="0"/>
        <w:ind w:firstLine="0"/>
        <w:jc w:val="center"/>
        <w:rPr>
          <w:b/>
          <w:sz w:val="20"/>
          <w:szCs w:val="20"/>
        </w:rPr>
      </w:pPr>
      <w:r w:rsidRPr="004C7DFA">
        <w:rPr>
          <w:b/>
          <w:sz w:val="20"/>
          <w:szCs w:val="20"/>
        </w:rPr>
        <w:t>I. Jautājumi, par kuriem saskaņošanā vienošanās nav panākta</w:t>
      </w:r>
    </w:p>
    <w:p w14:paraId="25C44757" w14:textId="77777777" w:rsidR="00BD6FD2" w:rsidRPr="004C7DFA" w:rsidRDefault="00BD6FD2" w:rsidP="00BD6FD2">
      <w:pPr>
        <w:pStyle w:val="naisf"/>
        <w:spacing w:before="0" w:after="0"/>
        <w:ind w:firstLine="720"/>
        <w:rPr>
          <w:sz w:val="20"/>
          <w:szCs w:val="20"/>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AE739A" w:rsidRPr="004C7DFA"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4C7DFA" w:rsidRDefault="00BD6FD2" w:rsidP="00F838C6">
            <w:pPr>
              <w:pStyle w:val="naisc"/>
              <w:spacing w:before="0" w:after="0"/>
              <w:rPr>
                <w:sz w:val="20"/>
                <w:szCs w:val="20"/>
              </w:rPr>
            </w:pPr>
            <w:r w:rsidRPr="004C7DFA">
              <w:rPr>
                <w:sz w:val="20"/>
                <w:szCs w:val="20"/>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4C7DFA" w:rsidRDefault="00BD6FD2" w:rsidP="00F838C6">
            <w:pPr>
              <w:pStyle w:val="naisc"/>
              <w:spacing w:before="0" w:after="0"/>
              <w:ind w:firstLine="12"/>
              <w:rPr>
                <w:sz w:val="20"/>
                <w:szCs w:val="20"/>
              </w:rPr>
            </w:pPr>
            <w:r w:rsidRPr="004C7DFA">
              <w:rPr>
                <w:sz w:val="20"/>
                <w:szCs w:val="20"/>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4C7DFA" w:rsidRDefault="00BD6FD2" w:rsidP="00F838C6">
            <w:pPr>
              <w:pStyle w:val="naisc"/>
              <w:spacing w:before="0" w:after="0"/>
              <w:ind w:right="3"/>
              <w:rPr>
                <w:sz w:val="20"/>
                <w:szCs w:val="20"/>
              </w:rPr>
            </w:pPr>
            <w:r w:rsidRPr="004C7DFA">
              <w:rPr>
                <w:sz w:val="20"/>
                <w:szCs w:val="20"/>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4C7DFA" w:rsidRDefault="00BD6FD2" w:rsidP="00F838C6">
            <w:pPr>
              <w:pStyle w:val="naisc"/>
              <w:spacing w:before="0" w:after="0"/>
              <w:ind w:firstLine="21"/>
              <w:rPr>
                <w:sz w:val="20"/>
                <w:szCs w:val="20"/>
              </w:rPr>
            </w:pPr>
            <w:r w:rsidRPr="004C7DFA">
              <w:rPr>
                <w:sz w:val="20"/>
                <w:szCs w:val="2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4C7DFA" w:rsidRDefault="00BD6FD2" w:rsidP="00F838C6">
            <w:pPr>
              <w:jc w:val="center"/>
              <w:rPr>
                <w:sz w:val="20"/>
                <w:szCs w:val="20"/>
              </w:rPr>
            </w:pPr>
            <w:r w:rsidRPr="004C7DFA">
              <w:rPr>
                <w:sz w:val="20"/>
                <w:szCs w:val="20"/>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4C7DFA" w:rsidRDefault="00BD6FD2" w:rsidP="00F838C6">
            <w:pPr>
              <w:jc w:val="center"/>
              <w:rPr>
                <w:sz w:val="20"/>
                <w:szCs w:val="20"/>
              </w:rPr>
            </w:pPr>
            <w:r w:rsidRPr="004C7DFA">
              <w:rPr>
                <w:sz w:val="20"/>
                <w:szCs w:val="20"/>
              </w:rPr>
              <w:t>Projekta attiecīgā punkta (panta) galīgā redakcija</w:t>
            </w:r>
          </w:p>
        </w:tc>
      </w:tr>
      <w:tr w:rsidR="00AE739A" w:rsidRPr="004C7DFA"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4C7DFA" w:rsidRDefault="00BD6FD2" w:rsidP="00826949">
            <w:pPr>
              <w:pStyle w:val="naisc"/>
              <w:spacing w:before="0" w:after="0"/>
              <w:rPr>
                <w:sz w:val="20"/>
                <w:szCs w:val="20"/>
              </w:rPr>
            </w:pPr>
            <w:r w:rsidRPr="004C7DFA">
              <w:rPr>
                <w:sz w:val="20"/>
                <w:szCs w:val="20"/>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4C7DFA" w:rsidRDefault="00BD6FD2" w:rsidP="00932EEE">
            <w:pPr>
              <w:pStyle w:val="naisc"/>
              <w:spacing w:before="0" w:after="0"/>
              <w:ind w:firstLine="720"/>
              <w:rPr>
                <w:sz w:val="20"/>
                <w:szCs w:val="20"/>
              </w:rPr>
            </w:pPr>
            <w:r w:rsidRPr="004C7DFA">
              <w:rPr>
                <w:sz w:val="20"/>
                <w:szCs w:val="20"/>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4C7DFA" w:rsidRDefault="00BD6FD2" w:rsidP="00F838C6">
            <w:pPr>
              <w:pStyle w:val="naisc"/>
              <w:spacing w:before="0" w:after="0"/>
              <w:ind w:firstLine="720"/>
              <w:rPr>
                <w:sz w:val="20"/>
                <w:szCs w:val="20"/>
              </w:rPr>
            </w:pPr>
            <w:r w:rsidRPr="004C7DFA">
              <w:rPr>
                <w:sz w:val="20"/>
                <w:szCs w:val="20"/>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4C7DFA" w:rsidRDefault="00BD6FD2" w:rsidP="00F838C6">
            <w:pPr>
              <w:pStyle w:val="naisc"/>
              <w:spacing w:before="0" w:after="0"/>
              <w:ind w:firstLine="720"/>
              <w:rPr>
                <w:sz w:val="20"/>
                <w:szCs w:val="20"/>
              </w:rPr>
            </w:pPr>
            <w:r w:rsidRPr="004C7DFA">
              <w:rPr>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4C7DFA" w:rsidRDefault="00BD6FD2" w:rsidP="00F838C6">
            <w:pPr>
              <w:jc w:val="center"/>
              <w:rPr>
                <w:sz w:val="20"/>
                <w:szCs w:val="20"/>
              </w:rPr>
            </w:pPr>
            <w:r w:rsidRPr="004C7DFA">
              <w:rPr>
                <w:sz w:val="20"/>
                <w:szCs w:val="20"/>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4C7DFA" w:rsidRDefault="00BD6FD2" w:rsidP="00F838C6">
            <w:pPr>
              <w:jc w:val="center"/>
              <w:rPr>
                <w:sz w:val="20"/>
                <w:szCs w:val="20"/>
              </w:rPr>
            </w:pPr>
            <w:r w:rsidRPr="004C7DFA">
              <w:rPr>
                <w:sz w:val="20"/>
                <w:szCs w:val="20"/>
              </w:rPr>
              <w:t>6</w:t>
            </w:r>
          </w:p>
        </w:tc>
      </w:tr>
      <w:tr w:rsidR="00C630D0" w:rsidRPr="004C7DFA"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4C7DFA" w:rsidDel="00E40881" w:rsidRDefault="00C630D0" w:rsidP="00232A53">
            <w:pPr>
              <w:pStyle w:val="naisc"/>
              <w:numPr>
                <w:ilvl w:val="0"/>
                <w:numId w:val="4"/>
              </w:numPr>
              <w:spacing w:before="0" w:after="0"/>
              <w:ind w:left="113" w:hanging="113"/>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A9FF3A5" w14:textId="77777777" w:rsidR="00DF33B7" w:rsidRPr="00DF33B7" w:rsidRDefault="00D11CC2" w:rsidP="00DF33B7">
            <w:pPr>
              <w:pStyle w:val="naisc"/>
              <w:jc w:val="both"/>
              <w:rPr>
                <w:sz w:val="20"/>
                <w:szCs w:val="20"/>
              </w:rPr>
            </w:pPr>
            <w:r w:rsidRPr="004C7DFA">
              <w:rPr>
                <w:sz w:val="20"/>
                <w:szCs w:val="20"/>
              </w:rPr>
              <w:t>Projekta 30.</w:t>
            </w:r>
            <w:r w:rsidR="00DF33B7">
              <w:rPr>
                <w:sz w:val="20"/>
                <w:szCs w:val="20"/>
              </w:rPr>
              <w:t>2.apakš</w:t>
            </w:r>
            <w:r w:rsidRPr="004C7DFA">
              <w:rPr>
                <w:sz w:val="20"/>
                <w:szCs w:val="20"/>
              </w:rPr>
              <w:t>punkts</w:t>
            </w:r>
            <w:r w:rsidR="00DF33B7">
              <w:rPr>
                <w:sz w:val="20"/>
                <w:szCs w:val="20"/>
              </w:rPr>
              <w:t>:</w:t>
            </w:r>
            <w:r w:rsidR="00DF33B7">
              <w:rPr>
                <w:sz w:val="20"/>
                <w:szCs w:val="20"/>
              </w:rPr>
              <w:br/>
            </w:r>
            <w:r w:rsidR="00DF33B7" w:rsidRPr="00DF33B7">
              <w:rPr>
                <w:sz w:val="20"/>
                <w:szCs w:val="20"/>
              </w:rPr>
              <w:t>30.2.</w:t>
            </w:r>
            <w:r w:rsidR="00DF33B7" w:rsidRPr="00DF33B7">
              <w:rPr>
                <w:sz w:val="20"/>
                <w:szCs w:val="20"/>
              </w:rPr>
              <w:tab/>
              <w:t>pieņem, ka koģenerācijā saražotās elektroenerģijas daudzums, kas atlicis pēc elektroenerģijas izlietošanas biogāzes vai biomasas elektrostacijas darbības nodrošināšanai, norēķinu periodā ir vienāds ar sistēmas operatora elektrotīklā nodotās elektroenerģijas daudzumu vai aprēķināto elektroenerģijas daudzumu šo noteikumu 31. punktā minētajā gadījumā, ja ir ievērots viens no šādiem nosacījumiem:</w:t>
            </w:r>
          </w:p>
          <w:p w14:paraId="3552BD7C" w14:textId="77777777" w:rsidR="00DF33B7" w:rsidRPr="00DF33B7" w:rsidRDefault="00DF33B7" w:rsidP="00DF33B7">
            <w:pPr>
              <w:pStyle w:val="naisc"/>
              <w:jc w:val="both"/>
              <w:rPr>
                <w:sz w:val="20"/>
                <w:szCs w:val="20"/>
              </w:rPr>
            </w:pPr>
            <w:r w:rsidRPr="00DF33B7">
              <w:rPr>
                <w:sz w:val="20"/>
                <w:szCs w:val="20"/>
              </w:rPr>
              <w:t>30.2.1.</w:t>
            </w:r>
            <w:r w:rsidRPr="00DF33B7">
              <w:rPr>
                <w:sz w:val="20"/>
                <w:szCs w:val="20"/>
              </w:rPr>
              <w:tab/>
              <w:t xml:space="preserve">biogāzes vai biomasas elektrostacijai, kurā izmanto kombinētā cikla gāzes turbīnu ar siltuma utilizāciju vai tvaika kondensācijas turbīnu ar termofikācijas </w:t>
            </w:r>
            <w:proofErr w:type="spellStart"/>
            <w:r w:rsidRPr="00DF33B7">
              <w:rPr>
                <w:sz w:val="20"/>
                <w:szCs w:val="20"/>
              </w:rPr>
              <w:lastRenderedPageBreak/>
              <w:t>nozartvaiku</w:t>
            </w:r>
            <w:proofErr w:type="spellEnd"/>
            <w:r w:rsidRPr="00DF33B7">
              <w:rPr>
                <w:sz w:val="20"/>
                <w:szCs w:val="20"/>
              </w:rPr>
              <w:t>, faktiskais kopējais enerģijas ražošanas lietderības koeficients, kas aprēķināts saskaņā ar šo noteikumu 30.1. apakšpunktu, ir 80 % vai lielāks;</w:t>
            </w:r>
          </w:p>
          <w:p w14:paraId="31670E32" w14:textId="423C1A65" w:rsidR="00C630D0" w:rsidRPr="004C7DFA" w:rsidDel="00E40881" w:rsidRDefault="00DF33B7" w:rsidP="00DF33B7">
            <w:pPr>
              <w:pStyle w:val="naisc"/>
              <w:spacing w:before="0" w:after="0"/>
              <w:jc w:val="both"/>
              <w:rPr>
                <w:sz w:val="20"/>
                <w:szCs w:val="20"/>
              </w:rPr>
            </w:pPr>
            <w:r w:rsidRPr="00DF33B7">
              <w:rPr>
                <w:sz w:val="20"/>
                <w:szCs w:val="20"/>
              </w:rPr>
              <w:t>30.2.2.</w:t>
            </w:r>
            <w:r w:rsidRPr="00DF33B7">
              <w:rPr>
                <w:sz w:val="20"/>
                <w:szCs w:val="20"/>
              </w:rPr>
              <w:tab/>
              <w:t xml:space="preserve"> biogāzes vai biomasas elektrostacijai, kurā izmanto tvaika pretspiediena turbīnu, gāzes turbīnu ar siltuma utilizāciju, iekšdedzes dzinēju, </w:t>
            </w:r>
            <w:proofErr w:type="spellStart"/>
            <w:r w:rsidRPr="00DF33B7">
              <w:rPr>
                <w:sz w:val="20"/>
                <w:szCs w:val="20"/>
              </w:rPr>
              <w:t>mikroturbīnas</w:t>
            </w:r>
            <w:proofErr w:type="spellEnd"/>
            <w:r w:rsidRPr="00DF33B7">
              <w:rPr>
                <w:sz w:val="20"/>
                <w:szCs w:val="20"/>
              </w:rPr>
              <w:t xml:space="preserve">, </w:t>
            </w:r>
            <w:proofErr w:type="spellStart"/>
            <w:r w:rsidRPr="00DF33B7">
              <w:rPr>
                <w:sz w:val="20"/>
                <w:szCs w:val="20"/>
              </w:rPr>
              <w:t>Stirlinga</w:t>
            </w:r>
            <w:proofErr w:type="spellEnd"/>
            <w:r w:rsidRPr="00DF33B7">
              <w:rPr>
                <w:sz w:val="20"/>
                <w:szCs w:val="20"/>
              </w:rPr>
              <w:t xml:space="preserve"> dzinējus,  kurināmā elementus, tvaika dzinējus, organisko </w:t>
            </w:r>
            <w:proofErr w:type="spellStart"/>
            <w:r w:rsidRPr="00DF33B7">
              <w:rPr>
                <w:sz w:val="20"/>
                <w:szCs w:val="20"/>
              </w:rPr>
              <w:t>Renkina</w:t>
            </w:r>
            <w:proofErr w:type="spellEnd"/>
            <w:r w:rsidRPr="00DF33B7">
              <w:rPr>
                <w:sz w:val="20"/>
                <w:szCs w:val="20"/>
              </w:rPr>
              <w:t xml:space="preserve"> ciklu vai citas tehnoloģijas vai to kombinācijas, ja, tās izmantojot, vienlaikus iespējams ražot elektroenerģiju un lietderīgo siltumenerģiju, faktiskais kopējais enerģijas ražošanas lietderības koeficients, kas aprēķināts saskaņā ar šo noteikumu 30.1. apakšpunktu, ir 75 % vai lielāks;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F9A46A7" w14:textId="77777777" w:rsidR="00005950" w:rsidRPr="004C7DFA" w:rsidRDefault="00005950" w:rsidP="00005950">
            <w:pPr>
              <w:tabs>
                <w:tab w:val="left" w:pos="1134"/>
              </w:tabs>
              <w:spacing w:after="160" w:line="252" w:lineRule="auto"/>
              <w:ind w:left="126"/>
              <w:contextualSpacing/>
              <w:jc w:val="center"/>
              <w:rPr>
                <w:rFonts w:eastAsia="Calibri"/>
                <w:b/>
                <w:sz w:val="20"/>
                <w:szCs w:val="20"/>
              </w:rPr>
            </w:pPr>
            <w:r w:rsidRPr="004C7DFA">
              <w:rPr>
                <w:rFonts w:eastAsia="Calibri"/>
                <w:b/>
                <w:sz w:val="20"/>
                <w:szCs w:val="20"/>
              </w:rPr>
              <w:lastRenderedPageBreak/>
              <w:t>Vides un reģionālās attīstības ministrija (26.08.2020.) iebildums</w:t>
            </w:r>
          </w:p>
          <w:p w14:paraId="239916C1" w14:textId="77777777" w:rsidR="00005950" w:rsidRPr="004C7DFA" w:rsidRDefault="00005950" w:rsidP="0081357B">
            <w:pPr>
              <w:jc w:val="both"/>
              <w:rPr>
                <w:sz w:val="20"/>
                <w:szCs w:val="20"/>
              </w:rPr>
            </w:pPr>
            <w:r w:rsidRPr="004C7DFA">
              <w:rPr>
                <w:sz w:val="20"/>
                <w:szCs w:val="20"/>
              </w:rPr>
              <w:t>Papildināt AER noteikumu 30. punktu ar jaunu apakšpunktu šādā redakcijā:</w:t>
            </w:r>
          </w:p>
          <w:p w14:paraId="599867B5" w14:textId="430AA370" w:rsidR="00C630D0" w:rsidRPr="004C7DFA" w:rsidDel="00E40881" w:rsidRDefault="00005950" w:rsidP="0081357B">
            <w:pPr>
              <w:tabs>
                <w:tab w:val="left" w:pos="1134"/>
              </w:tabs>
              <w:spacing w:after="160" w:line="252" w:lineRule="auto"/>
              <w:contextualSpacing/>
              <w:jc w:val="both"/>
              <w:rPr>
                <w:rFonts w:eastAsia="Calibri"/>
                <w:b/>
                <w:sz w:val="20"/>
                <w:szCs w:val="20"/>
              </w:rPr>
            </w:pPr>
            <w:r w:rsidRPr="004C7DFA">
              <w:rPr>
                <w:sz w:val="20"/>
                <w:szCs w:val="20"/>
              </w:rPr>
              <w:t xml:space="preserve">“30.2.3. koģenerācijas elektrostacijai, kurā izmanto tvaika pretspiediena turbīnu, gāzes turbīnu ar siltuma utilizāciju, iekšdedzes dzinēju, </w:t>
            </w:r>
            <w:proofErr w:type="spellStart"/>
            <w:r w:rsidRPr="004C7DFA">
              <w:rPr>
                <w:sz w:val="20"/>
                <w:szCs w:val="20"/>
              </w:rPr>
              <w:t>mikroturbīnas</w:t>
            </w:r>
            <w:proofErr w:type="spellEnd"/>
            <w:r w:rsidRPr="004C7DFA">
              <w:rPr>
                <w:sz w:val="20"/>
                <w:szCs w:val="20"/>
              </w:rPr>
              <w:t xml:space="preserve">, </w:t>
            </w:r>
            <w:proofErr w:type="spellStart"/>
            <w:r w:rsidRPr="004C7DFA">
              <w:rPr>
                <w:sz w:val="20"/>
                <w:szCs w:val="20"/>
              </w:rPr>
              <w:t>Sterlinga</w:t>
            </w:r>
            <w:proofErr w:type="spellEnd"/>
            <w:r w:rsidRPr="004C7DFA">
              <w:rPr>
                <w:sz w:val="20"/>
                <w:szCs w:val="20"/>
              </w:rPr>
              <w:t xml:space="preserve"> dzinējus, kurināmā elementus, tvaika dzinējus, organisko </w:t>
            </w:r>
            <w:proofErr w:type="spellStart"/>
            <w:r w:rsidRPr="004C7DFA">
              <w:rPr>
                <w:sz w:val="20"/>
                <w:szCs w:val="20"/>
              </w:rPr>
              <w:t>Renkina</w:t>
            </w:r>
            <w:proofErr w:type="spellEnd"/>
            <w:r w:rsidRPr="004C7DFA">
              <w:rPr>
                <w:sz w:val="20"/>
                <w:szCs w:val="20"/>
              </w:rPr>
              <w:t xml:space="preserve"> ciklu vai citas tehnoloģijas vai to kombinācijas, kā kurināmo izmantojot poligonu gāzi, vienlaikus iespējams ražot elektroenerģiju un lietderīgo siltumenerģiju, faktiskais kopējais enerģijas ražošanas lietderības koeficients, kas aprēķināts saskaņā ar šo noteikumu 30.1. apakšpunktu, ir 30 % vai lielāks.”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465EC7" w14:textId="77777777" w:rsidR="00C630D0" w:rsidRPr="0081357B" w:rsidRDefault="00005950" w:rsidP="00925C24">
            <w:pPr>
              <w:pStyle w:val="naisc"/>
              <w:spacing w:before="0" w:after="0"/>
              <w:rPr>
                <w:b/>
                <w:sz w:val="20"/>
                <w:szCs w:val="20"/>
              </w:rPr>
            </w:pPr>
            <w:r w:rsidRPr="0081357B">
              <w:rPr>
                <w:b/>
                <w:sz w:val="20"/>
                <w:szCs w:val="20"/>
              </w:rPr>
              <w:t>Iebildums nav ņemts vērā</w:t>
            </w:r>
          </w:p>
          <w:p w14:paraId="46CF78E6" w14:textId="748D900D" w:rsidR="00D11CC2" w:rsidRPr="0081357B" w:rsidDel="00E40881" w:rsidRDefault="00A04DEB" w:rsidP="0081357B">
            <w:pPr>
              <w:pStyle w:val="naisc"/>
              <w:spacing w:before="0" w:after="0"/>
              <w:jc w:val="both"/>
              <w:rPr>
                <w:b/>
                <w:sz w:val="20"/>
                <w:szCs w:val="20"/>
              </w:rPr>
            </w:pPr>
            <w:r w:rsidRPr="0081357B">
              <w:rPr>
                <w:sz w:val="20"/>
                <w:szCs w:val="20"/>
              </w:rPr>
              <w:t xml:space="preserve">Noteikumu projektā iekļautie nosacījumi attiecībā uz elektrostaciju efektivitāti ir noteikti atbilstoši spēkā esošajiem nosacījumiem attiecībā uz augstas efektivitātes koģenerācijas stacijām. Vienlaikus </w:t>
            </w:r>
            <w:r w:rsidR="00DF33B7" w:rsidRPr="0081357B">
              <w:rPr>
                <w:sz w:val="20"/>
                <w:szCs w:val="20"/>
              </w:rPr>
              <w:t>lietderīgas siltumenerģijas izmantošanas prasības ietekmēs vienotā tehnoloģiskā cikla principa piemērošanas nosacījumi, kurus plānots izstrādāt līdz 2021. gada 1. janvārim.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77777777" w:rsidR="00C630D0" w:rsidRPr="004C7DFA" w:rsidRDefault="00C630D0" w:rsidP="00EC1C6C">
            <w:pPr>
              <w:jc w:val="center"/>
              <w:rPr>
                <w:sz w:val="20"/>
                <w:szCs w:val="20"/>
              </w:rPr>
            </w:pPr>
          </w:p>
        </w:tc>
        <w:tc>
          <w:tcPr>
            <w:tcW w:w="2268" w:type="dxa"/>
            <w:tcBorders>
              <w:top w:val="single" w:sz="4" w:space="0" w:color="auto"/>
              <w:left w:val="single" w:sz="4" w:space="0" w:color="auto"/>
              <w:bottom w:val="single" w:sz="4" w:space="0" w:color="auto"/>
            </w:tcBorders>
            <w:shd w:val="clear" w:color="auto" w:fill="auto"/>
          </w:tcPr>
          <w:p w14:paraId="1ECA54F9" w14:textId="77777777" w:rsidR="00DF33B7" w:rsidRPr="00DF33B7" w:rsidRDefault="00D11CC2" w:rsidP="00DF33B7">
            <w:pPr>
              <w:jc w:val="both"/>
              <w:rPr>
                <w:sz w:val="20"/>
                <w:szCs w:val="20"/>
              </w:rPr>
            </w:pPr>
            <w:r w:rsidRPr="004C7DFA">
              <w:rPr>
                <w:sz w:val="20"/>
                <w:szCs w:val="20"/>
              </w:rPr>
              <w:t>Projekta 30.</w:t>
            </w:r>
            <w:r w:rsidR="00DF33B7">
              <w:rPr>
                <w:sz w:val="20"/>
                <w:szCs w:val="20"/>
              </w:rPr>
              <w:t>2.apakš</w:t>
            </w:r>
            <w:r w:rsidRPr="004C7DFA">
              <w:rPr>
                <w:sz w:val="20"/>
                <w:szCs w:val="20"/>
              </w:rPr>
              <w:t>punkts</w:t>
            </w:r>
            <w:r w:rsidR="00DF33B7">
              <w:rPr>
                <w:sz w:val="20"/>
                <w:szCs w:val="20"/>
              </w:rPr>
              <w:t>:</w:t>
            </w:r>
            <w:r w:rsidR="00DF33B7">
              <w:rPr>
                <w:sz w:val="20"/>
                <w:szCs w:val="20"/>
              </w:rPr>
              <w:br/>
            </w:r>
            <w:r w:rsidR="00DF33B7" w:rsidRPr="00DF33B7">
              <w:rPr>
                <w:sz w:val="20"/>
                <w:szCs w:val="20"/>
              </w:rPr>
              <w:t>30.2.</w:t>
            </w:r>
            <w:r w:rsidR="00DF33B7" w:rsidRPr="00DF33B7">
              <w:rPr>
                <w:sz w:val="20"/>
                <w:szCs w:val="20"/>
              </w:rPr>
              <w:tab/>
              <w:t>pieņem, ka koģenerācijā saražotās elektroenerģijas daudzums, kas atlicis pēc elektroenerģijas izlietošanas biogāzes vai biomasas elektrostacijas darbības nodrošināšanai, norēķinu periodā ir vienāds ar sistēmas operatora elektrotīklā nodotās elektroenerģijas daudzumu vai aprēķināto elektroenerģijas daudzumu šo noteikumu 31. punktā minētajā gadījumā, ja ir ievērots viens no šādiem nosacījumiem:</w:t>
            </w:r>
          </w:p>
          <w:p w14:paraId="532A9AAA" w14:textId="77777777" w:rsidR="00DF33B7" w:rsidRPr="00DF33B7" w:rsidRDefault="00DF33B7" w:rsidP="00DF33B7">
            <w:pPr>
              <w:jc w:val="both"/>
              <w:rPr>
                <w:sz w:val="20"/>
                <w:szCs w:val="20"/>
              </w:rPr>
            </w:pPr>
            <w:r w:rsidRPr="00DF33B7">
              <w:rPr>
                <w:sz w:val="20"/>
                <w:szCs w:val="20"/>
              </w:rPr>
              <w:t>30.2.1.</w:t>
            </w:r>
            <w:r w:rsidRPr="00DF33B7">
              <w:rPr>
                <w:sz w:val="20"/>
                <w:szCs w:val="20"/>
              </w:rPr>
              <w:tab/>
              <w:t xml:space="preserve">biogāzes vai biomasas elektrostacijai, kurā izmanto kombinētā cikla gāzes turbīnu ar siltuma utilizāciju vai tvaika kondensācijas turbīnu ar termofikācijas </w:t>
            </w:r>
            <w:proofErr w:type="spellStart"/>
            <w:r w:rsidRPr="00DF33B7">
              <w:rPr>
                <w:sz w:val="20"/>
                <w:szCs w:val="20"/>
              </w:rPr>
              <w:t>nozartvaiku</w:t>
            </w:r>
            <w:proofErr w:type="spellEnd"/>
            <w:r w:rsidRPr="00DF33B7">
              <w:rPr>
                <w:sz w:val="20"/>
                <w:szCs w:val="20"/>
              </w:rPr>
              <w:t xml:space="preserve">, faktiskais </w:t>
            </w:r>
            <w:r w:rsidRPr="00DF33B7">
              <w:rPr>
                <w:sz w:val="20"/>
                <w:szCs w:val="20"/>
              </w:rPr>
              <w:lastRenderedPageBreak/>
              <w:t>kopējais enerģijas ražošanas lietderības koeficients, kas aprēķināts saskaņā ar šo noteikumu 30.1. apakšpunktu, ir 80 % vai lielāks;</w:t>
            </w:r>
          </w:p>
          <w:p w14:paraId="4DE0D896" w14:textId="247C4D2B" w:rsidR="00C630D0" w:rsidRPr="004C7DFA" w:rsidDel="00E40881" w:rsidRDefault="00DF33B7" w:rsidP="00DF33B7">
            <w:pPr>
              <w:jc w:val="both"/>
              <w:rPr>
                <w:sz w:val="20"/>
                <w:szCs w:val="20"/>
              </w:rPr>
            </w:pPr>
            <w:r w:rsidRPr="00DF33B7">
              <w:rPr>
                <w:sz w:val="20"/>
                <w:szCs w:val="20"/>
              </w:rPr>
              <w:t>30.2.2.</w:t>
            </w:r>
            <w:r w:rsidRPr="00DF33B7">
              <w:rPr>
                <w:sz w:val="20"/>
                <w:szCs w:val="20"/>
              </w:rPr>
              <w:tab/>
              <w:t xml:space="preserve"> biogāzes vai biomasas elektrostacijai, kurā izmanto tvaika pretspiediena turbīnu, gāzes turbīnu ar siltuma utilizāciju, iekšdedzes dzinēju, </w:t>
            </w:r>
            <w:proofErr w:type="spellStart"/>
            <w:r w:rsidRPr="00DF33B7">
              <w:rPr>
                <w:sz w:val="20"/>
                <w:szCs w:val="20"/>
              </w:rPr>
              <w:t>mikroturbīnas</w:t>
            </w:r>
            <w:proofErr w:type="spellEnd"/>
            <w:r w:rsidRPr="00DF33B7">
              <w:rPr>
                <w:sz w:val="20"/>
                <w:szCs w:val="20"/>
              </w:rPr>
              <w:t xml:space="preserve">, </w:t>
            </w:r>
            <w:proofErr w:type="spellStart"/>
            <w:r w:rsidRPr="00DF33B7">
              <w:rPr>
                <w:sz w:val="20"/>
                <w:szCs w:val="20"/>
              </w:rPr>
              <w:t>Stirlinga</w:t>
            </w:r>
            <w:proofErr w:type="spellEnd"/>
            <w:r w:rsidRPr="00DF33B7">
              <w:rPr>
                <w:sz w:val="20"/>
                <w:szCs w:val="20"/>
              </w:rPr>
              <w:t xml:space="preserve"> dzinējus,  kurināmā elementus, tvaika dzinējus, organisko </w:t>
            </w:r>
            <w:proofErr w:type="spellStart"/>
            <w:r w:rsidRPr="00DF33B7">
              <w:rPr>
                <w:sz w:val="20"/>
                <w:szCs w:val="20"/>
              </w:rPr>
              <w:t>Renkina</w:t>
            </w:r>
            <w:proofErr w:type="spellEnd"/>
            <w:r w:rsidRPr="00DF33B7">
              <w:rPr>
                <w:sz w:val="20"/>
                <w:szCs w:val="20"/>
              </w:rPr>
              <w:t xml:space="preserve"> ciklu vai citas tehnoloģijas vai to kombinācijas, ja, tās izmantojot, vienlaikus iespējams ražot elektroenerģiju un lietderīgo siltumenerģiju, faktiskais kopējais enerģijas ražošanas lietderības koeficients, kas aprēķināts saskaņā ar šo noteikumu 30.1. apakšpunktu, ir 75 % vai lielāks;</w:t>
            </w:r>
          </w:p>
        </w:tc>
      </w:tr>
      <w:tr w:rsidR="00D11CC2" w:rsidRPr="004C7DFA" w:rsidDel="00E40881" w14:paraId="41ACD3CC"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DC67EB" w14:textId="77777777" w:rsidR="00D11CC2" w:rsidRPr="004C7DFA" w:rsidDel="00E40881" w:rsidRDefault="00D11CC2" w:rsidP="00232A53">
            <w:pPr>
              <w:pStyle w:val="naisc"/>
              <w:numPr>
                <w:ilvl w:val="0"/>
                <w:numId w:val="4"/>
              </w:numPr>
              <w:spacing w:before="0" w:after="0"/>
              <w:ind w:left="113" w:hanging="113"/>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AA8121B" w14:textId="4CE9DDCF" w:rsidR="00AB596A" w:rsidRPr="004C7DFA" w:rsidRDefault="00AB596A" w:rsidP="00AB596A">
            <w:pPr>
              <w:shd w:val="clear" w:color="auto" w:fill="FFFFFF"/>
              <w:suppressAutoHyphens/>
              <w:autoSpaceDN w:val="0"/>
              <w:jc w:val="both"/>
              <w:textAlignment w:val="baseline"/>
              <w:rPr>
                <w:sz w:val="20"/>
                <w:szCs w:val="20"/>
              </w:rPr>
            </w:pPr>
            <w:bookmarkStart w:id="2" w:name="_Ref48919328"/>
            <w:bookmarkStart w:id="3" w:name="_Ref49412554"/>
            <w:r w:rsidRPr="004C7DFA">
              <w:rPr>
                <w:sz w:val="20"/>
                <w:szCs w:val="20"/>
              </w:rPr>
              <w:t>20. Lai pārdotu no atjaunojamiem energoresursiem saražoto elektroenerģiju obligātā iepirkuma ietvaros:</w:t>
            </w:r>
            <w:bookmarkEnd w:id="2"/>
            <w:bookmarkEnd w:id="3"/>
          </w:p>
          <w:p w14:paraId="0CCB6888" w14:textId="16949C4A" w:rsidR="00AB596A" w:rsidRPr="004C7DFA" w:rsidRDefault="00AB596A" w:rsidP="00AB596A">
            <w:pPr>
              <w:shd w:val="clear" w:color="auto" w:fill="FFFFFF"/>
              <w:suppressAutoHyphens/>
              <w:autoSpaceDN w:val="0"/>
              <w:jc w:val="both"/>
              <w:textAlignment w:val="baseline"/>
              <w:rPr>
                <w:sz w:val="20"/>
                <w:szCs w:val="20"/>
              </w:rPr>
            </w:pPr>
            <w:bookmarkStart w:id="4" w:name="_Ref48917966"/>
            <w:r w:rsidRPr="004C7DFA">
              <w:rPr>
                <w:sz w:val="20"/>
                <w:szCs w:val="20"/>
              </w:rPr>
              <w:t xml:space="preserve">20.1. elektrostaciju pieslēdz licencēta sistēmas operatora tīklam un aprīko ar saražotās elektroenerģijas uzskaites </w:t>
            </w:r>
            <w:r w:rsidRPr="004C7DFA">
              <w:rPr>
                <w:sz w:val="20"/>
                <w:szCs w:val="20"/>
              </w:rPr>
              <w:lastRenderedPageBreak/>
              <w:t xml:space="preserve">mēraparātiem, kā arī ar elektrotīklā nodotās un no tīkla saņemtās elektroenerģijas </w:t>
            </w:r>
            <w:proofErr w:type="spellStart"/>
            <w:r w:rsidRPr="004C7DFA">
              <w:rPr>
                <w:sz w:val="20"/>
                <w:szCs w:val="20"/>
              </w:rPr>
              <w:t>komercuzskaites</w:t>
            </w:r>
            <w:proofErr w:type="spellEnd"/>
            <w:r w:rsidRPr="004C7DFA">
              <w:rPr>
                <w:sz w:val="20"/>
                <w:szCs w:val="20"/>
              </w:rPr>
              <w:t xml:space="preserve"> mēraparātiem;</w:t>
            </w:r>
            <w:bookmarkEnd w:id="4"/>
          </w:p>
          <w:p w14:paraId="7275F142" w14:textId="4FF48056" w:rsidR="00AB596A" w:rsidRPr="004C7DFA" w:rsidRDefault="00AB596A" w:rsidP="00AB596A">
            <w:pPr>
              <w:shd w:val="clear" w:color="auto" w:fill="FFFFFF"/>
              <w:suppressAutoHyphens/>
              <w:autoSpaceDN w:val="0"/>
              <w:jc w:val="both"/>
              <w:textAlignment w:val="baseline"/>
              <w:rPr>
                <w:sz w:val="20"/>
                <w:szCs w:val="20"/>
              </w:rPr>
            </w:pPr>
            <w:bookmarkStart w:id="5" w:name="_Ref48917984"/>
            <w:r w:rsidRPr="004C7DFA">
              <w:rPr>
                <w:sz w:val="20"/>
                <w:szCs w:val="20"/>
              </w:rPr>
              <w:t xml:space="preserve">20.2.šo noteikumu </w:t>
            </w:r>
            <w:r w:rsidRPr="004C7DFA">
              <w:rPr>
                <w:sz w:val="20"/>
                <w:szCs w:val="20"/>
              </w:rPr>
              <w:fldChar w:fldCharType="begin"/>
            </w:r>
            <w:r w:rsidRPr="004C7DFA">
              <w:rPr>
                <w:sz w:val="20"/>
                <w:szCs w:val="20"/>
              </w:rPr>
              <w:instrText xml:space="preserve"> REF _Ref48917486 \w \h  \* MERGEFORMAT </w:instrText>
            </w:r>
            <w:r w:rsidRPr="004C7DFA">
              <w:rPr>
                <w:sz w:val="20"/>
                <w:szCs w:val="20"/>
              </w:rPr>
            </w:r>
            <w:r w:rsidRPr="004C7DFA">
              <w:rPr>
                <w:sz w:val="20"/>
                <w:szCs w:val="20"/>
              </w:rPr>
              <w:fldChar w:fldCharType="separate"/>
            </w:r>
            <w:r w:rsidRPr="004C7DFA">
              <w:rPr>
                <w:sz w:val="20"/>
                <w:szCs w:val="20"/>
              </w:rPr>
              <w:t>3.2</w:t>
            </w:r>
            <w:r w:rsidRPr="004C7DFA">
              <w:rPr>
                <w:sz w:val="20"/>
                <w:szCs w:val="20"/>
              </w:rPr>
              <w:fldChar w:fldCharType="end"/>
            </w:r>
            <w:r w:rsidRPr="004C7DFA">
              <w:rPr>
                <w:sz w:val="20"/>
                <w:szCs w:val="20"/>
              </w:rPr>
              <w:t xml:space="preserve">. un </w:t>
            </w:r>
            <w:r w:rsidRPr="004C7DFA">
              <w:rPr>
                <w:sz w:val="20"/>
                <w:szCs w:val="20"/>
              </w:rPr>
              <w:fldChar w:fldCharType="begin"/>
            </w:r>
            <w:r w:rsidRPr="004C7DFA">
              <w:rPr>
                <w:sz w:val="20"/>
                <w:szCs w:val="20"/>
              </w:rPr>
              <w:instrText xml:space="preserve"> REF _Ref48913395 \w \h  \* MERGEFORMAT </w:instrText>
            </w:r>
            <w:r w:rsidRPr="004C7DFA">
              <w:rPr>
                <w:sz w:val="20"/>
                <w:szCs w:val="20"/>
              </w:rPr>
            </w:r>
            <w:r w:rsidRPr="004C7DFA">
              <w:rPr>
                <w:sz w:val="20"/>
                <w:szCs w:val="20"/>
              </w:rPr>
              <w:fldChar w:fldCharType="separate"/>
            </w:r>
            <w:r w:rsidRPr="004C7DFA">
              <w:rPr>
                <w:sz w:val="20"/>
                <w:szCs w:val="20"/>
              </w:rPr>
              <w:t>3.3</w:t>
            </w:r>
            <w:r w:rsidRPr="004C7DFA">
              <w:rPr>
                <w:sz w:val="20"/>
                <w:szCs w:val="20"/>
              </w:rPr>
              <w:fldChar w:fldCharType="end"/>
            </w:r>
            <w:r w:rsidRPr="004C7DFA">
              <w:rPr>
                <w:sz w:val="20"/>
                <w:szCs w:val="20"/>
              </w:rPr>
              <w:t>. apakšpunktā minēto elektrostaciju aprīko ar siltumenerģijas uzskaites mēraparātiem vai mēraparātu sistēmu, kas atbilst normatīvajiem aktiem par metroloģiskajām prasībām mērīšanas līdzekļiem un to metroloģiskās kontroles kārtību un nodrošina koģenerācijas iekārtā saražotās siltumenerģijas, atsevišķos siltumenerģijas ražošanas katlos vai citā veidā saražotās siltumenerģijas un lietderīgi izmantotās siltumenerģijas atsevišķu uzskaiti;</w:t>
            </w:r>
            <w:bookmarkEnd w:id="5"/>
          </w:p>
          <w:p w14:paraId="31B57899" w14:textId="0EF5E00C"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20.3. biogāzes ražošanai izmantoto izejvielu uzskaiti, izmantojot mēraparātus vai mērlīdzekļu sistēmu, kas atbilst normatīvajiem aktiem par metroloģiskajām prasībām mērīšanas līdzekļiem un to metroloģiskās kontroles kārtībai, ja enerģijas ražošanai tiek izmantota biogāze;</w:t>
            </w:r>
          </w:p>
          <w:p w14:paraId="19E056BB" w14:textId="7A6A756A" w:rsidR="00AB596A" w:rsidRPr="004C7DFA" w:rsidRDefault="00AB596A" w:rsidP="00AB596A">
            <w:pPr>
              <w:shd w:val="clear" w:color="auto" w:fill="FFFFFF"/>
              <w:suppressAutoHyphens/>
              <w:autoSpaceDN w:val="0"/>
              <w:jc w:val="both"/>
              <w:textAlignment w:val="baseline"/>
              <w:rPr>
                <w:sz w:val="20"/>
                <w:szCs w:val="20"/>
              </w:rPr>
            </w:pPr>
            <w:bookmarkStart w:id="6" w:name="_Ref48917998"/>
            <w:r w:rsidRPr="004C7DFA">
              <w:rPr>
                <w:sz w:val="20"/>
                <w:szCs w:val="20"/>
              </w:rPr>
              <w:lastRenderedPageBreak/>
              <w:t xml:space="preserve">20.4. šo noteikumu </w:t>
            </w:r>
            <w:r w:rsidRPr="004C7DFA">
              <w:rPr>
                <w:sz w:val="20"/>
                <w:szCs w:val="20"/>
              </w:rPr>
              <w:fldChar w:fldCharType="begin"/>
            </w:r>
            <w:r w:rsidRPr="004C7DFA">
              <w:rPr>
                <w:sz w:val="20"/>
                <w:szCs w:val="20"/>
              </w:rPr>
              <w:instrText xml:space="preserve"> REF _Ref48917486 \w \h  \* MERGEFORMAT </w:instrText>
            </w:r>
            <w:r w:rsidRPr="004C7DFA">
              <w:rPr>
                <w:sz w:val="20"/>
                <w:szCs w:val="20"/>
              </w:rPr>
            </w:r>
            <w:r w:rsidRPr="004C7DFA">
              <w:rPr>
                <w:sz w:val="20"/>
                <w:szCs w:val="20"/>
              </w:rPr>
              <w:fldChar w:fldCharType="separate"/>
            </w:r>
            <w:r w:rsidRPr="004C7DFA">
              <w:rPr>
                <w:sz w:val="20"/>
                <w:szCs w:val="20"/>
              </w:rPr>
              <w:t>3.2</w:t>
            </w:r>
            <w:r w:rsidRPr="004C7DFA">
              <w:rPr>
                <w:sz w:val="20"/>
                <w:szCs w:val="20"/>
              </w:rPr>
              <w:fldChar w:fldCharType="end"/>
            </w:r>
            <w:r w:rsidRPr="004C7DFA">
              <w:rPr>
                <w:sz w:val="20"/>
                <w:szCs w:val="20"/>
              </w:rPr>
              <w:t xml:space="preserve">. un </w:t>
            </w:r>
            <w:r w:rsidRPr="004C7DFA">
              <w:rPr>
                <w:sz w:val="20"/>
                <w:szCs w:val="20"/>
              </w:rPr>
              <w:fldChar w:fldCharType="begin"/>
            </w:r>
            <w:r w:rsidRPr="004C7DFA">
              <w:rPr>
                <w:sz w:val="20"/>
                <w:szCs w:val="20"/>
              </w:rPr>
              <w:instrText xml:space="preserve"> REF _Ref48913395 \w \h  \* MERGEFORMAT </w:instrText>
            </w:r>
            <w:r w:rsidRPr="004C7DFA">
              <w:rPr>
                <w:sz w:val="20"/>
                <w:szCs w:val="20"/>
              </w:rPr>
            </w:r>
            <w:r w:rsidRPr="004C7DFA">
              <w:rPr>
                <w:sz w:val="20"/>
                <w:szCs w:val="20"/>
              </w:rPr>
              <w:fldChar w:fldCharType="separate"/>
            </w:r>
            <w:r w:rsidRPr="004C7DFA">
              <w:rPr>
                <w:sz w:val="20"/>
                <w:szCs w:val="20"/>
              </w:rPr>
              <w:t>3.3</w:t>
            </w:r>
            <w:r w:rsidRPr="004C7DFA">
              <w:rPr>
                <w:sz w:val="20"/>
                <w:szCs w:val="20"/>
              </w:rPr>
              <w:fldChar w:fldCharType="end"/>
            </w:r>
            <w:r w:rsidRPr="004C7DFA">
              <w:rPr>
                <w:sz w:val="20"/>
                <w:szCs w:val="20"/>
              </w:rPr>
              <w:t xml:space="preserve">. apakšpunktā minēto elektrostaciju aprīko ar </w:t>
            </w:r>
            <w:bookmarkStart w:id="7" w:name="_Hlk47104255"/>
            <w:r w:rsidRPr="004C7DFA">
              <w:rPr>
                <w:sz w:val="20"/>
                <w:szCs w:val="20"/>
              </w:rPr>
              <w:t xml:space="preserve">kurināmā uzskaites mēraparātiem vai mērlīdzekļu sistēmu, </w:t>
            </w:r>
            <w:bookmarkStart w:id="8" w:name="_Hlk47104197"/>
            <w:r w:rsidRPr="004C7DFA">
              <w:rPr>
                <w:sz w:val="20"/>
                <w:szCs w:val="20"/>
              </w:rPr>
              <w:t>kas atbilst normatīvajiem aktiem par metroloģiskajām prasībām mērīšanas līdzekļiem un to metroloģiskās kontroles kārtību un nodrošina koģenerācijas iekārtā izlietotā kurināmā atsevišķu uzskaiti</w:t>
            </w:r>
            <w:bookmarkEnd w:id="7"/>
            <w:bookmarkEnd w:id="8"/>
            <w:r w:rsidRPr="004C7DFA">
              <w:rPr>
                <w:sz w:val="20"/>
                <w:szCs w:val="20"/>
              </w:rPr>
              <w:t>;</w:t>
            </w:r>
            <w:bookmarkEnd w:id="6"/>
          </w:p>
          <w:p w14:paraId="4E6C12E8" w14:textId="77777777" w:rsidR="00AB596A" w:rsidRPr="004C7DFA" w:rsidRDefault="00AB596A" w:rsidP="00AB596A">
            <w:pPr>
              <w:shd w:val="clear" w:color="auto" w:fill="FFFFFF"/>
              <w:ind w:firstLine="300"/>
              <w:jc w:val="both"/>
              <w:rPr>
                <w:sz w:val="20"/>
                <w:szCs w:val="20"/>
              </w:rPr>
            </w:pPr>
          </w:p>
          <w:p w14:paraId="231E395B" w14:textId="2B9B6F7A" w:rsidR="00AB596A" w:rsidRPr="004C7DFA" w:rsidRDefault="00AB596A" w:rsidP="00AB596A">
            <w:pPr>
              <w:shd w:val="clear" w:color="auto" w:fill="FFFFFF"/>
              <w:suppressAutoHyphens/>
              <w:autoSpaceDN w:val="0"/>
              <w:jc w:val="both"/>
              <w:textAlignment w:val="baseline"/>
              <w:rPr>
                <w:sz w:val="20"/>
                <w:szCs w:val="20"/>
              </w:rPr>
            </w:pPr>
            <w:bookmarkStart w:id="9" w:name="_Ref48923982"/>
            <w:r w:rsidRPr="004C7DFA">
              <w:rPr>
                <w:sz w:val="20"/>
                <w:szCs w:val="20"/>
              </w:rPr>
              <w:t>20.5. nodrošina saražotās elektroenerģijas, siltumenerģijas un lietderīgās siltumenerģijas uzskaiti ne retāk kā reizi dienā un patērētā kurināmā uzskaiti ne retāk kā reizi mēnesī. Uzskaites dati tiek uzglabāti ne mazāk kā piecus gadus pēc kārtējā kalendāra gada beigām;</w:t>
            </w:r>
            <w:bookmarkEnd w:id="9"/>
          </w:p>
          <w:p w14:paraId="6E8B7D68" w14:textId="57DC70C8" w:rsidR="00D11CC2" w:rsidRPr="004C7DFA" w:rsidRDefault="00AB596A" w:rsidP="00AB596A">
            <w:pPr>
              <w:shd w:val="clear" w:color="auto" w:fill="FFFFFF"/>
              <w:suppressAutoHyphens/>
              <w:autoSpaceDN w:val="0"/>
              <w:jc w:val="both"/>
              <w:textAlignment w:val="baseline"/>
              <w:rPr>
                <w:sz w:val="20"/>
                <w:szCs w:val="20"/>
              </w:rPr>
            </w:pPr>
            <w:r w:rsidRPr="004C7DFA">
              <w:rPr>
                <w:sz w:val="20"/>
                <w:szCs w:val="20"/>
              </w:rPr>
              <w:t xml:space="preserve">20.6. </w:t>
            </w:r>
            <w:bookmarkStart w:id="10" w:name="_Ref48918280"/>
            <w:r w:rsidRPr="004C7DFA">
              <w:rPr>
                <w:sz w:val="20"/>
                <w:szCs w:val="20"/>
              </w:rPr>
              <w:t>nodrošina, ka biogāzes vai biomasas elektrostacijā saražotā siltumenerģija tiek izmantota lietderīgi, tajā skaitā to, ka lietderīgās siltumenerģijas kopējā apjomā netiek ieskaitīta tāda siltumenerģija, kas tiek izmantota pašpatēriņam.</w:t>
            </w:r>
            <w:bookmarkEnd w:id="10"/>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E460B02" w14:textId="77777777" w:rsidR="00D11CC2" w:rsidRPr="004C7DFA" w:rsidRDefault="00D11CC2" w:rsidP="00812B31">
            <w:pPr>
              <w:spacing w:after="160" w:line="252" w:lineRule="auto"/>
              <w:ind w:left="38"/>
              <w:jc w:val="center"/>
              <w:rPr>
                <w:b/>
                <w:color w:val="000000"/>
                <w:sz w:val="20"/>
                <w:szCs w:val="20"/>
              </w:rPr>
            </w:pPr>
            <w:r w:rsidRPr="004C7DFA">
              <w:rPr>
                <w:b/>
                <w:color w:val="000000"/>
                <w:sz w:val="20"/>
                <w:szCs w:val="20"/>
              </w:rPr>
              <w:lastRenderedPageBreak/>
              <w:t>Zemkopības ministrija (27.08.2020.)</w:t>
            </w:r>
          </w:p>
          <w:p w14:paraId="002113A9" w14:textId="77777777" w:rsidR="00D11CC2" w:rsidRPr="004C7DFA" w:rsidRDefault="00D11CC2" w:rsidP="00D11CC2">
            <w:pPr>
              <w:jc w:val="both"/>
              <w:rPr>
                <w:sz w:val="20"/>
                <w:szCs w:val="20"/>
              </w:rPr>
            </w:pPr>
            <w:r w:rsidRPr="004C7DFA">
              <w:rPr>
                <w:sz w:val="20"/>
                <w:szCs w:val="20"/>
              </w:rPr>
              <w:t xml:space="preserve">Lūdzam precizēt noteikumu projekta 20.5.apakšpunktu, paredzot izņēmumu biogāzes stacijām, kuru organiskas izcelsmes atkritumu un ražošanas atlikumproduktu daudzums no kopējas izejvielas ir lielāks nekā šo noteikumu 12.punktā </w:t>
            </w:r>
            <w:r w:rsidRPr="004C7DFA">
              <w:rPr>
                <w:sz w:val="20"/>
                <w:szCs w:val="20"/>
              </w:rPr>
              <w:lastRenderedPageBreak/>
              <w:t xml:space="preserve">minētais īpatsvars, ņemot vērā biogāzes ražošanas procesa specifiku. </w:t>
            </w:r>
          </w:p>
          <w:p w14:paraId="7856F337" w14:textId="77777777" w:rsidR="00D11CC2" w:rsidRPr="004C7DFA" w:rsidRDefault="00D11CC2" w:rsidP="00005950">
            <w:pPr>
              <w:tabs>
                <w:tab w:val="left" w:pos="1134"/>
              </w:tabs>
              <w:spacing w:after="160" w:line="252" w:lineRule="auto"/>
              <w:ind w:left="126"/>
              <w:contextualSpacing/>
              <w:jc w:val="center"/>
              <w:rPr>
                <w:rFonts w:eastAsia="Calibri"/>
                <w:b/>
                <w:sz w:val="20"/>
                <w:szCs w:val="20"/>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67E6F8B" w14:textId="77777777" w:rsidR="00AB596A" w:rsidRPr="004C7DFA" w:rsidRDefault="00AB596A" w:rsidP="00AB596A">
            <w:pPr>
              <w:pStyle w:val="naisc"/>
              <w:spacing w:before="0" w:after="0"/>
              <w:rPr>
                <w:b/>
                <w:sz w:val="20"/>
                <w:szCs w:val="20"/>
              </w:rPr>
            </w:pPr>
            <w:r w:rsidRPr="004C7DFA">
              <w:rPr>
                <w:b/>
                <w:sz w:val="20"/>
                <w:szCs w:val="20"/>
              </w:rPr>
              <w:lastRenderedPageBreak/>
              <w:t>Iebildums nav ņemts vērā</w:t>
            </w:r>
          </w:p>
          <w:p w14:paraId="71D82DD4" w14:textId="6C33D821" w:rsidR="00A04DEB" w:rsidRPr="00D00B26" w:rsidRDefault="00AB596A" w:rsidP="0081357B">
            <w:pPr>
              <w:pStyle w:val="naisc"/>
              <w:spacing w:before="0" w:after="0"/>
              <w:jc w:val="both"/>
              <w:rPr>
                <w:sz w:val="20"/>
                <w:szCs w:val="20"/>
              </w:rPr>
            </w:pPr>
            <w:r w:rsidRPr="004C7DFA">
              <w:rPr>
                <w:b/>
                <w:sz w:val="20"/>
                <w:szCs w:val="20"/>
                <w:shd w:val="clear" w:color="auto" w:fill="FFFFFF"/>
              </w:rPr>
              <w:t xml:space="preserve"> </w:t>
            </w:r>
            <w:r w:rsidR="00A04DEB" w:rsidRPr="00D00B26">
              <w:rPr>
                <w:sz w:val="20"/>
                <w:szCs w:val="20"/>
              </w:rPr>
              <w:t>Ražotāji, kam jānodrošina prasība par lietderīgas siltumenerģijas izmantošanu</w:t>
            </w:r>
            <w:r w:rsidR="00A04DEB">
              <w:rPr>
                <w:sz w:val="20"/>
                <w:szCs w:val="20"/>
              </w:rPr>
              <w:t xml:space="preserve"> un attiecīgi atbilstošu uzskaiti</w:t>
            </w:r>
            <w:r w:rsidR="00A04DEB" w:rsidRPr="00D00B26">
              <w:rPr>
                <w:sz w:val="20"/>
                <w:szCs w:val="20"/>
              </w:rPr>
              <w:t>, ir noteikti Elektroenerģijas tirgus likumā. Ministru kabinetam nav deleģējuma noteikt izņēmumus.</w:t>
            </w:r>
            <w:r w:rsidR="00A04DEB">
              <w:rPr>
                <w:sz w:val="20"/>
                <w:szCs w:val="20"/>
              </w:rPr>
              <w:t xml:space="preserve"> </w:t>
            </w:r>
          </w:p>
          <w:p w14:paraId="3ABD8FAC" w14:textId="006DBA87" w:rsidR="00D11CC2" w:rsidRPr="004C7DFA" w:rsidRDefault="00D11CC2" w:rsidP="00852D08">
            <w:pPr>
              <w:pStyle w:val="naisc"/>
              <w:spacing w:before="0" w:after="0"/>
              <w:jc w:val="left"/>
              <w:rPr>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3D9BB8" w14:textId="77777777" w:rsidR="00D11CC2" w:rsidRPr="004C7DFA" w:rsidRDefault="00D11CC2" w:rsidP="00EC1C6C">
            <w:pPr>
              <w:jc w:val="center"/>
              <w:rPr>
                <w:sz w:val="20"/>
                <w:szCs w:val="20"/>
              </w:rPr>
            </w:pPr>
          </w:p>
        </w:tc>
        <w:tc>
          <w:tcPr>
            <w:tcW w:w="2268" w:type="dxa"/>
            <w:tcBorders>
              <w:top w:val="single" w:sz="4" w:space="0" w:color="auto"/>
              <w:left w:val="single" w:sz="4" w:space="0" w:color="auto"/>
              <w:bottom w:val="single" w:sz="4" w:space="0" w:color="auto"/>
            </w:tcBorders>
            <w:shd w:val="clear" w:color="auto" w:fill="auto"/>
          </w:tcPr>
          <w:p w14:paraId="44EBFA2B"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20. Lai pārdotu no atjaunojamiem energoresursiem saražoto elektroenerģiju obligātā iepirkuma ietvaros:</w:t>
            </w:r>
          </w:p>
          <w:p w14:paraId="2BE921A9"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 xml:space="preserve">20.1. elektrostaciju pieslēdz licencēta sistēmas operatora tīklam un aprīko ar saražotās elektroenerģijas uzskaites </w:t>
            </w:r>
            <w:r w:rsidRPr="004C7DFA">
              <w:rPr>
                <w:sz w:val="20"/>
                <w:szCs w:val="20"/>
              </w:rPr>
              <w:lastRenderedPageBreak/>
              <w:t xml:space="preserve">mēraparātiem, kā arī ar elektrotīklā nodotās un no tīkla saņemtās elektroenerģijas </w:t>
            </w:r>
            <w:proofErr w:type="spellStart"/>
            <w:r w:rsidRPr="004C7DFA">
              <w:rPr>
                <w:sz w:val="20"/>
                <w:szCs w:val="20"/>
              </w:rPr>
              <w:t>komercuzskaites</w:t>
            </w:r>
            <w:proofErr w:type="spellEnd"/>
            <w:r w:rsidRPr="004C7DFA">
              <w:rPr>
                <w:sz w:val="20"/>
                <w:szCs w:val="20"/>
              </w:rPr>
              <w:t xml:space="preserve"> mēraparātiem;</w:t>
            </w:r>
          </w:p>
          <w:p w14:paraId="29BD0DC3"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 xml:space="preserve">20.2.šo noteikumu </w:t>
            </w:r>
            <w:r w:rsidRPr="004C7DFA">
              <w:rPr>
                <w:sz w:val="20"/>
                <w:szCs w:val="20"/>
              </w:rPr>
              <w:fldChar w:fldCharType="begin"/>
            </w:r>
            <w:r w:rsidRPr="004C7DFA">
              <w:rPr>
                <w:sz w:val="20"/>
                <w:szCs w:val="20"/>
              </w:rPr>
              <w:instrText xml:space="preserve"> REF _Ref48917486 \w \h  \* MERGEFORMAT </w:instrText>
            </w:r>
            <w:r w:rsidRPr="004C7DFA">
              <w:rPr>
                <w:sz w:val="20"/>
                <w:szCs w:val="20"/>
              </w:rPr>
            </w:r>
            <w:r w:rsidRPr="004C7DFA">
              <w:rPr>
                <w:sz w:val="20"/>
                <w:szCs w:val="20"/>
              </w:rPr>
              <w:fldChar w:fldCharType="separate"/>
            </w:r>
            <w:r w:rsidRPr="004C7DFA">
              <w:rPr>
                <w:sz w:val="20"/>
                <w:szCs w:val="20"/>
              </w:rPr>
              <w:t>3.2</w:t>
            </w:r>
            <w:r w:rsidRPr="004C7DFA">
              <w:rPr>
                <w:sz w:val="20"/>
                <w:szCs w:val="20"/>
              </w:rPr>
              <w:fldChar w:fldCharType="end"/>
            </w:r>
            <w:r w:rsidRPr="004C7DFA">
              <w:rPr>
                <w:sz w:val="20"/>
                <w:szCs w:val="20"/>
              </w:rPr>
              <w:t xml:space="preserve">. un </w:t>
            </w:r>
            <w:r w:rsidRPr="004C7DFA">
              <w:rPr>
                <w:sz w:val="20"/>
                <w:szCs w:val="20"/>
              </w:rPr>
              <w:fldChar w:fldCharType="begin"/>
            </w:r>
            <w:r w:rsidRPr="004C7DFA">
              <w:rPr>
                <w:sz w:val="20"/>
                <w:szCs w:val="20"/>
              </w:rPr>
              <w:instrText xml:space="preserve"> REF _Ref48913395 \w \h  \* MERGEFORMAT </w:instrText>
            </w:r>
            <w:r w:rsidRPr="004C7DFA">
              <w:rPr>
                <w:sz w:val="20"/>
                <w:szCs w:val="20"/>
              </w:rPr>
            </w:r>
            <w:r w:rsidRPr="004C7DFA">
              <w:rPr>
                <w:sz w:val="20"/>
                <w:szCs w:val="20"/>
              </w:rPr>
              <w:fldChar w:fldCharType="separate"/>
            </w:r>
            <w:r w:rsidRPr="004C7DFA">
              <w:rPr>
                <w:sz w:val="20"/>
                <w:szCs w:val="20"/>
              </w:rPr>
              <w:t>3.3</w:t>
            </w:r>
            <w:r w:rsidRPr="004C7DFA">
              <w:rPr>
                <w:sz w:val="20"/>
                <w:szCs w:val="20"/>
              </w:rPr>
              <w:fldChar w:fldCharType="end"/>
            </w:r>
            <w:r w:rsidRPr="004C7DFA">
              <w:rPr>
                <w:sz w:val="20"/>
                <w:szCs w:val="20"/>
              </w:rPr>
              <w:t>. apakšpunktā minēto elektrostaciju aprīko ar siltumenerģijas uzskaites mēraparātiem vai mēraparātu sistēmu, kas atbilst normatīvajiem aktiem par metroloģiskajām prasībām mērīšanas līdzekļiem un to metroloģiskās kontroles kārtību un nodrošina koģenerācijas iekārtā saražotās siltumenerģijas, atsevišķos siltumenerģijas ražošanas katlos vai citā veidā saražotās siltumenerģijas un lietderīgi izmantotās siltumenerģijas atsevišķu uzskaiti;</w:t>
            </w:r>
          </w:p>
          <w:p w14:paraId="54C5C29D"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20.3. biogāzes ražošanai izmantoto izejvielu uzskaiti, izmantojot mēraparātus vai mērlīdzekļu sistēmu, kas atbilst normatīvajiem aktiem par metroloģiskajām prasībām mērīšanas līdzekļiem un to metroloģiskās kontroles kārtībai, ja enerģijas ražošanai tiek izmantota biogāze;</w:t>
            </w:r>
          </w:p>
          <w:p w14:paraId="41C7D388"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lastRenderedPageBreak/>
              <w:t xml:space="preserve">20.4. šo noteikumu </w:t>
            </w:r>
            <w:r w:rsidRPr="004C7DFA">
              <w:rPr>
                <w:sz w:val="20"/>
                <w:szCs w:val="20"/>
              </w:rPr>
              <w:fldChar w:fldCharType="begin"/>
            </w:r>
            <w:r w:rsidRPr="004C7DFA">
              <w:rPr>
                <w:sz w:val="20"/>
                <w:szCs w:val="20"/>
              </w:rPr>
              <w:instrText xml:space="preserve"> REF _Ref48917486 \w \h  \* MERGEFORMAT </w:instrText>
            </w:r>
            <w:r w:rsidRPr="004C7DFA">
              <w:rPr>
                <w:sz w:val="20"/>
                <w:szCs w:val="20"/>
              </w:rPr>
            </w:r>
            <w:r w:rsidRPr="004C7DFA">
              <w:rPr>
                <w:sz w:val="20"/>
                <w:szCs w:val="20"/>
              </w:rPr>
              <w:fldChar w:fldCharType="separate"/>
            </w:r>
            <w:r w:rsidRPr="004C7DFA">
              <w:rPr>
                <w:sz w:val="20"/>
                <w:szCs w:val="20"/>
              </w:rPr>
              <w:t>3.2</w:t>
            </w:r>
            <w:r w:rsidRPr="004C7DFA">
              <w:rPr>
                <w:sz w:val="20"/>
                <w:szCs w:val="20"/>
              </w:rPr>
              <w:fldChar w:fldCharType="end"/>
            </w:r>
            <w:r w:rsidRPr="004C7DFA">
              <w:rPr>
                <w:sz w:val="20"/>
                <w:szCs w:val="20"/>
              </w:rPr>
              <w:t xml:space="preserve">. un </w:t>
            </w:r>
            <w:r w:rsidRPr="004C7DFA">
              <w:rPr>
                <w:sz w:val="20"/>
                <w:szCs w:val="20"/>
              </w:rPr>
              <w:fldChar w:fldCharType="begin"/>
            </w:r>
            <w:r w:rsidRPr="004C7DFA">
              <w:rPr>
                <w:sz w:val="20"/>
                <w:szCs w:val="20"/>
              </w:rPr>
              <w:instrText xml:space="preserve"> REF _Ref48913395 \w \h  \* MERGEFORMAT </w:instrText>
            </w:r>
            <w:r w:rsidRPr="004C7DFA">
              <w:rPr>
                <w:sz w:val="20"/>
                <w:szCs w:val="20"/>
              </w:rPr>
            </w:r>
            <w:r w:rsidRPr="004C7DFA">
              <w:rPr>
                <w:sz w:val="20"/>
                <w:szCs w:val="20"/>
              </w:rPr>
              <w:fldChar w:fldCharType="separate"/>
            </w:r>
            <w:r w:rsidRPr="004C7DFA">
              <w:rPr>
                <w:sz w:val="20"/>
                <w:szCs w:val="20"/>
              </w:rPr>
              <w:t>3.3</w:t>
            </w:r>
            <w:r w:rsidRPr="004C7DFA">
              <w:rPr>
                <w:sz w:val="20"/>
                <w:szCs w:val="20"/>
              </w:rPr>
              <w:fldChar w:fldCharType="end"/>
            </w:r>
            <w:r w:rsidRPr="004C7DFA">
              <w:rPr>
                <w:sz w:val="20"/>
                <w:szCs w:val="20"/>
              </w:rPr>
              <w:t>. apakšpunktā minēto elektrostaciju aprīko ar kurināmā uzskaites mēraparātiem vai mērlīdzekļu sistēmu, kas atbilst normatīvajiem aktiem par metroloģiskajām prasībām mērīšanas līdzekļiem un to metroloģiskās kontroles kārtību un nodrošina koģenerācijas iekārtā izlietotā kurināmā atsevišķu uzskaiti;</w:t>
            </w:r>
          </w:p>
          <w:p w14:paraId="2A0AE1B9" w14:textId="77777777" w:rsidR="00AB596A" w:rsidRPr="004C7DFA" w:rsidRDefault="00AB596A" w:rsidP="00AB596A">
            <w:pPr>
              <w:shd w:val="clear" w:color="auto" w:fill="FFFFFF"/>
              <w:ind w:firstLine="300"/>
              <w:jc w:val="both"/>
              <w:rPr>
                <w:sz w:val="20"/>
                <w:szCs w:val="20"/>
              </w:rPr>
            </w:pPr>
          </w:p>
          <w:p w14:paraId="7E823D76" w14:textId="77777777" w:rsidR="00AB596A" w:rsidRPr="004C7DFA" w:rsidRDefault="00AB596A" w:rsidP="00AB596A">
            <w:pPr>
              <w:shd w:val="clear" w:color="auto" w:fill="FFFFFF"/>
              <w:suppressAutoHyphens/>
              <w:autoSpaceDN w:val="0"/>
              <w:jc w:val="both"/>
              <w:textAlignment w:val="baseline"/>
              <w:rPr>
                <w:sz w:val="20"/>
                <w:szCs w:val="20"/>
              </w:rPr>
            </w:pPr>
            <w:r w:rsidRPr="004C7DFA">
              <w:rPr>
                <w:sz w:val="20"/>
                <w:szCs w:val="20"/>
              </w:rPr>
              <w:t>20.5. nodrošina saražotās elektroenerģijas, siltumenerģijas un lietderīgās siltumenerģijas uzskaiti ne retāk kā reizi dienā un patērētā kurināmā uzskaiti ne retāk kā reizi mēnesī. Uzskaites dati tiek uzglabāti ne mazāk kā piecus gadus pēc kārtējā kalendāra gada beigām;</w:t>
            </w:r>
          </w:p>
          <w:p w14:paraId="778B9A56" w14:textId="764252D8" w:rsidR="00D11CC2" w:rsidRPr="004C7DFA" w:rsidRDefault="00AB596A" w:rsidP="00AB596A">
            <w:pPr>
              <w:jc w:val="both"/>
              <w:rPr>
                <w:sz w:val="20"/>
                <w:szCs w:val="20"/>
              </w:rPr>
            </w:pPr>
            <w:r w:rsidRPr="004C7DFA">
              <w:rPr>
                <w:sz w:val="20"/>
                <w:szCs w:val="20"/>
              </w:rPr>
              <w:t>20.6. nodrošina, ka biogāzes vai biomasas elektrostacijā saražotā siltumenerģija tiek izmantota lietderīgi, tajā skaitā to, ka lietderīgās siltumenerģijas kopējā apjomā netiek ieskaitīta tāda siltumenerģija, kas tiek izmantota pašpatēriņam.</w:t>
            </w:r>
          </w:p>
        </w:tc>
      </w:tr>
      <w:tr w:rsidR="00D11CC2" w:rsidRPr="004C7DFA" w:rsidDel="00E40881" w14:paraId="2C038E6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6109C8CA" w14:textId="77777777" w:rsidR="00D11CC2" w:rsidRPr="004C7DFA" w:rsidDel="00E40881" w:rsidRDefault="00D11CC2" w:rsidP="00232A53">
            <w:pPr>
              <w:pStyle w:val="naisc"/>
              <w:numPr>
                <w:ilvl w:val="0"/>
                <w:numId w:val="4"/>
              </w:numPr>
              <w:spacing w:before="0" w:after="0"/>
              <w:ind w:left="113" w:hanging="113"/>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F68E1F8" w14:textId="6BAE4EDA" w:rsidR="00D11CC2" w:rsidRPr="004C7DFA" w:rsidRDefault="00F0022D" w:rsidP="00EC1C6C">
            <w:pPr>
              <w:pStyle w:val="naisc"/>
              <w:spacing w:before="0" w:after="0"/>
              <w:jc w:val="both"/>
              <w:rPr>
                <w:sz w:val="20"/>
                <w:szCs w:val="20"/>
              </w:rPr>
            </w:pPr>
            <w:r w:rsidRPr="004C7DFA">
              <w:rPr>
                <w:bCs/>
                <w:sz w:val="20"/>
                <w:szCs w:val="20"/>
              </w:rPr>
              <w:t>Projekta 5. pielikum</w:t>
            </w:r>
            <w:r>
              <w:rPr>
                <w:bCs/>
                <w:sz w:val="20"/>
                <w:szCs w:val="20"/>
              </w:rPr>
              <w:t>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F79C3F5" w14:textId="77777777" w:rsidR="00D11CC2" w:rsidRPr="004C7DFA" w:rsidRDefault="00D11CC2" w:rsidP="00812B31">
            <w:pPr>
              <w:spacing w:after="160" w:line="252" w:lineRule="auto"/>
              <w:jc w:val="center"/>
              <w:rPr>
                <w:sz w:val="20"/>
                <w:szCs w:val="20"/>
              </w:rPr>
            </w:pPr>
            <w:r w:rsidRPr="004C7DFA">
              <w:rPr>
                <w:b/>
                <w:color w:val="000000"/>
                <w:sz w:val="20"/>
                <w:szCs w:val="20"/>
              </w:rPr>
              <w:t>Zemkopības ministrija (27.08.2020.)</w:t>
            </w:r>
          </w:p>
          <w:p w14:paraId="05B1D937" w14:textId="1D5F41A2" w:rsidR="00D11CC2" w:rsidRPr="004C7DFA" w:rsidRDefault="00D11CC2" w:rsidP="0081357B">
            <w:pPr>
              <w:spacing w:after="160" w:line="252" w:lineRule="auto"/>
              <w:ind w:left="38"/>
              <w:jc w:val="both"/>
              <w:rPr>
                <w:b/>
                <w:color w:val="000000"/>
                <w:sz w:val="20"/>
                <w:szCs w:val="20"/>
                <w:highlight w:val="red"/>
              </w:rPr>
            </w:pPr>
            <w:r w:rsidRPr="004C7DFA">
              <w:rPr>
                <w:sz w:val="20"/>
                <w:szCs w:val="20"/>
              </w:rPr>
              <w:t xml:space="preserve">51.punktā ir noteikts, </w:t>
            </w:r>
            <w:bookmarkStart w:id="11" w:name="_Ref48920879"/>
            <w:r w:rsidRPr="004C7DFA">
              <w:rPr>
                <w:sz w:val="20"/>
                <w:szCs w:val="20"/>
              </w:rPr>
              <w:t>Birojs izsaka komersantam brīdinājumu, ja konstatē, ka šo noteikumu 37.punktā minētajā gada pārskatā sniegtā informācija neatbilst rezultātiem, kas iegūti atbilstoši šo noteikumu 5.pielikumā minētajiem kvalitātes vērtēšanas kritērijiem izvērtējot šo noteikumu 2.1.apakšpunktā minēto iesniegumu.</w:t>
            </w:r>
            <w:bookmarkEnd w:id="11"/>
            <w:r w:rsidRPr="004C7DFA">
              <w:rPr>
                <w:sz w:val="20"/>
                <w:szCs w:val="20"/>
              </w:rPr>
              <w:t xml:space="preserve"> Vēršam uzmanību, ka 5.pielikumā ir noteikti kvalitātes kritēriji, kas bija vērtējami, lai komersants varētu kvalificētos tiesību iegūšanai pārdot biomasas, biogāzes, saules vai vēja elektrostacijās saražoto elektroenerģiju obligātā iepirkuma ietvaros. Piekrītam, ka komersantam, kas ieguva tiesības pārdot saražoto elektroenerģiju OI ietvaros, jānodrošina uzņemtas saistības, jeb kvalitātes vērtēšanas kritēriju izpildi. Piemēram, saskaņā ar 5.pielikuma 2.punktu, komersantam jāapliecina enerģijas ražošanai nepieciešamo izejvielu esību vai jānodrošina izejvielu piegādi, ievērojot, nosacījumu, ka izejvielu piegādes attālums nedrīkst pārsniegt 50 km rādiusu. Savukārt noteikumu projekts (12.punkts) paredz nosacījumu, ka </w:t>
            </w:r>
            <w:bookmarkStart w:id="12" w:name="_Ref48916624"/>
            <w:r w:rsidRPr="004C7DFA">
              <w:rPr>
                <w:sz w:val="20"/>
                <w:szCs w:val="20"/>
              </w:rPr>
              <w:t xml:space="preserve">kurināmā izejvielu īpatsvaru gada laikā patērētā kopējā kurināmā apjomā komersantam </w:t>
            </w:r>
            <w:bookmarkEnd w:id="12"/>
            <w:r w:rsidRPr="004C7DFA">
              <w:rPr>
                <w:sz w:val="20"/>
                <w:szCs w:val="20"/>
              </w:rPr>
              <w:t xml:space="preserve">jānodrošina noteiktajā apjomā un noteiktajā </w:t>
            </w:r>
            <w:r w:rsidRPr="004C7DFA">
              <w:rPr>
                <w:sz w:val="20"/>
                <w:szCs w:val="20"/>
              </w:rPr>
              <w:lastRenderedPageBreak/>
              <w:t>laika posmā (40%, 60% un 80%). Norādām, ka šī nosacījums ir mainīts kopš brīža, kad komersantam tika piešķirtas tiesības pārdot saražoto elektroenerģiju OI ietvaros un tāpēc, iespējams, komersantiem var rasties grūtības ievērot izejvielu piegādes attālums – 50 km. Tāpēc, lūdzam ņemt to vērā iepriekšminēto un attiecīgi precizēt noteikumu projektā iekļautas prasības, paredzot tajā atkāpes.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9DA4D0C" w14:textId="77777777" w:rsidR="00D11CC2" w:rsidRPr="004C7DFA" w:rsidRDefault="007E31B0" w:rsidP="00925C24">
            <w:pPr>
              <w:pStyle w:val="naisc"/>
              <w:spacing w:before="0" w:after="0"/>
              <w:rPr>
                <w:b/>
                <w:sz w:val="20"/>
                <w:szCs w:val="20"/>
              </w:rPr>
            </w:pPr>
            <w:r w:rsidRPr="004C7DFA">
              <w:rPr>
                <w:b/>
                <w:sz w:val="20"/>
                <w:szCs w:val="20"/>
              </w:rPr>
              <w:lastRenderedPageBreak/>
              <w:t>Iebildums nav ņemts vērā.</w:t>
            </w:r>
          </w:p>
          <w:p w14:paraId="12E6B899" w14:textId="4308653D" w:rsidR="007E31B0" w:rsidRPr="004C7DFA" w:rsidRDefault="00DF33B7" w:rsidP="0081357B">
            <w:pPr>
              <w:pStyle w:val="naisc"/>
              <w:spacing w:before="0" w:after="0"/>
              <w:jc w:val="both"/>
              <w:rPr>
                <w:bCs/>
                <w:sz w:val="20"/>
                <w:szCs w:val="20"/>
              </w:rPr>
            </w:pPr>
            <w:r>
              <w:rPr>
                <w:bCs/>
                <w:sz w:val="20"/>
                <w:szCs w:val="20"/>
              </w:rPr>
              <w:t xml:space="preserve">Minētās prasības jāpilda komersantiem, kas apliecināja šādu prasību izpildi un saņēma par to punktus konkursā uz obligātā iepirkuma tiesību iegūšanu. Šobrīd Ekonomikas ministrijai nav priekšlikumu, kā šo prasību izpildi salāgot ar stingrākiem nosacījumiem biogāzes izejvielu izmantošanā, vienlaikus nodrošinot, ka netiek diskriminēti tie ražotāji vai potenciālie ražotāji, kas obligātā iepirkuma tiesības neieguva, bet potenciāli būtu varējuši iegūt, ja būtu varējuši izpildīt minētos kritērijus.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44801A" w14:textId="77777777" w:rsidR="00D11CC2" w:rsidRPr="004C7DFA" w:rsidRDefault="00D11CC2" w:rsidP="00EC1C6C">
            <w:pPr>
              <w:jc w:val="center"/>
              <w:rPr>
                <w:sz w:val="20"/>
                <w:szCs w:val="20"/>
              </w:rPr>
            </w:pPr>
          </w:p>
        </w:tc>
        <w:tc>
          <w:tcPr>
            <w:tcW w:w="2268" w:type="dxa"/>
            <w:tcBorders>
              <w:top w:val="single" w:sz="4" w:space="0" w:color="auto"/>
              <w:left w:val="single" w:sz="4" w:space="0" w:color="auto"/>
              <w:bottom w:val="single" w:sz="4" w:space="0" w:color="auto"/>
            </w:tcBorders>
            <w:shd w:val="clear" w:color="auto" w:fill="auto"/>
          </w:tcPr>
          <w:p w14:paraId="36F339F7" w14:textId="743E8ED0" w:rsidR="00D11CC2" w:rsidRPr="004C7DFA" w:rsidRDefault="00F0022D" w:rsidP="00EC1C6C">
            <w:pPr>
              <w:jc w:val="both"/>
              <w:rPr>
                <w:sz w:val="20"/>
                <w:szCs w:val="20"/>
              </w:rPr>
            </w:pPr>
            <w:r w:rsidRPr="004C7DFA">
              <w:rPr>
                <w:bCs/>
                <w:sz w:val="20"/>
                <w:szCs w:val="20"/>
              </w:rPr>
              <w:t>Projekta 5. pielikum</w:t>
            </w:r>
            <w:r>
              <w:rPr>
                <w:bCs/>
                <w:sz w:val="20"/>
                <w:szCs w:val="20"/>
              </w:rPr>
              <w:t>s</w:t>
            </w:r>
          </w:p>
        </w:tc>
      </w:tr>
    </w:tbl>
    <w:p w14:paraId="112957B8" w14:textId="77777777" w:rsidR="00BB0972" w:rsidRPr="004C7DFA" w:rsidRDefault="00BB0972" w:rsidP="00BB0972">
      <w:pPr>
        <w:spacing w:after="200" w:line="276" w:lineRule="auto"/>
        <w:rPr>
          <w:b/>
          <w:sz w:val="20"/>
          <w:szCs w:val="20"/>
        </w:rPr>
      </w:pPr>
    </w:p>
    <w:p w14:paraId="7A16F1CD" w14:textId="77777777" w:rsidR="00BB0972" w:rsidRPr="004C7DFA" w:rsidRDefault="00BB0972" w:rsidP="00BB0972">
      <w:pPr>
        <w:spacing w:after="200" w:line="276" w:lineRule="auto"/>
        <w:rPr>
          <w:sz w:val="20"/>
          <w:szCs w:val="20"/>
        </w:rPr>
      </w:pPr>
      <w:r w:rsidRPr="004C7DFA">
        <w:rPr>
          <w:b/>
          <w:sz w:val="20"/>
          <w:szCs w:val="20"/>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AE739A" w:rsidRPr="004C7DFA" w14:paraId="13B0299B" w14:textId="77777777" w:rsidTr="76D16243">
        <w:trPr>
          <w:gridAfter w:val="1"/>
          <w:wAfter w:w="30" w:type="dxa"/>
          <w:trHeight w:val="749"/>
          <w:tblCellSpacing w:w="0" w:type="dxa"/>
        </w:trPr>
        <w:tc>
          <w:tcPr>
            <w:tcW w:w="2856" w:type="dxa"/>
            <w:hideMark/>
          </w:tcPr>
          <w:p w14:paraId="5D473C02" w14:textId="77777777" w:rsidR="00BB0972" w:rsidRPr="004C7DFA" w:rsidRDefault="00BB0972" w:rsidP="00074BE1">
            <w:pPr>
              <w:spacing w:before="75" w:after="75"/>
              <w:rPr>
                <w:sz w:val="20"/>
                <w:szCs w:val="20"/>
              </w:rPr>
            </w:pPr>
            <w:r w:rsidRPr="004C7DFA">
              <w:rPr>
                <w:b/>
                <w:sz w:val="20"/>
                <w:szCs w:val="20"/>
              </w:rPr>
              <w:t> </w:t>
            </w:r>
            <w:r w:rsidRPr="004C7DFA">
              <w:rPr>
                <w:sz w:val="20"/>
                <w:szCs w:val="20"/>
              </w:rPr>
              <w:t>Datums</w:t>
            </w:r>
          </w:p>
        </w:tc>
        <w:tc>
          <w:tcPr>
            <w:tcW w:w="9894" w:type="dxa"/>
            <w:gridSpan w:val="4"/>
            <w:tcBorders>
              <w:top w:val="nil"/>
              <w:left w:val="nil"/>
              <w:bottom w:val="single" w:sz="8" w:space="0" w:color="000000" w:themeColor="text1"/>
              <w:right w:val="nil"/>
            </w:tcBorders>
            <w:hideMark/>
          </w:tcPr>
          <w:p w14:paraId="7CD85E8C" w14:textId="11FA92C8" w:rsidR="00BB0972" w:rsidRPr="004C7DFA" w:rsidRDefault="00ED0653" w:rsidP="008B0AA4">
            <w:pPr>
              <w:jc w:val="both"/>
              <w:rPr>
                <w:sz w:val="20"/>
                <w:szCs w:val="20"/>
              </w:rPr>
            </w:pPr>
            <w:r w:rsidRPr="004C7DFA">
              <w:rPr>
                <w:sz w:val="20"/>
                <w:szCs w:val="20"/>
              </w:rPr>
              <w:t>05</w:t>
            </w:r>
            <w:r w:rsidR="007E28C6" w:rsidRPr="004C7DFA">
              <w:rPr>
                <w:sz w:val="20"/>
                <w:szCs w:val="20"/>
              </w:rPr>
              <w:t>.0</w:t>
            </w:r>
            <w:r w:rsidRPr="004C7DFA">
              <w:rPr>
                <w:sz w:val="20"/>
                <w:szCs w:val="20"/>
              </w:rPr>
              <w:t>8</w:t>
            </w:r>
            <w:r w:rsidR="007E28C6" w:rsidRPr="004C7DFA">
              <w:rPr>
                <w:sz w:val="20"/>
                <w:szCs w:val="20"/>
              </w:rPr>
              <w:t>.</w:t>
            </w:r>
            <w:r w:rsidR="00015C9D" w:rsidRPr="004C7DFA">
              <w:rPr>
                <w:sz w:val="20"/>
                <w:szCs w:val="20"/>
              </w:rPr>
              <w:t>2020.</w:t>
            </w:r>
            <w:r w:rsidR="007E28C6" w:rsidRPr="004C7DFA">
              <w:rPr>
                <w:sz w:val="20"/>
                <w:szCs w:val="20"/>
              </w:rPr>
              <w:t xml:space="preserve"> – </w:t>
            </w:r>
            <w:r w:rsidR="00A6338D" w:rsidRPr="004C7DFA">
              <w:rPr>
                <w:sz w:val="20"/>
                <w:szCs w:val="20"/>
              </w:rPr>
              <w:t>28</w:t>
            </w:r>
            <w:r w:rsidR="007E28C6" w:rsidRPr="004C7DFA">
              <w:rPr>
                <w:sz w:val="20"/>
                <w:szCs w:val="20"/>
              </w:rPr>
              <w:t>.</w:t>
            </w:r>
            <w:r w:rsidR="00015C9D" w:rsidRPr="004C7DFA">
              <w:rPr>
                <w:sz w:val="20"/>
                <w:szCs w:val="20"/>
              </w:rPr>
              <w:t>0</w:t>
            </w:r>
            <w:r w:rsidR="006A7CA7" w:rsidRPr="004C7DFA">
              <w:rPr>
                <w:sz w:val="20"/>
                <w:szCs w:val="20"/>
              </w:rPr>
              <w:t>8</w:t>
            </w:r>
            <w:r w:rsidR="007E28C6" w:rsidRPr="004C7DFA">
              <w:rPr>
                <w:sz w:val="20"/>
                <w:szCs w:val="20"/>
              </w:rPr>
              <w:t>.20</w:t>
            </w:r>
            <w:r w:rsidR="00015C9D" w:rsidRPr="004C7DFA">
              <w:rPr>
                <w:sz w:val="20"/>
                <w:szCs w:val="20"/>
              </w:rPr>
              <w:t>20</w:t>
            </w:r>
            <w:r w:rsidR="007E28C6" w:rsidRPr="004C7DFA">
              <w:rPr>
                <w:sz w:val="20"/>
                <w:szCs w:val="20"/>
              </w:rPr>
              <w:t>.</w:t>
            </w:r>
          </w:p>
        </w:tc>
      </w:tr>
      <w:tr w:rsidR="00AE739A" w:rsidRPr="004C7DFA" w14:paraId="38E481EB" w14:textId="77777777" w:rsidTr="76D16243">
        <w:trPr>
          <w:gridAfter w:val="1"/>
          <w:wAfter w:w="30" w:type="dxa"/>
          <w:trHeight w:val="220"/>
          <w:tblCellSpacing w:w="0" w:type="dxa"/>
        </w:trPr>
        <w:tc>
          <w:tcPr>
            <w:tcW w:w="2856" w:type="dxa"/>
            <w:hideMark/>
          </w:tcPr>
          <w:p w14:paraId="6838E5D0" w14:textId="77777777" w:rsidR="00BB0972" w:rsidRPr="004C7DFA" w:rsidRDefault="00BB0972" w:rsidP="00074BE1">
            <w:pPr>
              <w:spacing w:before="75" w:after="75"/>
              <w:ind w:firstLine="375"/>
              <w:jc w:val="both"/>
              <w:rPr>
                <w:sz w:val="20"/>
                <w:szCs w:val="20"/>
              </w:rPr>
            </w:pPr>
            <w:r w:rsidRPr="004C7DFA">
              <w:rPr>
                <w:sz w:val="20"/>
                <w:szCs w:val="20"/>
              </w:rPr>
              <w:t> </w:t>
            </w:r>
          </w:p>
        </w:tc>
        <w:tc>
          <w:tcPr>
            <w:tcW w:w="9894" w:type="dxa"/>
            <w:gridSpan w:val="4"/>
            <w:tcBorders>
              <w:top w:val="nil"/>
              <w:left w:val="nil"/>
              <w:bottom w:val="nil"/>
              <w:right w:val="nil"/>
            </w:tcBorders>
            <w:hideMark/>
          </w:tcPr>
          <w:p w14:paraId="69D559D7" w14:textId="77777777" w:rsidR="00BB0972" w:rsidRPr="004C7DFA" w:rsidRDefault="00BB0972" w:rsidP="00074BE1">
            <w:pPr>
              <w:spacing w:before="75" w:after="75"/>
              <w:jc w:val="both"/>
              <w:rPr>
                <w:sz w:val="20"/>
                <w:szCs w:val="20"/>
              </w:rPr>
            </w:pPr>
          </w:p>
        </w:tc>
      </w:tr>
      <w:tr w:rsidR="00AE739A" w:rsidRPr="004C7DFA" w14:paraId="37D71753" w14:textId="77777777" w:rsidTr="76D16243">
        <w:trPr>
          <w:gridAfter w:val="1"/>
          <w:wAfter w:w="30" w:type="dxa"/>
          <w:trHeight w:val="147"/>
          <w:tblCellSpacing w:w="0" w:type="dxa"/>
        </w:trPr>
        <w:tc>
          <w:tcPr>
            <w:tcW w:w="2856" w:type="dxa"/>
            <w:vAlign w:val="center"/>
            <w:hideMark/>
          </w:tcPr>
          <w:p w14:paraId="3158F508" w14:textId="77777777" w:rsidR="00BB0972" w:rsidRPr="004C7DFA" w:rsidRDefault="00BB0972" w:rsidP="00074BE1">
            <w:pPr>
              <w:rPr>
                <w:sz w:val="20"/>
                <w:szCs w:val="20"/>
              </w:rPr>
            </w:pPr>
            <w:r w:rsidRPr="004C7DFA">
              <w:rPr>
                <w:sz w:val="20"/>
                <w:szCs w:val="20"/>
              </w:rPr>
              <w:t>Saskaņošanas dalībnieki</w:t>
            </w:r>
          </w:p>
        </w:tc>
        <w:tc>
          <w:tcPr>
            <w:tcW w:w="9894" w:type="dxa"/>
            <w:gridSpan w:val="4"/>
            <w:tcBorders>
              <w:bottom w:val="single" w:sz="6" w:space="0" w:color="000000" w:themeColor="text1"/>
            </w:tcBorders>
            <w:vAlign w:val="center"/>
            <w:hideMark/>
          </w:tcPr>
          <w:p w14:paraId="1460EE6C" w14:textId="66E059EA" w:rsidR="005D7FEA" w:rsidRPr="004C7DFA" w:rsidRDefault="009F7C8A" w:rsidP="005D7FEA">
            <w:pPr>
              <w:spacing w:after="160" w:line="252" w:lineRule="auto"/>
              <w:rPr>
                <w:b/>
                <w:color w:val="FF0000"/>
                <w:sz w:val="20"/>
                <w:szCs w:val="20"/>
              </w:rPr>
            </w:pPr>
            <w:r w:rsidRPr="004C7DFA">
              <w:rPr>
                <w:sz w:val="20"/>
                <w:szCs w:val="20"/>
              </w:rPr>
              <w:t>Finanšu mi</w:t>
            </w:r>
            <w:r w:rsidR="000E50D9" w:rsidRPr="004C7DFA">
              <w:rPr>
                <w:sz w:val="20"/>
                <w:szCs w:val="20"/>
              </w:rPr>
              <w:t>nistrija</w:t>
            </w:r>
            <w:r w:rsidR="000C3947" w:rsidRPr="004C7DFA">
              <w:rPr>
                <w:sz w:val="20"/>
                <w:szCs w:val="20"/>
              </w:rPr>
              <w:t>, Tieslietu ministrija</w:t>
            </w:r>
            <w:r w:rsidR="00C630D0" w:rsidRPr="004C7DFA">
              <w:rPr>
                <w:sz w:val="20"/>
                <w:szCs w:val="20"/>
              </w:rPr>
              <w:t xml:space="preserve">, </w:t>
            </w:r>
            <w:r w:rsidR="00F03DF1" w:rsidRPr="004C7DFA">
              <w:rPr>
                <w:sz w:val="20"/>
                <w:szCs w:val="20"/>
              </w:rPr>
              <w:t xml:space="preserve">Vides aizsardzības un reģionālās attīstības ministrija, </w:t>
            </w:r>
            <w:r w:rsidR="00C630D0" w:rsidRPr="004C7DFA">
              <w:rPr>
                <w:sz w:val="20"/>
                <w:szCs w:val="20"/>
              </w:rPr>
              <w:t>Zemkopības ministrija</w:t>
            </w:r>
          </w:p>
          <w:p w14:paraId="3CBCF385" w14:textId="0C9BA282" w:rsidR="00BB0972" w:rsidRPr="004C7DFA" w:rsidRDefault="00BB0972" w:rsidP="76D16243">
            <w:pPr>
              <w:rPr>
                <w:b/>
                <w:color w:val="FF0000"/>
                <w:sz w:val="20"/>
                <w:szCs w:val="20"/>
              </w:rPr>
            </w:pPr>
          </w:p>
        </w:tc>
      </w:tr>
      <w:tr w:rsidR="00AE739A" w:rsidRPr="004C7DFA" w14:paraId="042BBC11" w14:textId="77777777" w:rsidTr="76D16243">
        <w:trPr>
          <w:trHeight w:val="1341"/>
          <w:tblCellSpacing w:w="0" w:type="dxa"/>
        </w:trPr>
        <w:tc>
          <w:tcPr>
            <w:tcW w:w="6017" w:type="dxa"/>
            <w:gridSpan w:val="2"/>
            <w:hideMark/>
          </w:tcPr>
          <w:p w14:paraId="51A6951B" w14:textId="77777777" w:rsidR="00BB0972" w:rsidRPr="004C7DFA" w:rsidRDefault="00BB0972" w:rsidP="00074BE1">
            <w:pPr>
              <w:rPr>
                <w:sz w:val="20"/>
                <w:szCs w:val="20"/>
              </w:rPr>
            </w:pPr>
          </w:p>
          <w:p w14:paraId="7EB3115C" w14:textId="77777777" w:rsidR="00BB0972" w:rsidRPr="004C7DFA" w:rsidRDefault="00BB0972" w:rsidP="00074BE1">
            <w:pPr>
              <w:rPr>
                <w:sz w:val="20"/>
                <w:szCs w:val="20"/>
              </w:rPr>
            </w:pPr>
            <w:r w:rsidRPr="004C7DFA">
              <w:rPr>
                <w:sz w:val="20"/>
                <w:szCs w:val="20"/>
              </w:rPr>
              <w:t>Saskaņošanas dalībnieki izskatīja šādu ministriju (citu institūciju) iebildumus</w:t>
            </w:r>
          </w:p>
        </w:tc>
        <w:tc>
          <w:tcPr>
            <w:tcW w:w="4864" w:type="dxa"/>
            <w:gridSpan w:val="2"/>
            <w:hideMark/>
          </w:tcPr>
          <w:p w14:paraId="36ADED7C" w14:textId="77777777" w:rsidR="00BB0972" w:rsidRPr="004C7DFA" w:rsidRDefault="00BB0972" w:rsidP="00074BE1">
            <w:pPr>
              <w:rPr>
                <w:sz w:val="20"/>
                <w:szCs w:val="20"/>
              </w:rPr>
            </w:pPr>
          </w:p>
          <w:p w14:paraId="72083DE0" w14:textId="6B49FA7A" w:rsidR="00962313" w:rsidRPr="004C7DFA" w:rsidRDefault="00432FE1" w:rsidP="003E458A">
            <w:pPr>
              <w:rPr>
                <w:sz w:val="20"/>
                <w:szCs w:val="20"/>
              </w:rPr>
            </w:pPr>
            <w:r w:rsidRPr="004C7DFA">
              <w:rPr>
                <w:sz w:val="20"/>
                <w:szCs w:val="20"/>
              </w:rPr>
              <w:t>Finanšu ministrija</w:t>
            </w:r>
            <w:r w:rsidR="000C3947" w:rsidRPr="004C7DFA">
              <w:rPr>
                <w:sz w:val="20"/>
                <w:szCs w:val="20"/>
              </w:rPr>
              <w:t>, Tieslietu ministrija</w:t>
            </w:r>
            <w:r w:rsidR="00872632" w:rsidRPr="004C7DFA">
              <w:rPr>
                <w:sz w:val="20"/>
                <w:szCs w:val="20"/>
              </w:rPr>
              <w:t xml:space="preserve">, </w:t>
            </w:r>
            <w:r w:rsidR="00F03DF1" w:rsidRPr="004C7DFA">
              <w:rPr>
                <w:sz w:val="20"/>
                <w:szCs w:val="20"/>
              </w:rPr>
              <w:t xml:space="preserve">Vides aizsardzības un reģionālās attīstības ministrija, </w:t>
            </w:r>
            <w:r w:rsidR="00872632" w:rsidRPr="004C7DFA">
              <w:rPr>
                <w:sz w:val="20"/>
                <w:szCs w:val="20"/>
              </w:rPr>
              <w:t>Zemkopības ministrija</w:t>
            </w:r>
          </w:p>
        </w:tc>
        <w:tc>
          <w:tcPr>
            <w:tcW w:w="1899" w:type="dxa"/>
            <w:gridSpan w:val="2"/>
            <w:hideMark/>
          </w:tcPr>
          <w:p w14:paraId="413AB482" w14:textId="77777777" w:rsidR="00BB0972" w:rsidRPr="004C7DFA" w:rsidRDefault="00BB0972" w:rsidP="00074BE1">
            <w:pPr>
              <w:spacing w:before="75" w:after="75"/>
              <w:rPr>
                <w:sz w:val="20"/>
                <w:szCs w:val="20"/>
              </w:rPr>
            </w:pPr>
            <w:r w:rsidRPr="004C7DFA">
              <w:rPr>
                <w:sz w:val="20"/>
                <w:szCs w:val="20"/>
              </w:rPr>
              <w:t> </w:t>
            </w:r>
          </w:p>
        </w:tc>
      </w:tr>
      <w:tr w:rsidR="00BB0972" w:rsidRPr="004C7DFA" w14:paraId="6C8CA90A" w14:textId="77777777" w:rsidTr="76D16243">
        <w:trPr>
          <w:trHeight w:val="277"/>
          <w:tblCellSpacing w:w="0" w:type="dxa"/>
        </w:trPr>
        <w:tc>
          <w:tcPr>
            <w:tcW w:w="8167" w:type="dxa"/>
            <w:gridSpan w:val="3"/>
            <w:vAlign w:val="center"/>
            <w:hideMark/>
          </w:tcPr>
          <w:p w14:paraId="1CDA8DAD" w14:textId="77777777" w:rsidR="00BB0972" w:rsidRPr="004C7DFA" w:rsidRDefault="00BB0972" w:rsidP="00074BE1">
            <w:pPr>
              <w:rPr>
                <w:sz w:val="20"/>
                <w:szCs w:val="20"/>
              </w:rPr>
            </w:pPr>
            <w:r w:rsidRPr="004C7DFA">
              <w:rPr>
                <w:sz w:val="20"/>
                <w:szCs w:val="20"/>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4C7DFA" w:rsidRDefault="00BB0972" w:rsidP="00074BE1">
            <w:pPr>
              <w:spacing w:before="75" w:after="75"/>
              <w:rPr>
                <w:sz w:val="20"/>
                <w:szCs w:val="20"/>
              </w:rPr>
            </w:pPr>
          </w:p>
        </w:tc>
      </w:tr>
    </w:tbl>
    <w:p w14:paraId="078BD109" w14:textId="77777777" w:rsidR="00720129" w:rsidRPr="004C7DFA" w:rsidRDefault="00720129" w:rsidP="00B633B1">
      <w:pPr>
        <w:ind w:left="1440" w:firstLine="720"/>
        <w:jc w:val="center"/>
        <w:rPr>
          <w:b/>
          <w:sz w:val="20"/>
          <w:szCs w:val="20"/>
        </w:rPr>
      </w:pPr>
    </w:p>
    <w:p w14:paraId="56E37D8F" w14:textId="7CFE09A4" w:rsidR="00BD6FD2" w:rsidRPr="004C7DFA" w:rsidRDefault="002F27C3" w:rsidP="006F53EE">
      <w:pPr>
        <w:spacing w:after="200" w:line="276" w:lineRule="auto"/>
        <w:jc w:val="center"/>
        <w:rPr>
          <w:b/>
          <w:sz w:val="20"/>
          <w:szCs w:val="20"/>
        </w:rPr>
      </w:pPr>
      <w:r w:rsidRPr="004C7DFA">
        <w:rPr>
          <w:b/>
          <w:sz w:val="20"/>
          <w:szCs w:val="20"/>
        </w:rPr>
        <w:br w:type="page"/>
      </w:r>
      <w:r w:rsidR="00BD6FD2" w:rsidRPr="004C7DFA">
        <w:rPr>
          <w:b/>
          <w:sz w:val="20"/>
          <w:szCs w:val="20"/>
        </w:rPr>
        <w:lastRenderedPageBreak/>
        <w:t xml:space="preserve">II. Jautājumi, par kuriem saskaņošanā </w:t>
      </w:r>
      <w:r w:rsidR="00962313" w:rsidRPr="004C7DFA">
        <w:rPr>
          <w:b/>
          <w:sz w:val="20"/>
          <w:szCs w:val="20"/>
        </w:rPr>
        <w:t xml:space="preserve">vienošanās </w:t>
      </w:r>
      <w:r w:rsidR="00BD6FD2" w:rsidRPr="004C7DFA">
        <w:rPr>
          <w:b/>
          <w:sz w:val="20"/>
          <w:szCs w:val="20"/>
        </w:rPr>
        <w:t>ir panākta</w:t>
      </w:r>
    </w:p>
    <w:p w14:paraId="7054B821" w14:textId="77777777" w:rsidR="00962313" w:rsidRPr="004C7DFA" w:rsidRDefault="00962313" w:rsidP="00B633B1">
      <w:pPr>
        <w:ind w:left="1440" w:firstLine="720"/>
        <w:jc w:val="center"/>
        <w:rPr>
          <w:b/>
          <w:sz w:val="20"/>
          <w:szCs w:val="20"/>
        </w:rPr>
      </w:pPr>
    </w:p>
    <w:tbl>
      <w:tblPr>
        <w:tblW w:w="16571" w:type="dxa"/>
        <w:tblCellSpacing w:w="0" w:type="dxa"/>
        <w:tblInd w:w="-23" w:type="dxa"/>
        <w:tblCellMar>
          <w:left w:w="0" w:type="dxa"/>
          <w:right w:w="0" w:type="dxa"/>
        </w:tblCellMar>
        <w:tblLook w:val="04A0" w:firstRow="1" w:lastRow="0" w:firstColumn="1" w:lastColumn="0" w:noHBand="0" w:noVBand="1"/>
      </w:tblPr>
      <w:tblGrid>
        <w:gridCol w:w="22"/>
        <w:gridCol w:w="1026"/>
        <w:gridCol w:w="39"/>
        <w:gridCol w:w="3303"/>
        <w:gridCol w:w="23"/>
        <w:gridCol w:w="364"/>
        <w:gridCol w:w="2858"/>
        <w:gridCol w:w="23"/>
        <w:gridCol w:w="4013"/>
        <w:gridCol w:w="23"/>
        <w:gridCol w:w="3161"/>
        <w:gridCol w:w="328"/>
        <w:gridCol w:w="1366"/>
        <w:gridCol w:w="22"/>
      </w:tblGrid>
      <w:tr w:rsidR="00E13DF9" w:rsidRPr="00D00B26" w14:paraId="65EC4B4F" w14:textId="77777777" w:rsidTr="00E366AB">
        <w:trPr>
          <w:gridBefore w:val="1"/>
          <w:gridAfter w:val="2"/>
          <w:wBefore w:w="22" w:type="dxa"/>
          <w:wAfter w:w="1388" w:type="dxa"/>
          <w:trHeight w:val="1520"/>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D28BA61" w14:textId="77777777" w:rsidR="00BD6FD2" w:rsidRPr="00D00B26" w:rsidRDefault="00BD6FD2" w:rsidP="006168A5">
            <w:pPr>
              <w:spacing w:before="75" w:after="75"/>
              <w:jc w:val="center"/>
              <w:rPr>
                <w:sz w:val="20"/>
                <w:szCs w:val="20"/>
              </w:rPr>
            </w:pPr>
            <w:r w:rsidRPr="00D00B26">
              <w:rPr>
                <w:sz w:val="20"/>
                <w:szCs w:val="20"/>
              </w:rPr>
              <w:t>Nr. p.k.</w:t>
            </w: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E8306C3" w14:textId="77777777" w:rsidR="00BD6FD2" w:rsidRPr="00D00B26" w:rsidRDefault="00BD6FD2" w:rsidP="00F43A16">
            <w:pPr>
              <w:spacing w:before="75" w:after="75"/>
              <w:ind w:right="127"/>
              <w:jc w:val="center"/>
              <w:rPr>
                <w:sz w:val="20"/>
                <w:szCs w:val="20"/>
              </w:rPr>
            </w:pPr>
            <w:r w:rsidRPr="00D00B26">
              <w:rPr>
                <w:sz w:val="20"/>
                <w:szCs w:val="20"/>
              </w:rPr>
              <w:t>Saskaņošanai nosūtītā projekta redakcija (konkrēta punkta (panta) redakcija)</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3A7337E" w14:textId="77777777" w:rsidR="00BD6FD2" w:rsidRPr="00D00B26" w:rsidRDefault="00BD6FD2" w:rsidP="00C14E10">
            <w:pPr>
              <w:spacing w:before="75" w:after="75"/>
              <w:ind w:left="127" w:right="127"/>
              <w:jc w:val="both"/>
              <w:rPr>
                <w:sz w:val="20"/>
                <w:szCs w:val="20"/>
              </w:rPr>
            </w:pPr>
            <w:r w:rsidRPr="00D00B26">
              <w:rPr>
                <w:sz w:val="20"/>
                <w:szCs w:val="20"/>
              </w:rPr>
              <w:t>Atzinumā norādītais ministrijas (citas institūcijas) iebildums, kā arī saskaņošanā papildus izteiktais iebildums par projekta konkrēto punktu (pantu)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06F3BA4" w14:textId="77777777" w:rsidR="00BD6FD2" w:rsidRPr="00D00B26" w:rsidRDefault="00BD6FD2" w:rsidP="00F43A16">
            <w:pPr>
              <w:spacing w:before="75" w:after="75"/>
              <w:ind w:left="140" w:right="127"/>
              <w:jc w:val="center"/>
              <w:rPr>
                <w:sz w:val="20"/>
                <w:szCs w:val="20"/>
              </w:rPr>
            </w:pPr>
            <w:r w:rsidRPr="00D00B26">
              <w:rPr>
                <w:sz w:val="20"/>
                <w:szCs w:val="20"/>
              </w:rPr>
              <w:t>Atbildīgās ministrijas norāde par to, ka iebildums ir ņemts vērā, vai informācija par saskaņošanā panākto alternatīvo risinājumu</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64FFEBC" w14:textId="77777777" w:rsidR="00BD6FD2" w:rsidRPr="00D00B26" w:rsidRDefault="00BD6FD2" w:rsidP="00F43A16">
            <w:pPr>
              <w:spacing w:before="75" w:after="75"/>
              <w:ind w:right="127"/>
              <w:jc w:val="center"/>
              <w:rPr>
                <w:sz w:val="20"/>
                <w:szCs w:val="20"/>
              </w:rPr>
            </w:pPr>
            <w:r w:rsidRPr="00D00B26">
              <w:rPr>
                <w:sz w:val="20"/>
                <w:szCs w:val="20"/>
              </w:rPr>
              <w:t>Projekta attiecīgā punkta (panta) galīgā redakcija</w:t>
            </w:r>
          </w:p>
        </w:tc>
      </w:tr>
      <w:tr w:rsidR="00E13DF9" w:rsidRPr="00D00B26" w14:paraId="460DA60A" w14:textId="77777777" w:rsidTr="00E366AB">
        <w:trPr>
          <w:gridBefore w:val="1"/>
          <w:gridAfter w:val="2"/>
          <w:wBefore w:w="22" w:type="dxa"/>
          <w:wAfter w:w="1388" w:type="dxa"/>
          <w:trHeight w:val="251"/>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35120DCF" w14:textId="77777777" w:rsidR="00BD6FD2" w:rsidRPr="00D00B26" w:rsidRDefault="00BD6FD2" w:rsidP="006168A5">
            <w:pPr>
              <w:jc w:val="center"/>
              <w:rPr>
                <w:sz w:val="20"/>
                <w:szCs w:val="20"/>
              </w:rPr>
            </w:pPr>
            <w:r w:rsidRPr="00D00B26">
              <w:rPr>
                <w:sz w:val="20"/>
                <w:szCs w:val="20"/>
              </w:rPr>
              <w:t>1</w:t>
            </w: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10A89E8F" w14:textId="77777777" w:rsidR="00BD6FD2" w:rsidRPr="00D00B26" w:rsidRDefault="00BD6FD2" w:rsidP="00CD2D93">
            <w:pPr>
              <w:jc w:val="center"/>
              <w:rPr>
                <w:sz w:val="20"/>
                <w:szCs w:val="20"/>
              </w:rPr>
            </w:pPr>
            <w:r w:rsidRPr="00D00B26">
              <w:rPr>
                <w:sz w:val="20"/>
                <w:szCs w:val="20"/>
              </w:rPr>
              <w:t>2</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2FD79E0E" w14:textId="77777777" w:rsidR="00BD6FD2" w:rsidRPr="00D00B26" w:rsidRDefault="00BD6FD2" w:rsidP="0005481B">
            <w:pPr>
              <w:jc w:val="center"/>
              <w:rPr>
                <w:sz w:val="20"/>
                <w:szCs w:val="20"/>
              </w:rPr>
            </w:pPr>
            <w:r w:rsidRPr="00D00B26">
              <w:rPr>
                <w:sz w:val="20"/>
                <w:szCs w:val="20"/>
              </w:rPr>
              <w:t>3</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7DD74B36" w14:textId="77777777" w:rsidR="00BD6FD2" w:rsidRPr="00D00B26" w:rsidRDefault="00BD6FD2" w:rsidP="00CD2D93">
            <w:pPr>
              <w:jc w:val="center"/>
              <w:rPr>
                <w:sz w:val="20"/>
                <w:szCs w:val="20"/>
              </w:rPr>
            </w:pPr>
            <w:r w:rsidRPr="00D00B26">
              <w:rPr>
                <w:sz w:val="20"/>
                <w:szCs w:val="20"/>
              </w:rPr>
              <w:t>4</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476D4570" w14:textId="77777777" w:rsidR="00BD6FD2" w:rsidRPr="00D00B26" w:rsidRDefault="00BD6FD2" w:rsidP="00CD2D93">
            <w:pPr>
              <w:jc w:val="center"/>
              <w:rPr>
                <w:sz w:val="20"/>
                <w:szCs w:val="20"/>
              </w:rPr>
            </w:pPr>
            <w:r w:rsidRPr="00D00B26">
              <w:rPr>
                <w:sz w:val="20"/>
                <w:szCs w:val="20"/>
              </w:rPr>
              <w:t>5</w:t>
            </w:r>
          </w:p>
        </w:tc>
      </w:tr>
      <w:tr w:rsidR="00E13DF9" w:rsidRPr="00D00B26" w14:paraId="0956E59C"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192486" w14:textId="77777777" w:rsidR="00AD780B" w:rsidRPr="00D00B26" w:rsidRDefault="00AD780B"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A710D8F" w14:textId="77777777" w:rsidR="00E050A8" w:rsidRPr="00D00B26" w:rsidRDefault="00E050A8" w:rsidP="00304BC1">
            <w:pPr>
              <w:shd w:val="clear" w:color="auto" w:fill="FFFFFF"/>
              <w:jc w:val="both"/>
              <w:rPr>
                <w:sz w:val="20"/>
                <w:szCs w:val="20"/>
              </w:rPr>
            </w:pPr>
            <w:r w:rsidRPr="00D00B26">
              <w:rPr>
                <w:sz w:val="20"/>
                <w:szCs w:val="20"/>
              </w:rPr>
              <w:t>1. Noteikumi nosaka:</w:t>
            </w:r>
          </w:p>
          <w:p w14:paraId="4E21F4F3" w14:textId="77777777" w:rsidR="00E050A8" w:rsidRPr="00D00B26" w:rsidRDefault="00E050A8" w:rsidP="00304BC1">
            <w:pPr>
              <w:shd w:val="clear" w:color="auto" w:fill="FFFFFF"/>
              <w:jc w:val="both"/>
              <w:rPr>
                <w:sz w:val="20"/>
                <w:szCs w:val="20"/>
              </w:rPr>
            </w:pPr>
            <w:r w:rsidRPr="00D00B26">
              <w:rPr>
                <w:sz w:val="20"/>
                <w:szCs w:val="20"/>
              </w:rPr>
              <w:t>1.1. nosacījumus elektroenerģijas ražošanai, izmantojot  atjaunojamos energoresursus;</w:t>
            </w:r>
          </w:p>
          <w:p w14:paraId="07BEEB7E" w14:textId="77777777" w:rsidR="00E050A8" w:rsidRPr="00D00B26" w:rsidRDefault="00E050A8" w:rsidP="00304BC1">
            <w:pPr>
              <w:shd w:val="clear" w:color="auto" w:fill="FFFFFF"/>
              <w:jc w:val="both"/>
              <w:rPr>
                <w:sz w:val="20"/>
                <w:szCs w:val="20"/>
              </w:rPr>
            </w:pPr>
            <w:r w:rsidRPr="00D00B26">
              <w:rPr>
                <w:sz w:val="20"/>
                <w:szCs w:val="20"/>
              </w:rPr>
              <w:t>1.2. no atjaunojamiem energoresursiem saražotās elektroenerģijas obligāti iepērkamā apjoma noteikšanas, īstenošanas un uzraudzības kārtību;</w:t>
            </w:r>
          </w:p>
          <w:p w14:paraId="425CF2C0" w14:textId="77777777" w:rsidR="00E050A8" w:rsidRPr="00D00B26" w:rsidRDefault="00E050A8" w:rsidP="00304BC1">
            <w:pPr>
              <w:shd w:val="clear" w:color="auto" w:fill="FFFFFF"/>
              <w:jc w:val="both"/>
              <w:rPr>
                <w:sz w:val="20"/>
                <w:szCs w:val="20"/>
              </w:rPr>
            </w:pPr>
            <w:r w:rsidRPr="00D00B26">
              <w:rPr>
                <w:sz w:val="20"/>
                <w:szCs w:val="20"/>
              </w:rPr>
              <w:t>1.3. no atjaunojamiem energoresursiem saražotās elektroenerģijas cenas noteikšanas kārtību atkarībā no energoresursu veida;</w:t>
            </w:r>
          </w:p>
          <w:p w14:paraId="02D98F83" w14:textId="77777777" w:rsidR="00E050A8" w:rsidRPr="00D00B26" w:rsidRDefault="00E050A8" w:rsidP="00304BC1">
            <w:pPr>
              <w:shd w:val="clear" w:color="auto" w:fill="FFFFFF"/>
              <w:jc w:val="both"/>
              <w:rPr>
                <w:sz w:val="20"/>
                <w:szCs w:val="20"/>
              </w:rPr>
            </w:pPr>
            <w:r w:rsidRPr="00D00B26">
              <w:rPr>
                <w:sz w:val="20"/>
                <w:szCs w:val="20"/>
              </w:rPr>
              <w:t>1.4. kārtību, kādā var atteikties no tiesībām pārdot saražoto elektroenerģiju obligātā iepirkuma ietvaros (turpmāk – obligātā iepirkuma tiesības);</w:t>
            </w:r>
          </w:p>
          <w:p w14:paraId="6F634D4F" w14:textId="77777777" w:rsidR="00E050A8" w:rsidRPr="00D00B26" w:rsidRDefault="00E050A8" w:rsidP="00304BC1">
            <w:pPr>
              <w:shd w:val="clear" w:color="auto" w:fill="FFFFFF"/>
              <w:jc w:val="both"/>
              <w:rPr>
                <w:sz w:val="20"/>
                <w:szCs w:val="20"/>
              </w:rPr>
            </w:pPr>
            <w:r w:rsidRPr="00D00B26">
              <w:rPr>
                <w:sz w:val="20"/>
                <w:szCs w:val="20"/>
              </w:rPr>
              <w:t>1.5. pasākumus, lai veicinātu elektroenerģijas ražošanu no biomasas;</w:t>
            </w:r>
          </w:p>
          <w:p w14:paraId="4F99BCCC" w14:textId="77777777" w:rsidR="00E050A8" w:rsidRPr="00D00B26" w:rsidRDefault="00E050A8" w:rsidP="00304BC1">
            <w:pPr>
              <w:shd w:val="clear" w:color="auto" w:fill="FFFFFF"/>
              <w:rPr>
                <w:sz w:val="20"/>
                <w:szCs w:val="20"/>
              </w:rPr>
            </w:pPr>
            <w:r w:rsidRPr="00D00B26">
              <w:rPr>
                <w:sz w:val="20"/>
                <w:szCs w:val="20"/>
              </w:rPr>
              <w:t>1.6. kārtību, kādā aptur valsts atbalsta izmaksu;</w:t>
            </w:r>
          </w:p>
          <w:p w14:paraId="57ECBAA5" w14:textId="77777777" w:rsidR="00E050A8" w:rsidRPr="00D00B26" w:rsidRDefault="00E050A8" w:rsidP="00304BC1">
            <w:pPr>
              <w:shd w:val="clear" w:color="auto" w:fill="FFFFFF"/>
              <w:rPr>
                <w:sz w:val="20"/>
                <w:szCs w:val="20"/>
              </w:rPr>
            </w:pPr>
            <w:r w:rsidRPr="00D00B26">
              <w:rPr>
                <w:sz w:val="20"/>
                <w:szCs w:val="20"/>
              </w:rPr>
              <w:t>1.7. pārkāpumus, par kuriem atceļamas tiesības pārdot no atjaunojamiem energoresursiem saražoto elektroenerģiju obligātā iepirkuma ietvaros, kā arī kārtību, kādā tās atceļamas</w:t>
            </w:r>
          </w:p>
          <w:p w14:paraId="2FC1324B" w14:textId="77777777" w:rsidR="00E050A8" w:rsidRPr="00D00B26" w:rsidRDefault="00E050A8" w:rsidP="00304BC1">
            <w:pPr>
              <w:shd w:val="clear" w:color="auto" w:fill="FFFFFF"/>
              <w:spacing w:line="293" w:lineRule="atLeast"/>
              <w:jc w:val="both"/>
              <w:rPr>
                <w:sz w:val="20"/>
                <w:szCs w:val="20"/>
              </w:rPr>
            </w:pPr>
            <w:r w:rsidRPr="00D00B26">
              <w:rPr>
                <w:sz w:val="20"/>
                <w:szCs w:val="20"/>
              </w:rPr>
              <w:t xml:space="preserve">1.8. </w:t>
            </w:r>
            <w:r w:rsidRPr="00D00B26">
              <w:rPr>
                <w:sz w:val="20"/>
                <w:szCs w:val="20"/>
                <w:shd w:val="clear" w:color="auto" w:fill="FFFFFF"/>
              </w:rPr>
              <w:t xml:space="preserve">kārtību, kādā Būvniecības valsts kontroles birojs (turpmāk – birojs) pārbauda lietderīgās siltumenerģijas izmantošanu, lai nodrošinātu atbilstību </w:t>
            </w:r>
            <w:r w:rsidRPr="00D00B26">
              <w:rPr>
                <w:sz w:val="20"/>
                <w:szCs w:val="20"/>
                <w:shd w:val="clear" w:color="auto" w:fill="FFFFFF"/>
              </w:rPr>
              <w:lastRenderedPageBreak/>
              <w:t>normatīvajos aktos noteiktajiem valsts atbalsta saņemšanas nosacījumiem;</w:t>
            </w:r>
          </w:p>
          <w:p w14:paraId="21B345BC" w14:textId="77777777" w:rsidR="00E050A8" w:rsidRPr="00D00B26" w:rsidRDefault="00E050A8" w:rsidP="00304BC1">
            <w:pPr>
              <w:shd w:val="clear" w:color="auto" w:fill="FFFFFF"/>
              <w:jc w:val="both"/>
              <w:rPr>
                <w:sz w:val="20"/>
                <w:szCs w:val="20"/>
              </w:rPr>
            </w:pPr>
            <w:r w:rsidRPr="00D00B26">
              <w:rPr>
                <w:sz w:val="20"/>
                <w:szCs w:val="20"/>
              </w:rPr>
              <w:t>1.10. nosacījumus un metodiku nepamatoti vai nelikumīgi saņemtā valsts atbalsta atgūšanai par elektroenerģijas ražošanu no atjaunojamiem energoresursiem.</w:t>
            </w:r>
          </w:p>
          <w:p w14:paraId="6D9B0943" w14:textId="1D3C395B" w:rsidR="00AD780B" w:rsidRPr="00D00B26" w:rsidRDefault="00AD780B"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CCFCF55" w14:textId="3213385D" w:rsidR="00AD780B" w:rsidRPr="00D00B26" w:rsidRDefault="2321A5DE" w:rsidP="76D16243">
            <w:pPr>
              <w:tabs>
                <w:tab w:val="left" w:pos="1134"/>
              </w:tabs>
              <w:spacing w:after="160" w:line="252" w:lineRule="auto"/>
              <w:ind w:left="126"/>
              <w:contextualSpacing/>
              <w:rPr>
                <w:rFonts w:eastAsia="Calibri"/>
                <w:b/>
                <w:sz w:val="20"/>
                <w:szCs w:val="20"/>
              </w:rPr>
            </w:pPr>
            <w:r w:rsidRPr="00D00B26">
              <w:rPr>
                <w:rFonts w:eastAsia="Calibri"/>
                <w:b/>
                <w:sz w:val="20"/>
                <w:szCs w:val="20"/>
              </w:rPr>
              <w:lastRenderedPageBreak/>
              <w:t>Tieslietu ministrija (17.08.2020.</w:t>
            </w:r>
            <w:r w:rsidR="4E25EAD4" w:rsidRPr="00D00B26">
              <w:rPr>
                <w:rFonts w:eastAsia="Calibri"/>
                <w:b/>
                <w:sz w:val="20"/>
                <w:szCs w:val="20"/>
              </w:rPr>
              <w:t xml:space="preserve"> iebildums</w:t>
            </w:r>
            <w:r w:rsidRPr="00D00B26">
              <w:rPr>
                <w:rFonts w:eastAsia="Calibri"/>
                <w:b/>
                <w:sz w:val="20"/>
                <w:szCs w:val="20"/>
              </w:rPr>
              <w:t>)</w:t>
            </w:r>
          </w:p>
          <w:p w14:paraId="6FBF2E59" w14:textId="1CE016B0" w:rsidR="001D3E0D" w:rsidRPr="00D00B26" w:rsidRDefault="30E14059" w:rsidP="76D16243">
            <w:pPr>
              <w:tabs>
                <w:tab w:val="left" w:pos="1134"/>
              </w:tabs>
              <w:spacing w:after="160" w:line="252" w:lineRule="auto"/>
              <w:ind w:left="126"/>
              <w:contextualSpacing/>
              <w:rPr>
                <w:rFonts w:eastAsia="Calibri"/>
                <w:b/>
                <w:sz w:val="20"/>
                <w:szCs w:val="20"/>
              </w:rPr>
            </w:pPr>
            <w:r w:rsidRPr="00D00B26">
              <w:rPr>
                <w:sz w:val="20"/>
                <w:szCs w:val="20"/>
              </w:rPr>
              <w:t xml:space="preserve">Projekta 1. punktu </w:t>
            </w:r>
            <w:r w:rsidRPr="00D00B26">
              <w:rPr>
                <w:b/>
                <w:sz w:val="20"/>
                <w:szCs w:val="20"/>
              </w:rPr>
              <w:t>nepieciešams izteikt precīzi atbilstoši Elektroenerģijas tirgus likumā (turpmāk – likums) noteiktajiem dažādajiem pilnvarojumiem Ministru kabinetam par noteikumu izdošanu</w:t>
            </w:r>
            <w:r w:rsidRPr="00D00B26">
              <w:rPr>
                <w:sz w:val="20"/>
                <w:szCs w:val="20"/>
              </w:rPr>
              <w:t>. Turklāt, ņemot vērā, ka projektam jāstājas spēkā 2020. gada 1. septembrī, pilnvarojumus saskaņā ar likuma pārejas noteikumu 90. punktu nepieciešams izteikt atbilstoši likuma 29. panta ceturtās daļas jaunajai redakcijai. Vēršam uzmanību, ka projekta 1. punktā šobrīd nav precīzi norādīti pilnvarojumi par kritērijiem ražotāju kvalifikācijai, par obligātā iepirkuma apjoma izmaksu segšanas kārtību, par līmeņatzīmēm. Turklāt projekta 1. punktā nav secīga apakšpunktu numerācija.</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0CC0743" w14:textId="77777777" w:rsidR="00AD780B" w:rsidRPr="00D00B26" w:rsidRDefault="00DA3676" w:rsidP="00A9367F">
            <w:pPr>
              <w:pStyle w:val="naisc"/>
              <w:spacing w:before="0" w:after="0"/>
              <w:rPr>
                <w:b/>
                <w:sz w:val="20"/>
                <w:szCs w:val="20"/>
              </w:rPr>
            </w:pPr>
            <w:r w:rsidRPr="00D00B26">
              <w:rPr>
                <w:b/>
                <w:sz w:val="20"/>
                <w:szCs w:val="20"/>
              </w:rPr>
              <w:t>Iebildums ir ņemts vērā.</w:t>
            </w:r>
          </w:p>
          <w:p w14:paraId="1461F276" w14:textId="1DA45117" w:rsidR="000D2098" w:rsidRPr="00D00B26" w:rsidRDefault="000D2098" w:rsidP="0081357B">
            <w:pPr>
              <w:pStyle w:val="naisc"/>
              <w:spacing w:before="0" w:after="0"/>
              <w:jc w:val="both"/>
              <w:rPr>
                <w:sz w:val="20"/>
                <w:szCs w:val="20"/>
              </w:rPr>
            </w:pPr>
            <w:r w:rsidRPr="00D00B26">
              <w:rPr>
                <w:sz w:val="20"/>
                <w:szCs w:val="20"/>
              </w:rPr>
              <w:t>Vienlaikus paskaidrojam,</w:t>
            </w:r>
            <w:r w:rsidR="003060D6" w:rsidRPr="00D00B26">
              <w:rPr>
                <w:sz w:val="20"/>
                <w:szCs w:val="20"/>
              </w:rPr>
              <w:t xml:space="preserve"> ka</w:t>
            </w:r>
            <w:r w:rsidR="00D53568" w:rsidRPr="00D00B26">
              <w:rPr>
                <w:sz w:val="20"/>
                <w:szCs w:val="20"/>
              </w:rPr>
              <w:t xml:space="preserve"> </w:t>
            </w:r>
            <w:r w:rsidR="004264EC" w:rsidRPr="00D00B26">
              <w:rPr>
                <w:sz w:val="20"/>
                <w:szCs w:val="20"/>
              </w:rPr>
              <w:t>Elektroenerģijas tirgus likumā (turpmāk – ETL)</w:t>
            </w:r>
            <w:r w:rsidR="00820ED4" w:rsidRPr="00D00B26">
              <w:rPr>
                <w:sz w:val="20"/>
                <w:szCs w:val="20"/>
              </w:rPr>
              <w:t xml:space="preserve"> ir </w:t>
            </w:r>
            <w:r w:rsidR="00D81861" w:rsidRPr="00D00B26">
              <w:rPr>
                <w:sz w:val="20"/>
                <w:szCs w:val="20"/>
              </w:rPr>
              <w:t>svītrotas normas, kas paredz obligātā iepirkuma tiesību piešķiršanu, attie</w:t>
            </w:r>
            <w:r w:rsidR="00CA7061" w:rsidRPr="00D00B26">
              <w:rPr>
                <w:sz w:val="20"/>
                <w:szCs w:val="20"/>
              </w:rPr>
              <w:t>c</w:t>
            </w:r>
            <w:r w:rsidR="00D363CB" w:rsidRPr="00D00B26">
              <w:rPr>
                <w:sz w:val="20"/>
                <w:szCs w:val="20"/>
              </w:rPr>
              <w:t>īg</w:t>
            </w:r>
            <w:r w:rsidR="00CA7061" w:rsidRPr="00D00B26">
              <w:rPr>
                <w:sz w:val="20"/>
                <w:szCs w:val="20"/>
              </w:rPr>
              <w:t>i</w:t>
            </w:r>
            <w:r w:rsidR="00DE3D0C" w:rsidRPr="00D00B26">
              <w:rPr>
                <w:sz w:val="20"/>
                <w:szCs w:val="20"/>
              </w:rPr>
              <w:t xml:space="preserve"> jaunas obligātā iepirkuma tiesības</w:t>
            </w:r>
            <w:r w:rsidR="00D378D4" w:rsidRPr="00D00B26">
              <w:rPr>
                <w:sz w:val="20"/>
                <w:szCs w:val="20"/>
              </w:rPr>
              <w:t xml:space="preserve"> vairs</w:t>
            </w:r>
            <w:r w:rsidR="00DE3D0C" w:rsidRPr="00D00B26">
              <w:rPr>
                <w:sz w:val="20"/>
                <w:szCs w:val="20"/>
              </w:rPr>
              <w:t xml:space="preserve"> netiek piešķirtas</w:t>
            </w:r>
            <w:r w:rsidR="00B55284" w:rsidRPr="00D00B26">
              <w:rPr>
                <w:sz w:val="20"/>
                <w:szCs w:val="20"/>
              </w:rPr>
              <w:t xml:space="preserve">, </w:t>
            </w:r>
            <w:r w:rsidR="001345D4" w:rsidRPr="00D00B26">
              <w:rPr>
                <w:sz w:val="20"/>
                <w:szCs w:val="20"/>
              </w:rPr>
              <w:t xml:space="preserve">tāpēc </w:t>
            </w:r>
            <w:r w:rsidR="00EC6F83" w:rsidRPr="00D00B26">
              <w:rPr>
                <w:sz w:val="20"/>
                <w:szCs w:val="20"/>
              </w:rPr>
              <w:t xml:space="preserve">vienīgais kritērijs, kas dod </w:t>
            </w:r>
            <w:r w:rsidR="00887EE6" w:rsidRPr="00D00B26">
              <w:rPr>
                <w:sz w:val="20"/>
                <w:szCs w:val="20"/>
              </w:rPr>
              <w:t>komersantam obligātā iepirkuma tiesības, ir Ekonomikas ministrijas</w:t>
            </w:r>
            <w:r w:rsidR="009F72E0" w:rsidRPr="00D00B26">
              <w:rPr>
                <w:sz w:val="20"/>
                <w:szCs w:val="20"/>
              </w:rPr>
              <w:t xml:space="preserve"> pieņemts lēmums</w:t>
            </w:r>
            <w:r w:rsidR="00550D6F" w:rsidRPr="00D00B26">
              <w:rPr>
                <w:sz w:val="20"/>
                <w:szCs w:val="20"/>
              </w:rPr>
              <w:t xml:space="preserve"> par obligātā iepirkuma tiesību piešķiršanu, savukārt pēdējais šāds lēmums ir pieņemts 2012.gadā.</w:t>
            </w:r>
            <w:r w:rsidR="00F1661C" w:rsidRPr="00D00B26">
              <w:rPr>
                <w:sz w:val="20"/>
                <w:szCs w:val="20"/>
              </w:rPr>
              <w:t xml:space="preserve"> Tas</w:t>
            </w:r>
            <w:r w:rsidR="00944536" w:rsidRPr="00D00B26">
              <w:rPr>
                <w:sz w:val="20"/>
                <w:szCs w:val="20"/>
              </w:rPr>
              <w:t>,</w:t>
            </w:r>
            <w:r w:rsidR="00F1661C" w:rsidRPr="00D00B26">
              <w:rPr>
                <w:sz w:val="20"/>
                <w:szCs w:val="20"/>
              </w:rPr>
              <w:t xml:space="preserve"> savukārt</w:t>
            </w:r>
            <w:r w:rsidR="00944536" w:rsidRPr="00D00B26">
              <w:rPr>
                <w:sz w:val="20"/>
                <w:szCs w:val="20"/>
              </w:rPr>
              <w:t>,</w:t>
            </w:r>
            <w:r w:rsidR="00F1661C" w:rsidRPr="00D00B26">
              <w:rPr>
                <w:sz w:val="20"/>
                <w:szCs w:val="20"/>
              </w:rPr>
              <w:t xml:space="preserve"> ir atrunāts projekta 2.2.apakšpunktā.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77EE01E" w14:textId="77777777" w:rsidR="00D07FF7" w:rsidRPr="00D00B26" w:rsidRDefault="00D07FF7" w:rsidP="00150BC8">
            <w:pPr>
              <w:shd w:val="clear" w:color="auto" w:fill="FFFFFF"/>
              <w:ind w:left="130" w:firstLine="130"/>
              <w:jc w:val="both"/>
              <w:rPr>
                <w:sz w:val="20"/>
                <w:szCs w:val="20"/>
              </w:rPr>
            </w:pPr>
            <w:r w:rsidRPr="00D00B26">
              <w:rPr>
                <w:sz w:val="20"/>
                <w:szCs w:val="20"/>
              </w:rPr>
              <w:t>1. Noteikumi nosaka:</w:t>
            </w:r>
          </w:p>
          <w:p w14:paraId="78EB150B" w14:textId="77777777" w:rsidR="002955D0" w:rsidRPr="00D00B26" w:rsidRDefault="002955D0" w:rsidP="002955D0">
            <w:pPr>
              <w:shd w:val="clear" w:color="auto" w:fill="FFFFFF"/>
              <w:ind w:left="130" w:firstLine="130"/>
              <w:jc w:val="both"/>
              <w:rPr>
                <w:sz w:val="20"/>
                <w:szCs w:val="20"/>
              </w:rPr>
            </w:pPr>
            <w:r w:rsidRPr="00D00B26">
              <w:rPr>
                <w:sz w:val="20"/>
                <w:szCs w:val="20"/>
              </w:rPr>
              <w:t>1.1.</w:t>
            </w:r>
            <w:r w:rsidRPr="00D00B26">
              <w:rPr>
                <w:sz w:val="20"/>
                <w:szCs w:val="20"/>
              </w:rPr>
              <w:tab/>
              <w:t>nosacījumus elektroenerģijas ražošanai, izmantojot  atjaunojamos energoresursus;</w:t>
            </w:r>
          </w:p>
          <w:p w14:paraId="6D93433A" w14:textId="77777777" w:rsidR="002955D0" w:rsidRPr="00D00B26" w:rsidRDefault="002955D0" w:rsidP="002955D0">
            <w:pPr>
              <w:shd w:val="clear" w:color="auto" w:fill="FFFFFF"/>
              <w:ind w:left="130" w:firstLine="130"/>
              <w:jc w:val="both"/>
              <w:rPr>
                <w:sz w:val="20"/>
                <w:szCs w:val="20"/>
              </w:rPr>
            </w:pPr>
            <w:r w:rsidRPr="00D00B26">
              <w:rPr>
                <w:sz w:val="20"/>
                <w:szCs w:val="20"/>
              </w:rPr>
              <w:t>1.2.</w:t>
            </w:r>
            <w:r w:rsidRPr="00D00B26">
              <w:rPr>
                <w:sz w:val="20"/>
                <w:szCs w:val="20"/>
              </w:rPr>
              <w:tab/>
              <w:t>kritērijus ražotāju kvalifikācijai saražotās elektroenerģijas obligātā iepirkuma tiesībām;</w:t>
            </w:r>
          </w:p>
          <w:p w14:paraId="4586E834" w14:textId="77777777" w:rsidR="002955D0" w:rsidRPr="00D00B26" w:rsidRDefault="002955D0" w:rsidP="002955D0">
            <w:pPr>
              <w:shd w:val="clear" w:color="auto" w:fill="FFFFFF"/>
              <w:ind w:left="130" w:firstLine="130"/>
              <w:jc w:val="both"/>
              <w:rPr>
                <w:sz w:val="20"/>
                <w:szCs w:val="20"/>
              </w:rPr>
            </w:pPr>
            <w:r w:rsidRPr="00D00B26">
              <w:rPr>
                <w:sz w:val="20"/>
                <w:szCs w:val="20"/>
              </w:rPr>
              <w:t>1.3.</w:t>
            </w:r>
            <w:r w:rsidRPr="00D00B26">
              <w:rPr>
                <w:sz w:val="20"/>
                <w:szCs w:val="20"/>
              </w:rPr>
              <w:tab/>
              <w:t>no atjaunojamiem energoresursiem saražotās elektroenerģijas obligāti iepērkamā apjoma noteikšanas, īstenošanas un uzraudzības kārtību;</w:t>
            </w:r>
          </w:p>
          <w:p w14:paraId="6386EE87" w14:textId="77777777" w:rsidR="002955D0" w:rsidRPr="00D00B26" w:rsidRDefault="002955D0" w:rsidP="002955D0">
            <w:pPr>
              <w:shd w:val="clear" w:color="auto" w:fill="FFFFFF"/>
              <w:ind w:left="130" w:firstLine="130"/>
              <w:jc w:val="both"/>
              <w:rPr>
                <w:sz w:val="20"/>
                <w:szCs w:val="20"/>
              </w:rPr>
            </w:pPr>
            <w:r w:rsidRPr="00D00B26">
              <w:rPr>
                <w:sz w:val="20"/>
                <w:szCs w:val="20"/>
              </w:rPr>
              <w:t>1.4.</w:t>
            </w:r>
            <w:r w:rsidRPr="00D00B26">
              <w:rPr>
                <w:sz w:val="20"/>
                <w:szCs w:val="20"/>
              </w:rPr>
              <w:tab/>
              <w:t>no atjaunojamiem energoresursiem saražotās elektroenerģijas cenas noteikšanas kārtību atkarībā no energoresursu veida;</w:t>
            </w:r>
          </w:p>
          <w:p w14:paraId="4A799080" w14:textId="77777777" w:rsidR="002955D0" w:rsidRPr="00D00B26" w:rsidRDefault="002955D0" w:rsidP="002955D0">
            <w:pPr>
              <w:shd w:val="clear" w:color="auto" w:fill="FFFFFF"/>
              <w:ind w:left="130" w:firstLine="130"/>
              <w:jc w:val="both"/>
              <w:rPr>
                <w:sz w:val="20"/>
                <w:szCs w:val="20"/>
              </w:rPr>
            </w:pPr>
            <w:r w:rsidRPr="00D00B26">
              <w:rPr>
                <w:sz w:val="20"/>
                <w:szCs w:val="20"/>
              </w:rPr>
              <w:t>1.5.</w:t>
            </w:r>
            <w:r w:rsidRPr="00D00B26">
              <w:rPr>
                <w:sz w:val="20"/>
                <w:szCs w:val="20"/>
              </w:rPr>
              <w:tab/>
              <w:t>obligātā iepirkuma apjoma noteikšanas, īstenošanas un uzraudzības kārtību, kā arī obligātā iepirkuma apjoma izmaksu segšanas kārtību;</w:t>
            </w:r>
          </w:p>
          <w:p w14:paraId="34A96813" w14:textId="77777777" w:rsidR="002955D0" w:rsidRPr="00D00B26" w:rsidRDefault="002955D0" w:rsidP="002955D0">
            <w:pPr>
              <w:shd w:val="clear" w:color="auto" w:fill="FFFFFF"/>
              <w:ind w:left="130" w:firstLine="130"/>
              <w:jc w:val="both"/>
              <w:rPr>
                <w:sz w:val="20"/>
                <w:szCs w:val="20"/>
              </w:rPr>
            </w:pPr>
            <w:r w:rsidRPr="00D00B26">
              <w:rPr>
                <w:sz w:val="20"/>
                <w:szCs w:val="20"/>
              </w:rPr>
              <w:t>1.6.</w:t>
            </w:r>
            <w:r w:rsidRPr="00D00B26">
              <w:rPr>
                <w:sz w:val="20"/>
                <w:szCs w:val="20"/>
              </w:rPr>
              <w:tab/>
              <w:t>kārtību, kādā var atteikties no tiesībām pārdot saražoto elektroenerģiju obligātā iepirkuma ietvaros (turpmāk – obligātā iepirkuma tiesības);</w:t>
            </w:r>
          </w:p>
          <w:p w14:paraId="620A781E" w14:textId="77777777" w:rsidR="002955D0" w:rsidRPr="00D00B26" w:rsidRDefault="002955D0" w:rsidP="002955D0">
            <w:pPr>
              <w:shd w:val="clear" w:color="auto" w:fill="FFFFFF"/>
              <w:ind w:left="130" w:firstLine="130"/>
              <w:jc w:val="both"/>
              <w:rPr>
                <w:sz w:val="20"/>
                <w:szCs w:val="20"/>
              </w:rPr>
            </w:pPr>
            <w:r w:rsidRPr="00D00B26">
              <w:rPr>
                <w:sz w:val="20"/>
                <w:szCs w:val="20"/>
              </w:rPr>
              <w:t>1.7.</w:t>
            </w:r>
            <w:r w:rsidRPr="00D00B26">
              <w:rPr>
                <w:sz w:val="20"/>
                <w:szCs w:val="20"/>
              </w:rPr>
              <w:tab/>
              <w:t>pasākumus, lai veicinātu elektroenerģijas ražošanu no biomasas;</w:t>
            </w:r>
          </w:p>
          <w:p w14:paraId="46AF0139" w14:textId="77777777" w:rsidR="002955D0" w:rsidRPr="00D00B26" w:rsidRDefault="002955D0" w:rsidP="002955D0">
            <w:pPr>
              <w:shd w:val="clear" w:color="auto" w:fill="FFFFFF"/>
              <w:ind w:left="130" w:firstLine="130"/>
              <w:jc w:val="both"/>
              <w:rPr>
                <w:sz w:val="20"/>
                <w:szCs w:val="20"/>
              </w:rPr>
            </w:pPr>
            <w:r w:rsidRPr="00D00B26">
              <w:rPr>
                <w:sz w:val="20"/>
                <w:szCs w:val="20"/>
              </w:rPr>
              <w:t>1.8.</w:t>
            </w:r>
            <w:r w:rsidRPr="00D00B26">
              <w:rPr>
                <w:sz w:val="20"/>
                <w:szCs w:val="20"/>
              </w:rPr>
              <w:tab/>
              <w:t>kārtību, kādā aptur valsts atbalsta izmaksu;</w:t>
            </w:r>
          </w:p>
          <w:p w14:paraId="42CEB7E1" w14:textId="77777777" w:rsidR="002955D0" w:rsidRPr="00D00B26" w:rsidRDefault="002955D0" w:rsidP="002955D0">
            <w:pPr>
              <w:shd w:val="clear" w:color="auto" w:fill="FFFFFF"/>
              <w:ind w:left="130" w:firstLine="130"/>
              <w:jc w:val="both"/>
              <w:rPr>
                <w:sz w:val="20"/>
                <w:szCs w:val="20"/>
              </w:rPr>
            </w:pPr>
            <w:r w:rsidRPr="00D00B26">
              <w:rPr>
                <w:sz w:val="20"/>
                <w:szCs w:val="20"/>
              </w:rPr>
              <w:t>1.9.</w:t>
            </w:r>
            <w:r w:rsidRPr="00D00B26">
              <w:rPr>
                <w:sz w:val="20"/>
                <w:szCs w:val="20"/>
              </w:rPr>
              <w:tab/>
              <w:t xml:space="preserve">pārkāpumus, par kuriem atceļamas tiesības pārdot no atjaunojamiem energoresursiem saražoto </w:t>
            </w:r>
            <w:r w:rsidRPr="00D00B26">
              <w:rPr>
                <w:sz w:val="20"/>
                <w:szCs w:val="20"/>
              </w:rPr>
              <w:lastRenderedPageBreak/>
              <w:t>elektroenerģiju obligātā iepirkuma ietvaros, kā arī kārtību, kādā tās atceļamas;</w:t>
            </w:r>
          </w:p>
          <w:p w14:paraId="0F711A38" w14:textId="77777777" w:rsidR="002955D0" w:rsidRPr="00D00B26" w:rsidRDefault="002955D0" w:rsidP="002955D0">
            <w:pPr>
              <w:shd w:val="clear" w:color="auto" w:fill="FFFFFF"/>
              <w:ind w:left="130" w:firstLine="130"/>
              <w:jc w:val="both"/>
              <w:rPr>
                <w:sz w:val="20"/>
                <w:szCs w:val="20"/>
              </w:rPr>
            </w:pPr>
            <w:r w:rsidRPr="00D00B26">
              <w:rPr>
                <w:sz w:val="20"/>
                <w:szCs w:val="20"/>
              </w:rPr>
              <w:t>1.10.</w:t>
            </w:r>
            <w:r w:rsidRPr="00D00B26">
              <w:rPr>
                <w:sz w:val="20"/>
                <w:szCs w:val="20"/>
              </w:rPr>
              <w:tab/>
              <w:t>kārtību, kādā Būvniecības valsts kontroles birojs (turpmāk – birojs) pārbauda lietderīgās siltumenerģijas izmantošanu, lai nodrošinātu atbilstību normatīvajos aktos noteiktajiem valsts atbalsta saņemšanas nosacījumiem;</w:t>
            </w:r>
          </w:p>
          <w:p w14:paraId="0C9F6286" w14:textId="010783E8" w:rsidR="00AD780B" w:rsidRPr="00D00B26" w:rsidRDefault="002955D0" w:rsidP="002955D0">
            <w:pPr>
              <w:shd w:val="clear" w:color="auto" w:fill="FFFFFF"/>
              <w:ind w:left="130" w:firstLine="130"/>
              <w:jc w:val="both"/>
              <w:rPr>
                <w:sz w:val="20"/>
                <w:szCs w:val="20"/>
              </w:rPr>
            </w:pPr>
            <w:r w:rsidRPr="00D00B26">
              <w:rPr>
                <w:sz w:val="20"/>
                <w:szCs w:val="20"/>
              </w:rPr>
              <w:t>1.11.</w:t>
            </w:r>
            <w:r w:rsidRPr="00D00B26">
              <w:rPr>
                <w:sz w:val="20"/>
                <w:szCs w:val="20"/>
              </w:rPr>
              <w:tab/>
              <w:t>nosacījumus un metodiku nepamatoti vai nelikumīgi saņemtā valsts atbalsta atgūšanai par elektroenerģijas ražošanu no atjaunojamiem energoresursiem;</w:t>
            </w:r>
          </w:p>
        </w:tc>
        <w:tc>
          <w:tcPr>
            <w:tcW w:w="1388" w:type="dxa"/>
            <w:gridSpan w:val="2"/>
          </w:tcPr>
          <w:p w14:paraId="5993775C" w14:textId="77777777" w:rsidR="00AD780B" w:rsidRPr="00D00B26" w:rsidRDefault="00AD780B" w:rsidP="00A9367F">
            <w:pPr>
              <w:jc w:val="both"/>
              <w:rPr>
                <w:sz w:val="20"/>
                <w:szCs w:val="20"/>
              </w:rPr>
            </w:pPr>
          </w:p>
        </w:tc>
      </w:tr>
      <w:tr w:rsidR="00005950" w:rsidRPr="00D00B26" w14:paraId="3723AA4E"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F38E418" w14:textId="77777777" w:rsidR="00005950" w:rsidRPr="00D00B26" w:rsidRDefault="00005950"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E80D4" w14:textId="77777777" w:rsidR="00005950" w:rsidRPr="0081357B" w:rsidRDefault="00005950" w:rsidP="00005950">
            <w:pPr>
              <w:shd w:val="clear" w:color="auto" w:fill="FFFFFF"/>
              <w:ind w:firstLine="300"/>
              <w:jc w:val="both"/>
              <w:rPr>
                <w:sz w:val="20"/>
                <w:szCs w:val="20"/>
              </w:rPr>
            </w:pPr>
            <w:r w:rsidRPr="0081357B">
              <w:rPr>
                <w:sz w:val="20"/>
                <w:szCs w:val="20"/>
              </w:rPr>
              <w:t>3. Obligātā iepirkuma tiesības komersantiem ir attiecināmas uz elektroenerģiju, kas ražota no šādiem atjaunojamiem energoresursiem:</w:t>
            </w:r>
          </w:p>
          <w:p w14:paraId="5541108B" w14:textId="72E7DECE" w:rsidR="00005950" w:rsidRPr="0081357B" w:rsidRDefault="00005950" w:rsidP="00005950">
            <w:pPr>
              <w:shd w:val="clear" w:color="auto" w:fill="FFFFFF"/>
              <w:ind w:left="600" w:firstLine="300"/>
              <w:jc w:val="both"/>
              <w:rPr>
                <w:sz w:val="20"/>
                <w:szCs w:val="20"/>
              </w:rPr>
            </w:pPr>
            <w:r w:rsidRPr="0081357B">
              <w:rPr>
                <w:sz w:val="20"/>
                <w:szCs w:val="20"/>
              </w:rPr>
              <w:t>…</w:t>
            </w:r>
          </w:p>
          <w:p w14:paraId="3C2481EF" w14:textId="77777777" w:rsidR="00005950" w:rsidRPr="0081357B" w:rsidRDefault="00005950" w:rsidP="00005950">
            <w:pPr>
              <w:shd w:val="clear" w:color="auto" w:fill="FFFFFF"/>
              <w:ind w:left="600" w:firstLine="300"/>
              <w:jc w:val="both"/>
              <w:rPr>
                <w:sz w:val="20"/>
                <w:szCs w:val="20"/>
              </w:rPr>
            </w:pPr>
            <w:r w:rsidRPr="0081357B">
              <w:rPr>
                <w:sz w:val="20"/>
                <w:szCs w:val="20"/>
              </w:rPr>
              <w:t>3.2. biogāze;</w:t>
            </w:r>
          </w:p>
          <w:p w14:paraId="449366DA" w14:textId="77777777" w:rsidR="00005950" w:rsidRPr="0081357B" w:rsidRDefault="00005950" w:rsidP="007C46F1">
            <w:pPr>
              <w:shd w:val="clear" w:color="auto" w:fill="FFFFFF"/>
              <w:ind w:firstLine="426"/>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247F88E" w14:textId="5C120645" w:rsidR="00005950" w:rsidRPr="0081357B" w:rsidRDefault="00005950" w:rsidP="00CA39E4">
            <w:pPr>
              <w:tabs>
                <w:tab w:val="left" w:pos="1134"/>
              </w:tabs>
              <w:spacing w:after="160" w:line="252" w:lineRule="auto"/>
              <w:ind w:left="126"/>
              <w:contextualSpacing/>
              <w:jc w:val="both"/>
              <w:rPr>
                <w:rFonts w:eastAsia="Calibri"/>
                <w:b/>
                <w:sz w:val="20"/>
                <w:szCs w:val="20"/>
              </w:rPr>
            </w:pPr>
            <w:r w:rsidRPr="0081357B">
              <w:rPr>
                <w:rFonts w:eastAsia="Calibri"/>
                <w:b/>
                <w:sz w:val="20"/>
                <w:szCs w:val="20"/>
              </w:rPr>
              <w:t>Vides un reģionālās attīstības ministrija (26.08.2020.) iebildums</w:t>
            </w:r>
          </w:p>
          <w:p w14:paraId="65DD9608" w14:textId="0E171D8E" w:rsidR="00005950" w:rsidRPr="0081357B" w:rsidRDefault="00005950" w:rsidP="00CA39E4">
            <w:pPr>
              <w:tabs>
                <w:tab w:val="left" w:pos="1134"/>
              </w:tabs>
              <w:spacing w:after="160" w:line="252" w:lineRule="auto"/>
              <w:ind w:left="126"/>
              <w:contextualSpacing/>
              <w:jc w:val="both"/>
              <w:rPr>
                <w:rFonts w:eastAsia="Calibri"/>
                <w:b/>
                <w:sz w:val="20"/>
                <w:szCs w:val="20"/>
              </w:rPr>
            </w:pPr>
            <w:r w:rsidRPr="0081357B">
              <w:rPr>
                <w:sz w:val="20"/>
                <w:szCs w:val="20"/>
              </w:rPr>
              <w:t>Papildināt AER noteikumu 3. punktu ar jaunu apakšpunktu šādā redakcijā: “3.6. poligonu gāze, atbilstoši normatīvajiem aktiem par atkritumu poligonu ierīkošanu, atkritumu poligonu un izgāztuvju apsaimniekošanu, slēgšanu un rekultivāciju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0607003" w14:textId="77777777" w:rsidR="00005950" w:rsidRPr="0081357B" w:rsidRDefault="00005950" w:rsidP="00A9367F">
            <w:pPr>
              <w:pStyle w:val="naisc"/>
              <w:spacing w:before="0" w:after="0"/>
              <w:rPr>
                <w:b/>
                <w:sz w:val="20"/>
                <w:szCs w:val="20"/>
              </w:rPr>
            </w:pPr>
            <w:r w:rsidRPr="0081357B">
              <w:rPr>
                <w:b/>
                <w:sz w:val="20"/>
                <w:szCs w:val="20"/>
              </w:rPr>
              <w:t>Iebildums daļēji ņemts vērā</w:t>
            </w:r>
          </w:p>
          <w:p w14:paraId="00D18CC6" w14:textId="28CEA04D" w:rsidR="00005950" w:rsidRPr="0081357B" w:rsidRDefault="00005950" w:rsidP="00005950">
            <w:pPr>
              <w:pStyle w:val="naisc"/>
              <w:spacing w:before="0" w:after="0"/>
              <w:jc w:val="left"/>
              <w:rPr>
                <w:bCs/>
                <w:sz w:val="20"/>
                <w:szCs w:val="20"/>
              </w:rPr>
            </w:pPr>
            <w:r w:rsidRPr="0081357B">
              <w:rPr>
                <w:bCs/>
                <w:sz w:val="20"/>
                <w:szCs w:val="20"/>
              </w:rPr>
              <w:t>3.punktā ietvertajā elektrostaciju uzskaitījumā ietvertas arī elektrostacijas, kuras kā izejvielu elektroenerģijas ražošanai izmanto poligonu gāzi.</w:t>
            </w:r>
            <w:r w:rsidR="00A04DEB" w:rsidRPr="0081357B">
              <w:rPr>
                <w:bCs/>
                <w:sz w:val="20"/>
                <w:szCs w:val="20"/>
              </w:rPr>
              <w:t xml:space="preserve"> Vienlaikus papildināta anotācija.</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D09052" w14:textId="1B58CD86" w:rsidR="00005950" w:rsidRPr="0081357B" w:rsidRDefault="00005950" w:rsidP="00005950">
            <w:pPr>
              <w:shd w:val="clear" w:color="auto" w:fill="FFFFFF"/>
              <w:suppressAutoHyphens/>
              <w:autoSpaceDN w:val="0"/>
              <w:jc w:val="both"/>
              <w:textAlignment w:val="baseline"/>
              <w:rPr>
                <w:sz w:val="20"/>
                <w:szCs w:val="20"/>
              </w:rPr>
            </w:pPr>
            <w:r w:rsidRPr="0081357B">
              <w:rPr>
                <w:sz w:val="20"/>
                <w:szCs w:val="20"/>
              </w:rPr>
              <w:t>3. Obligātā iepirkuma tiesības komersantiem ir attiecināmas uz elektroenerģiju, kas ražota no šādiem atjaunojamiem energoresursiem:</w:t>
            </w:r>
          </w:p>
          <w:p w14:paraId="38D144FA" w14:textId="007DFB45" w:rsidR="00005950" w:rsidRPr="0081357B" w:rsidRDefault="00005950" w:rsidP="00005950">
            <w:pPr>
              <w:shd w:val="clear" w:color="auto" w:fill="FFFFFF"/>
              <w:suppressAutoHyphens/>
              <w:autoSpaceDN w:val="0"/>
              <w:jc w:val="both"/>
              <w:textAlignment w:val="baseline"/>
              <w:rPr>
                <w:sz w:val="20"/>
                <w:szCs w:val="20"/>
              </w:rPr>
            </w:pPr>
            <w:r w:rsidRPr="0081357B">
              <w:rPr>
                <w:sz w:val="20"/>
                <w:szCs w:val="20"/>
              </w:rPr>
              <w:t>…</w:t>
            </w:r>
          </w:p>
          <w:p w14:paraId="5CFBFD33" w14:textId="77777777" w:rsidR="00005950" w:rsidRPr="0081357B" w:rsidRDefault="00005950" w:rsidP="00005950">
            <w:pPr>
              <w:pStyle w:val="ListParagraph"/>
              <w:numPr>
                <w:ilvl w:val="1"/>
                <w:numId w:val="39"/>
              </w:numPr>
              <w:shd w:val="clear" w:color="auto" w:fill="FFFFFF"/>
              <w:suppressAutoHyphens/>
              <w:autoSpaceDN w:val="0"/>
              <w:jc w:val="both"/>
              <w:textAlignment w:val="baseline"/>
              <w:rPr>
                <w:rFonts w:ascii="Times New Roman" w:hAnsi="Times New Roman"/>
                <w:sz w:val="20"/>
                <w:szCs w:val="20"/>
              </w:rPr>
            </w:pPr>
            <w:bookmarkStart w:id="13" w:name="_Ref48917486"/>
            <w:r w:rsidRPr="0081357B">
              <w:rPr>
                <w:rFonts w:ascii="Times New Roman" w:hAnsi="Times New Roman"/>
                <w:sz w:val="20"/>
                <w:szCs w:val="20"/>
              </w:rPr>
              <w:t>biogāze, tostarp poligonu gāze;</w:t>
            </w:r>
            <w:bookmarkEnd w:id="13"/>
          </w:p>
          <w:p w14:paraId="668C3A82" w14:textId="21804EA9" w:rsidR="00EF5499" w:rsidRPr="0081357B" w:rsidRDefault="00EF5499" w:rsidP="00EF5499">
            <w:pPr>
              <w:shd w:val="clear" w:color="auto" w:fill="FFFFFF"/>
              <w:suppressAutoHyphens/>
              <w:autoSpaceDN w:val="0"/>
              <w:jc w:val="both"/>
              <w:textAlignment w:val="baseline"/>
              <w:rPr>
                <w:sz w:val="20"/>
                <w:szCs w:val="20"/>
              </w:rPr>
            </w:pPr>
            <w:r w:rsidRPr="0081357B">
              <w:rPr>
                <w:sz w:val="20"/>
                <w:szCs w:val="20"/>
              </w:rPr>
              <w:t>Projekta anotācijas I sadaļas 2. punkts papildināts šādā redakcijā:</w:t>
            </w:r>
          </w:p>
          <w:p w14:paraId="02122F92" w14:textId="5EACCE9C" w:rsidR="00EF5499" w:rsidRPr="0081357B" w:rsidRDefault="00EF5499" w:rsidP="00EF5499">
            <w:pPr>
              <w:spacing w:before="120"/>
              <w:ind w:right="115"/>
              <w:jc w:val="both"/>
              <w:rPr>
                <w:sz w:val="20"/>
                <w:szCs w:val="20"/>
              </w:rPr>
            </w:pPr>
            <w:r w:rsidRPr="0081357B">
              <w:rPr>
                <w:sz w:val="20"/>
                <w:szCs w:val="20"/>
              </w:rPr>
              <w:t>“Šo noteikumu kontekstā jēdziens “poligonu gāze” tiek lietots atbilstoši normatīvajiem aktiem par atkritumu poligonu ierīkošanu, atkritumu poligonu un izgāztuvju apsaimniekošanu, slēgšanu un rekultivāciju.”</w:t>
            </w:r>
          </w:p>
        </w:tc>
        <w:tc>
          <w:tcPr>
            <w:tcW w:w="1388" w:type="dxa"/>
            <w:gridSpan w:val="2"/>
          </w:tcPr>
          <w:p w14:paraId="0EB7AAE4" w14:textId="77777777" w:rsidR="00005950" w:rsidRPr="00D00B26" w:rsidRDefault="00005950" w:rsidP="00A9367F">
            <w:pPr>
              <w:jc w:val="both"/>
              <w:rPr>
                <w:sz w:val="20"/>
                <w:szCs w:val="20"/>
              </w:rPr>
            </w:pPr>
          </w:p>
        </w:tc>
      </w:tr>
      <w:tr w:rsidR="00E13DF9" w:rsidRPr="00D00B26" w14:paraId="5EDF7A3C"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DB8384D" w14:textId="77777777" w:rsidR="001428DA" w:rsidRPr="00D00B26" w:rsidRDefault="001428DA"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042734" w14:textId="75B5DC8F" w:rsidR="007C46F1" w:rsidRPr="00D00B26" w:rsidRDefault="007C46F1" w:rsidP="007C46F1">
            <w:pPr>
              <w:shd w:val="clear" w:color="auto" w:fill="FFFFFF"/>
              <w:ind w:firstLine="426"/>
              <w:jc w:val="both"/>
              <w:rPr>
                <w:sz w:val="20"/>
                <w:szCs w:val="20"/>
              </w:rPr>
            </w:pPr>
            <w:r w:rsidRPr="00D00B26">
              <w:rPr>
                <w:sz w:val="20"/>
                <w:szCs w:val="20"/>
              </w:rPr>
              <w:t>10. Ministrijai ir tiesības pārskatīt vai ierosināt pārskatīt šajos noteikumos iekļauto formulu pamatotību un atbilstību elektroenerģijas tirgus situācijai un neatbilstības gadījumā normatīvajos aktos noteiktā kārtībā sniegt priekšlikumus attiecīgiem grozījumiem</w:t>
            </w:r>
            <w:r w:rsidR="00FF30C0" w:rsidRPr="00D00B26">
              <w:rPr>
                <w:sz w:val="20"/>
                <w:szCs w:val="20"/>
              </w:rPr>
              <w:t>.</w:t>
            </w:r>
          </w:p>
          <w:p w14:paraId="6401F43A" w14:textId="77777777" w:rsidR="00FF30C0" w:rsidRPr="00D00B26" w:rsidRDefault="00FF30C0" w:rsidP="007C46F1">
            <w:pPr>
              <w:shd w:val="clear" w:color="auto" w:fill="FFFFFF"/>
              <w:ind w:firstLine="426"/>
              <w:jc w:val="both"/>
              <w:rPr>
                <w:b/>
                <w:sz w:val="20"/>
                <w:szCs w:val="20"/>
              </w:rPr>
            </w:pPr>
          </w:p>
          <w:p w14:paraId="0F54C016" w14:textId="141CC633" w:rsidR="001428DA" w:rsidRPr="00D00B26" w:rsidRDefault="00036F3C" w:rsidP="00036F3C">
            <w:pPr>
              <w:shd w:val="clear" w:color="auto" w:fill="FFFFFF"/>
              <w:ind w:firstLine="300"/>
              <w:jc w:val="both"/>
              <w:rPr>
                <w:sz w:val="20"/>
                <w:szCs w:val="20"/>
              </w:rPr>
            </w:pPr>
            <w:r w:rsidRPr="00D00B26">
              <w:rPr>
                <w:sz w:val="20"/>
                <w:szCs w:val="20"/>
              </w:rPr>
              <w:t>61. Lai nodrošinātu valsts atbalsta samērīgumu, ministrija vai ministrija pēc biroja ierosinājuma var ierosināt pārskatīt šo noteikumu </w:t>
            </w:r>
            <w:hyperlink r:id="rId8" w:anchor="piel10" w:history="1">
              <w:r w:rsidRPr="00D00B26">
                <w:rPr>
                  <w:sz w:val="20"/>
                  <w:szCs w:val="20"/>
                </w:rPr>
                <w:t>6.</w:t>
              </w:r>
            </w:hyperlink>
            <w:r w:rsidRPr="00D00B26">
              <w:rPr>
                <w:sz w:val="20"/>
                <w:szCs w:val="20"/>
              </w:rPr>
              <w:t xml:space="preserve"> pielikuma 1., 2., 4., 5. </w:t>
            </w:r>
            <w:r w:rsidRPr="00D00B26">
              <w:rPr>
                <w:sz w:val="20"/>
                <w:szCs w:val="20"/>
              </w:rPr>
              <w:lastRenderedPageBreak/>
              <w:t>vai 7. tabulā minēto vērtību pamatotību un atbilstību faktiskajai tirgus situācijai.</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0564616" w14:textId="41D3869B" w:rsidR="001428DA" w:rsidRPr="00D00B26" w:rsidRDefault="71297490" w:rsidP="00CA39E4">
            <w:pPr>
              <w:tabs>
                <w:tab w:val="left" w:pos="1134"/>
              </w:tabs>
              <w:spacing w:after="160" w:line="252" w:lineRule="auto"/>
              <w:ind w:left="126"/>
              <w:contextualSpacing/>
              <w:jc w:val="both"/>
              <w:rPr>
                <w:rFonts w:eastAsia="Calibri"/>
                <w:b/>
                <w:sz w:val="20"/>
                <w:szCs w:val="20"/>
              </w:rPr>
            </w:pPr>
            <w:r w:rsidRPr="00D00B26">
              <w:rPr>
                <w:rFonts w:eastAsia="Calibri"/>
                <w:b/>
                <w:sz w:val="20"/>
                <w:szCs w:val="20"/>
              </w:rPr>
              <w:lastRenderedPageBreak/>
              <w:t>Tieslietu ministrija (17.08.2020.</w:t>
            </w:r>
            <w:r w:rsidR="4E25EAD4" w:rsidRPr="00D00B26">
              <w:rPr>
                <w:rFonts w:eastAsia="Calibri"/>
                <w:b/>
                <w:sz w:val="20"/>
                <w:szCs w:val="20"/>
              </w:rPr>
              <w:t xml:space="preserve"> iebildums</w:t>
            </w:r>
            <w:r w:rsidRPr="00D00B26">
              <w:rPr>
                <w:rFonts w:eastAsia="Calibri"/>
                <w:b/>
                <w:sz w:val="20"/>
                <w:szCs w:val="20"/>
              </w:rPr>
              <w:t>)</w:t>
            </w:r>
          </w:p>
          <w:p w14:paraId="4159C4DD" w14:textId="111088A0" w:rsidR="001428DA" w:rsidRPr="00D00B26" w:rsidRDefault="4E25EAD4" w:rsidP="00CA39E4">
            <w:pPr>
              <w:tabs>
                <w:tab w:val="left" w:pos="1134"/>
              </w:tabs>
              <w:spacing w:after="160" w:line="252" w:lineRule="auto"/>
              <w:ind w:left="126"/>
              <w:contextualSpacing/>
              <w:jc w:val="both"/>
              <w:rPr>
                <w:rFonts w:eastAsia="Calibri"/>
                <w:b/>
                <w:sz w:val="20"/>
                <w:szCs w:val="20"/>
              </w:rPr>
            </w:pPr>
            <w:r w:rsidRPr="00D00B26">
              <w:rPr>
                <w:b/>
                <w:sz w:val="20"/>
                <w:szCs w:val="20"/>
              </w:rPr>
              <w:t>Projekta 10. un 61. punktu nepieciešams svītrot, jo šādām normām nav juridiskās slodzes</w:t>
            </w:r>
            <w:r w:rsidRPr="00D00B26">
              <w:rPr>
                <w:sz w:val="20"/>
                <w:szCs w:val="20"/>
              </w:rPr>
              <w:t xml:space="preserve">. Vēršam uzmanību, ka ministrija ir iestāde, kuras kompetencē ietilpst nozares politikas veidošana, kas ir noteikta ar citiem normatīvajiem aktiem. Tādējādi projektā nav jāiekļauj regulējums par ministrijas tiesībām sekot līdzi dažādiem procesiem, </w:t>
            </w:r>
            <w:r w:rsidRPr="00D00B26">
              <w:rPr>
                <w:sz w:val="20"/>
                <w:szCs w:val="20"/>
              </w:rPr>
              <w:lastRenderedPageBreak/>
              <w:t>pārskatīt spēkā esošo tiesisko regulējumu un iniciēt grozījumus tajā.</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79BDD0F" w14:textId="77777777" w:rsidR="001428DA" w:rsidRPr="00D00B26" w:rsidRDefault="002A7ACC" w:rsidP="00A9367F">
            <w:pPr>
              <w:pStyle w:val="naisc"/>
              <w:spacing w:before="0" w:after="0"/>
              <w:rPr>
                <w:b/>
                <w:sz w:val="20"/>
                <w:szCs w:val="20"/>
              </w:rPr>
            </w:pPr>
            <w:r w:rsidRPr="00D00B26">
              <w:rPr>
                <w:b/>
                <w:sz w:val="20"/>
                <w:szCs w:val="20"/>
              </w:rPr>
              <w:lastRenderedPageBreak/>
              <w:t xml:space="preserve">Iebildums </w:t>
            </w:r>
            <w:r w:rsidR="001C08D9" w:rsidRPr="00D00B26">
              <w:rPr>
                <w:b/>
                <w:sz w:val="20"/>
                <w:szCs w:val="20"/>
              </w:rPr>
              <w:t>daļēji</w:t>
            </w:r>
            <w:r w:rsidRPr="00D00B26">
              <w:rPr>
                <w:b/>
                <w:sz w:val="20"/>
                <w:szCs w:val="20"/>
              </w:rPr>
              <w:t xml:space="preserve"> ņemts vērā.</w:t>
            </w:r>
          </w:p>
          <w:p w14:paraId="2BE226F5" w14:textId="30FB5151" w:rsidR="00B61330" w:rsidRPr="00D00B26" w:rsidRDefault="0067049E" w:rsidP="00FE3C72">
            <w:pPr>
              <w:pStyle w:val="naisc"/>
              <w:spacing w:before="0" w:after="0"/>
              <w:jc w:val="left"/>
              <w:rPr>
                <w:sz w:val="20"/>
                <w:szCs w:val="20"/>
              </w:rPr>
            </w:pPr>
            <w:r w:rsidRPr="00D00B26">
              <w:rPr>
                <w:sz w:val="20"/>
                <w:szCs w:val="20"/>
              </w:rPr>
              <w:t>A</w:t>
            </w:r>
            <w:r w:rsidR="002D51DD" w:rsidRPr="00D00B26">
              <w:rPr>
                <w:sz w:val="20"/>
                <w:szCs w:val="20"/>
              </w:rPr>
              <w:t>ttiecīg</w:t>
            </w:r>
            <w:r w:rsidR="000D1A72" w:rsidRPr="00D00B26">
              <w:rPr>
                <w:sz w:val="20"/>
                <w:szCs w:val="20"/>
              </w:rPr>
              <w:t>ā</w:t>
            </w:r>
            <w:r w:rsidR="002D51DD" w:rsidRPr="00D00B26">
              <w:rPr>
                <w:sz w:val="20"/>
                <w:szCs w:val="20"/>
              </w:rPr>
              <w:t xml:space="preserve">s normas </w:t>
            </w:r>
            <w:r w:rsidR="00554DB0" w:rsidRPr="00D00B26">
              <w:rPr>
                <w:sz w:val="20"/>
                <w:szCs w:val="20"/>
              </w:rPr>
              <w:t xml:space="preserve">ir </w:t>
            </w:r>
            <w:r w:rsidR="003D7AED" w:rsidRPr="00D00B26">
              <w:rPr>
                <w:sz w:val="20"/>
                <w:szCs w:val="20"/>
              </w:rPr>
              <w:t>iekļauta</w:t>
            </w:r>
            <w:r w:rsidR="00F810EC" w:rsidRPr="00D00B26">
              <w:rPr>
                <w:sz w:val="20"/>
                <w:szCs w:val="20"/>
              </w:rPr>
              <w:t xml:space="preserve">s esošajā noteikumu redakcijā un </w:t>
            </w:r>
            <w:r w:rsidR="00570EFB" w:rsidRPr="00D00B26">
              <w:rPr>
                <w:sz w:val="20"/>
                <w:szCs w:val="20"/>
              </w:rPr>
              <w:t xml:space="preserve">Ekonomikas ministrija piedāvā tās saglabāt arī </w:t>
            </w:r>
            <w:proofErr w:type="spellStart"/>
            <w:r w:rsidR="00570EFB" w:rsidRPr="00D00B26">
              <w:rPr>
                <w:sz w:val="20"/>
                <w:szCs w:val="20"/>
              </w:rPr>
              <w:t>pārizdodot</w:t>
            </w:r>
            <w:proofErr w:type="spellEnd"/>
            <w:r w:rsidR="00570EFB" w:rsidRPr="00D00B26">
              <w:rPr>
                <w:sz w:val="20"/>
                <w:szCs w:val="20"/>
              </w:rPr>
              <w:t xml:space="preserve"> noteikumus. </w:t>
            </w:r>
            <w:r w:rsidR="00570BBA" w:rsidRPr="00D00B26">
              <w:rPr>
                <w:sz w:val="20"/>
                <w:szCs w:val="20"/>
              </w:rPr>
              <w:t>Šīs normas pēc būtības</w:t>
            </w:r>
            <w:r w:rsidR="00C252D1" w:rsidRPr="00D00B26">
              <w:rPr>
                <w:sz w:val="20"/>
                <w:szCs w:val="20"/>
              </w:rPr>
              <w:t xml:space="preserve"> ir atbalsta sistēmas </w:t>
            </w:r>
            <w:r w:rsidR="00E36486" w:rsidRPr="00D00B26">
              <w:rPr>
                <w:sz w:val="20"/>
                <w:szCs w:val="20"/>
              </w:rPr>
              <w:t>sastāvdaļa</w:t>
            </w:r>
            <w:r w:rsidR="00C252D1" w:rsidRPr="00D00B26">
              <w:rPr>
                <w:sz w:val="20"/>
                <w:szCs w:val="20"/>
              </w:rPr>
              <w:t xml:space="preserve">, </w:t>
            </w:r>
            <w:r w:rsidR="006D14AE" w:rsidRPr="00D00B26">
              <w:rPr>
                <w:sz w:val="20"/>
                <w:szCs w:val="20"/>
              </w:rPr>
              <w:t>kas ļauj</w:t>
            </w:r>
            <w:r w:rsidR="00F810EC" w:rsidRPr="00D00B26">
              <w:rPr>
                <w:sz w:val="20"/>
                <w:szCs w:val="20"/>
              </w:rPr>
              <w:t xml:space="preserve"> </w:t>
            </w:r>
            <w:r w:rsidR="00D32DA1" w:rsidRPr="00D00B26">
              <w:rPr>
                <w:sz w:val="20"/>
                <w:szCs w:val="20"/>
              </w:rPr>
              <w:t>mainīt valsts at</w:t>
            </w:r>
            <w:r w:rsidR="008C7D64" w:rsidRPr="00D00B26">
              <w:rPr>
                <w:sz w:val="20"/>
                <w:szCs w:val="20"/>
              </w:rPr>
              <w:t>balsta nosacījumus</w:t>
            </w:r>
            <w:r w:rsidR="000B5E1A" w:rsidRPr="00D00B26">
              <w:rPr>
                <w:sz w:val="20"/>
                <w:szCs w:val="20"/>
              </w:rPr>
              <w:t>. Tādējādi komersantam nevar rasties ties</w:t>
            </w:r>
            <w:r w:rsidR="005B69B0" w:rsidRPr="00D00B26">
              <w:rPr>
                <w:sz w:val="20"/>
                <w:szCs w:val="20"/>
              </w:rPr>
              <w:t>is</w:t>
            </w:r>
            <w:r w:rsidR="000B5E1A" w:rsidRPr="00D00B26">
              <w:rPr>
                <w:sz w:val="20"/>
                <w:szCs w:val="20"/>
              </w:rPr>
              <w:t>kā paļāvība, ka attiecīgie nosacījumi</w:t>
            </w:r>
            <w:r w:rsidR="005B69B0" w:rsidRPr="00D00B26">
              <w:rPr>
                <w:sz w:val="20"/>
                <w:szCs w:val="20"/>
              </w:rPr>
              <w:t xml:space="preserve"> nevar tik mainīti.</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481F46" w14:textId="7013D26E" w:rsidR="001428DA" w:rsidRPr="00D00B26" w:rsidRDefault="00FE6076" w:rsidP="00A9367F">
            <w:pPr>
              <w:shd w:val="clear" w:color="auto" w:fill="FFFFFF"/>
              <w:spacing w:after="120"/>
              <w:jc w:val="both"/>
              <w:rPr>
                <w:sz w:val="20"/>
                <w:szCs w:val="20"/>
              </w:rPr>
            </w:pPr>
            <w:r w:rsidRPr="00D00B26">
              <w:rPr>
                <w:sz w:val="20"/>
                <w:szCs w:val="20"/>
              </w:rPr>
              <w:t>9. </w:t>
            </w:r>
            <w:r w:rsidR="00EB0D99" w:rsidRPr="00D00B26">
              <w:rPr>
                <w:sz w:val="20"/>
                <w:szCs w:val="20"/>
              </w:rPr>
              <w:t>Š</w:t>
            </w:r>
            <w:r w:rsidR="00EB0D99" w:rsidRPr="00D00B26" w:rsidDel="00677C31">
              <w:rPr>
                <w:sz w:val="20"/>
                <w:szCs w:val="20"/>
              </w:rPr>
              <w:t>ajos noteikumos iekļauto formulu pamatotīb</w:t>
            </w:r>
            <w:r w:rsidR="00EB0D99" w:rsidRPr="00D00B26">
              <w:rPr>
                <w:sz w:val="20"/>
                <w:szCs w:val="20"/>
              </w:rPr>
              <w:t>a</w:t>
            </w:r>
            <w:r w:rsidR="00EB0D99" w:rsidRPr="00D00B26" w:rsidDel="00677C31">
              <w:rPr>
                <w:sz w:val="20"/>
                <w:szCs w:val="20"/>
              </w:rPr>
              <w:t xml:space="preserve"> un atbilstīb</w:t>
            </w:r>
            <w:r w:rsidR="00EB0D99" w:rsidRPr="00D00B26">
              <w:rPr>
                <w:sz w:val="20"/>
                <w:szCs w:val="20"/>
              </w:rPr>
              <w:t>a</w:t>
            </w:r>
            <w:r w:rsidR="00EB0D99" w:rsidRPr="00D00B26" w:rsidDel="00677C31">
              <w:rPr>
                <w:sz w:val="20"/>
                <w:szCs w:val="20"/>
              </w:rPr>
              <w:t xml:space="preserve"> elektroenerģijas tirgus situācijai </w:t>
            </w:r>
            <w:r w:rsidR="00EB0D99" w:rsidRPr="00D00B26">
              <w:rPr>
                <w:sz w:val="20"/>
                <w:szCs w:val="20"/>
              </w:rPr>
              <w:t xml:space="preserve">var tikt pārskatīta, </w:t>
            </w:r>
            <w:r w:rsidR="00EB0D99" w:rsidRPr="00D00B26" w:rsidDel="00677C31">
              <w:rPr>
                <w:sz w:val="20"/>
                <w:szCs w:val="20"/>
              </w:rPr>
              <w:t xml:space="preserve">un neatbilstības gadījumā normatīvajos aktos noteiktā kārtībā </w:t>
            </w:r>
            <w:r w:rsidR="00EB0D99" w:rsidRPr="00D00B26">
              <w:rPr>
                <w:sz w:val="20"/>
                <w:szCs w:val="20"/>
              </w:rPr>
              <w:t>tās var tikt grozītas</w:t>
            </w:r>
          </w:p>
          <w:p w14:paraId="207F83AB" w14:textId="77777777" w:rsidR="009C2095" w:rsidRPr="00D00B26" w:rsidRDefault="009C2095" w:rsidP="009C2095">
            <w:pPr>
              <w:shd w:val="clear" w:color="auto" w:fill="FFFFFF"/>
              <w:jc w:val="both"/>
              <w:rPr>
                <w:sz w:val="20"/>
                <w:szCs w:val="20"/>
              </w:rPr>
            </w:pPr>
          </w:p>
          <w:p w14:paraId="339C0F7B" w14:textId="46615ED2" w:rsidR="003B1577" w:rsidRPr="00D00B26" w:rsidRDefault="009C2095" w:rsidP="009C2095">
            <w:pPr>
              <w:shd w:val="clear" w:color="auto" w:fill="FFFFFF"/>
              <w:jc w:val="both"/>
              <w:rPr>
                <w:sz w:val="20"/>
                <w:szCs w:val="20"/>
              </w:rPr>
            </w:pPr>
            <w:r w:rsidRPr="00D00B26">
              <w:rPr>
                <w:sz w:val="20"/>
                <w:szCs w:val="20"/>
              </w:rPr>
              <w:t>Projekta 61. punkts svītrots.</w:t>
            </w:r>
          </w:p>
          <w:p w14:paraId="1DFD4239" w14:textId="1055BD34" w:rsidR="0051760D" w:rsidRPr="00D00B26" w:rsidRDefault="0051760D" w:rsidP="00A9367F">
            <w:pPr>
              <w:shd w:val="clear" w:color="auto" w:fill="FFFFFF"/>
              <w:spacing w:after="120"/>
              <w:jc w:val="both"/>
              <w:rPr>
                <w:sz w:val="20"/>
                <w:szCs w:val="20"/>
              </w:rPr>
            </w:pPr>
          </w:p>
        </w:tc>
        <w:tc>
          <w:tcPr>
            <w:tcW w:w="1388" w:type="dxa"/>
            <w:gridSpan w:val="2"/>
          </w:tcPr>
          <w:p w14:paraId="17E2478C" w14:textId="77777777" w:rsidR="001428DA" w:rsidRPr="00D00B26" w:rsidRDefault="001428DA" w:rsidP="00A9367F">
            <w:pPr>
              <w:jc w:val="both"/>
              <w:rPr>
                <w:sz w:val="20"/>
                <w:szCs w:val="20"/>
              </w:rPr>
            </w:pPr>
          </w:p>
        </w:tc>
      </w:tr>
      <w:tr w:rsidR="00E13DF9" w:rsidRPr="00D00B26" w14:paraId="1E34DECF"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117EBDE" w14:textId="77777777" w:rsidR="00E74231" w:rsidRPr="00D00B26" w:rsidRDefault="00E74231"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E94B091" w14:textId="7E815634" w:rsidR="005B5E29" w:rsidRPr="00D00B26" w:rsidRDefault="005B5E29" w:rsidP="005B5E29">
            <w:pPr>
              <w:shd w:val="clear" w:color="auto" w:fill="FFFFFF"/>
              <w:spacing w:after="120"/>
              <w:jc w:val="both"/>
              <w:rPr>
                <w:sz w:val="20"/>
                <w:szCs w:val="20"/>
              </w:rPr>
            </w:pPr>
            <w:r w:rsidRPr="00D00B26">
              <w:rPr>
                <w:sz w:val="20"/>
                <w:szCs w:val="20"/>
              </w:rPr>
              <w:t xml:space="preserve">11.15. biomasas elektrostacijām ar uzstādīto elektrisko jaudu līdz 4 MW un biogāzes elektrostacijām ar uzstādīto elektrisko jaudu 2 MW vai lielāku 10 gadus pēc šo noteikumu 11.5.apakšpunktā minētā termiņa šo noteikumu </w:t>
            </w:r>
            <w:hyperlink r:id="rId9" w:anchor="p61.2" w:history="1">
              <w:r w:rsidRPr="00D00B26">
                <w:rPr>
                  <w:rStyle w:val="Hyperlink"/>
                  <w:sz w:val="20"/>
                  <w:szCs w:val="20"/>
                </w:rPr>
                <w:t>49. punktā</w:t>
              </w:r>
            </w:hyperlink>
            <w:r w:rsidRPr="00D00B26">
              <w:rPr>
                <w:sz w:val="20"/>
                <w:szCs w:val="20"/>
              </w:rPr>
              <w:t> minētajā gadījumā:</w:t>
            </w:r>
          </w:p>
          <w:p w14:paraId="19467E4C" w14:textId="77777777" w:rsidR="005B5E29" w:rsidRPr="00D00B26" w:rsidRDefault="005B5E29" w:rsidP="005B5E29">
            <w:pPr>
              <w:shd w:val="clear" w:color="auto" w:fill="FFFFFF"/>
              <w:spacing w:after="120"/>
              <w:jc w:val="both"/>
              <w:rPr>
                <w:sz w:val="20"/>
                <w:szCs w:val="20"/>
              </w:rPr>
            </w:pPr>
            <w:r w:rsidRPr="00D00B26">
              <w:rPr>
                <w:i/>
                <w:iCs/>
                <w:sz w:val="20"/>
                <w:szCs w:val="20"/>
              </w:rPr>
              <w:t>C</w:t>
            </w:r>
            <w:r w:rsidRPr="00D00B26">
              <w:rPr>
                <w:sz w:val="20"/>
                <w:szCs w:val="20"/>
              </w:rPr>
              <w:t> =95,712 × </w:t>
            </w:r>
            <w:r w:rsidRPr="00D00B26">
              <w:rPr>
                <w:i/>
                <w:iCs/>
                <w:sz w:val="20"/>
                <w:szCs w:val="20"/>
              </w:rPr>
              <w:t>k</w:t>
            </w:r>
            <w:r w:rsidRPr="00D00B26">
              <w:rPr>
                <w:sz w:val="20"/>
                <w:szCs w:val="20"/>
              </w:rPr>
              <w:t> × </w:t>
            </w:r>
            <w:r w:rsidRPr="00D00B26">
              <w:rPr>
                <w:i/>
                <w:iCs/>
                <w:sz w:val="20"/>
                <w:szCs w:val="20"/>
              </w:rPr>
              <w:t>s</w:t>
            </w:r>
            <w:r w:rsidRPr="00D00B26">
              <w:rPr>
                <w:sz w:val="20"/>
                <w:szCs w:val="20"/>
              </w:rPr>
              <w:t>;</w:t>
            </w:r>
          </w:p>
          <w:p w14:paraId="2E20FD47" w14:textId="77777777" w:rsidR="00C82D85" w:rsidRPr="00D00B26" w:rsidRDefault="00C82D85" w:rsidP="00C82D85">
            <w:pPr>
              <w:shd w:val="clear" w:color="auto" w:fill="FFFFFF"/>
              <w:spacing w:after="120"/>
              <w:jc w:val="both"/>
              <w:rPr>
                <w:sz w:val="20"/>
                <w:szCs w:val="20"/>
              </w:rPr>
            </w:pPr>
            <w:r w:rsidRPr="00D00B26">
              <w:rPr>
                <w:sz w:val="20"/>
                <w:szCs w:val="20"/>
              </w:rPr>
              <w:t xml:space="preserve">11.17. biogāzes elektrostacijām ar uzstādīto elektrisko jaudu, mazāku par 2 MW, 10 gadus pēc šo noteikumu 11.9.apakšpunktā minētā termiņa šo noteikumu </w:t>
            </w:r>
            <w:hyperlink r:id="rId10" w:anchor="p61.2" w:history="1">
              <w:r w:rsidRPr="00D00B26">
                <w:rPr>
                  <w:rStyle w:val="Hyperlink"/>
                  <w:sz w:val="20"/>
                  <w:szCs w:val="20"/>
                </w:rPr>
                <w:t>49. punktā</w:t>
              </w:r>
            </w:hyperlink>
            <w:r w:rsidRPr="00D00B26">
              <w:rPr>
                <w:sz w:val="20"/>
                <w:szCs w:val="20"/>
              </w:rPr>
              <w:t> minētajā gadījumā:</w:t>
            </w:r>
          </w:p>
          <w:p w14:paraId="42A14ECE" w14:textId="77777777" w:rsidR="00C82D85" w:rsidRPr="00D00B26" w:rsidRDefault="00C82D85" w:rsidP="00C82D85">
            <w:pPr>
              <w:shd w:val="clear" w:color="auto" w:fill="FFFFFF"/>
              <w:spacing w:after="120"/>
              <w:jc w:val="both"/>
              <w:rPr>
                <w:sz w:val="20"/>
                <w:szCs w:val="20"/>
              </w:rPr>
            </w:pPr>
            <w:r w:rsidRPr="00D00B26">
              <w:rPr>
                <w:i/>
                <w:iCs/>
                <w:sz w:val="20"/>
                <w:szCs w:val="20"/>
              </w:rPr>
              <w:t>C</w:t>
            </w:r>
            <w:r w:rsidRPr="00D00B26">
              <w:rPr>
                <w:sz w:val="20"/>
                <w:szCs w:val="20"/>
              </w:rPr>
              <w:t> = 188 ×  </w:t>
            </w:r>
            <w:r w:rsidRPr="00D00B26">
              <w:rPr>
                <w:i/>
                <w:iCs/>
                <w:sz w:val="20"/>
                <w:szCs w:val="20"/>
              </w:rPr>
              <w:t>k</w:t>
            </w:r>
            <w:r w:rsidRPr="00D00B26">
              <w:rPr>
                <w:sz w:val="20"/>
                <w:szCs w:val="20"/>
              </w:rPr>
              <w:t> × 0,64 × </w:t>
            </w:r>
            <w:r w:rsidRPr="00D00B26">
              <w:rPr>
                <w:i/>
                <w:iCs/>
                <w:sz w:val="20"/>
                <w:szCs w:val="20"/>
              </w:rPr>
              <w:t>s</w:t>
            </w:r>
            <w:r w:rsidRPr="00D00B26">
              <w:rPr>
                <w:sz w:val="20"/>
                <w:szCs w:val="20"/>
              </w:rPr>
              <w:t>;</w:t>
            </w:r>
          </w:p>
          <w:p w14:paraId="780B4153" w14:textId="77777777" w:rsidR="008221D2" w:rsidRPr="00D00B26" w:rsidRDefault="008221D2" w:rsidP="008221D2">
            <w:pPr>
              <w:shd w:val="clear" w:color="auto" w:fill="FFFFFF"/>
              <w:spacing w:after="120"/>
              <w:jc w:val="both"/>
              <w:rPr>
                <w:sz w:val="20"/>
                <w:szCs w:val="20"/>
              </w:rPr>
            </w:pPr>
            <w:r w:rsidRPr="00D00B26">
              <w:rPr>
                <w:sz w:val="20"/>
                <w:szCs w:val="20"/>
              </w:rPr>
              <w:t xml:space="preserve">11.19. biomasas elektrostacijām ar uzstādīto elektrisko jaudu, lielāku par 4 MW, 10 gadus pēc šo noteikumu 11.7.apakšpunktā minētā termiņa šo noteikumu </w:t>
            </w:r>
            <w:hyperlink r:id="rId11" w:anchor="p61.2" w:history="1">
              <w:r w:rsidRPr="00D00B26">
                <w:rPr>
                  <w:rStyle w:val="Hyperlink"/>
                  <w:sz w:val="20"/>
                  <w:szCs w:val="20"/>
                </w:rPr>
                <w:t>49. punktā</w:t>
              </w:r>
            </w:hyperlink>
            <w:r w:rsidRPr="00D00B26">
              <w:rPr>
                <w:sz w:val="20"/>
                <w:szCs w:val="20"/>
              </w:rPr>
              <w:t> minētajā gadījumā:</w:t>
            </w:r>
          </w:p>
          <w:p w14:paraId="62D603B0" w14:textId="77777777" w:rsidR="008221D2" w:rsidRPr="00D00B26" w:rsidRDefault="008221D2" w:rsidP="008221D2">
            <w:pPr>
              <w:shd w:val="clear" w:color="auto" w:fill="FFFFFF"/>
              <w:spacing w:after="120"/>
              <w:jc w:val="both"/>
              <w:rPr>
                <w:sz w:val="20"/>
                <w:szCs w:val="20"/>
              </w:rPr>
            </w:pPr>
            <w:r w:rsidRPr="00D00B26">
              <w:rPr>
                <w:i/>
                <w:iCs/>
                <w:sz w:val="20"/>
                <w:szCs w:val="20"/>
              </w:rPr>
              <w:t>C</w:t>
            </w:r>
            <w:r w:rsidRPr="00D00B26">
              <w:rPr>
                <w:sz w:val="20"/>
                <w:szCs w:val="20"/>
              </w:rPr>
              <w:t> = 84,452 × </w:t>
            </w:r>
            <w:r w:rsidRPr="00D00B26">
              <w:rPr>
                <w:i/>
                <w:iCs/>
                <w:sz w:val="20"/>
                <w:szCs w:val="20"/>
              </w:rPr>
              <w:t>k</w:t>
            </w:r>
            <w:r w:rsidRPr="00D00B26">
              <w:rPr>
                <w:sz w:val="20"/>
                <w:szCs w:val="20"/>
              </w:rPr>
              <w:t> × </w:t>
            </w:r>
            <w:r w:rsidRPr="00D00B26">
              <w:rPr>
                <w:i/>
                <w:iCs/>
                <w:sz w:val="20"/>
                <w:szCs w:val="20"/>
              </w:rPr>
              <w:t>s</w:t>
            </w:r>
            <w:r w:rsidRPr="00D00B26">
              <w:rPr>
                <w:sz w:val="20"/>
                <w:szCs w:val="20"/>
              </w:rPr>
              <w:t>, kur</w:t>
            </w:r>
          </w:p>
          <w:p w14:paraId="27282AAA" w14:textId="77777777" w:rsidR="00AD4651" w:rsidRPr="00D00B26" w:rsidRDefault="00AD4651" w:rsidP="00AD4651">
            <w:pPr>
              <w:shd w:val="clear" w:color="auto" w:fill="FFFFFF"/>
              <w:spacing w:after="120"/>
              <w:jc w:val="both"/>
              <w:rPr>
                <w:sz w:val="20"/>
                <w:szCs w:val="20"/>
              </w:rPr>
            </w:pPr>
            <w:r w:rsidRPr="00D00B26">
              <w:rPr>
                <w:sz w:val="20"/>
                <w:szCs w:val="20"/>
              </w:rPr>
              <w:t>69. Birojs lēmumā, ar kuru šo noteikumu 41.5. vai 42.1. apakšpunktā, 33., 53. vai 54. punktā minētajos gadījumos atceļ komersantam piešķirtās obligātā iepirkuma tiesības, nosaka pienākumu mēneša laikā no lēmuma spēkā stāšanās dienas atmaksāt publiskajam tirgotājam saņemto nepamatoto valsts atbalstu:</w:t>
            </w:r>
          </w:p>
          <w:p w14:paraId="4AF98A82" w14:textId="77777777" w:rsidR="00AD4651" w:rsidRPr="00D00B26" w:rsidRDefault="00AD4651" w:rsidP="00AD4651">
            <w:pPr>
              <w:shd w:val="clear" w:color="auto" w:fill="FFFFFF"/>
              <w:spacing w:after="120"/>
              <w:jc w:val="both"/>
              <w:rPr>
                <w:sz w:val="20"/>
                <w:szCs w:val="20"/>
              </w:rPr>
            </w:pPr>
            <w:r w:rsidRPr="00D00B26">
              <w:rPr>
                <w:sz w:val="20"/>
                <w:szCs w:val="20"/>
              </w:rPr>
              <w:t xml:space="preserve">69.1. šo noteikumu 41.5. vai 42.1. apakšpunktā minētajā gadījumā – valsts atbalstu par elektroenerģijas pārdošanu obligātā iepirkuma ietvaros, </w:t>
            </w:r>
            <w:r w:rsidRPr="00D00B26">
              <w:rPr>
                <w:sz w:val="20"/>
                <w:szCs w:val="20"/>
              </w:rPr>
              <w:lastRenderedPageBreak/>
              <w:t>ko publiskais tirgotājs izmaksājis par periodu kopš šo noteikumu 32. punktā minētā pēdējā gada pārskata iesniegšanas termiņa;</w:t>
            </w:r>
          </w:p>
          <w:p w14:paraId="62437364" w14:textId="77777777" w:rsidR="00AD4651" w:rsidRPr="00D00B26" w:rsidRDefault="00AD4651" w:rsidP="00AD4651">
            <w:pPr>
              <w:shd w:val="clear" w:color="auto" w:fill="FFFFFF"/>
              <w:spacing w:after="120"/>
              <w:jc w:val="both"/>
              <w:rPr>
                <w:sz w:val="20"/>
                <w:szCs w:val="20"/>
              </w:rPr>
            </w:pPr>
            <w:r w:rsidRPr="00D00B26">
              <w:rPr>
                <w:sz w:val="20"/>
                <w:szCs w:val="20"/>
              </w:rPr>
              <w:t>69.2. šo noteikumu 34. punktā minētajā gadījumā – valsts atbalstu par elektroenerģijas pārdošanu obligātā iepirkuma ietvaros, ko publiskais tirgotājs izmaksājis par periodu, kurš sākas no šo noteikumu 32. punktā minētā gada pārskata perioda pirmās dienas;</w:t>
            </w:r>
          </w:p>
          <w:p w14:paraId="50AEBF2F" w14:textId="77777777" w:rsidR="00AD4651" w:rsidRPr="00D00B26" w:rsidRDefault="00AD4651" w:rsidP="00AD4651">
            <w:pPr>
              <w:shd w:val="clear" w:color="auto" w:fill="FFFFFF"/>
              <w:spacing w:after="120"/>
              <w:jc w:val="both"/>
              <w:rPr>
                <w:sz w:val="20"/>
                <w:szCs w:val="20"/>
              </w:rPr>
            </w:pPr>
            <w:r w:rsidRPr="00D00B26">
              <w:rPr>
                <w:sz w:val="20"/>
                <w:szCs w:val="20"/>
              </w:rPr>
              <w:t>69.3. šo noteikumu 53. punktā minētajā gadījumā – valsts atbalstu par elektroenerģijas pārdošanu obligātā iepirkuma ietvaros, ko publiskais tirgotājs izmaksājis par periodu kopš pēdējā brīdinājuma paziņošanas komersantam;</w:t>
            </w:r>
          </w:p>
          <w:p w14:paraId="5AE95194" w14:textId="77777777" w:rsidR="00AD4651" w:rsidRPr="00D00B26" w:rsidRDefault="00AD4651" w:rsidP="00AD4651">
            <w:pPr>
              <w:shd w:val="clear" w:color="auto" w:fill="FFFFFF"/>
              <w:spacing w:after="120"/>
              <w:jc w:val="both"/>
              <w:rPr>
                <w:sz w:val="20"/>
                <w:szCs w:val="20"/>
              </w:rPr>
            </w:pPr>
            <w:r w:rsidRPr="00D00B26">
              <w:rPr>
                <w:sz w:val="20"/>
                <w:szCs w:val="20"/>
              </w:rPr>
              <w:t>69.4. šo noteikumu 54. punktā minētajā gadījumā – valsts atbalstu par elektroenerģijas pārdošanu obligātā iepirkuma ietvaros, ko publiskais tirgotājs izmaksājis par periodu kopš brīdinājuma paziņošanas komersantam.</w:t>
            </w:r>
          </w:p>
          <w:p w14:paraId="0DC053FB" w14:textId="4067F85C" w:rsidR="00E74231" w:rsidRPr="00D00B26" w:rsidRDefault="00E74231"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6627DBB" w14:textId="77777777" w:rsidR="00E74231" w:rsidRPr="00D00B26" w:rsidRDefault="4CE39106"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lastRenderedPageBreak/>
              <w:t>Finanšu ministrija (11.08.2020.)</w:t>
            </w:r>
          </w:p>
          <w:p w14:paraId="3A3E788B" w14:textId="044664A3" w:rsidR="00E74231" w:rsidRPr="00D00B26" w:rsidRDefault="4CE39106" w:rsidP="003545FC">
            <w:pPr>
              <w:jc w:val="both"/>
              <w:rPr>
                <w:rFonts w:eastAsia="Calibri"/>
                <w:b/>
                <w:sz w:val="20"/>
                <w:szCs w:val="20"/>
              </w:rPr>
            </w:pPr>
            <w:r w:rsidRPr="00D00B26">
              <w:rPr>
                <w:sz w:val="20"/>
                <w:szCs w:val="20"/>
              </w:rPr>
              <w:t>1.</w:t>
            </w:r>
            <w:r w:rsidR="03E2BB5E" w:rsidRPr="00D00B26">
              <w:rPr>
                <w:sz w:val="20"/>
                <w:szCs w:val="20"/>
              </w:rPr>
              <w:t xml:space="preserve"> Lūdzam pārskatīt visu noteikumu projektu un precizēt tā punktos lietotās atsauces uz citiem noteikumu projekta punktiem. Skat. piemēram, noteikumu projekta 11.15., 11.17., 11.19. apakšpunktu un 69. punktu.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1549B9C" w14:textId="77777777" w:rsidR="00E74231" w:rsidRPr="00D00B26" w:rsidRDefault="00F705F5" w:rsidP="00A9367F">
            <w:pPr>
              <w:pStyle w:val="naisc"/>
              <w:spacing w:before="0" w:after="0"/>
              <w:rPr>
                <w:b/>
                <w:sz w:val="20"/>
                <w:szCs w:val="20"/>
              </w:rPr>
            </w:pPr>
            <w:r w:rsidRPr="00D00B26">
              <w:rPr>
                <w:b/>
                <w:sz w:val="20"/>
                <w:szCs w:val="20"/>
              </w:rPr>
              <w:t>Iebildums ir ņemts vērā.</w:t>
            </w:r>
          </w:p>
          <w:p w14:paraId="09A33AB0" w14:textId="3179AF26" w:rsidR="00F705F5" w:rsidRPr="00D00B26" w:rsidRDefault="00F705F5" w:rsidP="00A9367F">
            <w:pPr>
              <w:pStyle w:val="naisc"/>
              <w:spacing w:before="0" w:after="0"/>
              <w:rPr>
                <w:sz w:val="20"/>
                <w:szCs w:val="20"/>
              </w:rPr>
            </w:pPr>
            <w:r w:rsidRPr="00D00B26">
              <w:rPr>
                <w:sz w:val="20"/>
                <w:szCs w:val="20"/>
              </w:rPr>
              <w:t>Atsauces precizētas visā projekta tekstā.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60F26FC" w14:textId="77777777" w:rsidR="00E74231" w:rsidRPr="00D00B26" w:rsidRDefault="00E74231" w:rsidP="00A9367F">
            <w:pPr>
              <w:shd w:val="clear" w:color="auto" w:fill="FFFFFF"/>
              <w:spacing w:after="120"/>
              <w:jc w:val="both"/>
              <w:rPr>
                <w:sz w:val="20"/>
                <w:szCs w:val="20"/>
              </w:rPr>
            </w:pPr>
          </w:p>
        </w:tc>
        <w:tc>
          <w:tcPr>
            <w:tcW w:w="1388" w:type="dxa"/>
            <w:gridSpan w:val="2"/>
          </w:tcPr>
          <w:p w14:paraId="1E578277" w14:textId="77777777" w:rsidR="00E74231" w:rsidRPr="00D00B26" w:rsidRDefault="00E74231" w:rsidP="00A9367F">
            <w:pPr>
              <w:jc w:val="both"/>
              <w:rPr>
                <w:sz w:val="20"/>
                <w:szCs w:val="20"/>
              </w:rPr>
            </w:pPr>
          </w:p>
        </w:tc>
      </w:tr>
      <w:tr w:rsidR="00E13DF9" w:rsidRPr="00D00B26" w14:paraId="0A33B4C4"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586A48B" w14:textId="693C5B5A" w:rsidR="00B31336" w:rsidRPr="00D00B26" w:rsidRDefault="00B31336"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8BD583F" w14:textId="77777777" w:rsidR="006E403F" w:rsidRPr="00D00B26" w:rsidRDefault="006E403F" w:rsidP="006E403F">
            <w:pPr>
              <w:shd w:val="clear" w:color="auto" w:fill="FFFFFF"/>
              <w:spacing w:after="120"/>
              <w:jc w:val="both"/>
              <w:rPr>
                <w:sz w:val="20"/>
                <w:szCs w:val="20"/>
              </w:rPr>
            </w:pPr>
            <w:r w:rsidRPr="00D00B26">
              <w:rPr>
                <w:sz w:val="20"/>
                <w:szCs w:val="20"/>
              </w:rPr>
              <w:t>1. Noteikumi nosaka:</w:t>
            </w:r>
          </w:p>
          <w:p w14:paraId="72EF60EB" w14:textId="77777777" w:rsidR="006E403F" w:rsidRPr="00D00B26" w:rsidRDefault="006E403F" w:rsidP="006E403F">
            <w:pPr>
              <w:shd w:val="clear" w:color="auto" w:fill="FFFFFF"/>
              <w:spacing w:after="120"/>
              <w:jc w:val="both"/>
              <w:rPr>
                <w:sz w:val="20"/>
                <w:szCs w:val="20"/>
              </w:rPr>
            </w:pPr>
            <w:r w:rsidRPr="00D00B26">
              <w:rPr>
                <w:sz w:val="20"/>
                <w:szCs w:val="20"/>
              </w:rPr>
              <w:t>1.1. nosacījumus elektroenerģijas ražošanai, izmantojot  atjaunojamos energoresursus;</w:t>
            </w:r>
          </w:p>
          <w:p w14:paraId="6466171F" w14:textId="77777777" w:rsidR="006E403F" w:rsidRPr="00D00B26" w:rsidRDefault="006E403F" w:rsidP="006E403F">
            <w:pPr>
              <w:shd w:val="clear" w:color="auto" w:fill="FFFFFF"/>
              <w:spacing w:after="120"/>
              <w:jc w:val="both"/>
              <w:rPr>
                <w:sz w:val="20"/>
                <w:szCs w:val="20"/>
              </w:rPr>
            </w:pPr>
            <w:r w:rsidRPr="00D00B26">
              <w:rPr>
                <w:sz w:val="20"/>
                <w:szCs w:val="20"/>
              </w:rPr>
              <w:t>1.2. no atjaunojamiem energoresursiem saražotās elektroenerģijas obligāti iepērkamā apjoma noteikšanas, īstenošanas un uzraudzības kārtību;</w:t>
            </w:r>
          </w:p>
          <w:p w14:paraId="3B91F4ED" w14:textId="77777777" w:rsidR="006E403F" w:rsidRPr="00D00B26" w:rsidRDefault="006E403F" w:rsidP="006E403F">
            <w:pPr>
              <w:shd w:val="clear" w:color="auto" w:fill="FFFFFF"/>
              <w:spacing w:after="120"/>
              <w:jc w:val="both"/>
              <w:rPr>
                <w:sz w:val="20"/>
                <w:szCs w:val="20"/>
              </w:rPr>
            </w:pPr>
            <w:r w:rsidRPr="00D00B26">
              <w:rPr>
                <w:sz w:val="20"/>
                <w:szCs w:val="20"/>
              </w:rPr>
              <w:t>1.3. no atjaunojamiem energoresursiem saražotās elektroenerģijas cenas noteikšanas kārtību atkarībā no energoresursu veida;</w:t>
            </w:r>
          </w:p>
          <w:p w14:paraId="696DFAD1" w14:textId="77777777" w:rsidR="006E403F" w:rsidRPr="00D00B26" w:rsidRDefault="006E403F" w:rsidP="006E403F">
            <w:pPr>
              <w:shd w:val="clear" w:color="auto" w:fill="FFFFFF"/>
              <w:spacing w:after="120"/>
              <w:jc w:val="both"/>
              <w:rPr>
                <w:sz w:val="20"/>
                <w:szCs w:val="20"/>
              </w:rPr>
            </w:pPr>
            <w:r w:rsidRPr="00D00B26">
              <w:rPr>
                <w:sz w:val="20"/>
                <w:szCs w:val="20"/>
              </w:rPr>
              <w:lastRenderedPageBreak/>
              <w:t>1.4. kārtību, kādā var atteikties no tiesībām pārdot saražoto elektroenerģiju obligātā iepirkuma ietvaros (turpmāk – obligātā iepirkuma tiesības);</w:t>
            </w:r>
          </w:p>
          <w:p w14:paraId="3B3C1225" w14:textId="77777777" w:rsidR="006E403F" w:rsidRPr="00D00B26" w:rsidRDefault="006E403F" w:rsidP="006E403F">
            <w:pPr>
              <w:shd w:val="clear" w:color="auto" w:fill="FFFFFF"/>
              <w:spacing w:after="120"/>
              <w:jc w:val="both"/>
              <w:rPr>
                <w:sz w:val="20"/>
                <w:szCs w:val="20"/>
              </w:rPr>
            </w:pPr>
            <w:r w:rsidRPr="00D00B26">
              <w:rPr>
                <w:sz w:val="20"/>
                <w:szCs w:val="20"/>
              </w:rPr>
              <w:t>1.5. pasākumus, lai veicinātu elektroenerģijas ražošanu no biomasas;</w:t>
            </w:r>
          </w:p>
          <w:p w14:paraId="0A90F6B4" w14:textId="77777777" w:rsidR="006E403F" w:rsidRPr="00D00B26" w:rsidRDefault="006E403F" w:rsidP="006E403F">
            <w:pPr>
              <w:shd w:val="clear" w:color="auto" w:fill="FFFFFF"/>
              <w:spacing w:after="120"/>
              <w:jc w:val="both"/>
              <w:rPr>
                <w:sz w:val="20"/>
                <w:szCs w:val="20"/>
              </w:rPr>
            </w:pPr>
            <w:r w:rsidRPr="00D00B26">
              <w:rPr>
                <w:sz w:val="20"/>
                <w:szCs w:val="20"/>
              </w:rPr>
              <w:t>1.6. kārtību, kādā aptur valsts atbalsta izmaksu;</w:t>
            </w:r>
          </w:p>
          <w:p w14:paraId="76550206" w14:textId="77777777" w:rsidR="006E403F" w:rsidRPr="00D00B26" w:rsidRDefault="006E403F" w:rsidP="006E403F">
            <w:pPr>
              <w:shd w:val="clear" w:color="auto" w:fill="FFFFFF"/>
              <w:spacing w:after="120"/>
              <w:jc w:val="both"/>
              <w:rPr>
                <w:sz w:val="20"/>
                <w:szCs w:val="20"/>
              </w:rPr>
            </w:pPr>
            <w:r w:rsidRPr="00D00B26">
              <w:rPr>
                <w:sz w:val="20"/>
                <w:szCs w:val="20"/>
              </w:rPr>
              <w:t>1.7. pārkāpumus, par kuriem atceļamas tiesības pārdot no atjaunojamiem energoresursiem saražoto elektroenerģiju obligātā iepirkuma ietvaros, kā arī kārtību, kādā tās atceļamas</w:t>
            </w:r>
          </w:p>
          <w:p w14:paraId="363B8795" w14:textId="77777777" w:rsidR="006E403F" w:rsidRPr="00D00B26" w:rsidRDefault="006E403F" w:rsidP="006E403F">
            <w:pPr>
              <w:shd w:val="clear" w:color="auto" w:fill="FFFFFF"/>
              <w:spacing w:after="120"/>
              <w:jc w:val="both"/>
              <w:rPr>
                <w:sz w:val="20"/>
                <w:szCs w:val="20"/>
              </w:rPr>
            </w:pPr>
            <w:r w:rsidRPr="00D00B26">
              <w:rPr>
                <w:sz w:val="20"/>
                <w:szCs w:val="20"/>
              </w:rPr>
              <w:t>1.8. kārtību, kādā Būvniecības valsts kontroles birojs (turpmāk – birojs) pārbauda lietderīgās siltumenerģijas izmantošanu, lai nodrošinātu atbilstību normatīvajos aktos noteiktajiem valsts atbalsta saņemšanas nosacījumiem;</w:t>
            </w:r>
          </w:p>
          <w:p w14:paraId="09632AA9" w14:textId="24CD2C15" w:rsidR="00B31336" w:rsidRPr="00D00B26" w:rsidRDefault="006E403F" w:rsidP="006E403F">
            <w:pPr>
              <w:shd w:val="clear" w:color="auto" w:fill="FFFFFF"/>
              <w:spacing w:after="120"/>
              <w:jc w:val="both"/>
              <w:rPr>
                <w:sz w:val="20"/>
                <w:szCs w:val="20"/>
              </w:rPr>
            </w:pPr>
            <w:r w:rsidRPr="00D00B26">
              <w:rPr>
                <w:sz w:val="20"/>
                <w:szCs w:val="20"/>
              </w:rPr>
              <w:t>1.10. nosacījumus un metodiku nepamatoti vai nelikumīgi saņemtā valsts atbalsta atgūšanai par elektroenerģijas ražošanu no atjaunojamiem energoresursiem</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C6857C8" w14:textId="30F0FF21" w:rsidR="00B31336" w:rsidRPr="00D00B26" w:rsidRDefault="0B336F34"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lastRenderedPageBreak/>
              <w:t>Vides aizsardzības un reģionālās attīstības ministrija (07.08.2020.)</w:t>
            </w:r>
          </w:p>
          <w:p w14:paraId="339FB735" w14:textId="25589253" w:rsidR="00B31336" w:rsidRPr="00D00B26" w:rsidRDefault="0B336F34" w:rsidP="00E92803">
            <w:pPr>
              <w:spacing w:before="120" w:after="120"/>
              <w:jc w:val="both"/>
              <w:rPr>
                <w:sz w:val="20"/>
                <w:szCs w:val="20"/>
              </w:rPr>
            </w:pPr>
            <w:r w:rsidRPr="00D00B26">
              <w:rPr>
                <w:sz w:val="20"/>
                <w:szCs w:val="20"/>
              </w:rPr>
              <w:t xml:space="preserve">Pārliecināties vai abu MK noteikumu projektu 1. punktā noteiktais regulējums tiek atbilstoši ietverts noteikumu projektu tekstos. Piemēram, noteikumu projekta “Noteikumi par elektroenerģijas ražošanu, izmantojot atjaunojamos energoresursus, cenu noteikšanas kārtību un uzraudzību” 1.5. apakšpunkts paredz noteikumu projektā ietvert pasākumus, </w:t>
            </w:r>
            <w:r w:rsidRPr="00D00B26">
              <w:rPr>
                <w:b/>
                <w:bCs/>
                <w:sz w:val="20"/>
                <w:szCs w:val="20"/>
              </w:rPr>
              <w:t xml:space="preserve">lai veicinātu elektroenerģijas ražošanu </w:t>
            </w:r>
            <w:r w:rsidRPr="00D00B26">
              <w:rPr>
                <w:b/>
                <w:bCs/>
                <w:sz w:val="20"/>
                <w:szCs w:val="20"/>
              </w:rPr>
              <w:lastRenderedPageBreak/>
              <w:t>no biomasas</w:t>
            </w:r>
            <w:r w:rsidRPr="00D00B26">
              <w:rPr>
                <w:sz w:val="20"/>
                <w:szCs w:val="20"/>
              </w:rPr>
              <w:t>, bet turpmākajā noteikumu projekta tekstā tādi netiek norādīti;</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D901B7" w14:textId="77777777" w:rsidR="00B31336" w:rsidRPr="00D00B26" w:rsidRDefault="004F5D06" w:rsidP="00A9367F">
            <w:pPr>
              <w:pStyle w:val="naisc"/>
              <w:spacing w:before="0" w:after="0"/>
              <w:rPr>
                <w:b/>
                <w:sz w:val="20"/>
                <w:szCs w:val="20"/>
              </w:rPr>
            </w:pPr>
            <w:r w:rsidRPr="00D00B26">
              <w:rPr>
                <w:b/>
                <w:sz w:val="20"/>
                <w:szCs w:val="20"/>
              </w:rPr>
              <w:lastRenderedPageBreak/>
              <w:t>Priekšlikums ir ņemts vērā.</w:t>
            </w:r>
          </w:p>
          <w:p w14:paraId="1144384F" w14:textId="45F9758D" w:rsidR="004F5D06" w:rsidRPr="00D00B26" w:rsidRDefault="001E24D0" w:rsidP="000C51FE">
            <w:pPr>
              <w:pStyle w:val="naisc"/>
              <w:spacing w:before="0" w:after="0"/>
              <w:jc w:val="left"/>
              <w:rPr>
                <w:sz w:val="20"/>
                <w:szCs w:val="20"/>
              </w:rPr>
            </w:pPr>
            <w:r w:rsidRPr="00D00B26">
              <w:rPr>
                <w:sz w:val="20"/>
                <w:szCs w:val="20"/>
              </w:rPr>
              <w:t xml:space="preserve">EM ir izvērtējusi </w:t>
            </w:r>
            <w:r w:rsidR="00AA3F5E" w:rsidRPr="00D00B26">
              <w:rPr>
                <w:sz w:val="20"/>
                <w:szCs w:val="20"/>
              </w:rPr>
              <w:t>projekta</w:t>
            </w:r>
            <w:r w:rsidR="00544200" w:rsidRPr="00D00B26">
              <w:rPr>
                <w:sz w:val="20"/>
                <w:szCs w:val="20"/>
              </w:rPr>
              <w:t xml:space="preserve"> satura atbilstību</w:t>
            </w:r>
            <w:r w:rsidR="00C530A9" w:rsidRPr="00D00B26">
              <w:rPr>
                <w:sz w:val="20"/>
                <w:szCs w:val="20"/>
              </w:rPr>
              <w:t xml:space="preserve"> projekta 1.punktam</w:t>
            </w:r>
            <w:r w:rsidR="00691B63" w:rsidRPr="00D00B26">
              <w:rPr>
                <w:sz w:val="20"/>
                <w:szCs w:val="20"/>
              </w:rPr>
              <w:t xml:space="preserve">, veicot atbilstošus precizējumus gan tekstā, gan </w:t>
            </w:r>
            <w:r w:rsidR="00F66F58" w:rsidRPr="00D00B26">
              <w:rPr>
                <w:sz w:val="20"/>
                <w:szCs w:val="20"/>
              </w:rPr>
              <w:t>minētajā punktā</w:t>
            </w:r>
            <w:r w:rsidR="00507359" w:rsidRPr="00D00B26">
              <w:rPr>
                <w:sz w:val="20"/>
                <w:szCs w:val="20"/>
              </w:rPr>
              <w:t>, tādējādi pārliecinoties</w:t>
            </w:r>
            <w:r w:rsidR="00EA5694" w:rsidRPr="00D00B26">
              <w:rPr>
                <w:sz w:val="20"/>
                <w:szCs w:val="20"/>
              </w:rPr>
              <w:t>, lai noteikumu projekt</w:t>
            </w:r>
            <w:r w:rsidR="006432AE" w:rsidRPr="00D00B26">
              <w:rPr>
                <w:sz w:val="20"/>
                <w:szCs w:val="20"/>
              </w:rPr>
              <w:t>a</w:t>
            </w:r>
            <w:r w:rsidR="000C51FE" w:rsidRPr="00D00B26">
              <w:rPr>
                <w:sz w:val="20"/>
                <w:szCs w:val="20"/>
              </w:rPr>
              <w:t xml:space="preserve"> 1. punktā noteiktais regulējums tiek atbilstoši ietverts noteikumu projektu tekstos</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5A93483" w14:textId="77777777" w:rsidR="00EB0D99" w:rsidRPr="00D00B26" w:rsidRDefault="00EB0D99" w:rsidP="00EB0D99">
            <w:pPr>
              <w:shd w:val="clear" w:color="auto" w:fill="FFFFFF"/>
              <w:ind w:left="130" w:firstLine="130"/>
              <w:jc w:val="both"/>
              <w:rPr>
                <w:sz w:val="20"/>
                <w:szCs w:val="20"/>
              </w:rPr>
            </w:pPr>
            <w:r w:rsidRPr="00D00B26">
              <w:rPr>
                <w:sz w:val="20"/>
                <w:szCs w:val="20"/>
              </w:rPr>
              <w:t>1. Noteikumi nosaka:</w:t>
            </w:r>
          </w:p>
          <w:p w14:paraId="77508DE2" w14:textId="77777777" w:rsidR="00EB0D99" w:rsidRPr="00D00B26" w:rsidRDefault="00EB0D99" w:rsidP="00EB0D99">
            <w:pPr>
              <w:shd w:val="clear" w:color="auto" w:fill="FFFFFF"/>
              <w:ind w:left="130" w:firstLine="130"/>
              <w:jc w:val="both"/>
              <w:rPr>
                <w:sz w:val="20"/>
                <w:szCs w:val="20"/>
              </w:rPr>
            </w:pPr>
            <w:r w:rsidRPr="00D00B26">
              <w:rPr>
                <w:sz w:val="20"/>
                <w:szCs w:val="20"/>
              </w:rPr>
              <w:t>1.1.</w:t>
            </w:r>
            <w:r w:rsidRPr="00D00B26">
              <w:rPr>
                <w:sz w:val="20"/>
                <w:szCs w:val="20"/>
              </w:rPr>
              <w:tab/>
              <w:t>nosacījumus elektroenerģijas ražošanai, izmantojot  atjaunojamos energoresursus;</w:t>
            </w:r>
          </w:p>
          <w:p w14:paraId="68600086" w14:textId="77777777" w:rsidR="00EB0D99" w:rsidRPr="00D00B26" w:rsidRDefault="00EB0D99" w:rsidP="00EB0D99">
            <w:pPr>
              <w:shd w:val="clear" w:color="auto" w:fill="FFFFFF"/>
              <w:ind w:left="130" w:firstLine="130"/>
              <w:jc w:val="both"/>
              <w:rPr>
                <w:sz w:val="20"/>
                <w:szCs w:val="20"/>
              </w:rPr>
            </w:pPr>
            <w:r w:rsidRPr="00D00B26">
              <w:rPr>
                <w:sz w:val="20"/>
                <w:szCs w:val="20"/>
              </w:rPr>
              <w:t>1.2.</w:t>
            </w:r>
            <w:r w:rsidRPr="00D00B26">
              <w:rPr>
                <w:sz w:val="20"/>
                <w:szCs w:val="20"/>
              </w:rPr>
              <w:tab/>
              <w:t>kritērijus ražotāju kvalifikācijai saražotās elektroenerģijas obligātā iepirkuma tiesībām;</w:t>
            </w:r>
          </w:p>
          <w:p w14:paraId="46010466" w14:textId="77777777" w:rsidR="00EB0D99" w:rsidRPr="00D00B26" w:rsidRDefault="00EB0D99" w:rsidP="00EB0D99">
            <w:pPr>
              <w:shd w:val="clear" w:color="auto" w:fill="FFFFFF"/>
              <w:ind w:left="130" w:firstLine="130"/>
              <w:jc w:val="both"/>
              <w:rPr>
                <w:sz w:val="20"/>
                <w:szCs w:val="20"/>
              </w:rPr>
            </w:pPr>
            <w:r w:rsidRPr="00D00B26">
              <w:rPr>
                <w:sz w:val="20"/>
                <w:szCs w:val="20"/>
              </w:rPr>
              <w:t>1.3.</w:t>
            </w:r>
            <w:r w:rsidRPr="00D00B26">
              <w:rPr>
                <w:sz w:val="20"/>
                <w:szCs w:val="20"/>
              </w:rPr>
              <w:tab/>
              <w:t>no atjaunojamiem energoresursiem saražotās elektroenerģijas obligāti iepērkamā apjoma noteikšanas, īstenošanas un uzraudzības kārtību;</w:t>
            </w:r>
          </w:p>
          <w:p w14:paraId="3012903A" w14:textId="77777777" w:rsidR="00EB0D99" w:rsidRPr="00D00B26" w:rsidRDefault="00EB0D99" w:rsidP="00EB0D99">
            <w:pPr>
              <w:shd w:val="clear" w:color="auto" w:fill="FFFFFF"/>
              <w:ind w:left="130" w:firstLine="130"/>
              <w:jc w:val="both"/>
              <w:rPr>
                <w:sz w:val="20"/>
                <w:szCs w:val="20"/>
              </w:rPr>
            </w:pPr>
            <w:r w:rsidRPr="00D00B26">
              <w:rPr>
                <w:sz w:val="20"/>
                <w:szCs w:val="20"/>
              </w:rPr>
              <w:t>1.4.</w:t>
            </w:r>
            <w:r w:rsidRPr="00D00B26">
              <w:rPr>
                <w:sz w:val="20"/>
                <w:szCs w:val="20"/>
              </w:rPr>
              <w:tab/>
              <w:t xml:space="preserve">no atjaunojamiem energoresursiem saražotās </w:t>
            </w:r>
            <w:r w:rsidRPr="00D00B26">
              <w:rPr>
                <w:sz w:val="20"/>
                <w:szCs w:val="20"/>
              </w:rPr>
              <w:lastRenderedPageBreak/>
              <w:t>elektroenerģijas cenas noteikšanas kārtību atkarībā no energoresursu veida;</w:t>
            </w:r>
          </w:p>
          <w:p w14:paraId="5333CC5F" w14:textId="77777777" w:rsidR="00EB0D99" w:rsidRPr="00D00B26" w:rsidRDefault="00EB0D99" w:rsidP="00EB0D99">
            <w:pPr>
              <w:shd w:val="clear" w:color="auto" w:fill="FFFFFF"/>
              <w:ind w:left="130" w:firstLine="130"/>
              <w:jc w:val="both"/>
              <w:rPr>
                <w:sz w:val="20"/>
                <w:szCs w:val="20"/>
              </w:rPr>
            </w:pPr>
            <w:r w:rsidRPr="00D00B26">
              <w:rPr>
                <w:sz w:val="20"/>
                <w:szCs w:val="20"/>
              </w:rPr>
              <w:t>1.5.</w:t>
            </w:r>
            <w:r w:rsidRPr="00D00B26">
              <w:rPr>
                <w:sz w:val="20"/>
                <w:szCs w:val="20"/>
              </w:rPr>
              <w:tab/>
              <w:t>obligātā iepirkuma apjoma noteikšanas, īstenošanas un uzraudzības kārtību, kā arī obligātā iepirkuma apjoma izmaksu segšanas kārtību;</w:t>
            </w:r>
          </w:p>
          <w:p w14:paraId="05344769" w14:textId="77777777" w:rsidR="00EB0D99" w:rsidRPr="00D00B26" w:rsidRDefault="00EB0D99" w:rsidP="00EB0D99">
            <w:pPr>
              <w:shd w:val="clear" w:color="auto" w:fill="FFFFFF"/>
              <w:ind w:left="130" w:firstLine="130"/>
              <w:jc w:val="both"/>
              <w:rPr>
                <w:sz w:val="20"/>
                <w:szCs w:val="20"/>
              </w:rPr>
            </w:pPr>
            <w:r w:rsidRPr="00D00B26">
              <w:rPr>
                <w:sz w:val="20"/>
                <w:szCs w:val="20"/>
              </w:rPr>
              <w:t>1.6.</w:t>
            </w:r>
            <w:r w:rsidRPr="00D00B26">
              <w:rPr>
                <w:sz w:val="20"/>
                <w:szCs w:val="20"/>
              </w:rPr>
              <w:tab/>
              <w:t>kārtību, kādā var atteikties no tiesībām pārdot saražoto elektroenerģiju obligātā iepirkuma ietvaros (turpmāk – obligātā iepirkuma tiesības);</w:t>
            </w:r>
          </w:p>
          <w:p w14:paraId="41A43407" w14:textId="77777777" w:rsidR="00EB0D99" w:rsidRPr="00D00B26" w:rsidRDefault="00EB0D99" w:rsidP="00EB0D99">
            <w:pPr>
              <w:shd w:val="clear" w:color="auto" w:fill="FFFFFF"/>
              <w:ind w:left="130" w:firstLine="130"/>
              <w:jc w:val="both"/>
              <w:rPr>
                <w:sz w:val="20"/>
                <w:szCs w:val="20"/>
              </w:rPr>
            </w:pPr>
            <w:r w:rsidRPr="00D00B26">
              <w:rPr>
                <w:sz w:val="20"/>
                <w:szCs w:val="20"/>
              </w:rPr>
              <w:t>1.7.</w:t>
            </w:r>
            <w:r w:rsidRPr="00D00B26">
              <w:rPr>
                <w:sz w:val="20"/>
                <w:szCs w:val="20"/>
              </w:rPr>
              <w:tab/>
              <w:t>pasākumus, lai veicinātu elektroenerģijas ražošanu no biomasas;</w:t>
            </w:r>
          </w:p>
          <w:p w14:paraId="536CC2D0" w14:textId="77777777" w:rsidR="00EB0D99" w:rsidRPr="00D00B26" w:rsidRDefault="00EB0D99" w:rsidP="00EB0D99">
            <w:pPr>
              <w:shd w:val="clear" w:color="auto" w:fill="FFFFFF"/>
              <w:ind w:left="130" w:firstLine="130"/>
              <w:jc w:val="both"/>
              <w:rPr>
                <w:sz w:val="20"/>
                <w:szCs w:val="20"/>
              </w:rPr>
            </w:pPr>
            <w:r w:rsidRPr="00D00B26">
              <w:rPr>
                <w:sz w:val="20"/>
                <w:szCs w:val="20"/>
              </w:rPr>
              <w:t>1.8.</w:t>
            </w:r>
            <w:r w:rsidRPr="00D00B26">
              <w:rPr>
                <w:sz w:val="20"/>
                <w:szCs w:val="20"/>
              </w:rPr>
              <w:tab/>
              <w:t>kārtību, kādā aptur valsts atbalsta izmaksu;</w:t>
            </w:r>
          </w:p>
          <w:p w14:paraId="0E7A9057" w14:textId="77777777" w:rsidR="00EB0D99" w:rsidRPr="00D00B26" w:rsidRDefault="00EB0D99" w:rsidP="00EB0D99">
            <w:pPr>
              <w:shd w:val="clear" w:color="auto" w:fill="FFFFFF"/>
              <w:ind w:left="130" w:firstLine="130"/>
              <w:jc w:val="both"/>
              <w:rPr>
                <w:sz w:val="20"/>
                <w:szCs w:val="20"/>
              </w:rPr>
            </w:pPr>
            <w:r w:rsidRPr="00D00B26">
              <w:rPr>
                <w:sz w:val="20"/>
                <w:szCs w:val="20"/>
              </w:rPr>
              <w:t>1.9.</w:t>
            </w:r>
            <w:r w:rsidRPr="00D00B26">
              <w:rPr>
                <w:sz w:val="20"/>
                <w:szCs w:val="20"/>
              </w:rPr>
              <w:tab/>
              <w:t>pārkāpumus, par kuriem atceļamas tiesības pārdot no atjaunojamiem energoresursiem saražoto elektroenerģiju obligātā iepirkuma ietvaros, kā arī kārtību, kādā tās atceļamas;</w:t>
            </w:r>
          </w:p>
          <w:p w14:paraId="0F0006DE" w14:textId="77777777" w:rsidR="00EB0D99" w:rsidRPr="00D00B26" w:rsidRDefault="00EB0D99" w:rsidP="00EB0D99">
            <w:pPr>
              <w:shd w:val="clear" w:color="auto" w:fill="FFFFFF"/>
              <w:ind w:left="130" w:firstLine="130"/>
              <w:jc w:val="both"/>
              <w:rPr>
                <w:sz w:val="20"/>
                <w:szCs w:val="20"/>
              </w:rPr>
            </w:pPr>
            <w:r w:rsidRPr="00D00B26">
              <w:rPr>
                <w:sz w:val="20"/>
                <w:szCs w:val="20"/>
              </w:rPr>
              <w:t>1.10.</w:t>
            </w:r>
            <w:r w:rsidRPr="00D00B26">
              <w:rPr>
                <w:sz w:val="20"/>
                <w:szCs w:val="20"/>
              </w:rPr>
              <w:tab/>
              <w:t>kārtību, kādā Būvniecības valsts kontroles birojs (turpmāk – birojs) pārbauda lietderīgās siltumenerģijas izmantošanu, lai nodrošinātu atbilstību normatīvajos aktos noteiktajiem valsts atbalsta saņemšanas nosacījumiem;</w:t>
            </w:r>
          </w:p>
          <w:p w14:paraId="0130F031" w14:textId="0F141B0A" w:rsidR="00B31336" w:rsidRPr="00D00B26" w:rsidRDefault="00EB0D99" w:rsidP="00EB0D99">
            <w:pPr>
              <w:shd w:val="clear" w:color="auto" w:fill="FFFFFF"/>
              <w:spacing w:after="120"/>
              <w:jc w:val="both"/>
              <w:rPr>
                <w:sz w:val="20"/>
                <w:szCs w:val="20"/>
              </w:rPr>
            </w:pPr>
            <w:r w:rsidRPr="00D00B26">
              <w:rPr>
                <w:sz w:val="20"/>
                <w:szCs w:val="20"/>
              </w:rPr>
              <w:t>1.11.</w:t>
            </w:r>
            <w:r w:rsidRPr="00D00B26">
              <w:rPr>
                <w:sz w:val="20"/>
                <w:szCs w:val="20"/>
              </w:rPr>
              <w:tab/>
              <w:t>nosacījumus un metodiku nepamatoti vai nelikumīgi saņemtā valsts atbalsta atgūšanai par elektroenerģijas ražošanu no atjaunojamiem energoresursiem;</w:t>
            </w:r>
          </w:p>
        </w:tc>
        <w:tc>
          <w:tcPr>
            <w:tcW w:w="1388" w:type="dxa"/>
            <w:gridSpan w:val="2"/>
          </w:tcPr>
          <w:p w14:paraId="4D7B31D6" w14:textId="77777777" w:rsidR="00B31336" w:rsidRPr="00D00B26" w:rsidRDefault="00B31336" w:rsidP="00A9367F">
            <w:pPr>
              <w:jc w:val="both"/>
              <w:rPr>
                <w:sz w:val="20"/>
                <w:szCs w:val="20"/>
              </w:rPr>
            </w:pPr>
          </w:p>
        </w:tc>
      </w:tr>
      <w:tr w:rsidR="00E13DF9" w:rsidRPr="00D00B26" w14:paraId="19D8E96A"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13899B4" w14:textId="4B896CF4" w:rsidR="00C85778" w:rsidRPr="00D00B26" w:rsidRDefault="00C85778"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1773208" w14:textId="63A34AB3" w:rsidR="00F44578" w:rsidRPr="00D00B26" w:rsidRDefault="00F44578" w:rsidP="00A7596D">
            <w:pPr>
              <w:shd w:val="clear" w:color="auto" w:fill="FFFFFF"/>
              <w:spacing w:after="120"/>
              <w:jc w:val="both"/>
              <w:rPr>
                <w:sz w:val="20"/>
                <w:szCs w:val="20"/>
              </w:rPr>
            </w:pPr>
            <w:r w:rsidRPr="00D00B26">
              <w:rPr>
                <w:sz w:val="20"/>
                <w:szCs w:val="20"/>
              </w:rPr>
              <w:t xml:space="preserve">28.2.2. koģenerācijas elektrostacijai, kurā izmanto tvaika pretspiediena turbīnu, gāzes turbīnu ar siltuma utilizāciju, iekšdedzes dzinēju, </w:t>
            </w:r>
            <w:proofErr w:type="spellStart"/>
            <w:r w:rsidRPr="00D00B26">
              <w:rPr>
                <w:sz w:val="20"/>
                <w:szCs w:val="20"/>
              </w:rPr>
              <w:t>mikroturbīnas</w:t>
            </w:r>
            <w:proofErr w:type="spellEnd"/>
            <w:r w:rsidRPr="00D00B26">
              <w:rPr>
                <w:sz w:val="20"/>
                <w:szCs w:val="20"/>
              </w:rPr>
              <w:t xml:space="preserve">, </w:t>
            </w:r>
            <w:proofErr w:type="spellStart"/>
            <w:r w:rsidRPr="00D00B26">
              <w:rPr>
                <w:sz w:val="20"/>
                <w:szCs w:val="20"/>
              </w:rPr>
              <w:t>Sterlinga</w:t>
            </w:r>
            <w:proofErr w:type="spellEnd"/>
            <w:r w:rsidRPr="00D00B26">
              <w:rPr>
                <w:sz w:val="20"/>
                <w:szCs w:val="20"/>
              </w:rPr>
              <w:t xml:space="preserve"> dzinējus,  kurināmā elementus, tvaika dzinējus, organisko </w:t>
            </w:r>
            <w:proofErr w:type="spellStart"/>
            <w:r w:rsidRPr="00D00B26">
              <w:rPr>
                <w:sz w:val="20"/>
                <w:szCs w:val="20"/>
              </w:rPr>
              <w:t>Renkina</w:t>
            </w:r>
            <w:proofErr w:type="spellEnd"/>
            <w:r w:rsidRPr="00D00B26">
              <w:rPr>
                <w:sz w:val="20"/>
                <w:szCs w:val="20"/>
              </w:rPr>
              <w:t xml:space="preserve"> ciklu vai citas tehnoloģijas vai to kombinācijas, ja, tās izmantojot, vienlaikus iespējams ražot elektroenerģiju un lietderīgo siltumenerģiju, faktiskais kopējais </w:t>
            </w:r>
            <w:r w:rsidRPr="00D00B26">
              <w:rPr>
                <w:sz w:val="20"/>
                <w:szCs w:val="20"/>
              </w:rPr>
              <w:lastRenderedPageBreak/>
              <w:t>enerģijas ražošanas lietderības koeficients, kas aprēķināts saskaņā ar šo noteikumu 28.1. apakšpunktu, ir 75 % vai lielāks;</w:t>
            </w:r>
          </w:p>
          <w:p w14:paraId="343D9737" w14:textId="64A03752" w:rsidR="00A7596D" w:rsidRPr="00D00B26" w:rsidRDefault="00A7596D" w:rsidP="00A7596D">
            <w:pPr>
              <w:shd w:val="clear" w:color="auto" w:fill="FFFFFF"/>
              <w:spacing w:after="120"/>
              <w:jc w:val="both"/>
              <w:rPr>
                <w:sz w:val="20"/>
                <w:szCs w:val="20"/>
              </w:rPr>
            </w:pPr>
            <w:r w:rsidRPr="00D00B26">
              <w:rPr>
                <w:sz w:val="20"/>
                <w:szCs w:val="20"/>
              </w:rPr>
              <w:t xml:space="preserve">44. Birojs pārliecinās par lietderīgu elektrostacijā saražotās siltumenerģijas izmantošanu: </w:t>
            </w:r>
          </w:p>
          <w:p w14:paraId="536D8A19" w14:textId="39DEE1E3" w:rsidR="00C85778" w:rsidRPr="00D00B26" w:rsidRDefault="00A7596D" w:rsidP="00A7596D">
            <w:pPr>
              <w:shd w:val="clear" w:color="auto" w:fill="FFFFFF"/>
              <w:spacing w:after="120"/>
              <w:jc w:val="both"/>
              <w:rPr>
                <w:sz w:val="20"/>
                <w:szCs w:val="20"/>
              </w:rPr>
            </w:pPr>
            <w:r w:rsidRPr="00D00B26">
              <w:rPr>
                <w:sz w:val="20"/>
                <w:szCs w:val="20"/>
              </w:rPr>
              <w:t>44.1. izvērtējot, vai dokumenti, ko komersants pievienojis šo noteikumu 32.punktā norādītajam gada pārskatam pierāda, ka lietderīgā siltumenerģija atbilstoši vienotā tehnoloģiskā cikla principam tiek pārdota siltumenerģijas lietotājam vai izmantota apkures, ventilācijas, karstā ūdens apgādes vai tehnoloģiskā siltumenerģijas patēriņa nodrošināšanai savā uzņēmumā, kas nav elektrostacijas pašpatēriņš ;</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AFFC6FD" w14:textId="09649466" w:rsidR="00304D10" w:rsidRPr="00D00B26" w:rsidRDefault="00304D10" w:rsidP="00304D10">
            <w:pPr>
              <w:tabs>
                <w:tab w:val="left" w:pos="1134"/>
              </w:tabs>
              <w:spacing w:after="160" w:line="252" w:lineRule="auto"/>
              <w:contextualSpacing/>
              <w:jc w:val="center"/>
              <w:rPr>
                <w:rFonts w:eastAsia="Calibri"/>
                <w:b/>
                <w:sz w:val="20"/>
                <w:szCs w:val="20"/>
              </w:rPr>
            </w:pPr>
            <w:r w:rsidRPr="00D00B26">
              <w:rPr>
                <w:rFonts w:eastAsia="Calibri"/>
                <w:b/>
                <w:sz w:val="20"/>
                <w:szCs w:val="20"/>
              </w:rPr>
              <w:lastRenderedPageBreak/>
              <w:t>Vides aizsardzības un reģionālās attīstības ministrija (07.08.2020.)</w:t>
            </w:r>
            <w:r w:rsidR="00E92803" w:rsidRPr="00D00B26">
              <w:rPr>
                <w:rFonts w:eastAsia="Calibri"/>
                <w:b/>
                <w:sz w:val="20"/>
                <w:szCs w:val="20"/>
              </w:rPr>
              <w:t xml:space="preserve"> priekšlikums</w:t>
            </w:r>
          </w:p>
          <w:p w14:paraId="2C57B6A7" w14:textId="2E823909" w:rsidR="00C85778" w:rsidRPr="00D00B26" w:rsidRDefault="00E92803" w:rsidP="00A46FEC">
            <w:pPr>
              <w:tabs>
                <w:tab w:val="left" w:pos="1134"/>
              </w:tabs>
              <w:spacing w:after="160" w:line="252" w:lineRule="auto"/>
              <w:contextualSpacing/>
              <w:jc w:val="both"/>
              <w:rPr>
                <w:rFonts w:eastAsia="Calibri"/>
                <w:b/>
                <w:sz w:val="20"/>
                <w:szCs w:val="20"/>
              </w:rPr>
            </w:pPr>
            <w:r w:rsidRPr="00D00B26">
              <w:rPr>
                <w:sz w:val="20"/>
                <w:szCs w:val="20"/>
              </w:rPr>
              <w:t>Precizēt MK noteikumu projektus kopumā attiecībā uz to, ka komersants ražo enerģiju: elektroenerģiju un siltumenerģiju, bet neražo lietderīgo siltumenerģiju, t.i</w:t>
            </w:r>
            <w:r w:rsidRPr="00D00B26">
              <w:rPr>
                <w:b/>
                <w:bCs/>
                <w:sz w:val="20"/>
                <w:szCs w:val="20"/>
              </w:rPr>
              <w:t xml:space="preserve">. lietderīgā </w:t>
            </w:r>
            <w:r w:rsidRPr="00D00B26">
              <w:rPr>
                <w:b/>
                <w:bCs/>
                <w:sz w:val="20"/>
                <w:szCs w:val="20"/>
              </w:rPr>
              <w:lastRenderedPageBreak/>
              <w:t>siltumenerģija ir siltumenerģijas izmantošanas veids</w:t>
            </w:r>
            <w:r w:rsidRPr="00D00B26">
              <w:rPr>
                <w:sz w:val="20"/>
                <w:szCs w:val="20"/>
              </w:rPr>
              <w:t>;</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CCEBD8" w14:textId="77777777" w:rsidR="00C85778" w:rsidRPr="00D00B26" w:rsidRDefault="00222080" w:rsidP="00A9367F">
            <w:pPr>
              <w:pStyle w:val="naisc"/>
              <w:spacing w:before="0" w:after="0"/>
              <w:rPr>
                <w:b/>
                <w:sz w:val="20"/>
                <w:szCs w:val="20"/>
              </w:rPr>
            </w:pPr>
            <w:r w:rsidRPr="00D00B26">
              <w:rPr>
                <w:b/>
                <w:sz w:val="20"/>
                <w:szCs w:val="20"/>
              </w:rPr>
              <w:lastRenderedPageBreak/>
              <w:t>Priekšlikums ir ņemts vērā.</w:t>
            </w:r>
          </w:p>
          <w:p w14:paraId="3C06E8C7" w14:textId="35E8F3CF" w:rsidR="00222080" w:rsidRPr="00D00B26" w:rsidRDefault="00222080" w:rsidP="00222080">
            <w:pPr>
              <w:pStyle w:val="naisc"/>
              <w:spacing w:before="0" w:after="0"/>
              <w:jc w:val="left"/>
              <w:rPr>
                <w:sz w:val="20"/>
                <w:szCs w:val="20"/>
              </w:rPr>
            </w:pPr>
            <w:r w:rsidRPr="00D00B26">
              <w:rPr>
                <w:sz w:val="20"/>
                <w:szCs w:val="20"/>
              </w:rPr>
              <w:t>Viss projekta teksts atbilstoši precizēts.</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1CF866" w14:textId="4F136015" w:rsidR="00C85778" w:rsidRPr="00D00B26" w:rsidRDefault="00EB0D99" w:rsidP="00A9367F">
            <w:pPr>
              <w:shd w:val="clear" w:color="auto" w:fill="FFFFFF"/>
              <w:spacing w:after="120"/>
              <w:jc w:val="both"/>
              <w:rPr>
                <w:sz w:val="20"/>
                <w:szCs w:val="20"/>
              </w:rPr>
            </w:pPr>
            <w:r w:rsidRPr="00D00B26">
              <w:rPr>
                <w:sz w:val="20"/>
                <w:szCs w:val="20"/>
              </w:rPr>
              <w:t>Viss noteikumu projekta teksts.</w:t>
            </w:r>
          </w:p>
        </w:tc>
        <w:tc>
          <w:tcPr>
            <w:tcW w:w="1388" w:type="dxa"/>
            <w:gridSpan w:val="2"/>
          </w:tcPr>
          <w:p w14:paraId="227266A7" w14:textId="77777777" w:rsidR="00C85778" w:rsidRPr="00D00B26" w:rsidRDefault="00C85778" w:rsidP="00A9367F">
            <w:pPr>
              <w:jc w:val="both"/>
              <w:rPr>
                <w:sz w:val="20"/>
                <w:szCs w:val="20"/>
              </w:rPr>
            </w:pPr>
          </w:p>
        </w:tc>
      </w:tr>
      <w:tr w:rsidR="00E13DF9" w:rsidRPr="00D00B26" w14:paraId="0EB5FE75"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856CC7F" w14:textId="77777777" w:rsidR="008B04D8" w:rsidRDefault="008B04D8" w:rsidP="0081357B">
            <w:pPr>
              <w:pStyle w:val="naisc"/>
              <w:numPr>
                <w:ilvl w:val="0"/>
                <w:numId w:val="41"/>
              </w:numPr>
              <w:spacing w:before="0" w:after="0"/>
              <w:rPr>
                <w:sz w:val="20"/>
                <w:szCs w:val="20"/>
              </w:rPr>
            </w:pPr>
          </w:p>
          <w:p w14:paraId="77F49A49" w14:textId="77777777" w:rsidR="0081357B" w:rsidRPr="0081357B" w:rsidRDefault="0081357B" w:rsidP="0081357B"/>
          <w:p w14:paraId="2A455006" w14:textId="77777777" w:rsidR="0081357B" w:rsidRPr="0081357B" w:rsidRDefault="0081357B" w:rsidP="0081357B"/>
          <w:p w14:paraId="031143A2" w14:textId="77777777" w:rsidR="0081357B" w:rsidRPr="0081357B" w:rsidRDefault="0081357B" w:rsidP="0081357B"/>
          <w:p w14:paraId="1AA87E2C" w14:textId="77777777" w:rsidR="0081357B" w:rsidRPr="0081357B" w:rsidRDefault="0081357B" w:rsidP="0081357B"/>
          <w:p w14:paraId="2642AEA2" w14:textId="77777777" w:rsidR="0081357B" w:rsidRPr="0081357B" w:rsidRDefault="0081357B" w:rsidP="0081357B"/>
          <w:p w14:paraId="0D43A35F" w14:textId="77777777" w:rsidR="0081357B" w:rsidRPr="0081357B" w:rsidRDefault="0081357B" w:rsidP="0081357B"/>
          <w:p w14:paraId="68243DE2" w14:textId="77777777" w:rsidR="0081357B" w:rsidRPr="0081357B" w:rsidRDefault="0081357B" w:rsidP="0081357B"/>
          <w:p w14:paraId="77BB5693" w14:textId="77777777" w:rsidR="0081357B" w:rsidRPr="0081357B" w:rsidRDefault="0081357B" w:rsidP="0081357B"/>
          <w:p w14:paraId="24202132" w14:textId="77777777" w:rsidR="0081357B" w:rsidRPr="0081357B" w:rsidRDefault="0081357B" w:rsidP="0081357B"/>
          <w:p w14:paraId="28D61308" w14:textId="77777777" w:rsidR="0081357B" w:rsidRPr="0081357B" w:rsidRDefault="0081357B" w:rsidP="0081357B"/>
          <w:p w14:paraId="4BC093BC" w14:textId="77777777" w:rsidR="0081357B" w:rsidRPr="0081357B" w:rsidRDefault="0081357B" w:rsidP="0081357B"/>
          <w:p w14:paraId="63752AF0" w14:textId="77777777" w:rsidR="0081357B" w:rsidRPr="0081357B" w:rsidRDefault="0081357B" w:rsidP="0081357B"/>
          <w:p w14:paraId="2967F2DA" w14:textId="77777777" w:rsidR="0081357B" w:rsidRPr="0081357B" w:rsidRDefault="0081357B" w:rsidP="0081357B"/>
          <w:p w14:paraId="09158F89" w14:textId="77777777" w:rsidR="0081357B" w:rsidRPr="0081357B" w:rsidRDefault="0081357B" w:rsidP="0081357B"/>
          <w:p w14:paraId="201AD334" w14:textId="77777777" w:rsidR="0081357B" w:rsidRPr="0081357B" w:rsidRDefault="0081357B" w:rsidP="0081357B"/>
          <w:p w14:paraId="6CC3D10F" w14:textId="77777777" w:rsidR="0081357B" w:rsidRPr="0081357B" w:rsidRDefault="0081357B" w:rsidP="0081357B"/>
          <w:p w14:paraId="167532AE" w14:textId="77777777" w:rsidR="0081357B" w:rsidRPr="0081357B" w:rsidRDefault="0081357B" w:rsidP="0081357B"/>
          <w:p w14:paraId="1AF41341" w14:textId="2925FC74" w:rsidR="0081357B" w:rsidRPr="0081357B" w:rsidRDefault="0081357B" w:rsidP="0081357B">
            <w:pPr>
              <w:tabs>
                <w:tab w:val="left" w:pos="960"/>
              </w:tabs>
            </w:pPr>
            <w:r>
              <w:tab/>
            </w: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CD0A195" w14:textId="61D538CF" w:rsidR="003B077C" w:rsidRPr="00D00B26" w:rsidRDefault="003B077C" w:rsidP="008B04D8">
            <w:pPr>
              <w:shd w:val="clear" w:color="auto" w:fill="FFFFFF"/>
              <w:spacing w:after="120"/>
              <w:jc w:val="both"/>
              <w:rPr>
                <w:sz w:val="20"/>
                <w:szCs w:val="20"/>
              </w:rPr>
            </w:pPr>
            <w:r w:rsidRPr="00D00B26">
              <w:rPr>
                <w:sz w:val="20"/>
                <w:szCs w:val="20"/>
              </w:rPr>
              <w:t>Projekta anotācijas I sadaļas 2. punkts</w:t>
            </w:r>
            <w:r w:rsidR="0079401D" w:rsidRPr="00D00B26">
              <w:rPr>
                <w:sz w:val="20"/>
                <w:szCs w:val="20"/>
              </w:rPr>
              <w:t>:</w:t>
            </w:r>
          </w:p>
          <w:p w14:paraId="20936A73" w14:textId="17420369" w:rsidR="008B04D8" w:rsidRPr="00D00B26" w:rsidRDefault="003B077C" w:rsidP="008B04D8">
            <w:pPr>
              <w:shd w:val="clear" w:color="auto" w:fill="FFFFFF"/>
              <w:spacing w:after="120"/>
              <w:jc w:val="both"/>
              <w:rPr>
                <w:sz w:val="20"/>
                <w:szCs w:val="20"/>
              </w:rPr>
            </w:pPr>
            <w:r w:rsidRPr="00D00B26">
              <w:rPr>
                <w:sz w:val="20"/>
                <w:szCs w:val="20"/>
              </w:rPr>
              <w:t xml:space="preserve">“Grozījumi ETL, kas stājās spēkā 2020. gada 15. februārī, uzliek pienākumu komersantam nodrošināt, ka koģenerācijas elektrostacijā saražotā siltumenerģija tiek izmantota lietderīgi atbilstoši vienotā tehnoloģiskā cikla principam, tajā skaitā to, ka lietderīgās siltumenerģijas kopējā apjomā netiek ieskaitīta tāda siltumenerģija, kas tiek izmantota pašpatēriņam. No tā izrietoši projektā, pēc analoģijas ar MK noteikumiem Nr. 221, noteikumu projektā ietverti nosacījumi koģenerācijā saražotās elektroenerģijas daudzuma noteikšanai, kas atlicis pēc elektroenerģijas izlietošanas elektrostacijas darbības nodrošināšanai, paredzot metodi (formulu) faktiskā kopējā elektrostacijas enerģijas ražošanas lietderības koeficienta aprēķināšanai. Attiecīgi papildinātas arī elektrostaciju </w:t>
            </w:r>
            <w:r w:rsidRPr="00D00B26">
              <w:rPr>
                <w:sz w:val="20"/>
                <w:szCs w:val="20"/>
              </w:rPr>
              <w:lastRenderedPageBreak/>
              <w:t>uzraudzību regulējošās normas, nosakot, ka BVKB pārliecinās par siltumenerģijas lietderīgu izmantošanu elektrostacijās. Ja kontroles grupas pārbaudes ietvaros tiek konstatēts, ka elektrostacijā nav paredzēta saražotās siltumenerģijas lietderīga izmantošana, komersantam tiek atceltas tiesības pārdot no atjaunojamiem energoresursiem saražoto elektroenerģiju.”</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2677C57" w14:textId="6B41149D" w:rsidR="008B04D8" w:rsidRPr="00D00B26" w:rsidRDefault="24FF3409" w:rsidP="00B802C8">
            <w:pPr>
              <w:tabs>
                <w:tab w:val="left" w:pos="1134"/>
              </w:tabs>
              <w:spacing w:after="160" w:line="252" w:lineRule="auto"/>
              <w:contextualSpacing/>
              <w:jc w:val="center"/>
              <w:rPr>
                <w:b/>
                <w:bCs/>
                <w:sz w:val="20"/>
                <w:szCs w:val="20"/>
              </w:rPr>
            </w:pPr>
            <w:r w:rsidRPr="00D00B26">
              <w:rPr>
                <w:b/>
                <w:bCs/>
                <w:sz w:val="20"/>
                <w:szCs w:val="20"/>
              </w:rPr>
              <w:lastRenderedPageBreak/>
              <w:t>Finanšu ministrija (11.08.2020.)</w:t>
            </w:r>
            <w:r w:rsidR="000175F7" w:rsidRPr="00D00B26">
              <w:rPr>
                <w:b/>
                <w:bCs/>
                <w:sz w:val="20"/>
                <w:szCs w:val="20"/>
              </w:rPr>
              <w:t xml:space="preserve"> iebildums</w:t>
            </w:r>
          </w:p>
          <w:p w14:paraId="6C3CF815" w14:textId="3DC7BDFC" w:rsidR="00E779D2" w:rsidRPr="00D00B26" w:rsidRDefault="00C60702" w:rsidP="00C60702">
            <w:pPr>
              <w:jc w:val="both"/>
              <w:rPr>
                <w:sz w:val="20"/>
                <w:szCs w:val="20"/>
              </w:rPr>
            </w:pPr>
            <w:r w:rsidRPr="00D00B26">
              <w:rPr>
                <w:sz w:val="20"/>
                <w:szCs w:val="20"/>
              </w:rPr>
              <w:t xml:space="preserve">2. </w:t>
            </w:r>
            <w:r w:rsidR="03E2BB5E" w:rsidRPr="00D00B26">
              <w:rPr>
                <w:sz w:val="20"/>
                <w:szCs w:val="20"/>
              </w:rPr>
              <w:t xml:space="preserve">Ņemot vērā noteikumu projekta 1.8. apakšpunktā noteikto, lūdzam papildināt anotāciju ar skaidrojumu par tiem valsts atbalsta nosacījumiem attiecībā uz lietderīgās siltumenerģijas izmantošanu, kas būtu jāvērtē Būvniecības valsts kontroles birojam (turpmāk – birojs), lai gūtu nepieciešamos secinājumus par saņemtā atbalsta likumību. </w:t>
            </w:r>
          </w:p>
          <w:p w14:paraId="32D05227" w14:textId="77777777" w:rsidR="00C60702" w:rsidRPr="00D00B26" w:rsidRDefault="00C60702" w:rsidP="00C60702">
            <w:pPr>
              <w:jc w:val="both"/>
              <w:rPr>
                <w:sz w:val="20"/>
                <w:szCs w:val="20"/>
              </w:rPr>
            </w:pPr>
          </w:p>
          <w:p w14:paraId="20E9A0BA" w14:textId="3F396F32" w:rsidR="00C60702" w:rsidRPr="005106DF" w:rsidRDefault="00C60702" w:rsidP="00C60702">
            <w:pPr>
              <w:tabs>
                <w:tab w:val="left" w:pos="1134"/>
              </w:tabs>
              <w:spacing w:after="160" w:line="252" w:lineRule="auto"/>
              <w:contextualSpacing/>
              <w:jc w:val="center"/>
              <w:rPr>
                <w:b/>
                <w:bCs/>
                <w:sz w:val="20"/>
                <w:szCs w:val="20"/>
              </w:rPr>
            </w:pPr>
            <w:r w:rsidRPr="005106DF">
              <w:rPr>
                <w:b/>
                <w:bCs/>
                <w:sz w:val="20"/>
                <w:szCs w:val="20"/>
              </w:rPr>
              <w:t>Finanšu ministrija (27.08.2020.) iebildums</w:t>
            </w:r>
          </w:p>
          <w:p w14:paraId="25D740F2" w14:textId="77777777" w:rsidR="00C60702" w:rsidRPr="00D00B26" w:rsidRDefault="00C60702" w:rsidP="00C60702">
            <w:pPr>
              <w:shd w:val="clear" w:color="auto" w:fill="FFFFFF"/>
              <w:autoSpaceDN w:val="0"/>
              <w:jc w:val="both"/>
              <w:textAlignment w:val="baseline"/>
              <w:rPr>
                <w:sz w:val="20"/>
                <w:szCs w:val="20"/>
              </w:rPr>
            </w:pPr>
            <w:r w:rsidRPr="005106DF">
              <w:rPr>
                <w:sz w:val="20"/>
                <w:szCs w:val="20"/>
              </w:rPr>
              <w:t xml:space="preserve">atkārtoti lūdzam papildināt anotāciju ar skaidrojumu par tiem valsts atbalsta nosacījumiem attiecībā uz koģenerācijas stacijas atbilstība augstas efektivitātes koģenerācijas definīcijai, t.sk. lietderīgās siltumenerģijas izmantošanu, kas jāvērtē Būvniecības valsts kontroles birojam (turpmāk – BVKB), lai gūtu </w:t>
            </w:r>
            <w:r w:rsidRPr="005106DF">
              <w:rPr>
                <w:sz w:val="20"/>
                <w:szCs w:val="20"/>
              </w:rPr>
              <w:lastRenderedPageBreak/>
              <w:t>nepieciešamos secinājumus par saņemtā atbalsta likumību.</w:t>
            </w:r>
            <w:r w:rsidRPr="00D00B26">
              <w:rPr>
                <w:sz w:val="20"/>
                <w:szCs w:val="20"/>
              </w:rPr>
              <w:t xml:space="preserve"> </w:t>
            </w:r>
          </w:p>
          <w:p w14:paraId="6CDDADBA" w14:textId="14F1D96C" w:rsidR="00C60702" w:rsidRPr="00D00B26" w:rsidRDefault="00C60702" w:rsidP="00C60702">
            <w:pPr>
              <w:rPr>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5E97E2" w14:textId="1AF621C8" w:rsidR="008B04D8" w:rsidRPr="00D00B26" w:rsidRDefault="006F0984" w:rsidP="008B04D8">
            <w:pPr>
              <w:pStyle w:val="naisc"/>
              <w:spacing w:before="0" w:after="0"/>
              <w:rPr>
                <w:b/>
                <w:sz w:val="20"/>
                <w:szCs w:val="20"/>
              </w:rPr>
            </w:pPr>
            <w:r w:rsidRPr="00D00B26">
              <w:rPr>
                <w:b/>
                <w:sz w:val="20"/>
                <w:szCs w:val="20"/>
              </w:rPr>
              <w:lastRenderedPageBreak/>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539ABA4" w14:textId="77777777" w:rsidR="008B04D8" w:rsidRPr="00D00B26" w:rsidRDefault="00EA26E4" w:rsidP="008B04D8">
            <w:pPr>
              <w:shd w:val="clear" w:color="auto" w:fill="FFFFFF"/>
              <w:spacing w:after="120"/>
              <w:jc w:val="both"/>
              <w:rPr>
                <w:sz w:val="20"/>
                <w:szCs w:val="20"/>
              </w:rPr>
            </w:pPr>
            <w:r w:rsidRPr="00D00B26">
              <w:rPr>
                <w:sz w:val="20"/>
                <w:szCs w:val="20"/>
              </w:rPr>
              <w:t xml:space="preserve">Projekta anotācijas </w:t>
            </w:r>
            <w:r w:rsidR="006542B6" w:rsidRPr="00D00B26">
              <w:rPr>
                <w:sz w:val="20"/>
                <w:szCs w:val="20"/>
              </w:rPr>
              <w:t>I sadaļas 2. punkts papildināts šādā redakcijā:</w:t>
            </w:r>
          </w:p>
          <w:p w14:paraId="3AF56E60" w14:textId="7BC468C2" w:rsidR="006542B6" w:rsidRPr="00D00B26" w:rsidRDefault="00463715" w:rsidP="00463715">
            <w:pPr>
              <w:spacing w:before="120"/>
              <w:ind w:right="113"/>
              <w:jc w:val="both"/>
              <w:rPr>
                <w:sz w:val="20"/>
                <w:szCs w:val="20"/>
              </w:rPr>
            </w:pPr>
            <w:r w:rsidRPr="00D00B26">
              <w:rPr>
                <w:sz w:val="20"/>
                <w:szCs w:val="20"/>
              </w:rPr>
              <w:t>“Ņemot vērā ETL 31.</w:t>
            </w:r>
            <w:r w:rsidRPr="00D00B26">
              <w:rPr>
                <w:sz w:val="20"/>
                <w:szCs w:val="20"/>
                <w:vertAlign w:val="superscript"/>
              </w:rPr>
              <w:t>3.</w:t>
            </w:r>
            <w:r w:rsidRPr="00D00B26">
              <w:rPr>
                <w:sz w:val="20"/>
                <w:szCs w:val="20"/>
              </w:rPr>
              <w:t xml:space="preserve"> panta trešajā daļā paredzēto deleģējumu, MK noteikumi nosaka kārtību, kādā BVKB  pārbauda lietderīgās siltumenerģijas izmantošanu, lai nodrošinātu atbilstību normatīvajos aktos noteiktajiem valsts atbalsta saņemšanas nosacījumiem. ETL 31.</w:t>
            </w:r>
            <w:r w:rsidRPr="00D00B26">
              <w:rPr>
                <w:sz w:val="20"/>
                <w:szCs w:val="20"/>
                <w:vertAlign w:val="superscript"/>
              </w:rPr>
              <w:t>3.</w:t>
            </w:r>
            <w:r w:rsidRPr="00D00B26">
              <w:rPr>
                <w:sz w:val="20"/>
                <w:szCs w:val="20"/>
              </w:rPr>
              <w:t xml:space="preserve"> panta trešā daļa nosaka, ka elektroenerģijas ražotājiem ir pienākums nodrošināt siltumenerģijas lietderīgu izmantošanu (lietderīga siltumenerģija), savukārt BVKB ir pienākums pārliecināties, ka tas tiek īstenots atbilstoši projektā ietvertajiem nosacījumiem. Koģenerācijas stacijas atbilstību nosacījumiem par siltumenerģijas lietderīgu izmantošanu BVKB pārbauda pēc komersantu sniegtās informācijas, kā arī klātienes pārbaudēs.”</w:t>
            </w:r>
          </w:p>
        </w:tc>
        <w:tc>
          <w:tcPr>
            <w:tcW w:w="1388" w:type="dxa"/>
            <w:gridSpan w:val="2"/>
          </w:tcPr>
          <w:p w14:paraId="74983855" w14:textId="77777777" w:rsidR="008B04D8" w:rsidRPr="00D00B26" w:rsidRDefault="008B04D8" w:rsidP="008B04D8">
            <w:pPr>
              <w:jc w:val="both"/>
              <w:rPr>
                <w:sz w:val="20"/>
                <w:szCs w:val="20"/>
              </w:rPr>
            </w:pPr>
          </w:p>
        </w:tc>
      </w:tr>
      <w:tr w:rsidR="00E13DF9" w:rsidRPr="00D00B26" w14:paraId="083D605D"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0EBE0" w14:textId="281D5D9E" w:rsidR="00E779D2" w:rsidRPr="00D00B26" w:rsidRDefault="00E779D2"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7FA8110" w14:textId="1D5D43A2" w:rsidR="00E779D2" w:rsidRPr="00D00B26" w:rsidRDefault="00A80F4E" w:rsidP="00A9367F">
            <w:pPr>
              <w:shd w:val="clear" w:color="auto" w:fill="FFFFFF"/>
              <w:spacing w:after="120"/>
              <w:jc w:val="both"/>
              <w:rPr>
                <w:sz w:val="20"/>
                <w:szCs w:val="20"/>
              </w:rPr>
            </w:pPr>
            <w:r w:rsidRPr="00D00B26">
              <w:rPr>
                <w:sz w:val="20"/>
                <w:szCs w:val="20"/>
              </w:rPr>
              <w:t xml:space="preserve"> Projekta anotācijas I sadaļas 2. punkts</w:t>
            </w:r>
            <w:r w:rsidR="00510CEF" w:rsidRPr="00D00B26">
              <w:rPr>
                <w:sz w:val="20"/>
                <w:szCs w:val="20"/>
              </w:rPr>
              <w:t>:</w:t>
            </w:r>
          </w:p>
          <w:p w14:paraId="2C32528B" w14:textId="457EE605" w:rsidR="00F11B06" w:rsidRPr="00D00B26" w:rsidRDefault="00F11B06" w:rsidP="00F11B06">
            <w:pPr>
              <w:shd w:val="clear" w:color="auto" w:fill="FFFFFF"/>
              <w:spacing w:after="120"/>
              <w:jc w:val="both"/>
              <w:rPr>
                <w:sz w:val="20"/>
                <w:szCs w:val="20"/>
              </w:rPr>
            </w:pPr>
            <w:r w:rsidRPr="00D00B26">
              <w:rPr>
                <w:sz w:val="20"/>
                <w:szCs w:val="20"/>
              </w:rPr>
              <w:t>“Tā kā jaunas tiesības pārdot elektroenerģiju obligāti iepērkamā elektroenerģijas apjoma veidā kopš 2012. gada netiek piešķirtas, turklāt līdz ar 2016.gada 19.maija grozījumiem ETL norma, t.i. 29.panta pirmā daļa, kas noteica, ka ražotājs, kas elektroenerģiju ražo, izmantojot atjaunojamos energoresursus, var iegūt tiesības pārdot saražoto elektroenerģiju obligāti iepērkamā elektroenerģijas apjoma veidā, ir svītrota,</w:t>
            </w:r>
            <w:r w:rsidRPr="00D00B26">
              <w:rPr>
                <w:bCs/>
                <w:sz w:val="20"/>
                <w:szCs w:val="20"/>
              </w:rPr>
              <w:t xml:space="preserve"> </w:t>
            </w:r>
            <w:r w:rsidRPr="00D00B26">
              <w:rPr>
                <w:sz w:val="20"/>
                <w:szCs w:val="20"/>
              </w:rPr>
              <w:t>arī projektā nav ietvertas tās MK noteikumu Nr.262 normas, kas saistītas ar nosacījumiem obligātā iepirkuma tiesību saņemšanai. Taču, ņemot vērā, ka minētie ETL grozījumi neatceļ jau piešķirtās obligātā iepirkuma tiesības tiem ražotājiem, kas tās saņēmuši pirms 2012.gada, projektā saglabātas un atbilstoši situācijai un jaunajam ETL deleģējumam precizētas  normas, kas nosaka atbilstību prasībām, kas komersantiem jāievēro, lai tie varētu saņemt obligātā iepirkuma tiesības, kā arī to uzraudzību un kontroli.”</w:t>
            </w:r>
          </w:p>
          <w:p w14:paraId="4C35D920" w14:textId="21957710" w:rsidR="00F11B06" w:rsidRPr="00D00B26" w:rsidRDefault="00F11B06"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8D777EB" w14:textId="18250C4F" w:rsidR="00E779D2" w:rsidRPr="00D00B26" w:rsidRDefault="2BEF7D3D"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CE5A9E" w:rsidRPr="00D00B26">
              <w:rPr>
                <w:rFonts w:eastAsia="Calibri"/>
                <w:b/>
                <w:sz w:val="20"/>
                <w:szCs w:val="20"/>
              </w:rPr>
              <w:t xml:space="preserve"> iebildums</w:t>
            </w:r>
          </w:p>
          <w:p w14:paraId="3FBD0F14" w14:textId="77777777" w:rsidR="00E0427F" w:rsidRPr="00D00B26" w:rsidRDefault="2BEF7D3D" w:rsidP="76D16243">
            <w:pPr>
              <w:jc w:val="both"/>
              <w:rPr>
                <w:sz w:val="20"/>
                <w:szCs w:val="20"/>
              </w:rPr>
            </w:pPr>
            <w:r w:rsidRPr="00D00B26">
              <w:rPr>
                <w:sz w:val="20"/>
                <w:szCs w:val="20"/>
              </w:rPr>
              <w:t xml:space="preserve">3. </w:t>
            </w:r>
            <w:r w:rsidR="03E2BB5E" w:rsidRPr="00D00B26">
              <w:rPr>
                <w:sz w:val="20"/>
                <w:szCs w:val="20"/>
              </w:rPr>
              <w:t>Attiecībā uz noteikumu projekta 2. un 4. punktu, lūdzam papildināt anotāciju ar informāciju, kurš brīdis (lēmums vai līgums) ir uzskatāms par valsts atbalsta piešķiršanas brīdi.</w:t>
            </w:r>
          </w:p>
          <w:p w14:paraId="6114D65A" w14:textId="74113DA5" w:rsidR="00E779D2" w:rsidRPr="00D00B26" w:rsidRDefault="00E779D2" w:rsidP="45358C98">
            <w:pPr>
              <w:pStyle w:val="Default"/>
              <w:spacing w:after="160" w:line="252" w:lineRule="auto"/>
              <w:jc w:val="both"/>
              <w:rPr>
                <w:rFonts w:ascii="Times New Roman" w:eastAsia="Calibri" w:hAnsi="Times New Roman" w:cs="Times New Roman"/>
                <w:sz w:val="20"/>
                <w:szCs w:val="20"/>
                <w:highlight w:val="red"/>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770289D" w14:textId="664E644E" w:rsidR="00E779D2" w:rsidRPr="00D00B26" w:rsidRDefault="00AF2100" w:rsidP="00A9367F">
            <w:pPr>
              <w:pStyle w:val="naisc"/>
              <w:spacing w:before="0" w:after="0"/>
              <w:rPr>
                <w:b/>
                <w:sz w:val="20"/>
                <w:szCs w:val="20"/>
              </w:rPr>
            </w:pPr>
            <w:r w:rsidRPr="00D00B26">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9135C69" w14:textId="77777777" w:rsidR="00AF2100" w:rsidRPr="00D00B26" w:rsidRDefault="00AF2100" w:rsidP="00AF2100">
            <w:pPr>
              <w:shd w:val="clear" w:color="auto" w:fill="FFFFFF"/>
              <w:spacing w:after="120"/>
              <w:jc w:val="both"/>
              <w:rPr>
                <w:sz w:val="20"/>
                <w:szCs w:val="20"/>
              </w:rPr>
            </w:pPr>
            <w:r w:rsidRPr="00D00B26">
              <w:rPr>
                <w:sz w:val="20"/>
                <w:szCs w:val="20"/>
              </w:rPr>
              <w:t>Projekta anotācijas I sadaļas 2. punkts papildināts šādā redakcijā:</w:t>
            </w:r>
          </w:p>
          <w:p w14:paraId="24D2FAC9" w14:textId="014D78E0" w:rsidR="00E779D2" w:rsidRPr="00D00B26" w:rsidRDefault="00D658A0" w:rsidP="004A0D72">
            <w:pPr>
              <w:spacing w:before="120"/>
              <w:ind w:right="115"/>
              <w:jc w:val="both"/>
              <w:rPr>
                <w:sz w:val="20"/>
                <w:szCs w:val="20"/>
              </w:rPr>
            </w:pPr>
            <w:r w:rsidRPr="00D00B26">
              <w:rPr>
                <w:sz w:val="20"/>
                <w:szCs w:val="20"/>
              </w:rPr>
              <w:t>“Par valsts atbalsta piešķiršanas brīdi tiek uzskatīts brīdis, kad ir pieņemts lēmums par obligātā iepirkuma tiesību piešķiršanu.”</w:t>
            </w:r>
          </w:p>
        </w:tc>
        <w:tc>
          <w:tcPr>
            <w:tcW w:w="1388" w:type="dxa"/>
            <w:gridSpan w:val="2"/>
          </w:tcPr>
          <w:p w14:paraId="6F75067D" w14:textId="3FCC39D2" w:rsidR="00E779D2" w:rsidRPr="00D00B26" w:rsidRDefault="00E779D2" w:rsidP="00A9367F">
            <w:pPr>
              <w:jc w:val="both"/>
              <w:rPr>
                <w:sz w:val="20"/>
                <w:szCs w:val="20"/>
              </w:rPr>
            </w:pPr>
          </w:p>
          <w:p w14:paraId="18D2F885" w14:textId="77777777" w:rsidR="001F0070" w:rsidRPr="00D00B26" w:rsidRDefault="001F0070" w:rsidP="00A9367F">
            <w:pPr>
              <w:jc w:val="both"/>
              <w:rPr>
                <w:sz w:val="20"/>
                <w:szCs w:val="20"/>
              </w:rPr>
            </w:pPr>
          </w:p>
          <w:p w14:paraId="09A98CA8" w14:textId="77777777" w:rsidR="001F0070" w:rsidRPr="00D00B26" w:rsidRDefault="001F0070" w:rsidP="00A9367F">
            <w:pPr>
              <w:jc w:val="both"/>
              <w:rPr>
                <w:sz w:val="20"/>
                <w:szCs w:val="20"/>
              </w:rPr>
            </w:pPr>
          </w:p>
          <w:p w14:paraId="4D8699EF" w14:textId="77777777" w:rsidR="001F0070" w:rsidRPr="00D00B26" w:rsidRDefault="001F0070" w:rsidP="00A9367F">
            <w:pPr>
              <w:jc w:val="both"/>
              <w:rPr>
                <w:sz w:val="20"/>
                <w:szCs w:val="20"/>
              </w:rPr>
            </w:pPr>
          </w:p>
          <w:p w14:paraId="4CEBAC4A" w14:textId="4885BBE8" w:rsidR="001F0070" w:rsidRPr="00D00B26" w:rsidRDefault="001F0070" w:rsidP="00A9367F">
            <w:pPr>
              <w:jc w:val="both"/>
              <w:rPr>
                <w:sz w:val="20"/>
                <w:szCs w:val="20"/>
              </w:rPr>
            </w:pPr>
          </w:p>
        </w:tc>
      </w:tr>
      <w:tr w:rsidR="00E13DF9" w:rsidRPr="00D00B26" w14:paraId="45436749"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C43E8D9" w14:textId="099D435A" w:rsidR="001F0070" w:rsidRPr="00D00B26" w:rsidRDefault="001F0070"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315283F" w14:textId="492D805E" w:rsidR="001F0070" w:rsidRPr="00D00B26" w:rsidRDefault="00510CEF" w:rsidP="00A9367F">
            <w:pPr>
              <w:shd w:val="clear" w:color="auto" w:fill="FFFFFF"/>
              <w:spacing w:after="120"/>
              <w:jc w:val="both"/>
              <w:rPr>
                <w:sz w:val="20"/>
                <w:szCs w:val="20"/>
              </w:rPr>
            </w:pPr>
            <w:r w:rsidRPr="00D00B26">
              <w:rPr>
                <w:sz w:val="20"/>
                <w:szCs w:val="20"/>
              </w:rPr>
              <w:t>Projekta anotācijas I sadaļas 2. punkts</w:t>
            </w:r>
            <w:r w:rsidR="004A09EA" w:rsidRPr="00D00B26">
              <w:rPr>
                <w:sz w:val="20"/>
                <w:szCs w:val="20"/>
              </w:rPr>
              <w:t>.</w:t>
            </w:r>
          </w:p>
          <w:p w14:paraId="1448936B" w14:textId="5E65665F" w:rsidR="00510CEF" w:rsidRPr="00D00B26" w:rsidRDefault="00510CEF"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F7AB940" w14:textId="01264F43" w:rsidR="001F0070" w:rsidRPr="00D00B26" w:rsidRDefault="006D22B3"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CE5A9E" w:rsidRPr="00D00B26">
              <w:rPr>
                <w:rFonts w:eastAsia="Calibri"/>
                <w:b/>
                <w:sz w:val="20"/>
                <w:szCs w:val="20"/>
              </w:rPr>
              <w:t xml:space="preserve"> iebildums</w:t>
            </w:r>
          </w:p>
          <w:p w14:paraId="3F4C2765" w14:textId="0BD033DD" w:rsidR="006D22B3" w:rsidRPr="00D00B26" w:rsidRDefault="006D22B3" w:rsidP="006D22B3">
            <w:pPr>
              <w:jc w:val="both"/>
              <w:rPr>
                <w:rFonts w:eastAsia="Calibri"/>
                <w:sz w:val="20"/>
                <w:szCs w:val="20"/>
              </w:rPr>
            </w:pPr>
            <w:r w:rsidRPr="00D00B26">
              <w:rPr>
                <w:sz w:val="20"/>
                <w:szCs w:val="20"/>
              </w:rPr>
              <w:lastRenderedPageBreak/>
              <w:t xml:space="preserve">4. Ņemot vērā to, ka ar noteikumu projektu vairs nav paredzēts </w:t>
            </w:r>
            <w:r w:rsidRPr="00D00B26">
              <w:rPr>
                <w:i/>
                <w:sz w:val="20"/>
                <w:szCs w:val="20"/>
              </w:rPr>
              <w:t>Ministru kabineta 2010. gada 16. marta noteikumu Nr. 262 "Noteikumi par elektroenerģijas ražošanu, izmantojot atjaunojamos energoresursus, un cenu noteikšanas kārtību"</w:t>
            </w:r>
            <w:r w:rsidRPr="00D00B26">
              <w:rPr>
                <w:sz w:val="20"/>
                <w:szCs w:val="20"/>
              </w:rPr>
              <w:t xml:space="preserve"> (turpmāk – MK noteikumi Nr.262) 59. punktā noteiktais, ka obligātā iepirkuma kārtībā saražotās elektroenerģijas obligātā iepirkuma izmaksas sedz visi elektroenerģijas galalietotāji proporcionāli to elektroenerģijas patēriņa apjomam, kas vienlaikus bija saskaņots ar Eiropas Komisiju un atbilst Eiropas Komisijas lēmuma lietā SA.43140 10. punktam, lūdzam precizēt noteikumu projektu, skaidri norādot, kas segs saražotās elektroenerģijas obligātā iepirkuma izmaksas, vienlaikus informējot par to Eiropas Komisiju plānotās komunikācijas ietvaros un papildināt anotāciju ar attiecīgo skaidrojumu.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901805" w14:textId="0F2149D3" w:rsidR="001F0070" w:rsidRPr="00D00B26" w:rsidRDefault="006D22B3" w:rsidP="00A9367F">
            <w:pPr>
              <w:pStyle w:val="naisc"/>
              <w:spacing w:before="0" w:after="0"/>
              <w:rPr>
                <w:b/>
                <w:sz w:val="20"/>
                <w:szCs w:val="20"/>
              </w:rPr>
            </w:pPr>
            <w:r w:rsidRPr="00D00B26">
              <w:rPr>
                <w:b/>
                <w:sz w:val="20"/>
                <w:szCs w:val="20"/>
              </w:rPr>
              <w:lastRenderedPageBreak/>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963D6A" w14:textId="2B03FD35" w:rsidR="00551CCE" w:rsidRPr="00D00B26" w:rsidRDefault="00551CCE" w:rsidP="00551CCE">
            <w:pPr>
              <w:shd w:val="clear" w:color="auto" w:fill="FFFFFF"/>
              <w:spacing w:after="120"/>
              <w:jc w:val="both"/>
              <w:rPr>
                <w:sz w:val="20"/>
                <w:szCs w:val="20"/>
              </w:rPr>
            </w:pPr>
            <w:r w:rsidRPr="00D00B26">
              <w:rPr>
                <w:sz w:val="20"/>
                <w:szCs w:val="20"/>
              </w:rPr>
              <w:t>Projekta anotācijas I sadaļas 2. punkts papildināts šādā redakcijā:</w:t>
            </w:r>
          </w:p>
          <w:p w14:paraId="5297CAD3" w14:textId="6B176C5E" w:rsidR="00551CCE" w:rsidRPr="00D00B26" w:rsidRDefault="00551CCE" w:rsidP="00551CCE">
            <w:pPr>
              <w:spacing w:before="120"/>
              <w:ind w:right="115"/>
              <w:jc w:val="both"/>
              <w:rPr>
                <w:sz w:val="20"/>
                <w:szCs w:val="20"/>
              </w:rPr>
            </w:pPr>
            <w:r w:rsidRPr="00D00B26">
              <w:rPr>
                <w:sz w:val="20"/>
                <w:szCs w:val="20"/>
              </w:rPr>
              <w:lastRenderedPageBreak/>
              <w:t>“Projekts neparedz izmaiņas saistībā ar obligātā ietvaros saražotās elektroenerģijas izmaksu segšanu</w:t>
            </w:r>
            <w:r w:rsidR="00C772EA" w:rsidRPr="00D00B26">
              <w:rPr>
                <w:sz w:val="20"/>
                <w:szCs w:val="20"/>
              </w:rPr>
              <w:t xml:space="preserve">. Atbilstoši ETL 30. panta </w:t>
            </w:r>
            <w:r w:rsidR="007F4B34" w:rsidRPr="00D00B26">
              <w:rPr>
                <w:sz w:val="20"/>
                <w:szCs w:val="20"/>
              </w:rPr>
              <w:t>trešajai daļai</w:t>
            </w:r>
            <w:r w:rsidRPr="00D00B26">
              <w:rPr>
                <w:sz w:val="20"/>
                <w:szCs w:val="20"/>
              </w:rPr>
              <w:t xml:space="preserve"> arī turpmāk obligātā iepirkuma kārtībā saražotās elektroenerģijas obligātā iepirkuma izmaksas segs visi elektroenerģijas galalietotāji proporcionāli to elektroenerģijas patēriņa apjomam. Šāds princips ir saskaņots ar  Eiropas Komisiju un atbilst Eiropas Komisijas lēmumam lietā SA.43140.”</w:t>
            </w:r>
          </w:p>
          <w:p w14:paraId="1DF658DA" w14:textId="77777777" w:rsidR="001F0070" w:rsidRPr="00D00B26" w:rsidRDefault="001F0070" w:rsidP="00AF2100">
            <w:pPr>
              <w:shd w:val="clear" w:color="auto" w:fill="FFFFFF"/>
              <w:spacing w:after="120"/>
              <w:jc w:val="both"/>
              <w:rPr>
                <w:sz w:val="20"/>
                <w:szCs w:val="20"/>
              </w:rPr>
            </w:pPr>
          </w:p>
        </w:tc>
        <w:tc>
          <w:tcPr>
            <w:tcW w:w="1388" w:type="dxa"/>
            <w:gridSpan w:val="2"/>
          </w:tcPr>
          <w:p w14:paraId="0EBB5F4B" w14:textId="77777777" w:rsidR="001F0070" w:rsidRPr="00D00B26" w:rsidRDefault="001F0070" w:rsidP="00A9367F">
            <w:pPr>
              <w:jc w:val="both"/>
              <w:rPr>
                <w:sz w:val="20"/>
                <w:szCs w:val="20"/>
              </w:rPr>
            </w:pPr>
          </w:p>
        </w:tc>
      </w:tr>
      <w:tr w:rsidR="00E13DF9" w:rsidRPr="00D00B26" w14:paraId="614F5609"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334F604" w14:textId="712D9C13" w:rsidR="00C23675" w:rsidRPr="00D00B26" w:rsidRDefault="00C23675"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1CEC84D" w14:textId="1E31FAB8" w:rsidR="00C23675" w:rsidRPr="00D00B26" w:rsidRDefault="00B36431" w:rsidP="002B20DB">
            <w:pPr>
              <w:shd w:val="clear" w:color="auto" w:fill="FFFFFF"/>
              <w:spacing w:after="120"/>
              <w:jc w:val="both"/>
              <w:rPr>
                <w:sz w:val="20"/>
                <w:szCs w:val="20"/>
              </w:rPr>
            </w:pPr>
            <w:r w:rsidRPr="00D00B26">
              <w:rPr>
                <w:sz w:val="20"/>
                <w:szCs w:val="20"/>
                <w:shd w:val="clear" w:color="auto" w:fill="FFFFFF"/>
              </w:rPr>
              <w:t>6. Birojs organizē to elektroenerģijas ražotāju darbības uzraudzību un kontroli, kuri izmanto obligātā iepirkuma tiesības. Birojam ir tiesības grozīt vai atcelt lēmumus, ar kuriem piešķirtas obligātā iepirkuma tiesības, kā arī pieņemt lēmumus par valsts atbalsta izmaksas apturēšanu un nepamatoti vai nelikumīgi saņemtā valsts atbalsta atgūšanu. Birojs, pieņemot lēmumu obligātā iepirkuma uzraudzības vai kontroles ietvaros, par to triju darbdienu laikā informē sistēmas operatoru un publisko tirgotāju.</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76851FB" w14:textId="77777777" w:rsidR="00C23675" w:rsidRPr="00D00B26" w:rsidRDefault="00C23675" w:rsidP="00686F78">
            <w:pPr>
              <w:pStyle w:val="naisc"/>
              <w:spacing w:before="0" w:after="0"/>
              <w:rPr>
                <w:b/>
                <w:sz w:val="20"/>
                <w:szCs w:val="20"/>
              </w:rPr>
            </w:pPr>
            <w:r w:rsidRPr="00D00B26">
              <w:rPr>
                <w:b/>
                <w:sz w:val="20"/>
                <w:szCs w:val="20"/>
              </w:rPr>
              <w:t>Zemkopības ministrija (19.08.2020.) iebildums</w:t>
            </w:r>
          </w:p>
          <w:p w14:paraId="0EAE9CE2" w14:textId="6A7259C0" w:rsidR="00C23675" w:rsidRPr="00D00B26" w:rsidRDefault="00C23675" w:rsidP="00686F78">
            <w:pPr>
              <w:jc w:val="both"/>
              <w:rPr>
                <w:sz w:val="20"/>
                <w:szCs w:val="20"/>
              </w:rPr>
            </w:pPr>
            <w:r w:rsidRPr="00D00B26">
              <w:rPr>
                <w:sz w:val="20"/>
                <w:szCs w:val="20"/>
              </w:rPr>
              <w:t xml:space="preserve">Noteikumu projektā 6.punktā ir noteikts, ka Būvniecības valsts kontroles birojam (turpmāk – Birojs) ir tiesības grozīt vai atcelt lēmumus, ar kuriem piešķirtas obligātā iepirkuma tiesības, kā arī pieņemt lēmumus par valsts atbalsta izmaksas apturēšanu un nepamatoti vai nelikumīgi saņemtā valsts atbalsta atgūšanu. Taču noteikumu projektā </w:t>
            </w:r>
            <w:r w:rsidRPr="00D00B26">
              <w:rPr>
                <w:b/>
                <w:sz w:val="20"/>
                <w:szCs w:val="20"/>
              </w:rPr>
              <w:t>nav atrunāta kārtība, kādā Biroja lēmumi ir apstrīdami un pārsūdzami.</w:t>
            </w:r>
            <w:r w:rsidRPr="00D00B26">
              <w:rPr>
                <w:sz w:val="20"/>
                <w:szCs w:val="20"/>
              </w:rPr>
              <w:t xml:space="preserve"> Tāpēc lūdzam noteikumu projektu papildināt ar normu, kurā tā ir noteikta.  </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A4B7AF" w14:textId="77777777" w:rsidR="00C23675" w:rsidRPr="00D00B26" w:rsidRDefault="008155C4" w:rsidP="002B20DB">
            <w:pPr>
              <w:pStyle w:val="naisc"/>
              <w:spacing w:before="0" w:after="0"/>
              <w:rPr>
                <w:b/>
                <w:sz w:val="20"/>
                <w:szCs w:val="20"/>
              </w:rPr>
            </w:pPr>
            <w:r w:rsidRPr="00D00B26">
              <w:rPr>
                <w:b/>
                <w:sz w:val="20"/>
                <w:szCs w:val="20"/>
              </w:rPr>
              <w:t>Iebildums daļēji ņemts vērā</w:t>
            </w:r>
          </w:p>
          <w:p w14:paraId="5BC551BB" w14:textId="7BCF8E59" w:rsidR="008155C4" w:rsidRPr="00D00B26" w:rsidRDefault="00975394" w:rsidP="00183A92">
            <w:pPr>
              <w:pStyle w:val="naisc"/>
              <w:spacing w:before="0" w:after="0"/>
              <w:jc w:val="left"/>
              <w:rPr>
                <w:sz w:val="20"/>
                <w:szCs w:val="20"/>
              </w:rPr>
            </w:pPr>
            <w:r w:rsidRPr="00D00B26">
              <w:rPr>
                <w:sz w:val="20"/>
                <w:szCs w:val="20"/>
              </w:rPr>
              <w:t xml:space="preserve">Biroja lēmumi ir </w:t>
            </w:r>
            <w:r w:rsidR="002F1DFF" w:rsidRPr="00D00B26">
              <w:rPr>
                <w:sz w:val="20"/>
                <w:szCs w:val="20"/>
              </w:rPr>
              <w:t xml:space="preserve">saskaņā ar citiem normatīvajiem aktiem, tajā skaitā </w:t>
            </w:r>
            <w:r w:rsidR="00183A92" w:rsidRPr="00D00B26">
              <w:rPr>
                <w:sz w:val="20"/>
                <w:szCs w:val="20"/>
              </w:rPr>
              <w:t>A</w:t>
            </w:r>
            <w:r w:rsidRPr="00D00B26">
              <w:rPr>
                <w:sz w:val="20"/>
                <w:szCs w:val="20"/>
              </w:rPr>
              <w:t>dministrat</w:t>
            </w:r>
            <w:r w:rsidR="00183A92" w:rsidRPr="00D00B26">
              <w:rPr>
                <w:sz w:val="20"/>
                <w:szCs w:val="20"/>
              </w:rPr>
              <w:t xml:space="preserve">īvā procesa likuma ietvaros. </w:t>
            </w:r>
            <w:r w:rsidR="007C0C26" w:rsidRPr="00D00B26">
              <w:rPr>
                <w:sz w:val="20"/>
                <w:szCs w:val="20"/>
              </w:rPr>
              <w:t>Vienlaikus i</w:t>
            </w:r>
            <w:r w:rsidR="00B04B14" w:rsidRPr="00D00B26">
              <w:rPr>
                <w:sz w:val="20"/>
                <w:szCs w:val="20"/>
              </w:rPr>
              <w:t xml:space="preserve">nformējam, ka </w:t>
            </w:r>
            <w:r w:rsidR="007C0C26" w:rsidRPr="00D00B26">
              <w:rPr>
                <w:sz w:val="20"/>
                <w:szCs w:val="20"/>
              </w:rPr>
              <w:t xml:space="preserve">norma, kas iekļauta projekta 6.punktā </w:t>
            </w:r>
            <w:r w:rsidR="00686F7F" w:rsidRPr="00D00B26">
              <w:rPr>
                <w:sz w:val="20"/>
                <w:szCs w:val="20"/>
              </w:rPr>
              <w:t>ir jau spēkā esoša</w:t>
            </w:r>
            <w:r w:rsidR="007C0C26" w:rsidRPr="00D00B26">
              <w:rPr>
                <w:sz w:val="20"/>
                <w:szCs w:val="20"/>
              </w:rPr>
              <w:t>j</w:t>
            </w:r>
            <w:r w:rsidR="00686F7F" w:rsidRPr="00D00B26">
              <w:rPr>
                <w:sz w:val="20"/>
                <w:szCs w:val="20"/>
              </w:rPr>
              <w:t>os MK 262.not.</w:t>
            </w:r>
            <w:r w:rsidR="009159B8" w:rsidRPr="00D00B26">
              <w:rPr>
                <w:sz w:val="20"/>
                <w:szCs w:val="20"/>
              </w:rPr>
              <w:t xml:space="preserve">, un praksē </w:t>
            </w:r>
            <w:r w:rsidR="007C0C26" w:rsidRPr="00D00B26">
              <w:rPr>
                <w:sz w:val="20"/>
                <w:szCs w:val="20"/>
              </w:rPr>
              <w:t>t</w:t>
            </w:r>
            <w:r w:rsidR="00FD444C" w:rsidRPr="00D00B26">
              <w:rPr>
                <w:sz w:val="20"/>
                <w:szCs w:val="20"/>
              </w:rPr>
              <w:t>ā piemērošanā nav konstatētas problēmas.</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BDD65A6" w14:textId="2F530912" w:rsidR="00C23675" w:rsidRPr="00D00B26" w:rsidRDefault="00EB0D99" w:rsidP="002B20DB">
            <w:pPr>
              <w:shd w:val="clear" w:color="auto" w:fill="FFFFFF"/>
              <w:spacing w:after="120"/>
              <w:jc w:val="both"/>
              <w:rPr>
                <w:sz w:val="20"/>
                <w:szCs w:val="20"/>
              </w:rPr>
            </w:pPr>
            <w:r w:rsidRPr="00D00B26">
              <w:rPr>
                <w:sz w:val="20"/>
                <w:szCs w:val="20"/>
                <w:shd w:val="clear" w:color="auto" w:fill="FFFFFF"/>
              </w:rPr>
              <w:t xml:space="preserve">6. Birojs organizē to elektroenerģijas ražotāju darbības uzraudzību un kontroli, kuri izmanto obligātā iepirkuma tiesības. Birojam ir tiesības grozīt vai atcelt lēmumus, ar kuriem piešķirtas obligātā iepirkuma tiesības, kā arī pieņemt lēmumus par obligātā iepirkuma un valsts atbalsta izmaksas apturēšanu un nepamatoti vai nelikumīgi saņemtā valsts atbalsta atgūšanu. Birojs, pieņemot lēmumu obligātā iepirkuma uzraudzības vai kontroles ietvaros, par to nekavējoties informē </w:t>
            </w:r>
            <w:r w:rsidRPr="00D00B26">
              <w:rPr>
                <w:sz w:val="20"/>
                <w:szCs w:val="20"/>
              </w:rPr>
              <w:t>elektroenerģijas</w:t>
            </w:r>
            <w:r w:rsidRPr="00D00B26">
              <w:rPr>
                <w:sz w:val="20"/>
                <w:szCs w:val="20"/>
                <w:shd w:val="clear" w:color="auto" w:fill="FFFFFF"/>
              </w:rPr>
              <w:t xml:space="preserve"> sistēmas operatoru un publisko tirgotāju.</w:t>
            </w:r>
          </w:p>
        </w:tc>
        <w:tc>
          <w:tcPr>
            <w:tcW w:w="1388" w:type="dxa"/>
            <w:gridSpan w:val="2"/>
          </w:tcPr>
          <w:p w14:paraId="37916EAB" w14:textId="77777777" w:rsidR="00C23675" w:rsidRPr="00D00B26" w:rsidRDefault="00C23675" w:rsidP="002B20DB">
            <w:pPr>
              <w:jc w:val="both"/>
              <w:rPr>
                <w:sz w:val="20"/>
                <w:szCs w:val="20"/>
              </w:rPr>
            </w:pPr>
          </w:p>
        </w:tc>
      </w:tr>
      <w:tr w:rsidR="00E13DF9" w:rsidRPr="00D00B26" w14:paraId="1F6266E3"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6D18F44" w14:textId="7DC97092" w:rsidR="00C23675" w:rsidRPr="00D00B26" w:rsidRDefault="00C23675"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B9AAB54" w14:textId="77777777" w:rsidR="00C23675" w:rsidRPr="00D00B26" w:rsidRDefault="008913C8" w:rsidP="002B20DB">
            <w:pPr>
              <w:shd w:val="clear" w:color="auto" w:fill="FFFFFF"/>
              <w:spacing w:after="120"/>
              <w:jc w:val="both"/>
              <w:rPr>
                <w:sz w:val="20"/>
                <w:szCs w:val="20"/>
              </w:rPr>
            </w:pPr>
            <w:r w:rsidRPr="00D00B26">
              <w:rPr>
                <w:sz w:val="20"/>
                <w:szCs w:val="20"/>
              </w:rPr>
              <w:t xml:space="preserve">9. Elektrostacijas darbības vienotā tehnoloģiskā cikla princips paredz, ka enerģija tiek ražota noteiktā tehnoloģiskajā procesā vienas </w:t>
            </w:r>
            <w:r w:rsidRPr="00D00B26">
              <w:rPr>
                <w:sz w:val="20"/>
                <w:szCs w:val="20"/>
              </w:rPr>
              <w:lastRenderedPageBreak/>
              <w:t>elektrostacijas ietvaros, šo procesu nodrošina tās lietu kopībā ietilpstošas tehnoloģiski saistītas iekārtas un ierīces, un citas lietas, ko izmanto enerģijas ražošanai elektrostacijā un kas ir attiecīgā tehnoloģiskā procesa neatņemama sastāvdaļa.</w:t>
            </w:r>
          </w:p>
          <w:p w14:paraId="5093BC51" w14:textId="77777777" w:rsidR="0034459B" w:rsidRPr="00D00B26" w:rsidRDefault="0034459B" w:rsidP="0034459B">
            <w:pPr>
              <w:shd w:val="clear" w:color="auto" w:fill="FFFFFF"/>
              <w:spacing w:after="120"/>
              <w:jc w:val="both"/>
              <w:rPr>
                <w:sz w:val="20"/>
                <w:szCs w:val="20"/>
              </w:rPr>
            </w:pPr>
            <w:r w:rsidRPr="00D00B26">
              <w:rPr>
                <w:sz w:val="20"/>
                <w:szCs w:val="20"/>
              </w:rPr>
              <w:t>80. Šo noteikumu 9. punkts ir spēkā līdz 2021.gada 1.janvārim.</w:t>
            </w:r>
          </w:p>
          <w:p w14:paraId="79D06C6F" w14:textId="77777777" w:rsidR="00956C8B" w:rsidRPr="00D00B26" w:rsidRDefault="00956C8B" w:rsidP="00956C8B">
            <w:pPr>
              <w:shd w:val="clear" w:color="auto" w:fill="FFFFFF"/>
              <w:spacing w:after="120"/>
              <w:jc w:val="both"/>
              <w:rPr>
                <w:sz w:val="20"/>
                <w:szCs w:val="20"/>
              </w:rPr>
            </w:pPr>
            <w:r w:rsidRPr="00D00B26">
              <w:rPr>
                <w:sz w:val="20"/>
                <w:szCs w:val="20"/>
              </w:rPr>
              <w:t xml:space="preserve">22. Elektrostacijas principiālajā pieslēguma shēmā norāda visas elektrostacijas lietu kopībā ietilpstošās iekārtas un ierīces, kā arī to darbības nodrošināšanai izmantotās kurināmā sagatavošanas iekārtas un palīgiekārtas atbilstoši  vienotā tehnoloģiskā cikla principam. </w:t>
            </w:r>
          </w:p>
          <w:p w14:paraId="1A662589" w14:textId="77777777" w:rsidR="00AA71F3" w:rsidRPr="00D00B26" w:rsidRDefault="00AA71F3" w:rsidP="00AA71F3">
            <w:pPr>
              <w:shd w:val="clear" w:color="auto" w:fill="FFFFFF"/>
              <w:spacing w:after="120"/>
              <w:jc w:val="both"/>
              <w:rPr>
                <w:sz w:val="20"/>
                <w:szCs w:val="20"/>
              </w:rPr>
            </w:pPr>
            <w:r w:rsidRPr="00D00B26">
              <w:rPr>
                <w:sz w:val="20"/>
                <w:szCs w:val="20"/>
              </w:rPr>
              <w:t>23. Komersants, kurš ieguvis obligātā iepirkuma tiesības, iesniedz sistēmas operatoram, publiskajam tirgotājam un birojam komersanta apliecinātu šo noteikumu </w:t>
            </w:r>
            <w:hyperlink r:id="rId12" w:anchor="p56.2%C2%A0" w:history="1">
              <w:r w:rsidRPr="00D00B26">
                <w:rPr>
                  <w:rStyle w:val="Hyperlink"/>
                  <w:sz w:val="20"/>
                  <w:szCs w:val="20"/>
                </w:rPr>
                <w:t>22. punktā</w:t>
              </w:r>
            </w:hyperlink>
            <w:r w:rsidRPr="00D00B26">
              <w:rPr>
                <w:sz w:val="20"/>
                <w:szCs w:val="20"/>
              </w:rPr>
              <w:t> minēto principiālo elektriskā pieslēguma shēmu. Publiskais tirgotājs pēc šo noteikumu </w:t>
            </w:r>
            <w:hyperlink r:id="rId13" w:anchor="p56" w:history="1">
              <w:r w:rsidRPr="00D00B26">
                <w:rPr>
                  <w:rStyle w:val="Hyperlink"/>
                  <w:sz w:val="20"/>
                  <w:szCs w:val="20"/>
                </w:rPr>
                <w:t>2.3.</w:t>
              </w:r>
            </w:hyperlink>
            <w:r w:rsidRPr="00D00B26">
              <w:rPr>
                <w:sz w:val="20"/>
                <w:szCs w:val="20"/>
              </w:rPr>
              <w:t> apakšpunktā minētā līguma stāšanās spēkā uzsāk elektrostacijā saražotās elektroenerģijas iepirkumu, ja komersants ir iesniedzis sistēmas operatoram, publiskajam tirgotājam un birojam šo noteikumu </w:t>
            </w:r>
            <w:hyperlink r:id="rId14" w:anchor="p56.2%C2%A0" w:history="1">
              <w:r w:rsidRPr="00D00B26">
                <w:rPr>
                  <w:rStyle w:val="Hyperlink"/>
                  <w:sz w:val="20"/>
                  <w:szCs w:val="20"/>
                </w:rPr>
                <w:t>22.</w:t>
              </w:r>
              <w:r w:rsidRPr="00D00B26">
                <w:rPr>
                  <w:rStyle w:val="Hyperlink"/>
                  <w:sz w:val="20"/>
                  <w:szCs w:val="20"/>
                  <w:vertAlign w:val="superscript"/>
                </w:rPr>
                <w:t> </w:t>
              </w:r>
              <w:r w:rsidRPr="00D00B26">
                <w:rPr>
                  <w:rStyle w:val="Hyperlink"/>
                  <w:sz w:val="20"/>
                  <w:szCs w:val="20"/>
                </w:rPr>
                <w:t>punktā</w:t>
              </w:r>
            </w:hyperlink>
            <w:r w:rsidRPr="00D00B26">
              <w:rPr>
                <w:sz w:val="20"/>
                <w:szCs w:val="20"/>
              </w:rPr>
              <w:t> minēto principiālo elektriskā pieslēguma shēmu. Ja elektrostacijā veiktas izmaiņas, komersants nodrošina, ka sistēmas operatoram, publiskajam tirgotājam un birojam tiek iesniegta komersanta apliecināta, faktiskajai situācijai atbilstoša šo noteikumu </w:t>
            </w:r>
            <w:hyperlink r:id="rId15" w:anchor="p56.2%C2%A0" w:history="1">
              <w:r w:rsidRPr="00D00B26">
                <w:rPr>
                  <w:rStyle w:val="Hyperlink"/>
                  <w:sz w:val="20"/>
                  <w:szCs w:val="20"/>
                </w:rPr>
                <w:t>22.</w:t>
              </w:r>
              <w:r w:rsidRPr="00D00B26">
                <w:rPr>
                  <w:rStyle w:val="Hyperlink"/>
                  <w:sz w:val="20"/>
                  <w:szCs w:val="20"/>
                  <w:vertAlign w:val="superscript"/>
                </w:rPr>
                <w:t> </w:t>
              </w:r>
              <w:r w:rsidRPr="00D00B26">
                <w:rPr>
                  <w:rStyle w:val="Hyperlink"/>
                  <w:sz w:val="20"/>
                  <w:szCs w:val="20"/>
                </w:rPr>
                <w:t>punktā</w:t>
              </w:r>
            </w:hyperlink>
            <w:r w:rsidRPr="00D00B26">
              <w:rPr>
                <w:sz w:val="20"/>
                <w:szCs w:val="20"/>
              </w:rPr>
              <w:t> minētā principiālā elektriskā pieslēguma shēma.</w:t>
            </w:r>
          </w:p>
          <w:p w14:paraId="6D4DD505" w14:textId="77777777" w:rsidR="00956C8B" w:rsidRPr="00D00B26" w:rsidRDefault="00956C8B" w:rsidP="00956C8B">
            <w:pPr>
              <w:shd w:val="clear" w:color="auto" w:fill="FFFFFF"/>
              <w:spacing w:after="120"/>
              <w:jc w:val="both"/>
              <w:rPr>
                <w:sz w:val="20"/>
                <w:szCs w:val="20"/>
              </w:rPr>
            </w:pPr>
          </w:p>
          <w:p w14:paraId="28AACA22" w14:textId="77777777" w:rsidR="008913C8" w:rsidRPr="00D00B26" w:rsidRDefault="008913C8" w:rsidP="002B20DB">
            <w:pPr>
              <w:shd w:val="clear" w:color="auto" w:fill="FFFFFF"/>
              <w:spacing w:after="120"/>
              <w:jc w:val="both"/>
              <w:rPr>
                <w:sz w:val="20"/>
                <w:szCs w:val="20"/>
              </w:rPr>
            </w:pPr>
          </w:p>
          <w:p w14:paraId="707207F4" w14:textId="17AB7B6D" w:rsidR="008913C8" w:rsidRPr="00D00B26" w:rsidRDefault="008913C8" w:rsidP="002B20DB">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E9EE1E6" w14:textId="77777777" w:rsidR="00C23675" w:rsidRPr="00D00B26" w:rsidRDefault="00C23675" w:rsidP="00686F78">
            <w:pPr>
              <w:spacing w:after="160" w:line="252" w:lineRule="auto"/>
              <w:rPr>
                <w:b/>
                <w:color w:val="000000"/>
                <w:sz w:val="20"/>
                <w:szCs w:val="20"/>
              </w:rPr>
            </w:pPr>
            <w:r w:rsidRPr="00D00B26">
              <w:rPr>
                <w:b/>
                <w:color w:val="000000"/>
                <w:sz w:val="20"/>
                <w:szCs w:val="20"/>
              </w:rPr>
              <w:lastRenderedPageBreak/>
              <w:t>Zemkopības ministrija (19.08.2020.) iebildums</w:t>
            </w:r>
          </w:p>
          <w:p w14:paraId="61A81D31" w14:textId="20F5AF94" w:rsidR="00C23675" w:rsidRPr="00D00B26" w:rsidRDefault="00C04E52" w:rsidP="002856EC">
            <w:pPr>
              <w:spacing w:after="160" w:line="252" w:lineRule="auto"/>
              <w:ind w:left="126"/>
              <w:jc w:val="both"/>
              <w:rPr>
                <w:b/>
                <w:color w:val="000000"/>
                <w:sz w:val="20"/>
                <w:szCs w:val="20"/>
              </w:rPr>
            </w:pPr>
            <w:r w:rsidRPr="00D00B26">
              <w:rPr>
                <w:sz w:val="20"/>
                <w:szCs w:val="20"/>
              </w:rPr>
              <w:lastRenderedPageBreak/>
              <w:t xml:space="preserve">Norādām, ka Elektroenerģijas tirgus likuma prasības (tika pieņemtas š.g. 30.janvārī LR Saeimā), kas </w:t>
            </w:r>
            <w:r w:rsidRPr="00D00B26">
              <w:rPr>
                <w:b/>
                <w:sz w:val="20"/>
                <w:szCs w:val="20"/>
              </w:rPr>
              <w:t>nosaka elektrostacijas darbības vienotā tehnoloģiskā cikla principu, stājas spēkā un ir piemērojamas ar 2021.gada 1.janvāri</w:t>
            </w:r>
            <w:r w:rsidRPr="00D00B26">
              <w:rPr>
                <w:sz w:val="20"/>
                <w:szCs w:val="20"/>
              </w:rPr>
              <w:t xml:space="preserve">. Tāpēc atbilstoši likumā noteiktajam lūdzam precizēt noteikumu projektu un 9.punktā </w:t>
            </w:r>
            <w:r w:rsidRPr="00D00B26">
              <w:rPr>
                <w:b/>
                <w:sz w:val="20"/>
                <w:szCs w:val="20"/>
              </w:rPr>
              <w:t>noteiktajām prasībām paredzēt spēkā stāšanos 2021.gada 1.janvārī</w:t>
            </w:r>
            <w:r w:rsidRPr="00D00B26">
              <w:rPr>
                <w:sz w:val="20"/>
                <w:szCs w:val="20"/>
              </w:rPr>
              <w:t xml:space="preserve"> un svītrot 80.punktu. Un attiecīgi veiktajām izmaiņām lūdzam precizēt visu noteikumu projektu (piemēram, 22., 23., 28., 38., 39., 3.pielikuma 2.1.2.apakšpunkts). Papildus tam lūdzam 9.punktā </w:t>
            </w:r>
            <w:r w:rsidRPr="00D00B26">
              <w:rPr>
                <w:sz w:val="20"/>
                <w:szCs w:val="20"/>
                <w:u w:val="single"/>
              </w:rPr>
              <w:t>precīzi noteikt, kādas</w:t>
            </w:r>
            <w:r w:rsidRPr="00D00B26">
              <w:rPr>
                <w:sz w:val="20"/>
                <w:szCs w:val="20"/>
              </w:rPr>
              <w:t xml:space="preserve"> “</w:t>
            </w:r>
            <w:r w:rsidRPr="00D00B26">
              <w:rPr>
                <w:b/>
                <w:sz w:val="20"/>
                <w:szCs w:val="20"/>
              </w:rPr>
              <w:t>un citas lietas</w:t>
            </w:r>
            <w:r w:rsidRPr="00D00B26">
              <w:rPr>
                <w:sz w:val="20"/>
                <w:szCs w:val="20"/>
              </w:rPr>
              <w:t>” nodrošina enerģijas ražošanas tehnoloģisko procesu.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5FD75BC" w14:textId="77777777" w:rsidR="00C23675" w:rsidRPr="00D00B26" w:rsidRDefault="00EF2F12" w:rsidP="002B20DB">
            <w:pPr>
              <w:pStyle w:val="naisc"/>
              <w:spacing w:before="0" w:after="0"/>
              <w:rPr>
                <w:b/>
                <w:sz w:val="20"/>
                <w:szCs w:val="20"/>
              </w:rPr>
            </w:pPr>
            <w:r w:rsidRPr="00D00B26">
              <w:rPr>
                <w:b/>
                <w:sz w:val="20"/>
                <w:szCs w:val="20"/>
              </w:rPr>
              <w:lastRenderedPageBreak/>
              <w:t>Iebildums ir ņemts vērā.</w:t>
            </w:r>
          </w:p>
          <w:p w14:paraId="1CEA281B" w14:textId="29FFC98E" w:rsidR="00FA6715" w:rsidRPr="00D00B26" w:rsidRDefault="00E85A19" w:rsidP="002856EC">
            <w:pPr>
              <w:pStyle w:val="NormalWeb"/>
              <w:shd w:val="clear" w:color="auto" w:fill="FFFFFF"/>
              <w:spacing w:before="0" w:beforeAutospacing="0" w:after="0" w:afterAutospacing="0"/>
              <w:jc w:val="both"/>
              <w:rPr>
                <w:bCs/>
                <w:sz w:val="20"/>
                <w:szCs w:val="20"/>
              </w:rPr>
            </w:pPr>
            <w:r w:rsidRPr="00D00B26">
              <w:rPr>
                <w:bCs/>
                <w:sz w:val="20"/>
                <w:szCs w:val="20"/>
              </w:rPr>
              <w:t>Normas, kas attiec</w:t>
            </w:r>
            <w:r w:rsidR="00F5103E" w:rsidRPr="00D00B26">
              <w:rPr>
                <w:bCs/>
                <w:sz w:val="20"/>
                <w:szCs w:val="20"/>
              </w:rPr>
              <w:t xml:space="preserve">as uz vienotā tehnoloģiskā cikla principa noteikumiem un uzraudzību, svītrotas no </w:t>
            </w:r>
            <w:r w:rsidR="00F5103E" w:rsidRPr="00D00B26">
              <w:rPr>
                <w:bCs/>
                <w:sz w:val="20"/>
                <w:szCs w:val="20"/>
              </w:rPr>
              <w:lastRenderedPageBreak/>
              <w:t xml:space="preserve">projekta, jo </w:t>
            </w:r>
            <w:r w:rsidR="003A571C" w:rsidRPr="00D00B26">
              <w:rPr>
                <w:bCs/>
                <w:sz w:val="20"/>
                <w:szCs w:val="20"/>
              </w:rPr>
              <w:t>šobrīd nav spēkā esoša deleģējuma</w:t>
            </w:r>
            <w:r w:rsidR="00463180" w:rsidRPr="00D00B26">
              <w:rPr>
                <w:bCs/>
                <w:sz w:val="20"/>
                <w:szCs w:val="20"/>
              </w:rPr>
              <w:t xml:space="preserve"> MK</w:t>
            </w:r>
            <w:r w:rsidR="003A571C" w:rsidRPr="00D00B26">
              <w:rPr>
                <w:bCs/>
                <w:sz w:val="20"/>
                <w:szCs w:val="20"/>
              </w:rPr>
              <w:t xml:space="preserve"> to regulēt.</w:t>
            </w:r>
          </w:p>
          <w:p w14:paraId="0974BCE4" w14:textId="5E11560B" w:rsidR="00BF446B" w:rsidRPr="00D00B26" w:rsidRDefault="00BF446B" w:rsidP="00B22B17">
            <w:pPr>
              <w:pStyle w:val="NormalWeb"/>
              <w:shd w:val="clear" w:color="auto" w:fill="FFFFFF"/>
              <w:spacing w:line="293" w:lineRule="atLeast"/>
              <w:ind w:firstLine="300"/>
              <w:jc w:val="both"/>
              <w:rPr>
                <w:sz w:val="20"/>
                <w:szCs w:val="20"/>
              </w:rPr>
            </w:pP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E7F335E" w14:textId="44CF1357" w:rsidR="00C23675" w:rsidRPr="00D00B26" w:rsidRDefault="00EB0D99" w:rsidP="002B20DB">
            <w:pPr>
              <w:shd w:val="clear" w:color="auto" w:fill="FFFFFF"/>
              <w:spacing w:after="120"/>
              <w:jc w:val="both"/>
              <w:rPr>
                <w:sz w:val="20"/>
                <w:szCs w:val="20"/>
              </w:rPr>
            </w:pPr>
            <w:r w:rsidRPr="00D00B26">
              <w:rPr>
                <w:sz w:val="20"/>
                <w:szCs w:val="20"/>
              </w:rPr>
              <w:lastRenderedPageBreak/>
              <w:t>Projekta punkti, kas attiecas uz vienotā tehnoloģiskā cikla principa ievērošanu, svītroti.</w:t>
            </w:r>
          </w:p>
        </w:tc>
        <w:tc>
          <w:tcPr>
            <w:tcW w:w="1388" w:type="dxa"/>
            <w:gridSpan w:val="2"/>
          </w:tcPr>
          <w:p w14:paraId="50E2945C" w14:textId="77777777" w:rsidR="00C23675" w:rsidRPr="00D00B26" w:rsidRDefault="00C23675" w:rsidP="002B20DB">
            <w:pPr>
              <w:jc w:val="both"/>
              <w:rPr>
                <w:sz w:val="20"/>
                <w:szCs w:val="20"/>
              </w:rPr>
            </w:pPr>
          </w:p>
        </w:tc>
      </w:tr>
      <w:tr w:rsidR="00E13DF9" w:rsidRPr="00D00B26" w14:paraId="32262D95"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6D02ED7" w14:textId="33F091FE" w:rsidR="00A90BFC" w:rsidRPr="00D00B26" w:rsidRDefault="00A90BFC"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35C8DE" w14:textId="77777777" w:rsidR="001468CC" w:rsidRPr="00D00B26" w:rsidRDefault="001468CC" w:rsidP="001468CC">
            <w:pPr>
              <w:shd w:val="clear" w:color="auto" w:fill="FFFFFF"/>
              <w:spacing w:after="120"/>
              <w:jc w:val="both"/>
              <w:rPr>
                <w:sz w:val="20"/>
                <w:szCs w:val="20"/>
              </w:rPr>
            </w:pPr>
            <w:r w:rsidRPr="00D00B26">
              <w:rPr>
                <w:sz w:val="20"/>
                <w:szCs w:val="20"/>
              </w:rPr>
              <w:t>13. Ne vēlāk kā no 2022. gada 1. janvāra komersants biogāzes ražošanas iekārtā kā kurināmā izejvielu biogāzes ražošanai izmanto organiskas izcelsmes atkritumus un ražošanas atlikumproduktus saskaņā ar 2. pielikumu. Minēto kurināmā izejvielu īpatsvaru kopējā kurināmā apjomā komersants nodrošina šādā apjomā:</w:t>
            </w:r>
          </w:p>
          <w:p w14:paraId="7567C80F" w14:textId="77777777" w:rsidR="001468CC" w:rsidRPr="00D00B26" w:rsidRDefault="001468CC" w:rsidP="001468CC">
            <w:pPr>
              <w:shd w:val="clear" w:color="auto" w:fill="FFFFFF"/>
              <w:spacing w:after="120"/>
              <w:jc w:val="both"/>
              <w:rPr>
                <w:sz w:val="20"/>
                <w:szCs w:val="20"/>
              </w:rPr>
            </w:pPr>
            <w:r w:rsidRPr="00D00B26">
              <w:rPr>
                <w:sz w:val="20"/>
                <w:szCs w:val="20"/>
              </w:rPr>
              <w:t>13.1. no 2022. gada 1. janvāra līdz 2025. gada 31. decembrim – vismaz 40%;</w:t>
            </w:r>
          </w:p>
          <w:p w14:paraId="2972D85E" w14:textId="77777777" w:rsidR="001468CC" w:rsidRPr="00D00B26" w:rsidRDefault="001468CC" w:rsidP="001468CC">
            <w:pPr>
              <w:shd w:val="clear" w:color="auto" w:fill="FFFFFF"/>
              <w:spacing w:after="120"/>
              <w:jc w:val="both"/>
              <w:rPr>
                <w:sz w:val="20"/>
                <w:szCs w:val="20"/>
              </w:rPr>
            </w:pPr>
            <w:r w:rsidRPr="00D00B26">
              <w:rPr>
                <w:sz w:val="20"/>
                <w:szCs w:val="20"/>
              </w:rPr>
              <w:t>13.2. no 2026. gada 1. janvāra līdz 2029. gada 31. decembrim – vismaz 60%;</w:t>
            </w:r>
          </w:p>
          <w:p w14:paraId="35E35DCC" w14:textId="77777777" w:rsidR="001468CC" w:rsidRPr="00D00B26" w:rsidRDefault="001468CC" w:rsidP="001468CC">
            <w:pPr>
              <w:shd w:val="clear" w:color="auto" w:fill="FFFFFF"/>
              <w:spacing w:after="120"/>
              <w:jc w:val="both"/>
              <w:rPr>
                <w:sz w:val="20"/>
                <w:szCs w:val="20"/>
              </w:rPr>
            </w:pPr>
            <w:r w:rsidRPr="00D00B26">
              <w:rPr>
                <w:sz w:val="20"/>
                <w:szCs w:val="20"/>
              </w:rPr>
              <w:t>13.3. no 2030. gada 1. janvāra – vismaz 80%.</w:t>
            </w:r>
          </w:p>
          <w:p w14:paraId="6E92382B" w14:textId="77777777" w:rsidR="001468CC" w:rsidRPr="00D00B26" w:rsidRDefault="001468CC" w:rsidP="001468CC">
            <w:pPr>
              <w:shd w:val="clear" w:color="auto" w:fill="FFFFFF"/>
              <w:spacing w:after="120"/>
              <w:jc w:val="both"/>
              <w:rPr>
                <w:sz w:val="20"/>
                <w:szCs w:val="20"/>
              </w:rPr>
            </w:pPr>
          </w:p>
          <w:p w14:paraId="7A81BA63" w14:textId="77777777" w:rsidR="001468CC" w:rsidRPr="00D00B26" w:rsidRDefault="001468CC" w:rsidP="001468CC">
            <w:pPr>
              <w:shd w:val="clear" w:color="auto" w:fill="FFFFFF"/>
              <w:spacing w:after="120"/>
              <w:jc w:val="both"/>
              <w:rPr>
                <w:sz w:val="20"/>
                <w:szCs w:val="20"/>
              </w:rPr>
            </w:pPr>
            <w:r w:rsidRPr="00D00B26">
              <w:rPr>
                <w:sz w:val="20"/>
                <w:szCs w:val="20"/>
              </w:rPr>
              <w:t>14. No 2022. gada 1. janvāra biogāzes elektrostacijām saskaņā ar šo noteikumu 11. punktu aprēķināto elektroenerģijas cenu papildus reizina ar šādu koeficientu, ņemot vērā biogāzes elektrostacijā izmantoto 13. punktā minēto kurināmā izejvielu īpatsvaru, ko komersants norāda gada pārskatā saskaņā ar šo noteikumu 3. pielikumu:</w:t>
            </w:r>
          </w:p>
          <w:p w14:paraId="5DD8500A" w14:textId="77777777" w:rsidR="001468CC" w:rsidRPr="00D00B26" w:rsidRDefault="001468CC" w:rsidP="001468CC">
            <w:pPr>
              <w:shd w:val="clear" w:color="auto" w:fill="FFFFFF"/>
              <w:spacing w:after="120"/>
              <w:jc w:val="both"/>
              <w:rPr>
                <w:sz w:val="20"/>
                <w:szCs w:val="20"/>
              </w:rPr>
            </w:pPr>
            <w:r w:rsidRPr="00D00B26">
              <w:rPr>
                <w:sz w:val="20"/>
                <w:szCs w:val="20"/>
              </w:rPr>
              <w:t>14.1. ja no 2022. gada 1. janvāra līdz 2025. gada 31. decembrim minēto izejvielu īpatsvars ir:</w:t>
            </w:r>
          </w:p>
          <w:p w14:paraId="4E837503" w14:textId="77777777" w:rsidR="001468CC" w:rsidRPr="00D00B26" w:rsidRDefault="001468CC" w:rsidP="001468CC">
            <w:pPr>
              <w:shd w:val="clear" w:color="auto" w:fill="FFFFFF"/>
              <w:spacing w:after="120"/>
              <w:jc w:val="both"/>
              <w:rPr>
                <w:sz w:val="20"/>
                <w:szCs w:val="20"/>
              </w:rPr>
            </w:pPr>
            <w:r w:rsidRPr="00D00B26">
              <w:rPr>
                <w:sz w:val="20"/>
                <w:szCs w:val="20"/>
              </w:rPr>
              <w:t>14.1.1. vismaz 50%, piemēro koeficientu 1;</w:t>
            </w:r>
          </w:p>
          <w:p w14:paraId="242CC4B7" w14:textId="77777777" w:rsidR="001468CC" w:rsidRPr="00D00B26" w:rsidRDefault="001468CC" w:rsidP="001468CC">
            <w:pPr>
              <w:shd w:val="clear" w:color="auto" w:fill="FFFFFF"/>
              <w:spacing w:after="120"/>
              <w:jc w:val="both"/>
              <w:rPr>
                <w:sz w:val="20"/>
                <w:szCs w:val="20"/>
              </w:rPr>
            </w:pPr>
            <w:r w:rsidRPr="00D00B26">
              <w:rPr>
                <w:sz w:val="20"/>
                <w:szCs w:val="20"/>
              </w:rPr>
              <w:t>14.1.2. no 47% līdz 49%, piemēro koeficientu 0,85;</w:t>
            </w:r>
          </w:p>
          <w:p w14:paraId="6483650A" w14:textId="77777777" w:rsidR="001468CC" w:rsidRPr="00D00B26" w:rsidRDefault="001468CC" w:rsidP="001468CC">
            <w:pPr>
              <w:shd w:val="clear" w:color="auto" w:fill="FFFFFF"/>
              <w:spacing w:after="120"/>
              <w:jc w:val="both"/>
              <w:rPr>
                <w:sz w:val="20"/>
                <w:szCs w:val="20"/>
              </w:rPr>
            </w:pPr>
            <w:r w:rsidRPr="00D00B26">
              <w:rPr>
                <w:sz w:val="20"/>
                <w:szCs w:val="20"/>
              </w:rPr>
              <w:lastRenderedPageBreak/>
              <w:t>14.1.3. no 44% līdz 46%, piemēro koeficientu 0,7;</w:t>
            </w:r>
          </w:p>
          <w:p w14:paraId="1FC81231" w14:textId="77777777" w:rsidR="001468CC" w:rsidRPr="00D00B26" w:rsidRDefault="001468CC" w:rsidP="001468CC">
            <w:pPr>
              <w:shd w:val="clear" w:color="auto" w:fill="FFFFFF"/>
              <w:spacing w:after="120"/>
              <w:jc w:val="both"/>
              <w:rPr>
                <w:sz w:val="20"/>
                <w:szCs w:val="20"/>
              </w:rPr>
            </w:pPr>
            <w:r w:rsidRPr="00D00B26">
              <w:rPr>
                <w:sz w:val="20"/>
                <w:szCs w:val="20"/>
              </w:rPr>
              <w:t>14.1.4. no 40% līdz 43%, piemēro koeficientu 0,5;</w:t>
            </w:r>
          </w:p>
          <w:p w14:paraId="596EA84F" w14:textId="77777777" w:rsidR="001468CC" w:rsidRPr="00D00B26" w:rsidRDefault="001468CC" w:rsidP="001468CC">
            <w:pPr>
              <w:shd w:val="clear" w:color="auto" w:fill="FFFFFF"/>
              <w:spacing w:after="120"/>
              <w:jc w:val="both"/>
              <w:rPr>
                <w:sz w:val="20"/>
                <w:szCs w:val="20"/>
              </w:rPr>
            </w:pPr>
            <w:r w:rsidRPr="00D00B26">
              <w:rPr>
                <w:sz w:val="20"/>
                <w:szCs w:val="20"/>
              </w:rPr>
              <w:t>14.2. ja no 2026. gada 1. janvāra līdz 2029. gada 31. decembrim minēto izejvielu īpatsvars ir:</w:t>
            </w:r>
          </w:p>
          <w:p w14:paraId="053BB59F" w14:textId="77777777" w:rsidR="001468CC" w:rsidRPr="00D00B26" w:rsidRDefault="001468CC" w:rsidP="001468CC">
            <w:pPr>
              <w:shd w:val="clear" w:color="auto" w:fill="FFFFFF"/>
              <w:spacing w:after="120"/>
              <w:jc w:val="both"/>
              <w:rPr>
                <w:sz w:val="20"/>
                <w:szCs w:val="20"/>
              </w:rPr>
            </w:pPr>
            <w:r w:rsidRPr="00D00B26">
              <w:rPr>
                <w:sz w:val="20"/>
                <w:szCs w:val="20"/>
              </w:rPr>
              <w:t>14.2.1. vismaz 70%, piemēro koeficientu 1;</w:t>
            </w:r>
          </w:p>
          <w:p w14:paraId="5EB33CD9" w14:textId="77777777" w:rsidR="001468CC" w:rsidRPr="00D00B26" w:rsidRDefault="001468CC" w:rsidP="001468CC">
            <w:pPr>
              <w:shd w:val="clear" w:color="auto" w:fill="FFFFFF"/>
              <w:spacing w:after="120"/>
              <w:jc w:val="both"/>
              <w:rPr>
                <w:sz w:val="20"/>
                <w:szCs w:val="20"/>
              </w:rPr>
            </w:pPr>
            <w:r w:rsidRPr="00D00B26">
              <w:rPr>
                <w:sz w:val="20"/>
                <w:szCs w:val="20"/>
              </w:rPr>
              <w:t>14.2.2. no 67% līdz 69%, piemēro koeficientu 0,9;</w:t>
            </w:r>
          </w:p>
          <w:p w14:paraId="1D32317E" w14:textId="77777777" w:rsidR="001468CC" w:rsidRPr="00D00B26" w:rsidRDefault="001468CC" w:rsidP="001468CC">
            <w:pPr>
              <w:shd w:val="clear" w:color="auto" w:fill="FFFFFF"/>
              <w:spacing w:after="120"/>
              <w:jc w:val="both"/>
              <w:rPr>
                <w:sz w:val="20"/>
                <w:szCs w:val="20"/>
              </w:rPr>
            </w:pPr>
            <w:r w:rsidRPr="00D00B26">
              <w:rPr>
                <w:sz w:val="20"/>
                <w:szCs w:val="20"/>
              </w:rPr>
              <w:t>14.2.3. no 64% līdz 66%, piemēro koeficientu 0,8;</w:t>
            </w:r>
          </w:p>
          <w:p w14:paraId="29A16E64" w14:textId="77777777" w:rsidR="001468CC" w:rsidRPr="00D00B26" w:rsidRDefault="001468CC" w:rsidP="001468CC">
            <w:pPr>
              <w:shd w:val="clear" w:color="auto" w:fill="FFFFFF"/>
              <w:spacing w:after="120"/>
              <w:jc w:val="both"/>
              <w:rPr>
                <w:sz w:val="20"/>
                <w:szCs w:val="20"/>
              </w:rPr>
            </w:pPr>
            <w:r w:rsidRPr="00D00B26">
              <w:rPr>
                <w:sz w:val="20"/>
                <w:szCs w:val="20"/>
              </w:rPr>
              <w:t>14.2.4. no 60% līdz 63%, piemēro koeficientu 0,6;</w:t>
            </w:r>
          </w:p>
          <w:p w14:paraId="3114ADF9" w14:textId="77777777" w:rsidR="001468CC" w:rsidRPr="00D00B26" w:rsidRDefault="001468CC" w:rsidP="001468CC">
            <w:pPr>
              <w:shd w:val="clear" w:color="auto" w:fill="FFFFFF"/>
              <w:spacing w:after="120"/>
              <w:jc w:val="both"/>
              <w:rPr>
                <w:sz w:val="20"/>
                <w:szCs w:val="20"/>
              </w:rPr>
            </w:pPr>
            <w:r w:rsidRPr="00D00B26">
              <w:rPr>
                <w:sz w:val="20"/>
                <w:szCs w:val="20"/>
              </w:rPr>
              <w:t>14.3. ja no 2030. gada 1. janvāra minēto izejvielu īpatsvars ir:</w:t>
            </w:r>
          </w:p>
          <w:p w14:paraId="0162F36A" w14:textId="77777777" w:rsidR="001468CC" w:rsidRPr="00D00B26" w:rsidRDefault="001468CC" w:rsidP="001468CC">
            <w:pPr>
              <w:shd w:val="clear" w:color="auto" w:fill="FFFFFF"/>
              <w:spacing w:after="120"/>
              <w:jc w:val="both"/>
              <w:rPr>
                <w:sz w:val="20"/>
                <w:szCs w:val="20"/>
              </w:rPr>
            </w:pPr>
            <w:r w:rsidRPr="00D00B26">
              <w:rPr>
                <w:sz w:val="20"/>
                <w:szCs w:val="20"/>
              </w:rPr>
              <w:t>14.3.1. vismaz 90%, piemēro koeficientu 1;</w:t>
            </w:r>
          </w:p>
          <w:p w14:paraId="4C20E7B3" w14:textId="77777777" w:rsidR="001468CC" w:rsidRPr="00D00B26" w:rsidRDefault="001468CC" w:rsidP="001468CC">
            <w:pPr>
              <w:shd w:val="clear" w:color="auto" w:fill="FFFFFF"/>
              <w:spacing w:after="120"/>
              <w:jc w:val="both"/>
              <w:rPr>
                <w:sz w:val="20"/>
                <w:szCs w:val="20"/>
              </w:rPr>
            </w:pPr>
            <w:r w:rsidRPr="00D00B26">
              <w:rPr>
                <w:sz w:val="20"/>
                <w:szCs w:val="20"/>
              </w:rPr>
              <w:t>14.3.2. no 87% līdz 89%, piemēro koeficientu 0,95;</w:t>
            </w:r>
          </w:p>
          <w:p w14:paraId="25658EBA" w14:textId="77777777" w:rsidR="001468CC" w:rsidRPr="00D00B26" w:rsidRDefault="001468CC" w:rsidP="001468CC">
            <w:pPr>
              <w:shd w:val="clear" w:color="auto" w:fill="FFFFFF"/>
              <w:spacing w:after="120"/>
              <w:jc w:val="both"/>
              <w:rPr>
                <w:sz w:val="20"/>
                <w:szCs w:val="20"/>
              </w:rPr>
            </w:pPr>
            <w:r w:rsidRPr="00D00B26">
              <w:rPr>
                <w:sz w:val="20"/>
                <w:szCs w:val="20"/>
              </w:rPr>
              <w:t>14.3.3. no 84% līdz 86%, piemēro koeficientu 0,85;</w:t>
            </w:r>
          </w:p>
          <w:p w14:paraId="7BA1AC71" w14:textId="44214C90" w:rsidR="00A90BFC" w:rsidRPr="00D00B26" w:rsidRDefault="001468CC" w:rsidP="001468CC">
            <w:pPr>
              <w:shd w:val="clear" w:color="auto" w:fill="FFFFFF"/>
              <w:spacing w:after="120"/>
              <w:jc w:val="both"/>
              <w:rPr>
                <w:sz w:val="20"/>
                <w:szCs w:val="20"/>
              </w:rPr>
            </w:pPr>
            <w:r w:rsidRPr="00D00B26">
              <w:rPr>
                <w:sz w:val="20"/>
                <w:szCs w:val="20"/>
              </w:rPr>
              <w:t>14.3.4. no 80% līdz 83%, piemēro koeficientu 0,7.</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E870420" w14:textId="77777777" w:rsidR="00A90BFC" w:rsidRPr="00D00B26" w:rsidRDefault="00A90BFC" w:rsidP="002B4CA1">
            <w:pPr>
              <w:spacing w:after="160" w:line="252" w:lineRule="auto"/>
              <w:ind w:left="360"/>
              <w:jc w:val="center"/>
              <w:rPr>
                <w:b/>
                <w:color w:val="000000"/>
                <w:sz w:val="20"/>
                <w:szCs w:val="20"/>
              </w:rPr>
            </w:pPr>
            <w:r w:rsidRPr="00D00B26">
              <w:rPr>
                <w:b/>
                <w:color w:val="000000"/>
                <w:sz w:val="20"/>
                <w:szCs w:val="20"/>
              </w:rPr>
              <w:lastRenderedPageBreak/>
              <w:t>Zemkopības ministrija (19.08.2020.) iebildums</w:t>
            </w:r>
          </w:p>
          <w:p w14:paraId="0461700D" w14:textId="0653E88C" w:rsidR="00A90BFC" w:rsidRPr="00D00B26" w:rsidRDefault="003755AD" w:rsidP="00F102E4">
            <w:pPr>
              <w:spacing w:after="160" w:line="252" w:lineRule="auto"/>
              <w:ind w:left="42"/>
              <w:jc w:val="both"/>
              <w:rPr>
                <w:b/>
                <w:color w:val="000000"/>
                <w:sz w:val="20"/>
                <w:szCs w:val="20"/>
              </w:rPr>
            </w:pPr>
            <w:r w:rsidRPr="00D00B26">
              <w:rPr>
                <w:sz w:val="20"/>
                <w:szCs w:val="20"/>
              </w:rPr>
              <w:t>Atbilstoši 13. punktam komersantam ir jānodrošina kurināmā izejvielu īpatsvaru kopējā kurināmā noteiktajā apjomā un noteiktajā laika posmā. Tātad - gadījumā, ja netiks ievērotas izejvielu procentu attiecības, atbilstoši 14.punktā noteiktajam komersantam draud elektroenerģijas iepirkuma cenas samazinājums. Vēršam uzmanību, ka, izvērtējot 2018. gada 11. decembra Eiropas Parlamenta un Padomes Direktīvā (ES) 2018/2001 par no atjaunojamajiem energoresursiem iegūtas enerģijas izmantošanas veicināšanu VI. pielikumā noteikto - kā aprēķināms Siltumnīcefekta gāzu (SEG) emisiju ietaupījums no dažādos veidos saražotas atjaunojamas enerģijas, var secināt, ka, ievērojot 13. punktā izejvielu procentu attiecības, SEG emisiju ietaupījums ir zems. Savukārt, ja tiek panākts ievērojams SEG emisiju ietaupījums (mainot izejvielu proporcijas), tad, ņemot vērā 14.punktā izejvielu īpatsvaru un piemērojamo koeficientu, komersantam tiek samazināta elektroenerģijas cena. Tāpēc lūdzam izvērtēt cenas samazinājuma samērojamību ar ietekmi uz SEG emisijām.</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CB8E553" w14:textId="77777777" w:rsidR="00A90BFC" w:rsidRPr="00D00B26" w:rsidRDefault="003C76D3" w:rsidP="002B20DB">
            <w:pPr>
              <w:pStyle w:val="naisc"/>
              <w:spacing w:before="0" w:after="0"/>
              <w:rPr>
                <w:b/>
                <w:sz w:val="20"/>
                <w:szCs w:val="20"/>
              </w:rPr>
            </w:pPr>
            <w:r w:rsidRPr="00D00B26">
              <w:rPr>
                <w:b/>
                <w:sz w:val="20"/>
                <w:szCs w:val="20"/>
              </w:rPr>
              <w:t>Iebildums daļēji ņemts vērā.</w:t>
            </w:r>
          </w:p>
          <w:p w14:paraId="64909C21" w14:textId="3C4484A8" w:rsidR="003C76D3" w:rsidRPr="00D00B26" w:rsidRDefault="00F23EC3" w:rsidP="00EE66A3">
            <w:pPr>
              <w:pStyle w:val="naisc"/>
              <w:spacing w:before="0" w:after="0"/>
              <w:jc w:val="left"/>
              <w:rPr>
                <w:sz w:val="20"/>
                <w:szCs w:val="20"/>
              </w:rPr>
            </w:pPr>
            <w:r w:rsidRPr="00D00B26">
              <w:rPr>
                <w:sz w:val="20"/>
                <w:szCs w:val="20"/>
              </w:rPr>
              <w:t>.</w:t>
            </w:r>
          </w:p>
          <w:p w14:paraId="29146616" w14:textId="2E76FB19" w:rsidR="003C76D3" w:rsidRPr="00D00B26" w:rsidRDefault="008154B4" w:rsidP="00F102E4">
            <w:pPr>
              <w:pStyle w:val="naisc"/>
              <w:spacing w:before="0" w:after="0"/>
              <w:jc w:val="both"/>
              <w:rPr>
                <w:i/>
                <w:sz w:val="20"/>
                <w:szCs w:val="20"/>
              </w:rPr>
            </w:pPr>
            <w:r w:rsidRPr="00D00B26">
              <w:rPr>
                <w:sz w:val="20"/>
                <w:szCs w:val="20"/>
              </w:rPr>
              <w:t xml:space="preserve">Ministru kabinets </w:t>
            </w:r>
            <w:r w:rsidR="006B2076" w:rsidRPr="00D00B26">
              <w:rPr>
                <w:bCs/>
                <w:sz w:val="20"/>
                <w:szCs w:val="20"/>
              </w:rPr>
              <w:t xml:space="preserve">ir izvērtējis šāda priekšlikuma ieviešanu un </w:t>
            </w:r>
            <w:r w:rsidRPr="00D00B26">
              <w:rPr>
                <w:sz w:val="20"/>
                <w:szCs w:val="20"/>
              </w:rPr>
              <w:t xml:space="preserve">uzdevis </w:t>
            </w:r>
            <w:r w:rsidR="006B2076" w:rsidRPr="00D00B26">
              <w:rPr>
                <w:bCs/>
                <w:sz w:val="20"/>
                <w:szCs w:val="20"/>
              </w:rPr>
              <w:t>Ekonomikas ministrijai izstrādāt atbilstošus grozījumus</w:t>
            </w:r>
            <w:r w:rsidR="00D00012" w:rsidRPr="00D00B26">
              <w:rPr>
                <w:sz w:val="20"/>
                <w:szCs w:val="20"/>
              </w:rPr>
              <w:t>, ap</w:t>
            </w:r>
            <w:r w:rsidR="00FA74B9" w:rsidRPr="00D00B26">
              <w:rPr>
                <w:sz w:val="20"/>
                <w:szCs w:val="20"/>
              </w:rPr>
              <w:t>s</w:t>
            </w:r>
            <w:r w:rsidR="00D00012" w:rsidRPr="00D00B26">
              <w:rPr>
                <w:sz w:val="20"/>
                <w:szCs w:val="20"/>
              </w:rPr>
              <w:t>tiprinot</w:t>
            </w:r>
            <w:r w:rsidR="00FA74B9" w:rsidRPr="00D00B26">
              <w:rPr>
                <w:sz w:val="20"/>
                <w:szCs w:val="20"/>
              </w:rPr>
              <w:t xml:space="preserve"> </w:t>
            </w:r>
            <w:r w:rsidR="009137FD" w:rsidRPr="00D00B26">
              <w:rPr>
                <w:sz w:val="20"/>
                <w:szCs w:val="20"/>
                <w:shd w:val="clear" w:color="auto" w:fill="FFFFFF"/>
              </w:rPr>
              <w:t>i</w:t>
            </w:r>
            <w:r w:rsidR="00921EA1" w:rsidRPr="00D00B26">
              <w:rPr>
                <w:sz w:val="20"/>
                <w:szCs w:val="20"/>
                <w:shd w:val="clear" w:color="auto" w:fill="FFFFFF"/>
              </w:rPr>
              <w:t>nformatīv</w:t>
            </w:r>
            <w:r w:rsidR="009137FD" w:rsidRPr="00D00B26">
              <w:rPr>
                <w:sz w:val="20"/>
                <w:szCs w:val="20"/>
                <w:shd w:val="clear" w:color="auto" w:fill="FFFFFF"/>
              </w:rPr>
              <w:t>o</w:t>
            </w:r>
            <w:r w:rsidR="00921EA1" w:rsidRPr="00D00B26">
              <w:rPr>
                <w:sz w:val="20"/>
                <w:szCs w:val="20"/>
                <w:shd w:val="clear" w:color="auto" w:fill="FFFFFF"/>
              </w:rPr>
              <w:t xml:space="preserve"> ziņojum</w:t>
            </w:r>
            <w:r w:rsidR="009137FD" w:rsidRPr="00D00B26">
              <w:rPr>
                <w:sz w:val="20"/>
                <w:szCs w:val="20"/>
                <w:shd w:val="clear" w:color="auto" w:fill="FFFFFF"/>
              </w:rPr>
              <w:t>u</w:t>
            </w:r>
            <w:r w:rsidR="00921EA1" w:rsidRPr="00D00B26">
              <w:rPr>
                <w:sz w:val="20"/>
                <w:szCs w:val="20"/>
                <w:shd w:val="clear" w:color="auto" w:fill="FFFFFF"/>
              </w:rPr>
              <w:t xml:space="preserve"> "Par elektroenerģijas obligātā iepirkuma komponentes problemātikas iespējamajiem risinājumiem un enerģētikas politikas īstenošanas funkcijām"</w:t>
            </w:r>
            <w:r w:rsidRPr="00D00B26">
              <w:rPr>
                <w:sz w:val="20"/>
                <w:szCs w:val="20"/>
              </w:rPr>
              <w:t xml:space="preserve"> </w:t>
            </w:r>
            <w:r w:rsidR="00AA3C6C" w:rsidRPr="00D00B26">
              <w:rPr>
                <w:sz w:val="20"/>
                <w:szCs w:val="20"/>
              </w:rPr>
              <w:t xml:space="preserve">Ministru kabineta </w:t>
            </w:r>
            <w:r w:rsidR="00EC7175" w:rsidRPr="00D00B26">
              <w:rPr>
                <w:sz w:val="20"/>
                <w:szCs w:val="20"/>
              </w:rPr>
              <w:t xml:space="preserve">2019.gada 16.jūlija </w:t>
            </w:r>
            <w:r w:rsidR="00A13F9E" w:rsidRPr="00D00B26">
              <w:rPr>
                <w:sz w:val="20"/>
                <w:szCs w:val="20"/>
              </w:rPr>
              <w:t>sēdē (</w:t>
            </w:r>
            <w:r w:rsidR="00EC7175" w:rsidRPr="00D00B26">
              <w:rPr>
                <w:sz w:val="20"/>
                <w:szCs w:val="20"/>
              </w:rPr>
              <w:t>protokollēmum</w:t>
            </w:r>
            <w:r w:rsidR="00A13F9E" w:rsidRPr="00D00B26">
              <w:rPr>
                <w:sz w:val="20"/>
                <w:szCs w:val="20"/>
              </w:rPr>
              <w:t xml:space="preserve">a </w:t>
            </w:r>
            <w:r w:rsidR="009616FC" w:rsidRPr="00D00B26">
              <w:rPr>
                <w:sz w:val="20"/>
                <w:szCs w:val="20"/>
              </w:rPr>
              <w:t>Nr.</w:t>
            </w:r>
            <w:r w:rsidR="006B4649" w:rsidRPr="00D00B26">
              <w:rPr>
                <w:sz w:val="20"/>
                <w:szCs w:val="20"/>
              </w:rPr>
              <w:t>33</w:t>
            </w:r>
            <w:r w:rsidR="00EE66A3" w:rsidRPr="00D00B26">
              <w:rPr>
                <w:bCs/>
                <w:sz w:val="20"/>
                <w:szCs w:val="20"/>
              </w:rPr>
              <w:t xml:space="preserve"> </w:t>
            </w:r>
            <w:r w:rsidR="009E50B7" w:rsidRPr="00D00B26">
              <w:rPr>
                <w:sz w:val="20"/>
                <w:szCs w:val="20"/>
                <w:shd w:val="clear" w:color="auto" w:fill="FFFFFF"/>
              </w:rPr>
              <w:t xml:space="preserve"> 88.§</w:t>
            </w:r>
            <w:r w:rsidR="003B691A" w:rsidRPr="00D00B26">
              <w:rPr>
                <w:sz w:val="20"/>
                <w:szCs w:val="20"/>
                <w:shd w:val="clear" w:color="auto" w:fill="FFFFFF"/>
              </w:rPr>
              <w:t>)</w:t>
            </w:r>
            <w:r w:rsidR="00EE66A3" w:rsidRPr="00D00B26">
              <w:rPr>
                <w:sz w:val="20"/>
                <w:szCs w:val="20"/>
                <w:shd w:val="clear" w:color="auto" w:fill="FFFFFF"/>
              </w:rPr>
              <w:t>.</w:t>
            </w:r>
            <w:r w:rsidR="005705A9" w:rsidRPr="00D00B26">
              <w:rPr>
                <w:b/>
                <w:sz w:val="20"/>
                <w:szCs w:val="20"/>
                <w:shd w:val="clear" w:color="auto" w:fill="FFFFFF"/>
              </w:rPr>
              <w:t xml:space="preserve"> </w:t>
            </w:r>
            <w:r w:rsidR="00F85A40" w:rsidRPr="00D00B26">
              <w:rPr>
                <w:b/>
                <w:sz w:val="20"/>
                <w:szCs w:val="20"/>
                <w:shd w:val="clear" w:color="auto" w:fill="FFFFFF"/>
              </w:rPr>
              <w:t xml:space="preserve"> </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EE71CD3" w14:textId="77777777" w:rsidR="00FB100F" w:rsidRPr="00D00B26" w:rsidRDefault="00FB100F" w:rsidP="00FB100F">
            <w:pPr>
              <w:pStyle w:val="ListParagraph"/>
              <w:numPr>
                <w:ilvl w:val="0"/>
                <w:numId w:val="37"/>
              </w:numPr>
              <w:suppressAutoHyphens/>
              <w:autoSpaceDN w:val="0"/>
              <w:spacing w:after="160" w:line="256" w:lineRule="auto"/>
              <w:jc w:val="both"/>
              <w:textAlignment w:val="baseline"/>
              <w:rPr>
                <w:rFonts w:ascii="Times New Roman" w:hAnsi="Times New Roman"/>
                <w:sz w:val="20"/>
                <w:szCs w:val="20"/>
              </w:rPr>
            </w:pPr>
            <w:r w:rsidRPr="00D00B26">
              <w:rPr>
                <w:rFonts w:ascii="Times New Roman" w:hAnsi="Times New Roman"/>
                <w:sz w:val="20"/>
                <w:szCs w:val="20"/>
              </w:rPr>
              <w:t>Ne vēlāk kā no 2022. gada 1. janvāra komersants biogāzes ražošanas iekārtā kā kurināmā izejvielu biogāzes ražošanai izmanto organiskas izcelsmes atkritumus un ražošanas atlikumproduktus saskaņā ar šo noteikumu 2. pielikumu. Komersants nodrošina, ka minēto kurināmā izejvielu īpatsvars kalendāra gada ietvarā</w:t>
            </w:r>
            <w:r w:rsidRPr="00D00B26" w:rsidDel="00AA245C">
              <w:rPr>
                <w:rFonts w:ascii="Times New Roman" w:hAnsi="Times New Roman"/>
                <w:sz w:val="20"/>
                <w:szCs w:val="20"/>
              </w:rPr>
              <w:t xml:space="preserve"> </w:t>
            </w:r>
            <w:r w:rsidRPr="00D00B26">
              <w:rPr>
                <w:rFonts w:ascii="Times New Roman" w:hAnsi="Times New Roman"/>
                <w:sz w:val="20"/>
                <w:szCs w:val="20"/>
              </w:rPr>
              <w:t>pret kopējo patērēto izejvielu apjomu biogāzes ražošanai ir šādā apjomā:</w:t>
            </w:r>
          </w:p>
          <w:p w14:paraId="0349C175" w14:textId="77777777" w:rsidR="00FB100F" w:rsidRPr="00D00B26" w:rsidRDefault="00FB100F" w:rsidP="00FB100F">
            <w:pPr>
              <w:pStyle w:val="ListParagraph"/>
              <w:numPr>
                <w:ilvl w:val="1"/>
                <w:numId w:val="37"/>
              </w:numPr>
              <w:suppressAutoHyphens/>
              <w:autoSpaceDN w:val="0"/>
              <w:spacing w:after="160" w:line="256" w:lineRule="auto"/>
              <w:jc w:val="both"/>
              <w:textAlignment w:val="baseline"/>
              <w:rPr>
                <w:rFonts w:ascii="Times New Roman" w:hAnsi="Times New Roman"/>
                <w:sz w:val="20"/>
                <w:szCs w:val="20"/>
              </w:rPr>
            </w:pPr>
            <w:r w:rsidRPr="00D00B26">
              <w:rPr>
                <w:rFonts w:ascii="Times New Roman" w:hAnsi="Times New Roman"/>
                <w:sz w:val="20"/>
                <w:szCs w:val="20"/>
              </w:rPr>
              <w:t>no 2022. gada 1. janvāra līdz 2025. gada 31. decembrim – vismaz 40%;</w:t>
            </w:r>
          </w:p>
          <w:p w14:paraId="3F8F4580" w14:textId="77777777" w:rsidR="00FB100F" w:rsidRPr="00D00B26" w:rsidRDefault="00FB100F" w:rsidP="00FB100F">
            <w:pPr>
              <w:pStyle w:val="ListParagraph"/>
              <w:numPr>
                <w:ilvl w:val="1"/>
                <w:numId w:val="37"/>
              </w:numPr>
              <w:suppressAutoHyphens/>
              <w:autoSpaceDN w:val="0"/>
              <w:spacing w:after="160" w:line="256" w:lineRule="auto"/>
              <w:jc w:val="both"/>
              <w:textAlignment w:val="baseline"/>
              <w:rPr>
                <w:rFonts w:ascii="Times New Roman" w:hAnsi="Times New Roman"/>
                <w:sz w:val="20"/>
                <w:szCs w:val="20"/>
              </w:rPr>
            </w:pPr>
            <w:r w:rsidRPr="00D00B26">
              <w:rPr>
                <w:rFonts w:ascii="Times New Roman" w:hAnsi="Times New Roman"/>
                <w:sz w:val="20"/>
                <w:szCs w:val="20"/>
              </w:rPr>
              <w:t>no 2026. gada 1. janvāra līdz 2029. gada 31. decembrim – vismaz 60%;</w:t>
            </w:r>
          </w:p>
          <w:p w14:paraId="1CABE3F4" w14:textId="77777777" w:rsidR="00A90BFC" w:rsidRPr="00D00B26" w:rsidRDefault="00FB100F" w:rsidP="00FB100F">
            <w:pPr>
              <w:shd w:val="clear" w:color="auto" w:fill="FFFFFF"/>
              <w:spacing w:after="120"/>
              <w:jc w:val="both"/>
              <w:rPr>
                <w:sz w:val="20"/>
                <w:szCs w:val="20"/>
              </w:rPr>
            </w:pPr>
            <w:r w:rsidRPr="00D00B26">
              <w:rPr>
                <w:sz w:val="20"/>
                <w:szCs w:val="20"/>
              </w:rPr>
              <w:t>no 2030. gada 1. janvāra – vismaz 80%</w:t>
            </w:r>
          </w:p>
          <w:p w14:paraId="390FC0C6" w14:textId="77777777" w:rsidR="00FB100F" w:rsidRPr="00D00B26" w:rsidRDefault="00FB100F" w:rsidP="00FB100F">
            <w:pPr>
              <w:pStyle w:val="ListParagraph"/>
              <w:numPr>
                <w:ilvl w:val="0"/>
                <w:numId w:val="40"/>
              </w:numPr>
              <w:suppressAutoHyphens/>
              <w:autoSpaceDN w:val="0"/>
              <w:spacing w:after="160" w:line="256" w:lineRule="auto"/>
              <w:ind w:left="66" w:hanging="11"/>
              <w:jc w:val="both"/>
              <w:textAlignment w:val="baseline"/>
              <w:rPr>
                <w:rFonts w:ascii="Times New Roman" w:hAnsi="Times New Roman"/>
                <w:sz w:val="20"/>
                <w:szCs w:val="20"/>
              </w:rPr>
            </w:pPr>
            <w:bookmarkStart w:id="14" w:name="_Ref49412815"/>
            <w:r w:rsidRPr="00D00B26">
              <w:rPr>
                <w:rFonts w:ascii="Times New Roman" w:hAnsi="Times New Roman"/>
                <w:sz w:val="20"/>
                <w:szCs w:val="20"/>
              </w:rPr>
              <w:t xml:space="preserve">Publiskais tirgotājs, veicot norēķinus ar komersantu par kārtējā mēnesī saražoto elektroenerģiju, biogāzes elektrostacijām saskaņā ar šo noteikumu </w:t>
            </w:r>
            <w:r w:rsidRPr="00D00B26">
              <w:rPr>
                <w:rFonts w:ascii="Times New Roman" w:hAnsi="Times New Roman"/>
                <w:sz w:val="20"/>
                <w:szCs w:val="20"/>
              </w:rPr>
              <w:fldChar w:fldCharType="begin"/>
            </w:r>
            <w:r w:rsidRPr="00D00B26">
              <w:rPr>
                <w:rFonts w:ascii="Times New Roman" w:hAnsi="Times New Roman"/>
                <w:sz w:val="20"/>
                <w:szCs w:val="20"/>
              </w:rPr>
              <w:instrText xml:space="preserve"> REF _Ref48916517 \w \h  \* MERGEFORMAT </w:instrText>
            </w:r>
            <w:r w:rsidRPr="00D00B26">
              <w:rPr>
                <w:rFonts w:ascii="Times New Roman" w:hAnsi="Times New Roman"/>
                <w:sz w:val="20"/>
                <w:szCs w:val="20"/>
              </w:rPr>
            </w:r>
            <w:r w:rsidRPr="00D00B26">
              <w:rPr>
                <w:rFonts w:ascii="Times New Roman" w:hAnsi="Times New Roman"/>
                <w:sz w:val="20"/>
                <w:szCs w:val="20"/>
              </w:rPr>
              <w:fldChar w:fldCharType="separate"/>
            </w:r>
            <w:r w:rsidRPr="00D00B26">
              <w:rPr>
                <w:rFonts w:ascii="Times New Roman" w:hAnsi="Times New Roman"/>
                <w:sz w:val="20"/>
                <w:szCs w:val="20"/>
              </w:rPr>
              <w:t>10</w:t>
            </w:r>
            <w:r w:rsidRPr="00D00B26">
              <w:rPr>
                <w:rFonts w:ascii="Times New Roman" w:hAnsi="Times New Roman"/>
                <w:sz w:val="20"/>
                <w:szCs w:val="20"/>
              </w:rPr>
              <w:fldChar w:fldCharType="end"/>
            </w:r>
            <w:r w:rsidRPr="00D00B26">
              <w:rPr>
                <w:rFonts w:ascii="Times New Roman" w:hAnsi="Times New Roman"/>
                <w:sz w:val="20"/>
                <w:szCs w:val="20"/>
              </w:rPr>
              <w:t xml:space="preserve">. punktu aprēķināto elektroenerģijas cenu papildus reizina ar šādu koeficientu, ņemot vērā komersanta norādīto biogāzes elektrostacijā izmantoto </w:t>
            </w:r>
            <w:r w:rsidRPr="00D00B26">
              <w:rPr>
                <w:rFonts w:ascii="Times New Roman" w:hAnsi="Times New Roman"/>
                <w:sz w:val="20"/>
                <w:szCs w:val="20"/>
              </w:rPr>
              <w:fldChar w:fldCharType="begin"/>
            </w:r>
            <w:r w:rsidRPr="00D00B26">
              <w:rPr>
                <w:rFonts w:ascii="Times New Roman" w:hAnsi="Times New Roman"/>
                <w:sz w:val="20"/>
                <w:szCs w:val="20"/>
              </w:rPr>
              <w:instrText xml:space="preserve"> REF _Ref48916624 \w \h  \* MERGEFORMAT </w:instrText>
            </w:r>
            <w:r w:rsidRPr="00D00B26">
              <w:rPr>
                <w:rFonts w:ascii="Times New Roman" w:hAnsi="Times New Roman"/>
                <w:sz w:val="20"/>
                <w:szCs w:val="20"/>
              </w:rPr>
            </w:r>
            <w:r w:rsidRPr="00D00B26">
              <w:rPr>
                <w:rFonts w:ascii="Times New Roman" w:hAnsi="Times New Roman"/>
                <w:sz w:val="20"/>
                <w:szCs w:val="20"/>
              </w:rPr>
              <w:fldChar w:fldCharType="separate"/>
            </w:r>
            <w:r w:rsidRPr="00D00B26">
              <w:rPr>
                <w:rFonts w:ascii="Times New Roman" w:hAnsi="Times New Roman"/>
                <w:sz w:val="20"/>
                <w:szCs w:val="20"/>
              </w:rPr>
              <w:t>12</w:t>
            </w:r>
            <w:r w:rsidRPr="00D00B26">
              <w:rPr>
                <w:rFonts w:ascii="Times New Roman" w:hAnsi="Times New Roman"/>
                <w:sz w:val="20"/>
                <w:szCs w:val="20"/>
              </w:rPr>
              <w:fldChar w:fldCharType="end"/>
            </w:r>
            <w:r w:rsidRPr="00D00B26">
              <w:rPr>
                <w:rFonts w:ascii="Times New Roman" w:hAnsi="Times New Roman"/>
                <w:sz w:val="20"/>
                <w:szCs w:val="20"/>
              </w:rPr>
              <w:t>. punktā minēto kurināmā izejvielu īpatsvaru:</w:t>
            </w:r>
            <w:bookmarkEnd w:id="14"/>
            <w:r w:rsidRPr="00D00B26">
              <w:rPr>
                <w:rFonts w:ascii="Times New Roman" w:hAnsi="Times New Roman"/>
                <w:sz w:val="20"/>
                <w:szCs w:val="20"/>
              </w:rPr>
              <w:t xml:space="preserve"> </w:t>
            </w:r>
          </w:p>
          <w:p w14:paraId="2C633789" w14:textId="77777777" w:rsidR="00FB100F" w:rsidRPr="00D00B26" w:rsidRDefault="00FB100F" w:rsidP="00FB100F">
            <w:pPr>
              <w:pStyle w:val="ListParagraph"/>
              <w:numPr>
                <w:ilvl w:val="1"/>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ja no 2022. gada 1. janvāra līdz 2025. gada 31. decembrim minēto izejvielu īpatsvars kārtējā mēnesī ir:</w:t>
            </w:r>
          </w:p>
          <w:p w14:paraId="755640CF"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vismaz 50%, piemēro koeficientu 1;</w:t>
            </w:r>
          </w:p>
          <w:p w14:paraId="09012E54"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lastRenderedPageBreak/>
              <w:t xml:space="preserve"> </w:t>
            </w:r>
            <w:bookmarkStart w:id="15" w:name="_Hlk49265604"/>
            <w:r w:rsidRPr="00D00B26">
              <w:rPr>
                <w:rFonts w:ascii="Times New Roman" w:hAnsi="Times New Roman"/>
                <w:sz w:val="20"/>
                <w:szCs w:val="20"/>
              </w:rPr>
              <w:t>lielāks par 47 %, bet nepārsniedz 50%, piemēro koeficientu 0,85;</w:t>
            </w:r>
          </w:p>
          <w:p w14:paraId="0D5AFA00"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44 %, bet nepārsniedz 47%, piemēro koeficientu 0,7;</w:t>
            </w:r>
          </w:p>
          <w:bookmarkEnd w:id="15"/>
          <w:p w14:paraId="76358F4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40 %, bet nepārsniedz 44%, piemēro koeficientu 0,5;</w:t>
            </w:r>
          </w:p>
          <w:p w14:paraId="7FC6FA0C"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30 %, bet nepārsniedz 40%, piemēro koeficientu 0,4;</w:t>
            </w:r>
          </w:p>
          <w:p w14:paraId="0F739B6B"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20 %, bet nepārsniedz 30%, piemēro koeficientu 0,3;</w:t>
            </w:r>
          </w:p>
          <w:p w14:paraId="611E117D"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10 %, bet nepārsniedz 20%, piemēro koeficientu 0,2;</w:t>
            </w:r>
          </w:p>
          <w:p w14:paraId="5991DC66"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5 %, bet nepārsniedz 10%, piemēro koeficientu 0,1;</w:t>
            </w:r>
          </w:p>
          <w:p w14:paraId="4BC115C9"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no 0 %, bet nepārsniedz 5%, piemēro koeficientu 0.</w:t>
            </w:r>
          </w:p>
          <w:p w14:paraId="496DACF7" w14:textId="77777777" w:rsidR="00FB100F" w:rsidRPr="00D00B26" w:rsidRDefault="00FB100F" w:rsidP="00FB100F">
            <w:pPr>
              <w:pStyle w:val="ListParagraph"/>
              <w:ind w:left="349" w:hanging="159"/>
              <w:jc w:val="both"/>
              <w:rPr>
                <w:rFonts w:ascii="Times New Roman" w:hAnsi="Times New Roman"/>
                <w:sz w:val="20"/>
                <w:szCs w:val="20"/>
              </w:rPr>
            </w:pPr>
          </w:p>
          <w:p w14:paraId="0F915D9E" w14:textId="77777777" w:rsidR="00FB100F" w:rsidRPr="00D00B26" w:rsidRDefault="00FB100F" w:rsidP="00FB100F">
            <w:pPr>
              <w:pStyle w:val="ListParagraph"/>
              <w:numPr>
                <w:ilvl w:val="1"/>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ja no 2026. gada 1. janvāra līdz 2029. gada 31. decembrim minēto izejvielu īpatsvars kārtējā mēnesī ir:</w:t>
            </w:r>
          </w:p>
          <w:p w14:paraId="56C140B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vismaz 70%, piemēro koeficientu 1;</w:t>
            </w:r>
          </w:p>
          <w:p w14:paraId="4EDD009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67 %, bet nepārsniedz 70%, piemēro koeficientu 0,9;</w:t>
            </w:r>
          </w:p>
          <w:p w14:paraId="0F6CF668"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64 %, bet nepārsniedz 67%, piemēro koeficientu 0,8;</w:t>
            </w:r>
          </w:p>
          <w:p w14:paraId="62359AD1"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60 %, bet nepārsniedz 64%, piemēro koeficientu 0,6;</w:t>
            </w:r>
          </w:p>
          <w:p w14:paraId="3D81361E"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lastRenderedPageBreak/>
              <w:t>lielāks par 50 %, bet nepārsniedz 60%, piemēro koeficientu 0,5;</w:t>
            </w:r>
          </w:p>
          <w:p w14:paraId="2105EFD9"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40 %, bet nepārsniedz 50%, piemēro koeficientu 0,4;</w:t>
            </w:r>
          </w:p>
          <w:p w14:paraId="7BCF0E3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30 %, bet nepārsniedz 40%, piemēro koeficientu 0,3;</w:t>
            </w:r>
          </w:p>
          <w:p w14:paraId="5161C254"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20 %, bet nepārsniedz 30%, piemēro koeficientu 0,2;</w:t>
            </w:r>
          </w:p>
          <w:p w14:paraId="2E68E2B7"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10 %, bet nepārsniedz 20%, piemēro koeficientu 0,1;</w:t>
            </w:r>
          </w:p>
          <w:p w14:paraId="08CE43ED"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no 0 %, bet nepārsniedz 10%, piemēro koeficientu 0;</w:t>
            </w:r>
          </w:p>
          <w:p w14:paraId="6C108C79" w14:textId="77777777" w:rsidR="00FB100F" w:rsidRPr="00D00B26" w:rsidRDefault="00FB100F" w:rsidP="00FB100F">
            <w:pPr>
              <w:pStyle w:val="ListParagraph"/>
              <w:ind w:left="349" w:hanging="159"/>
              <w:jc w:val="both"/>
              <w:rPr>
                <w:rFonts w:ascii="Times New Roman" w:hAnsi="Times New Roman"/>
                <w:sz w:val="20"/>
                <w:szCs w:val="20"/>
              </w:rPr>
            </w:pPr>
          </w:p>
          <w:p w14:paraId="51E9F2B2" w14:textId="77777777" w:rsidR="00FB100F" w:rsidRPr="00D00B26" w:rsidRDefault="00FB100F" w:rsidP="00FB100F">
            <w:pPr>
              <w:pStyle w:val="ListParagraph"/>
              <w:numPr>
                <w:ilvl w:val="1"/>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ja no 2030. gada 1. janvāra minēto izejvielu īpatsvars kārtējā mēnesī ir:</w:t>
            </w:r>
          </w:p>
          <w:p w14:paraId="17107082"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vismaz 90%, piemēro koeficientu 1;</w:t>
            </w:r>
          </w:p>
          <w:p w14:paraId="6CB8D688"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87 %, bet nepārsniedz 90%, piemēro koeficientu 0,95;</w:t>
            </w:r>
          </w:p>
          <w:p w14:paraId="0A0B1F2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84 %, bet nepārsniedz 87%, piemēro koeficientu 0,85;</w:t>
            </w:r>
          </w:p>
          <w:p w14:paraId="67B73631"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80 %, bet nepārsniedz 84%, piemēro koeficientu 0,7;</w:t>
            </w:r>
          </w:p>
          <w:p w14:paraId="7AA6EEE2"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70 %, bet nepārsniedz 80%, piemēro koeficientu 0,6;</w:t>
            </w:r>
          </w:p>
          <w:p w14:paraId="71274252"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60 %, bet nepārsniedz 70%, piemēro koeficientu 0,5;</w:t>
            </w:r>
          </w:p>
          <w:p w14:paraId="0A282520"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lastRenderedPageBreak/>
              <w:t>lielāks par 50 %, bet nepārsniedz 60, piemēro koeficientu 0,4;</w:t>
            </w:r>
          </w:p>
          <w:p w14:paraId="4124EE4D"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40 %, bet nepārsniedz 50%, piemēro koeficientu 0,3;</w:t>
            </w:r>
          </w:p>
          <w:p w14:paraId="40D6EA39"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30 %, bet nepārsniedz 40%, piemēro koeficientu 0,2;</w:t>
            </w:r>
          </w:p>
          <w:p w14:paraId="0FE455EA" w14:textId="77777777" w:rsidR="00FB100F" w:rsidRPr="00D00B26" w:rsidRDefault="00FB100F" w:rsidP="00FB100F">
            <w:pPr>
              <w:pStyle w:val="ListParagraph"/>
              <w:numPr>
                <w:ilvl w:val="2"/>
                <w:numId w:val="40"/>
              </w:numPr>
              <w:suppressAutoHyphens/>
              <w:autoSpaceDN w:val="0"/>
              <w:spacing w:after="160" w:line="256" w:lineRule="auto"/>
              <w:ind w:left="349" w:hanging="159"/>
              <w:jc w:val="both"/>
              <w:textAlignment w:val="baseline"/>
              <w:rPr>
                <w:rFonts w:ascii="Times New Roman" w:hAnsi="Times New Roman"/>
                <w:sz w:val="20"/>
                <w:szCs w:val="20"/>
              </w:rPr>
            </w:pPr>
            <w:r w:rsidRPr="00D00B26">
              <w:rPr>
                <w:rFonts w:ascii="Times New Roman" w:hAnsi="Times New Roman"/>
                <w:sz w:val="20"/>
                <w:szCs w:val="20"/>
              </w:rPr>
              <w:t>lielāks par 20 %, bet nepārsniedz 30%, piemēro koeficientu 0,1;</w:t>
            </w:r>
          </w:p>
          <w:p w14:paraId="0E9D18C9" w14:textId="45C0B73E" w:rsidR="00FB100F" w:rsidRPr="00D00B26" w:rsidRDefault="00FB100F" w:rsidP="00FB100F">
            <w:pPr>
              <w:shd w:val="clear" w:color="auto" w:fill="FFFFFF"/>
              <w:spacing w:after="120"/>
              <w:jc w:val="both"/>
              <w:rPr>
                <w:sz w:val="20"/>
                <w:szCs w:val="20"/>
              </w:rPr>
            </w:pPr>
            <w:r w:rsidRPr="00D00B26">
              <w:rPr>
                <w:sz w:val="20"/>
                <w:szCs w:val="20"/>
              </w:rPr>
              <w:t>no 0 %, bet nepārsniedz 20%, piemēro koeficientu 0.</w:t>
            </w:r>
          </w:p>
        </w:tc>
        <w:tc>
          <w:tcPr>
            <w:tcW w:w="1388" w:type="dxa"/>
            <w:gridSpan w:val="2"/>
          </w:tcPr>
          <w:p w14:paraId="3BCC92BD" w14:textId="77777777" w:rsidR="00A90BFC" w:rsidRPr="00D00B26" w:rsidRDefault="00A90BFC" w:rsidP="002B20DB">
            <w:pPr>
              <w:jc w:val="both"/>
              <w:rPr>
                <w:sz w:val="20"/>
                <w:szCs w:val="20"/>
              </w:rPr>
            </w:pPr>
          </w:p>
        </w:tc>
      </w:tr>
      <w:tr w:rsidR="00E13DF9" w:rsidRPr="00D00B26" w14:paraId="3DD17832" w14:textId="77777777" w:rsidTr="00E366AB">
        <w:trPr>
          <w:gridAfter w:val="1"/>
          <w:wAfter w:w="22" w:type="dxa"/>
          <w:trHeight w:val="447"/>
          <w:tblCellSpacing w:w="0" w:type="dxa"/>
        </w:trPr>
        <w:tc>
          <w:tcPr>
            <w:tcW w:w="104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79436EE" w14:textId="2F1D87FA" w:rsidR="003755AD" w:rsidRPr="00D00B26" w:rsidRDefault="003755AD" w:rsidP="0081357B">
            <w:pPr>
              <w:pStyle w:val="naisc"/>
              <w:numPr>
                <w:ilvl w:val="0"/>
                <w:numId w:val="41"/>
              </w:numPr>
              <w:spacing w:before="0" w:after="0"/>
              <w:ind w:right="28"/>
              <w:rPr>
                <w:sz w:val="20"/>
                <w:szCs w:val="20"/>
              </w:rPr>
            </w:pPr>
          </w:p>
        </w:tc>
        <w:tc>
          <w:tcPr>
            <w:tcW w:w="334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0BF8CB" w14:textId="77777777" w:rsidR="003755AD" w:rsidRPr="0081357B" w:rsidRDefault="003755AD" w:rsidP="0081357B">
            <w:pPr>
              <w:pStyle w:val="ListParagraph"/>
              <w:numPr>
                <w:ilvl w:val="0"/>
                <w:numId w:val="41"/>
              </w:numPr>
              <w:shd w:val="clear" w:color="auto" w:fill="FFFFFF"/>
              <w:spacing w:after="120"/>
              <w:jc w:val="center"/>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BB07BA9" w14:textId="77777777" w:rsidR="003755AD" w:rsidRPr="00D00B26" w:rsidRDefault="003755AD" w:rsidP="002B4CA1">
            <w:pPr>
              <w:spacing w:after="160" w:line="252" w:lineRule="auto"/>
              <w:ind w:left="38"/>
              <w:jc w:val="center"/>
              <w:rPr>
                <w:b/>
                <w:color w:val="000000"/>
                <w:sz w:val="20"/>
                <w:szCs w:val="20"/>
              </w:rPr>
            </w:pPr>
            <w:r w:rsidRPr="00D00B26">
              <w:rPr>
                <w:b/>
                <w:color w:val="000000"/>
                <w:sz w:val="20"/>
                <w:szCs w:val="20"/>
              </w:rPr>
              <w:t>Zemkopības ministrija (19.08.2020.) iebildums</w:t>
            </w:r>
          </w:p>
          <w:p w14:paraId="62543D4A" w14:textId="5BF004A9" w:rsidR="00D02814" w:rsidRPr="00D00B26" w:rsidRDefault="001421A7" w:rsidP="00D11CC2">
            <w:pPr>
              <w:spacing w:after="160" w:line="252" w:lineRule="auto"/>
              <w:ind w:left="38"/>
              <w:rPr>
                <w:sz w:val="20"/>
                <w:szCs w:val="20"/>
              </w:rPr>
            </w:pPr>
            <w:r w:rsidRPr="00D00B26">
              <w:rPr>
                <w:sz w:val="20"/>
                <w:szCs w:val="20"/>
              </w:rPr>
              <w:t xml:space="preserve">Lūdzam 18.4.apakšpunktu izteikt šādā redakcijā: “18.4. nodrošina, ka koģenerācijas elektrostacijā saražotā siltumenerģija tiek izmantota lietderīgi atbilstoši vienotā tehnoloģiskā cikla principam, tajā skaitā to, ka lietderīgās siltumenerģijas kopējā apjomā netiek ieskaitīta tāda siltumenerģija, kas tiek izmantota pašpatēriņam, </w:t>
            </w:r>
            <w:r w:rsidRPr="00D00B26">
              <w:rPr>
                <w:b/>
                <w:sz w:val="20"/>
                <w:szCs w:val="20"/>
              </w:rPr>
              <w:t>izņemot biogāzes stacijas, kuru organiskas izcelsmes atkritumu un ražošanas atlikumproduktu daudzums no kopējas izejvielas ir lielāks nekā 13.punktā minētais  īpatsvars</w:t>
            </w:r>
            <w:r w:rsidRPr="00D00B26">
              <w:rPr>
                <w:sz w:val="20"/>
                <w:szCs w:val="20"/>
              </w:rPr>
              <w:t>”.</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AA8567" w14:textId="77777777" w:rsidR="0012740F" w:rsidRPr="00D00B26" w:rsidRDefault="0012740F" w:rsidP="0012740F">
            <w:pPr>
              <w:pStyle w:val="naisc"/>
              <w:spacing w:before="0" w:after="0"/>
              <w:rPr>
                <w:b/>
                <w:sz w:val="20"/>
                <w:szCs w:val="20"/>
              </w:rPr>
            </w:pPr>
            <w:r w:rsidRPr="00D00B26">
              <w:rPr>
                <w:b/>
                <w:sz w:val="20"/>
                <w:szCs w:val="20"/>
              </w:rPr>
              <w:t>Iebildums daļēji ņemts vērā.</w:t>
            </w:r>
          </w:p>
          <w:p w14:paraId="2E8B187A" w14:textId="2BA1E897" w:rsidR="006150B5" w:rsidRPr="00D00B26" w:rsidRDefault="004C2D28" w:rsidP="00F102E4">
            <w:pPr>
              <w:pStyle w:val="naisc"/>
              <w:spacing w:before="0" w:after="0"/>
              <w:jc w:val="both"/>
              <w:rPr>
                <w:sz w:val="20"/>
                <w:szCs w:val="20"/>
              </w:rPr>
            </w:pPr>
            <w:r w:rsidRPr="00D00B26">
              <w:rPr>
                <w:sz w:val="20"/>
                <w:szCs w:val="20"/>
              </w:rPr>
              <w:t xml:space="preserve">Ražotāji, kam jānodrošina prasība par lietderīgas siltumenerģijas izmantošanu, ir noteikti </w:t>
            </w:r>
            <w:r w:rsidR="00A2357E" w:rsidRPr="00D00B26">
              <w:rPr>
                <w:sz w:val="20"/>
                <w:szCs w:val="20"/>
              </w:rPr>
              <w:t xml:space="preserve">Elektroenerģijas tirgus </w:t>
            </w:r>
            <w:r w:rsidRPr="00D00B26">
              <w:rPr>
                <w:sz w:val="20"/>
                <w:szCs w:val="20"/>
              </w:rPr>
              <w:t>likumā. Ministru kabine</w:t>
            </w:r>
            <w:r w:rsidR="00DE4B37" w:rsidRPr="00D00B26">
              <w:rPr>
                <w:sz w:val="20"/>
                <w:szCs w:val="20"/>
              </w:rPr>
              <w:t>tam nav deleģējuma noteikt izņēmumus.</w:t>
            </w:r>
          </w:p>
          <w:p w14:paraId="54C02CE7" w14:textId="7D64AE3C" w:rsidR="003755AD" w:rsidRPr="00D00B26" w:rsidRDefault="003755AD" w:rsidP="00AD3B2B">
            <w:pPr>
              <w:pStyle w:val="naisc"/>
              <w:spacing w:before="0" w:after="0"/>
              <w:jc w:val="left"/>
              <w:rPr>
                <w:sz w:val="20"/>
                <w:szCs w:val="20"/>
              </w:rPr>
            </w:pPr>
          </w:p>
        </w:tc>
        <w:tc>
          <w:tcPr>
            <w:tcW w:w="351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B877EC5" w14:textId="5B77C8BD" w:rsidR="003755AD" w:rsidRPr="00D00B26" w:rsidRDefault="00A5477A" w:rsidP="002B20DB">
            <w:pPr>
              <w:shd w:val="clear" w:color="auto" w:fill="FFFFFF"/>
              <w:spacing w:after="120"/>
              <w:jc w:val="both"/>
              <w:rPr>
                <w:sz w:val="20"/>
                <w:szCs w:val="20"/>
              </w:rPr>
            </w:pPr>
            <w:r w:rsidRPr="00D00B26">
              <w:rPr>
                <w:sz w:val="20"/>
                <w:szCs w:val="20"/>
              </w:rPr>
              <w:t>20.6. nodrošina, ka biogāzes vai biomasas elektrostacijā saražotā siltumenerģija tiek izmantota lietderīgi, tajā skaitā to, ka lietderīgās siltumenerģijas kopējā apjomā netiek ieskaitīta tāda siltumenerģija, kas tiek izmantota pašpatēriņam</w:t>
            </w:r>
          </w:p>
        </w:tc>
        <w:tc>
          <w:tcPr>
            <w:tcW w:w="1366" w:type="dxa"/>
          </w:tcPr>
          <w:p w14:paraId="48173823" w14:textId="77777777" w:rsidR="003755AD" w:rsidRPr="00D00B26" w:rsidRDefault="003755AD" w:rsidP="002B20DB">
            <w:pPr>
              <w:jc w:val="both"/>
              <w:rPr>
                <w:sz w:val="20"/>
                <w:szCs w:val="20"/>
              </w:rPr>
            </w:pPr>
          </w:p>
        </w:tc>
      </w:tr>
      <w:tr w:rsidR="00E13DF9" w:rsidRPr="00D00B26" w14:paraId="4585A036"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D3D3F3C" w14:textId="1AF65F55" w:rsidR="001E7B19" w:rsidRPr="00D00B26" w:rsidRDefault="001E7B19"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1AFBA30" w14:textId="122060D8" w:rsidR="001E7B19" w:rsidRPr="00D00B26" w:rsidRDefault="003211AB" w:rsidP="45358C98">
            <w:pPr>
              <w:shd w:val="clear" w:color="auto" w:fill="FFFFFF" w:themeFill="background1"/>
              <w:spacing w:after="120"/>
              <w:jc w:val="both"/>
              <w:rPr>
                <w:sz w:val="20"/>
                <w:szCs w:val="20"/>
              </w:rPr>
            </w:pPr>
            <w:r w:rsidRPr="00D00B26">
              <w:rPr>
                <w:sz w:val="20"/>
                <w:szCs w:val="20"/>
              </w:rPr>
              <w:t>38. Ja birojs konstatē, ka vairākas elektrostacijas, kam piešķirtas obligātā iepirkuma tiesības, atbilstoši vienotā tehnoloģiskā cikla principam ir uzskatāmas par vienu elektrostaciju (</w:t>
            </w:r>
            <w:r w:rsidRPr="00D00B26">
              <w:rPr>
                <w:sz w:val="20"/>
                <w:szCs w:val="20"/>
                <w:shd w:val="clear" w:color="auto" w:fill="FFFFFF"/>
              </w:rPr>
              <w:t>mākslīga sadalīšana)</w:t>
            </w:r>
            <w:r w:rsidRPr="00D00B26">
              <w:rPr>
                <w:sz w:val="20"/>
                <w:szCs w:val="20"/>
              </w:rPr>
              <w:t xml:space="preserve">, birojs 10 darba dienu laikā no fakta konstatēšanas pieņem lēmumu apturēt elektroenerģijas </w:t>
            </w:r>
            <w:r w:rsidRPr="00D00B26">
              <w:rPr>
                <w:sz w:val="20"/>
                <w:szCs w:val="20"/>
              </w:rPr>
              <w:lastRenderedPageBreak/>
              <w:t>iepirkumu obligātā iepirkuma ietvaros</w:t>
            </w:r>
            <w:r w:rsidRPr="00D00B26" w:rsidDel="00E314DF">
              <w:rPr>
                <w:sz w:val="20"/>
                <w:szCs w:val="20"/>
              </w:rPr>
              <w:t xml:space="preserve"> </w:t>
            </w:r>
            <w:r w:rsidRPr="00D00B26">
              <w:rPr>
                <w:sz w:val="20"/>
                <w:szCs w:val="20"/>
                <w:shd w:val="clear" w:color="auto" w:fill="FFFFFF"/>
              </w:rPr>
              <w:t xml:space="preserve">uz laiku līdz komersants vai komersanti veic elektrostaciju apvienošanu, bet ne ilgāk, kā uz sešiem mēnešiem. Ja komersants sešu mēnešu laikā pēc biroja lēmuma par valsts atbalsta izmaksas apturēšanu neiesniedz birojā dokumentus, kas pierāda, ka elektrostacijas mākslīga sadalīšana ir novērsta un vienotais tehnoloģiskais cikls tiek ievērots atbilstoši šajos noteikumos noteiktajam, </w:t>
            </w:r>
            <w:r w:rsidRPr="00D00B26">
              <w:rPr>
                <w:sz w:val="20"/>
                <w:szCs w:val="20"/>
              </w:rPr>
              <w:t>birojs  pieņem lēmumu par obligātā iepirkuma tiesību atcelšanu.</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0E4E853" w14:textId="77777777" w:rsidR="001E7B19" w:rsidRPr="00D00B26" w:rsidRDefault="001E7B19" w:rsidP="45358C98">
            <w:pPr>
              <w:spacing w:after="160" w:line="252" w:lineRule="auto"/>
              <w:jc w:val="center"/>
              <w:rPr>
                <w:b/>
                <w:color w:val="000000"/>
                <w:sz w:val="20"/>
                <w:szCs w:val="20"/>
              </w:rPr>
            </w:pPr>
            <w:r w:rsidRPr="00D00B26">
              <w:rPr>
                <w:b/>
                <w:color w:val="000000"/>
                <w:sz w:val="20"/>
                <w:szCs w:val="20"/>
              </w:rPr>
              <w:lastRenderedPageBreak/>
              <w:t>Zemkopības ministrija (19.08.2020.) iebildums</w:t>
            </w:r>
          </w:p>
          <w:p w14:paraId="0D8691AB" w14:textId="7937D691" w:rsidR="00456DF1" w:rsidRPr="00D00B26" w:rsidRDefault="00C02BAD" w:rsidP="00F102E4">
            <w:pPr>
              <w:spacing w:after="160" w:line="252" w:lineRule="auto"/>
              <w:jc w:val="both"/>
              <w:rPr>
                <w:b/>
                <w:sz w:val="20"/>
                <w:szCs w:val="20"/>
              </w:rPr>
            </w:pPr>
            <w:r w:rsidRPr="00D00B26">
              <w:rPr>
                <w:sz w:val="20"/>
                <w:szCs w:val="20"/>
              </w:rPr>
              <w:t xml:space="preserve">38.punktā norādīts, ka gadījumā, ja Birojs konstatē, ka vairākas elektrostacijas, kam piešķirtas obligātā iepirkuma tiesības, atbilstoši vienotā tehnoloģiskā cikla principam ir </w:t>
            </w:r>
            <w:r w:rsidRPr="00D00B26">
              <w:rPr>
                <w:sz w:val="20"/>
                <w:szCs w:val="20"/>
              </w:rPr>
              <w:lastRenderedPageBreak/>
              <w:t xml:space="preserve">uzskatāmas par vienu elektrostaciju (mākslīga sadalīšana), Birojs 10 darba dienu laikā no fakta konstatēšanas pieņem lēmumu apturēt elektroenerģijas iepirkumu obligātā iepirkuma ietvaros uz laiku līdz komersants vai komersanti veic elektrostaciju apvienošanu, bet ne ilgāk, kā uz sešiem mēnešiem. </w:t>
            </w:r>
            <w:r w:rsidRPr="00D00B26">
              <w:rPr>
                <w:b/>
                <w:sz w:val="20"/>
                <w:szCs w:val="20"/>
              </w:rPr>
              <w:t>Lūdzam precizēt šo punktu un noteikt kritērijus, vadoties pēc kuriem, ir izdarāms secinājums par elektrostaciju mākslīgu sadalīšanu.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115DA5" w14:textId="77777777" w:rsidR="001E7B19" w:rsidRPr="00D00B26" w:rsidRDefault="00380BC0" w:rsidP="45358C98">
            <w:pPr>
              <w:pStyle w:val="naisc"/>
              <w:rPr>
                <w:b/>
                <w:sz w:val="20"/>
                <w:szCs w:val="20"/>
              </w:rPr>
            </w:pPr>
            <w:r w:rsidRPr="00D00B26">
              <w:rPr>
                <w:b/>
                <w:sz w:val="20"/>
                <w:szCs w:val="20"/>
              </w:rPr>
              <w:lastRenderedPageBreak/>
              <w:t>Iebildums daļēji ņemts vērā</w:t>
            </w:r>
          </w:p>
          <w:p w14:paraId="440A50F7" w14:textId="77777777" w:rsidR="00D7003F" w:rsidRPr="00D00B26" w:rsidRDefault="00D7003F" w:rsidP="00F102E4">
            <w:pPr>
              <w:pStyle w:val="NormalWeb"/>
              <w:shd w:val="clear" w:color="auto" w:fill="FFFFFF"/>
              <w:spacing w:before="0" w:beforeAutospacing="0" w:after="0" w:afterAutospacing="0"/>
              <w:jc w:val="both"/>
              <w:rPr>
                <w:bCs/>
                <w:sz w:val="20"/>
                <w:szCs w:val="20"/>
              </w:rPr>
            </w:pPr>
            <w:r w:rsidRPr="00D00B26">
              <w:rPr>
                <w:bCs/>
                <w:sz w:val="20"/>
                <w:szCs w:val="20"/>
              </w:rPr>
              <w:t>Normas, kas attiecas uz vienotā tehnoloģiskā cikla principa noteikumiem un uzraudzību, svītrotas no projekta, jo šobrīd nav spēkā esoša deleģējuma MK to regulēt.</w:t>
            </w:r>
          </w:p>
          <w:p w14:paraId="7E8EF282" w14:textId="4EBBB4BA" w:rsidR="001E7B19" w:rsidRPr="00D00B26" w:rsidRDefault="001E7B19" w:rsidP="00F31093">
            <w:pPr>
              <w:pStyle w:val="naisc"/>
              <w:jc w:val="left"/>
              <w:rPr>
                <w:sz w:val="20"/>
                <w:szCs w:val="20"/>
              </w:rPr>
            </w:pP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FA5791" w14:textId="07522977" w:rsidR="001E7B19" w:rsidRPr="00D00B26" w:rsidRDefault="00A5477A" w:rsidP="45358C98">
            <w:pPr>
              <w:jc w:val="both"/>
              <w:rPr>
                <w:sz w:val="20"/>
                <w:szCs w:val="20"/>
              </w:rPr>
            </w:pPr>
            <w:r w:rsidRPr="00D00B26">
              <w:rPr>
                <w:sz w:val="20"/>
                <w:szCs w:val="20"/>
              </w:rPr>
              <w:t>Projekta 38.punkts svītrots.</w:t>
            </w:r>
          </w:p>
        </w:tc>
        <w:tc>
          <w:tcPr>
            <w:tcW w:w="1388" w:type="dxa"/>
            <w:gridSpan w:val="2"/>
          </w:tcPr>
          <w:p w14:paraId="3AFE36B5" w14:textId="77777777" w:rsidR="001E7B19" w:rsidRPr="00D00B26" w:rsidRDefault="001E7B19" w:rsidP="45358C98">
            <w:pPr>
              <w:jc w:val="both"/>
              <w:rPr>
                <w:sz w:val="20"/>
                <w:szCs w:val="20"/>
              </w:rPr>
            </w:pPr>
          </w:p>
        </w:tc>
      </w:tr>
      <w:tr w:rsidR="00E13DF9" w:rsidRPr="00D00B26" w14:paraId="62CF7F69"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52BA47D" w14:textId="78B40DBA" w:rsidR="004F6A01" w:rsidRPr="00D00B26" w:rsidRDefault="004F6A01"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65229ED" w14:textId="334D77E2" w:rsidR="004F6A01" w:rsidRPr="00D00B26" w:rsidRDefault="008339AA" w:rsidP="45358C98">
            <w:pPr>
              <w:shd w:val="clear" w:color="auto" w:fill="FFFFFF" w:themeFill="background1"/>
              <w:spacing w:after="120"/>
              <w:jc w:val="both"/>
              <w:rPr>
                <w:sz w:val="20"/>
                <w:szCs w:val="20"/>
              </w:rPr>
            </w:pPr>
            <w:r w:rsidRPr="00D00B26">
              <w:rPr>
                <w:sz w:val="20"/>
                <w:szCs w:val="20"/>
              </w:rPr>
              <w:t>41.7. birojs pēc kontroles grupas veiktās pārbaudes sagatavo pārbaudes aktu un nosūta to komersantam. Pārbaudes aktā norāda kontroles grupas konstatējumus par elektrostacijas atbilstību normatīvo aktu prasībām un komersanta sniegtos paskaidrojumus.</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08C9DB" w14:textId="77777777" w:rsidR="004F6A01" w:rsidRPr="00D00B26" w:rsidRDefault="004F6A01" w:rsidP="45358C98">
            <w:pPr>
              <w:spacing w:after="160" w:line="252" w:lineRule="auto"/>
              <w:jc w:val="center"/>
              <w:rPr>
                <w:b/>
                <w:color w:val="000000"/>
                <w:sz w:val="20"/>
                <w:szCs w:val="20"/>
              </w:rPr>
            </w:pPr>
            <w:r w:rsidRPr="00D00B26">
              <w:rPr>
                <w:b/>
                <w:color w:val="000000"/>
                <w:sz w:val="20"/>
                <w:szCs w:val="20"/>
              </w:rPr>
              <w:t>Zemkopības ministrija (19.08.2020.) iebildums</w:t>
            </w:r>
          </w:p>
          <w:p w14:paraId="191F2CC3" w14:textId="34CDBA18" w:rsidR="004F6A01" w:rsidRPr="00D00B26" w:rsidRDefault="004F5AB2" w:rsidP="004F5AB2">
            <w:pPr>
              <w:spacing w:after="160" w:line="252" w:lineRule="auto"/>
              <w:rPr>
                <w:b/>
                <w:color w:val="000000"/>
                <w:sz w:val="20"/>
                <w:szCs w:val="20"/>
              </w:rPr>
            </w:pPr>
            <w:r w:rsidRPr="00D00B26">
              <w:rPr>
                <w:sz w:val="20"/>
                <w:szCs w:val="20"/>
              </w:rPr>
              <w:t>Lūdzam precizēt 41.7.apakšpunktu, nosakot laika periodu, kad Birojs pēc kontroles grupas veiktās pārbaudes sagatavoto pārbaudes aktu nosūta komersantam.</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C04E923" w14:textId="6254BD25" w:rsidR="004F6A01" w:rsidRPr="00D00B26" w:rsidRDefault="007C50AF" w:rsidP="45358C98">
            <w:pPr>
              <w:pStyle w:val="naisc"/>
              <w:rPr>
                <w:b/>
                <w:sz w:val="20"/>
                <w:szCs w:val="20"/>
              </w:rPr>
            </w:pPr>
            <w:r w:rsidRPr="00D00B26">
              <w:rPr>
                <w:b/>
                <w:sz w:val="20"/>
                <w:szCs w:val="20"/>
              </w:rPr>
              <w:t>Iebildums ir 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370DBAD" w14:textId="7899A740" w:rsidR="004F6A01" w:rsidRPr="00D00B26" w:rsidRDefault="002955D0" w:rsidP="45358C98">
            <w:pPr>
              <w:jc w:val="both"/>
              <w:rPr>
                <w:sz w:val="20"/>
                <w:szCs w:val="20"/>
              </w:rPr>
            </w:pPr>
            <w:r w:rsidRPr="00D00B26">
              <w:rPr>
                <w:sz w:val="20"/>
                <w:szCs w:val="20"/>
              </w:rPr>
              <w:t>46.7.</w:t>
            </w:r>
            <w:r w:rsidRPr="00D00B26">
              <w:rPr>
                <w:sz w:val="20"/>
                <w:szCs w:val="20"/>
              </w:rPr>
              <w:tab/>
            </w:r>
            <w:r w:rsidR="00A5477A" w:rsidRPr="00D00B26">
              <w:rPr>
                <w:sz w:val="20"/>
                <w:szCs w:val="20"/>
              </w:rPr>
              <w:t>birojs mēneša laikā pēc veiktās pārbaudes sagatavo pārbaudes aktu un nosūta to komersantam. Pārbaudes aktā norāda veiktajā pārbaudē konstatēto</w:t>
            </w:r>
            <w:r w:rsidRPr="00D00B26">
              <w:rPr>
                <w:sz w:val="20"/>
                <w:szCs w:val="20"/>
              </w:rPr>
              <w:t>.</w:t>
            </w:r>
          </w:p>
        </w:tc>
        <w:tc>
          <w:tcPr>
            <w:tcW w:w="1388" w:type="dxa"/>
            <w:gridSpan w:val="2"/>
          </w:tcPr>
          <w:p w14:paraId="5BA84E44" w14:textId="77777777" w:rsidR="004F6A01" w:rsidRPr="00D00B26" w:rsidRDefault="004F6A01" w:rsidP="45358C98">
            <w:pPr>
              <w:jc w:val="both"/>
              <w:rPr>
                <w:sz w:val="20"/>
                <w:szCs w:val="20"/>
              </w:rPr>
            </w:pPr>
          </w:p>
        </w:tc>
      </w:tr>
      <w:tr w:rsidR="00E13DF9" w:rsidRPr="00D00B26" w14:paraId="22987E60"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6B398C" w14:textId="2E7F8E36" w:rsidR="004F5AB2" w:rsidRPr="00D00B26" w:rsidRDefault="004F5AB2"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18B8BCD" w14:textId="02412825" w:rsidR="004F5AB2" w:rsidRPr="00D00B26" w:rsidRDefault="007E149E" w:rsidP="003D35D5">
            <w:pPr>
              <w:shd w:val="clear" w:color="auto" w:fill="FFFFFF"/>
              <w:jc w:val="both"/>
              <w:rPr>
                <w:sz w:val="20"/>
                <w:szCs w:val="20"/>
              </w:rPr>
            </w:pPr>
            <w:r w:rsidRPr="00D00B26">
              <w:rPr>
                <w:sz w:val="20"/>
                <w:szCs w:val="20"/>
              </w:rPr>
              <w:t>43.2. elektrostacijā netiek nodrošināta saražotās elektroenerģijas izlietošana elektrostacijas darbības nodrošināšanai saskaņā ar šiem noteikumiem un vienotā tehnoloģiskā cikla principu;</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34DE13" w14:textId="77777777" w:rsidR="004F5AB2" w:rsidRPr="00D00B26" w:rsidRDefault="004F5AB2" w:rsidP="004F5AB2">
            <w:pPr>
              <w:spacing w:after="160" w:line="252" w:lineRule="auto"/>
              <w:jc w:val="center"/>
              <w:rPr>
                <w:b/>
                <w:color w:val="000000"/>
                <w:sz w:val="20"/>
                <w:szCs w:val="20"/>
              </w:rPr>
            </w:pPr>
            <w:r w:rsidRPr="00D00B26">
              <w:rPr>
                <w:b/>
                <w:color w:val="000000"/>
                <w:sz w:val="20"/>
                <w:szCs w:val="20"/>
              </w:rPr>
              <w:t>Zemkopības ministrija (19.08.2020.) iebildums</w:t>
            </w:r>
          </w:p>
          <w:p w14:paraId="617EE614" w14:textId="07BDD50A" w:rsidR="004F5AB2" w:rsidRPr="00D00B26" w:rsidRDefault="00BA39D6" w:rsidP="00BA39D6">
            <w:pPr>
              <w:spacing w:after="160" w:line="252" w:lineRule="auto"/>
              <w:rPr>
                <w:b/>
                <w:color w:val="000000"/>
                <w:sz w:val="20"/>
                <w:szCs w:val="20"/>
              </w:rPr>
            </w:pPr>
            <w:r w:rsidRPr="00D00B26">
              <w:rPr>
                <w:sz w:val="20"/>
                <w:szCs w:val="20"/>
              </w:rPr>
              <w:t>Lūdzam svītrot 43.2.apakšpunktā vārdus “un vienotā tehnoloģiskā cikla principu”, jo vienotā tehnoloģiskā cikla princips ir jau noteikts šajos noteikumos.</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F4C6379" w14:textId="13490DC3" w:rsidR="004F5AB2" w:rsidRPr="00D00B26" w:rsidRDefault="00E96FD3" w:rsidP="45358C98">
            <w:pPr>
              <w:pStyle w:val="naisc"/>
              <w:rPr>
                <w:b/>
                <w:sz w:val="20"/>
                <w:szCs w:val="20"/>
              </w:rPr>
            </w:pPr>
            <w:r w:rsidRPr="00D00B26">
              <w:rPr>
                <w:b/>
                <w:sz w:val="20"/>
                <w:szCs w:val="20"/>
              </w:rPr>
              <w:t xml:space="preserve">Iebildums </w:t>
            </w:r>
            <w:r w:rsidR="00E845EF" w:rsidRPr="00D00B26">
              <w:rPr>
                <w:b/>
                <w:sz w:val="20"/>
                <w:szCs w:val="20"/>
              </w:rPr>
              <w:t xml:space="preserve">ir </w:t>
            </w:r>
            <w:r w:rsidRPr="00D00B26">
              <w:rPr>
                <w:b/>
                <w:sz w:val="20"/>
                <w:szCs w:val="20"/>
              </w:rPr>
              <w:t>ņemts vērā.</w:t>
            </w:r>
          </w:p>
          <w:p w14:paraId="3BDB303D" w14:textId="77777777" w:rsidR="003B1588" w:rsidRPr="00D00B26" w:rsidRDefault="003B1588" w:rsidP="00F102E4">
            <w:pPr>
              <w:pStyle w:val="NormalWeb"/>
              <w:shd w:val="clear" w:color="auto" w:fill="FFFFFF"/>
              <w:spacing w:before="0" w:beforeAutospacing="0" w:after="0" w:afterAutospacing="0"/>
              <w:jc w:val="both"/>
              <w:rPr>
                <w:bCs/>
                <w:sz w:val="20"/>
                <w:szCs w:val="20"/>
              </w:rPr>
            </w:pPr>
            <w:r w:rsidRPr="00D00B26">
              <w:rPr>
                <w:bCs/>
                <w:sz w:val="20"/>
                <w:szCs w:val="20"/>
              </w:rPr>
              <w:t>Normas, kas attiecas uz vienotā tehnoloģiskā cikla principa noteikumiem un uzraudzību, svītrotas no projekta, jo šobrīd nav spēkā esoša deleģējuma MK to regulēt.</w:t>
            </w:r>
          </w:p>
          <w:p w14:paraId="5C4D665B" w14:textId="149A07F3" w:rsidR="004F5AB2" w:rsidRPr="00D00B26" w:rsidRDefault="004F5AB2" w:rsidP="45358C98">
            <w:pPr>
              <w:pStyle w:val="naisc"/>
              <w:rPr>
                <w:b/>
                <w:sz w:val="20"/>
                <w:szCs w:val="20"/>
              </w:rPr>
            </w:pP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05C953D" w14:textId="3D187E12" w:rsidR="004F5AB2" w:rsidRPr="00D00B26" w:rsidRDefault="004F5AB2" w:rsidP="45358C98">
            <w:pPr>
              <w:jc w:val="both"/>
              <w:rPr>
                <w:sz w:val="20"/>
                <w:szCs w:val="20"/>
              </w:rPr>
            </w:pPr>
          </w:p>
        </w:tc>
        <w:tc>
          <w:tcPr>
            <w:tcW w:w="1388" w:type="dxa"/>
            <w:gridSpan w:val="2"/>
          </w:tcPr>
          <w:p w14:paraId="1AD61962" w14:textId="77777777" w:rsidR="004F5AB2" w:rsidRPr="00D00B26" w:rsidRDefault="004F5AB2" w:rsidP="45358C98">
            <w:pPr>
              <w:jc w:val="both"/>
              <w:rPr>
                <w:sz w:val="20"/>
                <w:szCs w:val="20"/>
              </w:rPr>
            </w:pPr>
          </w:p>
        </w:tc>
      </w:tr>
      <w:tr w:rsidR="00E13DF9" w:rsidRPr="00D00B26" w14:paraId="6FAE9B35"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FC5A310" w14:textId="77777777" w:rsidR="00BA39D6" w:rsidRPr="00D00B26" w:rsidRDefault="00BA39D6"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5363819" w14:textId="77777777" w:rsidR="00874388" w:rsidRPr="00D00B26" w:rsidRDefault="00874388" w:rsidP="00874388">
            <w:pPr>
              <w:shd w:val="clear" w:color="auto" w:fill="FFFFFF" w:themeFill="background1"/>
              <w:spacing w:after="120"/>
              <w:jc w:val="both"/>
              <w:rPr>
                <w:sz w:val="20"/>
                <w:szCs w:val="20"/>
              </w:rPr>
            </w:pPr>
            <w:r w:rsidRPr="00D00B26">
              <w:rPr>
                <w:sz w:val="20"/>
                <w:szCs w:val="20"/>
              </w:rPr>
              <w:t>43. Birojs nosūta komersantam brīdinājumu par iespējamu obligātā iepirkuma tiesību zaudēšanu, ja birojs konstatē, ka elektrostacija neatbilst vai šo noteikumu </w:t>
            </w:r>
            <w:hyperlink r:id="rId16" w:anchor="p60" w:history="1">
              <w:r w:rsidRPr="00D00B26">
                <w:rPr>
                  <w:rStyle w:val="Hyperlink"/>
                  <w:sz w:val="20"/>
                  <w:szCs w:val="20"/>
                </w:rPr>
                <w:t>32.</w:t>
              </w:r>
            </w:hyperlink>
            <w:r w:rsidRPr="00D00B26">
              <w:rPr>
                <w:sz w:val="20"/>
                <w:szCs w:val="20"/>
              </w:rPr>
              <w:t> punktā minētā gada pārskata periodā nav atbildusi vienam no šādiem kritērijiem:</w:t>
            </w:r>
          </w:p>
          <w:p w14:paraId="64DAB030" w14:textId="77777777" w:rsidR="00877449" w:rsidRPr="00D00B26" w:rsidRDefault="00877449" w:rsidP="00877449">
            <w:pPr>
              <w:shd w:val="clear" w:color="auto" w:fill="FFFFFF" w:themeFill="background1"/>
              <w:spacing w:after="120"/>
              <w:jc w:val="both"/>
              <w:rPr>
                <w:b/>
                <w:bCs/>
                <w:sz w:val="20"/>
                <w:szCs w:val="20"/>
              </w:rPr>
            </w:pPr>
            <w:r w:rsidRPr="00D00B26">
              <w:rPr>
                <w:sz w:val="20"/>
                <w:szCs w:val="20"/>
              </w:rPr>
              <w:t xml:space="preserve">43.5. elektrostacijas darbība neatbilst normatīvajiem aktiem, kas nosaka </w:t>
            </w:r>
            <w:r w:rsidRPr="00D00B26">
              <w:rPr>
                <w:sz w:val="20"/>
                <w:szCs w:val="20"/>
              </w:rPr>
              <w:lastRenderedPageBreak/>
              <w:t>prasības elektrostaciju darbībai vides vai darba drošības jomā</w:t>
            </w:r>
          </w:p>
          <w:p w14:paraId="3C0D7EE5" w14:textId="77777777" w:rsidR="00BA39D6" w:rsidRPr="00D00B26" w:rsidRDefault="00BA39D6" w:rsidP="45358C98">
            <w:pPr>
              <w:shd w:val="clear" w:color="auto" w:fill="FFFFFF" w:themeFill="background1"/>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7FF4C1E" w14:textId="77777777" w:rsidR="00BA39D6" w:rsidRPr="00F102E4" w:rsidRDefault="00BA39D6" w:rsidP="004F5AB2">
            <w:pPr>
              <w:spacing w:after="160" w:line="252" w:lineRule="auto"/>
              <w:jc w:val="center"/>
              <w:rPr>
                <w:b/>
                <w:color w:val="000000"/>
                <w:sz w:val="20"/>
                <w:szCs w:val="20"/>
              </w:rPr>
            </w:pPr>
            <w:r w:rsidRPr="00F102E4">
              <w:rPr>
                <w:b/>
                <w:color w:val="000000"/>
                <w:sz w:val="20"/>
                <w:szCs w:val="20"/>
              </w:rPr>
              <w:lastRenderedPageBreak/>
              <w:t>Zemkopības ministrija (19.08.2020.) iebildums</w:t>
            </w:r>
          </w:p>
          <w:p w14:paraId="6CC9E81D" w14:textId="751F82E9" w:rsidR="00BA39D6" w:rsidRPr="00F102E4" w:rsidRDefault="006A2301" w:rsidP="00F102E4">
            <w:pPr>
              <w:spacing w:after="160" w:line="252" w:lineRule="auto"/>
              <w:jc w:val="both"/>
              <w:rPr>
                <w:b/>
                <w:color w:val="000000"/>
                <w:sz w:val="20"/>
                <w:szCs w:val="20"/>
              </w:rPr>
            </w:pPr>
            <w:r w:rsidRPr="00F102E4">
              <w:rPr>
                <w:sz w:val="20"/>
                <w:szCs w:val="20"/>
              </w:rPr>
              <w:t xml:space="preserve">Atbilstoši 43.5.apakšpunktam, Birojs nosūta komersantam brīdinājumu par iespējamu obligātā iepirkuma tiesību zaudēšanu, ja Birojs konstatē, ka elektrostacijas darbība neatbilst normatīvajiem aktiem, kas nosaka prasības elektrostaciju darbībai vides vai </w:t>
            </w:r>
            <w:r w:rsidRPr="00F102E4">
              <w:rPr>
                <w:sz w:val="20"/>
                <w:szCs w:val="20"/>
              </w:rPr>
              <w:lastRenderedPageBreak/>
              <w:t xml:space="preserve">darba drošības jomā. Vēršam uzmanību, ka atbilstoši vienotā tehnoloģiskā cikla principam, piemēram, kūts – ir “tās lietu kopībā ietilpstošas tehnoloģiski saistītas iekārtas un ierīces”. Tas nozīmē, ka, ja kūtī netiks ievērotas normatīvo aktu prasības </w:t>
            </w:r>
            <w:r w:rsidRPr="00F102E4">
              <w:rPr>
                <w:i/>
                <w:sz w:val="20"/>
                <w:szCs w:val="20"/>
              </w:rPr>
              <w:t>elektrostaciju darbībai</w:t>
            </w:r>
            <w:r w:rsidRPr="00F102E4">
              <w:rPr>
                <w:sz w:val="20"/>
                <w:szCs w:val="20"/>
              </w:rPr>
              <w:t xml:space="preserve"> vides vai darba drošības jomā, Birojs nosūta komersantam brīdinājumu par iespējamu obligātā iepirkuma tiesību zaudēšanu? Lūdzam precizēt noteikumu projektu un anotācijā sniegt skaidrojumu.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37C1E85" w14:textId="77777777" w:rsidR="00BA39D6" w:rsidRPr="00F102E4" w:rsidRDefault="00DE7C69" w:rsidP="45358C98">
            <w:pPr>
              <w:pStyle w:val="naisc"/>
              <w:rPr>
                <w:b/>
                <w:sz w:val="20"/>
                <w:szCs w:val="20"/>
              </w:rPr>
            </w:pPr>
            <w:r w:rsidRPr="00F102E4">
              <w:rPr>
                <w:b/>
                <w:sz w:val="20"/>
                <w:szCs w:val="20"/>
              </w:rPr>
              <w:lastRenderedPageBreak/>
              <w:t>Iebildums ir ņemts vērā.</w:t>
            </w:r>
          </w:p>
          <w:p w14:paraId="18DA80F8" w14:textId="54AEE247" w:rsidR="00BA39D6" w:rsidRPr="00F102E4" w:rsidRDefault="00E15018" w:rsidP="00E15018">
            <w:pPr>
              <w:pStyle w:val="paragraph"/>
              <w:shd w:val="clear" w:color="auto" w:fill="FFFFFF"/>
              <w:spacing w:before="0" w:beforeAutospacing="0" w:after="0" w:afterAutospacing="0"/>
              <w:ind w:left="132"/>
              <w:jc w:val="both"/>
              <w:textAlignment w:val="baseline"/>
              <w:rPr>
                <w:sz w:val="20"/>
                <w:szCs w:val="20"/>
                <w:highlight w:val="yellow"/>
              </w:rPr>
            </w:pPr>
            <w:r w:rsidRPr="00F102E4">
              <w:rPr>
                <w:bCs/>
                <w:sz w:val="20"/>
                <w:szCs w:val="20"/>
              </w:rPr>
              <w:t>Vienotā tehnoloģiskā cikla principa īstenošanas nosacījumi netiks iekļauti šajā projektā. Tie tiks izstrādāti līdz 2021. gada 1. janvārim.</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1927B3F" w14:textId="6FA94B08" w:rsidR="00BA39D6" w:rsidRPr="00D00B26" w:rsidRDefault="00BA39D6" w:rsidP="45358C98">
            <w:pPr>
              <w:jc w:val="both"/>
              <w:rPr>
                <w:sz w:val="20"/>
                <w:szCs w:val="20"/>
                <w:highlight w:val="yellow"/>
              </w:rPr>
            </w:pPr>
          </w:p>
        </w:tc>
        <w:tc>
          <w:tcPr>
            <w:tcW w:w="1388" w:type="dxa"/>
            <w:gridSpan w:val="2"/>
          </w:tcPr>
          <w:p w14:paraId="3B8EC880" w14:textId="77777777" w:rsidR="00BA39D6" w:rsidRPr="00D00B26" w:rsidRDefault="00BA39D6" w:rsidP="45358C98">
            <w:pPr>
              <w:jc w:val="both"/>
              <w:rPr>
                <w:sz w:val="20"/>
                <w:szCs w:val="20"/>
              </w:rPr>
            </w:pPr>
          </w:p>
        </w:tc>
      </w:tr>
      <w:tr w:rsidR="00E13DF9" w:rsidRPr="00D00B26" w14:paraId="5AE53242"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4415782" w14:textId="6E7F67FC" w:rsidR="006A2301" w:rsidRPr="00D00B26" w:rsidRDefault="006A2301"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BBF65E" w14:textId="77777777" w:rsidR="00133672" w:rsidRPr="00D00B26" w:rsidRDefault="00133672" w:rsidP="00133672">
            <w:pPr>
              <w:shd w:val="clear" w:color="auto" w:fill="FFFFFF"/>
              <w:ind w:firstLine="300"/>
              <w:jc w:val="both"/>
              <w:rPr>
                <w:sz w:val="20"/>
                <w:szCs w:val="20"/>
              </w:rPr>
            </w:pPr>
            <w:r w:rsidRPr="00D00B26">
              <w:rPr>
                <w:sz w:val="20"/>
                <w:szCs w:val="20"/>
              </w:rPr>
              <w:t xml:space="preserve">44. Birojs pārliecinās par lietderīgu elektrostacijā saražotās siltumenerģijas izmantošanu: </w:t>
            </w:r>
          </w:p>
          <w:p w14:paraId="29C6C535" w14:textId="5FD329A9" w:rsidR="006A2301" w:rsidRPr="00D00B26" w:rsidRDefault="00133672" w:rsidP="45358C98">
            <w:pPr>
              <w:shd w:val="clear" w:color="auto" w:fill="FFFFFF" w:themeFill="background1"/>
              <w:spacing w:after="120"/>
              <w:jc w:val="both"/>
              <w:rPr>
                <w:sz w:val="20"/>
                <w:szCs w:val="20"/>
              </w:rPr>
            </w:pPr>
            <w:r w:rsidRPr="00D00B26">
              <w:rPr>
                <w:sz w:val="20"/>
                <w:szCs w:val="20"/>
              </w:rPr>
              <w:t xml:space="preserve">44.2. pārbaudēs konstatējot, šo noteikumu 44.1. apakšpunktā minēto dokumentu atbilstību faktiskajai situācijai, kā arī to, ka elektrostacijā saražotā siltumenerģija ir izmantota </w:t>
            </w:r>
            <w:r w:rsidRPr="00D00B26">
              <w:rPr>
                <w:sz w:val="20"/>
                <w:szCs w:val="20"/>
                <w:shd w:val="clear" w:color="auto" w:fill="FFFFFF"/>
              </w:rPr>
              <w:t>ekonomiski pamatota siltumapgādes vai dzesēšanas pieprasījuma apmierināšanai;</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0DA2C2" w14:textId="77777777" w:rsidR="006A2301" w:rsidRPr="00D00B26" w:rsidRDefault="006A2301" w:rsidP="006A2301">
            <w:pPr>
              <w:spacing w:after="160" w:line="252" w:lineRule="auto"/>
              <w:jc w:val="center"/>
              <w:rPr>
                <w:b/>
                <w:color w:val="000000"/>
                <w:sz w:val="20"/>
                <w:szCs w:val="20"/>
              </w:rPr>
            </w:pPr>
            <w:r w:rsidRPr="00D00B26">
              <w:rPr>
                <w:b/>
                <w:color w:val="000000"/>
                <w:sz w:val="20"/>
                <w:szCs w:val="20"/>
              </w:rPr>
              <w:t>Zemkopības ministrija (19.08.2020.) iebildums</w:t>
            </w:r>
          </w:p>
          <w:p w14:paraId="498857D2" w14:textId="299E5A39" w:rsidR="006A2301" w:rsidRPr="00D00B26" w:rsidRDefault="008A3F64" w:rsidP="00F102E4">
            <w:pPr>
              <w:spacing w:after="160" w:line="252" w:lineRule="auto"/>
              <w:jc w:val="both"/>
              <w:rPr>
                <w:b/>
                <w:color w:val="000000"/>
                <w:sz w:val="20"/>
                <w:szCs w:val="20"/>
              </w:rPr>
            </w:pPr>
            <w:r w:rsidRPr="00D00B26">
              <w:rPr>
                <w:sz w:val="20"/>
                <w:szCs w:val="20"/>
              </w:rPr>
              <w:t>Lūdzam 44.2.apakšpunktā svītrot vārdus “kā arī to, ka elektrostacijā saražotā siltumenerģija ir izmantota ekonomiski pamatota siltumapgādes vai dzesēšanas pieprasījuma apmierināšanai”, jo Birojs par prasību ievērošanu var pārliecināties, izvērtējot dokumentus, ko komersants pievienojis šo noteikumu 32.punktā norādītajam gada pārskatam.</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0A5A057" w14:textId="77777777" w:rsidR="006A2301" w:rsidRPr="00D00B26" w:rsidRDefault="000D033F" w:rsidP="45358C98">
            <w:pPr>
              <w:pStyle w:val="naisc"/>
              <w:rPr>
                <w:b/>
                <w:sz w:val="20"/>
                <w:szCs w:val="20"/>
              </w:rPr>
            </w:pPr>
            <w:r w:rsidRPr="00D00B26">
              <w:rPr>
                <w:b/>
                <w:sz w:val="20"/>
                <w:szCs w:val="20"/>
              </w:rPr>
              <w:t>Iebildums daļēji ņemts vērā.</w:t>
            </w:r>
          </w:p>
          <w:p w14:paraId="0E9DFDC4" w14:textId="1B1F9145" w:rsidR="006A2301" w:rsidRPr="00D00B26" w:rsidRDefault="00967913" w:rsidP="00051FCB">
            <w:pPr>
              <w:pStyle w:val="naisc"/>
              <w:jc w:val="left"/>
              <w:rPr>
                <w:sz w:val="20"/>
                <w:szCs w:val="20"/>
              </w:rPr>
            </w:pPr>
            <w:r w:rsidRPr="00D00B26">
              <w:rPr>
                <w:sz w:val="20"/>
                <w:szCs w:val="20"/>
              </w:rPr>
              <w:t>Projekta 44.1. apakšpunkts nos</w:t>
            </w:r>
            <w:r w:rsidR="00787814" w:rsidRPr="00D00B26">
              <w:rPr>
                <w:sz w:val="20"/>
                <w:szCs w:val="20"/>
              </w:rPr>
              <w:t>aka, ka birojs vispirms atbilstību</w:t>
            </w:r>
            <w:r w:rsidR="001E6332" w:rsidRPr="00D00B26">
              <w:rPr>
                <w:sz w:val="20"/>
                <w:szCs w:val="20"/>
              </w:rPr>
              <w:t xml:space="preserve"> pārbauda pēc gada pārskata, bet pēc tam</w:t>
            </w:r>
            <w:r w:rsidR="00A31A55" w:rsidRPr="00D00B26">
              <w:rPr>
                <w:sz w:val="20"/>
                <w:szCs w:val="20"/>
              </w:rPr>
              <w:t xml:space="preserve"> saskaņā ar 44.2.apakšpunktu, birojs pārliecinās dabā, vai pārskatā norādītais atbilst patiesībai.</w:t>
            </w:r>
            <w:r w:rsidR="009A2611" w:rsidRPr="00D00B26">
              <w:rPr>
                <w:sz w:val="20"/>
                <w:szCs w:val="20"/>
              </w:rPr>
              <w:t xml:space="preserve"> </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E1CFFF3" w14:textId="19646901" w:rsidR="006A2301" w:rsidRPr="00D00B26" w:rsidRDefault="002955D0" w:rsidP="45358C98">
            <w:pPr>
              <w:jc w:val="both"/>
              <w:rPr>
                <w:sz w:val="20"/>
                <w:szCs w:val="20"/>
              </w:rPr>
            </w:pPr>
            <w:r w:rsidRPr="00D00B26">
              <w:rPr>
                <w:sz w:val="20"/>
                <w:szCs w:val="20"/>
              </w:rPr>
              <w:t>49.2.</w:t>
            </w:r>
            <w:r w:rsidRPr="00D00B26">
              <w:rPr>
                <w:sz w:val="20"/>
                <w:szCs w:val="20"/>
              </w:rPr>
              <w:tab/>
              <w:t>pārbaudēs konstatējot, šo noteikumu 49.1. apakšpunktā minēto dokumentu atbilstību faktiskajai situācijai, tajā skaitā to, vai elektrostacijā saražotā siltumenerģija ir izmantota ekonomiski pamatota siltumapgādes vai dzesēšanas pieprasījuma apmierināšanai;</w:t>
            </w:r>
          </w:p>
        </w:tc>
        <w:tc>
          <w:tcPr>
            <w:tcW w:w="1388" w:type="dxa"/>
            <w:gridSpan w:val="2"/>
          </w:tcPr>
          <w:p w14:paraId="1993EC84" w14:textId="77777777" w:rsidR="006A2301" w:rsidRPr="00D00B26" w:rsidRDefault="006A2301" w:rsidP="45358C98">
            <w:pPr>
              <w:jc w:val="both"/>
              <w:rPr>
                <w:sz w:val="20"/>
                <w:szCs w:val="20"/>
              </w:rPr>
            </w:pPr>
          </w:p>
        </w:tc>
      </w:tr>
      <w:tr w:rsidR="00E13DF9" w:rsidRPr="00D00B26" w14:paraId="35CEA301"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6AA6EF7" w14:textId="28C51B7F" w:rsidR="008A3F64" w:rsidRPr="00D00B26" w:rsidRDefault="008A3F64"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74E4188" w14:textId="77777777" w:rsidR="002A64EF" w:rsidRPr="00D00B26" w:rsidRDefault="002A64EF" w:rsidP="002A64EF">
            <w:pPr>
              <w:shd w:val="clear" w:color="auto" w:fill="FFFFFF" w:themeFill="background1"/>
              <w:spacing w:after="120"/>
              <w:jc w:val="both"/>
              <w:rPr>
                <w:sz w:val="20"/>
                <w:szCs w:val="20"/>
              </w:rPr>
            </w:pPr>
            <w:r w:rsidRPr="00D00B26">
              <w:rPr>
                <w:sz w:val="20"/>
                <w:szCs w:val="20"/>
              </w:rPr>
              <w:t>46. Birojs izsaka komersantam brīdinājumu, ja birojs konstatē, ka šo noteikumu </w:t>
            </w:r>
            <w:hyperlink r:id="rId17" w:anchor="p60" w:history="1">
              <w:r w:rsidRPr="00D00B26">
                <w:rPr>
                  <w:rStyle w:val="Hyperlink"/>
                  <w:sz w:val="20"/>
                  <w:szCs w:val="20"/>
                </w:rPr>
                <w:t>32.</w:t>
              </w:r>
            </w:hyperlink>
            <w:r w:rsidRPr="00D00B26">
              <w:rPr>
                <w:sz w:val="20"/>
                <w:szCs w:val="20"/>
              </w:rPr>
              <w:t xml:space="preserve"> punktā minētajā gada pārskatā sniegtā informācija neatbilst rezultātiem, kas iegūti atbilstoši šo noteikumu 5. pielikumā minētajiem kvalitātes vērtēšanas kritērijiem izvērtējot šo noteikumu 2.1.apakšpunktā minēto iesniegumu. </w:t>
            </w:r>
          </w:p>
          <w:p w14:paraId="236FC3B0" w14:textId="77777777" w:rsidR="008A3F64" w:rsidRPr="00D00B26" w:rsidRDefault="008A3F64" w:rsidP="45358C98">
            <w:pPr>
              <w:shd w:val="clear" w:color="auto" w:fill="FFFFFF" w:themeFill="background1"/>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C4E4127" w14:textId="77777777" w:rsidR="00794297" w:rsidRPr="00D00B26" w:rsidRDefault="00794297" w:rsidP="00794297">
            <w:pPr>
              <w:spacing w:after="160" w:line="252" w:lineRule="auto"/>
              <w:jc w:val="center"/>
              <w:rPr>
                <w:b/>
                <w:color w:val="000000"/>
                <w:sz w:val="20"/>
                <w:szCs w:val="20"/>
              </w:rPr>
            </w:pPr>
            <w:r w:rsidRPr="00D00B26">
              <w:rPr>
                <w:b/>
                <w:color w:val="000000"/>
                <w:sz w:val="20"/>
                <w:szCs w:val="20"/>
              </w:rPr>
              <w:t>Zemkopības ministrija (19.08.2020.) iebildums</w:t>
            </w:r>
          </w:p>
          <w:p w14:paraId="1252BD1F" w14:textId="77777777" w:rsidR="008A3F64" w:rsidRPr="00D00B26" w:rsidRDefault="00794297" w:rsidP="00F102E4">
            <w:pPr>
              <w:spacing w:after="160" w:line="252" w:lineRule="auto"/>
              <w:jc w:val="both"/>
              <w:rPr>
                <w:sz w:val="20"/>
                <w:szCs w:val="20"/>
              </w:rPr>
            </w:pPr>
            <w:r w:rsidRPr="00D00B26">
              <w:rPr>
                <w:sz w:val="20"/>
                <w:szCs w:val="20"/>
              </w:rPr>
              <w:t xml:space="preserve">46.punktā ir noteikts, ka Birojs izsaka komersantam brīdinājumu, ja konstatē, ka šo 32.punktā minētajā gada pārskatā sniegtā informācija neatbilst rezultātiem, kas iegūti atbilstoši šo noteikumu 5.pielikumā minētajiem kvalitātes vērtēšanas kritērijiem. Ņemot vērā, ka šobrīd komersantam nav iespējams iegūt tiesības pārdot saražoto elektroenerģiju obligāti iepērkamā elektroenerģijas apjoma veidā, bet </w:t>
            </w:r>
            <w:r w:rsidRPr="00D00B26">
              <w:rPr>
                <w:sz w:val="20"/>
                <w:szCs w:val="20"/>
              </w:rPr>
              <w:lastRenderedPageBreak/>
              <w:t>5.pielikumā ir noteikti kvalitātes kritēriji, kas bija vērtējami, lai komersants varētu kvalificētos tiesību iegūšanai pārdot biomasas, biogāzes, saules vai vēja elektrostacijās saražoto elektroenerģiju obligātā iepirkuma ietvaros, uzskatām, ka 5.pielikums ir jāsvītro un attiecīgi jāprecizē 46.punkts.</w:t>
            </w:r>
          </w:p>
          <w:p w14:paraId="11B2F522" w14:textId="61156E16" w:rsidR="00AC4752" w:rsidRPr="00D00B26" w:rsidRDefault="00AC4752" w:rsidP="00AC4752">
            <w:pPr>
              <w:jc w:val="both"/>
              <w:rPr>
                <w:sz w:val="20"/>
                <w:szCs w:val="20"/>
              </w:rPr>
            </w:pPr>
            <w:r w:rsidRPr="00D00B26">
              <w:rPr>
                <w:sz w:val="20"/>
                <w:szCs w:val="20"/>
              </w:rPr>
              <w:t xml:space="preserve"> </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A879CFA" w14:textId="77777777" w:rsidR="008A3F64" w:rsidRPr="00D00B26" w:rsidRDefault="00D53D1B" w:rsidP="45358C98">
            <w:pPr>
              <w:pStyle w:val="naisc"/>
              <w:rPr>
                <w:b/>
                <w:sz w:val="20"/>
                <w:szCs w:val="20"/>
              </w:rPr>
            </w:pPr>
            <w:r w:rsidRPr="00D00B26">
              <w:rPr>
                <w:b/>
                <w:sz w:val="20"/>
                <w:szCs w:val="20"/>
              </w:rPr>
              <w:lastRenderedPageBreak/>
              <w:t>Iebildums ir daļēji ņemts vērā.</w:t>
            </w:r>
          </w:p>
          <w:p w14:paraId="1972C3B0" w14:textId="2094434C" w:rsidR="008A3F64" w:rsidRPr="00D00B26" w:rsidRDefault="003708E9" w:rsidP="00F04067">
            <w:pPr>
              <w:pStyle w:val="naisc"/>
              <w:jc w:val="left"/>
              <w:rPr>
                <w:sz w:val="20"/>
                <w:szCs w:val="20"/>
              </w:rPr>
            </w:pPr>
            <w:r w:rsidRPr="00D00B26">
              <w:rPr>
                <w:sz w:val="20"/>
                <w:szCs w:val="20"/>
              </w:rPr>
              <w:t xml:space="preserve">Vēršam uzmanību uz to, ka 5.pielikumā iekļautie vērtēšanas kritēriji </w:t>
            </w:r>
            <w:r w:rsidR="00957085" w:rsidRPr="00D00B26">
              <w:rPr>
                <w:sz w:val="20"/>
                <w:szCs w:val="20"/>
              </w:rPr>
              <w:t xml:space="preserve">ir tie kritēriji saskaņā ar kuriem cita starpā komersanti ieguva obligātā iepirkuma tiesības, tādējādi tie ir uzskatāmi arī par daļu no noteikumu 2.1.apakšpunktā minētā iesnieguma, kas ir priekšnosacījums, lai obligātā iepirkuma tiesības </w:t>
            </w:r>
            <w:r w:rsidR="004B28A8" w:rsidRPr="00D00B26">
              <w:rPr>
                <w:sz w:val="20"/>
                <w:szCs w:val="20"/>
              </w:rPr>
              <w:t xml:space="preserve">būtu spēkā un komersants varētu tās izmantot. </w:t>
            </w:r>
            <w:r w:rsidR="00F940C5" w:rsidRPr="00D00B26">
              <w:rPr>
                <w:sz w:val="20"/>
                <w:szCs w:val="20"/>
              </w:rPr>
              <w:t>T</w:t>
            </w:r>
            <w:r w:rsidR="004B28A8" w:rsidRPr="00D00B26">
              <w:rPr>
                <w:sz w:val="20"/>
                <w:szCs w:val="20"/>
              </w:rPr>
              <w:t>ādē</w:t>
            </w:r>
            <w:r w:rsidR="00F940C5" w:rsidRPr="00D00B26">
              <w:rPr>
                <w:sz w:val="20"/>
                <w:szCs w:val="20"/>
              </w:rPr>
              <w:t>jādi</w:t>
            </w:r>
            <w:r w:rsidR="00E04DB9" w:rsidRPr="00D00B26">
              <w:rPr>
                <w:sz w:val="20"/>
                <w:szCs w:val="20"/>
              </w:rPr>
              <w:t xml:space="preserve">, </w:t>
            </w:r>
            <w:r w:rsidR="00026071" w:rsidRPr="00D00B26">
              <w:rPr>
                <w:sz w:val="20"/>
                <w:szCs w:val="20"/>
              </w:rPr>
              <w:t>izvērtēj</w:t>
            </w:r>
            <w:r w:rsidR="00E04DB9" w:rsidRPr="00D00B26">
              <w:rPr>
                <w:sz w:val="20"/>
                <w:szCs w:val="20"/>
              </w:rPr>
              <w:t>ot</w:t>
            </w:r>
            <w:r w:rsidR="00026071" w:rsidRPr="00D00B26">
              <w:rPr>
                <w:sz w:val="20"/>
                <w:szCs w:val="20"/>
              </w:rPr>
              <w:t xml:space="preserve"> 5.pielikuma nepieciešamību</w:t>
            </w:r>
            <w:r w:rsidR="00E04DB9" w:rsidRPr="00D00B26">
              <w:rPr>
                <w:sz w:val="20"/>
                <w:szCs w:val="20"/>
              </w:rPr>
              <w:t>, secināms, ka nav iespējams to dzēst.</w:t>
            </w:r>
            <w:r w:rsidR="00F04067" w:rsidRPr="00D00B26">
              <w:rPr>
                <w:sz w:val="20"/>
                <w:szCs w:val="20"/>
              </w:rPr>
              <w:t>.</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CA0277" w14:textId="36E111FB" w:rsidR="008A3F64" w:rsidRPr="00D00B26" w:rsidRDefault="00786350" w:rsidP="45358C98">
            <w:pPr>
              <w:jc w:val="both"/>
              <w:rPr>
                <w:sz w:val="20"/>
                <w:szCs w:val="20"/>
              </w:rPr>
            </w:pPr>
            <w:r w:rsidRPr="00D00B26">
              <w:rPr>
                <w:sz w:val="20"/>
                <w:szCs w:val="20"/>
              </w:rPr>
              <w:t xml:space="preserve">51. Birojs izsaka komersantam brīdinājumu, ja birojs konstatē, ka šo noteikumu </w:t>
            </w:r>
            <w:r w:rsidRPr="00D00B26">
              <w:rPr>
                <w:sz w:val="20"/>
                <w:szCs w:val="20"/>
              </w:rPr>
              <w:fldChar w:fldCharType="begin"/>
            </w:r>
            <w:r w:rsidRPr="00D00B26">
              <w:rPr>
                <w:sz w:val="20"/>
                <w:szCs w:val="20"/>
              </w:rPr>
              <w:instrText xml:space="preserve"> REF _Ref48919308 \w \h  \* MERGEFORMAT </w:instrText>
            </w:r>
            <w:r w:rsidRPr="00D00B26">
              <w:rPr>
                <w:sz w:val="20"/>
                <w:szCs w:val="20"/>
              </w:rPr>
            </w:r>
            <w:r w:rsidRPr="00D00B26">
              <w:rPr>
                <w:sz w:val="20"/>
                <w:szCs w:val="20"/>
              </w:rPr>
              <w:fldChar w:fldCharType="separate"/>
            </w:r>
            <w:r w:rsidRPr="00D00B26">
              <w:rPr>
                <w:sz w:val="20"/>
                <w:szCs w:val="20"/>
              </w:rPr>
              <w:t>37</w:t>
            </w:r>
            <w:r w:rsidRPr="00D00B26">
              <w:rPr>
                <w:sz w:val="20"/>
                <w:szCs w:val="20"/>
              </w:rPr>
              <w:fldChar w:fldCharType="end"/>
            </w:r>
            <w:r w:rsidRPr="00D00B26">
              <w:rPr>
                <w:sz w:val="20"/>
                <w:szCs w:val="20"/>
              </w:rPr>
              <w:t xml:space="preserve">. punktā minētajā gada pārskatā sniegtā informācija neatbilst rezultātiem, kas iegūti atbilstoši šo noteikumu 5. pielikumā minētajiem kvalitātes vērtēšanas kritērijiem izvērtējot šo noteikumu </w:t>
            </w:r>
            <w:r w:rsidRPr="00D00B26">
              <w:rPr>
                <w:sz w:val="20"/>
                <w:szCs w:val="20"/>
              </w:rPr>
              <w:fldChar w:fldCharType="begin"/>
            </w:r>
            <w:r w:rsidRPr="00D00B26">
              <w:rPr>
                <w:sz w:val="20"/>
                <w:szCs w:val="20"/>
              </w:rPr>
              <w:instrText xml:space="preserve"> REF _Ref48913409 \w \h  \* MERGEFORMAT </w:instrText>
            </w:r>
            <w:r w:rsidRPr="00D00B26">
              <w:rPr>
                <w:sz w:val="20"/>
                <w:szCs w:val="20"/>
              </w:rPr>
            </w:r>
            <w:r w:rsidRPr="00D00B26">
              <w:rPr>
                <w:sz w:val="20"/>
                <w:szCs w:val="20"/>
              </w:rPr>
              <w:fldChar w:fldCharType="separate"/>
            </w:r>
            <w:r w:rsidRPr="00D00B26">
              <w:rPr>
                <w:sz w:val="20"/>
                <w:szCs w:val="20"/>
              </w:rPr>
              <w:t>2.1</w:t>
            </w:r>
            <w:r w:rsidRPr="00D00B26">
              <w:rPr>
                <w:sz w:val="20"/>
                <w:szCs w:val="20"/>
              </w:rPr>
              <w:fldChar w:fldCharType="end"/>
            </w:r>
            <w:r w:rsidRPr="00D00B26">
              <w:rPr>
                <w:sz w:val="20"/>
                <w:szCs w:val="20"/>
              </w:rPr>
              <w:t>. apakšpunktā minēto iesniegumu.</w:t>
            </w:r>
          </w:p>
        </w:tc>
        <w:tc>
          <w:tcPr>
            <w:tcW w:w="1388" w:type="dxa"/>
            <w:gridSpan w:val="2"/>
          </w:tcPr>
          <w:p w14:paraId="7ACD6CAA" w14:textId="77777777" w:rsidR="008A3F64" w:rsidRPr="00D00B26" w:rsidRDefault="008A3F64" w:rsidP="45358C98">
            <w:pPr>
              <w:jc w:val="both"/>
              <w:rPr>
                <w:sz w:val="20"/>
                <w:szCs w:val="20"/>
              </w:rPr>
            </w:pPr>
          </w:p>
        </w:tc>
      </w:tr>
      <w:tr w:rsidR="00E13DF9" w:rsidRPr="00D00B26" w14:paraId="5788F11F"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7FA61DB" w14:textId="2CBC8ECF" w:rsidR="00794297" w:rsidRPr="00D00B26" w:rsidRDefault="00794297"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B89035F" w14:textId="77777777" w:rsidR="00794297" w:rsidRPr="00D00B26" w:rsidRDefault="00794297" w:rsidP="45358C98">
            <w:pPr>
              <w:shd w:val="clear" w:color="auto" w:fill="FFFFFF" w:themeFill="background1"/>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BF03A38" w14:textId="04A4FC55" w:rsidR="006B587A" w:rsidRPr="00D00B26" w:rsidRDefault="006B587A" w:rsidP="006B587A">
            <w:pPr>
              <w:spacing w:after="160" w:line="252" w:lineRule="auto"/>
              <w:jc w:val="center"/>
              <w:rPr>
                <w:b/>
                <w:color w:val="000000"/>
                <w:sz w:val="20"/>
                <w:szCs w:val="20"/>
              </w:rPr>
            </w:pPr>
            <w:r w:rsidRPr="00D00B26">
              <w:rPr>
                <w:b/>
                <w:color w:val="000000"/>
                <w:sz w:val="20"/>
                <w:szCs w:val="20"/>
              </w:rPr>
              <w:t>Zemkopības ministrija (19.08.2020.) iebildums</w:t>
            </w:r>
          </w:p>
          <w:p w14:paraId="3253343F" w14:textId="1E8FC005" w:rsidR="00794297" w:rsidRPr="00D00B26" w:rsidRDefault="00E81DE3" w:rsidP="00F102E4">
            <w:pPr>
              <w:spacing w:after="160" w:line="252" w:lineRule="auto"/>
              <w:jc w:val="both"/>
              <w:rPr>
                <w:b/>
                <w:color w:val="000000"/>
                <w:sz w:val="20"/>
                <w:szCs w:val="20"/>
              </w:rPr>
            </w:pPr>
            <w:r w:rsidRPr="00D00B26">
              <w:rPr>
                <w:sz w:val="20"/>
                <w:szCs w:val="20"/>
              </w:rPr>
              <w:t xml:space="preserve">Ņemot vērā pavadvēstulē norādīto, proti, ka turpmākajā saskaņošanas procesā noteikumu projektos plānots papildus precizēt normas elektrostaciju pārkompensācijas novēršanai atbilstoši Ekonomikas ministrijas izsludinātā iepirkuma „Priekšlikumu un elektronisku rīku izstrāde kopējo kapitālieguldījumu iekšējās peļņas normas aprēķināšanas un pārkompensācijas novēršanas metodikas pilnveidei elektroenerģijas ražotājiem” rezultātiem, Zemkopības ministrija nav izskatījusi\vērtējusi </w:t>
            </w:r>
            <w:proofErr w:type="spellStart"/>
            <w:r w:rsidRPr="00D00B26">
              <w:rPr>
                <w:sz w:val="20"/>
                <w:szCs w:val="20"/>
              </w:rPr>
              <w:t>V.sadaļu</w:t>
            </w:r>
            <w:proofErr w:type="spellEnd"/>
            <w:r w:rsidRPr="00D00B26">
              <w:rPr>
                <w:sz w:val="20"/>
                <w:szCs w:val="20"/>
              </w:rPr>
              <w:t xml:space="preserve"> “V. Nosacījumi pārkompensācijas izvērtēšanai un novēršanai” un 6.pielikumu.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D081B78" w14:textId="7F392812" w:rsidR="00794297" w:rsidRPr="00D00B26" w:rsidRDefault="00AB4175" w:rsidP="45358C98">
            <w:pPr>
              <w:pStyle w:val="naisc"/>
              <w:rPr>
                <w:b/>
                <w:sz w:val="20"/>
                <w:szCs w:val="20"/>
              </w:rPr>
            </w:pPr>
            <w:r w:rsidRPr="00D00B26">
              <w:rPr>
                <w:b/>
                <w:sz w:val="20"/>
                <w:szCs w:val="20"/>
              </w:rPr>
              <w:t>Iebildums ir ņemt</w:t>
            </w:r>
            <w:r w:rsidR="006A1AE1" w:rsidRPr="00D00B26">
              <w:rPr>
                <w:b/>
                <w:sz w:val="20"/>
                <w:szCs w:val="20"/>
              </w:rPr>
              <w: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12A87A" w14:textId="2D9D03D2" w:rsidR="00794297" w:rsidRPr="00D00B26" w:rsidRDefault="00786350" w:rsidP="45358C98">
            <w:pPr>
              <w:jc w:val="both"/>
              <w:rPr>
                <w:sz w:val="20"/>
                <w:szCs w:val="20"/>
              </w:rPr>
            </w:pPr>
            <w:r w:rsidRPr="00D00B26">
              <w:rPr>
                <w:sz w:val="20"/>
                <w:szCs w:val="20"/>
              </w:rPr>
              <w:t xml:space="preserve">Projekta </w:t>
            </w:r>
            <w:proofErr w:type="spellStart"/>
            <w:r w:rsidRPr="00D00B26">
              <w:rPr>
                <w:sz w:val="20"/>
                <w:szCs w:val="20"/>
              </w:rPr>
              <w:t>V.sadaļa</w:t>
            </w:r>
            <w:proofErr w:type="spellEnd"/>
            <w:r w:rsidRPr="00D00B26">
              <w:rPr>
                <w:sz w:val="20"/>
                <w:szCs w:val="20"/>
              </w:rPr>
              <w:t xml:space="preserve"> “V. Nosacījumi pārkompensācijas izvērtēšanai un novēršanai” un 6.pielikums svītrots.</w:t>
            </w:r>
          </w:p>
        </w:tc>
        <w:tc>
          <w:tcPr>
            <w:tcW w:w="1388" w:type="dxa"/>
            <w:gridSpan w:val="2"/>
          </w:tcPr>
          <w:p w14:paraId="15D64104" w14:textId="77777777" w:rsidR="00794297" w:rsidRPr="00D00B26" w:rsidRDefault="00794297" w:rsidP="45358C98">
            <w:pPr>
              <w:jc w:val="both"/>
              <w:rPr>
                <w:sz w:val="20"/>
                <w:szCs w:val="20"/>
              </w:rPr>
            </w:pPr>
          </w:p>
        </w:tc>
      </w:tr>
      <w:tr w:rsidR="00E13DF9" w:rsidRPr="00D00B26" w14:paraId="038E378B"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E8A44FD" w14:textId="58BF7377" w:rsidR="00E81DE3" w:rsidRPr="00D00B26" w:rsidRDefault="00E81DE3"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508F37F" w14:textId="77777777" w:rsidR="009B54DD" w:rsidRPr="00D00B26" w:rsidRDefault="009B54DD" w:rsidP="009B54DD">
            <w:pPr>
              <w:shd w:val="clear" w:color="auto" w:fill="FFFFFF"/>
              <w:ind w:firstLine="426"/>
              <w:jc w:val="both"/>
              <w:rPr>
                <w:sz w:val="20"/>
                <w:szCs w:val="20"/>
              </w:rPr>
            </w:pPr>
            <w:r w:rsidRPr="00D00B26">
              <w:rPr>
                <w:sz w:val="20"/>
                <w:szCs w:val="20"/>
              </w:rPr>
              <w:t>78. Komersanti, kuri līdz 2020. gada 1.septembrim nav iesnieguši sistēmas operatoram, publiskajam tirgotājam un ministrijai šo noteikumu </w:t>
            </w:r>
            <w:hyperlink r:id="rId18" w:anchor="p56.2%C2%A0" w:history="1">
              <w:r w:rsidRPr="00D00B26">
                <w:rPr>
                  <w:sz w:val="20"/>
                  <w:szCs w:val="20"/>
                </w:rPr>
                <w:t>23.</w:t>
              </w:r>
              <w:r w:rsidRPr="00D00B26">
                <w:rPr>
                  <w:sz w:val="20"/>
                  <w:szCs w:val="20"/>
                  <w:vertAlign w:val="superscript"/>
                </w:rPr>
                <w:t> </w:t>
              </w:r>
              <w:r w:rsidRPr="00D00B26">
                <w:rPr>
                  <w:sz w:val="20"/>
                  <w:szCs w:val="20"/>
                </w:rPr>
                <w:t>punktā</w:t>
              </w:r>
            </w:hyperlink>
            <w:r w:rsidRPr="00D00B26">
              <w:rPr>
                <w:sz w:val="20"/>
                <w:szCs w:val="20"/>
              </w:rPr>
              <w:t> minēto principiālo elektriskā pieslēguma shēmu, zaudē tiem piešķirtās obligātā iepirkuma tiesības. Birojs pieņem attiecīgu lēmumu tiklīdz tas ir konstatējis, ka šo noteikumu </w:t>
            </w:r>
            <w:hyperlink r:id="rId19" w:anchor="p56.2%C2%A0" w:history="1">
              <w:r w:rsidRPr="00D00B26">
                <w:rPr>
                  <w:sz w:val="20"/>
                  <w:szCs w:val="20"/>
                </w:rPr>
                <w:t>23.</w:t>
              </w:r>
              <w:r w:rsidRPr="00D00B26">
                <w:rPr>
                  <w:sz w:val="20"/>
                  <w:szCs w:val="20"/>
                  <w:vertAlign w:val="superscript"/>
                </w:rPr>
                <w:t> </w:t>
              </w:r>
              <w:r w:rsidRPr="00D00B26">
                <w:rPr>
                  <w:sz w:val="20"/>
                  <w:szCs w:val="20"/>
                </w:rPr>
                <w:t>punktā</w:t>
              </w:r>
            </w:hyperlink>
            <w:r w:rsidRPr="00D00B26">
              <w:rPr>
                <w:sz w:val="20"/>
                <w:szCs w:val="20"/>
              </w:rPr>
              <w:t xml:space="preserve"> minētā principiālā </w:t>
            </w:r>
            <w:r w:rsidRPr="00D00B26">
              <w:rPr>
                <w:sz w:val="20"/>
                <w:szCs w:val="20"/>
              </w:rPr>
              <w:lastRenderedPageBreak/>
              <w:t>elektriskā pieslēguma shēma nav iesniegta, un šis lēmums stājas spēkā nekavējoties.</w:t>
            </w:r>
          </w:p>
          <w:p w14:paraId="098578BA" w14:textId="77777777" w:rsidR="00E81DE3" w:rsidRPr="00D00B26" w:rsidRDefault="00E81DE3" w:rsidP="45358C98">
            <w:pPr>
              <w:shd w:val="clear" w:color="auto" w:fill="FFFFFF" w:themeFill="background1"/>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67CBF8D" w14:textId="77777777" w:rsidR="00E81DE3" w:rsidRPr="00D00B26" w:rsidRDefault="00E81DE3" w:rsidP="00E81DE3">
            <w:pPr>
              <w:spacing w:after="160" w:line="252" w:lineRule="auto"/>
              <w:jc w:val="center"/>
              <w:rPr>
                <w:b/>
                <w:color w:val="000000"/>
                <w:sz w:val="20"/>
                <w:szCs w:val="20"/>
              </w:rPr>
            </w:pPr>
            <w:r w:rsidRPr="00D00B26">
              <w:rPr>
                <w:b/>
                <w:color w:val="000000"/>
                <w:sz w:val="20"/>
                <w:szCs w:val="20"/>
              </w:rPr>
              <w:lastRenderedPageBreak/>
              <w:t>Zemkopības ministrija (19.08.2020.) iebildums</w:t>
            </w:r>
          </w:p>
          <w:p w14:paraId="607530BD" w14:textId="0031321C" w:rsidR="00E81DE3" w:rsidRPr="00D00B26" w:rsidRDefault="00C1210B" w:rsidP="00F102E4">
            <w:pPr>
              <w:spacing w:after="160" w:line="252" w:lineRule="auto"/>
              <w:jc w:val="both"/>
              <w:rPr>
                <w:b/>
                <w:color w:val="000000"/>
                <w:sz w:val="20"/>
                <w:szCs w:val="20"/>
              </w:rPr>
            </w:pPr>
            <w:r w:rsidRPr="00D00B26">
              <w:rPr>
                <w:sz w:val="20"/>
                <w:szCs w:val="20"/>
              </w:rPr>
              <w:t xml:space="preserve">78. punktā noteikts, ka komersantiem, kuri līdz 2020. gada 1.septembrim nav iesnieguši sistēmas operatoram, publiskajam tirgotājam un ministrijai šo noteikumu 23.punktā minēto principiālo elektriskā pieslēguma shēmu, zaudē tiem piešķirtās obligātā iepirkuma </w:t>
            </w:r>
            <w:r w:rsidRPr="00D00B26">
              <w:rPr>
                <w:sz w:val="20"/>
                <w:szCs w:val="20"/>
              </w:rPr>
              <w:lastRenderedPageBreak/>
              <w:t xml:space="preserve">tiesības. Lūdzam skaidrot, kā lai komersanti ievēro noteiktu prasību un </w:t>
            </w:r>
            <w:r w:rsidRPr="00D00B26">
              <w:rPr>
                <w:sz w:val="20"/>
                <w:szCs w:val="20"/>
                <w:u w:val="single"/>
              </w:rPr>
              <w:t>līdz</w:t>
            </w:r>
            <w:r w:rsidRPr="00D00B26">
              <w:rPr>
                <w:sz w:val="20"/>
                <w:szCs w:val="20"/>
              </w:rPr>
              <w:t xml:space="preserve"> 2020.gada 1.septembrim iesniedz principiālo elektriskā pieslēguma shēmu, ja šī prasība stāsies spēkā ar 2020.gada 1.septembrī?</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3A6B43A" w14:textId="72E682B0" w:rsidR="00E81DE3" w:rsidRPr="00D00B26" w:rsidRDefault="000A7EDD" w:rsidP="45358C98">
            <w:pPr>
              <w:pStyle w:val="naisc"/>
              <w:rPr>
                <w:b/>
                <w:sz w:val="20"/>
                <w:szCs w:val="20"/>
              </w:rPr>
            </w:pPr>
            <w:r w:rsidRPr="00D00B26">
              <w:rPr>
                <w:b/>
                <w:sz w:val="20"/>
                <w:szCs w:val="20"/>
              </w:rPr>
              <w:lastRenderedPageBreak/>
              <w:t>Ie</w:t>
            </w:r>
            <w:r w:rsidR="00DD2A82" w:rsidRPr="00D00B26">
              <w:rPr>
                <w:b/>
                <w:sz w:val="20"/>
                <w:szCs w:val="20"/>
              </w:rPr>
              <w:t xml:space="preserve">bildums </w:t>
            </w:r>
            <w:r w:rsidR="00523C55" w:rsidRPr="00D00B26">
              <w:rPr>
                <w:b/>
                <w:sz w:val="20"/>
                <w:szCs w:val="20"/>
              </w:rPr>
              <w:t xml:space="preserve">ir </w:t>
            </w:r>
            <w:r w:rsidR="00DD2A82" w:rsidRPr="00D00B26">
              <w:rPr>
                <w:b/>
                <w:sz w:val="20"/>
                <w:szCs w:val="20"/>
              </w:rPr>
              <w:t>ņemts vērā.</w:t>
            </w:r>
          </w:p>
          <w:p w14:paraId="0ADBB335" w14:textId="41BC5502" w:rsidR="00E81DE3" w:rsidRPr="00D00B26" w:rsidRDefault="00DD2A82" w:rsidP="00F102E4">
            <w:pPr>
              <w:pStyle w:val="naisc"/>
              <w:jc w:val="both"/>
              <w:rPr>
                <w:sz w:val="20"/>
                <w:szCs w:val="20"/>
              </w:rPr>
            </w:pPr>
            <w:r w:rsidRPr="00D00B26">
              <w:rPr>
                <w:sz w:val="20"/>
                <w:szCs w:val="20"/>
              </w:rPr>
              <w:t>Paskaidrojam, ka pienākums</w:t>
            </w:r>
            <w:r w:rsidR="00AE0ACC" w:rsidRPr="00D00B26">
              <w:rPr>
                <w:sz w:val="20"/>
                <w:szCs w:val="20"/>
              </w:rPr>
              <w:t xml:space="preserve"> iesniegt principiālo elektriskā pieslēguma shēmu</w:t>
            </w:r>
            <w:r w:rsidR="007E497E" w:rsidRPr="00D00B26">
              <w:rPr>
                <w:sz w:val="20"/>
                <w:szCs w:val="20"/>
              </w:rPr>
              <w:t xml:space="preserve"> izriet no šobrīd spēkā esošajam MK 262.not., </w:t>
            </w:r>
            <w:r w:rsidR="00923886" w:rsidRPr="00D00B26">
              <w:rPr>
                <w:sz w:val="20"/>
                <w:szCs w:val="20"/>
              </w:rPr>
              <w:t>arī pirms projekta stāšanās spēkā minētajām shēmām ir jābūt iesniegtām</w:t>
            </w:r>
            <w:r w:rsidR="002955D0" w:rsidRPr="00D00B26">
              <w:rPr>
                <w:sz w:val="20"/>
                <w:szCs w:val="20"/>
              </w:rPr>
              <w:t>.</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76A4FD" w14:textId="1FD6A94A" w:rsidR="00E81DE3" w:rsidRPr="00D00B26" w:rsidRDefault="00FE5C43" w:rsidP="45358C98">
            <w:pPr>
              <w:jc w:val="both"/>
              <w:rPr>
                <w:sz w:val="20"/>
                <w:szCs w:val="20"/>
              </w:rPr>
            </w:pPr>
            <w:r w:rsidRPr="00D00B26">
              <w:rPr>
                <w:sz w:val="20"/>
                <w:szCs w:val="20"/>
              </w:rPr>
              <w:t>6</w:t>
            </w:r>
            <w:r w:rsidR="003F4515" w:rsidRPr="00D00B26">
              <w:rPr>
                <w:sz w:val="20"/>
                <w:szCs w:val="20"/>
              </w:rPr>
              <w:t>6</w:t>
            </w:r>
            <w:r w:rsidRPr="00D00B26">
              <w:rPr>
                <w:sz w:val="20"/>
                <w:szCs w:val="20"/>
              </w:rPr>
              <w:t>.</w:t>
            </w:r>
            <w:r w:rsidR="00B46E1E" w:rsidRPr="00D00B26">
              <w:rPr>
                <w:sz w:val="20"/>
                <w:szCs w:val="20"/>
              </w:rPr>
              <w:t> </w:t>
            </w:r>
            <w:r w:rsidR="003F4515" w:rsidRPr="00D00B26">
              <w:rPr>
                <w:sz w:val="20"/>
                <w:szCs w:val="20"/>
              </w:rPr>
              <w:t xml:space="preserve">Attiecībā uz komersantiem, kuri līdz  šo noteikumu spēkā stāšanās dienai  nav iesnieguši sistēmas operatoram, publiskajam tirgotājam un birojam Ministru kabineta </w:t>
            </w:r>
            <w:r w:rsidR="003F4515" w:rsidRPr="00D00B26">
              <w:rPr>
                <w:sz w:val="20"/>
                <w:szCs w:val="20"/>
                <w:shd w:val="clear" w:color="auto" w:fill="FFFFFF"/>
              </w:rPr>
              <w:t xml:space="preserve">2010.gada 16.marta </w:t>
            </w:r>
            <w:r w:rsidR="003F4515" w:rsidRPr="00D00B26">
              <w:rPr>
                <w:sz w:val="20"/>
                <w:szCs w:val="20"/>
              </w:rPr>
              <w:t xml:space="preserve">noteikumos Nr.262 "Noteikumi par elektroenerģijas ražošanu, izmantojot atjaunojamos energoresursus, un cenu noteikšanas kārtību" minēto principiālo elektriskā pieslēguma shēmu, publiskais </w:t>
            </w:r>
            <w:r w:rsidR="003F4515" w:rsidRPr="00D00B26">
              <w:rPr>
                <w:sz w:val="20"/>
                <w:szCs w:val="20"/>
              </w:rPr>
              <w:lastRenderedPageBreak/>
              <w:t xml:space="preserve">tirgotājs līdz ar šo noteikumu spēkā stāšanās dienu pārtrauc no atjaunojamiem energoresursiem saražotās elektroenerģijas iepirkumu obligātā iepirkuma ietvaros. Ja komersants trīs mēnešu laikā pēc šo noteikumu spēkā stāšanās dienas neiesniedz sistēmas operatoram, publiskajam tirgotājam un birojam šo noteikumu </w:t>
            </w:r>
            <w:r w:rsidR="003F4515" w:rsidRPr="00D00B26">
              <w:rPr>
                <w:sz w:val="20"/>
                <w:szCs w:val="20"/>
              </w:rPr>
              <w:fldChar w:fldCharType="begin"/>
            </w:r>
            <w:r w:rsidR="003F4515" w:rsidRPr="00D00B26">
              <w:rPr>
                <w:sz w:val="20"/>
                <w:szCs w:val="20"/>
              </w:rPr>
              <w:instrText xml:space="preserve"> REF _Ref48917787 \w \h  \* MERGEFORMAT </w:instrText>
            </w:r>
            <w:r w:rsidR="003F4515" w:rsidRPr="00D00B26">
              <w:rPr>
                <w:sz w:val="20"/>
                <w:szCs w:val="20"/>
              </w:rPr>
            </w:r>
            <w:r w:rsidR="003F4515" w:rsidRPr="00D00B26">
              <w:rPr>
                <w:sz w:val="20"/>
                <w:szCs w:val="20"/>
              </w:rPr>
              <w:fldChar w:fldCharType="separate"/>
            </w:r>
            <w:r w:rsidR="003F4515" w:rsidRPr="00D00B26">
              <w:rPr>
                <w:sz w:val="20"/>
                <w:szCs w:val="20"/>
              </w:rPr>
              <w:t>24</w:t>
            </w:r>
            <w:r w:rsidR="003F4515" w:rsidRPr="00D00B26">
              <w:rPr>
                <w:sz w:val="20"/>
                <w:szCs w:val="20"/>
              </w:rPr>
              <w:fldChar w:fldCharType="end"/>
            </w:r>
            <w:hyperlink r:id="rId20" w:anchor="p56.2%C2%A0" w:history="1">
              <w:r w:rsidR="003F4515" w:rsidRPr="00D00B26">
                <w:rPr>
                  <w:sz w:val="20"/>
                  <w:szCs w:val="20"/>
                </w:rPr>
                <w:t>.</w:t>
              </w:r>
              <w:r w:rsidR="003F4515" w:rsidRPr="00D00B26">
                <w:rPr>
                  <w:sz w:val="20"/>
                  <w:szCs w:val="20"/>
                  <w:vertAlign w:val="superscript"/>
                </w:rPr>
                <w:t> </w:t>
              </w:r>
              <w:r w:rsidR="003F4515" w:rsidRPr="00D00B26">
                <w:rPr>
                  <w:sz w:val="20"/>
                  <w:szCs w:val="20"/>
                </w:rPr>
                <w:t>punktā</w:t>
              </w:r>
            </w:hyperlink>
            <w:r w:rsidR="003F4515" w:rsidRPr="00D00B26">
              <w:rPr>
                <w:sz w:val="20"/>
                <w:szCs w:val="20"/>
              </w:rPr>
              <w:t xml:space="preserve"> minēto principiālo elektriskā pieslēguma shēmu, birojs pieņem lēmumu par komersantam piešķirto obligātā iepirkuma tiesību atcelšanu. Ja komersants trīs mēnešu laikā pēc šo noteikumu spēkā stāšanās dienas iesniedz sistēmas operatoram, publiskajam tirgotājam un birojam šo noteikumu </w:t>
            </w:r>
            <w:r w:rsidR="003F4515" w:rsidRPr="00D00B26">
              <w:rPr>
                <w:sz w:val="20"/>
                <w:szCs w:val="20"/>
              </w:rPr>
              <w:fldChar w:fldCharType="begin"/>
            </w:r>
            <w:r w:rsidR="003F4515" w:rsidRPr="00D00B26">
              <w:rPr>
                <w:sz w:val="20"/>
                <w:szCs w:val="20"/>
              </w:rPr>
              <w:instrText xml:space="preserve"> REF _Ref48917787 \w \h  \* MERGEFORMAT </w:instrText>
            </w:r>
            <w:r w:rsidR="003F4515" w:rsidRPr="00D00B26">
              <w:rPr>
                <w:sz w:val="20"/>
                <w:szCs w:val="20"/>
              </w:rPr>
            </w:r>
            <w:r w:rsidR="003F4515" w:rsidRPr="00D00B26">
              <w:rPr>
                <w:sz w:val="20"/>
                <w:szCs w:val="20"/>
              </w:rPr>
              <w:fldChar w:fldCharType="separate"/>
            </w:r>
            <w:r w:rsidR="003F4515" w:rsidRPr="00D00B26">
              <w:rPr>
                <w:sz w:val="20"/>
                <w:szCs w:val="20"/>
              </w:rPr>
              <w:t>24</w:t>
            </w:r>
            <w:r w:rsidR="003F4515" w:rsidRPr="00D00B26">
              <w:rPr>
                <w:sz w:val="20"/>
                <w:szCs w:val="20"/>
              </w:rPr>
              <w:fldChar w:fldCharType="end"/>
            </w:r>
            <w:hyperlink r:id="rId21" w:anchor="p56.2%C2%A0" w:history="1">
              <w:r w:rsidR="003F4515" w:rsidRPr="00D00B26">
                <w:rPr>
                  <w:sz w:val="20"/>
                  <w:szCs w:val="20"/>
                </w:rPr>
                <w:t>.</w:t>
              </w:r>
              <w:r w:rsidR="003F4515" w:rsidRPr="00D00B26">
                <w:rPr>
                  <w:sz w:val="20"/>
                  <w:szCs w:val="20"/>
                  <w:vertAlign w:val="superscript"/>
                </w:rPr>
                <w:t> </w:t>
              </w:r>
              <w:r w:rsidR="003F4515" w:rsidRPr="00D00B26">
                <w:rPr>
                  <w:sz w:val="20"/>
                  <w:szCs w:val="20"/>
                </w:rPr>
                <w:t>punktā</w:t>
              </w:r>
            </w:hyperlink>
            <w:r w:rsidR="003F4515" w:rsidRPr="00D00B26">
              <w:rPr>
                <w:sz w:val="20"/>
                <w:szCs w:val="20"/>
              </w:rPr>
              <w:t xml:space="preserve"> minēto principiālo elektriskā pieslēguma shēmu, publiskais tirgotājs atsāk saražotās elektroenerģijas iepirkumu obligātā iepirkuma ietvaros ar nākamā pilnā kalendāra mēneša pirmo datumu pēc šo noteikumu 24. punktā minētās principiālās elektriskā pieslēguma shēmas iesniegšanas sistēmas operatoram, publiskajam tirgotājam un birojam.</w:t>
            </w:r>
          </w:p>
        </w:tc>
        <w:tc>
          <w:tcPr>
            <w:tcW w:w="1388" w:type="dxa"/>
            <w:gridSpan w:val="2"/>
          </w:tcPr>
          <w:p w14:paraId="47A4423F" w14:textId="77777777" w:rsidR="00E81DE3" w:rsidRPr="00D00B26" w:rsidRDefault="00E81DE3" w:rsidP="45358C98">
            <w:pPr>
              <w:jc w:val="both"/>
              <w:rPr>
                <w:sz w:val="20"/>
                <w:szCs w:val="20"/>
              </w:rPr>
            </w:pPr>
          </w:p>
        </w:tc>
      </w:tr>
      <w:tr w:rsidR="00E13DF9" w:rsidRPr="00D00B26" w14:paraId="708D02BC"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15E0823" w14:textId="43BD7505" w:rsidR="00C1210B" w:rsidRPr="00D00B26" w:rsidRDefault="00C1210B" w:rsidP="0081357B">
            <w:pPr>
              <w:pStyle w:val="naisc"/>
              <w:numPr>
                <w:ilvl w:val="0"/>
                <w:numId w:val="41"/>
              </w:numPr>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6FBE97" w14:textId="050EA3CF" w:rsidR="00C365DF" w:rsidRPr="00D00B26" w:rsidRDefault="00C365DF" w:rsidP="00C365DF">
            <w:pPr>
              <w:shd w:val="clear" w:color="auto" w:fill="FFFFFF" w:themeFill="background1"/>
              <w:spacing w:after="120"/>
              <w:jc w:val="both"/>
              <w:rPr>
                <w:sz w:val="20"/>
                <w:szCs w:val="20"/>
              </w:rPr>
            </w:pPr>
            <w:r w:rsidRPr="00D00B26">
              <w:rPr>
                <w:sz w:val="20"/>
                <w:szCs w:val="20"/>
              </w:rPr>
              <w:t>2.pielikums.</w:t>
            </w:r>
            <w:r w:rsidRPr="00D00B26">
              <w:rPr>
                <w:b/>
                <w:bCs/>
                <w:sz w:val="20"/>
                <w:szCs w:val="20"/>
              </w:rPr>
              <w:t>Biogāzes ražošanas iekārtās izmantojamās kurināmā izejvielas biogāzes ražošanai:</w:t>
            </w:r>
          </w:p>
          <w:p w14:paraId="7F6AF157" w14:textId="53F686C6" w:rsidR="00C365DF" w:rsidRPr="00D00B26" w:rsidRDefault="006550E5" w:rsidP="45358C98">
            <w:pPr>
              <w:shd w:val="clear" w:color="auto" w:fill="FFFFFF" w:themeFill="background1"/>
              <w:spacing w:after="120"/>
              <w:jc w:val="both"/>
              <w:rPr>
                <w:sz w:val="20"/>
                <w:szCs w:val="20"/>
              </w:rPr>
            </w:pPr>
            <w:r w:rsidRPr="00D00B26">
              <w:rPr>
                <w:sz w:val="20"/>
                <w:szCs w:val="20"/>
              </w:rPr>
              <w:t>rūpniecisko atkritumu biomasas frakcija, ko nevar izmantot pārtikas vai barības ķēdē, tostarp materiāli no mazumtirdzniecības un vairumtirdzniecības un lauksaimniecības pārtikas ražošanas, un zvejniecības un akvakultūras nozares, izņemot izejvielas</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A08EB52" w14:textId="77777777" w:rsidR="004B1B00" w:rsidRPr="00D00B26" w:rsidRDefault="005D6D1E" w:rsidP="005D6D1E">
            <w:pPr>
              <w:spacing w:after="160" w:line="252" w:lineRule="auto"/>
              <w:rPr>
                <w:sz w:val="20"/>
                <w:szCs w:val="20"/>
              </w:rPr>
            </w:pPr>
            <w:r w:rsidRPr="00D00B26">
              <w:rPr>
                <w:b/>
                <w:color w:val="000000"/>
                <w:sz w:val="20"/>
                <w:szCs w:val="20"/>
              </w:rPr>
              <w:t>Zemkopības ministrija (19.08.2020.) iebildums</w:t>
            </w:r>
            <w:r w:rsidRPr="00D00B26">
              <w:rPr>
                <w:sz w:val="20"/>
                <w:szCs w:val="20"/>
              </w:rPr>
              <w:t xml:space="preserve"> </w:t>
            </w:r>
          </w:p>
          <w:p w14:paraId="5751BA42" w14:textId="77777777" w:rsidR="00C1210B" w:rsidRPr="00D00B26" w:rsidRDefault="00DE26F4" w:rsidP="005D6D1E">
            <w:pPr>
              <w:spacing w:after="160" w:line="252" w:lineRule="auto"/>
              <w:rPr>
                <w:sz w:val="20"/>
                <w:szCs w:val="20"/>
              </w:rPr>
            </w:pPr>
            <w:r w:rsidRPr="00D00B26">
              <w:rPr>
                <w:sz w:val="20"/>
                <w:szCs w:val="20"/>
              </w:rPr>
              <w:t>Lūdzam papildināt 2.pielikumu ar 18.punktu šādā redakcijā: “pārtikas atkritumi, citi organiskas izcelsmes atkritumi un ražošanas atlikumprodukti”.</w:t>
            </w:r>
          </w:p>
          <w:p w14:paraId="7D280009" w14:textId="21CF7717" w:rsidR="00D02814" w:rsidRPr="00D00B26" w:rsidRDefault="00D02814" w:rsidP="005D6D1E">
            <w:pPr>
              <w:spacing w:after="160" w:line="252" w:lineRule="auto"/>
              <w:rPr>
                <w:sz w:val="20"/>
                <w:szCs w:val="20"/>
              </w:rPr>
            </w:pPr>
            <w:r w:rsidRPr="00D00B26">
              <w:rPr>
                <w:b/>
                <w:color w:val="000000"/>
                <w:sz w:val="20"/>
                <w:szCs w:val="20"/>
              </w:rPr>
              <w:t>Zemkopības ministrija (27.08.2020.)</w:t>
            </w:r>
          </w:p>
          <w:p w14:paraId="02965308" w14:textId="77777777" w:rsidR="00D02814" w:rsidRPr="00D00B26" w:rsidRDefault="00D02814" w:rsidP="00D02814">
            <w:pPr>
              <w:jc w:val="both"/>
              <w:rPr>
                <w:sz w:val="20"/>
                <w:szCs w:val="20"/>
              </w:rPr>
            </w:pPr>
            <w:bookmarkStart w:id="16" w:name="_Hlk49330767"/>
            <w:r w:rsidRPr="00D00B26">
              <w:rPr>
                <w:sz w:val="20"/>
                <w:szCs w:val="20"/>
              </w:rPr>
              <w:t xml:space="preserve">Lūdzam precizēt 2.pielikumu uz izteikt 4.punktu šādā redakcijā: “4.ražošanas atkritumu biomasas frakcija, ko nevar izmantot pārtikas vai barības ķēdē, un citi organiskas izcelsmes atkritumi un ražošanas atlikumprodukti, tostarp </w:t>
            </w:r>
            <w:r w:rsidRPr="00D00B26">
              <w:rPr>
                <w:sz w:val="20"/>
                <w:szCs w:val="20"/>
              </w:rPr>
              <w:lastRenderedPageBreak/>
              <w:t xml:space="preserve">materiāli no mazumtirdzniecības un vairumtirdzniecības un lauksaimniecības ražošanas un pārtikas ražošanas un pārstrādes, un zvejniecības un akvakultūras nozares.” </w:t>
            </w:r>
          </w:p>
          <w:bookmarkEnd w:id="16"/>
          <w:p w14:paraId="44B99383" w14:textId="75634A58" w:rsidR="00D02814" w:rsidRPr="00D00B26" w:rsidRDefault="00D02814" w:rsidP="005D6D1E">
            <w:pPr>
              <w:spacing w:after="160" w:line="252" w:lineRule="auto"/>
              <w:rPr>
                <w:b/>
                <w:color w:val="000000"/>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853464A" w14:textId="7106DCFB" w:rsidR="008967BD" w:rsidRPr="00D00B26" w:rsidRDefault="00D74E57" w:rsidP="008967BD">
            <w:pPr>
              <w:pStyle w:val="naisc"/>
              <w:rPr>
                <w:b/>
                <w:sz w:val="20"/>
                <w:szCs w:val="20"/>
              </w:rPr>
            </w:pPr>
            <w:r w:rsidRPr="00D00B26">
              <w:rPr>
                <w:b/>
                <w:sz w:val="20"/>
                <w:szCs w:val="20"/>
              </w:rPr>
              <w:lastRenderedPageBreak/>
              <w:t xml:space="preserve">Iebildums </w:t>
            </w:r>
            <w:r w:rsidR="00E1619E" w:rsidRPr="00D00B26">
              <w:rPr>
                <w:b/>
                <w:sz w:val="20"/>
                <w:szCs w:val="20"/>
              </w:rPr>
              <w:t>daļēji</w:t>
            </w:r>
            <w:r w:rsidRPr="00D00B26">
              <w:rPr>
                <w:b/>
                <w:sz w:val="20"/>
                <w:szCs w:val="20"/>
              </w:rPr>
              <w:t xml:space="preserve"> ņemts vērā.</w:t>
            </w:r>
          </w:p>
          <w:p w14:paraId="1E20726B" w14:textId="1030901A" w:rsidR="007718DE" w:rsidRPr="00D00B26" w:rsidRDefault="007718DE" w:rsidP="00143D13">
            <w:pPr>
              <w:pStyle w:val="naisc"/>
              <w:jc w:val="both"/>
              <w:rPr>
                <w:bCs/>
                <w:sz w:val="20"/>
                <w:szCs w:val="20"/>
              </w:rPr>
            </w:pPr>
            <w:r w:rsidRPr="00D00B26">
              <w:rPr>
                <w:bCs/>
                <w:sz w:val="20"/>
                <w:szCs w:val="20"/>
              </w:rPr>
              <w:t>Ekonomikas ministrijas ieskatā</w:t>
            </w:r>
            <w:r w:rsidR="0082322A" w:rsidRPr="00D00B26">
              <w:rPr>
                <w:bCs/>
                <w:sz w:val="20"/>
                <w:szCs w:val="20"/>
              </w:rPr>
              <w:t xml:space="preserve"> Zemkopības ministrijas </w:t>
            </w:r>
            <w:r w:rsidR="004B1B00" w:rsidRPr="00D00B26">
              <w:rPr>
                <w:bCs/>
                <w:sz w:val="20"/>
                <w:szCs w:val="20"/>
              </w:rPr>
              <w:t>iebildumā</w:t>
            </w:r>
            <w:r w:rsidR="0082322A" w:rsidRPr="00D00B26">
              <w:rPr>
                <w:bCs/>
                <w:sz w:val="20"/>
                <w:szCs w:val="20"/>
              </w:rPr>
              <w:t xml:space="preserve"> norādīt</w:t>
            </w:r>
            <w:r w:rsidR="00A70243" w:rsidRPr="00D00B26">
              <w:rPr>
                <w:bCs/>
                <w:sz w:val="20"/>
                <w:szCs w:val="20"/>
              </w:rPr>
              <w:t>ās izejvielas ir iekļautas noteikumu projekta 2.pielikuma 4.punktā: rūpniecisko atkritumu biomasas frakcija, ko nevar izmantot pārtikas vai barības ķēdē, tostarp materiāli no mazumtirdzniecības un vairumtirdzniecības un lauksaimniecības pārtikas ražošanas, un zvejniecības un akvakultūras nozares, izņemot izejvielas;</w:t>
            </w:r>
          </w:p>
          <w:p w14:paraId="057BDCCB" w14:textId="77777777" w:rsidR="00C1210B" w:rsidRPr="00D00B26" w:rsidRDefault="00C1210B" w:rsidP="45358C98">
            <w:pPr>
              <w:pStyle w:val="naisc"/>
              <w:rPr>
                <w:i/>
                <w:sz w:val="20"/>
                <w:szCs w:val="20"/>
              </w:rPr>
            </w:pPr>
          </w:p>
          <w:p w14:paraId="1E5CDAA4" w14:textId="5783F7EA" w:rsidR="006550E5" w:rsidRPr="00D00B26" w:rsidRDefault="006550E5" w:rsidP="45358C98">
            <w:pPr>
              <w:pStyle w:val="naisc"/>
              <w:rPr>
                <w:b/>
                <w:bCs/>
                <w:iCs/>
                <w:sz w:val="20"/>
                <w:szCs w:val="20"/>
              </w:rPr>
            </w:pPr>
            <w:r w:rsidRPr="00D00B26">
              <w:rPr>
                <w:b/>
                <w:bCs/>
                <w:iCs/>
                <w:sz w:val="20"/>
                <w:szCs w:val="20"/>
              </w:rPr>
              <w:t>Iebildums ir 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19AB143" w14:textId="77777777" w:rsidR="00C1210B" w:rsidRPr="00D00B26" w:rsidRDefault="00143D13" w:rsidP="45358C98">
            <w:pPr>
              <w:jc w:val="both"/>
              <w:rPr>
                <w:sz w:val="20"/>
                <w:szCs w:val="20"/>
              </w:rPr>
            </w:pPr>
            <w:r w:rsidRPr="00D00B26">
              <w:rPr>
                <w:sz w:val="20"/>
                <w:szCs w:val="20"/>
              </w:rPr>
              <w:t>Noteikumu projekta 2.pielikuma 4.punkts</w:t>
            </w:r>
          </w:p>
          <w:p w14:paraId="0D0B52A6" w14:textId="77777777" w:rsidR="006550E5" w:rsidRPr="00D00B26" w:rsidRDefault="006550E5" w:rsidP="45358C98">
            <w:pPr>
              <w:jc w:val="both"/>
              <w:rPr>
                <w:sz w:val="20"/>
                <w:szCs w:val="20"/>
              </w:rPr>
            </w:pPr>
          </w:p>
          <w:p w14:paraId="6B3C7515" w14:textId="066E50E6" w:rsidR="006550E5" w:rsidRPr="00D00B26" w:rsidRDefault="006550E5" w:rsidP="45358C98">
            <w:pPr>
              <w:jc w:val="both"/>
              <w:rPr>
                <w:sz w:val="20"/>
                <w:szCs w:val="20"/>
              </w:rPr>
            </w:pPr>
            <w:r w:rsidRPr="00D00B26">
              <w:rPr>
                <w:sz w:val="20"/>
                <w:szCs w:val="20"/>
              </w:rPr>
              <w:t>ražošanas atkritumu biomasas frakcija, ko nevar izmantot pārtikas vai barības ķēdē, un citi organiskas izcelsmes atkritumi un ražošanas atlikumprodukti, tostarp materiāli no mazumtirdzniecības un vairumtirdzniecības un lauksaimniecības ražošanas un pārtikas ražošanas un pārstrādes, un zvejniecības un akvakultūras nozares</w:t>
            </w:r>
          </w:p>
        </w:tc>
        <w:tc>
          <w:tcPr>
            <w:tcW w:w="1388" w:type="dxa"/>
            <w:gridSpan w:val="2"/>
          </w:tcPr>
          <w:p w14:paraId="0964869E" w14:textId="77777777" w:rsidR="00C1210B" w:rsidRPr="00D00B26" w:rsidRDefault="00C1210B" w:rsidP="45358C98">
            <w:pPr>
              <w:jc w:val="both"/>
              <w:rPr>
                <w:sz w:val="20"/>
                <w:szCs w:val="20"/>
              </w:rPr>
            </w:pPr>
          </w:p>
        </w:tc>
      </w:tr>
      <w:tr w:rsidR="00E13DF9" w:rsidRPr="00D00B26" w14:paraId="54C2624E"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CD79273" w14:textId="563F2405" w:rsidR="00C17E0B" w:rsidRPr="00D00B26" w:rsidRDefault="00C17E0B"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3230A0" w14:textId="77777777" w:rsidR="00DE2830" w:rsidRPr="00D00B26" w:rsidRDefault="00DE2830" w:rsidP="00DE2830">
            <w:pPr>
              <w:shd w:val="clear" w:color="auto" w:fill="FFFFFF" w:themeFill="background1"/>
              <w:spacing w:after="120"/>
              <w:jc w:val="both"/>
              <w:rPr>
                <w:sz w:val="20"/>
                <w:szCs w:val="20"/>
              </w:rPr>
            </w:pPr>
            <w:r w:rsidRPr="00D00B26">
              <w:rPr>
                <w:sz w:val="20"/>
                <w:szCs w:val="20"/>
              </w:rPr>
              <w:t>41.</w:t>
            </w:r>
            <w:r w:rsidRPr="00D00B26">
              <w:rPr>
                <w:sz w:val="20"/>
                <w:szCs w:val="20"/>
                <w:vertAlign w:val="superscript"/>
              </w:rPr>
              <w:t> </w:t>
            </w:r>
            <w:r w:rsidRPr="00D00B26">
              <w:rPr>
                <w:sz w:val="20"/>
                <w:szCs w:val="20"/>
              </w:rPr>
              <w:t>Birojs izveido kontroles grupu, kas ir tiesīga pārbaudīt elektrostacijas atbilstību normatīvo aktu prasībām un iesniegtās informācijas ticamību. Komersantam ir pienākums nodrošināt kontroles grupai piekļuvi elektrostacijai, kā arī kurināmā sagatavošanas iekārtām un mēriekārtām, ja tās atrodas ārpus elektrostacijas. Komersantam ir pienākums kontroles grupai sniegt pārbaudes ietvaros pieprasīto komersanta uzraudzības īstenošanai nepieciešamo informāciju. Informāciju, kas kontroles grupai nepieciešama šo noteikumu 41.</w:t>
            </w:r>
            <w:r w:rsidRPr="00D00B26">
              <w:rPr>
                <w:sz w:val="20"/>
                <w:szCs w:val="20"/>
                <w:vertAlign w:val="superscript"/>
              </w:rPr>
              <w:t> </w:t>
            </w:r>
            <w:r w:rsidRPr="00D00B26">
              <w:rPr>
                <w:sz w:val="20"/>
                <w:szCs w:val="20"/>
              </w:rPr>
              <w:t>7. apakšpunktā minētā pārbaudes akta sagatavošanai, komersants var iesniegt birojā 10 darbdienu laikā pēc kontroles grupas veiktās pārbaudes vai – pēc komersanta lūguma – 20 darbdienu laikā, ja elektrostacijas pārbaude veikta bez iepriekšēja brīdinājuma un komersants var pierādīt objektīvus apstākļus, kādēļ informācija nevar tikt iesniegta 10 darbdienu laikā. Kontroles grupai un komersantam pārbaudes ietvaros ir šādas tiesības un pienākumi:</w:t>
            </w:r>
          </w:p>
          <w:p w14:paraId="216FD81A"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41.1. komersants šo noteikumu </w:t>
            </w:r>
            <w:hyperlink r:id="rId22" w:anchor="p60" w:history="1">
              <w:r w:rsidRPr="00D00B26">
                <w:rPr>
                  <w:rStyle w:val="Hyperlink"/>
                  <w:sz w:val="20"/>
                  <w:szCs w:val="20"/>
                </w:rPr>
                <w:t>32.</w:t>
              </w:r>
            </w:hyperlink>
            <w:r w:rsidRPr="00D00B26">
              <w:rPr>
                <w:sz w:val="20"/>
                <w:szCs w:val="20"/>
              </w:rPr>
              <w:t xml:space="preserve"> punktā minētajā pārskatā norāda kontaktpersonu (arī tās elektroniskā pasta adresi un tālruņa numuru), ar kuru birojs var sazināties saistībā ar kontroles grupas plānotajām pārbaudēm, kā arī kontaktpersonu (arī tās tālruņa numuru), kura var nodrošināt kontroles grupai piekļuvi elektrostacijai. </w:t>
            </w:r>
            <w:r w:rsidRPr="00D00B26">
              <w:rPr>
                <w:sz w:val="20"/>
                <w:szCs w:val="20"/>
              </w:rPr>
              <w:lastRenderedPageBreak/>
              <w:t>Komersants piecu darbdienu laikā informē biroju par izmaiņām minētajā kontaktinformācijā;</w:t>
            </w:r>
          </w:p>
          <w:p w14:paraId="5AC21FD5"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41.2. kontroles grupa ir tiesīga elektrostacijā veikt plānoto vai neplānoto pārbaudi; </w:t>
            </w:r>
          </w:p>
          <w:p w14:paraId="644C05AB"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41.3. birojs brīdina komersantu par plānotās pārbaudes veikšanas datumu. Informāciju par plānoto pārbaudi birojs nosūta komersantam uz šo noteikumu 41.1. apakšpunktā minēto un šo noteikumu </w:t>
            </w:r>
            <w:hyperlink r:id="rId23" w:anchor="piel9" w:history="1">
              <w:r w:rsidRPr="00D00B26">
                <w:rPr>
                  <w:rStyle w:val="Hyperlink"/>
                  <w:sz w:val="20"/>
                  <w:szCs w:val="20"/>
                </w:rPr>
                <w:t>3.</w:t>
              </w:r>
            </w:hyperlink>
            <w:r w:rsidRPr="00D00B26">
              <w:rPr>
                <w:sz w:val="20"/>
                <w:szCs w:val="20"/>
              </w:rPr>
              <w:t> pielikumā norādītajā veidlapā minēto elektroniskā pasta adresi vai komersanta juridisko adresi. Birojs plānotās pārbaudes veikšanas datumu nosaka vismaz trīs darbdienas pēc komersantam nosūtītās informācijas paziņošanas dienas. Ja biroja noteiktajā datumā komersants nevar nodrošināt kontroles grupai iespēju veikt elektrostacijas pārbaudi, birojs atkārtoti nosaka pārbaudes veikšanas datumu, kas nav vēlāks kā 15 darbdienas pēc sākotnēji noteiktā datuma;</w:t>
            </w:r>
          </w:p>
          <w:p w14:paraId="53826269"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41.4. ja kontroles grupa ieradusies elektrostacijā bez iepriekšēja brīdinājuma un komersants nevar nodrošināt tai iespēju veikt elektrostacijas pārbaudi, kontroles grupa ne vēlāk kā 10 darbdienas pēc pirmās ierašanās elektrostacijā atkārtoti ierodas elektrostacijā, lai veiktu pārbaudi;</w:t>
            </w:r>
          </w:p>
          <w:p w14:paraId="4C06488F"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 xml:space="preserve">41.5. ja komersants saskaņā ar šo noteikumu 41.3. un 41.4. apakšpunktu atkārtoti nenodrošina kontroles grupai iespēju veikt elektrostacijas pārbaudi, birojs mēneša laikā pēc atkārtoti noteiktā pārbaudes veikšanas datuma pieņem </w:t>
            </w:r>
            <w:r w:rsidRPr="00D00B26">
              <w:rPr>
                <w:sz w:val="20"/>
                <w:szCs w:val="20"/>
              </w:rPr>
              <w:lastRenderedPageBreak/>
              <w:t>lēmumu, ar kuru atceļ komersantam piešķirtās obligātā iepirkuma tiesības;</w:t>
            </w:r>
          </w:p>
          <w:p w14:paraId="281A7DCD"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 xml:space="preserve">41.6.  kontroles grupa pārbaudes veikšanas laikā elektrostacijā, par to brīdinot komersantu, ir tiesīga veikt foto un video fiksāciju, ievērojot normatīvajos aktos par personu datu aizsardzību noteikto; </w:t>
            </w:r>
          </w:p>
          <w:p w14:paraId="1B58F1E0" w14:textId="77777777" w:rsidR="006C0433" w:rsidRPr="00D00B26" w:rsidRDefault="006C0433" w:rsidP="006C0433">
            <w:pPr>
              <w:shd w:val="clear" w:color="auto" w:fill="FFFFFF" w:themeFill="background1"/>
              <w:spacing w:after="120"/>
              <w:jc w:val="both"/>
              <w:rPr>
                <w:sz w:val="20"/>
                <w:szCs w:val="20"/>
              </w:rPr>
            </w:pPr>
            <w:r w:rsidRPr="00D00B26">
              <w:rPr>
                <w:sz w:val="20"/>
                <w:szCs w:val="20"/>
              </w:rPr>
              <w:t xml:space="preserve">41.7. birojs pēc kontroles grupas veiktās pārbaudes sagatavo pārbaudes aktu un nosūta to komersantam. Pārbaudes aktā norāda kontroles grupas konstatējumus par elektrostacijas atbilstību normatīvo aktu prasībām un komersanta sniegtos paskaidrojumus. </w:t>
            </w:r>
          </w:p>
          <w:p w14:paraId="420F1C21" w14:textId="77777777" w:rsidR="000B17A0" w:rsidRPr="00D00B26" w:rsidRDefault="000B17A0" w:rsidP="000B17A0">
            <w:pPr>
              <w:shd w:val="clear" w:color="auto" w:fill="FFFFFF" w:themeFill="background1"/>
              <w:spacing w:after="120"/>
              <w:jc w:val="both"/>
              <w:rPr>
                <w:sz w:val="20"/>
                <w:szCs w:val="20"/>
              </w:rPr>
            </w:pPr>
            <w:r w:rsidRPr="00D00B26">
              <w:rPr>
                <w:sz w:val="20"/>
                <w:szCs w:val="20"/>
              </w:rPr>
              <w:t>42. Birojs pieņem lēmumu, ar kuru atceļ komersantam piešķirtās tiesības pārdot no atjaunojamiem energoresursiem saražoto elektroenerģiju obligātā iepirkuma ietvaros:</w:t>
            </w:r>
          </w:p>
          <w:p w14:paraId="58B701DE" w14:textId="77777777" w:rsidR="000B17A0" w:rsidRPr="00D00B26" w:rsidRDefault="000B17A0" w:rsidP="000B17A0">
            <w:pPr>
              <w:shd w:val="clear" w:color="auto" w:fill="FFFFFF" w:themeFill="background1"/>
              <w:spacing w:after="120"/>
              <w:jc w:val="both"/>
              <w:rPr>
                <w:sz w:val="20"/>
                <w:szCs w:val="20"/>
              </w:rPr>
            </w:pPr>
            <w:r w:rsidRPr="00D00B26">
              <w:rPr>
                <w:sz w:val="20"/>
                <w:szCs w:val="20"/>
              </w:rPr>
              <w:t>42.1. ja pēc kontroles grupas veiktās pārbaudes birojs konstatē, ka elektrostacijā izmantotās tehnoloģijas veids vai kurināmais neatbilst informācijai, kas norādīta šo noteikumu </w:t>
            </w:r>
            <w:hyperlink r:id="rId24" w:anchor="p14" w:history="1">
              <w:r w:rsidRPr="00D00B26">
                <w:rPr>
                  <w:rStyle w:val="Hyperlink"/>
                  <w:sz w:val="20"/>
                  <w:szCs w:val="20"/>
                </w:rPr>
                <w:t>2.1.</w:t>
              </w:r>
            </w:hyperlink>
            <w:r w:rsidRPr="00D00B26">
              <w:rPr>
                <w:sz w:val="20"/>
                <w:szCs w:val="20"/>
              </w:rPr>
              <w:t> apakšpunktā minētajā iesniegumā, vai elektrostacijā izmantotais kurināmais neatbilst šo noteikumu 2.2. apakšpunktā minētajā lēmumā noteiktajam. Birojs lēmumu pieņem mēneša laikā pēc šo noteikumu 41.7. apakšpunktā minētā pārbaudes akta saņemšanas;</w:t>
            </w:r>
          </w:p>
          <w:p w14:paraId="7FCF805B" w14:textId="77777777" w:rsidR="000B17A0" w:rsidRPr="00D00B26" w:rsidRDefault="000B17A0" w:rsidP="000B17A0">
            <w:pPr>
              <w:shd w:val="clear" w:color="auto" w:fill="FFFFFF" w:themeFill="background1"/>
              <w:spacing w:after="120"/>
              <w:jc w:val="both"/>
              <w:rPr>
                <w:sz w:val="20"/>
                <w:szCs w:val="20"/>
              </w:rPr>
            </w:pPr>
            <w:r w:rsidRPr="00D00B26">
              <w:rPr>
                <w:sz w:val="20"/>
                <w:szCs w:val="20"/>
              </w:rPr>
              <w:t>42.2. ja komersantam pasludina maksātnespējas procesu. Birojs lēmumu pieņem piecu darbdienu laikā no brīža, kad konstatēts fakts par komersanta maksātnespējas procesa pasludināšanu;</w:t>
            </w:r>
          </w:p>
          <w:p w14:paraId="567C13AD" w14:textId="77777777" w:rsidR="000B17A0" w:rsidRPr="00D00B26" w:rsidRDefault="000B17A0" w:rsidP="000B17A0">
            <w:pPr>
              <w:shd w:val="clear" w:color="auto" w:fill="FFFFFF" w:themeFill="background1"/>
              <w:spacing w:after="120"/>
              <w:jc w:val="both"/>
              <w:rPr>
                <w:sz w:val="20"/>
                <w:szCs w:val="20"/>
              </w:rPr>
            </w:pPr>
            <w:r w:rsidRPr="00D00B26">
              <w:rPr>
                <w:sz w:val="20"/>
                <w:szCs w:val="20"/>
              </w:rPr>
              <w:lastRenderedPageBreak/>
              <w:t>42.3. ja pēc kontroles grupas veiktās pārbaudes birojs konstatē, ka nav paredzēta saražotās siltumenerģijas lietderīga izmantošana;</w:t>
            </w:r>
          </w:p>
          <w:p w14:paraId="710BADFC" w14:textId="77777777" w:rsidR="000B17A0" w:rsidRPr="00D00B26" w:rsidRDefault="000B17A0" w:rsidP="000B17A0">
            <w:pPr>
              <w:shd w:val="clear" w:color="auto" w:fill="FFFFFF" w:themeFill="background1"/>
              <w:spacing w:after="120"/>
              <w:jc w:val="both"/>
              <w:rPr>
                <w:sz w:val="20"/>
                <w:szCs w:val="20"/>
              </w:rPr>
            </w:pPr>
            <w:r w:rsidRPr="00D00B26">
              <w:rPr>
                <w:sz w:val="20"/>
                <w:szCs w:val="20"/>
              </w:rPr>
              <w:t>42.4. elektrostacijā nav uzstādītas mēraparātu vai mērlīdzekļu sistēmas</w:t>
            </w:r>
          </w:p>
          <w:p w14:paraId="0D9FBBC8" w14:textId="77777777" w:rsidR="008B6548" w:rsidRPr="00D00B26" w:rsidRDefault="008B6548" w:rsidP="008B6548">
            <w:pPr>
              <w:shd w:val="clear" w:color="auto" w:fill="FFFFFF" w:themeFill="background1"/>
              <w:spacing w:after="120"/>
              <w:jc w:val="both"/>
              <w:rPr>
                <w:sz w:val="20"/>
                <w:szCs w:val="20"/>
              </w:rPr>
            </w:pPr>
            <w:r w:rsidRPr="00D00B26">
              <w:rPr>
                <w:sz w:val="20"/>
                <w:szCs w:val="20"/>
              </w:rPr>
              <w:t>43. Birojs nosūta komersantam brīdinājumu par iespējamu obligātā iepirkuma tiesību zaudēšanu, ja birojs konstatē, ka elektrostacija neatbilst vai šo noteikumu </w:t>
            </w:r>
            <w:hyperlink r:id="rId25" w:anchor="p60" w:history="1">
              <w:r w:rsidRPr="00D00B26">
                <w:rPr>
                  <w:rStyle w:val="Hyperlink"/>
                  <w:sz w:val="20"/>
                  <w:szCs w:val="20"/>
                </w:rPr>
                <w:t>32.</w:t>
              </w:r>
            </w:hyperlink>
            <w:r w:rsidRPr="00D00B26">
              <w:rPr>
                <w:sz w:val="20"/>
                <w:szCs w:val="20"/>
              </w:rPr>
              <w:t> punktā minētā gada pārskata periodā nav atbildusi vienam no šādiem kritērijiem:</w:t>
            </w:r>
          </w:p>
          <w:p w14:paraId="43F3ADB7" w14:textId="77777777" w:rsidR="008B6548" w:rsidRPr="00D00B26" w:rsidRDefault="008B6548" w:rsidP="008B6548">
            <w:pPr>
              <w:shd w:val="clear" w:color="auto" w:fill="FFFFFF" w:themeFill="background1"/>
              <w:spacing w:after="120"/>
              <w:jc w:val="both"/>
              <w:rPr>
                <w:sz w:val="20"/>
                <w:szCs w:val="20"/>
              </w:rPr>
            </w:pPr>
            <w:r w:rsidRPr="00D00B26">
              <w:rPr>
                <w:sz w:val="20"/>
                <w:szCs w:val="20"/>
              </w:rPr>
              <w:t>43.1. elektrostacijā uzstādītā elektriskā jauda, kas pieslēgta sistēmas operatora tīklam, neatbilst līgumā ar publisko tirgotāju norādītajai jaudai;</w:t>
            </w:r>
          </w:p>
          <w:p w14:paraId="765C18F3" w14:textId="77777777" w:rsidR="008B6548" w:rsidRPr="00D00B26" w:rsidRDefault="008B6548" w:rsidP="008B6548">
            <w:pPr>
              <w:shd w:val="clear" w:color="auto" w:fill="FFFFFF" w:themeFill="background1"/>
              <w:spacing w:after="120"/>
              <w:jc w:val="both"/>
              <w:rPr>
                <w:sz w:val="20"/>
                <w:szCs w:val="20"/>
              </w:rPr>
            </w:pPr>
            <w:r w:rsidRPr="00D00B26">
              <w:rPr>
                <w:sz w:val="20"/>
                <w:szCs w:val="20"/>
              </w:rPr>
              <w:t>43.2. elektrostacijā netiek nodrošināta saražotās elektroenerģijas izlietošana elektrostacijas darbības nodrošināšanai saskaņā ar šiem noteikumiem un vienotā tehnoloģiskā cikla principu;</w:t>
            </w:r>
          </w:p>
          <w:p w14:paraId="46360974" w14:textId="77777777" w:rsidR="008B6548" w:rsidRPr="00D00B26" w:rsidRDefault="008B6548" w:rsidP="008B6548">
            <w:pPr>
              <w:shd w:val="clear" w:color="auto" w:fill="FFFFFF" w:themeFill="background1"/>
              <w:spacing w:after="120"/>
              <w:jc w:val="both"/>
              <w:rPr>
                <w:sz w:val="20"/>
                <w:szCs w:val="20"/>
              </w:rPr>
            </w:pPr>
            <w:r w:rsidRPr="00D00B26">
              <w:rPr>
                <w:sz w:val="20"/>
                <w:szCs w:val="20"/>
              </w:rPr>
              <w:t>43.3. elektrostacijā uzstādītās mēraparātu vai mērlīdzekļu sistēmas neatbilst šo noteikumu </w:t>
            </w:r>
            <w:hyperlink r:id="rId26" w:anchor="p53" w:history="1">
              <w:r w:rsidRPr="00D00B26">
                <w:rPr>
                  <w:rStyle w:val="Hyperlink"/>
                  <w:sz w:val="20"/>
                  <w:szCs w:val="20"/>
                </w:rPr>
                <w:t>18.</w:t>
              </w:r>
            </w:hyperlink>
            <w:r w:rsidRPr="00D00B26">
              <w:rPr>
                <w:sz w:val="20"/>
                <w:szCs w:val="20"/>
              </w:rPr>
              <w:t> punktam;</w:t>
            </w:r>
          </w:p>
          <w:p w14:paraId="221585A1" w14:textId="77777777" w:rsidR="008B6548" w:rsidRPr="00D00B26" w:rsidRDefault="008B6548" w:rsidP="008B6548">
            <w:pPr>
              <w:shd w:val="clear" w:color="auto" w:fill="FFFFFF" w:themeFill="background1"/>
              <w:spacing w:after="120"/>
              <w:jc w:val="both"/>
              <w:rPr>
                <w:sz w:val="20"/>
                <w:szCs w:val="20"/>
              </w:rPr>
            </w:pPr>
            <w:r w:rsidRPr="00D00B26">
              <w:rPr>
                <w:sz w:val="20"/>
                <w:szCs w:val="20"/>
              </w:rPr>
              <w:t>43.4. elektrostacijas darbība neatbilst normatīvajiem aktiem, kas nosaka prasības elektrostaciju darbībai enerģētikas jomā, vai kontroles grupas veiktajās pārbaudēs konstatētās neatbilstības šo noteikumu prasībām var ietekmēt izmaksājamā atbalsta apmēru;</w:t>
            </w:r>
          </w:p>
          <w:p w14:paraId="2EB426D7" w14:textId="77777777" w:rsidR="008B6548" w:rsidRPr="00D00B26" w:rsidRDefault="008B6548" w:rsidP="008B6548">
            <w:pPr>
              <w:shd w:val="clear" w:color="auto" w:fill="FFFFFF" w:themeFill="background1"/>
              <w:spacing w:after="120"/>
              <w:jc w:val="both"/>
              <w:rPr>
                <w:b/>
                <w:bCs/>
                <w:sz w:val="20"/>
                <w:szCs w:val="20"/>
              </w:rPr>
            </w:pPr>
            <w:r w:rsidRPr="00D00B26">
              <w:rPr>
                <w:sz w:val="20"/>
                <w:szCs w:val="20"/>
              </w:rPr>
              <w:t>43.5. elektrostacijas darbība neatbilst normatīvajiem aktiem, kas nosaka prasības elektrostaciju darbībai vides vai darba drošības jomā</w:t>
            </w:r>
          </w:p>
          <w:p w14:paraId="551A1ECB" w14:textId="24E2766C" w:rsidR="006C3CC2" w:rsidRPr="00D00B26" w:rsidRDefault="008B6548" w:rsidP="00E13DF9">
            <w:pPr>
              <w:shd w:val="clear" w:color="auto" w:fill="FFFFFF" w:themeFill="background1"/>
              <w:spacing w:after="120"/>
              <w:jc w:val="both"/>
              <w:rPr>
                <w:sz w:val="20"/>
                <w:szCs w:val="20"/>
              </w:rPr>
            </w:pPr>
            <w:r w:rsidRPr="00D00B26">
              <w:rPr>
                <w:sz w:val="20"/>
                <w:szCs w:val="20"/>
              </w:rPr>
              <w:lastRenderedPageBreak/>
              <w:t>43.6. Elektrostacijā izmantotā kurināmā izejviela neatbilst šo noteikumu 13. punktam.</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0423CFA" w14:textId="19770F06" w:rsidR="00C17E0B" w:rsidRPr="00D00B26" w:rsidRDefault="5FCF889C" w:rsidP="76D16243">
            <w:pPr>
              <w:tabs>
                <w:tab w:val="left" w:pos="1134"/>
              </w:tabs>
              <w:spacing w:after="160" w:line="252" w:lineRule="auto"/>
              <w:ind w:left="126"/>
              <w:contextualSpacing/>
              <w:rPr>
                <w:rFonts w:eastAsia="Calibri"/>
                <w:b/>
                <w:sz w:val="20"/>
                <w:szCs w:val="20"/>
              </w:rPr>
            </w:pPr>
            <w:r w:rsidRPr="00D00B26">
              <w:rPr>
                <w:rFonts w:eastAsia="Calibri"/>
                <w:b/>
                <w:sz w:val="20"/>
                <w:szCs w:val="20"/>
              </w:rPr>
              <w:lastRenderedPageBreak/>
              <w:t>Tieslietu ministrija (17.08.2020.</w:t>
            </w:r>
            <w:r w:rsidR="00E464D5" w:rsidRPr="00D00B26">
              <w:rPr>
                <w:rFonts w:eastAsia="Calibri"/>
                <w:b/>
                <w:sz w:val="20"/>
                <w:szCs w:val="20"/>
              </w:rPr>
              <w:t>)</w:t>
            </w:r>
            <w:r w:rsidRPr="00D00B26">
              <w:rPr>
                <w:rFonts w:eastAsia="Calibri"/>
                <w:b/>
                <w:sz w:val="20"/>
                <w:szCs w:val="20"/>
              </w:rPr>
              <w:t xml:space="preserve"> iebildums</w:t>
            </w:r>
          </w:p>
          <w:p w14:paraId="661C237E" w14:textId="0C8B4CC8" w:rsidR="00C17E0B" w:rsidRPr="00D00B26" w:rsidRDefault="15D2A80A" w:rsidP="76D16243">
            <w:pPr>
              <w:spacing w:after="160" w:line="252" w:lineRule="auto"/>
              <w:contextualSpacing/>
              <w:rPr>
                <w:b/>
                <w:color w:val="000000"/>
                <w:sz w:val="20"/>
                <w:szCs w:val="20"/>
                <w:highlight w:val="red"/>
              </w:rPr>
            </w:pPr>
            <w:r w:rsidRPr="00D00B26">
              <w:rPr>
                <w:sz w:val="20"/>
                <w:szCs w:val="20"/>
              </w:rPr>
              <w:t>Projekta 41., 42. un 43. punktā esošo regulējumu par kontroles grupu nepieciešams izvērtēt un precizēt. Vēršam uzmanību, ka likums pilnvaro Ministru kabinetu noteikt uzraugošo un kontrolējošo iestādi, kas būs Būvniecības valsts kontroles birojs. Tādējādi dotā valsts pārvaldes uzdevuma izpilde ir minētās iestādes kompetencē. Savukārt dažādu kontroles grupu vai struktūrvienību veidošana ir iestādes iekšējās darba organizācijas nosacījums, kas nav jāparedz ārējā normatīvajā aktā. Ievērojot minēto, projekta 41., 42. un 43. punktu nepieciešams precizēt, piemēram, aizstājot vārdus “kontroles grupa” ar vārdiem “biroja pārstāvji”.</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08A7921" w14:textId="55A4342F" w:rsidR="00C17E0B" w:rsidRPr="00D00B26" w:rsidRDefault="00A161F6" w:rsidP="00A9367F">
            <w:pPr>
              <w:pStyle w:val="NormalWeb"/>
              <w:spacing w:before="0" w:beforeAutospacing="0"/>
              <w:jc w:val="both"/>
              <w:rPr>
                <w:sz w:val="20"/>
                <w:szCs w:val="20"/>
              </w:rPr>
            </w:pPr>
            <w:r w:rsidRPr="00D00B26">
              <w:rPr>
                <w:b/>
                <w:sz w:val="20"/>
                <w:szCs w:val="20"/>
              </w:rPr>
              <w:t>Iebildums ir 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B55D775" w14:textId="1714D027" w:rsidR="00C17E0B" w:rsidRPr="00D00B26" w:rsidRDefault="006220E4" w:rsidP="00A9367F">
            <w:pPr>
              <w:shd w:val="clear" w:color="auto" w:fill="FFFFFF"/>
              <w:spacing w:after="120"/>
              <w:jc w:val="both"/>
              <w:rPr>
                <w:sz w:val="20"/>
                <w:szCs w:val="20"/>
              </w:rPr>
            </w:pPr>
            <w:r w:rsidRPr="00D00B26">
              <w:rPr>
                <w:sz w:val="20"/>
                <w:szCs w:val="20"/>
              </w:rPr>
              <w:t>Noteikumu projekta 4</w:t>
            </w:r>
            <w:r w:rsidR="002955D0" w:rsidRPr="00D00B26">
              <w:rPr>
                <w:sz w:val="20"/>
                <w:szCs w:val="20"/>
              </w:rPr>
              <w:t>6</w:t>
            </w:r>
            <w:r w:rsidRPr="00D00B26">
              <w:rPr>
                <w:sz w:val="20"/>
                <w:szCs w:val="20"/>
              </w:rPr>
              <w:t>. punktā vārdi “kontroles grupa” aizstāti ar vārdiem “biroja pārstāvji”.</w:t>
            </w:r>
          </w:p>
        </w:tc>
        <w:tc>
          <w:tcPr>
            <w:tcW w:w="1388" w:type="dxa"/>
            <w:gridSpan w:val="2"/>
          </w:tcPr>
          <w:p w14:paraId="67376FA1" w14:textId="77777777" w:rsidR="00C17E0B" w:rsidRPr="00D00B26" w:rsidRDefault="00C17E0B" w:rsidP="00A9367F">
            <w:pPr>
              <w:jc w:val="both"/>
              <w:rPr>
                <w:sz w:val="20"/>
                <w:szCs w:val="20"/>
              </w:rPr>
            </w:pPr>
          </w:p>
        </w:tc>
      </w:tr>
      <w:tr w:rsidR="00E13DF9" w:rsidRPr="00D00B26" w14:paraId="044D6059"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A098EF" w14:textId="4F55C089" w:rsidR="00E0427F" w:rsidRPr="00D00B26" w:rsidRDefault="00E0427F"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492BFE" w14:textId="7B9E77E3" w:rsidR="00B352BB" w:rsidRPr="00D00B26" w:rsidRDefault="00B352BB" w:rsidP="00B352BB">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p w14:paraId="20298CC9" w14:textId="77777777" w:rsidR="00B352BB" w:rsidRPr="00D00B26" w:rsidRDefault="00B352BB" w:rsidP="00B352BB">
            <w:pPr>
              <w:shd w:val="clear" w:color="auto" w:fill="FFFFFF"/>
              <w:spacing w:after="120"/>
              <w:jc w:val="both"/>
              <w:rPr>
                <w:sz w:val="20"/>
                <w:szCs w:val="20"/>
              </w:rPr>
            </w:pPr>
            <w:r w:rsidRPr="00D00B26">
              <w:rPr>
                <w:sz w:val="20"/>
                <w:szCs w:val="20"/>
              </w:rPr>
              <w:t>“Tā kā jaunas tiesības pārdot elektroenerģiju obligāti iepērkamā elektroenerģijas apjoma veidā kopš 2012. gada netiek piešķirtas, turklāt līdz ar 2016.gada 19.maija grozījumiem ETL norma, t.i. 29.panta pirmā daļa, kas noteica, ka ražotājs, kas elektroenerģiju ražo, izmantojot atjaunojamos energoresursus, var iegūt tiesības pārdot saražoto elektroenerģiju obligāti iepērkamā elektroenerģijas apjoma veidā, ir svītrota,</w:t>
            </w:r>
            <w:r w:rsidRPr="00D00B26">
              <w:rPr>
                <w:bCs/>
                <w:sz w:val="20"/>
                <w:szCs w:val="20"/>
              </w:rPr>
              <w:t xml:space="preserve"> </w:t>
            </w:r>
            <w:r w:rsidRPr="00D00B26">
              <w:rPr>
                <w:sz w:val="20"/>
                <w:szCs w:val="20"/>
              </w:rPr>
              <w:t>arī projektā nav ietvertas tās MK noteikumu Nr.262 normas, kas saistītas ar nosacījumiem obligātā iepirkuma tiesību saņemšanai. Taču, ņemot vērā, ka minētie ETL grozījumi neatceļ jau piešķirtās obligātā iepirkuma tiesības tiem ražotājiem, kas tās saņēmuši pirms 2012.gada, projektā saglabātas un atbilstoši situācijai un jaunajam ETL deleģējumam precizētas  normas, kas nosaka atbilstību prasībām, kas komersantiem jāievēro, lai tie varētu saņemt obligātā iepirkuma tiesības, kā arī to uzraudzību un kontroli.”</w:t>
            </w:r>
          </w:p>
          <w:p w14:paraId="0F17DBA0" w14:textId="750AC8DE" w:rsidR="00E0427F" w:rsidRPr="00D00B26" w:rsidRDefault="00E0427F"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1513197" w14:textId="3B666E23" w:rsidR="00E0427F" w:rsidRPr="00D00B26" w:rsidRDefault="03E2BB5E"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890CC1" w:rsidRPr="00D00B26">
              <w:rPr>
                <w:rFonts w:eastAsia="Calibri"/>
                <w:b/>
                <w:sz w:val="20"/>
                <w:szCs w:val="20"/>
              </w:rPr>
              <w:t xml:space="preserve"> iebildums</w:t>
            </w:r>
          </w:p>
          <w:p w14:paraId="0864833A" w14:textId="0734863B" w:rsidR="00E0427F" w:rsidRPr="00D00B26" w:rsidRDefault="03E2BB5E" w:rsidP="76D16243">
            <w:pPr>
              <w:jc w:val="both"/>
              <w:rPr>
                <w:sz w:val="20"/>
                <w:szCs w:val="20"/>
              </w:rPr>
            </w:pPr>
            <w:r w:rsidRPr="00D00B26">
              <w:rPr>
                <w:sz w:val="20"/>
                <w:szCs w:val="20"/>
              </w:rPr>
              <w:t xml:space="preserve">5. Lai nodrošinātu viennozīmīgu izpratni par noteikumu projektā, tajā skaitā tā 57. un 58. punktā </w:t>
            </w:r>
            <w:r w:rsidRPr="00D00B26">
              <w:rPr>
                <w:b/>
                <w:sz w:val="20"/>
                <w:szCs w:val="20"/>
              </w:rPr>
              <w:t>lietotā jēdziena “atbalsta periods” saturu, lūdzam papildināt anotāciju ar attiecīgu skaidrojumu</w:t>
            </w:r>
            <w:r w:rsidRPr="00D00B26">
              <w:rPr>
                <w:sz w:val="20"/>
                <w:szCs w:val="20"/>
              </w:rPr>
              <w:t>, ievērojot spēkā esošajā Elektroenerģijas tirgus likuma (turpmāk – ETL) 1. panta 3.</w:t>
            </w:r>
            <w:r w:rsidRPr="00D00B26">
              <w:rPr>
                <w:sz w:val="20"/>
                <w:szCs w:val="20"/>
                <w:vertAlign w:val="superscript"/>
              </w:rPr>
              <w:t>1</w:t>
            </w:r>
            <w:r w:rsidRPr="00D00B26">
              <w:rPr>
                <w:sz w:val="20"/>
                <w:szCs w:val="20"/>
              </w:rPr>
              <w:t> punktā un 30.</w:t>
            </w:r>
            <w:r w:rsidRPr="00D00B26">
              <w:rPr>
                <w:sz w:val="20"/>
                <w:szCs w:val="20"/>
                <w:vertAlign w:val="superscript"/>
              </w:rPr>
              <w:t>4</w:t>
            </w:r>
            <w:r w:rsidRPr="00D00B26">
              <w:rPr>
                <w:sz w:val="20"/>
                <w:szCs w:val="20"/>
              </w:rPr>
              <w:t xml:space="preserve"> pantā jēdziena “atbalsta periods” lietojumu. </w:t>
            </w:r>
          </w:p>
          <w:p w14:paraId="3A37ACCD" w14:textId="77777777" w:rsidR="00E0427F" w:rsidRPr="00D00B26" w:rsidRDefault="00E0427F" w:rsidP="00A9367F">
            <w:pPr>
              <w:spacing w:after="160" w:line="252" w:lineRule="auto"/>
              <w:ind w:left="360"/>
              <w:jc w:val="both"/>
              <w:rPr>
                <w:rFonts w:eastAsia="Calibri"/>
                <w:b/>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4ED1330" w14:textId="0B2F1B32" w:rsidR="00E0427F" w:rsidRPr="00D00B26" w:rsidRDefault="00551CCE" w:rsidP="00A9367F">
            <w:pPr>
              <w:pStyle w:val="naisc"/>
              <w:spacing w:before="0" w:after="0"/>
              <w:rPr>
                <w:b/>
                <w:sz w:val="20"/>
                <w:szCs w:val="20"/>
              </w:rPr>
            </w:pPr>
            <w:r w:rsidRPr="00D00B26">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3300F1" w14:textId="77777777" w:rsidR="00551CCE" w:rsidRPr="00D00B26" w:rsidRDefault="00551CCE" w:rsidP="00551CCE">
            <w:pPr>
              <w:shd w:val="clear" w:color="auto" w:fill="FFFFFF"/>
              <w:spacing w:after="120"/>
              <w:jc w:val="both"/>
              <w:rPr>
                <w:sz w:val="20"/>
                <w:szCs w:val="20"/>
              </w:rPr>
            </w:pPr>
            <w:r w:rsidRPr="00D00B26">
              <w:rPr>
                <w:sz w:val="20"/>
                <w:szCs w:val="20"/>
              </w:rPr>
              <w:t>Projekta anotācijas I sadaļas 2. punkts papildināts šādā redakcijā:</w:t>
            </w:r>
          </w:p>
          <w:p w14:paraId="1605BC55" w14:textId="3BE117B2" w:rsidR="00E0427F" w:rsidRPr="00D00B26" w:rsidRDefault="00840249" w:rsidP="002B5D48">
            <w:pPr>
              <w:spacing w:before="120"/>
              <w:ind w:right="115"/>
              <w:jc w:val="both"/>
              <w:rPr>
                <w:sz w:val="20"/>
                <w:szCs w:val="20"/>
              </w:rPr>
            </w:pPr>
            <w:r w:rsidRPr="00D00B26">
              <w:rPr>
                <w:sz w:val="20"/>
                <w:szCs w:val="20"/>
              </w:rPr>
              <w:t>“Jēdziens “atbalsta periods” projektā tiek lietots atbilstoši ETL 1. panta otrajā daļā ietvertajai atbalsta perioda definīcijai: atbalsta periods - elektrostacijas dzīves ciklā ietilpstošs periods, kurā elektrostacija saņem valsts atbalstu elektroenerģijas ražošanai no atjaunojamiem energoresursiem vai koģenerācijā vai citu darbības atbalstu elektroenerģijas ražošanai.”</w:t>
            </w:r>
          </w:p>
        </w:tc>
        <w:tc>
          <w:tcPr>
            <w:tcW w:w="1388" w:type="dxa"/>
            <w:gridSpan w:val="2"/>
          </w:tcPr>
          <w:p w14:paraId="7516BC94" w14:textId="77777777" w:rsidR="00E0427F" w:rsidRPr="00D00B26" w:rsidRDefault="00E0427F" w:rsidP="00A9367F">
            <w:pPr>
              <w:jc w:val="both"/>
              <w:rPr>
                <w:sz w:val="20"/>
                <w:szCs w:val="20"/>
              </w:rPr>
            </w:pPr>
          </w:p>
        </w:tc>
      </w:tr>
      <w:tr w:rsidR="00E13DF9" w:rsidRPr="00D00B26" w14:paraId="1C861D49"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54D126F" w14:textId="27C8371D" w:rsidR="00E0427F" w:rsidRPr="00D00B26" w:rsidRDefault="00E0427F"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EBA71EF" w14:textId="7750626F" w:rsidR="00B352BB" w:rsidRPr="00D00B26" w:rsidRDefault="00B352BB" w:rsidP="00B352BB">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p w14:paraId="648FF736" w14:textId="206145AB" w:rsidR="00B352BB" w:rsidRPr="00D00B26" w:rsidRDefault="00B352BB" w:rsidP="00B352BB">
            <w:pPr>
              <w:shd w:val="clear" w:color="auto" w:fill="FFFFFF"/>
              <w:spacing w:after="120"/>
              <w:jc w:val="both"/>
              <w:rPr>
                <w:sz w:val="20"/>
                <w:szCs w:val="20"/>
              </w:rPr>
            </w:pPr>
            <w:r w:rsidRPr="00D00B26">
              <w:rPr>
                <w:sz w:val="20"/>
                <w:szCs w:val="20"/>
              </w:rPr>
              <w:t xml:space="preserve">“Tā kā jaunas tiesības pārdot elektroenerģiju obligāti iepērkamā elektroenerģijas apjoma veidā kopš 2012. gada netiek piešķirtas, turklāt līdz ar 2016.gada 19.maija grozījumiem ETL norma, t.i. 29.panta pirmā daļa, kas noteica, ka ražotājs, kas elektroenerģiju ražo, izmantojot atjaunojamos </w:t>
            </w:r>
            <w:r w:rsidRPr="00D00B26">
              <w:rPr>
                <w:sz w:val="20"/>
                <w:szCs w:val="20"/>
              </w:rPr>
              <w:lastRenderedPageBreak/>
              <w:t>energoresursus, var iegūt tiesības pārdot saražoto elektroenerģiju obligāti iepērkamā elektroenerģijas apjoma veidā, ir svītrota,</w:t>
            </w:r>
            <w:r w:rsidRPr="00D00B26">
              <w:rPr>
                <w:bCs/>
                <w:sz w:val="20"/>
                <w:szCs w:val="20"/>
              </w:rPr>
              <w:t xml:space="preserve"> </w:t>
            </w:r>
            <w:r w:rsidRPr="00D00B26">
              <w:rPr>
                <w:sz w:val="20"/>
                <w:szCs w:val="20"/>
              </w:rPr>
              <w:t>arī projektā nav ietvertas tās MK noteikumu Nr.262 normas, kas saistītas ar nosacījumiem obligātā iepirkuma tiesību saņemšanai. Taču, ņemot vērā, ka minētie ETL grozījumi neatceļ jau piešķirtās obligātā iepirkuma tiesības tiem ražotājiem, kas tās saņēmuši pirms 2012.gada, projektā saglabātas un atbilstoši situācijai un jaunajam ETL deleģējumam precizētas  normas, kas nosaka atbilstību prasībām, kas komersantiem jāievēro, lai tie varētu saņemt obligātā iepirkuma tiesības, kā arī to uzraudzību un kontroli.”</w:t>
            </w:r>
          </w:p>
          <w:p w14:paraId="38C90018" w14:textId="10A5819A" w:rsidR="00B352BB" w:rsidRPr="00D00B26" w:rsidRDefault="00B352BB"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2157568" w14:textId="77777777" w:rsidR="00E0427F" w:rsidRPr="00D00B26" w:rsidRDefault="03E2BB5E" w:rsidP="002B4CA1">
            <w:pPr>
              <w:tabs>
                <w:tab w:val="left" w:pos="1134"/>
              </w:tabs>
              <w:spacing w:after="160" w:line="252" w:lineRule="auto"/>
              <w:contextualSpacing/>
              <w:jc w:val="center"/>
              <w:rPr>
                <w:rFonts w:eastAsia="Calibri"/>
                <w:b/>
                <w:sz w:val="20"/>
                <w:szCs w:val="20"/>
              </w:rPr>
            </w:pPr>
            <w:r w:rsidRPr="00D00B26">
              <w:rPr>
                <w:rFonts w:eastAsia="Calibri"/>
                <w:b/>
                <w:sz w:val="20"/>
                <w:szCs w:val="20"/>
              </w:rPr>
              <w:lastRenderedPageBreak/>
              <w:t>Finanšu ministrija (11.08.2020.)</w:t>
            </w:r>
          </w:p>
          <w:p w14:paraId="2A89241D" w14:textId="0D2D5A95" w:rsidR="00890CC1" w:rsidRPr="00D00B26" w:rsidRDefault="00890CC1" w:rsidP="002B4CA1">
            <w:pPr>
              <w:tabs>
                <w:tab w:val="left" w:pos="1134"/>
              </w:tabs>
              <w:spacing w:after="160" w:line="252" w:lineRule="auto"/>
              <w:contextualSpacing/>
              <w:jc w:val="center"/>
              <w:rPr>
                <w:rFonts w:eastAsia="Calibri"/>
                <w:b/>
                <w:sz w:val="20"/>
                <w:szCs w:val="20"/>
              </w:rPr>
            </w:pPr>
            <w:r w:rsidRPr="00D00B26">
              <w:rPr>
                <w:rFonts w:eastAsia="Calibri"/>
                <w:b/>
                <w:sz w:val="20"/>
                <w:szCs w:val="20"/>
              </w:rPr>
              <w:t>iebildums</w:t>
            </w:r>
          </w:p>
          <w:p w14:paraId="2C930AD1" w14:textId="7FFFA27B" w:rsidR="00E0427F" w:rsidRPr="00D00B26" w:rsidRDefault="03E2BB5E" w:rsidP="002B4CA1">
            <w:pPr>
              <w:jc w:val="both"/>
              <w:rPr>
                <w:sz w:val="20"/>
                <w:szCs w:val="20"/>
              </w:rPr>
            </w:pPr>
            <w:r w:rsidRPr="00D00B26">
              <w:rPr>
                <w:sz w:val="20"/>
                <w:szCs w:val="20"/>
              </w:rPr>
              <w:t>6.Ievērojot, to, ka ETL ietvaros tiek lietots ETL 1. panta 3.</w:t>
            </w:r>
            <w:r w:rsidRPr="00D00B26">
              <w:rPr>
                <w:sz w:val="20"/>
                <w:szCs w:val="20"/>
                <w:vertAlign w:val="superscript"/>
              </w:rPr>
              <w:t>1</w:t>
            </w:r>
            <w:r w:rsidRPr="00D00B26">
              <w:rPr>
                <w:sz w:val="20"/>
                <w:szCs w:val="20"/>
              </w:rPr>
              <w:t xml:space="preserve"> punktā un 30.</w:t>
            </w:r>
            <w:r w:rsidRPr="00D00B26">
              <w:rPr>
                <w:sz w:val="20"/>
                <w:szCs w:val="20"/>
                <w:vertAlign w:val="superscript"/>
              </w:rPr>
              <w:t>4</w:t>
            </w:r>
            <w:r w:rsidRPr="00D00B26">
              <w:rPr>
                <w:sz w:val="20"/>
                <w:szCs w:val="20"/>
              </w:rPr>
              <w:t xml:space="preserve"> pantā noteiktais jēdziens “atbalsta periods”, </w:t>
            </w:r>
            <w:r w:rsidRPr="00D00B26">
              <w:rPr>
                <w:b/>
                <w:sz w:val="20"/>
                <w:szCs w:val="20"/>
              </w:rPr>
              <w:t>lūdzam papildināt anotāciju ar skaidrojumu, kas noteikumu projekta 62.3. un 62.4. apakšpunktā tiek saprasts ar “pagātnes periodu” un “nākotnes periodu”.</w:t>
            </w:r>
            <w:r w:rsidRPr="00D00B26">
              <w:rPr>
                <w:sz w:val="20"/>
                <w:szCs w:val="20"/>
              </w:rPr>
              <w:t xml:space="preserve"> </w:t>
            </w:r>
            <w:r w:rsidRPr="00D00B26">
              <w:rPr>
                <w:sz w:val="20"/>
                <w:szCs w:val="20"/>
              </w:rPr>
              <w:lastRenderedPageBreak/>
              <w:t>Nepieciešamības gadījumā, lūdzam precizēt pašu noteikumu projektu.</w:t>
            </w:r>
          </w:p>
          <w:p w14:paraId="5C45E4B5" w14:textId="2012C8E6" w:rsidR="00E0427F" w:rsidRPr="00D00B26" w:rsidRDefault="00E0427F" w:rsidP="00A9367F">
            <w:pPr>
              <w:jc w:val="both"/>
              <w:rPr>
                <w:sz w:val="20"/>
                <w:szCs w:val="20"/>
              </w:rPr>
            </w:pPr>
          </w:p>
          <w:p w14:paraId="0063CA00" w14:textId="77777777" w:rsidR="00E0427F" w:rsidRPr="00D00B26" w:rsidRDefault="00E0427F" w:rsidP="00A9367F">
            <w:pPr>
              <w:spacing w:after="160" w:line="252" w:lineRule="auto"/>
              <w:ind w:left="360"/>
              <w:jc w:val="both"/>
              <w:rPr>
                <w:rFonts w:eastAsia="Calibri"/>
                <w:b/>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49181A" w14:textId="13DA58E2" w:rsidR="00E0427F" w:rsidRPr="00D00B26" w:rsidRDefault="00551CCE" w:rsidP="00A9367F">
            <w:pPr>
              <w:pStyle w:val="naisc"/>
              <w:spacing w:before="0" w:after="0"/>
              <w:rPr>
                <w:b/>
                <w:sz w:val="20"/>
                <w:szCs w:val="20"/>
              </w:rPr>
            </w:pPr>
            <w:r w:rsidRPr="00D00B26">
              <w:rPr>
                <w:b/>
                <w:sz w:val="20"/>
                <w:szCs w:val="20"/>
              </w:rPr>
              <w:lastRenderedPageBreak/>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4B7E4BC" w14:textId="77777777" w:rsidR="00551CCE" w:rsidRPr="00D00B26" w:rsidRDefault="00551CCE" w:rsidP="00551CCE">
            <w:pPr>
              <w:shd w:val="clear" w:color="auto" w:fill="FFFFFF"/>
              <w:spacing w:after="120"/>
              <w:jc w:val="both"/>
              <w:rPr>
                <w:sz w:val="20"/>
                <w:szCs w:val="20"/>
              </w:rPr>
            </w:pPr>
            <w:r w:rsidRPr="00D00B26">
              <w:rPr>
                <w:sz w:val="20"/>
                <w:szCs w:val="20"/>
              </w:rPr>
              <w:t>Projekta anotācijas I sadaļas 2. punkts papildināts šādā redakcijā:</w:t>
            </w:r>
          </w:p>
          <w:p w14:paraId="022E5679" w14:textId="7FAE42BD" w:rsidR="00E0427F" w:rsidRPr="00D00B26" w:rsidRDefault="002B5D48" w:rsidP="0090116F">
            <w:pPr>
              <w:spacing w:before="120"/>
              <w:ind w:right="115"/>
              <w:jc w:val="both"/>
              <w:rPr>
                <w:sz w:val="20"/>
                <w:szCs w:val="20"/>
              </w:rPr>
            </w:pPr>
            <w:r w:rsidRPr="00D00B26">
              <w:rPr>
                <w:sz w:val="20"/>
                <w:szCs w:val="20"/>
              </w:rPr>
              <w:t>“</w:t>
            </w:r>
            <w:r w:rsidR="0090116F" w:rsidRPr="00D00B26">
              <w:rPr>
                <w:sz w:val="20"/>
                <w:szCs w:val="20"/>
              </w:rPr>
              <w:t xml:space="preserve">Jēdziens “atbalsta periods” projektā tiek lietots atbilstoši ETL 1. panta otrajā daļā ietvertajai atbalsta perioda definīcijai: atbalsta periods - elektrostacijas dzīves ciklā ietilpstošs periods, kurā elektrostacija saņem valsts atbalstu elektroenerģijas ražošanai no </w:t>
            </w:r>
            <w:r w:rsidR="0090116F" w:rsidRPr="00D00B26">
              <w:rPr>
                <w:sz w:val="20"/>
                <w:szCs w:val="20"/>
              </w:rPr>
              <w:lastRenderedPageBreak/>
              <w:t>atjaunojamiem energoresursiem vai koģenerācijā vai citu darbības atbalstu elektroenerģijas ražošanai.</w:t>
            </w:r>
            <w:r w:rsidRPr="00D00B26">
              <w:rPr>
                <w:sz w:val="20"/>
                <w:szCs w:val="20"/>
              </w:rPr>
              <w:t>”</w:t>
            </w:r>
          </w:p>
        </w:tc>
        <w:tc>
          <w:tcPr>
            <w:tcW w:w="1388" w:type="dxa"/>
            <w:gridSpan w:val="2"/>
          </w:tcPr>
          <w:p w14:paraId="46B80434" w14:textId="77777777" w:rsidR="00E0427F" w:rsidRPr="00D00B26" w:rsidRDefault="00E0427F" w:rsidP="00A9367F">
            <w:pPr>
              <w:jc w:val="both"/>
              <w:rPr>
                <w:sz w:val="20"/>
                <w:szCs w:val="20"/>
              </w:rPr>
            </w:pPr>
          </w:p>
        </w:tc>
      </w:tr>
      <w:tr w:rsidR="00E13DF9" w:rsidRPr="00D00B26" w14:paraId="0D2F716C"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EA4E415" w14:textId="46F72A3A" w:rsidR="00682750" w:rsidRPr="00D00B26" w:rsidRDefault="00682750"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FDC65B2" w14:textId="4612EA3B" w:rsidR="00DA3EE7" w:rsidRPr="00D00B26" w:rsidRDefault="00DA3EE7" w:rsidP="00DA3EE7">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p w14:paraId="107E4D07" w14:textId="51374199" w:rsidR="00DA3EE7" w:rsidRPr="00D00B26" w:rsidRDefault="00E76A79" w:rsidP="00DA3EE7">
            <w:pPr>
              <w:shd w:val="clear" w:color="auto" w:fill="FFFFFF"/>
              <w:spacing w:after="120"/>
              <w:jc w:val="both"/>
              <w:rPr>
                <w:sz w:val="20"/>
                <w:szCs w:val="20"/>
              </w:rPr>
            </w:pPr>
            <w:r w:rsidRPr="00D00B26">
              <w:rPr>
                <w:sz w:val="20"/>
                <w:szCs w:val="20"/>
              </w:rPr>
              <w:t>“</w:t>
            </w:r>
            <w:r w:rsidR="00DA3EE7" w:rsidRPr="00D00B26">
              <w:rPr>
                <w:sz w:val="20"/>
                <w:szCs w:val="20"/>
              </w:rPr>
              <w:t xml:space="preserve">Grozījumi ETL, kas stājās spēkā 2020. gada 15. februārī, uzliek pienākumu komersantam nodrošināt, ka koģenerācijas elektrostacijā saražotā siltumenerģija tiek izmantota lietderīgi atbilstoši vienotā tehnoloģiskā cikla principam, tajā skaitā to, ka lietderīgās siltumenerģijas kopējā apjomā netiek ieskaitīta tāda siltumenerģija, kas tiek izmantota pašpatēriņam. No tā izrietoši projektā, pēc analoģijas ar MK noteikumiem Nr. 221, noteikumu projektā ietverti nosacījumi koģenerācijā saražotās elektroenerģijas daudzuma noteikšanai, kas atlicis pēc elektroenerģijas izlietošanas elektrostacijas darbības nodrošināšanai, paredzot metodi (formulu) faktiskā kopējā elektrostacijas enerģijas ražošanas lietderības koeficienta aprēķināšanai. Attiecīgi papildinātas arī elektrostaciju </w:t>
            </w:r>
            <w:r w:rsidR="00DA3EE7" w:rsidRPr="00D00B26">
              <w:rPr>
                <w:sz w:val="20"/>
                <w:szCs w:val="20"/>
              </w:rPr>
              <w:lastRenderedPageBreak/>
              <w:t>uzraudzību regulējošās normas, nosakot, ka BVKB pārliecinās par siltumenerģijas lietderīgu izmantošanu elektrostacijās. Ja kontroles grupas pārbaudes ietvaros tiek konstatēts, ka elektrostacijā nav paredzēta saražotās siltumenerģijas lietderīga izmantošana, komersantam tiek atceltas tiesības pārdot no atjaunojamiem energoresursiem saražoto elektroenerģiju.”</w:t>
            </w:r>
          </w:p>
          <w:p w14:paraId="46CEEF31" w14:textId="585DC3E2" w:rsidR="00E76A79" w:rsidRPr="00D00B26" w:rsidRDefault="00E76A79" w:rsidP="00A9367F">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BBB047E" w14:textId="7E2A36F6" w:rsidR="00682750" w:rsidRPr="00D00B26" w:rsidRDefault="6478053F" w:rsidP="002B4CA1">
            <w:pPr>
              <w:tabs>
                <w:tab w:val="left" w:pos="1134"/>
              </w:tabs>
              <w:spacing w:after="160" w:line="252" w:lineRule="auto"/>
              <w:contextualSpacing/>
              <w:jc w:val="center"/>
              <w:rPr>
                <w:rFonts w:eastAsia="Calibri"/>
                <w:b/>
                <w:sz w:val="20"/>
                <w:szCs w:val="20"/>
              </w:rPr>
            </w:pPr>
            <w:r w:rsidRPr="00D00B26">
              <w:rPr>
                <w:rFonts w:eastAsia="Calibri"/>
                <w:b/>
                <w:sz w:val="20"/>
                <w:szCs w:val="20"/>
              </w:rPr>
              <w:lastRenderedPageBreak/>
              <w:t>Finanšu ministrija (11.08.2020.)</w:t>
            </w:r>
            <w:r w:rsidR="00890CC1" w:rsidRPr="00D00B26">
              <w:rPr>
                <w:rFonts w:eastAsia="Calibri"/>
                <w:b/>
                <w:sz w:val="20"/>
                <w:szCs w:val="20"/>
              </w:rPr>
              <w:t xml:space="preserve"> iebildums</w:t>
            </w:r>
          </w:p>
          <w:p w14:paraId="637996B2" w14:textId="3F8EF59F" w:rsidR="00682750" w:rsidRPr="00D00B26" w:rsidRDefault="6478053F" w:rsidP="002B4CA1">
            <w:pPr>
              <w:jc w:val="both"/>
              <w:rPr>
                <w:sz w:val="20"/>
                <w:szCs w:val="20"/>
              </w:rPr>
            </w:pPr>
            <w:r w:rsidRPr="00D00B26">
              <w:rPr>
                <w:sz w:val="20"/>
                <w:szCs w:val="20"/>
              </w:rPr>
              <w:t>7.Lūdzam anotācijā ietvert skaidrojumu par noteikumu projekta 62.5. apakšpunktā ietvertā gadījuma, kad elektrostacijā saražotā siltumenerģija netiek pārdota un tās vērtībā tiek aprēķināta saskaņā ar šo noteikumu 6. pielikuma 9. punktā minēto formulu, mērķi.</w:t>
            </w:r>
          </w:p>
          <w:p w14:paraId="20A81983" w14:textId="4A97070D" w:rsidR="00682750" w:rsidRPr="00D00B26" w:rsidRDefault="00682750" w:rsidP="002B4CA1">
            <w:pPr>
              <w:jc w:val="both"/>
              <w:rPr>
                <w:sz w:val="20"/>
                <w:szCs w:val="20"/>
              </w:rPr>
            </w:pPr>
          </w:p>
          <w:p w14:paraId="6BE771DB" w14:textId="77777777" w:rsidR="00682750" w:rsidRPr="00D00B26" w:rsidRDefault="00682750" w:rsidP="002B4CA1">
            <w:pPr>
              <w:jc w:val="both"/>
              <w:rPr>
                <w:sz w:val="20"/>
                <w:szCs w:val="20"/>
              </w:rPr>
            </w:pPr>
          </w:p>
          <w:p w14:paraId="2907D266" w14:textId="77777777" w:rsidR="00682750" w:rsidRPr="00D00B26" w:rsidRDefault="00682750" w:rsidP="00A9367F">
            <w:pPr>
              <w:spacing w:after="160" w:line="252" w:lineRule="auto"/>
              <w:ind w:left="360"/>
              <w:jc w:val="both"/>
              <w:rPr>
                <w:rFonts w:eastAsia="Calibri"/>
                <w:b/>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1F6600" w14:textId="38B42AC9" w:rsidR="00682750" w:rsidRPr="00D00B26" w:rsidRDefault="007C48A1" w:rsidP="00A9367F">
            <w:pPr>
              <w:pStyle w:val="naisc"/>
              <w:spacing w:before="0" w:after="0"/>
              <w:rPr>
                <w:b/>
                <w:sz w:val="20"/>
                <w:szCs w:val="20"/>
              </w:rPr>
            </w:pPr>
            <w:r w:rsidRPr="00D00B26">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44FF1" w14:textId="77777777" w:rsidR="007C48A1" w:rsidRPr="00D00B26" w:rsidRDefault="007C48A1" w:rsidP="007C48A1">
            <w:pPr>
              <w:shd w:val="clear" w:color="auto" w:fill="FFFFFF"/>
              <w:spacing w:after="120"/>
              <w:jc w:val="both"/>
              <w:rPr>
                <w:sz w:val="20"/>
                <w:szCs w:val="20"/>
              </w:rPr>
            </w:pPr>
            <w:r w:rsidRPr="00D00B26">
              <w:rPr>
                <w:sz w:val="20"/>
                <w:szCs w:val="20"/>
              </w:rPr>
              <w:t>Projekta anotācijas I sadaļas 2. punkts papildināts šādā redakcijā:</w:t>
            </w:r>
          </w:p>
          <w:p w14:paraId="4B98EAC3" w14:textId="5A7B99C3" w:rsidR="00682750" w:rsidRPr="00D00B26" w:rsidRDefault="007C48A1" w:rsidP="007C48A1">
            <w:pPr>
              <w:spacing w:before="120"/>
              <w:ind w:right="113"/>
              <w:jc w:val="both"/>
              <w:rPr>
                <w:sz w:val="20"/>
                <w:szCs w:val="20"/>
              </w:rPr>
            </w:pPr>
            <w:r w:rsidRPr="00D00B26">
              <w:rPr>
                <w:sz w:val="20"/>
                <w:szCs w:val="20"/>
              </w:rPr>
              <w:t>“Projektā saglabāta līdzšinējā regulējumā ietvertā norma, ka, ja elektrostacijā saražotā siltumenerģija netiek pārdota, tās vērtība tiek aprēķināta pēc īpašas formulas. Tā kā siltumenerģijai ir vērtība arī tad, ja to izmanto elektrostacijas pašpatēriņam, jo tad tā nav jāiepērk no cita ražotāja, šādas normas mērķis ir elektrostacijas kopējo kapitālieguldījumu iekšējās peļņas normas aprēķinā ietvert siltumenerģijas vērtību, neskatoties uz to, ka tā netiek pārdota. Līdz ar to aprēķinā tiek objektīvi atspoguļota siltumenerģijas vērtība arī tad, ja netiek veikta siltumenerģijas tirdzniecība.”</w:t>
            </w:r>
          </w:p>
        </w:tc>
        <w:tc>
          <w:tcPr>
            <w:tcW w:w="1388" w:type="dxa"/>
            <w:gridSpan w:val="2"/>
          </w:tcPr>
          <w:p w14:paraId="44730FBC" w14:textId="77777777" w:rsidR="00682750" w:rsidRPr="00D00B26" w:rsidRDefault="00682750" w:rsidP="00A9367F">
            <w:pPr>
              <w:jc w:val="both"/>
              <w:rPr>
                <w:sz w:val="20"/>
                <w:szCs w:val="20"/>
              </w:rPr>
            </w:pPr>
          </w:p>
        </w:tc>
      </w:tr>
      <w:tr w:rsidR="00E13DF9" w:rsidRPr="00D00B26" w14:paraId="40C5814B"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31AD30D" w14:textId="131BD2FB" w:rsidR="00BA64B9" w:rsidRPr="00D00B26" w:rsidRDefault="00BA64B9"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71F585E" w14:textId="6B1ED15F" w:rsidR="00BA64B9" w:rsidRPr="00D00B26" w:rsidRDefault="00B07885" w:rsidP="00A9367F">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88DBBEE" w14:textId="70C07211" w:rsidR="00BA64B9" w:rsidRPr="00D00B26" w:rsidRDefault="6E8E9264"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073A43" w:rsidRPr="00D00B26">
              <w:rPr>
                <w:rFonts w:eastAsia="Calibri"/>
                <w:b/>
                <w:sz w:val="20"/>
                <w:szCs w:val="20"/>
              </w:rPr>
              <w:t xml:space="preserve"> iebildums</w:t>
            </w:r>
          </w:p>
          <w:p w14:paraId="506F72A0" w14:textId="77777777" w:rsidR="00BA64B9" w:rsidRPr="00D00B26" w:rsidRDefault="6E8E9264" w:rsidP="76D16243">
            <w:pPr>
              <w:jc w:val="both"/>
              <w:rPr>
                <w:sz w:val="20"/>
                <w:szCs w:val="20"/>
              </w:rPr>
            </w:pPr>
            <w:r w:rsidRPr="00D00B26">
              <w:rPr>
                <w:sz w:val="20"/>
                <w:szCs w:val="20"/>
              </w:rPr>
              <w:t>9.Ņemot vērā ETL 1. panta 3.</w:t>
            </w:r>
            <w:r w:rsidRPr="00D00B26">
              <w:rPr>
                <w:sz w:val="20"/>
                <w:szCs w:val="20"/>
                <w:vertAlign w:val="superscript"/>
              </w:rPr>
              <w:t>1</w:t>
            </w:r>
            <w:r w:rsidRPr="00D00B26">
              <w:rPr>
                <w:sz w:val="20"/>
                <w:szCs w:val="20"/>
              </w:rPr>
              <w:t xml:space="preserve"> punktā un 30.</w:t>
            </w:r>
            <w:r w:rsidRPr="00D00B26">
              <w:rPr>
                <w:sz w:val="20"/>
                <w:szCs w:val="20"/>
                <w:vertAlign w:val="superscript"/>
              </w:rPr>
              <w:t>4</w:t>
            </w:r>
            <w:r w:rsidRPr="00D00B26">
              <w:rPr>
                <w:sz w:val="20"/>
                <w:szCs w:val="20"/>
              </w:rPr>
              <w:t xml:space="preserve"> pantā ietvertos nosacījumus par kopējo atbalsta periodu, attiecībā uz noteikumu projekta 70. punktu lūdzam papildināt anotāciju ar skaidrojumu, ka ir jāatgūst visu nelikumīgo valsts atbalstu, kas ir saņemts kopējā atbalsta periodā, t.sk. ietverot vēsturisko atbalstu. Gadījumā, ja Ekonomikas ministrija plāno nelikumīga atbalsta atgūšanas gadījumā piemērot citādu pieeju, aicinām iespējami ātri sagatavot un iesniegt jautājumus Eiropas Komisijai.</w:t>
            </w:r>
          </w:p>
          <w:p w14:paraId="41F46C78" w14:textId="5BF0CED2" w:rsidR="00BA64B9" w:rsidRPr="00D00B26" w:rsidRDefault="00BA64B9" w:rsidP="45358C98">
            <w:pPr>
              <w:spacing w:after="160" w:line="252" w:lineRule="auto"/>
              <w:jc w:val="both"/>
              <w:rPr>
                <w:rFonts w:eastAsia="Calibri"/>
                <w:sz w:val="20"/>
                <w:szCs w:val="20"/>
              </w:rPr>
            </w:pPr>
          </w:p>
          <w:p w14:paraId="3C873D3C" w14:textId="607FD83F" w:rsidR="006F24C1" w:rsidRPr="00D00B26" w:rsidRDefault="006F24C1" w:rsidP="006F24C1">
            <w:pPr>
              <w:tabs>
                <w:tab w:val="left" w:pos="1134"/>
              </w:tabs>
              <w:spacing w:after="160" w:line="252" w:lineRule="auto"/>
              <w:contextualSpacing/>
              <w:jc w:val="center"/>
              <w:rPr>
                <w:rFonts w:eastAsia="Calibri"/>
                <w:b/>
                <w:sz w:val="20"/>
                <w:szCs w:val="20"/>
              </w:rPr>
            </w:pPr>
            <w:r w:rsidRPr="00D00B26">
              <w:rPr>
                <w:rFonts w:eastAsia="Calibri"/>
                <w:b/>
                <w:sz w:val="20"/>
                <w:szCs w:val="20"/>
              </w:rPr>
              <w:t xml:space="preserve">Finanšu ministrija (27.08.2020.) </w:t>
            </w:r>
          </w:p>
          <w:p w14:paraId="65EFE330" w14:textId="77777777" w:rsidR="006F24C1" w:rsidRPr="00D00B26" w:rsidRDefault="006F24C1" w:rsidP="006F24C1">
            <w:pPr>
              <w:jc w:val="both"/>
              <w:rPr>
                <w:sz w:val="20"/>
                <w:szCs w:val="20"/>
              </w:rPr>
            </w:pPr>
            <w:r w:rsidRPr="005106DF">
              <w:rPr>
                <w:sz w:val="20"/>
                <w:szCs w:val="20"/>
              </w:rPr>
              <w:t>Uzturam Finanšu ministrijas iepriekš izteikto iebildumu attiecībā uz nelikumīga atbalsta atgūšanas nosacījumiem. Proti, ETL 1.panta 3.</w:t>
            </w:r>
            <w:r w:rsidRPr="005106DF">
              <w:rPr>
                <w:sz w:val="20"/>
                <w:szCs w:val="20"/>
                <w:vertAlign w:val="superscript"/>
              </w:rPr>
              <w:t>1</w:t>
            </w:r>
            <w:r w:rsidRPr="005106DF">
              <w:rPr>
                <w:sz w:val="20"/>
                <w:szCs w:val="20"/>
              </w:rPr>
              <w:t xml:space="preserve"> punktā un 30.</w:t>
            </w:r>
            <w:r w:rsidRPr="005106DF">
              <w:rPr>
                <w:sz w:val="20"/>
                <w:szCs w:val="20"/>
                <w:vertAlign w:val="superscript"/>
              </w:rPr>
              <w:t>4</w:t>
            </w:r>
            <w:r w:rsidRPr="005106DF">
              <w:rPr>
                <w:sz w:val="20"/>
                <w:szCs w:val="20"/>
              </w:rPr>
              <w:t xml:space="preserve"> pantā ir ietverti nosacījumi par kopējo atbalsta periodu, kas tiks ņemts vērā veicot IRR aprēķinu/pārrēķinu. Attiecīgi, gadījumā, ja veicot IRR pārrēķinu, elektrostacijai </w:t>
            </w:r>
            <w:r w:rsidRPr="005106DF">
              <w:rPr>
                <w:sz w:val="20"/>
                <w:szCs w:val="20"/>
              </w:rPr>
              <w:lastRenderedPageBreak/>
              <w:t>tiktu konstatēta pārkompensācija, nelikumīgais valsts atbalsts būtu jāatgūst. ETL grozījumu izskatīšanas laikā Saeimas tautsaimniecības komisijas sēdēs Ekonomikas ministrijai tika norādīts un skaidrots par nelikumīga valsta atbalsta piemērošanas pamatprincipiem. Ja Ekonomikas ministrija plāno nelikumīga atbalsta atgūšanas gadījumā piemērot citādu pieeju, tā būtu jāsaskaņo ar Eiropas Komisiju. Ņemot vērā anotācijā ietverto Ekonomikas ministrijas viedokli, ka “</w:t>
            </w:r>
            <w:r w:rsidRPr="005106DF">
              <w:rPr>
                <w:i/>
                <w:iCs/>
                <w:sz w:val="20"/>
                <w:szCs w:val="20"/>
              </w:rPr>
              <w:t>vēsturiskais atbalsts nav uzskatāms par komercdarbības atbalstu ES likumdošanas nozīmē, tādējādi uz to neattiecas nelikumīga komercdarbības atbalsta regulējums, kā arī tā atgūšanas nosacījumi</w:t>
            </w:r>
            <w:r w:rsidRPr="005106DF">
              <w:rPr>
                <w:sz w:val="20"/>
                <w:szCs w:val="20"/>
              </w:rPr>
              <w:t>” un to, ka saskaņojums par Ekonomikas ministrijas pieeju no Eiropas Komisijas nav saņemts, lūdzam noteikumos skaidri noteikt, ka  BVKB, veicot IRR aprēķinu 20 gadiem kopš elektrostacijas nodošanas ekspluatācijā, ja elektrostacijai tiks konstatēta pārkompensācija, piemēros nelikumīgas atbalsta atgūšanas procedūru, vienlaikus papildinot anotāciju ar skaidrojumu, ka ir jāatgūst visu nelikumīgo valsts atbalstu, kas ir saņemts kopējā atbalsta periodā, t.sk. ietverot vēsturisko atbalstu. Ņemot vērā plānoto deleģējuma termiņu noteikumu izstrādei, lūdzam Ekonomikas ministriju steidzami iesniegt Eiropas Komisijā jautājumus par nelikumīga atbalsta atgūšanas pamatprincipu interpretāciju attiecībā uz sniegto atbalstu pirms 2007.gada.</w:t>
            </w:r>
          </w:p>
          <w:p w14:paraId="2F2DD951" w14:textId="58F21CF8" w:rsidR="006F24C1" w:rsidRPr="00D00B26" w:rsidRDefault="006F24C1" w:rsidP="45358C98">
            <w:pPr>
              <w:spacing w:after="160" w:line="252" w:lineRule="auto"/>
              <w:jc w:val="both"/>
              <w:rPr>
                <w:rFonts w:eastAsia="Calibri"/>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6C1FE2D" w14:textId="033DE542" w:rsidR="00BA64B9" w:rsidRPr="00F102E4" w:rsidRDefault="00E852A3" w:rsidP="00A9367F">
            <w:pPr>
              <w:pStyle w:val="naisc"/>
              <w:spacing w:before="0" w:after="0"/>
              <w:rPr>
                <w:b/>
                <w:sz w:val="20"/>
                <w:szCs w:val="20"/>
              </w:rPr>
            </w:pPr>
            <w:r w:rsidRPr="00F102E4">
              <w:rPr>
                <w:b/>
                <w:sz w:val="20"/>
                <w:szCs w:val="20"/>
              </w:rPr>
              <w:lastRenderedPageBreak/>
              <w:t>Daļēji ņ</w:t>
            </w:r>
            <w:r w:rsidR="00FB6454" w:rsidRPr="00F102E4">
              <w:rPr>
                <w:b/>
                <w:sz w:val="20"/>
                <w:szCs w:val="20"/>
              </w:rPr>
              <w:t>emts vērā</w:t>
            </w:r>
          </w:p>
          <w:p w14:paraId="0CF6C502" w14:textId="3D1AC8EA" w:rsidR="00BA64B9" w:rsidRPr="00F102E4" w:rsidRDefault="0058011C" w:rsidP="00F102E4">
            <w:pPr>
              <w:pStyle w:val="naisc"/>
              <w:spacing w:before="0" w:after="0"/>
              <w:jc w:val="both"/>
              <w:rPr>
                <w:sz w:val="20"/>
                <w:szCs w:val="20"/>
              </w:rPr>
            </w:pPr>
            <w:r w:rsidRPr="00F102E4">
              <w:rPr>
                <w:sz w:val="20"/>
                <w:szCs w:val="20"/>
              </w:rPr>
              <w:t>IRR aprēķina veikšanas kārtību Ekonomikas ministrija plāno izstrādāt pēc tam, kad būs noslēgusies Ekonomikas ministrijas izsludinātā iepirkuma “Priekšlikumu un elektronisku rīku izstrāde kopējo kapitālieguldījumu iekšējās peļņas normas aprēķināšanas un pārkompensācijas novēršanas metodikas pilnveidei elektroenerģijas ražotājiem” rezultātu izvērtēšana, veicot attiecīgus grozījumus šajos ministru kabineta noteikumos.</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F97D531" w14:textId="77777777" w:rsidR="00134956" w:rsidRPr="00F102E4" w:rsidRDefault="00134956" w:rsidP="00E15018">
            <w:pPr>
              <w:shd w:val="clear" w:color="auto" w:fill="FFFFFF"/>
              <w:jc w:val="both"/>
              <w:rPr>
                <w:sz w:val="20"/>
                <w:szCs w:val="20"/>
              </w:rPr>
            </w:pPr>
            <w:r w:rsidRPr="00F102E4">
              <w:rPr>
                <w:sz w:val="20"/>
                <w:szCs w:val="20"/>
              </w:rPr>
              <w:t>Projekta anotācijas I sadaļas 2. punkts papildināts šādā redakcijā:</w:t>
            </w:r>
          </w:p>
          <w:p w14:paraId="0CEA056B" w14:textId="77777777" w:rsidR="00E15018" w:rsidRPr="00F102E4" w:rsidRDefault="00134956" w:rsidP="00E15018">
            <w:pPr>
              <w:ind w:right="113"/>
              <w:jc w:val="both"/>
              <w:rPr>
                <w:sz w:val="20"/>
                <w:szCs w:val="20"/>
                <w:u w:val="single"/>
              </w:rPr>
            </w:pPr>
            <w:r w:rsidRPr="00F102E4">
              <w:rPr>
                <w:sz w:val="20"/>
                <w:szCs w:val="20"/>
                <w:u w:val="single"/>
              </w:rPr>
              <w:t>“</w:t>
            </w:r>
            <w:r w:rsidR="00E15018" w:rsidRPr="00F102E4">
              <w:rPr>
                <w:sz w:val="20"/>
                <w:szCs w:val="20"/>
                <w:u w:val="single"/>
              </w:rPr>
              <w:t>Elektrostaciju pārkompensācijas novēršana</w:t>
            </w:r>
          </w:p>
          <w:p w14:paraId="08DE81BD" w14:textId="77777777" w:rsidR="00E15018" w:rsidRPr="00F102E4" w:rsidRDefault="00E15018" w:rsidP="00E15018">
            <w:pPr>
              <w:ind w:right="113"/>
              <w:jc w:val="both"/>
              <w:rPr>
                <w:sz w:val="20"/>
                <w:szCs w:val="20"/>
              </w:rPr>
            </w:pPr>
            <w:r w:rsidRPr="00F102E4">
              <w:rPr>
                <w:sz w:val="20"/>
                <w:szCs w:val="20"/>
              </w:rPr>
              <w:t>Elektrostaciju, kas darbojas obligātā iepirkuma ietvaros, pārkompensācijas novēršanas mehānisms tika ieviests 2016. gadā, veicot grozījumus MK noteikumos Nr. 262</w:t>
            </w:r>
            <w:r w:rsidRPr="00F102E4">
              <w:rPr>
                <w:rStyle w:val="FootnoteReference"/>
                <w:sz w:val="20"/>
                <w:szCs w:val="20"/>
              </w:rPr>
              <w:footnoteReference w:id="2"/>
            </w:r>
            <w:r w:rsidRPr="00F102E4">
              <w:rPr>
                <w:sz w:val="20"/>
                <w:szCs w:val="20"/>
              </w:rPr>
              <w:t>. Šī mehānisma ieviešana bija priekšnosacījums, lai Eiropas Komisija lemtu par Latvijas iesniegtā valsts atbalsta lietas SA.43140 (2015/NN) “Atbalsts atjaunojamo energoresursu enerģijai un koģenerācijai.” atbilstību ES iekšējā tirgus nosacījumiem.</w:t>
            </w:r>
          </w:p>
          <w:p w14:paraId="5B23D50C" w14:textId="77777777" w:rsidR="00E15018" w:rsidRPr="00F102E4" w:rsidRDefault="00E15018" w:rsidP="00E15018">
            <w:pPr>
              <w:ind w:right="113"/>
              <w:jc w:val="both"/>
              <w:rPr>
                <w:sz w:val="20"/>
                <w:szCs w:val="20"/>
              </w:rPr>
            </w:pPr>
            <w:r w:rsidRPr="00F102E4">
              <w:rPr>
                <w:sz w:val="20"/>
                <w:szCs w:val="20"/>
              </w:rPr>
              <w:t xml:space="preserve">Lai nodrošinātu vienlīdzīgu pieeju visiem atbalstu saņēmušajiem komersantu projektiem, MK noteikumi Nr. 262 tika papildināti ar normām, kas paredz projektu kopējo kapitālieguldījumu iekšējās peļņas normas (turpmāk – IRR) izvērtēšanu, izmantojot fiksētas līmaņatzīmes. </w:t>
            </w:r>
          </w:p>
          <w:p w14:paraId="08B11FB4" w14:textId="77777777" w:rsidR="00E15018" w:rsidRPr="00F102E4" w:rsidRDefault="00E15018" w:rsidP="00E15018">
            <w:pPr>
              <w:ind w:right="113"/>
              <w:jc w:val="both"/>
              <w:rPr>
                <w:sz w:val="20"/>
                <w:szCs w:val="20"/>
              </w:rPr>
            </w:pPr>
            <w:r w:rsidRPr="00F102E4">
              <w:rPr>
                <w:sz w:val="20"/>
                <w:szCs w:val="20"/>
              </w:rPr>
              <w:t xml:space="preserve">Vienlaikus ar minētajiem grozījumiem komersantiem tika noteikta IRR likme 9% apmērā, kuru pārsniedzot, komersanta nākotnes atbalstam tiek piemērots </w:t>
            </w:r>
            <w:r w:rsidRPr="00F102E4">
              <w:rPr>
                <w:sz w:val="20"/>
                <w:szCs w:val="20"/>
              </w:rPr>
              <w:lastRenderedPageBreak/>
              <w:t>samazinošs koeficients - cenas diferencēšanas koeficients pārkompensācijas novēršanai, nodrošinot, ka projekta kopējais IRR līmenis atbalsta perioda beigās nepārsniedz 9%.</w:t>
            </w:r>
          </w:p>
          <w:p w14:paraId="0E19F6EA" w14:textId="77777777" w:rsidR="00E15018" w:rsidRPr="00F102E4" w:rsidRDefault="00E15018" w:rsidP="00E15018">
            <w:pPr>
              <w:ind w:right="113"/>
              <w:jc w:val="both"/>
              <w:rPr>
                <w:sz w:val="20"/>
                <w:szCs w:val="20"/>
              </w:rPr>
            </w:pPr>
            <w:r w:rsidRPr="00F102E4">
              <w:rPr>
                <w:sz w:val="20"/>
                <w:szCs w:val="20"/>
              </w:rPr>
              <w:t xml:space="preserve">Līdz ar grozījumiem ETL, kas stājās spēkā 2020. gada 15. februārī, pārkompensācijas novēršanas mehānisms tika nostiprināts arī likumā, vienlaikus uzdodot Ministru kabinetam noteikt IRR aprēķina veikšanas kārtību. Minēto kārtību Ekonomikas ministrija plāno izstrādāt pēc tam, kad būs noslēgusies Ekonomikas ministrijas izsludinātā iepirkuma “Priekšlikumu un elektronisku rīku izstrāde kopējo kapitālieguldījumu iekšējās peļņas normas aprēķināšanas un pārkompensācijas novēršanas metodikas pilnveidei elektroenerģijas ražotājiem” rezultātu izvērtēšana, veicot attiecīgus grozījumus šajos ministru kabineta noteikumos. Atbilstoši ETL pārejas noteikumu 77. punktam līdz minētās kārtības spēkā stāšanās dienai BVKB kopējo kapitālieguldījumu IRR izvērtēšanu veiks saskaņā ar kārtību, kādu nosaka MK noteikumi Nr. 262. </w:t>
            </w:r>
          </w:p>
          <w:p w14:paraId="71F08EC4" w14:textId="2CF23346" w:rsidR="00BA64B9" w:rsidRPr="00F102E4" w:rsidRDefault="00945567" w:rsidP="00E15018">
            <w:pPr>
              <w:jc w:val="both"/>
              <w:rPr>
                <w:sz w:val="20"/>
                <w:szCs w:val="20"/>
              </w:rPr>
            </w:pPr>
            <w:r w:rsidRPr="00F102E4">
              <w:rPr>
                <w:sz w:val="20"/>
                <w:szCs w:val="20"/>
              </w:rPr>
              <w:t>Izstrādājot kopējo kapitālieguldījumu IRR aprēķināšanas kārtību, Ekonomikas ministrija konsultēsies ar Eiropas Komisiju par nelikumīga valsts atbalsta atgūšanas metodoloģiskajiem pamatprincipiem, t.sk. par vēsturiskā atbalsta pirms 2007.gada iekļaušanu pārkompensācijas aprēķinā.</w:t>
            </w:r>
            <w:r w:rsidR="00FB6454" w:rsidRPr="00F102E4">
              <w:rPr>
                <w:sz w:val="20"/>
                <w:szCs w:val="20"/>
              </w:rPr>
              <w:t>”</w:t>
            </w:r>
          </w:p>
        </w:tc>
        <w:tc>
          <w:tcPr>
            <w:tcW w:w="1388" w:type="dxa"/>
            <w:gridSpan w:val="2"/>
          </w:tcPr>
          <w:p w14:paraId="34A1DDC4" w14:textId="77777777" w:rsidR="00BA64B9" w:rsidRPr="00D00B26" w:rsidRDefault="00BA64B9" w:rsidP="00A9367F">
            <w:pPr>
              <w:jc w:val="both"/>
              <w:rPr>
                <w:sz w:val="20"/>
                <w:szCs w:val="20"/>
              </w:rPr>
            </w:pPr>
          </w:p>
        </w:tc>
      </w:tr>
      <w:tr w:rsidR="00E13DF9" w:rsidRPr="00D00B26" w14:paraId="5A745D42"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45E8F" w14:textId="5FB172E3" w:rsidR="00BA64B9" w:rsidRPr="00D00B26" w:rsidRDefault="00BA64B9"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59DCE7E" w14:textId="034B54B3" w:rsidR="00520570" w:rsidRPr="00D00B26" w:rsidRDefault="006D75FF" w:rsidP="00520570">
            <w:pPr>
              <w:tabs>
                <w:tab w:val="left" w:pos="3738"/>
              </w:tabs>
              <w:ind w:firstLine="567"/>
              <w:jc w:val="both"/>
              <w:rPr>
                <w:sz w:val="20"/>
                <w:szCs w:val="20"/>
              </w:rPr>
            </w:pPr>
            <w:r>
              <w:rPr>
                <w:sz w:val="20"/>
                <w:szCs w:val="20"/>
                <w:shd w:val="clear" w:color="auto" w:fill="FFFFFF"/>
              </w:rPr>
              <w:t xml:space="preserve">Noteikumu projekta 71.punkts: </w:t>
            </w:r>
          </w:p>
          <w:p w14:paraId="507C8038" w14:textId="32077D4F" w:rsidR="00BA64B9" w:rsidRPr="00D00B26" w:rsidRDefault="00520570" w:rsidP="00520570">
            <w:pPr>
              <w:shd w:val="clear" w:color="auto" w:fill="FFFFFF"/>
              <w:spacing w:after="120"/>
              <w:jc w:val="both"/>
              <w:rPr>
                <w:sz w:val="20"/>
                <w:szCs w:val="20"/>
              </w:rPr>
            </w:pPr>
            <w:r w:rsidRPr="00D00B26">
              <w:rPr>
                <w:sz w:val="20"/>
                <w:szCs w:val="20"/>
                <w:shd w:val="clear" w:color="auto" w:fill="FFFFFF"/>
              </w:rPr>
              <w:t>71.</w:t>
            </w:r>
            <w:r w:rsidRPr="00D00B26">
              <w:rPr>
                <w:sz w:val="20"/>
                <w:szCs w:val="20"/>
                <w:shd w:val="clear" w:color="auto" w:fill="FFFFFF"/>
                <w:vertAlign w:val="superscript"/>
              </w:rPr>
              <w:t xml:space="preserve"> </w:t>
            </w:r>
            <w:r w:rsidRPr="00D00B26">
              <w:rPr>
                <w:sz w:val="20"/>
                <w:szCs w:val="20"/>
              </w:rPr>
              <w:t xml:space="preserve">Publiskais tirgotājs pēc šo noteikumu </w:t>
            </w:r>
            <w:r w:rsidRPr="00D00B26">
              <w:rPr>
                <w:sz w:val="20"/>
                <w:szCs w:val="20"/>
                <w:shd w:val="clear" w:color="auto" w:fill="FFFFFF"/>
              </w:rPr>
              <w:t>69.</w:t>
            </w:r>
            <w:r w:rsidRPr="00D00B26">
              <w:rPr>
                <w:sz w:val="20"/>
                <w:szCs w:val="20"/>
              </w:rPr>
              <w:t xml:space="preserve"> vai </w:t>
            </w:r>
            <w:r w:rsidRPr="00D00B26">
              <w:rPr>
                <w:sz w:val="20"/>
                <w:szCs w:val="20"/>
                <w:shd w:val="clear" w:color="auto" w:fill="FFFFFF"/>
              </w:rPr>
              <w:t>70.</w:t>
            </w:r>
            <w:r w:rsidRPr="00D00B26">
              <w:rPr>
                <w:sz w:val="20"/>
                <w:szCs w:val="20"/>
              </w:rPr>
              <w:t xml:space="preserve"> punktā minētā lēmuma stāšanās spēkā </w:t>
            </w:r>
            <w:bookmarkStart w:id="17" w:name="_Hlk34985556"/>
            <w:r w:rsidRPr="00D00B26">
              <w:rPr>
                <w:sz w:val="20"/>
                <w:szCs w:val="20"/>
              </w:rPr>
              <w:t xml:space="preserve">pārtrauc </w:t>
            </w:r>
            <w:bookmarkEnd w:id="17"/>
            <w:r w:rsidRPr="00D00B26">
              <w:rPr>
                <w:sz w:val="20"/>
                <w:szCs w:val="20"/>
              </w:rPr>
              <w:t>elektroenerģijas iepirkumu obligātā iepirkuma ietvaros.</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34FD03D" w14:textId="58A7F57A" w:rsidR="00BA64B9" w:rsidRPr="00D00B26" w:rsidRDefault="6E8E9264" w:rsidP="002B4CA1">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B92B58" w:rsidRPr="00D00B26">
              <w:rPr>
                <w:rFonts w:eastAsia="Calibri"/>
                <w:b/>
                <w:sz w:val="20"/>
                <w:szCs w:val="20"/>
              </w:rPr>
              <w:t xml:space="preserve"> iebildums</w:t>
            </w:r>
          </w:p>
          <w:p w14:paraId="25BA7BF9" w14:textId="19EA406D" w:rsidR="00BA64B9" w:rsidRPr="00D00B26" w:rsidRDefault="6E8E9264" w:rsidP="002B4CA1">
            <w:pPr>
              <w:jc w:val="both"/>
              <w:rPr>
                <w:sz w:val="20"/>
                <w:szCs w:val="20"/>
              </w:rPr>
            </w:pPr>
            <w:r w:rsidRPr="00D00B26">
              <w:rPr>
                <w:sz w:val="20"/>
                <w:szCs w:val="20"/>
              </w:rPr>
              <w:t xml:space="preserve">10.Attiecībā uz noteikumu projekta 71. punktā minēto, ka </w:t>
            </w:r>
            <w:r w:rsidRPr="00D00B26">
              <w:rPr>
                <w:i/>
                <w:sz w:val="20"/>
                <w:szCs w:val="20"/>
              </w:rPr>
              <w:t xml:space="preserve">publiskais tirgotājs pēc šo noteikumu 69. vai 70. punktā minētā lēmuma stāšanās spēkā </w:t>
            </w:r>
            <w:r w:rsidRPr="00D00B26">
              <w:rPr>
                <w:i/>
                <w:sz w:val="20"/>
                <w:szCs w:val="20"/>
                <w:u w:val="single"/>
              </w:rPr>
              <w:t>pārtrauc</w:t>
            </w:r>
            <w:r w:rsidRPr="00D00B26">
              <w:rPr>
                <w:i/>
                <w:sz w:val="20"/>
                <w:szCs w:val="20"/>
              </w:rPr>
              <w:t xml:space="preserve"> elektroenerģijas iepirkumu obligātā iepirkuma ietvaros</w:t>
            </w:r>
            <w:r w:rsidRPr="00D00B26">
              <w:rPr>
                <w:sz w:val="20"/>
                <w:szCs w:val="20"/>
              </w:rPr>
              <w:t>, nepārprotamai minētās normas izpratnei, lūdzam precizēt, vai elektroenerģijas iepirkums obligātā iepirkuma ietvaros šajā gadījumā tiek pārtraukts pavisam un attiecīgi atsākt to vairs nebūs iespējams, vai arī minēto iepirkumu, izpildoties noteiktiem nosacījumiem, būs iespējams atsākt (šajā gadījumā lūdzam ietvert sasaisti ar attiecīgajiem noteikumu projekta punktiem). Vienlaikus lūdzam ar attiecīgu skaidrojumu papildināt arī anotāciju.</w:t>
            </w:r>
          </w:p>
          <w:p w14:paraId="4AB6518B" w14:textId="77777777" w:rsidR="00B30800" w:rsidRPr="00D00B26" w:rsidRDefault="00B30800" w:rsidP="002B4CA1">
            <w:pPr>
              <w:jc w:val="both"/>
              <w:rPr>
                <w:color w:val="FF0000"/>
                <w:sz w:val="20"/>
                <w:szCs w:val="20"/>
              </w:rPr>
            </w:pPr>
          </w:p>
          <w:p w14:paraId="66A9E4E8" w14:textId="0BBECCB2" w:rsidR="00B30800" w:rsidRPr="005106DF" w:rsidRDefault="00B30800" w:rsidP="00B30800">
            <w:pPr>
              <w:tabs>
                <w:tab w:val="left" w:pos="1134"/>
              </w:tabs>
              <w:spacing w:after="160" w:line="252" w:lineRule="auto"/>
              <w:contextualSpacing/>
              <w:jc w:val="center"/>
              <w:rPr>
                <w:sz w:val="20"/>
                <w:szCs w:val="20"/>
              </w:rPr>
            </w:pPr>
            <w:r w:rsidRPr="005106DF">
              <w:rPr>
                <w:rFonts w:eastAsia="Calibri"/>
                <w:b/>
                <w:sz w:val="20"/>
                <w:szCs w:val="20"/>
              </w:rPr>
              <w:t xml:space="preserve">Finanšu ministrija (27.08.2020.) </w:t>
            </w:r>
          </w:p>
          <w:p w14:paraId="1EBF8A40" w14:textId="38B951A2" w:rsidR="00B30800" w:rsidRPr="00D00B26" w:rsidRDefault="004C5044" w:rsidP="00B30800">
            <w:pPr>
              <w:jc w:val="both"/>
              <w:rPr>
                <w:sz w:val="20"/>
                <w:szCs w:val="20"/>
              </w:rPr>
            </w:pPr>
            <w:r w:rsidRPr="005106DF">
              <w:rPr>
                <w:sz w:val="20"/>
                <w:szCs w:val="20"/>
              </w:rPr>
              <w:t>3.</w:t>
            </w:r>
            <w:r w:rsidR="00B30800" w:rsidRPr="005106DF">
              <w:rPr>
                <w:sz w:val="20"/>
                <w:szCs w:val="20"/>
              </w:rPr>
              <w:t xml:space="preserve">Uzturam Finanšu ministrijas iepriekš izteikto iebildumu, attiecībā uz noteikumu projekta 62.punktā minēto, ar kuru noteikts, ka </w:t>
            </w:r>
            <w:r w:rsidR="00B30800" w:rsidRPr="005106DF">
              <w:rPr>
                <w:i/>
                <w:iCs/>
                <w:sz w:val="20"/>
                <w:szCs w:val="20"/>
              </w:rPr>
              <w:t xml:space="preserve">publiskais tirgotājs pēc šo noteikumu 60. vai 61 punktā minētā lēmuma stāšanās spēkā </w:t>
            </w:r>
            <w:r w:rsidR="00B30800" w:rsidRPr="005106DF">
              <w:rPr>
                <w:i/>
                <w:iCs/>
                <w:sz w:val="20"/>
                <w:szCs w:val="20"/>
                <w:u w:val="single"/>
              </w:rPr>
              <w:t>pārtrauc</w:t>
            </w:r>
            <w:r w:rsidR="00B30800" w:rsidRPr="005106DF">
              <w:rPr>
                <w:i/>
                <w:iCs/>
                <w:sz w:val="20"/>
                <w:szCs w:val="20"/>
              </w:rPr>
              <w:t xml:space="preserve"> elektroenerģijas iepirkumu obligātā iepirkuma ietvaros</w:t>
            </w:r>
            <w:r w:rsidR="00B30800" w:rsidRPr="005106DF">
              <w:rPr>
                <w:sz w:val="20"/>
                <w:szCs w:val="20"/>
              </w:rPr>
              <w:t>.  Nepārprotamai minētās normas izpratnei, lūdzam papildināt noteikumu projektu ar jaunu punktu, paredzot tajā nosacījumu, kas izriet no izziņas 26.punktā Ekonomikas ministrijas skaidrotā, ka pēc lēmuma pieņemšanas par tiesību atcelšanu obligāto iepirkumu neturpina.</w:t>
            </w:r>
            <w:r w:rsidR="00B30800" w:rsidRPr="00D00B26">
              <w:rPr>
                <w:sz w:val="20"/>
                <w:szCs w:val="20"/>
              </w:rPr>
              <w:t xml:space="preserve"> </w:t>
            </w:r>
          </w:p>
          <w:p w14:paraId="3CBE3BFF" w14:textId="6066E69C" w:rsidR="00B30800" w:rsidRPr="00D00B26" w:rsidRDefault="00B30800" w:rsidP="00BA64B9">
            <w:pPr>
              <w:jc w:val="both"/>
              <w:rPr>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1D2A83C" w14:textId="77777777" w:rsidR="00BA64B9" w:rsidRPr="00D00B26" w:rsidRDefault="00A31BA8" w:rsidP="00A9367F">
            <w:pPr>
              <w:pStyle w:val="naisc"/>
              <w:spacing w:before="0" w:after="0"/>
              <w:rPr>
                <w:b/>
                <w:sz w:val="20"/>
                <w:szCs w:val="20"/>
              </w:rPr>
            </w:pPr>
            <w:r w:rsidRPr="00D00B26">
              <w:rPr>
                <w:b/>
                <w:sz w:val="20"/>
                <w:szCs w:val="20"/>
              </w:rPr>
              <w:t>Iebildums ir ņemts vērā.</w:t>
            </w:r>
          </w:p>
          <w:p w14:paraId="691086F7" w14:textId="3B6D0EC5" w:rsidR="00BA64B9" w:rsidRPr="00D00B26" w:rsidRDefault="00657EAC" w:rsidP="00494C13">
            <w:pPr>
              <w:pStyle w:val="naisc"/>
              <w:spacing w:before="0" w:after="0"/>
              <w:jc w:val="left"/>
              <w:rPr>
                <w:sz w:val="20"/>
                <w:szCs w:val="20"/>
              </w:rPr>
            </w:pPr>
            <w:r w:rsidRPr="00D00B26">
              <w:rPr>
                <w:bCs/>
                <w:sz w:val="20"/>
                <w:szCs w:val="20"/>
              </w:rPr>
              <w:t>Pēc lēmuma pieņemšanas par tiesību atcelšanu</w:t>
            </w:r>
            <w:r w:rsidR="00840032" w:rsidRPr="00D00B26">
              <w:rPr>
                <w:bCs/>
                <w:sz w:val="20"/>
                <w:szCs w:val="20"/>
              </w:rPr>
              <w:t xml:space="preserve"> obligāt</w:t>
            </w:r>
            <w:r w:rsidR="002544FC" w:rsidRPr="00D00B26">
              <w:rPr>
                <w:bCs/>
                <w:sz w:val="20"/>
                <w:szCs w:val="20"/>
              </w:rPr>
              <w:t>o iepir</w:t>
            </w:r>
            <w:r w:rsidR="008637B3" w:rsidRPr="00D00B26">
              <w:rPr>
                <w:bCs/>
                <w:sz w:val="20"/>
                <w:szCs w:val="20"/>
              </w:rPr>
              <w:t>k</w:t>
            </w:r>
            <w:r w:rsidR="002544FC" w:rsidRPr="00D00B26">
              <w:rPr>
                <w:bCs/>
                <w:sz w:val="20"/>
                <w:szCs w:val="20"/>
              </w:rPr>
              <w:t xml:space="preserve">umu neturpina. </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A16B00F" w14:textId="144A0D9C" w:rsidR="000B01C4" w:rsidRPr="00D00B26" w:rsidRDefault="006D75FF" w:rsidP="006D75FF">
            <w:pPr>
              <w:jc w:val="both"/>
              <w:rPr>
                <w:rFonts w:eastAsiaTheme="minorHAnsi"/>
                <w:sz w:val="20"/>
                <w:szCs w:val="20"/>
                <w:lang w:eastAsia="en-US"/>
              </w:rPr>
            </w:pPr>
            <w:r>
              <w:rPr>
                <w:sz w:val="20"/>
                <w:szCs w:val="20"/>
                <w:shd w:val="clear" w:color="auto" w:fill="FFFFFF"/>
              </w:rPr>
              <w:t xml:space="preserve">Noteikumu projekta </w:t>
            </w:r>
            <w:r w:rsidRPr="006D75FF">
              <w:rPr>
                <w:sz w:val="20"/>
                <w:szCs w:val="20"/>
                <w:shd w:val="clear" w:color="auto" w:fill="FFFFFF"/>
              </w:rPr>
              <w:t>61.</w:t>
            </w:r>
            <w:r>
              <w:rPr>
                <w:sz w:val="20"/>
                <w:szCs w:val="20"/>
                <w:shd w:val="clear" w:color="auto" w:fill="FFFFFF"/>
              </w:rPr>
              <w:t>punkts:</w:t>
            </w:r>
            <w:r>
              <w:rPr>
                <w:sz w:val="20"/>
                <w:szCs w:val="20"/>
                <w:shd w:val="clear" w:color="auto" w:fill="FFFFFF"/>
              </w:rPr>
              <w:br/>
              <w:t xml:space="preserve">61. </w:t>
            </w:r>
            <w:r w:rsidRPr="006D75FF">
              <w:rPr>
                <w:sz w:val="20"/>
                <w:szCs w:val="20"/>
                <w:shd w:val="clear" w:color="auto" w:fill="FFFFFF"/>
              </w:rPr>
              <w:t>Publiskais tirgotājs līdz ar šo noteikumu 60.  vai 61. punktā minētā lēmuma stāšanos spēkā elektroenerģijas iepirkumu obligātā iepirkuma ietvaros neturpina.</w:t>
            </w:r>
          </w:p>
        </w:tc>
        <w:tc>
          <w:tcPr>
            <w:tcW w:w="1388" w:type="dxa"/>
            <w:gridSpan w:val="2"/>
          </w:tcPr>
          <w:p w14:paraId="136D12BB" w14:textId="77777777" w:rsidR="00BA64B9" w:rsidRPr="00D00B26" w:rsidRDefault="00BA64B9" w:rsidP="00A9367F">
            <w:pPr>
              <w:jc w:val="both"/>
              <w:rPr>
                <w:sz w:val="20"/>
                <w:szCs w:val="20"/>
              </w:rPr>
            </w:pPr>
          </w:p>
        </w:tc>
      </w:tr>
      <w:tr w:rsidR="00E13DF9" w:rsidRPr="00D00B26" w14:paraId="121211A7"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BD19D11" w14:textId="3591587D" w:rsidR="00BA64B9" w:rsidRPr="00D00B26" w:rsidRDefault="00BA64B9"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3836EB6" w14:textId="3ED777E1" w:rsidR="00BA64B9" w:rsidRPr="00D00B26" w:rsidRDefault="004B2B95" w:rsidP="00A9367F">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43B3EA5" w14:textId="31E9B98A" w:rsidR="00BA64B9" w:rsidRPr="00D00B26" w:rsidRDefault="6E8E9264" w:rsidP="002B4CA1">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7D1A4D" w:rsidRPr="00D00B26">
              <w:rPr>
                <w:rFonts w:eastAsia="Calibri"/>
                <w:b/>
                <w:sz w:val="20"/>
                <w:szCs w:val="20"/>
              </w:rPr>
              <w:t xml:space="preserve"> iebildums</w:t>
            </w:r>
          </w:p>
          <w:p w14:paraId="3148407D" w14:textId="446B0615" w:rsidR="00BA64B9" w:rsidRPr="00D00B26" w:rsidRDefault="6E8E9264" w:rsidP="002B4CA1">
            <w:pPr>
              <w:jc w:val="both"/>
              <w:rPr>
                <w:rFonts w:eastAsia="Calibri"/>
                <w:b/>
                <w:sz w:val="20"/>
                <w:szCs w:val="20"/>
              </w:rPr>
            </w:pPr>
            <w:r w:rsidRPr="00D00B26">
              <w:rPr>
                <w:sz w:val="20"/>
                <w:szCs w:val="20"/>
              </w:rPr>
              <w:t xml:space="preserve">8.Lai nodrošinātu noteikumu projekta VII sadaļā “Nepamatoti vai nelikumīgi </w:t>
            </w:r>
            <w:r w:rsidRPr="00D00B26">
              <w:rPr>
                <w:sz w:val="20"/>
                <w:szCs w:val="20"/>
              </w:rPr>
              <w:lastRenderedPageBreak/>
              <w:t>saņemta valsts atbalsta atgūšanas nosacījumi un metodika” lietoto jēdzienu “</w:t>
            </w:r>
            <w:r w:rsidRPr="00D00B26">
              <w:rPr>
                <w:i/>
                <w:sz w:val="20"/>
                <w:szCs w:val="20"/>
              </w:rPr>
              <w:t>nepamatoti saņemts valsts atbalsts</w:t>
            </w:r>
            <w:r w:rsidRPr="00D00B26">
              <w:rPr>
                <w:sz w:val="20"/>
                <w:szCs w:val="20"/>
              </w:rPr>
              <w:t>” un “</w:t>
            </w:r>
            <w:r w:rsidRPr="00D00B26">
              <w:rPr>
                <w:i/>
                <w:sz w:val="20"/>
                <w:szCs w:val="20"/>
              </w:rPr>
              <w:t>nelikumīgi saņemts valsts atbalsts</w:t>
            </w:r>
            <w:r w:rsidRPr="00D00B26">
              <w:rPr>
                <w:sz w:val="20"/>
                <w:szCs w:val="20"/>
              </w:rPr>
              <w:t xml:space="preserve">” viennozīmīgu un korektu izpratni, kā arī lai būtu skaidra procesuālā kārtība nepamatotai un nelikumīgai valsts atbalsta atgūšanai pēc noteikumu projekta 72. punktā minētā gadījuma iestāšanās, lūdzam papildināt anotāciju ar attiecīgu skaidrojumu (skat., piemēram, </w:t>
            </w:r>
            <w:r w:rsidRPr="00D00B26">
              <w:rPr>
                <w:i/>
                <w:sz w:val="20"/>
                <w:szCs w:val="20"/>
              </w:rPr>
              <w:t>Ministru kabineta 2020.gada 12.maija noteikumu Nr.291 “Grozījumi Ministru kabineta 2010. gada 16. marta noteikumos Nr. 262 "Noteikumi par elektroenerģijas ražošanu, izmantojot atjaunojamos energoresursus, un cenu noteikšanas kārtību"</w:t>
            </w:r>
            <w:r w:rsidRPr="00D00B26">
              <w:rPr>
                <w:sz w:val="20"/>
                <w:szCs w:val="20"/>
              </w:rPr>
              <w:t>” anotācijā ietverto skaidrojumu).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BDECDC2" w14:textId="62FE94D3" w:rsidR="00BA64B9" w:rsidRPr="00D00B26" w:rsidRDefault="00CE004E" w:rsidP="00A9367F">
            <w:pPr>
              <w:pStyle w:val="naisc"/>
              <w:spacing w:before="0" w:after="0"/>
              <w:rPr>
                <w:b/>
                <w:sz w:val="20"/>
                <w:szCs w:val="20"/>
              </w:rPr>
            </w:pPr>
            <w:r w:rsidRPr="00D00B26">
              <w:rPr>
                <w:b/>
                <w:sz w:val="20"/>
                <w:szCs w:val="20"/>
              </w:rPr>
              <w:lastRenderedPageBreak/>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BA03FDD" w14:textId="77777777" w:rsidR="00CE004E" w:rsidRPr="00D00B26" w:rsidRDefault="00CE004E" w:rsidP="00CE004E">
            <w:pPr>
              <w:shd w:val="clear" w:color="auto" w:fill="FFFFFF"/>
              <w:spacing w:after="120"/>
              <w:jc w:val="both"/>
              <w:rPr>
                <w:sz w:val="20"/>
                <w:szCs w:val="20"/>
              </w:rPr>
            </w:pPr>
            <w:r w:rsidRPr="00D00B26">
              <w:rPr>
                <w:sz w:val="20"/>
                <w:szCs w:val="20"/>
              </w:rPr>
              <w:t>Projekta anotācijas I sadaļas 2. punkts papildināts šādā redakcijā:</w:t>
            </w:r>
          </w:p>
          <w:p w14:paraId="73250B31" w14:textId="77777777" w:rsidR="00FB6454" w:rsidRPr="00D00B26" w:rsidRDefault="00CE004E" w:rsidP="00FB6454">
            <w:pPr>
              <w:jc w:val="both"/>
              <w:rPr>
                <w:sz w:val="20"/>
                <w:szCs w:val="20"/>
                <w:u w:val="single"/>
              </w:rPr>
            </w:pPr>
            <w:r w:rsidRPr="00D00B26">
              <w:rPr>
                <w:sz w:val="20"/>
                <w:szCs w:val="20"/>
              </w:rPr>
              <w:lastRenderedPageBreak/>
              <w:t>“</w:t>
            </w:r>
            <w:r w:rsidR="00FB6454" w:rsidRPr="00D00B26">
              <w:rPr>
                <w:sz w:val="20"/>
                <w:szCs w:val="20"/>
                <w:u w:val="single"/>
              </w:rPr>
              <w:t>Nepamatoti vai nelikumīgi saņemta valsts atbalsta atgūšana</w:t>
            </w:r>
          </w:p>
          <w:p w14:paraId="6F2B586D" w14:textId="77777777" w:rsidR="00FB6454" w:rsidRPr="00D00B26" w:rsidRDefault="00FB6454" w:rsidP="00FB6454">
            <w:pPr>
              <w:framePr w:hSpace="180" w:wrap="around" w:vAnchor="text" w:hAnchor="text" w:y="1"/>
              <w:spacing w:before="120"/>
              <w:ind w:right="113"/>
              <w:suppressOverlap/>
              <w:jc w:val="both"/>
              <w:rPr>
                <w:sz w:val="20"/>
                <w:szCs w:val="20"/>
              </w:rPr>
            </w:pPr>
            <w:r w:rsidRPr="00D00B26">
              <w:rPr>
                <w:sz w:val="20"/>
                <w:szCs w:val="20"/>
              </w:rPr>
              <w:t>Projekts paredz pārkāpumus, par kuriem BVKB pieņem lēmumu, ar kuru tiek atceltas komersantam piešķirtās tiesības pārdot koģenerācijā saražoto elektroenerģiju obligātā iepirkuma ietvaros vai saņemt maksu par koģenerācijas elektrostacijā uzstādīto elektrisko jaudu (nepamatoti saņemts atbalsts) un noteiktos gadījumos uzliek par pienākumu komersantam atmaksāt publiskajam tirgotājam daļu no saņemtā valsts atbalsta – apmēru, ko tas saņēmis nepamatoti, jo nav nenovērsis iepriekš izteiktu brīdinājumu, kas vienlaikus ir bijis par pamatu minēto tiesību atcelšanai. Projektā ir saglabāta līdzšinējā regulējumā paredzētā kārtība, kādā tiek atgūts nepamatoti vai nelikumīgi saņemts valsts atbalsts.</w:t>
            </w:r>
          </w:p>
          <w:p w14:paraId="6CEC30BA" w14:textId="77777777" w:rsidR="00FB6454" w:rsidRPr="00D00B26" w:rsidRDefault="00FB6454" w:rsidP="00FB6454">
            <w:pPr>
              <w:framePr w:hSpace="180" w:wrap="around" w:vAnchor="text" w:hAnchor="text" w:y="1"/>
              <w:spacing w:before="120"/>
              <w:ind w:right="113"/>
              <w:suppressOverlap/>
              <w:jc w:val="both"/>
              <w:rPr>
                <w:sz w:val="20"/>
                <w:szCs w:val="20"/>
              </w:rPr>
            </w:pPr>
            <w:r w:rsidRPr="00D00B26">
              <w:rPr>
                <w:sz w:val="20"/>
                <w:szCs w:val="20"/>
              </w:rPr>
              <w:t>Šajā kontekstā tiek ņemts vērā spēkā esošais Eiropas Savienības un arī nacionālo tiesību ietvars.</w:t>
            </w:r>
          </w:p>
          <w:p w14:paraId="3C163566" w14:textId="77777777" w:rsidR="00FB6454" w:rsidRPr="00D00B26" w:rsidRDefault="00FB6454" w:rsidP="00FB6454">
            <w:pPr>
              <w:spacing w:before="120"/>
              <w:jc w:val="both"/>
              <w:rPr>
                <w:sz w:val="20"/>
                <w:szCs w:val="20"/>
              </w:rPr>
            </w:pPr>
            <w:r w:rsidRPr="00D00B26">
              <w:rPr>
                <w:sz w:val="20"/>
                <w:szCs w:val="20"/>
              </w:rPr>
              <w:t xml:space="preserve">Padomes </w:t>
            </w:r>
            <w:r w:rsidRPr="00D00B26">
              <w:rPr>
                <w:sz w:val="20"/>
                <w:szCs w:val="20"/>
                <w:shd w:val="clear" w:color="auto" w:fill="FFFFFF"/>
              </w:rPr>
              <w:t>2015. gada 13. jūlija R</w:t>
            </w:r>
            <w:r w:rsidRPr="00D00B26">
              <w:rPr>
                <w:sz w:val="20"/>
                <w:szCs w:val="20"/>
              </w:rPr>
              <w:t>egulas </w:t>
            </w:r>
            <w:hyperlink r:id="rId27" w:tgtFrame="_blank" w:history="1">
              <w:r w:rsidRPr="00D00B26">
                <w:rPr>
                  <w:sz w:val="20"/>
                  <w:szCs w:val="20"/>
                </w:rPr>
                <w:t>2015/1589</w:t>
              </w:r>
            </w:hyperlink>
            <w:r w:rsidRPr="00D00B26">
              <w:rPr>
                <w:sz w:val="20"/>
                <w:szCs w:val="20"/>
              </w:rPr>
              <w:t>,</w:t>
            </w:r>
            <w:r w:rsidRPr="00D00B26">
              <w:rPr>
                <w:sz w:val="20"/>
                <w:szCs w:val="20"/>
                <w:shd w:val="clear" w:color="auto" w:fill="FFFFFF"/>
              </w:rPr>
              <w:t xml:space="preserve"> ar ko nosaka sīki izstrādātus noteikumus Līguma par Eiropas Savienības darbību (turpmāk – LESD) 108. panta piemērošana (turpmāk – Regula </w:t>
            </w:r>
            <w:hyperlink r:id="rId28" w:tgtFrame="_blank" w:history="1">
              <w:r w:rsidRPr="00D00B26">
                <w:rPr>
                  <w:sz w:val="20"/>
                  <w:szCs w:val="20"/>
                </w:rPr>
                <w:t>2015/1589</w:t>
              </w:r>
            </w:hyperlink>
            <w:r w:rsidRPr="00D00B26">
              <w:rPr>
                <w:sz w:val="20"/>
                <w:szCs w:val="20"/>
                <w:shd w:val="clear" w:color="auto" w:fill="FFFFFF"/>
              </w:rPr>
              <w:t>)</w:t>
            </w:r>
            <w:r w:rsidRPr="00D00B26">
              <w:rPr>
                <w:sz w:val="20"/>
                <w:szCs w:val="20"/>
              </w:rPr>
              <w:t xml:space="preserve"> (Oficiālais Vēstnesis L 248, </w:t>
            </w:r>
            <w:r w:rsidRPr="00D00B26">
              <w:rPr>
                <w:rStyle w:val="Emphasis"/>
                <w:sz w:val="20"/>
                <w:szCs w:val="20"/>
                <w:shd w:val="clear" w:color="auto" w:fill="FFFFFF"/>
              </w:rPr>
              <w:t>24.09.2015</w:t>
            </w:r>
            <w:r w:rsidRPr="00D00B26">
              <w:rPr>
                <w:sz w:val="20"/>
                <w:szCs w:val="20"/>
              </w:rPr>
              <w:t>., lpp. 9-29) 1. panta f) punkts nosaka, ka “nelikumīgs atbalsts” ir jauns atbalsts, kas ieviests, pārkāpjot Eiropas Komisijas (turpmāk – EK) līguma 93. panta (konsolidētā EK līguma 88. pants) 3. punktu, proti, dalībvalsts nesāk īstenot pasākumu pirms EK pieņēmusi lēmumu par pasākuma saderību ar kopējo tirgu.</w:t>
            </w:r>
          </w:p>
          <w:p w14:paraId="3B0B5E33" w14:textId="77777777" w:rsidR="00FB6454" w:rsidRPr="00D00B26" w:rsidRDefault="00FB6454" w:rsidP="00FB6454">
            <w:pPr>
              <w:spacing w:before="120"/>
              <w:jc w:val="both"/>
              <w:rPr>
                <w:sz w:val="20"/>
                <w:szCs w:val="20"/>
              </w:rPr>
            </w:pPr>
            <w:r w:rsidRPr="00D00B26">
              <w:rPr>
                <w:sz w:val="20"/>
                <w:szCs w:val="20"/>
              </w:rPr>
              <w:t xml:space="preserve">Nelikumīga atbalsta atgūšanas pienākums Latvijas normatīvajos aktos ir nostiprināts </w:t>
            </w:r>
            <w:r w:rsidRPr="00D00B26">
              <w:rPr>
                <w:sz w:val="20"/>
                <w:szCs w:val="20"/>
              </w:rPr>
              <w:lastRenderedPageBreak/>
              <w:t xml:space="preserve">Komercdarbības atbalsta kontroles likuma (turpmāk – KAKL) 17. un 18. pantā. KAKL 17. pants cita starpā nosaka, ka saskaņā ar EK pieņemto lēmumu atbalsta sniedzējam ir pienākums nodrošināt tāda valsts (komercdarbības) atbalsta atmaksu, kas komercsabiedrībai piešķirts, neievērojot </w:t>
            </w:r>
            <w:r w:rsidRPr="00D00B26">
              <w:rPr>
                <w:sz w:val="20"/>
                <w:szCs w:val="20"/>
                <w:shd w:val="clear" w:color="auto" w:fill="FFFFFF"/>
              </w:rPr>
              <w:t>LESD</w:t>
            </w:r>
            <w:r w:rsidRPr="00D00B26" w:rsidDel="00324F36">
              <w:rPr>
                <w:sz w:val="20"/>
                <w:szCs w:val="20"/>
              </w:rPr>
              <w:t xml:space="preserve"> </w:t>
            </w:r>
            <w:r w:rsidRPr="00D00B26">
              <w:rPr>
                <w:sz w:val="20"/>
                <w:szCs w:val="20"/>
              </w:rPr>
              <w:t>108. panta 3. punktu. Tādējādi, saskaņā ar nacionālajām tiesību normām tiesisks pamats valsts atbalsta izmaksātājam atprasīt valsts atbalstu ir tieši EK lēmums par atbalsta atmaksu.</w:t>
            </w:r>
          </w:p>
          <w:p w14:paraId="3E29A3B1" w14:textId="77777777" w:rsidR="00FB6454" w:rsidRPr="00D00B26" w:rsidRDefault="00FB6454" w:rsidP="00FB6454">
            <w:pPr>
              <w:spacing w:before="120"/>
              <w:jc w:val="both"/>
              <w:rPr>
                <w:sz w:val="20"/>
                <w:szCs w:val="20"/>
              </w:rPr>
            </w:pPr>
            <w:r w:rsidRPr="00D00B26">
              <w:rPr>
                <w:sz w:val="20"/>
                <w:szCs w:val="20"/>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valsts (komercdarbības) atbalsta atmaksu, kas komercsabiedrībai piešķirts, neievērojot </w:t>
            </w:r>
            <w:r w:rsidRPr="00D00B26">
              <w:rPr>
                <w:sz w:val="20"/>
                <w:szCs w:val="20"/>
                <w:shd w:val="clear" w:color="auto" w:fill="FFFFFF"/>
              </w:rPr>
              <w:t>LESD</w:t>
            </w:r>
            <w:r w:rsidRPr="00D00B26" w:rsidDel="00324F36">
              <w:rPr>
                <w:sz w:val="20"/>
                <w:szCs w:val="20"/>
              </w:rPr>
              <w:t xml:space="preserve"> </w:t>
            </w:r>
            <w:r w:rsidRPr="00D00B26">
              <w:rPr>
                <w:sz w:val="20"/>
                <w:szCs w:val="20"/>
              </w:rPr>
              <w:t>108. panta 3. punktu. Tādējādi, saskaņā ar nacionālajām tiesību normām tiesisks pamats valsts atbalsta izmaksātājam atprasīt valsts atbalstu ir tieši EK lēmums par atbalsta atmaksu.</w:t>
            </w:r>
          </w:p>
          <w:p w14:paraId="5E799CFC" w14:textId="77777777" w:rsidR="00FB6454" w:rsidRPr="00D00B26" w:rsidRDefault="00FB6454" w:rsidP="00FB6454">
            <w:pPr>
              <w:jc w:val="both"/>
              <w:rPr>
                <w:sz w:val="20"/>
                <w:szCs w:val="20"/>
              </w:rPr>
            </w:pPr>
            <w:r w:rsidRPr="00D00B26">
              <w:rPr>
                <w:sz w:val="20"/>
                <w:szCs w:val="20"/>
              </w:rPr>
              <w:t xml:space="preserve">Vienlaikus jāņem vērā, ka saskaņā ar KAKL 4. pantā noteikto valsts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w:t>
            </w:r>
            <w:r w:rsidRPr="00D00B26">
              <w:rPr>
                <w:sz w:val="20"/>
                <w:szCs w:val="20"/>
              </w:rPr>
              <w:lastRenderedPageBreak/>
              <w:t xml:space="preserve">samaksāt procentus par visu laikposmu, kurā tas ir guvis labumu no šī atbalsta izriet tieši no LESD 108. panta 3. punkta, kā arī no KAKL 4. panta. Savukārt KAKL 4. pants nosaka valsts atbalsta tiesisko ietvaru, </w:t>
            </w:r>
            <w:bookmarkStart w:id="18" w:name="_Hlk36554637"/>
            <w:r w:rsidRPr="00D00B26">
              <w:rPr>
                <w:sz w:val="20"/>
                <w:szCs w:val="20"/>
              </w:rPr>
              <w:t>kas ietver sevī arī ES aktus un judikatūru.</w:t>
            </w:r>
            <w:bookmarkEnd w:id="18"/>
            <w:r w:rsidRPr="00D00B26">
              <w:rPr>
                <w:sz w:val="20"/>
                <w:szCs w:val="20"/>
              </w:rPr>
              <w:t xml:space="preserve"> Atbilstoši Regulas </w:t>
            </w:r>
            <w:hyperlink r:id="rId29" w:tgtFrame="_blank" w:history="1">
              <w:r w:rsidRPr="00D00B26">
                <w:rPr>
                  <w:sz w:val="20"/>
                  <w:szCs w:val="20"/>
                </w:rPr>
                <w:t>2015/1589</w:t>
              </w:r>
            </w:hyperlink>
            <w:r w:rsidRPr="00D00B26">
              <w:rPr>
                <w:sz w:val="20"/>
                <w:szCs w:val="20"/>
              </w:rPr>
              <w:t xml:space="preserve"> 17. panta 1. punktam uz tiesībām atgūt valsts atbalstu attiecas desmit gadu noilguma termiņš. Noilguma periodu sāk skaitīt dienā, kad nelikumīgais valsts atbalsts tiek piešķirts komersantam kā kompensācija elektroenerģijas obligātā iepirkuma ietvaros. Aprēķinot noilguma termiņu, valsts atbalsts jāuzskata par piešķirtu komersantam datumā, kurā tas ir faktiski izmaksāts minētajam saņēmējam (EK 2011. gada 8. decembra Tiesas spriedums Lieta C</w:t>
            </w:r>
            <w:r w:rsidRPr="00D00B26">
              <w:rPr>
                <w:sz w:val="20"/>
                <w:szCs w:val="20"/>
              </w:rPr>
              <w:noBreakHyphen/>
              <w:t xml:space="preserve">81/10 P </w:t>
            </w:r>
            <w:proofErr w:type="spellStart"/>
            <w:r w:rsidRPr="00D00B26">
              <w:rPr>
                <w:sz w:val="20"/>
                <w:szCs w:val="20"/>
              </w:rPr>
              <w:t>France</w:t>
            </w:r>
            <w:proofErr w:type="spellEnd"/>
            <w:r w:rsidRPr="00D00B26">
              <w:rPr>
                <w:sz w:val="20"/>
                <w:szCs w:val="20"/>
              </w:rPr>
              <w:t xml:space="preserve"> </w:t>
            </w:r>
            <w:proofErr w:type="spellStart"/>
            <w:r w:rsidRPr="00D00B26">
              <w:rPr>
                <w:sz w:val="20"/>
                <w:szCs w:val="20"/>
              </w:rPr>
              <w:t>Télécom</w:t>
            </w:r>
            <w:proofErr w:type="spellEnd"/>
            <w:r w:rsidRPr="00D00B26">
              <w:rPr>
                <w:sz w:val="20"/>
                <w:szCs w:val="20"/>
              </w:rPr>
              <w:t> SA pret EK, 80.-89. punkts). Noilguma termiņu pārtrauc kompetento iestāžu lēmumi, kas attiecas uz pārkāpumu izmeklēšanu vai iztiesāšanu un kuri konkrētajām personām darīti zināmi. Noilguma termiņš pēc katra pārtraukuma atsākas no jauna</w:t>
            </w:r>
            <w:r w:rsidRPr="00D00B26">
              <w:rPr>
                <w:sz w:val="20"/>
                <w:szCs w:val="20"/>
                <w:shd w:val="clear" w:color="auto" w:fill="FFFFFF"/>
              </w:rPr>
              <w:t>.</w:t>
            </w:r>
          </w:p>
          <w:p w14:paraId="6D8856DA" w14:textId="5245653B" w:rsidR="00BA64B9" w:rsidRPr="00D00B26" w:rsidRDefault="00FB6454" w:rsidP="00FB6454">
            <w:pPr>
              <w:spacing w:before="120"/>
              <w:jc w:val="both"/>
              <w:rPr>
                <w:sz w:val="20"/>
                <w:szCs w:val="20"/>
              </w:rPr>
            </w:pPr>
            <w:r w:rsidRPr="00D00B26">
              <w:rPr>
                <w:sz w:val="20"/>
                <w:szCs w:val="20"/>
              </w:rPr>
              <w:t>Projektā ir saglabāts līdzšinējais regulējums kārtībai, kādā atgūst nepamatoti vai nelikumīgi saņemtu valsts atbalstu, t.sk. attiecībā uz nelikumīgi saņemtu valsts atbalstu, ņemot vērā aktuālāko Eiropas Savienības tiesas judikatūru (sk. Eiropas Savienības Tiesas 2019. gada 5. marta spriedumu lietā Nr. C-349/17 (ECLI:EU:C:2019:172)), kas skar jautājumus par valsts atbalsta atgūšanu. Projekta ietvaros komersanta nepamatoti vai nelikumīgi saņemtā valsts atbalsta atgūšanu Administratīvā procesa likumā noteiktajā kārtībā veic BVKB.</w:t>
            </w:r>
            <w:r w:rsidR="00F102E4">
              <w:rPr>
                <w:sz w:val="20"/>
                <w:szCs w:val="20"/>
              </w:rPr>
              <w:t>”</w:t>
            </w:r>
          </w:p>
        </w:tc>
        <w:tc>
          <w:tcPr>
            <w:tcW w:w="1388" w:type="dxa"/>
            <w:gridSpan w:val="2"/>
          </w:tcPr>
          <w:p w14:paraId="2278DF0F" w14:textId="77777777" w:rsidR="00BA64B9" w:rsidRPr="00D00B26" w:rsidRDefault="00BA64B9" w:rsidP="00A9367F">
            <w:pPr>
              <w:jc w:val="both"/>
              <w:rPr>
                <w:sz w:val="20"/>
                <w:szCs w:val="20"/>
              </w:rPr>
            </w:pPr>
          </w:p>
        </w:tc>
      </w:tr>
      <w:tr w:rsidR="00E13DF9" w:rsidRPr="00D00B26" w14:paraId="014BBD44"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69B52BE" w14:textId="23FC8E13" w:rsidR="008B04D8" w:rsidRPr="00D00B26" w:rsidRDefault="008B04D8"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83E34E6" w14:textId="36AED418" w:rsidR="008B04D8" w:rsidRPr="00D00B26" w:rsidRDefault="00822B94" w:rsidP="008B04D8">
            <w:pPr>
              <w:shd w:val="clear" w:color="auto" w:fill="FFFFFF"/>
              <w:spacing w:after="120"/>
              <w:jc w:val="both"/>
              <w:rPr>
                <w:sz w:val="20"/>
                <w:szCs w:val="20"/>
              </w:rPr>
            </w:pPr>
            <w:r w:rsidRPr="00D00B26">
              <w:rPr>
                <w:sz w:val="20"/>
                <w:szCs w:val="20"/>
              </w:rPr>
              <w:t>79. Šo noteikumu 11.5. apakšpunkts stājas spēkā pēc tam, kad Eiropas Komisija ir sniegusi pozitīvu atzinumu par tā saderību ar Eiropas Savienības iekšējo tirgu.</w:t>
            </w:r>
          </w:p>
          <w:p w14:paraId="04376ED9" w14:textId="77777777" w:rsidR="00C83C36" w:rsidRPr="00D00B26" w:rsidRDefault="00C83C36" w:rsidP="00C83C36">
            <w:pPr>
              <w:shd w:val="clear" w:color="auto" w:fill="FFFFFF"/>
              <w:spacing w:after="120"/>
              <w:jc w:val="both"/>
              <w:rPr>
                <w:sz w:val="20"/>
                <w:szCs w:val="20"/>
              </w:rPr>
            </w:pPr>
            <w:r w:rsidRPr="00D00B26">
              <w:rPr>
                <w:sz w:val="20"/>
                <w:szCs w:val="20"/>
              </w:rPr>
              <w:t>11.5. šo noteikumu 3.5. apakšpunkta nosacījumiem atbilstošām vēja elektrostacijām, kas uzsākušas ekspluatāciju no 2020. gada 1. janvāra, piemēro šo noteikumu 11.3. un 11.4. apakšpunktā minētās formulas, rezultātu reizinot ar koeficientu 0,85;</w:t>
            </w:r>
          </w:p>
          <w:p w14:paraId="05804A61" w14:textId="77777777" w:rsidR="008B04D8" w:rsidRPr="00D00B26" w:rsidRDefault="008B04D8" w:rsidP="008B04D8">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5B2113B" w14:textId="77777777" w:rsidR="008B04D8" w:rsidRPr="00D00B26" w:rsidRDefault="24FF3409"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p>
          <w:p w14:paraId="6E19BB26" w14:textId="00B9A1AE" w:rsidR="00BA64B9" w:rsidRPr="00D00B26" w:rsidRDefault="6E8E9264" w:rsidP="76D16243">
            <w:pPr>
              <w:jc w:val="both"/>
              <w:rPr>
                <w:sz w:val="20"/>
                <w:szCs w:val="20"/>
              </w:rPr>
            </w:pPr>
            <w:r w:rsidRPr="00D00B26">
              <w:rPr>
                <w:sz w:val="20"/>
                <w:szCs w:val="20"/>
              </w:rPr>
              <w:t xml:space="preserve">11.Ņemot vērā noteikumu projekta 79. punktā noteikto, ka </w:t>
            </w:r>
            <w:r w:rsidRPr="00D00B26">
              <w:rPr>
                <w:i/>
                <w:sz w:val="20"/>
                <w:szCs w:val="20"/>
              </w:rPr>
              <w:t>šo noteikumu 11.5. apakšpunkts stājas spēkā pēc tam, kad Eiropas Komisija ir sniegusi pozitīvu atzinumu par tā saderību ar Eiropas Savienības iekšējo tirgu</w:t>
            </w:r>
            <w:r w:rsidRPr="00D00B26">
              <w:rPr>
                <w:sz w:val="20"/>
                <w:szCs w:val="20"/>
              </w:rPr>
              <w:t>, lūdzam sagatavot Ministru kabineta sēdes protokollēmuma projektu, kurā tiktu noteikts termiņš, kādā Ekonomikas ministrija nodrošinās informācijas iesniegšanu Eiropas Komisijā atzinuma saņemšanai.</w:t>
            </w:r>
          </w:p>
          <w:p w14:paraId="3B4BBB6E" w14:textId="6E2A76BA" w:rsidR="008B04D8" w:rsidRPr="00D00B26" w:rsidRDefault="008B04D8" w:rsidP="008B04D8">
            <w:pPr>
              <w:spacing w:after="160" w:line="252" w:lineRule="auto"/>
              <w:contextualSpacing/>
              <w:jc w:val="both"/>
              <w:rPr>
                <w:sz w:val="20"/>
                <w:szCs w:val="20"/>
              </w:rPr>
            </w:pPr>
            <w:r w:rsidRPr="00D00B26">
              <w:rPr>
                <w:sz w:val="20"/>
                <w:szCs w:val="20"/>
              </w:rPr>
              <w:t xml:space="preserve"> </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362513C" w14:textId="3D7AD0EA" w:rsidR="008B04D8" w:rsidRPr="00D00B26" w:rsidRDefault="00605C74" w:rsidP="00605C74">
            <w:pPr>
              <w:pStyle w:val="NormalWeb"/>
              <w:spacing w:before="0" w:beforeAutospacing="0"/>
              <w:jc w:val="center"/>
              <w:rPr>
                <w:b/>
                <w:sz w:val="20"/>
                <w:szCs w:val="20"/>
              </w:rPr>
            </w:pPr>
            <w:r w:rsidRPr="00D00B26">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DD368AD" w14:textId="02CBD76A" w:rsidR="008B04D8" w:rsidRPr="00D00B26" w:rsidRDefault="00605C74" w:rsidP="008B04D8">
            <w:pPr>
              <w:shd w:val="clear" w:color="auto" w:fill="FFFFFF"/>
              <w:spacing w:after="120"/>
              <w:jc w:val="both"/>
              <w:rPr>
                <w:sz w:val="20"/>
                <w:szCs w:val="20"/>
              </w:rPr>
            </w:pPr>
            <w:r w:rsidRPr="00D00B26">
              <w:rPr>
                <w:sz w:val="20"/>
                <w:szCs w:val="20"/>
              </w:rPr>
              <w:t xml:space="preserve">Iesniedzot projektu izskatīšanai Ministru kabinetā, vienlaikus tiks iesniegts arī </w:t>
            </w:r>
            <w:r w:rsidR="003038E4" w:rsidRPr="00D00B26">
              <w:rPr>
                <w:sz w:val="20"/>
                <w:szCs w:val="20"/>
              </w:rPr>
              <w:t xml:space="preserve">attiecīgs </w:t>
            </w:r>
            <w:r w:rsidRPr="00D00B26">
              <w:rPr>
                <w:sz w:val="20"/>
                <w:szCs w:val="20"/>
              </w:rPr>
              <w:t>MK protokollēmuma projekts.</w:t>
            </w:r>
          </w:p>
        </w:tc>
        <w:tc>
          <w:tcPr>
            <w:tcW w:w="1388" w:type="dxa"/>
            <w:gridSpan w:val="2"/>
          </w:tcPr>
          <w:p w14:paraId="426394AE" w14:textId="77777777" w:rsidR="008B04D8" w:rsidRPr="00D00B26" w:rsidRDefault="008B04D8" w:rsidP="008B04D8">
            <w:pPr>
              <w:jc w:val="both"/>
              <w:rPr>
                <w:sz w:val="20"/>
                <w:szCs w:val="20"/>
              </w:rPr>
            </w:pPr>
          </w:p>
        </w:tc>
      </w:tr>
      <w:tr w:rsidR="00E13DF9" w:rsidRPr="00D00B26" w14:paraId="53A7C214"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5B4521" w14:textId="2AE34080" w:rsidR="008B04D8" w:rsidRPr="00D00B26" w:rsidRDefault="008B04D8"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9033EDC" w14:textId="0C11B5E9" w:rsidR="00665DE4" w:rsidRPr="00D00B26" w:rsidRDefault="00665DE4" w:rsidP="008B04D8">
            <w:pPr>
              <w:shd w:val="clear" w:color="auto" w:fill="FFFFFF"/>
              <w:spacing w:after="120"/>
              <w:jc w:val="both"/>
              <w:rPr>
                <w:sz w:val="20"/>
                <w:szCs w:val="20"/>
              </w:rPr>
            </w:pPr>
            <w:r w:rsidRPr="00D00B26">
              <w:rPr>
                <w:sz w:val="20"/>
                <w:szCs w:val="20"/>
              </w:rPr>
              <w:t>Projekta anotācijas I sadaļas 2. punkts</w:t>
            </w:r>
            <w:r w:rsidR="00327691" w:rsidRPr="00D00B26">
              <w:rPr>
                <w:sz w:val="20"/>
                <w:szCs w:val="20"/>
              </w:rPr>
              <w:t>:</w:t>
            </w:r>
          </w:p>
          <w:p w14:paraId="74680A8D" w14:textId="28275C0E" w:rsidR="008B04D8" w:rsidRPr="00D00B26" w:rsidRDefault="00665DE4" w:rsidP="008B04D8">
            <w:pPr>
              <w:shd w:val="clear" w:color="auto" w:fill="FFFFFF"/>
              <w:spacing w:after="120"/>
              <w:jc w:val="both"/>
              <w:rPr>
                <w:sz w:val="20"/>
                <w:szCs w:val="20"/>
              </w:rPr>
            </w:pPr>
            <w:r w:rsidRPr="00D00B26">
              <w:rPr>
                <w:sz w:val="20"/>
                <w:szCs w:val="20"/>
              </w:rPr>
              <w:t>“Līdz ar grozījumiem ETL, kas stājās spēkā 2020. gada 15. februārī, pārkompensācijas novēršanas mehānisms tika nostiprināts arī likumā, precizējot nosacījumus IRR aprēķināšanai, kā arī uzdodot Ministru kabinetam noteikt IRR aprēķina veikšanas kārtību.”</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669B244" w14:textId="77777777" w:rsidR="008B04D8" w:rsidRPr="00D00B26" w:rsidRDefault="24FF3409"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p>
          <w:p w14:paraId="77F17779" w14:textId="653C448D" w:rsidR="00BA64B9" w:rsidRPr="00D00B26" w:rsidRDefault="6E8E9264" w:rsidP="76D16243">
            <w:pPr>
              <w:jc w:val="both"/>
              <w:rPr>
                <w:sz w:val="20"/>
                <w:szCs w:val="20"/>
              </w:rPr>
            </w:pPr>
            <w:r w:rsidRPr="00D00B26">
              <w:rPr>
                <w:sz w:val="20"/>
                <w:szCs w:val="20"/>
              </w:rPr>
              <w:t>12.Attiecībā uz noteikumu projekta 6.pielikumu, jo īpaši tā 2. un 3. punktā ietvertajām aprēķinu formulām, lūdzam papildināt anotāciju ar skaidrojumu, ka:</w:t>
            </w:r>
          </w:p>
          <w:p w14:paraId="05816076" w14:textId="77777777" w:rsidR="00BA64B9" w:rsidRPr="00D00B26" w:rsidRDefault="6E8E9264" w:rsidP="00232A53">
            <w:pPr>
              <w:numPr>
                <w:ilvl w:val="0"/>
                <w:numId w:val="24"/>
              </w:numPr>
              <w:jc w:val="both"/>
              <w:rPr>
                <w:sz w:val="20"/>
                <w:szCs w:val="20"/>
              </w:rPr>
            </w:pPr>
            <w:r w:rsidRPr="00D00B26">
              <w:rPr>
                <w:sz w:val="20"/>
                <w:szCs w:val="20"/>
              </w:rPr>
              <w:t>iekšējās peļņas normas aprēķins tiks veikts visam atbalsta periodam atbilstoši ETL 1. panta 1.</w:t>
            </w:r>
            <w:r w:rsidRPr="00D00B26">
              <w:rPr>
                <w:sz w:val="20"/>
                <w:szCs w:val="20"/>
                <w:vertAlign w:val="superscript"/>
              </w:rPr>
              <w:t>3</w:t>
            </w:r>
            <w:r w:rsidRPr="00D00B26">
              <w:rPr>
                <w:sz w:val="20"/>
                <w:szCs w:val="20"/>
              </w:rPr>
              <w:t xml:space="preserve"> punktā un 30.</w:t>
            </w:r>
            <w:r w:rsidRPr="00D00B26">
              <w:rPr>
                <w:sz w:val="20"/>
                <w:szCs w:val="20"/>
                <w:vertAlign w:val="superscript"/>
              </w:rPr>
              <w:t xml:space="preserve">4 </w:t>
            </w:r>
            <w:r w:rsidRPr="00D00B26">
              <w:rPr>
                <w:sz w:val="20"/>
                <w:szCs w:val="20"/>
              </w:rPr>
              <w:t>pantā noteiktajam;</w:t>
            </w:r>
          </w:p>
          <w:p w14:paraId="4F5E39F3" w14:textId="77777777" w:rsidR="00BA64B9" w:rsidRPr="00D00B26" w:rsidRDefault="6E8E9264" w:rsidP="00232A53">
            <w:pPr>
              <w:numPr>
                <w:ilvl w:val="0"/>
                <w:numId w:val="24"/>
              </w:numPr>
              <w:rPr>
                <w:sz w:val="20"/>
                <w:szCs w:val="20"/>
              </w:rPr>
            </w:pPr>
            <w:r w:rsidRPr="00D00B26">
              <w:rPr>
                <w:sz w:val="20"/>
                <w:szCs w:val="20"/>
              </w:rPr>
              <w:t>aprēķinot iekšējās peļņas normu, vērā tiks ņemtas visas veiktās investīcijas pilnā apmērā atbilstoši EK lēmuma lietā SA.43140 32.punktam un ETL 31.</w:t>
            </w:r>
            <w:r w:rsidRPr="00D00B26">
              <w:rPr>
                <w:sz w:val="20"/>
                <w:szCs w:val="20"/>
                <w:vertAlign w:val="superscript"/>
              </w:rPr>
              <w:t>4</w:t>
            </w:r>
            <w:r w:rsidRPr="00D00B26">
              <w:rPr>
                <w:sz w:val="20"/>
                <w:szCs w:val="20"/>
              </w:rPr>
              <w:t xml:space="preserve"> pantam.</w:t>
            </w:r>
          </w:p>
          <w:p w14:paraId="2FE8BC09" w14:textId="6CE20A1F" w:rsidR="008B04D8" w:rsidRPr="00D00B26" w:rsidRDefault="008B04D8" w:rsidP="008B04D8">
            <w:pPr>
              <w:spacing w:after="160" w:line="252" w:lineRule="auto"/>
              <w:contextualSpacing/>
              <w:jc w:val="both"/>
              <w:rPr>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C9DD8BF" w14:textId="77777777" w:rsidR="00FC4640" w:rsidRPr="00D00B26" w:rsidRDefault="00FC4640" w:rsidP="00FC4640">
            <w:pPr>
              <w:pStyle w:val="NormalWeb"/>
              <w:spacing w:before="0" w:beforeAutospacing="0"/>
              <w:jc w:val="center"/>
              <w:rPr>
                <w:b/>
                <w:sz w:val="20"/>
                <w:szCs w:val="20"/>
              </w:rPr>
            </w:pPr>
            <w:r w:rsidRPr="00D00B26">
              <w:rPr>
                <w:b/>
                <w:sz w:val="20"/>
                <w:szCs w:val="20"/>
              </w:rPr>
              <w:t>Ņemts vērā</w:t>
            </w:r>
          </w:p>
          <w:p w14:paraId="0E827D3D" w14:textId="1E7C6484" w:rsidR="008B04D8" w:rsidRPr="00D00B26" w:rsidRDefault="00A92108" w:rsidP="00CA0E9F">
            <w:pPr>
              <w:pStyle w:val="NormalWeb"/>
              <w:spacing w:before="0" w:beforeAutospacing="0"/>
              <w:jc w:val="both"/>
              <w:rPr>
                <w:b/>
                <w:sz w:val="20"/>
                <w:szCs w:val="20"/>
              </w:rPr>
            </w:pPr>
            <w:r w:rsidRPr="00D00B26">
              <w:rPr>
                <w:bCs/>
                <w:sz w:val="20"/>
                <w:szCs w:val="20"/>
              </w:rPr>
              <w:t>2</w:t>
            </w:r>
            <w:r w:rsidR="00FC4640" w:rsidRPr="00D00B26">
              <w:rPr>
                <w:bCs/>
                <w:sz w:val="20"/>
                <w:szCs w:val="20"/>
              </w:rPr>
              <w:t>. pielikums netiks ietvert</w:t>
            </w:r>
            <w:r w:rsidR="002270F6" w:rsidRPr="00D00B26">
              <w:rPr>
                <w:bCs/>
                <w:sz w:val="20"/>
                <w:szCs w:val="20"/>
              </w:rPr>
              <w:t>s</w:t>
            </w:r>
            <w:r w:rsidR="00FC4640" w:rsidRPr="00D00B26">
              <w:rPr>
                <w:bCs/>
                <w:sz w:val="20"/>
                <w:szCs w:val="20"/>
              </w:rPr>
              <w:t xml:space="preserve"> šajā projektā.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0B4A14" w14:textId="376C605D" w:rsidR="00A2442E" w:rsidRPr="00D00B26" w:rsidRDefault="00A2442E" w:rsidP="000C6983">
            <w:pPr>
              <w:spacing w:before="120"/>
              <w:ind w:right="113"/>
              <w:jc w:val="both"/>
              <w:rPr>
                <w:sz w:val="20"/>
                <w:szCs w:val="20"/>
              </w:rPr>
            </w:pPr>
          </w:p>
        </w:tc>
        <w:tc>
          <w:tcPr>
            <w:tcW w:w="1388" w:type="dxa"/>
            <w:gridSpan w:val="2"/>
          </w:tcPr>
          <w:p w14:paraId="2F25AE98" w14:textId="77777777" w:rsidR="008B04D8" w:rsidRPr="00D00B26" w:rsidRDefault="008B04D8" w:rsidP="008B04D8">
            <w:pPr>
              <w:jc w:val="both"/>
              <w:rPr>
                <w:sz w:val="20"/>
                <w:szCs w:val="20"/>
              </w:rPr>
            </w:pPr>
          </w:p>
        </w:tc>
      </w:tr>
      <w:tr w:rsidR="00E13DF9" w:rsidRPr="00D00B26" w14:paraId="07F0D371"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25D6E1E" w14:textId="6B2E40EB" w:rsidR="008B04D8" w:rsidRPr="00D00B26" w:rsidRDefault="008B04D8"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5565BA1" w14:textId="77777777" w:rsidR="008B04D8" w:rsidRPr="00D00B26" w:rsidRDefault="008B04D8" w:rsidP="008B04D8">
            <w:pPr>
              <w:shd w:val="clear" w:color="auto" w:fill="FFFFFF"/>
              <w:spacing w:after="120"/>
              <w:jc w:val="both"/>
              <w:rPr>
                <w:sz w:val="20"/>
                <w:szCs w:val="20"/>
              </w:rPr>
            </w:pPr>
            <w:r w:rsidRPr="00D00B26">
              <w:rPr>
                <w:sz w:val="20"/>
                <w:szCs w:val="20"/>
              </w:rPr>
              <w:t>Noteikumu projekts</w:t>
            </w:r>
          </w:p>
          <w:p w14:paraId="5D05E429" w14:textId="77777777" w:rsidR="008B04D8" w:rsidRPr="00D00B26" w:rsidRDefault="008B04D8" w:rsidP="008B04D8">
            <w:pPr>
              <w:shd w:val="clear" w:color="auto" w:fill="FFFFFF"/>
              <w:spacing w:after="120"/>
              <w:jc w:val="both"/>
              <w:rPr>
                <w:sz w:val="20"/>
                <w:szCs w:val="20"/>
              </w:rPr>
            </w:pPr>
          </w:p>
          <w:p w14:paraId="460EED55" w14:textId="77777777" w:rsidR="008B04D8" w:rsidRPr="00D00B26" w:rsidRDefault="008B04D8" w:rsidP="008B04D8">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5B3BA0F" w14:textId="47903FE2" w:rsidR="008B04D8" w:rsidRPr="00D00B26" w:rsidRDefault="24FF3409"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82350D" w:rsidRPr="00D00B26">
              <w:rPr>
                <w:rFonts w:eastAsia="Calibri"/>
                <w:b/>
                <w:sz w:val="20"/>
                <w:szCs w:val="20"/>
              </w:rPr>
              <w:t xml:space="preserve"> priekšlikums</w:t>
            </w:r>
          </w:p>
          <w:p w14:paraId="1AF5A5AC" w14:textId="1851EF3F" w:rsidR="008B04D8" w:rsidRPr="00D00B26" w:rsidRDefault="6E8E9264" w:rsidP="76D16243">
            <w:pPr>
              <w:spacing w:after="160" w:line="252" w:lineRule="auto"/>
              <w:contextualSpacing/>
              <w:jc w:val="both"/>
              <w:rPr>
                <w:sz w:val="20"/>
                <w:szCs w:val="20"/>
                <w:highlight w:val="yellow"/>
              </w:rPr>
            </w:pPr>
            <w:r w:rsidRPr="00D00B26">
              <w:rPr>
                <w:sz w:val="20"/>
                <w:szCs w:val="20"/>
              </w:rPr>
              <w:t xml:space="preserve">Priekšlikums -1.Ņemot vērā, ka MK noteikumu Nr.262 39. punktā ir paredzēts, ka </w:t>
            </w:r>
            <w:r w:rsidRPr="00D00B26">
              <w:rPr>
                <w:i/>
                <w:sz w:val="20"/>
                <w:szCs w:val="20"/>
              </w:rPr>
              <w:t xml:space="preserve">no atjaunojamiem energoresursiem saražotās elektroenerģijas apjomam, ko komersanti nepārdod obligātā iepirkuma ietvaros, pārdošanas nosacījumus un cenu nosaka, komersantam vienojoties ar jebkuru </w:t>
            </w:r>
            <w:r w:rsidRPr="00D00B26">
              <w:rPr>
                <w:i/>
                <w:sz w:val="20"/>
                <w:szCs w:val="20"/>
              </w:rPr>
              <w:lastRenderedPageBreak/>
              <w:t>elektroenerģijas tirgus dalībnieku</w:t>
            </w:r>
            <w:r w:rsidRPr="00D00B26">
              <w:rPr>
                <w:sz w:val="20"/>
                <w:szCs w:val="20"/>
              </w:rPr>
              <w:t>, kā arī ņemot vērā, ka Ekonomikas ministrijas izstrādātā saistītā Ministru kabineta noteikumu projekta “Noteikumi par elektroenerģijas ražošanu un cenu noteikšanu, ražojot elektroenerģiju koģenerācijā” 74. punktā šāda iespēja ir saglabāta, aicinām izvērtēt iespēju šādu iespēju saglabāt arī noteikumu projektā “Noteikumi par elektroenerģijas ražošanu, izmantojot atjaunojamos energoresursus, cenu noteikšanas kārtību un uzraudzību”.</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CE17141" w14:textId="15A81B75" w:rsidR="008B04D8" w:rsidRPr="00D00B26" w:rsidRDefault="004661BC" w:rsidP="004661BC">
            <w:pPr>
              <w:pStyle w:val="NormalWeb"/>
              <w:spacing w:before="0" w:beforeAutospacing="0"/>
              <w:jc w:val="center"/>
              <w:rPr>
                <w:b/>
                <w:sz w:val="20"/>
                <w:szCs w:val="20"/>
              </w:rPr>
            </w:pPr>
            <w:r w:rsidRPr="00D00B26">
              <w:rPr>
                <w:b/>
                <w:sz w:val="20"/>
                <w:szCs w:val="20"/>
              </w:rPr>
              <w:lastRenderedPageBreak/>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C2A62D" w14:textId="465A54F3" w:rsidR="008B04D8" w:rsidRPr="00D00B26" w:rsidRDefault="005D6BAD" w:rsidP="008B04D8">
            <w:pPr>
              <w:shd w:val="clear" w:color="auto" w:fill="FFFFFF"/>
              <w:spacing w:after="120"/>
              <w:jc w:val="both"/>
              <w:rPr>
                <w:sz w:val="20"/>
                <w:szCs w:val="20"/>
              </w:rPr>
            </w:pPr>
            <w:r w:rsidRPr="00D00B26">
              <w:rPr>
                <w:sz w:val="20"/>
                <w:szCs w:val="20"/>
              </w:rPr>
              <w:t xml:space="preserve">Ņemot vērā, ka </w:t>
            </w:r>
            <w:r w:rsidR="002A538C" w:rsidRPr="00D00B26">
              <w:rPr>
                <w:sz w:val="20"/>
                <w:szCs w:val="20"/>
              </w:rPr>
              <w:t xml:space="preserve">komersantu </w:t>
            </w:r>
            <w:r w:rsidR="0078727D" w:rsidRPr="00D00B26">
              <w:rPr>
                <w:sz w:val="20"/>
                <w:szCs w:val="20"/>
              </w:rPr>
              <w:t xml:space="preserve">tiesības </w:t>
            </w:r>
            <w:r w:rsidR="00AB77DC" w:rsidRPr="00D00B26">
              <w:rPr>
                <w:sz w:val="20"/>
                <w:szCs w:val="20"/>
              </w:rPr>
              <w:t xml:space="preserve">pārdot saražoto elektroenerģiju </w:t>
            </w:r>
            <w:r w:rsidR="009F5393" w:rsidRPr="00D00B26">
              <w:rPr>
                <w:sz w:val="20"/>
                <w:szCs w:val="20"/>
              </w:rPr>
              <w:t>ārpus ob</w:t>
            </w:r>
            <w:r w:rsidR="00463EE8" w:rsidRPr="00D00B26">
              <w:rPr>
                <w:sz w:val="20"/>
                <w:szCs w:val="20"/>
              </w:rPr>
              <w:t>l</w:t>
            </w:r>
            <w:r w:rsidR="009F5393" w:rsidRPr="00D00B26">
              <w:rPr>
                <w:sz w:val="20"/>
                <w:szCs w:val="20"/>
              </w:rPr>
              <w:t>igātā iepirkuma</w:t>
            </w:r>
            <w:r w:rsidR="0044210F" w:rsidRPr="00D00B26">
              <w:rPr>
                <w:sz w:val="20"/>
                <w:szCs w:val="20"/>
              </w:rPr>
              <w:t xml:space="preserve">, par cenu un nosacījumiem vienojoties ar jebkuru tirgus dalībnieku, ir noteiktas citos tiesību aktos, </w:t>
            </w:r>
            <w:r w:rsidR="002E7B65" w:rsidRPr="00D00B26">
              <w:rPr>
                <w:sz w:val="20"/>
                <w:szCs w:val="20"/>
              </w:rPr>
              <w:t xml:space="preserve">šādas normas </w:t>
            </w:r>
            <w:r w:rsidR="00575BAA" w:rsidRPr="00D00B26">
              <w:rPr>
                <w:sz w:val="20"/>
                <w:szCs w:val="20"/>
              </w:rPr>
              <w:t>izstrādātajos projektos netiek ietvertas.</w:t>
            </w:r>
            <w:r w:rsidR="00796C79" w:rsidRPr="00D00B26">
              <w:rPr>
                <w:sz w:val="20"/>
                <w:szCs w:val="20"/>
              </w:rPr>
              <w:t xml:space="preserve"> </w:t>
            </w:r>
          </w:p>
        </w:tc>
        <w:tc>
          <w:tcPr>
            <w:tcW w:w="1388" w:type="dxa"/>
            <w:gridSpan w:val="2"/>
            <w:shd w:val="clear" w:color="auto" w:fill="auto"/>
          </w:tcPr>
          <w:p w14:paraId="796DE4D6" w14:textId="77777777" w:rsidR="008B04D8" w:rsidRPr="00D00B26" w:rsidRDefault="008B04D8" w:rsidP="008B04D8">
            <w:pPr>
              <w:jc w:val="both"/>
              <w:rPr>
                <w:sz w:val="20"/>
                <w:szCs w:val="20"/>
              </w:rPr>
            </w:pPr>
          </w:p>
        </w:tc>
      </w:tr>
      <w:tr w:rsidR="00E13DF9" w:rsidRPr="00D00B26" w14:paraId="50F6A0D0"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CCC148" w14:textId="687D7014" w:rsidR="008B04D8" w:rsidRPr="00D00B26" w:rsidRDefault="008B04D8" w:rsidP="0081357B">
            <w:pPr>
              <w:pStyle w:val="naisc"/>
              <w:numPr>
                <w:ilvl w:val="1"/>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F17DE0C" w14:textId="77777777" w:rsidR="00805C45" w:rsidRPr="00D00B26" w:rsidRDefault="00805C45" w:rsidP="00805C45">
            <w:pPr>
              <w:shd w:val="clear" w:color="auto" w:fill="FFFFFF"/>
              <w:spacing w:after="120"/>
              <w:jc w:val="both"/>
              <w:rPr>
                <w:sz w:val="20"/>
                <w:szCs w:val="20"/>
              </w:rPr>
            </w:pPr>
            <w:r w:rsidRPr="00D00B26">
              <w:rPr>
                <w:sz w:val="20"/>
                <w:szCs w:val="20"/>
              </w:rPr>
              <w:t xml:space="preserve">No projekta anotācijas VII sadaļas 1.punkts:  </w:t>
            </w:r>
          </w:p>
          <w:p w14:paraId="0DA7C21D" w14:textId="6C6DE5DA" w:rsidR="00805C45" w:rsidRPr="00D00B26" w:rsidRDefault="00805C45" w:rsidP="00805C45">
            <w:pPr>
              <w:shd w:val="clear" w:color="auto" w:fill="FFFFFF"/>
              <w:spacing w:after="120"/>
              <w:jc w:val="both"/>
              <w:rPr>
                <w:sz w:val="20"/>
                <w:szCs w:val="20"/>
              </w:rPr>
            </w:pPr>
            <w:r w:rsidRPr="00D00B26">
              <w:rPr>
                <w:sz w:val="20"/>
                <w:szCs w:val="20"/>
              </w:rPr>
              <w:t>“Projekta izpildē iesaistītās institūcijas: Ekonomikas ministrija, Būvniecības valsts kontroles birojs, Valsts ieņēmumu dienests, publiskais tirgotājs, sistēmas operators.”</w:t>
            </w:r>
          </w:p>
          <w:p w14:paraId="7F301D50" w14:textId="77777777" w:rsidR="008B04D8" w:rsidRPr="00D00B26" w:rsidRDefault="008B04D8" w:rsidP="008B04D8">
            <w:pPr>
              <w:shd w:val="clear" w:color="auto" w:fill="FFFFFF"/>
              <w:spacing w:after="120"/>
              <w:jc w:val="both"/>
              <w:rPr>
                <w:sz w:val="20"/>
                <w:szCs w:val="20"/>
              </w:rPr>
            </w:pPr>
          </w:p>
          <w:p w14:paraId="73E180CB" w14:textId="77777777" w:rsidR="008B04D8" w:rsidRPr="00D00B26" w:rsidRDefault="008B04D8" w:rsidP="008B04D8">
            <w:pPr>
              <w:shd w:val="clear" w:color="auto" w:fill="FFFFFF"/>
              <w:spacing w:after="120"/>
              <w:jc w:val="both"/>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16D9F8" w14:textId="0F4E13A6" w:rsidR="008B04D8" w:rsidRPr="00D00B26" w:rsidRDefault="24FF3409" w:rsidP="76D16243">
            <w:pPr>
              <w:tabs>
                <w:tab w:val="left" w:pos="1134"/>
              </w:tabs>
              <w:spacing w:after="160" w:line="252" w:lineRule="auto"/>
              <w:contextualSpacing/>
              <w:jc w:val="center"/>
              <w:rPr>
                <w:rFonts w:eastAsia="Calibri"/>
                <w:b/>
                <w:sz w:val="20"/>
                <w:szCs w:val="20"/>
              </w:rPr>
            </w:pPr>
            <w:r w:rsidRPr="00D00B26">
              <w:rPr>
                <w:rFonts w:eastAsia="Calibri"/>
                <w:b/>
                <w:sz w:val="20"/>
                <w:szCs w:val="20"/>
              </w:rPr>
              <w:t>Finanšu ministrija (11.08.2020.)</w:t>
            </w:r>
            <w:r w:rsidR="00F30D8B" w:rsidRPr="00D00B26">
              <w:rPr>
                <w:rFonts w:eastAsia="Calibri"/>
                <w:b/>
                <w:sz w:val="20"/>
                <w:szCs w:val="20"/>
              </w:rPr>
              <w:t xml:space="preserve"> priekšlikums</w:t>
            </w:r>
          </w:p>
          <w:p w14:paraId="40FFE37C" w14:textId="78E8960C" w:rsidR="008B04D8" w:rsidRPr="00D00B26" w:rsidRDefault="6E8E9264" w:rsidP="76D16243">
            <w:pPr>
              <w:spacing w:after="160" w:line="252" w:lineRule="auto"/>
              <w:contextualSpacing/>
              <w:jc w:val="both"/>
              <w:rPr>
                <w:sz w:val="20"/>
                <w:szCs w:val="20"/>
              </w:rPr>
            </w:pPr>
            <w:r w:rsidRPr="00D00B26">
              <w:rPr>
                <w:sz w:val="20"/>
                <w:szCs w:val="20"/>
              </w:rPr>
              <w:t>Lūdzam skaidrot, kāpēc Valsts ieņēmumu dienests anotācijas VII sadaļas 1.punktā ir norādīts kā noteikumu projekta izpildē iesaistītā institūcija.</w:t>
            </w:r>
          </w:p>
          <w:p w14:paraId="60B4BA10" w14:textId="33C6DBEC" w:rsidR="008B04D8" w:rsidRPr="00D00B26" w:rsidRDefault="008B04D8" w:rsidP="008B04D8">
            <w:pPr>
              <w:spacing w:after="160" w:line="252" w:lineRule="auto"/>
              <w:contextualSpacing/>
              <w:jc w:val="both"/>
              <w:rPr>
                <w:sz w:val="20"/>
                <w:szCs w:val="20"/>
              </w:rPr>
            </w:pPr>
          </w:p>
          <w:p w14:paraId="1052CFC8" w14:textId="77777777" w:rsidR="008B04D8" w:rsidRPr="00D00B26" w:rsidRDefault="008B04D8" w:rsidP="008B04D8">
            <w:pPr>
              <w:spacing w:after="160" w:line="252" w:lineRule="auto"/>
              <w:contextualSpacing/>
              <w:jc w:val="both"/>
              <w:rPr>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3F9E892" w14:textId="2A164748" w:rsidR="008B04D8" w:rsidRPr="00D00B26" w:rsidRDefault="00C6177C" w:rsidP="00C6177C">
            <w:pPr>
              <w:pStyle w:val="NormalWeb"/>
              <w:spacing w:before="0" w:beforeAutospacing="0"/>
              <w:jc w:val="center"/>
              <w:rPr>
                <w:b/>
                <w:sz w:val="20"/>
                <w:szCs w:val="20"/>
              </w:rPr>
            </w:pPr>
            <w:r w:rsidRPr="00D00B26">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55C1CBB" w14:textId="0C5C7114" w:rsidR="008B04D8" w:rsidRPr="00D00B26" w:rsidRDefault="00C6177C" w:rsidP="008B04D8">
            <w:pPr>
              <w:shd w:val="clear" w:color="auto" w:fill="FFFFFF"/>
              <w:spacing w:after="120"/>
              <w:jc w:val="both"/>
              <w:rPr>
                <w:sz w:val="20"/>
                <w:szCs w:val="20"/>
              </w:rPr>
            </w:pPr>
            <w:r w:rsidRPr="00D00B26">
              <w:rPr>
                <w:sz w:val="20"/>
                <w:szCs w:val="20"/>
              </w:rPr>
              <w:t>No projekta anotācijas svītrota atsauce uz Valsts ieņēmumu dienestu</w:t>
            </w:r>
            <w:r w:rsidR="00C86262" w:rsidRPr="00D00B26">
              <w:rPr>
                <w:sz w:val="20"/>
                <w:szCs w:val="20"/>
              </w:rPr>
              <w:t xml:space="preserve"> kā noteikumu projekta izpildē iesaistīto institūciju.</w:t>
            </w:r>
          </w:p>
        </w:tc>
        <w:tc>
          <w:tcPr>
            <w:tcW w:w="1388" w:type="dxa"/>
            <w:gridSpan w:val="2"/>
          </w:tcPr>
          <w:p w14:paraId="29C6F6CB" w14:textId="77777777" w:rsidR="008B04D8" w:rsidRPr="00D00B26" w:rsidRDefault="008B04D8" w:rsidP="008B04D8">
            <w:pPr>
              <w:jc w:val="both"/>
              <w:rPr>
                <w:sz w:val="20"/>
                <w:szCs w:val="20"/>
              </w:rPr>
            </w:pPr>
          </w:p>
        </w:tc>
      </w:tr>
      <w:tr w:rsidR="00E13DF9" w:rsidRPr="00D00B26" w14:paraId="67BD02AA"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651295" w14:textId="2F41A115" w:rsidR="00E83DAD" w:rsidRPr="00D00B26" w:rsidRDefault="00E83DAD" w:rsidP="0081357B">
            <w:pPr>
              <w:pStyle w:val="naisc"/>
              <w:numPr>
                <w:ilvl w:val="0"/>
                <w:numId w:val="41"/>
              </w:numPr>
              <w:spacing w:before="0" w:after="0"/>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886B8B7" w14:textId="311D03FA" w:rsidR="00E83DAD" w:rsidRPr="00D00B26" w:rsidRDefault="00E83DAD" w:rsidP="000421D6">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53DEAEF" w14:textId="59609798" w:rsidR="008A6B35" w:rsidRPr="00D00B26" w:rsidRDefault="156B6B2C" w:rsidP="76D16243">
            <w:pPr>
              <w:tabs>
                <w:tab w:val="left" w:pos="1134"/>
              </w:tabs>
              <w:spacing w:after="160" w:line="252" w:lineRule="auto"/>
              <w:ind w:left="126"/>
              <w:contextualSpacing/>
              <w:rPr>
                <w:rFonts w:eastAsia="Calibri"/>
                <w:b/>
                <w:sz w:val="20"/>
                <w:szCs w:val="20"/>
              </w:rPr>
            </w:pPr>
            <w:r w:rsidRPr="00D00B26">
              <w:rPr>
                <w:rFonts w:eastAsia="Calibri"/>
                <w:b/>
                <w:sz w:val="20"/>
                <w:szCs w:val="20"/>
              </w:rPr>
              <w:t>Tieslietu ministrija (17.08.2020.</w:t>
            </w:r>
            <w:r w:rsidR="00E13DF9" w:rsidRPr="00D00B26">
              <w:rPr>
                <w:rFonts w:eastAsia="Calibri"/>
                <w:b/>
                <w:sz w:val="20"/>
                <w:szCs w:val="20"/>
              </w:rPr>
              <w:t>)</w:t>
            </w:r>
            <w:r w:rsidRPr="00D00B26">
              <w:rPr>
                <w:rFonts w:eastAsia="Calibri"/>
                <w:b/>
                <w:sz w:val="20"/>
                <w:szCs w:val="20"/>
              </w:rPr>
              <w:t xml:space="preserve"> priekšlikums</w:t>
            </w:r>
          </w:p>
          <w:p w14:paraId="2315A4A8" w14:textId="77777777" w:rsidR="003C79AA" w:rsidRPr="00D00B26" w:rsidRDefault="2340A393" w:rsidP="76D16243">
            <w:pPr>
              <w:ind w:firstLine="720"/>
              <w:rPr>
                <w:sz w:val="20"/>
                <w:szCs w:val="20"/>
              </w:rPr>
            </w:pPr>
            <w:r w:rsidRPr="00D00B26">
              <w:rPr>
                <w:sz w:val="20"/>
                <w:szCs w:val="20"/>
              </w:rPr>
              <w:t xml:space="preserve">Vienlaikus izsakām priekšlikumu izvērtēt projektā paredzēto regulējumu par koģenerācijas elektrostacijām, jo minētajam elektroenerģijas ražošanas veidam ir atsevišķs likuma regulējums, tai skaitā atšķirīgi pilnvarojumi Ministru kabinetam par noteikumu izdošanu, un attiecīgi jābūt atsevišķiem Ministru kabineta noteikumiem. </w:t>
            </w:r>
          </w:p>
          <w:p w14:paraId="1369357A" w14:textId="54F75FA4" w:rsidR="00E83DAD" w:rsidRPr="00D00B26" w:rsidRDefault="00E83DAD" w:rsidP="003F1A52">
            <w:pPr>
              <w:pStyle w:val="NormalWeb"/>
              <w:spacing w:before="0" w:beforeAutospacing="0" w:after="0" w:afterAutospacing="0"/>
              <w:jc w:val="both"/>
              <w:rPr>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4B08DE5" w14:textId="77777777" w:rsidR="00D64474" w:rsidRPr="00D00B26" w:rsidRDefault="007C62AE" w:rsidP="00E83DAD">
            <w:pPr>
              <w:pStyle w:val="naisc"/>
              <w:spacing w:before="0" w:after="60"/>
              <w:jc w:val="both"/>
              <w:rPr>
                <w:b/>
                <w:sz w:val="20"/>
                <w:szCs w:val="20"/>
              </w:rPr>
            </w:pPr>
            <w:r w:rsidRPr="00D00B26">
              <w:rPr>
                <w:b/>
                <w:sz w:val="20"/>
                <w:szCs w:val="20"/>
              </w:rPr>
              <w:t>Priekšlikums ir ņemts vērā.</w:t>
            </w:r>
          </w:p>
          <w:p w14:paraId="46353980" w14:textId="11BD24DC" w:rsidR="00D64474" w:rsidRPr="00D00B26" w:rsidRDefault="00E54886" w:rsidP="00E83DAD">
            <w:pPr>
              <w:pStyle w:val="naisc"/>
              <w:spacing w:before="0" w:after="60"/>
              <w:jc w:val="both"/>
              <w:rPr>
                <w:sz w:val="20"/>
                <w:szCs w:val="20"/>
              </w:rPr>
            </w:pPr>
            <w:r w:rsidRPr="00D00B26">
              <w:rPr>
                <w:sz w:val="20"/>
                <w:szCs w:val="20"/>
              </w:rPr>
              <w:t xml:space="preserve">Izvērtējums ir veikts, ir konstatēts, ka </w:t>
            </w:r>
            <w:r w:rsidR="006602AE" w:rsidRPr="00D00B26">
              <w:rPr>
                <w:sz w:val="20"/>
                <w:szCs w:val="20"/>
              </w:rPr>
              <w:t>pastāv tādas koģenerācijas stacijas, kuras OI tiesības ieguvušas saskaņā ar MK 262.not.</w:t>
            </w:r>
            <w:r w:rsidR="00C63F1D" w:rsidRPr="00D00B26">
              <w:rPr>
                <w:sz w:val="20"/>
                <w:szCs w:val="20"/>
              </w:rPr>
              <w:t xml:space="preserve">, attiecīgi uz tām attiecināmas visas tās pašas prasības, kas elektrostacijām, kas ražo elektroenerģiju no atjaunojamiem energoresursiem. </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2EBB57A" w14:textId="7B1242AC" w:rsidR="00E83DAD" w:rsidRPr="00D00B26" w:rsidRDefault="00E83DAD" w:rsidP="003F1A52">
            <w:pPr>
              <w:shd w:val="clear" w:color="auto" w:fill="FFFFFF"/>
              <w:spacing w:after="120"/>
              <w:jc w:val="both"/>
              <w:rPr>
                <w:sz w:val="20"/>
                <w:szCs w:val="20"/>
              </w:rPr>
            </w:pPr>
          </w:p>
        </w:tc>
        <w:tc>
          <w:tcPr>
            <w:tcW w:w="1388" w:type="dxa"/>
            <w:gridSpan w:val="2"/>
          </w:tcPr>
          <w:p w14:paraId="279DB1DC" w14:textId="77777777" w:rsidR="00E83DAD" w:rsidRPr="00D00B26" w:rsidRDefault="00E83DAD" w:rsidP="000421D6">
            <w:pPr>
              <w:jc w:val="both"/>
              <w:rPr>
                <w:sz w:val="20"/>
                <w:szCs w:val="20"/>
              </w:rPr>
            </w:pPr>
          </w:p>
        </w:tc>
      </w:tr>
      <w:tr w:rsidR="00C60702" w:rsidRPr="00D00B26" w14:paraId="15104F7D"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2B8A9CB" w14:textId="03CD791A" w:rsidR="00C60702" w:rsidRPr="00D00B26" w:rsidRDefault="00C60702"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66EEBC" w14:textId="77777777" w:rsidR="00622853" w:rsidRPr="00D00B26" w:rsidRDefault="00622853" w:rsidP="00622853">
            <w:pPr>
              <w:shd w:val="clear" w:color="auto" w:fill="FFFFFF"/>
              <w:spacing w:after="120"/>
              <w:jc w:val="both"/>
              <w:rPr>
                <w:sz w:val="20"/>
                <w:szCs w:val="20"/>
              </w:rPr>
            </w:pPr>
            <w:r w:rsidRPr="00D00B26">
              <w:rPr>
                <w:sz w:val="20"/>
                <w:szCs w:val="20"/>
              </w:rPr>
              <w:t>Noteikumu projekts</w:t>
            </w:r>
          </w:p>
          <w:p w14:paraId="01568C78" w14:textId="77777777" w:rsidR="00C60702" w:rsidRPr="00D00B26" w:rsidRDefault="00C60702" w:rsidP="000421D6">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70BA40" w14:textId="3B7AFC7B" w:rsidR="00C60702" w:rsidRPr="005106DF" w:rsidRDefault="00C60702" w:rsidP="00C60702">
            <w:pPr>
              <w:tabs>
                <w:tab w:val="left" w:pos="1134"/>
              </w:tabs>
              <w:spacing w:after="160" w:line="252" w:lineRule="auto"/>
              <w:contextualSpacing/>
              <w:jc w:val="center"/>
              <w:rPr>
                <w:rFonts w:eastAsia="Calibri"/>
                <w:b/>
                <w:sz w:val="20"/>
                <w:szCs w:val="20"/>
              </w:rPr>
            </w:pPr>
            <w:r w:rsidRPr="005106DF">
              <w:rPr>
                <w:rFonts w:eastAsia="Calibri"/>
                <w:b/>
                <w:sz w:val="20"/>
                <w:szCs w:val="20"/>
              </w:rPr>
              <w:t xml:space="preserve">Finanšu ministrija (27.08.2020.) </w:t>
            </w:r>
          </w:p>
          <w:p w14:paraId="6D333D4E" w14:textId="77777777" w:rsidR="00C60702" w:rsidRPr="005106DF" w:rsidRDefault="00C60702" w:rsidP="76D16243">
            <w:pPr>
              <w:tabs>
                <w:tab w:val="left" w:pos="1134"/>
              </w:tabs>
              <w:spacing w:after="160" w:line="252" w:lineRule="auto"/>
              <w:ind w:left="126"/>
              <w:contextualSpacing/>
              <w:rPr>
                <w:rFonts w:eastAsia="Calibri"/>
                <w:b/>
                <w:sz w:val="20"/>
                <w:szCs w:val="20"/>
              </w:rPr>
            </w:pPr>
          </w:p>
          <w:p w14:paraId="70578227" w14:textId="55A73921" w:rsidR="00C60702" w:rsidRPr="005106DF" w:rsidRDefault="00C60702" w:rsidP="00C60702">
            <w:pPr>
              <w:tabs>
                <w:tab w:val="left" w:pos="1134"/>
              </w:tabs>
              <w:spacing w:after="160" w:line="252" w:lineRule="auto"/>
              <w:jc w:val="both"/>
              <w:rPr>
                <w:rFonts w:eastAsia="Calibri"/>
                <w:b/>
                <w:sz w:val="20"/>
                <w:szCs w:val="20"/>
              </w:rPr>
            </w:pPr>
            <w:r w:rsidRPr="005106DF">
              <w:rPr>
                <w:sz w:val="20"/>
                <w:szCs w:val="20"/>
              </w:rPr>
              <w:lastRenderedPageBreak/>
              <w:t xml:space="preserve">1. Līdz ar to, ņemot vērā, ka noteikumu projekta pārejas norma (68.punkts) paredz, ka noteikumu 20.5., 47.3. apakšpunkts, 29., 30., 32. un 49.punkts stājas spēkā 2021.gada 1.janvārī, tai skaitā šajā termiņā stājas spēkā arī noteikumu 1.10.apakšpunkts, kas nosaka </w:t>
            </w:r>
            <w:r w:rsidRPr="005106DF">
              <w:rPr>
                <w:sz w:val="20"/>
                <w:szCs w:val="20"/>
                <w:shd w:val="clear" w:color="auto" w:fill="FFFFFF"/>
              </w:rPr>
              <w:t xml:space="preserve">kārtību, kādā Būvniecības valsts kontroles birojs pārbauda lietderīgās siltumenerģijas izmantošanu, lai nodrošinātu atbilstību normatīvajos aktos noteiktajiem valsts atbalsta saņemšanas nosacījumiem, </w:t>
            </w:r>
            <w:r w:rsidRPr="005106DF">
              <w:rPr>
                <w:sz w:val="20"/>
                <w:szCs w:val="20"/>
              </w:rPr>
              <w:t>lūdzam noteikumos iekļaut, ka atbalsts tiek sniegts augstas efektivitātes koģenerācijai, kā arī tos nosacījumus, pēc kuriem jau šobrīd tiek vērtēta koģenerācijas stacijas atbilstība augstas efektivitātes koģenerācijas definīcijai, kā arī atkārtoti lūdzam papildināt anotāciju ar skaidrojumu par tiem valsts atbalsta nosacījumiem attiecībā uz koģenerācijas stacijas atbilstība augstas efektivitātes koģenerācijas definīcijai</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DE6FAFA" w14:textId="77777777" w:rsidR="00C60702" w:rsidRDefault="00D90CF9" w:rsidP="00D90CF9">
            <w:pPr>
              <w:pStyle w:val="naisc"/>
              <w:spacing w:before="0" w:after="60"/>
              <w:rPr>
                <w:b/>
                <w:sz w:val="20"/>
                <w:szCs w:val="20"/>
              </w:rPr>
            </w:pPr>
            <w:r>
              <w:rPr>
                <w:b/>
                <w:sz w:val="20"/>
                <w:szCs w:val="20"/>
              </w:rPr>
              <w:lastRenderedPageBreak/>
              <w:t>Ņemts vērā</w:t>
            </w:r>
          </w:p>
          <w:p w14:paraId="14413790" w14:textId="1A803385" w:rsidR="00D90CF9" w:rsidRDefault="00D90CF9" w:rsidP="00D90CF9">
            <w:pPr>
              <w:jc w:val="both"/>
              <w:rPr>
                <w:sz w:val="22"/>
                <w:szCs w:val="22"/>
              </w:rPr>
            </w:pPr>
            <w:r>
              <w:lastRenderedPageBreak/>
              <w:t>Noteikumu projektā elektrostaciju nosaukums mainīts no “koģenerācijas” uz “biogāzes un biomasas” elektrostacijām.</w:t>
            </w:r>
          </w:p>
          <w:p w14:paraId="68290998" w14:textId="20C342D0" w:rsidR="00D90CF9" w:rsidRPr="00D90CF9" w:rsidRDefault="00D90CF9" w:rsidP="00E83DAD">
            <w:pPr>
              <w:pStyle w:val="naisc"/>
              <w:spacing w:before="0" w:after="60"/>
              <w:jc w:val="both"/>
              <w:rPr>
                <w:bCs/>
                <w:sz w:val="20"/>
                <w:szCs w:val="20"/>
              </w:rPr>
            </w:pP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9620DEC" w14:textId="77777777" w:rsidR="00C60702" w:rsidRPr="00D00B26" w:rsidRDefault="00C60702" w:rsidP="003F1A52">
            <w:pPr>
              <w:shd w:val="clear" w:color="auto" w:fill="FFFFFF"/>
              <w:spacing w:after="120"/>
              <w:jc w:val="both"/>
              <w:rPr>
                <w:sz w:val="20"/>
                <w:szCs w:val="20"/>
              </w:rPr>
            </w:pPr>
          </w:p>
        </w:tc>
        <w:tc>
          <w:tcPr>
            <w:tcW w:w="1388" w:type="dxa"/>
            <w:gridSpan w:val="2"/>
          </w:tcPr>
          <w:p w14:paraId="11BCDA53" w14:textId="77777777" w:rsidR="00C60702" w:rsidRPr="00D00B26" w:rsidRDefault="00C60702" w:rsidP="000421D6">
            <w:pPr>
              <w:jc w:val="both"/>
              <w:rPr>
                <w:sz w:val="20"/>
                <w:szCs w:val="20"/>
              </w:rPr>
            </w:pPr>
          </w:p>
        </w:tc>
      </w:tr>
      <w:tr w:rsidR="00C60702" w:rsidRPr="00D00B26" w14:paraId="3A4CAB13"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E8F9486" w14:textId="7CAB7F15" w:rsidR="00C60702" w:rsidRPr="00D00B26" w:rsidRDefault="00C60702"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BE180EE" w14:textId="77777777" w:rsidR="00622853" w:rsidRPr="00D00B26" w:rsidRDefault="00622853" w:rsidP="00622853">
            <w:pPr>
              <w:shd w:val="clear" w:color="auto" w:fill="FFFFFF"/>
              <w:spacing w:after="120"/>
              <w:jc w:val="both"/>
              <w:rPr>
                <w:sz w:val="20"/>
                <w:szCs w:val="20"/>
              </w:rPr>
            </w:pPr>
            <w:r w:rsidRPr="00D00B26">
              <w:rPr>
                <w:sz w:val="20"/>
                <w:szCs w:val="20"/>
              </w:rPr>
              <w:t>Noteikumu projekts</w:t>
            </w:r>
          </w:p>
          <w:p w14:paraId="4541CB65" w14:textId="77777777" w:rsidR="00C60702" w:rsidRPr="00D00B26" w:rsidRDefault="00C60702" w:rsidP="000421D6">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F4D815" w14:textId="77777777" w:rsidR="00B30800" w:rsidRPr="005106DF" w:rsidRDefault="00B30800" w:rsidP="00B30800">
            <w:pPr>
              <w:tabs>
                <w:tab w:val="left" w:pos="1134"/>
              </w:tabs>
              <w:spacing w:after="160" w:line="252" w:lineRule="auto"/>
              <w:contextualSpacing/>
              <w:jc w:val="center"/>
              <w:rPr>
                <w:rFonts w:eastAsia="Calibri"/>
                <w:b/>
                <w:sz w:val="20"/>
                <w:szCs w:val="20"/>
              </w:rPr>
            </w:pPr>
            <w:r w:rsidRPr="005106DF">
              <w:rPr>
                <w:rFonts w:eastAsia="Calibri"/>
                <w:b/>
                <w:sz w:val="20"/>
                <w:szCs w:val="20"/>
              </w:rPr>
              <w:t xml:space="preserve">Finanšu ministrija (27.08.2020.) </w:t>
            </w:r>
          </w:p>
          <w:p w14:paraId="664D9EB2" w14:textId="77777777" w:rsidR="00C60702" w:rsidRPr="005106DF" w:rsidRDefault="00C60702" w:rsidP="00C60702">
            <w:pPr>
              <w:tabs>
                <w:tab w:val="left" w:pos="1134"/>
              </w:tabs>
              <w:spacing w:after="160" w:line="252" w:lineRule="auto"/>
              <w:contextualSpacing/>
              <w:jc w:val="center"/>
              <w:rPr>
                <w:rFonts w:eastAsia="Calibri"/>
                <w:b/>
                <w:sz w:val="20"/>
                <w:szCs w:val="20"/>
              </w:rPr>
            </w:pPr>
          </w:p>
          <w:p w14:paraId="4ACE0E72" w14:textId="431CC46F" w:rsidR="00C60702" w:rsidRPr="005106DF" w:rsidRDefault="00B30800" w:rsidP="00B30800">
            <w:pPr>
              <w:shd w:val="clear" w:color="auto" w:fill="FFFFFF"/>
              <w:autoSpaceDN w:val="0"/>
              <w:jc w:val="both"/>
              <w:textAlignment w:val="baseline"/>
              <w:rPr>
                <w:sz w:val="20"/>
                <w:szCs w:val="20"/>
                <w:shd w:val="clear" w:color="auto" w:fill="FFFFFF"/>
              </w:rPr>
            </w:pPr>
            <w:r w:rsidRPr="005106DF">
              <w:rPr>
                <w:sz w:val="20"/>
                <w:szCs w:val="20"/>
                <w:shd w:val="clear" w:color="auto" w:fill="FFFFFF"/>
              </w:rPr>
              <w:t>2.</w:t>
            </w:r>
            <w:r w:rsidR="00C60702" w:rsidRPr="005106DF">
              <w:rPr>
                <w:sz w:val="20"/>
                <w:szCs w:val="20"/>
                <w:shd w:val="clear" w:color="auto" w:fill="FFFFFF"/>
              </w:rPr>
              <w:t xml:space="preserve">Ņemot vērā ETL </w:t>
            </w:r>
            <w:r w:rsidR="00C60702" w:rsidRPr="005106DF">
              <w:rPr>
                <w:sz w:val="20"/>
                <w:szCs w:val="20"/>
              </w:rPr>
              <w:t xml:space="preserve">noteikto </w:t>
            </w:r>
            <w:r w:rsidR="00C60702" w:rsidRPr="005106DF">
              <w:rPr>
                <w:sz w:val="20"/>
                <w:szCs w:val="20"/>
                <w:shd w:val="clear" w:color="auto" w:fill="FFFFFF"/>
              </w:rPr>
              <w:t>elektrostacijas dzīves ciklā ietilpstošu atbalsta periodu, kurā tiek ieskaitīts visu veidu atbalsts elektroenerģijas ražošanai, t.sk. gan vēsturiskais atbalsts</w:t>
            </w:r>
            <w:r w:rsidR="00C60702" w:rsidRPr="005106DF">
              <w:rPr>
                <w:sz w:val="20"/>
                <w:szCs w:val="20"/>
              </w:rPr>
              <w:t xml:space="preserve"> dubultā tarifa veidā</w:t>
            </w:r>
            <w:r w:rsidR="00C60702" w:rsidRPr="005106DF">
              <w:rPr>
                <w:sz w:val="20"/>
                <w:szCs w:val="20"/>
                <w:shd w:val="clear" w:color="auto" w:fill="FFFFFF"/>
              </w:rPr>
              <w:t xml:space="preserve">, gan atbalsts, kas sniegts saskaņā ar </w:t>
            </w:r>
            <w:r w:rsidR="00C60702" w:rsidRPr="005106DF">
              <w:rPr>
                <w:sz w:val="20"/>
                <w:szCs w:val="20"/>
              </w:rPr>
              <w:t>EK lēmuma SA.43140, kā arī ETL 31.</w:t>
            </w:r>
            <w:r w:rsidR="00C60702" w:rsidRPr="005106DF">
              <w:rPr>
                <w:sz w:val="20"/>
                <w:szCs w:val="20"/>
                <w:vertAlign w:val="superscript"/>
              </w:rPr>
              <w:t>4</w:t>
            </w:r>
            <w:r w:rsidR="00C60702" w:rsidRPr="005106DF">
              <w:rPr>
                <w:sz w:val="20"/>
                <w:szCs w:val="20"/>
              </w:rPr>
              <w:t xml:space="preserve"> pantā noteikto par elektroenerģijas ražotāju pārkompensācijas uzraudzību un novēršanu, kā arī ņemot vērā, ka tiek dzēsts 6.pielikums, lai nodrošinātu, ka BVKB ir skaidri nosacījumi, pēc kādiem uzraudzības procesā ir jāvērtē pasākuma </w:t>
            </w:r>
            <w:r w:rsidR="00C60702" w:rsidRPr="005106DF">
              <w:rPr>
                <w:sz w:val="20"/>
                <w:szCs w:val="20"/>
              </w:rPr>
              <w:lastRenderedPageBreak/>
              <w:t xml:space="preserve">atbilstība valsts atbalsta nosacījumiem, lūdzam noteikumus papildināt ar punktiem, kā BVKB nodrošina, t.sk. kādus dokumentus tas pieprasa komersantam, valsts atbalsta piešķiršanas pamata principu ievērošanu, kā arī pašus valsts atbalsta piešķiršanas pamata principus, proti: </w:t>
            </w:r>
          </w:p>
          <w:p w14:paraId="5E0D07F3" w14:textId="47276674" w:rsidR="00C60702" w:rsidRPr="005106DF" w:rsidRDefault="00B30800" w:rsidP="00B30800">
            <w:pPr>
              <w:pStyle w:val="tv213"/>
              <w:shd w:val="clear" w:color="auto" w:fill="FFFFFF"/>
              <w:spacing w:before="0" w:beforeAutospacing="0" w:after="0" w:afterAutospacing="0"/>
              <w:jc w:val="both"/>
              <w:rPr>
                <w:sz w:val="20"/>
                <w:szCs w:val="20"/>
              </w:rPr>
            </w:pPr>
            <w:r w:rsidRPr="005106DF">
              <w:rPr>
                <w:sz w:val="20"/>
                <w:szCs w:val="20"/>
              </w:rPr>
              <w:t>2.1.</w:t>
            </w:r>
            <w:r w:rsidR="00C60702" w:rsidRPr="005106DF">
              <w:rPr>
                <w:sz w:val="20"/>
                <w:szCs w:val="20"/>
              </w:rPr>
              <w:t>atbalstu piešķir vienīgi līdz iekārtu pilnīgai amortizācijai saskaņā ar parastajiem grāmatvedības noteikumiem, bet ne ilgāk kā 20 gadus kopš elektrostacijas nodošanas ekspluatācijā (Pamatnostādņu (2008) 109.punts un EK lēmuma SA.43140 81. un 83.punkts);</w:t>
            </w:r>
          </w:p>
          <w:p w14:paraId="0824BF0E" w14:textId="5F1270A6" w:rsidR="00C60702" w:rsidRPr="005106DF" w:rsidRDefault="00B30800" w:rsidP="00B30800">
            <w:pPr>
              <w:pStyle w:val="tv213"/>
              <w:shd w:val="clear" w:color="auto" w:fill="FFFFFF"/>
              <w:spacing w:before="0" w:beforeAutospacing="0" w:after="0" w:afterAutospacing="0"/>
              <w:jc w:val="both"/>
              <w:rPr>
                <w:sz w:val="20"/>
                <w:szCs w:val="20"/>
              </w:rPr>
            </w:pPr>
            <w:r w:rsidRPr="005106DF">
              <w:rPr>
                <w:sz w:val="20"/>
                <w:szCs w:val="20"/>
              </w:rPr>
              <w:t>2.2.</w:t>
            </w:r>
            <w:r w:rsidR="00C60702" w:rsidRPr="005106DF">
              <w:rPr>
                <w:sz w:val="20"/>
                <w:szCs w:val="20"/>
              </w:rPr>
              <w:t>elektrostacijas kopējo kapitālieguldījumu iekšējās peļņas norma kopējam atbalsta periodam nepārsniedz Ministru kabineta noteikto kopējo kapitālieguldījumu iekšējās peļņas normas līmeni, kas nav augstāks par deviņiem procentiem. Ja ražotājam pirms minēto tiesību piešķiršanas ir piešķirts cits atbalsts elektroenerģijas ražošanai, to ieskaita elektrostacijas kopējo kapitālieguldījumu iekšējās peļņas normas aprēķinā, turklāt šajā aprēķinā ieskaita periodu starp atbalsta periodiem, aprēķinā iekļaujot ieņēmumus, kas gūti no elektroenerģijas ražošanas, siltumenerģijas ražošanas, un ar siltumenerģijas un elektroenerģijas ražošanu saistītos izdevumus, kā arī investīcijas un elektrostacijai piešķirto un faktiski saņemto atbalstu, tostarp investīciju atbalstu elektroenerģijas ražošanai (Pamatnostādņu (2008) 109.punts un EK lēmuma SA.43140 81 un 83.punkts un ETL 31.</w:t>
            </w:r>
            <w:r w:rsidR="00C60702" w:rsidRPr="005106DF">
              <w:rPr>
                <w:sz w:val="20"/>
                <w:szCs w:val="20"/>
                <w:vertAlign w:val="superscript"/>
              </w:rPr>
              <w:t>4</w:t>
            </w:r>
            <w:r w:rsidR="00C60702" w:rsidRPr="005106DF">
              <w:rPr>
                <w:sz w:val="20"/>
                <w:szCs w:val="20"/>
              </w:rPr>
              <w:t xml:space="preserve"> pants). </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EAF50E6" w14:textId="15379354" w:rsidR="00C60702" w:rsidRDefault="00D90CF9" w:rsidP="00D90CF9">
            <w:pPr>
              <w:pStyle w:val="naisc"/>
              <w:spacing w:before="0" w:after="60"/>
              <w:rPr>
                <w:b/>
                <w:sz w:val="20"/>
                <w:szCs w:val="20"/>
              </w:rPr>
            </w:pPr>
            <w:r>
              <w:rPr>
                <w:b/>
                <w:sz w:val="20"/>
                <w:szCs w:val="20"/>
              </w:rPr>
              <w:lastRenderedPageBreak/>
              <w:t>Ņemts vērā</w:t>
            </w:r>
          </w:p>
          <w:p w14:paraId="101BB198" w14:textId="3653F474" w:rsidR="006D75FF" w:rsidRDefault="006D75FF" w:rsidP="006D75FF">
            <w:pPr>
              <w:pStyle w:val="naisc"/>
              <w:spacing w:before="0" w:after="60"/>
              <w:jc w:val="both"/>
              <w:rPr>
                <w:b/>
                <w:sz w:val="20"/>
                <w:szCs w:val="20"/>
              </w:rPr>
            </w:pPr>
            <w:r>
              <w:rPr>
                <w:sz w:val="20"/>
                <w:szCs w:val="20"/>
              </w:rPr>
              <w:t>Attiecībā uz I</w:t>
            </w:r>
            <w:r w:rsidRPr="00EC46C7">
              <w:rPr>
                <w:sz w:val="20"/>
                <w:szCs w:val="20"/>
              </w:rPr>
              <w:t>RR aprēķina veikšanas kārtību</w:t>
            </w:r>
            <w:r>
              <w:rPr>
                <w:sz w:val="20"/>
                <w:szCs w:val="20"/>
              </w:rPr>
              <w:t xml:space="preserve">, </w:t>
            </w:r>
            <w:r w:rsidRPr="00EC46C7">
              <w:rPr>
                <w:sz w:val="20"/>
                <w:szCs w:val="20"/>
              </w:rPr>
              <w:t xml:space="preserve"> Ekonomikas ministrija plāno</w:t>
            </w:r>
            <w:r>
              <w:rPr>
                <w:sz w:val="20"/>
                <w:szCs w:val="20"/>
              </w:rPr>
              <w:t xml:space="preserve"> to</w:t>
            </w:r>
            <w:r w:rsidRPr="00EC46C7">
              <w:rPr>
                <w:sz w:val="20"/>
                <w:szCs w:val="20"/>
              </w:rPr>
              <w:t xml:space="preserve"> izstrādāt pēc tam, kad būs noslēgusies Ekonomikas ministrijas izsludinātā iepirkuma “Priekšlikumu un elektronisku rīku izstrāde kopējo kapitālieguldījumu iekšējās peļņas normas aprēķināšanas un pārkompensācijas novēršanas metodikas pilnveidei elektroenerģijas ražotājiem” rezultātu izvērtēšana, veicot attiecīgus grozījumus šajos ministru kabineta noteikumos.</w:t>
            </w:r>
          </w:p>
          <w:p w14:paraId="04C23C01" w14:textId="6B015F3B" w:rsidR="00EC46C7" w:rsidRPr="00D00B26" w:rsidRDefault="00EC46C7" w:rsidP="00D90CF9">
            <w:pPr>
              <w:pStyle w:val="naisc"/>
              <w:spacing w:before="0" w:after="60"/>
              <w:rPr>
                <w:b/>
                <w:sz w:val="20"/>
                <w:szCs w:val="20"/>
              </w:rPr>
            </w:pP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7C2E72" w14:textId="77777777" w:rsidR="00D90CF9" w:rsidRPr="00F102E4" w:rsidRDefault="00D90CF9" w:rsidP="00D90CF9">
            <w:pPr>
              <w:shd w:val="clear" w:color="auto" w:fill="FFFFFF"/>
              <w:spacing w:after="120"/>
              <w:jc w:val="both"/>
              <w:rPr>
                <w:sz w:val="20"/>
                <w:szCs w:val="20"/>
              </w:rPr>
            </w:pPr>
            <w:r w:rsidRPr="00F102E4">
              <w:rPr>
                <w:sz w:val="20"/>
                <w:szCs w:val="20"/>
              </w:rPr>
              <w:t>Projekta anotācijas I sadaļas 2. punkts papildināts šādā redakcijā:</w:t>
            </w:r>
          </w:p>
          <w:p w14:paraId="095199AD" w14:textId="77777777" w:rsidR="00C60702" w:rsidRPr="00F102E4" w:rsidRDefault="00D90CF9" w:rsidP="00D90CF9">
            <w:pPr>
              <w:shd w:val="clear" w:color="auto" w:fill="FFFFFF"/>
              <w:spacing w:after="120"/>
              <w:jc w:val="both"/>
              <w:rPr>
                <w:sz w:val="20"/>
                <w:szCs w:val="20"/>
              </w:rPr>
            </w:pPr>
            <w:r w:rsidRPr="00F102E4">
              <w:rPr>
                <w:sz w:val="20"/>
                <w:szCs w:val="20"/>
              </w:rPr>
              <w:t xml:space="preserve">“Projekts paredz, ka komersantiem, kuri ieguvuši obligātā iepirkuma tiesības, atbalstu piešķir atbilstoši projektā minētajiem termiņiem, bet ne ilgāk kā līdz elektrostacijas pamatlīdzekļu pilnam nolietojumam saskaņā ar normatīvajiem aktiem par grāmatvedības prasībām. </w:t>
            </w:r>
            <w:r w:rsidR="00945567" w:rsidRPr="00F102E4">
              <w:rPr>
                <w:sz w:val="20"/>
                <w:szCs w:val="20"/>
              </w:rPr>
              <w:t>Latvija, saskaņojot atbalstu ar Eiropas Komisiju, ir apstiprinājusi, ka atbalsta kopējais periods nepārsniedz parasto amortizācijas laiku šā veida aktīviem, proti,  atbalsts var tikt piešķirts tikai līdz stacijas pilnīgai amortizācijai.</w:t>
            </w:r>
            <w:r w:rsidRPr="00F102E4">
              <w:rPr>
                <w:sz w:val="20"/>
                <w:szCs w:val="20"/>
              </w:rPr>
              <w:t>”</w:t>
            </w:r>
          </w:p>
          <w:p w14:paraId="2D9481B8" w14:textId="77777777" w:rsidR="00EC46C7" w:rsidRPr="00F102E4" w:rsidRDefault="00EC46C7" w:rsidP="00D90CF9">
            <w:pPr>
              <w:shd w:val="clear" w:color="auto" w:fill="FFFFFF"/>
              <w:spacing w:after="120"/>
              <w:jc w:val="both"/>
              <w:rPr>
                <w:sz w:val="20"/>
                <w:szCs w:val="20"/>
              </w:rPr>
            </w:pPr>
            <w:r w:rsidRPr="00F102E4">
              <w:rPr>
                <w:sz w:val="20"/>
                <w:szCs w:val="20"/>
              </w:rPr>
              <w:lastRenderedPageBreak/>
              <w:t>Projekts papildināts ar 11.punktu šādā redakcijā:</w:t>
            </w:r>
          </w:p>
          <w:p w14:paraId="2A84A385" w14:textId="3680170F" w:rsidR="00EC46C7" w:rsidRPr="00D00B26" w:rsidRDefault="00EC46C7" w:rsidP="00D90CF9">
            <w:pPr>
              <w:shd w:val="clear" w:color="auto" w:fill="FFFFFF"/>
              <w:spacing w:after="120"/>
              <w:jc w:val="both"/>
              <w:rPr>
                <w:sz w:val="20"/>
                <w:szCs w:val="20"/>
              </w:rPr>
            </w:pPr>
            <w:r w:rsidRPr="00F102E4">
              <w:rPr>
                <w:sz w:val="20"/>
                <w:szCs w:val="20"/>
              </w:rPr>
              <w:t>11.</w:t>
            </w:r>
            <w:r w:rsidRPr="00F102E4">
              <w:rPr>
                <w:sz w:val="20"/>
                <w:szCs w:val="20"/>
              </w:rPr>
              <w:tab/>
              <w:t>Komersantiem, kuri ir ieguvuši obligātā iepirkuma tiesības, atbalstu piešķir atbilstoši šo noteikumu 10.punktā minētajiem termiņiem, bet ne ilgāk kā līdz elektrostacijas pamatlīdzekļu pilnam nolietojumam saskaņā ar normatīvajiem aktiem par grāmatvedības prasībām.</w:t>
            </w:r>
          </w:p>
        </w:tc>
        <w:tc>
          <w:tcPr>
            <w:tcW w:w="1388" w:type="dxa"/>
            <w:gridSpan w:val="2"/>
          </w:tcPr>
          <w:p w14:paraId="3D81DEC9" w14:textId="77777777" w:rsidR="00C60702" w:rsidRPr="00D00B26" w:rsidRDefault="00C60702" w:rsidP="000421D6">
            <w:pPr>
              <w:jc w:val="both"/>
              <w:rPr>
                <w:sz w:val="20"/>
                <w:szCs w:val="20"/>
              </w:rPr>
            </w:pPr>
          </w:p>
        </w:tc>
      </w:tr>
      <w:tr w:rsidR="00C60702" w:rsidRPr="00D00B26" w14:paraId="1E4820FB" w14:textId="77777777" w:rsidTr="00AC4752">
        <w:trPr>
          <w:gridBefore w:val="1"/>
          <w:wBefore w:w="22" w:type="dxa"/>
          <w:trHeight w:val="5111"/>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C3A33EB" w14:textId="5A374203" w:rsidR="00C60702" w:rsidRPr="00D00B26" w:rsidRDefault="00C60702"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51C141B" w14:textId="288C9FAB" w:rsidR="00622853" w:rsidRPr="00D00B26" w:rsidRDefault="00622853" w:rsidP="00622853">
            <w:pPr>
              <w:shd w:val="clear" w:color="auto" w:fill="FFFFFF"/>
              <w:spacing w:after="120"/>
              <w:jc w:val="both"/>
              <w:rPr>
                <w:sz w:val="20"/>
                <w:szCs w:val="20"/>
              </w:rPr>
            </w:pPr>
            <w:r w:rsidRPr="00D00B26">
              <w:rPr>
                <w:sz w:val="20"/>
                <w:szCs w:val="20"/>
              </w:rPr>
              <w:t>Noteikumu projekta anotācija un noteikumu projekts</w:t>
            </w:r>
          </w:p>
          <w:p w14:paraId="1FE69DD5" w14:textId="77777777" w:rsidR="00C60702" w:rsidRPr="00D00B26" w:rsidRDefault="00C60702" w:rsidP="000421D6">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C263675" w14:textId="77777777" w:rsidR="00861989" w:rsidRPr="005106DF" w:rsidRDefault="00861989" w:rsidP="00861989">
            <w:pPr>
              <w:tabs>
                <w:tab w:val="left" w:pos="1134"/>
              </w:tabs>
              <w:spacing w:after="160" w:line="252" w:lineRule="auto"/>
              <w:contextualSpacing/>
              <w:jc w:val="center"/>
              <w:rPr>
                <w:rFonts w:eastAsia="Calibri"/>
                <w:b/>
                <w:sz w:val="20"/>
                <w:szCs w:val="20"/>
              </w:rPr>
            </w:pPr>
          </w:p>
          <w:p w14:paraId="47660AF1" w14:textId="30BEA0A9" w:rsidR="00861989" w:rsidRPr="005106DF" w:rsidRDefault="00861989" w:rsidP="00861989">
            <w:pPr>
              <w:tabs>
                <w:tab w:val="left" w:pos="1134"/>
              </w:tabs>
              <w:spacing w:after="160" w:line="252" w:lineRule="auto"/>
              <w:contextualSpacing/>
              <w:jc w:val="center"/>
              <w:rPr>
                <w:rFonts w:eastAsia="Calibri"/>
                <w:b/>
                <w:sz w:val="20"/>
                <w:szCs w:val="20"/>
              </w:rPr>
            </w:pPr>
            <w:r w:rsidRPr="005106DF">
              <w:rPr>
                <w:rFonts w:eastAsia="Calibri"/>
                <w:b/>
                <w:sz w:val="20"/>
                <w:szCs w:val="20"/>
              </w:rPr>
              <w:t xml:space="preserve">Finanšu ministrija (27.08.2020.) </w:t>
            </w:r>
          </w:p>
          <w:p w14:paraId="4A03199A" w14:textId="77777777" w:rsidR="00C60702" w:rsidRPr="005106DF" w:rsidRDefault="00C60702" w:rsidP="00C60702">
            <w:pPr>
              <w:tabs>
                <w:tab w:val="left" w:pos="1134"/>
              </w:tabs>
              <w:spacing w:after="160" w:line="252" w:lineRule="auto"/>
              <w:contextualSpacing/>
              <w:jc w:val="center"/>
              <w:rPr>
                <w:rFonts w:eastAsia="Calibri"/>
                <w:b/>
                <w:sz w:val="20"/>
                <w:szCs w:val="20"/>
              </w:rPr>
            </w:pPr>
          </w:p>
          <w:p w14:paraId="73FA057B" w14:textId="7113124D" w:rsidR="00861989" w:rsidRPr="005106DF" w:rsidRDefault="00170B2C" w:rsidP="00861989">
            <w:pPr>
              <w:jc w:val="both"/>
              <w:rPr>
                <w:sz w:val="20"/>
                <w:szCs w:val="20"/>
              </w:rPr>
            </w:pPr>
            <w:r w:rsidRPr="005106DF">
              <w:rPr>
                <w:sz w:val="20"/>
                <w:szCs w:val="20"/>
              </w:rPr>
              <w:t>4.</w:t>
            </w:r>
            <w:r w:rsidR="00861989" w:rsidRPr="005106DF">
              <w:rPr>
                <w:sz w:val="20"/>
                <w:szCs w:val="20"/>
              </w:rPr>
              <w:t xml:space="preserve">Anotācijā minēts, ka </w:t>
            </w:r>
            <w:r w:rsidR="00861989" w:rsidRPr="005106DF">
              <w:rPr>
                <w:i/>
                <w:iCs/>
                <w:sz w:val="20"/>
                <w:szCs w:val="20"/>
              </w:rPr>
              <w:t>“tādējādi projekta normās, kas nosaka IRR aprēķina regulējumu, minētais “pagātnes periods” un “nākotnes periods” ir jāuzskata kā atbalsta perioda daļa atbilstoši ETL definīcijai, atkarībā no tā, kurā brīdī šī definīcija tiek izmantota</w:t>
            </w:r>
            <w:r w:rsidR="00861989" w:rsidRPr="005106DF">
              <w:rPr>
                <w:sz w:val="20"/>
                <w:szCs w:val="20"/>
              </w:rPr>
              <w:t>.” Noteikumos nav iekļauts IRR aprēķins, kurā būtu iekļauti termini “pagātnes periods” un “nākotnes periods”, līdz ar to lūdzam, noteikumos iekļaujot IRR aprēķinu 20 gadiem kopš elektrostacijas nodošanas ekspluatācijā, lietot tādu terminoloģiju, kas sakrīt ar ETL lietoto terminoloģiju. Attiecīgi lūdzam precizēt arī anotāciju, dzēšot iepriekš citēto informāciju.</w:t>
            </w:r>
          </w:p>
          <w:p w14:paraId="6D41B796" w14:textId="6E86F21C" w:rsidR="00861989" w:rsidRPr="005106DF" w:rsidRDefault="00861989" w:rsidP="00C60702">
            <w:pPr>
              <w:tabs>
                <w:tab w:val="left" w:pos="1134"/>
              </w:tabs>
              <w:spacing w:after="160" w:line="252" w:lineRule="auto"/>
              <w:contextualSpacing/>
              <w:jc w:val="center"/>
              <w:rPr>
                <w:rFonts w:eastAsia="Calibri"/>
                <w:b/>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D2CF313" w14:textId="174C6709" w:rsidR="00C60702" w:rsidRPr="006440E4" w:rsidRDefault="00D90CF9" w:rsidP="00D90CF9">
            <w:pPr>
              <w:pStyle w:val="naisc"/>
              <w:spacing w:before="0" w:after="60"/>
              <w:rPr>
                <w:b/>
                <w:sz w:val="20"/>
                <w:szCs w:val="20"/>
              </w:rPr>
            </w:pPr>
            <w:r w:rsidRPr="006440E4">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9198F1F" w14:textId="77777777" w:rsidR="00D90CF9" w:rsidRPr="006440E4" w:rsidRDefault="00D90CF9" w:rsidP="00D90CF9">
            <w:pPr>
              <w:shd w:val="clear" w:color="auto" w:fill="FFFFFF"/>
              <w:spacing w:after="120"/>
              <w:jc w:val="both"/>
              <w:rPr>
                <w:sz w:val="20"/>
                <w:szCs w:val="20"/>
              </w:rPr>
            </w:pPr>
            <w:r w:rsidRPr="006440E4">
              <w:rPr>
                <w:sz w:val="20"/>
                <w:szCs w:val="20"/>
              </w:rPr>
              <w:t>Projekta anotācijas I sadaļas 2. punkts precizēts šādā redakcijā:</w:t>
            </w:r>
          </w:p>
          <w:p w14:paraId="1075E3DE" w14:textId="149483B6" w:rsidR="00C60702" w:rsidRPr="006440E4" w:rsidRDefault="00D90CF9" w:rsidP="00D90CF9">
            <w:pPr>
              <w:shd w:val="clear" w:color="auto" w:fill="FFFFFF"/>
              <w:spacing w:after="120"/>
              <w:jc w:val="both"/>
              <w:rPr>
                <w:sz w:val="20"/>
                <w:szCs w:val="20"/>
              </w:rPr>
            </w:pPr>
            <w:r w:rsidRPr="006440E4">
              <w:rPr>
                <w:sz w:val="20"/>
                <w:szCs w:val="20"/>
              </w:rPr>
              <w:t>“Jēdziens “atbalsta periods” projektā tiek lietots atbilstoši ETL 1. panta otrajā daļā ietvertajai atbalsta perioda definīcijai: atbalsta periods - elektrostacijas dzīves ciklā ietilpstošs periods, kurā elektrostacija saņem valsts atbalstu elektroenerģijas ražošanai no atjaunojamiem energoresursiem vai koģenerācijā vai citu darbības atbalstu elektroenerģijas ražošanai.”</w:t>
            </w:r>
          </w:p>
        </w:tc>
        <w:tc>
          <w:tcPr>
            <w:tcW w:w="1388" w:type="dxa"/>
            <w:gridSpan w:val="2"/>
          </w:tcPr>
          <w:p w14:paraId="15B36576" w14:textId="77777777" w:rsidR="00C60702" w:rsidRPr="00D00B26" w:rsidRDefault="00C60702" w:rsidP="000421D6">
            <w:pPr>
              <w:jc w:val="both"/>
              <w:rPr>
                <w:sz w:val="20"/>
                <w:szCs w:val="20"/>
              </w:rPr>
            </w:pPr>
          </w:p>
        </w:tc>
      </w:tr>
      <w:tr w:rsidR="006550E5" w:rsidRPr="00D00B26" w14:paraId="361F6C35"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C5E4CEA" w14:textId="14EC50D3" w:rsidR="006550E5" w:rsidRPr="00D00B26" w:rsidRDefault="006550E5"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8B95F5D" w14:textId="765AE1A2" w:rsidR="006550E5" w:rsidRPr="00D00B26" w:rsidRDefault="006550E5" w:rsidP="006550E5">
            <w:pPr>
              <w:shd w:val="clear" w:color="auto" w:fill="FFFFFF"/>
              <w:rPr>
                <w:sz w:val="20"/>
                <w:szCs w:val="20"/>
              </w:rPr>
            </w:pPr>
            <w:r w:rsidRPr="00D00B26">
              <w:rPr>
                <w:sz w:val="20"/>
                <w:szCs w:val="20"/>
              </w:rPr>
              <w:t>Noteikumu projekta anotācija</w:t>
            </w: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63848B1" w14:textId="33F512BC" w:rsidR="006550E5" w:rsidRPr="00D00B26" w:rsidRDefault="006550E5" w:rsidP="006550E5">
            <w:pPr>
              <w:tabs>
                <w:tab w:val="left" w:pos="1134"/>
              </w:tabs>
              <w:spacing w:after="160" w:line="252" w:lineRule="auto"/>
              <w:contextualSpacing/>
              <w:jc w:val="center"/>
              <w:rPr>
                <w:rFonts w:eastAsia="Calibri"/>
                <w:b/>
                <w:sz w:val="20"/>
                <w:szCs w:val="20"/>
              </w:rPr>
            </w:pPr>
            <w:r w:rsidRPr="00D00B26">
              <w:rPr>
                <w:rFonts w:eastAsia="Calibri"/>
                <w:b/>
                <w:sz w:val="20"/>
                <w:szCs w:val="20"/>
              </w:rPr>
              <w:t>Zemko</w:t>
            </w:r>
            <w:r w:rsidR="006440E4">
              <w:rPr>
                <w:rFonts w:eastAsia="Calibri"/>
                <w:b/>
                <w:sz w:val="20"/>
                <w:szCs w:val="20"/>
              </w:rPr>
              <w:t>p</w:t>
            </w:r>
            <w:r w:rsidRPr="00D00B26">
              <w:rPr>
                <w:rFonts w:eastAsia="Calibri"/>
                <w:b/>
                <w:sz w:val="20"/>
                <w:szCs w:val="20"/>
              </w:rPr>
              <w:t xml:space="preserve">ības ministrija (27.08.2020.) </w:t>
            </w:r>
          </w:p>
          <w:p w14:paraId="7D7FEE2D" w14:textId="77777777" w:rsidR="006550E5" w:rsidRPr="00D00B26" w:rsidRDefault="006550E5" w:rsidP="006550E5">
            <w:pPr>
              <w:tabs>
                <w:tab w:val="left" w:pos="1134"/>
              </w:tabs>
              <w:spacing w:after="160" w:line="252" w:lineRule="auto"/>
              <w:contextualSpacing/>
              <w:jc w:val="center"/>
              <w:rPr>
                <w:rFonts w:eastAsia="Calibri"/>
                <w:b/>
                <w:sz w:val="20"/>
                <w:szCs w:val="20"/>
              </w:rPr>
            </w:pPr>
          </w:p>
          <w:p w14:paraId="1A8C28A9" w14:textId="189BDF3C" w:rsidR="006550E5" w:rsidRPr="00D00B26" w:rsidRDefault="006550E5" w:rsidP="006550E5">
            <w:pPr>
              <w:jc w:val="both"/>
              <w:rPr>
                <w:sz w:val="20"/>
                <w:szCs w:val="20"/>
              </w:rPr>
            </w:pPr>
            <w:r w:rsidRPr="00D00B26">
              <w:rPr>
                <w:sz w:val="20"/>
                <w:szCs w:val="20"/>
              </w:rPr>
              <w:t xml:space="preserve">Lūdzam precīzi norādīt anotācijā skaidrojumu par biogāzes elektrostacijas vienotā tehnoloģiskā cikla princips neietver dzīvnieku novietnes. </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85CD87C" w14:textId="77777777" w:rsidR="006550E5" w:rsidRPr="00D00B26" w:rsidRDefault="006550E5" w:rsidP="006550E5">
            <w:pPr>
              <w:pStyle w:val="naisc"/>
              <w:spacing w:before="0" w:after="60"/>
              <w:jc w:val="both"/>
              <w:rPr>
                <w:b/>
                <w:sz w:val="20"/>
                <w:szCs w:val="20"/>
              </w:rPr>
            </w:pPr>
            <w:r w:rsidRPr="00D00B26">
              <w:rPr>
                <w:b/>
                <w:sz w:val="20"/>
                <w:szCs w:val="20"/>
              </w:rPr>
              <w:t>Iebildums daļēji ņemts vērā</w:t>
            </w:r>
          </w:p>
          <w:p w14:paraId="0E00A5E0" w14:textId="49E83C6B" w:rsidR="006550E5" w:rsidRPr="00D00B26" w:rsidRDefault="006550E5" w:rsidP="006550E5">
            <w:pPr>
              <w:pStyle w:val="naisc"/>
              <w:spacing w:before="0" w:after="60"/>
              <w:jc w:val="both"/>
              <w:rPr>
                <w:bCs/>
                <w:sz w:val="20"/>
                <w:szCs w:val="20"/>
              </w:rPr>
            </w:pPr>
            <w:r w:rsidRPr="00D00B26">
              <w:rPr>
                <w:bCs/>
                <w:sz w:val="20"/>
                <w:szCs w:val="20"/>
              </w:rPr>
              <w:t>Ņemot vērā, ka vienotā tehnoloģiskā cikla princips tiks ietverts noteikumos līdz ar grozījumiem, kas tiks izstrādāti pēc atbilstoša deleģējuma stāšanās spēkā, arī skaidrojums par to tiks ietverts attiecīgo grozījumu anotācijā. EM ņemt vērā šo iebildumu un minētajā skaidrojumā ietvers atrunu par to, ka vienotā tehnoloģiskā cikla princips neietver dzīvnieku novietnes.</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9E84AFB" w14:textId="043D7736" w:rsidR="006550E5" w:rsidRPr="00D00B26" w:rsidRDefault="006550E5" w:rsidP="006550E5">
            <w:pPr>
              <w:shd w:val="clear" w:color="auto" w:fill="FFFFFF"/>
              <w:spacing w:after="120"/>
              <w:jc w:val="both"/>
              <w:rPr>
                <w:sz w:val="20"/>
                <w:szCs w:val="20"/>
              </w:rPr>
            </w:pPr>
            <w:r w:rsidRPr="00D00B26">
              <w:rPr>
                <w:sz w:val="20"/>
                <w:szCs w:val="20"/>
              </w:rPr>
              <w:t>Noteikumu projekta anotācija</w:t>
            </w:r>
          </w:p>
        </w:tc>
        <w:tc>
          <w:tcPr>
            <w:tcW w:w="1388" w:type="dxa"/>
            <w:gridSpan w:val="2"/>
          </w:tcPr>
          <w:p w14:paraId="6F915965" w14:textId="77777777" w:rsidR="006550E5" w:rsidRPr="00D00B26" w:rsidRDefault="006550E5" w:rsidP="006550E5">
            <w:pPr>
              <w:jc w:val="both"/>
              <w:rPr>
                <w:sz w:val="20"/>
                <w:szCs w:val="20"/>
              </w:rPr>
            </w:pPr>
          </w:p>
        </w:tc>
      </w:tr>
      <w:tr w:rsidR="006550E5" w:rsidRPr="00D00B26" w14:paraId="413C1B62"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E88DF3B" w14:textId="48E55910" w:rsidR="006550E5" w:rsidRPr="00D00B26" w:rsidRDefault="006550E5"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0546C45" w14:textId="2B6AECDB" w:rsidR="006550E5" w:rsidRPr="00D00B26" w:rsidRDefault="006550E5" w:rsidP="006550E5">
            <w:pPr>
              <w:shd w:val="clear" w:color="auto" w:fill="FFFFFF"/>
              <w:suppressAutoHyphens/>
              <w:autoSpaceDN w:val="0"/>
              <w:jc w:val="both"/>
              <w:textAlignment w:val="baseline"/>
              <w:rPr>
                <w:sz w:val="20"/>
                <w:szCs w:val="20"/>
              </w:rPr>
            </w:pPr>
            <w:r w:rsidRPr="00D00B26">
              <w:rPr>
                <w:sz w:val="20"/>
                <w:szCs w:val="20"/>
              </w:rPr>
              <w:t>41.</w:t>
            </w:r>
            <w:bookmarkStart w:id="19" w:name="_Ref48921110"/>
            <w:r w:rsidRPr="00D00B26">
              <w:rPr>
                <w:sz w:val="20"/>
                <w:szCs w:val="20"/>
              </w:rPr>
              <w:t xml:space="preserve"> Birojs reizi ceturksnī pārliecinās, vai komersantam nav Valsts ieņēmumu dienesta administrēto nodokļu un nodevu parādu. Ja birojs konstatē, ka komersantam ir nodokļu vai nodevu parādi, kuru kopsumma pārsniedz 150 </w:t>
            </w:r>
            <w:proofErr w:type="spellStart"/>
            <w:r w:rsidRPr="00D00B26">
              <w:rPr>
                <w:i/>
                <w:iCs/>
                <w:sz w:val="20"/>
                <w:szCs w:val="20"/>
              </w:rPr>
              <w:t>euro</w:t>
            </w:r>
            <w:proofErr w:type="spellEnd"/>
            <w:r w:rsidRPr="00D00B26">
              <w:rPr>
                <w:sz w:val="20"/>
                <w:szCs w:val="20"/>
              </w:rPr>
              <w:t xml:space="preserve">, birojs nosūta komersantam brīdinājumu par iespējamu obligātā iepirkuma tiesību zaudēšanu. Birojs, veicot minēto pārbaudi, pārliecinās </w:t>
            </w:r>
            <w:r w:rsidRPr="00D00B26">
              <w:rPr>
                <w:sz w:val="20"/>
                <w:szCs w:val="20"/>
              </w:rPr>
              <w:lastRenderedPageBreak/>
              <w:t xml:space="preserve">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Pr="00D00B26">
              <w:rPr>
                <w:i/>
                <w:iCs/>
                <w:sz w:val="20"/>
                <w:szCs w:val="20"/>
              </w:rPr>
              <w:t>euro</w:t>
            </w:r>
            <w:proofErr w:type="spellEnd"/>
            <w:r w:rsidRPr="00D00B26">
              <w:rPr>
                <w:sz w:val="20"/>
                <w:szCs w:val="20"/>
              </w:rPr>
              <w:t>, ja par tiem ir ierosināts tiesiskās aizsardzības process, no tiesiskās aizsardzības procesa ierosināšanas līdz izbeigšanas brīdim.</w:t>
            </w:r>
            <w:bookmarkEnd w:id="19"/>
          </w:p>
          <w:p w14:paraId="13E8C56F" w14:textId="61CA5D52" w:rsidR="006550E5" w:rsidRPr="00D00B26" w:rsidRDefault="006550E5" w:rsidP="006550E5">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C15F645" w14:textId="77777777" w:rsidR="006550E5" w:rsidRPr="005106DF" w:rsidRDefault="006550E5" w:rsidP="006550E5">
            <w:pPr>
              <w:tabs>
                <w:tab w:val="left" w:pos="1134"/>
              </w:tabs>
              <w:spacing w:after="160" w:line="252" w:lineRule="auto"/>
              <w:contextualSpacing/>
              <w:jc w:val="center"/>
              <w:rPr>
                <w:rFonts w:eastAsia="Calibri"/>
                <w:b/>
                <w:sz w:val="20"/>
                <w:szCs w:val="20"/>
              </w:rPr>
            </w:pPr>
            <w:r w:rsidRPr="005106DF">
              <w:rPr>
                <w:rFonts w:eastAsia="Calibri"/>
                <w:b/>
                <w:sz w:val="20"/>
                <w:szCs w:val="20"/>
              </w:rPr>
              <w:lastRenderedPageBreak/>
              <w:t xml:space="preserve">Finanšu ministrija (27.08.2020.) </w:t>
            </w:r>
          </w:p>
          <w:p w14:paraId="62732485" w14:textId="77777777" w:rsidR="006550E5" w:rsidRPr="005106DF" w:rsidRDefault="006550E5" w:rsidP="006550E5">
            <w:pPr>
              <w:tabs>
                <w:tab w:val="left" w:pos="1134"/>
              </w:tabs>
              <w:spacing w:after="160" w:line="252" w:lineRule="auto"/>
              <w:contextualSpacing/>
              <w:jc w:val="center"/>
              <w:rPr>
                <w:rFonts w:eastAsia="Calibri"/>
                <w:b/>
                <w:sz w:val="20"/>
                <w:szCs w:val="20"/>
              </w:rPr>
            </w:pPr>
            <w:r w:rsidRPr="005106DF">
              <w:rPr>
                <w:rFonts w:eastAsia="Calibri"/>
                <w:b/>
                <w:sz w:val="20"/>
                <w:szCs w:val="20"/>
              </w:rPr>
              <w:t>Priekšlikums</w:t>
            </w:r>
          </w:p>
          <w:p w14:paraId="764CEAB0" w14:textId="77777777" w:rsidR="006550E5" w:rsidRPr="005106DF" w:rsidRDefault="006550E5" w:rsidP="006550E5">
            <w:pPr>
              <w:shd w:val="clear" w:color="auto" w:fill="FFFFFF"/>
              <w:jc w:val="both"/>
              <w:rPr>
                <w:sz w:val="20"/>
                <w:szCs w:val="20"/>
              </w:rPr>
            </w:pPr>
            <w:r w:rsidRPr="005106DF">
              <w:rPr>
                <w:sz w:val="20"/>
                <w:szCs w:val="20"/>
              </w:rPr>
              <w:t xml:space="preserve">Lūdzam Ministru kabineta noteikumu projekta “Noteikumi par elektroenerģijas ražošanu, izmantojot atjaunojamos energoresursus, cenu noteikšanas kārtību un uzraudzību” un Ministru kabineta noteikumu projekta Noteikumi par elektroenerģijas ražošanu, uzraudzību un cenu </w:t>
            </w:r>
            <w:r w:rsidRPr="005106DF">
              <w:rPr>
                <w:sz w:val="20"/>
                <w:szCs w:val="20"/>
              </w:rPr>
              <w:lastRenderedPageBreak/>
              <w:t>noteikšanu, ražojot elektroenerģiju koģenerācijā” 42.punkta pēdējo teikumu precizēt redakcionāli, jo brīdinājumu attiecina vai neattie</w:t>
            </w:r>
            <w:bookmarkStart w:id="20" w:name="_GoBack"/>
            <w:bookmarkEnd w:id="20"/>
            <w:r w:rsidRPr="005106DF">
              <w:rPr>
                <w:sz w:val="20"/>
                <w:szCs w:val="20"/>
              </w:rPr>
              <w:t>cina uz komersantu, nevis uz nodokļu parādiem.</w:t>
            </w:r>
          </w:p>
          <w:p w14:paraId="63EAF57C" w14:textId="4EEFD960" w:rsidR="006550E5" w:rsidRPr="005106DF" w:rsidRDefault="006550E5" w:rsidP="006550E5">
            <w:pPr>
              <w:tabs>
                <w:tab w:val="left" w:pos="1134"/>
              </w:tabs>
              <w:spacing w:after="160" w:line="252" w:lineRule="auto"/>
              <w:contextualSpacing/>
              <w:jc w:val="center"/>
              <w:rPr>
                <w:rFonts w:eastAsia="Calibri"/>
                <w:b/>
                <w:sz w:val="20"/>
                <w:szCs w:val="20"/>
              </w:rPr>
            </w:pP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D87ECC" w14:textId="77F9734C" w:rsidR="006550E5" w:rsidRPr="00D00B26" w:rsidRDefault="00894A2D" w:rsidP="00D90CF9">
            <w:pPr>
              <w:pStyle w:val="naisc"/>
              <w:spacing w:before="0" w:after="60"/>
              <w:rPr>
                <w:b/>
                <w:sz w:val="20"/>
                <w:szCs w:val="20"/>
              </w:rPr>
            </w:pPr>
            <w:r w:rsidRPr="00D00B26">
              <w:rPr>
                <w:b/>
                <w:sz w:val="20"/>
                <w:szCs w:val="20"/>
              </w:rPr>
              <w:lastRenderedPageBreak/>
              <w:t>Priekšlikums ir 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7852F66" w14:textId="09F97889" w:rsidR="006550E5" w:rsidRPr="00D00B26" w:rsidRDefault="004E51FD" w:rsidP="006550E5">
            <w:pPr>
              <w:shd w:val="clear" w:color="auto" w:fill="FFFFFF"/>
              <w:spacing w:after="120"/>
              <w:jc w:val="both"/>
              <w:rPr>
                <w:sz w:val="20"/>
                <w:szCs w:val="20"/>
              </w:rPr>
            </w:pPr>
            <w:r w:rsidRPr="00D00B26">
              <w:rPr>
                <w:sz w:val="20"/>
                <w:szCs w:val="20"/>
              </w:rPr>
              <w:t xml:space="preserve">42. </w:t>
            </w:r>
            <w:r w:rsidR="00894A2D" w:rsidRPr="00D00B26">
              <w:rPr>
                <w:sz w:val="20"/>
                <w:szCs w:val="20"/>
              </w:rPr>
              <w:t>Birojs reizi ceturksnī pārliecinās, vai komersantam nav Valsts ieņēmumu dienesta administrēto nodokļu un nodevu parādu. Ja birojs konstatē, ka komersantam ir nodokļu vai nodevu parādi, kuru kopsumma pārsniedz 150 </w:t>
            </w:r>
            <w:proofErr w:type="spellStart"/>
            <w:r w:rsidR="00894A2D" w:rsidRPr="00D00B26">
              <w:rPr>
                <w:i/>
                <w:iCs/>
                <w:sz w:val="20"/>
                <w:szCs w:val="20"/>
              </w:rPr>
              <w:t>euro</w:t>
            </w:r>
            <w:proofErr w:type="spellEnd"/>
            <w:r w:rsidR="00894A2D" w:rsidRPr="00D00B26">
              <w:rPr>
                <w:sz w:val="20"/>
                <w:szCs w:val="20"/>
              </w:rPr>
              <w:t xml:space="preserve">, birojs nosūta komersantam brīdinājumu par iespējamu obligātā iepirkuma tiesību zaudēšanu. Birojs, veicot minēto pārbaudi, pārliecinās maksātnespējas reģistrā, vai </w:t>
            </w:r>
            <w:r w:rsidR="00894A2D" w:rsidRPr="00D00B26">
              <w:rPr>
                <w:sz w:val="20"/>
                <w:szCs w:val="20"/>
              </w:rPr>
              <w:lastRenderedPageBreak/>
              <w:t xml:space="preserve">komersantam, kuram ir nodokļu vai nodevu parāds, nav ierosināts tiesiskās aizsardzības process. Šajā punktā minēto brīdinājumu komersantam neizsaka, ja komersanta nodokļu parādu kopsumma pārsniedz 150 </w:t>
            </w:r>
            <w:proofErr w:type="spellStart"/>
            <w:r w:rsidR="00894A2D" w:rsidRPr="00D00B26">
              <w:rPr>
                <w:i/>
                <w:iCs/>
                <w:sz w:val="20"/>
                <w:szCs w:val="20"/>
              </w:rPr>
              <w:t>euro</w:t>
            </w:r>
            <w:proofErr w:type="spellEnd"/>
            <w:r w:rsidR="00894A2D" w:rsidRPr="00D00B26">
              <w:rPr>
                <w:sz w:val="20"/>
                <w:szCs w:val="20"/>
              </w:rPr>
              <w:t>, bet par tiem ir ierosināts tiesiskās aizsardzības process, laika periodā no tiesiskās aizsardzības procesa ierosināšanas līdz izbeigšanas brīdim.</w:t>
            </w:r>
          </w:p>
        </w:tc>
        <w:tc>
          <w:tcPr>
            <w:tcW w:w="1388" w:type="dxa"/>
            <w:gridSpan w:val="2"/>
          </w:tcPr>
          <w:p w14:paraId="2B784D59" w14:textId="77777777" w:rsidR="006550E5" w:rsidRPr="00D00B26" w:rsidRDefault="006550E5" w:rsidP="006550E5">
            <w:pPr>
              <w:jc w:val="both"/>
              <w:rPr>
                <w:sz w:val="20"/>
                <w:szCs w:val="20"/>
              </w:rPr>
            </w:pPr>
          </w:p>
        </w:tc>
      </w:tr>
      <w:tr w:rsidR="006550E5" w:rsidRPr="00D00B26" w14:paraId="51327ABF" w14:textId="77777777" w:rsidTr="00E366AB">
        <w:trPr>
          <w:gridBefore w:val="1"/>
          <w:wBefore w:w="22" w:type="dxa"/>
          <w:trHeight w:val="447"/>
          <w:tblCellSpacing w:w="0" w:type="dxa"/>
        </w:trPr>
        <w:tc>
          <w:tcPr>
            <w:tcW w:w="106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34FD829" w14:textId="21968D50" w:rsidR="006550E5" w:rsidRPr="00D00B26" w:rsidRDefault="006550E5" w:rsidP="0081357B">
            <w:pPr>
              <w:pStyle w:val="naisc"/>
              <w:numPr>
                <w:ilvl w:val="0"/>
                <w:numId w:val="41"/>
              </w:numPr>
              <w:spacing w:before="0" w:after="0"/>
              <w:jc w:val="left"/>
              <w:rPr>
                <w:sz w:val="20"/>
                <w:szCs w:val="20"/>
              </w:rPr>
            </w:pPr>
          </w:p>
        </w:tc>
        <w:tc>
          <w:tcPr>
            <w:tcW w:w="33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249E4B" w14:textId="77777777" w:rsidR="006550E5" w:rsidRPr="00D00B26" w:rsidRDefault="006550E5" w:rsidP="006550E5">
            <w:pPr>
              <w:shd w:val="clear" w:color="auto" w:fill="FFFFFF"/>
              <w:rPr>
                <w:sz w:val="20"/>
                <w:szCs w:val="20"/>
              </w:rPr>
            </w:pPr>
          </w:p>
        </w:tc>
        <w:tc>
          <w:tcPr>
            <w:tcW w:w="32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67A52C" w14:textId="77777777" w:rsidR="006550E5" w:rsidRPr="005106DF" w:rsidRDefault="006550E5" w:rsidP="006550E5">
            <w:pPr>
              <w:tabs>
                <w:tab w:val="left" w:pos="1134"/>
              </w:tabs>
              <w:spacing w:after="160" w:line="252" w:lineRule="auto"/>
              <w:contextualSpacing/>
              <w:jc w:val="center"/>
              <w:rPr>
                <w:rFonts w:eastAsia="Calibri"/>
                <w:b/>
                <w:sz w:val="20"/>
                <w:szCs w:val="20"/>
              </w:rPr>
            </w:pPr>
            <w:r w:rsidRPr="005106DF">
              <w:rPr>
                <w:rFonts w:eastAsia="Calibri"/>
                <w:b/>
                <w:sz w:val="20"/>
                <w:szCs w:val="20"/>
              </w:rPr>
              <w:t xml:space="preserve">Finanšu ministrija (27.08.2020.) </w:t>
            </w:r>
          </w:p>
          <w:p w14:paraId="22C4EE96" w14:textId="77777777" w:rsidR="006550E5" w:rsidRPr="005106DF" w:rsidRDefault="006550E5" w:rsidP="006550E5">
            <w:pPr>
              <w:tabs>
                <w:tab w:val="left" w:pos="1134"/>
              </w:tabs>
              <w:spacing w:after="160" w:line="252" w:lineRule="auto"/>
              <w:contextualSpacing/>
              <w:jc w:val="center"/>
              <w:rPr>
                <w:rFonts w:eastAsia="Calibri"/>
                <w:b/>
                <w:sz w:val="20"/>
                <w:szCs w:val="20"/>
              </w:rPr>
            </w:pPr>
            <w:r w:rsidRPr="005106DF">
              <w:rPr>
                <w:rFonts w:eastAsia="Calibri"/>
                <w:b/>
                <w:sz w:val="20"/>
                <w:szCs w:val="20"/>
              </w:rPr>
              <w:t>Lūgums</w:t>
            </w:r>
          </w:p>
          <w:p w14:paraId="6CD997C2" w14:textId="06C6F39D" w:rsidR="006550E5" w:rsidRPr="005106DF" w:rsidRDefault="006550E5" w:rsidP="006550E5">
            <w:pPr>
              <w:jc w:val="both"/>
              <w:rPr>
                <w:sz w:val="20"/>
                <w:szCs w:val="20"/>
              </w:rPr>
            </w:pPr>
            <w:r w:rsidRPr="005106DF">
              <w:rPr>
                <w:sz w:val="20"/>
                <w:szCs w:val="20"/>
              </w:rPr>
              <w:t>Papildus ņemot vērā izziņas 28.punktā Ekonomikas ministrijas sniegto skaidrojumu, ka iesniedzot projektu izskatīšanai Ministru kabinetā, vienlaikus tiks iesniegts arī attiecīgs  Ministru kabineta protokollēmuma projekts, lūdzam pirms tā iesniegšanas Ministru kabinetā, to atsūtīt saskaņošanai Finanšu ministrijai.</w:t>
            </w:r>
          </w:p>
        </w:tc>
        <w:tc>
          <w:tcPr>
            <w:tcW w:w="403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29FD89F" w14:textId="65EAADF5" w:rsidR="006550E5" w:rsidRPr="00D00B26" w:rsidRDefault="00D90CF9" w:rsidP="00D90CF9">
            <w:pPr>
              <w:pStyle w:val="naisc"/>
              <w:spacing w:before="0" w:after="60"/>
              <w:rPr>
                <w:b/>
                <w:sz w:val="20"/>
                <w:szCs w:val="20"/>
              </w:rPr>
            </w:pPr>
            <w:r>
              <w:rPr>
                <w:b/>
                <w:sz w:val="20"/>
                <w:szCs w:val="20"/>
              </w:rPr>
              <w:t>Ņemts vērā</w:t>
            </w:r>
          </w:p>
        </w:tc>
        <w:tc>
          <w:tcPr>
            <w:tcW w:w="3489"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946425F" w14:textId="77777777" w:rsidR="006550E5" w:rsidRPr="00D00B26" w:rsidRDefault="006550E5" w:rsidP="006550E5">
            <w:pPr>
              <w:shd w:val="clear" w:color="auto" w:fill="FFFFFF"/>
              <w:spacing w:after="120"/>
              <w:jc w:val="both"/>
              <w:rPr>
                <w:sz w:val="20"/>
                <w:szCs w:val="20"/>
              </w:rPr>
            </w:pPr>
          </w:p>
        </w:tc>
        <w:tc>
          <w:tcPr>
            <w:tcW w:w="1388" w:type="dxa"/>
            <w:gridSpan w:val="2"/>
          </w:tcPr>
          <w:p w14:paraId="176D2509" w14:textId="77777777" w:rsidR="006550E5" w:rsidRPr="00D00B26" w:rsidRDefault="006550E5" w:rsidP="006550E5">
            <w:pPr>
              <w:jc w:val="both"/>
              <w:rPr>
                <w:sz w:val="20"/>
                <w:szCs w:val="20"/>
              </w:rPr>
            </w:pPr>
          </w:p>
        </w:tc>
      </w:tr>
      <w:tr w:rsidR="006550E5" w:rsidRPr="004C7DFA" w14:paraId="71DA0CD9" w14:textId="77777777" w:rsidTr="00E366AB">
        <w:trPr>
          <w:gridBefore w:val="1"/>
          <w:gridAfter w:val="3"/>
          <w:wBefore w:w="22" w:type="dxa"/>
          <w:wAfter w:w="1716" w:type="dxa"/>
          <w:tblCellSpacing w:w="0" w:type="dxa"/>
        </w:trPr>
        <w:tc>
          <w:tcPr>
            <w:tcW w:w="4755" w:type="dxa"/>
            <w:gridSpan w:val="5"/>
            <w:tcBorders>
              <w:top w:val="nil"/>
              <w:left w:val="nil"/>
              <w:bottom w:val="nil"/>
              <w:right w:val="nil"/>
            </w:tcBorders>
            <w:vAlign w:val="center"/>
            <w:hideMark/>
          </w:tcPr>
          <w:p w14:paraId="1F5057A7" w14:textId="77777777" w:rsidR="006550E5" w:rsidRPr="004C7DFA" w:rsidRDefault="006550E5" w:rsidP="006550E5">
            <w:pPr>
              <w:spacing w:before="120" w:after="75"/>
              <w:jc w:val="center"/>
              <w:rPr>
                <w:sz w:val="20"/>
                <w:szCs w:val="20"/>
              </w:rPr>
            </w:pPr>
            <w:r w:rsidRPr="004C7DFA">
              <w:rPr>
                <w:sz w:val="20"/>
                <w:szCs w:val="20"/>
              </w:rPr>
              <w:t>Atbildīgā amatpersona</w:t>
            </w:r>
          </w:p>
        </w:tc>
        <w:tc>
          <w:tcPr>
            <w:tcW w:w="6917" w:type="dxa"/>
            <w:gridSpan w:val="4"/>
            <w:tcBorders>
              <w:top w:val="nil"/>
              <w:left w:val="nil"/>
              <w:bottom w:val="nil"/>
              <w:right w:val="nil"/>
            </w:tcBorders>
            <w:hideMark/>
          </w:tcPr>
          <w:p w14:paraId="683F5B5C" w14:textId="77777777" w:rsidR="006550E5" w:rsidRPr="004C7DFA" w:rsidRDefault="006550E5" w:rsidP="006550E5">
            <w:pPr>
              <w:spacing w:after="120"/>
              <w:jc w:val="both"/>
              <w:rPr>
                <w:b/>
                <w:sz w:val="20"/>
                <w:szCs w:val="20"/>
              </w:rPr>
            </w:pPr>
          </w:p>
        </w:tc>
        <w:tc>
          <w:tcPr>
            <w:tcW w:w="3161" w:type="dxa"/>
            <w:tcBorders>
              <w:top w:val="nil"/>
              <w:left w:val="nil"/>
              <w:bottom w:val="nil"/>
              <w:right w:val="nil"/>
            </w:tcBorders>
            <w:hideMark/>
          </w:tcPr>
          <w:p w14:paraId="61A0D361" w14:textId="77777777" w:rsidR="006550E5" w:rsidRPr="004C7DFA" w:rsidRDefault="006550E5" w:rsidP="006550E5">
            <w:pPr>
              <w:spacing w:after="120"/>
              <w:jc w:val="both"/>
              <w:rPr>
                <w:b/>
                <w:sz w:val="20"/>
                <w:szCs w:val="20"/>
              </w:rPr>
            </w:pPr>
          </w:p>
        </w:tc>
      </w:tr>
      <w:tr w:rsidR="006550E5" w:rsidRPr="004C7DFA" w14:paraId="5D6A1F91" w14:textId="77777777" w:rsidTr="00E366AB">
        <w:trPr>
          <w:gridBefore w:val="1"/>
          <w:gridAfter w:val="3"/>
          <w:wBefore w:w="22" w:type="dxa"/>
          <w:wAfter w:w="1716" w:type="dxa"/>
          <w:trHeight w:val="237"/>
          <w:tblCellSpacing w:w="0" w:type="dxa"/>
        </w:trPr>
        <w:tc>
          <w:tcPr>
            <w:tcW w:w="4755" w:type="dxa"/>
            <w:gridSpan w:val="5"/>
            <w:tcBorders>
              <w:top w:val="nil"/>
              <w:left w:val="nil"/>
              <w:bottom w:val="nil"/>
              <w:right w:val="nil"/>
            </w:tcBorders>
            <w:vAlign w:val="center"/>
            <w:hideMark/>
          </w:tcPr>
          <w:p w14:paraId="552BCE27" w14:textId="6CE14A4F" w:rsidR="006550E5" w:rsidRPr="004C7DFA" w:rsidRDefault="006550E5" w:rsidP="006550E5">
            <w:pPr>
              <w:spacing w:before="75" w:after="75"/>
              <w:jc w:val="center"/>
              <w:rPr>
                <w:sz w:val="20"/>
                <w:szCs w:val="20"/>
              </w:rPr>
            </w:pPr>
          </w:p>
        </w:tc>
        <w:tc>
          <w:tcPr>
            <w:tcW w:w="6917" w:type="dxa"/>
            <w:gridSpan w:val="4"/>
            <w:tcBorders>
              <w:top w:val="single" w:sz="8" w:space="0" w:color="000000" w:themeColor="text1"/>
              <w:left w:val="nil"/>
              <w:bottom w:val="nil"/>
              <w:right w:val="nil"/>
            </w:tcBorders>
            <w:vAlign w:val="center"/>
            <w:hideMark/>
          </w:tcPr>
          <w:p w14:paraId="0C90889C" w14:textId="77777777" w:rsidR="006550E5" w:rsidRPr="004C7DFA" w:rsidRDefault="006550E5" w:rsidP="006550E5">
            <w:pPr>
              <w:spacing w:before="75" w:after="75"/>
              <w:jc w:val="both"/>
              <w:rPr>
                <w:sz w:val="20"/>
                <w:szCs w:val="20"/>
              </w:rPr>
            </w:pPr>
            <w:r w:rsidRPr="004C7DFA">
              <w:rPr>
                <w:sz w:val="20"/>
                <w:szCs w:val="20"/>
              </w:rPr>
              <w:t>(paraksts)*</w:t>
            </w:r>
          </w:p>
        </w:tc>
        <w:tc>
          <w:tcPr>
            <w:tcW w:w="3161" w:type="dxa"/>
            <w:tcBorders>
              <w:top w:val="nil"/>
              <w:left w:val="nil"/>
              <w:bottom w:val="nil"/>
              <w:right w:val="nil"/>
            </w:tcBorders>
            <w:vAlign w:val="center"/>
            <w:hideMark/>
          </w:tcPr>
          <w:p w14:paraId="1FD5855E" w14:textId="77777777" w:rsidR="006550E5" w:rsidRPr="004C7DFA" w:rsidRDefault="006550E5" w:rsidP="006550E5">
            <w:pPr>
              <w:spacing w:before="75" w:after="75"/>
              <w:ind w:firstLine="375"/>
              <w:jc w:val="both"/>
              <w:rPr>
                <w:sz w:val="20"/>
                <w:szCs w:val="20"/>
              </w:rPr>
            </w:pPr>
            <w:r w:rsidRPr="004C7DFA">
              <w:rPr>
                <w:sz w:val="20"/>
                <w:szCs w:val="20"/>
              </w:rPr>
              <w:t> </w:t>
            </w:r>
          </w:p>
        </w:tc>
      </w:tr>
    </w:tbl>
    <w:p w14:paraId="4B49F543" w14:textId="77777777" w:rsidR="00BD6FD2" w:rsidRPr="004C7DFA" w:rsidRDefault="00BD6FD2" w:rsidP="00BD6FD2">
      <w:pPr>
        <w:jc w:val="both"/>
        <w:rPr>
          <w:sz w:val="20"/>
          <w:szCs w:val="20"/>
        </w:rPr>
      </w:pPr>
      <w:r w:rsidRPr="004C7DFA">
        <w:rPr>
          <w:sz w:val="20"/>
          <w:szCs w:val="20"/>
        </w:rPr>
        <w:t>Piezīme. * Dokumenta rekvizītu "paraksts" neaizpilda, ja elektroniskais dokuments ir sagatavots atbilstoši normatīvajiem aktiem par elektronisko dokumentu noformēšanu.</w:t>
      </w:r>
    </w:p>
    <w:p w14:paraId="6F52E148" w14:textId="3D3614BC" w:rsidR="00AE6D8E" w:rsidRPr="004C7DFA" w:rsidRDefault="00AE6D8E" w:rsidP="00BD6FD2">
      <w:pPr>
        <w:spacing w:before="75" w:after="75"/>
        <w:ind w:firstLine="375"/>
        <w:jc w:val="both"/>
        <w:rPr>
          <w:sz w:val="20"/>
          <w:szCs w:val="20"/>
        </w:rPr>
      </w:pPr>
    </w:p>
    <w:p w14:paraId="5EC64317" w14:textId="77777777" w:rsidR="00AA5833" w:rsidRPr="004C7DFA" w:rsidRDefault="00AA5833" w:rsidP="00BD6FD2">
      <w:pPr>
        <w:spacing w:before="75" w:after="75"/>
        <w:ind w:firstLine="375"/>
        <w:jc w:val="both"/>
        <w:rPr>
          <w:sz w:val="20"/>
          <w:szCs w:val="20"/>
        </w:rPr>
      </w:pPr>
    </w:p>
    <w:p w14:paraId="3820711B" w14:textId="47926A03" w:rsidR="009647CD" w:rsidRPr="004C7DFA" w:rsidRDefault="00015C9D" w:rsidP="009647CD">
      <w:pPr>
        <w:spacing w:after="75"/>
        <w:ind w:firstLine="374"/>
        <w:jc w:val="both"/>
        <w:rPr>
          <w:sz w:val="20"/>
          <w:szCs w:val="20"/>
        </w:rPr>
      </w:pPr>
      <w:r w:rsidRPr="004C7DFA">
        <w:rPr>
          <w:sz w:val="20"/>
          <w:szCs w:val="20"/>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AE739A" w:rsidRPr="004C7DFA" w14:paraId="46B3B5E6" w14:textId="77777777" w:rsidTr="00074BE1">
        <w:trPr>
          <w:tblCellSpacing w:w="0" w:type="dxa"/>
        </w:trPr>
        <w:tc>
          <w:tcPr>
            <w:tcW w:w="8265" w:type="dxa"/>
            <w:tcBorders>
              <w:top w:val="single" w:sz="8" w:space="0" w:color="000000"/>
              <w:left w:val="nil"/>
              <w:bottom w:val="nil"/>
              <w:right w:val="nil"/>
            </w:tcBorders>
            <w:hideMark/>
          </w:tcPr>
          <w:p w14:paraId="4F9FF62B" w14:textId="77777777" w:rsidR="009647CD" w:rsidRPr="004C7DFA" w:rsidRDefault="009647CD" w:rsidP="00074BE1">
            <w:pPr>
              <w:spacing w:before="120"/>
              <w:jc w:val="center"/>
              <w:rPr>
                <w:sz w:val="20"/>
                <w:szCs w:val="20"/>
              </w:rPr>
            </w:pPr>
            <w:r w:rsidRPr="004C7DFA">
              <w:rPr>
                <w:sz w:val="20"/>
                <w:szCs w:val="20"/>
              </w:rPr>
              <w:t>(par projektu atbildīgās amatpersonas vārds un uzvārds)</w:t>
            </w:r>
          </w:p>
        </w:tc>
      </w:tr>
      <w:tr w:rsidR="00AE739A" w:rsidRPr="004C7DFA" w14:paraId="3BB3625F" w14:textId="77777777" w:rsidTr="00074BE1">
        <w:trPr>
          <w:tblCellSpacing w:w="0" w:type="dxa"/>
        </w:trPr>
        <w:tc>
          <w:tcPr>
            <w:tcW w:w="8265" w:type="dxa"/>
            <w:tcBorders>
              <w:top w:val="nil"/>
              <w:left w:val="nil"/>
              <w:bottom w:val="single" w:sz="8" w:space="0" w:color="000000"/>
              <w:right w:val="nil"/>
            </w:tcBorders>
            <w:hideMark/>
          </w:tcPr>
          <w:p w14:paraId="77561011" w14:textId="50CA9554" w:rsidR="009647CD" w:rsidRPr="004C7DFA" w:rsidRDefault="009647CD" w:rsidP="00074BE1">
            <w:pPr>
              <w:spacing w:before="120"/>
              <w:ind w:firstLine="375"/>
              <w:jc w:val="both"/>
              <w:rPr>
                <w:sz w:val="20"/>
                <w:szCs w:val="20"/>
              </w:rPr>
            </w:pPr>
            <w:r w:rsidRPr="004C7DFA">
              <w:rPr>
                <w:sz w:val="20"/>
                <w:szCs w:val="20"/>
              </w:rPr>
              <w:t>Vecāk</w:t>
            </w:r>
            <w:r w:rsidR="00015C9D" w:rsidRPr="004C7DFA">
              <w:rPr>
                <w:sz w:val="20"/>
                <w:szCs w:val="20"/>
              </w:rPr>
              <w:t>ais</w:t>
            </w:r>
            <w:r w:rsidRPr="004C7DFA">
              <w:rPr>
                <w:sz w:val="20"/>
                <w:szCs w:val="20"/>
              </w:rPr>
              <w:t xml:space="preserve"> ekspert</w:t>
            </w:r>
            <w:r w:rsidR="00015C9D" w:rsidRPr="004C7DFA">
              <w:rPr>
                <w:sz w:val="20"/>
                <w:szCs w:val="20"/>
              </w:rPr>
              <w:t>s</w:t>
            </w:r>
          </w:p>
        </w:tc>
      </w:tr>
      <w:tr w:rsidR="00AE739A" w:rsidRPr="004C7DFA" w14:paraId="683EA928" w14:textId="77777777" w:rsidTr="00074BE1">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4C7DFA" w:rsidRDefault="009647CD" w:rsidP="00074BE1">
            <w:pPr>
              <w:ind w:firstLine="374"/>
              <w:jc w:val="both"/>
              <w:rPr>
                <w:sz w:val="20"/>
                <w:szCs w:val="20"/>
              </w:rPr>
            </w:pPr>
            <w:r w:rsidRPr="004C7DFA">
              <w:rPr>
                <w:sz w:val="20"/>
                <w:szCs w:val="20"/>
              </w:rPr>
              <w:t>670132</w:t>
            </w:r>
            <w:r w:rsidR="00015C9D" w:rsidRPr="004C7DFA">
              <w:rPr>
                <w:sz w:val="20"/>
                <w:szCs w:val="20"/>
              </w:rPr>
              <w:t>49</w:t>
            </w:r>
          </w:p>
        </w:tc>
      </w:tr>
      <w:tr w:rsidR="009647CD" w:rsidRPr="004C7DFA" w14:paraId="72231E5A" w14:textId="77777777" w:rsidTr="00074BE1">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4C7DFA" w:rsidRDefault="00015C9D" w:rsidP="00074BE1">
            <w:pPr>
              <w:spacing w:before="120"/>
              <w:ind w:firstLine="375"/>
              <w:jc w:val="both"/>
              <w:rPr>
                <w:sz w:val="20"/>
                <w:szCs w:val="20"/>
              </w:rPr>
            </w:pPr>
            <w:r w:rsidRPr="004C7DFA">
              <w:rPr>
                <w:sz w:val="20"/>
                <w:szCs w:val="20"/>
              </w:rPr>
              <w:t>aivars.neimanis</w:t>
            </w:r>
            <w:r w:rsidR="009647CD" w:rsidRPr="004C7DFA">
              <w:rPr>
                <w:sz w:val="20"/>
                <w:szCs w:val="20"/>
              </w:rPr>
              <w:t xml:space="preserve">@em.gov.lv </w:t>
            </w:r>
          </w:p>
        </w:tc>
      </w:tr>
    </w:tbl>
    <w:p w14:paraId="5E5D92EF" w14:textId="56D8040E" w:rsidR="00BD6FD2" w:rsidRPr="004C7DFA" w:rsidRDefault="00BD6FD2" w:rsidP="009647CD">
      <w:pPr>
        <w:spacing w:after="75"/>
        <w:ind w:firstLine="374"/>
        <w:jc w:val="both"/>
        <w:rPr>
          <w:sz w:val="20"/>
          <w:szCs w:val="20"/>
        </w:rPr>
      </w:pPr>
    </w:p>
    <w:sectPr w:rsidR="00BD6FD2" w:rsidRPr="004C7DFA" w:rsidSect="005B7A33">
      <w:headerReference w:type="even" r:id="rId30"/>
      <w:headerReference w:type="default" r:id="rId31"/>
      <w:footerReference w:type="default" r:id="rId32"/>
      <w:footerReference w:type="first" r:id="rId33"/>
      <w:pgSz w:w="16838" w:h="11906" w:orient="landscape" w:code="9"/>
      <w:pgMar w:top="709"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1808" w16cex:dateUtc="2020-08-20T12:40:00Z"/>
  <w16cex:commentExtensible w16cex:durableId="22E9198B" w16cex:dateUtc="2020-08-20T12:47:00Z"/>
  <w16cex:commentExtensible w16cex:durableId="22E91A28" w16cex:dateUtc="2020-08-20T12:50:00Z"/>
  <w16cex:commentExtensible w16cex:durableId="22E91A4B" w16cex:dateUtc="2020-08-20T12:50:00Z"/>
  <w16cex:commentExtensible w16cex:durableId="22E92EA9" w16cex:dateUtc="2020-08-20T14:17:00Z"/>
  <w16cex:commentExtensible w16cex:durableId="22E933FF" w16cex:dateUtc="2020-08-20T14:40:00Z"/>
  <w16cex:commentExtensible w16cex:durableId="22E9453E" w16cex:dateUtc="2020-08-20T15:53:00Z"/>
  <w16cex:commentExtensible w16cex:durableId="22E9457E" w16cex:dateUtc="2020-08-20T15:54:00Z"/>
  <w16cex:commentExtensible w16cex:durableId="22E94826" w16cex:dateUtc="2020-08-20T16:06:00Z"/>
  <w16cex:commentExtensible w16cex:durableId="22E94869" w16cex:dateUtc="2020-08-20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6B88" w14:textId="77777777" w:rsidR="00A04DEB" w:rsidRPr="0076341D" w:rsidRDefault="00A04DEB" w:rsidP="00667113">
      <w:pPr>
        <w:rPr>
          <w:sz w:val="22"/>
          <w:szCs w:val="22"/>
        </w:rPr>
      </w:pPr>
      <w:r w:rsidRPr="0076341D">
        <w:rPr>
          <w:sz w:val="22"/>
          <w:szCs w:val="22"/>
        </w:rPr>
        <w:separator/>
      </w:r>
    </w:p>
  </w:endnote>
  <w:endnote w:type="continuationSeparator" w:id="0">
    <w:p w14:paraId="7242C970" w14:textId="77777777" w:rsidR="00A04DEB" w:rsidRPr="0076341D" w:rsidRDefault="00A04DEB" w:rsidP="00667113">
      <w:pPr>
        <w:rPr>
          <w:sz w:val="22"/>
          <w:szCs w:val="22"/>
        </w:rPr>
      </w:pPr>
      <w:r w:rsidRPr="0076341D">
        <w:rPr>
          <w:sz w:val="22"/>
          <w:szCs w:val="22"/>
        </w:rPr>
        <w:continuationSeparator/>
      </w:r>
    </w:p>
  </w:endnote>
  <w:endnote w:type="continuationNotice" w:id="1">
    <w:p w14:paraId="58720472" w14:textId="77777777" w:rsidR="00A04DEB" w:rsidRDefault="00A0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quot;Calibri Light&quot;,sans-serif">
    <w:altName w:val="Cambria"/>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0807F1BA" w:rsidR="00A04DEB" w:rsidRPr="009647CD" w:rsidRDefault="00A04DEB"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81357B">
      <w:rPr>
        <w:noProof/>
        <w:sz w:val="20"/>
        <w:szCs w:val="20"/>
      </w:rPr>
      <w:t>EMIzz_280820_ajaun.docx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1FF65F31" w:rsidR="00A04DEB" w:rsidRPr="000C3947" w:rsidRDefault="00A04DEB"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81357B">
      <w:rPr>
        <w:noProof/>
        <w:sz w:val="20"/>
        <w:szCs w:val="20"/>
      </w:rPr>
      <w:t>EMIzz_280820_ajaun.docx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F2949" w14:textId="77777777" w:rsidR="00A04DEB" w:rsidRPr="0076341D" w:rsidRDefault="00A04DEB" w:rsidP="00667113">
      <w:pPr>
        <w:rPr>
          <w:sz w:val="22"/>
          <w:szCs w:val="22"/>
        </w:rPr>
      </w:pPr>
      <w:r w:rsidRPr="0076341D">
        <w:rPr>
          <w:sz w:val="22"/>
          <w:szCs w:val="22"/>
        </w:rPr>
        <w:separator/>
      </w:r>
    </w:p>
  </w:footnote>
  <w:footnote w:type="continuationSeparator" w:id="0">
    <w:p w14:paraId="70A344E9" w14:textId="77777777" w:rsidR="00A04DEB" w:rsidRPr="0076341D" w:rsidRDefault="00A04DEB" w:rsidP="00667113">
      <w:pPr>
        <w:rPr>
          <w:sz w:val="22"/>
          <w:szCs w:val="22"/>
        </w:rPr>
      </w:pPr>
      <w:r w:rsidRPr="0076341D">
        <w:rPr>
          <w:sz w:val="22"/>
          <w:szCs w:val="22"/>
        </w:rPr>
        <w:continuationSeparator/>
      </w:r>
    </w:p>
  </w:footnote>
  <w:footnote w:type="continuationNotice" w:id="1">
    <w:p w14:paraId="4A09C6CB" w14:textId="77777777" w:rsidR="00A04DEB" w:rsidRDefault="00A04DEB"/>
  </w:footnote>
  <w:footnote w:id="2">
    <w:p w14:paraId="58C5A9E6" w14:textId="77777777" w:rsidR="00A04DEB" w:rsidRDefault="00A04DEB" w:rsidP="00E15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A04DEB" w:rsidRPr="0076341D" w:rsidRDefault="00A04DEB"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A04DEB" w:rsidRPr="0076341D" w:rsidRDefault="00A04DEB">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A04DEB" w:rsidRPr="0076341D" w:rsidRDefault="00A04DEB"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A04DEB" w:rsidRPr="0076341D" w:rsidRDefault="00A04DEB">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79D"/>
    <w:multiLevelType w:val="multilevel"/>
    <w:tmpl w:val="E3DE4E8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6477E"/>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A285D7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A47208"/>
    <w:multiLevelType w:val="multilevel"/>
    <w:tmpl w:val="A894C19C"/>
    <w:lvl w:ilvl="0">
      <w:start w:val="1"/>
      <w:numFmt w:val="decimal"/>
      <w:lvlText w:val="%1."/>
      <w:lvlJc w:val="left"/>
      <w:pPr>
        <w:ind w:left="720" w:hanging="360"/>
      </w:pPr>
      <w:rPr>
        <w:color w:val="1F497D"/>
      </w:rPr>
    </w:lvl>
    <w:lvl w:ilvl="1">
      <w:start w:val="1"/>
      <w:numFmt w:val="decimal"/>
      <w:isLgl/>
      <w:lvlText w:val="%1.%2."/>
      <w:lvlJc w:val="left"/>
      <w:pPr>
        <w:ind w:left="2160" w:hanging="360"/>
      </w:pPr>
      <w:rPr>
        <w:color w:val="1F497D"/>
      </w:rPr>
    </w:lvl>
    <w:lvl w:ilvl="2">
      <w:start w:val="1"/>
      <w:numFmt w:val="decimal"/>
      <w:isLgl/>
      <w:lvlText w:val="%1.%2.%3."/>
      <w:lvlJc w:val="left"/>
      <w:pPr>
        <w:ind w:left="3960" w:hanging="720"/>
      </w:pPr>
      <w:rPr>
        <w:color w:val="1F497D"/>
      </w:rPr>
    </w:lvl>
    <w:lvl w:ilvl="3">
      <w:start w:val="1"/>
      <w:numFmt w:val="decimal"/>
      <w:isLgl/>
      <w:lvlText w:val="%1.%2.%3.%4."/>
      <w:lvlJc w:val="left"/>
      <w:pPr>
        <w:ind w:left="5400" w:hanging="720"/>
      </w:pPr>
      <w:rPr>
        <w:color w:val="1F497D"/>
      </w:rPr>
    </w:lvl>
    <w:lvl w:ilvl="4">
      <w:start w:val="1"/>
      <w:numFmt w:val="decimal"/>
      <w:isLgl/>
      <w:lvlText w:val="%1.%2.%3.%4.%5."/>
      <w:lvlJc w:val="left"/>
      <w:pPr>
        <w:ind w:left="7200" w:hanging="1080"/>
      </w:pPr>
      <w:rPr>
        <w:color w:val="1F497D"/>
      </w:rPr>
    </w:lvl>
    <w:lvl w:ilvl="5">
      <w:start w:val="1"/>
      <w:numFmt w:val="decimal"/>
      <w:isLgl/>
      <w:lvlText w:val="%1.%2.%3.%4.%5.%6."/>
      <w:lvlJc w:val="left"/>
      <w:pPr>
        <w:ind w:left="8640" w:hanging="1080"/>
      </w:pPr>
      <w:rPr>
        <w:color w:val="1F497D"/>
      </w:rPr>
    </w:lvl>
    <w:lvl w:ilvl="6">
      <w:start w:val="1"/>
      <w:numFmt w:val="decimal"/>
      <w:isLgl/>
      <w:lvlText w:val="%1.%2.%3.%4.%5.%6.%7."/>
      <w:lvlJc w:val="left"/>
      <w:pPr>
        <w:ind w:left="10440" w:hanging="1440"/>
      </w:pPr>
      <w:rPr>
        <w:color w:val="1F497D"/>
      </w:rPr>
    </w:lvl>
    <w:lvl w:ilvl="7">
      <w:start w:val="1"/>
      <w:numFmt w:val="decimal"/>
      <w:isLgl/>
      <w:lvlText w:val="%1.%2.%3.%4.%5.%6.%7.%8."/>
      <w:lvlJc w:val="left"/>
      <w:pPr>
        <w:ind w:left="11880" w:hanging="1440"/>
      </w:pPr>
      <w:rPr>
        <w:color w:val="1F497D"/>
      </w:rPr>
    </w:lvl>
    <w:lvl w:ilvl="8">
      <w:start w:val="1"/>
      <w:numFmt w:val="decimal"/>
      <w:isLgl/>
      <w:lvlText w:val="%1.%2.%3.%4.%5.%6.%7.%8.%9."/>
      <w:lvlJc w:val="left"/>
      <w:pPr>
        <w:ind w:left="13680" w:hanging="1800"/>
      </w:pPr>
      <w:rPr>
        <w:color w:val="1F497D"/>
      </w:rPr>
    </w:lvl>
  </w:abstractNum>
  <w:abstractNum w:abstractNumId="4" w15:restartNumberingAfterBreak="0">
    <w:nsid w:val="0B8C383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0F850D3C"/>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8308F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20B57313"/>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27546C"/>
    <w:multiLevelType w:val="hybridMultilevel"/>
    <w:tmpl w:val="265A8E9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28435F95"/>
    <w:multiLevelType w:val="multilevel"/>
    <w:tmpl w:val="14264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66061E"/>
    <w:multiLevelType w:val="multilevel"/>
    <w:tmpl w:val="C12688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C51F3"/>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2" w15:restartNumberingAfterBreak="0">
    <w:nsid w:val="33F44F35"/>
    <w:multiLevelType w:val="hybridMultilevel"/>
    <w:tmpl w:val="D84687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0842AC"/>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15:restartNumberingAfterBreak="0">
    <w:nsid w:val="3525111F"/>
    <w:multiLevelType w:val="hybridMultilevel"/>
    <w:tmpl w:val="EE364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D30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E01D6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514B1"/>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8" w15:restartNumberingAfterBreak="0">
    <w:nsid w:val="3CEB4F59"/>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9" w15:restartNumberingAfterBreak="0">
    <w:nsid w:val="3D2A261D"/>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E238C5"/>
    <w:multiLevelType w:val="multilevel"/>
    <w:tmpl w:val="42BEE6F6"/>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C5230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D47002"/>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F212B3"/>
    <w:multiLevelType w:val="hybridMultilevel"/>
    <w:tmpl w:val="3A0066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A74C80"/>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5" w15:restartNumberingAfterBreak="0">
    <w:nsid w:val="51EA41B9"/>
    <w:multiLevelType w:val="multilevel"/>
    <w:tmpl w:val="A894C19C"/>
    <w:lvl w:ilvl="0">
      <w:start w:val="1"/>
      <w:numFmt w:val="decimal"/>
      <w:lvlText w:val="%1."/>
      <w:lvlJc w:val="left"/>
      <w:pPr>
        <w:ind w:left="720" w:hanging="360"/>
      </w:pPr>
      <w:rPr>
        <w:color w:val="1F497D"/>
      </w:rPr>
    </w:lvl>
    <w:lvl w:ilvl="1">
      <w:start w:val="1"/>
      <w:numFmt w:val="decimal"/>
      <w:isLgl/>
      <w:lvlText w:val="%1.%2."/>
      <w:lvlJc w:val="left"/>
      <w:pPr>
        <w:ind w:left="2160" w:hanging="360"/>
      </w:pPr>
      <w:rPr>
        <w:color w:val="1F497D"/>
      </w:rPr>
    </w:lvl>
    <w:lvl w:ilvl="2">
      <w:start w:val="1"/>
      <w:numFmt w:val="decimal"/>
      <w:isLgl/>
      <w:lvlText w:val="%1.%2.%3."/>
      <w:lvlJc w:val="left"/>
      <w:pPr>
        <w:ind w:left="3960" w:hanging="720"/>
      </w:pPr>
      <w:rPr>
        <w:color w:val="1F497D"/>
      </w:rPr>
    </w:lvl>
    <w:lvl w:ilvl="3">
      <w:start w:val="1"/>
      <w:numFmt w:val="decimal"/>
      <w:isLgl/>
      <w:lvlText w:val="%1.%2.%3.%4."/>
      <w:lvlJc w:val="left"/>
      <w:pPr>
        <w:ind w:left="5400" w:hanging="720"/>
      </w:pPr>
      <w:rPr>
        <w:color w:val="1F497D"/>
      </w:rPr>
    </w:lvl>
    <w:lvl w:ilvl="4">
      <w:start w:val="1"/>
      <w:numFmt w:val="decimal"/>
      <w:isLgl/>
      <w:lvlText w:val="%1.%2.%3.%4.%5."/>
      <w:lvlJc w:val="left"/>
      <w:pPr>
        <w:ind w:left="7200" w:hanging="1080"/>
      </w:pPr>
      <w:rPr>
        <w:color w:val="1F497D"/>
      </w:rPr>
    </w:lvl>
    <w:lvl w:ilvl="5">
      <w:start w:val="1"/>
      <w:numFmt w:val="decimal"/>
      <w:isLgl/>
      <w:lvlText w:val="%1.%2.%3.%4.%5.%6."/>
      <w:lvlJc w:val="left"/>
      <w:pPr>
        <w:ind w:left="8640" w:hanging="1080"/>
      </w:pPr>
      <w:rPr>
        <w:color w:val="1F497D"/>
      </w:rPr>
    </w:lvl>
    <w:lvl w:ilvl="6">
      <w:start w:val="1"/>
      <w:numFmt w:val="decimal"/>
      <w:isLgl/>
      <w:lvlText w:val="%1.%2.%3.%4.%5.%6.%7."/>
      <w:lvlJc w:val="left"/>
      <w:pPr>
        <w:ind w:left="10440" w:hanging="1440"/>
      </w:pPr>
      <w:rPr>
        <w:color w:val="1F497D"/>
      </w:rPr>
    </w:lvl>
    <w:lvl w:ilvl="7">
      <w:start w:val="1"/>
      <w:numFmt w:val="decimal"/>
      <w:isLgl/>
      <w:lvlText w:val="%1.%2.%3.%4.%5.%6.%7.%8."/>
      <w:lvlJc w:val="left"/>
      <w:pPr>
        <w:ind w:left="11880" w:hanging="1440"/>
      </w:pPr>
      <w:rPr>
        <w:color w:val="1F497D"/>
      </w:rPr>
    </w:lvl>
    <w:lvl w:ilvl="8">
      <w:start w:val="1"/>
      <w:numFmt w:val="decimal"/>
      <w:isLgl/>
      <w:lvlText w:val="%1.%2.%3.%4.%5.%6.%7.%8.%9."/>
      <w:lvlJc w:val="left"/>
      <w:pPr>
        <w:ind w:left="13680" w:hanging="1800"/>
      </w:pPr>
      <w:rPr>
        <w:color w:val="1F497D"/>
      </w:rPr>
    </w:lvl>
  </w:abstractNum>
  <w:abstractNum w:abstractNumId="26" w15:restartNumberingAfterBreak="0">
    <w:nsid w:val="564A13B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7" w15:restartNumberingAfterBreak="0">
    <w:nsid w:val="5A374005"/>
    <w:multiLevelType w:val="hybridMultilevel"/>
    <w:tmpl w:val="9FD41A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047CB4"/>
    <w:multiLevelType w:val="hybridMultilevel"/>
    <w:tmpl w:val="5DE22B1C"/>
    <w:lvl w:ilvl="0" w:tplc="8C6A2290">
      <w:start w:val="1"/>
      <w:numFmt w:val="decimal"/>
      <w:lvlText w:val="%1."/>
      <w:lvlJc w:val="left"/>
      <w:pPr>
        <w:ind w:left="486" w:hanging="360"/>
      </w:pPr>
      <w:rPr>
        <w:rFonts w:eastAsia="Times New Roman" w:hint="default"/>
        <w:b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01D048D"/>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390B12"/>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1" w15:restartNumberingAfterBreak="0">
    <w:nsid w:val="63447280"/>
    <w:multiLevelType w:val="hybridMultilevel"/>
    <w:tmpl w:val="F6082F4A"/>
    <w:lvl w:ilvl="0" w:tplc="B07285BE">
      <w:start w:val="1"/>
      <w:numFmt w:val="decimal"/>
      <w:lvlText w:val="%1."/>
      <w:lvlJc w:val="left"/>
      <w:pPr>
        <w:ind w:left="1080" w:hanging="360"/>
      </w:pPr>
      <w:rPr>
        <w:b w:val="0"/>
        <w:bCs w:val="0"/>
      </w:rPr>
    </w:lvl>
    <w:lvl w:ilvl="1" w:tplc="07B4E4F2">
      <w:start w:val="1"/>
      <w:numFmt w:val="lowerLetter"/>
      <w:lvlText w:val="%2."/>
      <w:lvlJc w:val="left"/>
      <w:pPr>
        <w:ind w:left="1800" w:hanging="360"/>
      </w:pPr>
    </w:lvl>
    <w:lvl w:ilvl="2" w:tplc="975C3314">
      <w:start w:val="1"/>
      <w:numFmt w:val="lowerRoman"/>
      <w:lvlText w:val="%3."/>
      <w:lvlJc w:val="right"/>
      <w:pPr>
        <w:ind w:left="2520" w:hanging="180"/>
      </w:pPr>
    </w:lvl>
    <w:lvl w:ilvl="3" w:tplc="FDB26424">
      <w:start w:val="1"/>
      <w:numFmt w:val="decimal"/>
      <w:lvlText w:val="%4."/>
      <w:lvlJc w:val="left"/>
      <w:pPr>
        <w:ind w:left="3240" w:hanging="360"/>
      </w:pPr>
    </w:lvl>
    <w:lvl w:ilvl="4" w:tplc="3EC0BC30">
      <w:start w:val="1"/>
      <w:numFmt w:val="lowerLetter"/>
      <w:lvlText w:val="%5."/>
      <w:lvlJc w:val="left"/>
      <w:pPr>
        <w:ind w:left="3960" w:hanging="360"/>
      </w:pPr>
    </w:lvl>
    <w:lvl w:ilvl="5" w:tplc="165E5E02">
      <w:start w:val="1"/>
      <w:numFmt w:val="lowerRoman"/>
      <w:lvlText w:val="%6."/>
      <w:lvlJc w:val="right"/>
      <w:pPr>
        <w:ind w:left="4680" w:hanging="180"/>
      </w:pPr>
    </w:lvl>
    <w:lvl w:ilvl="6" w:tplc="0EAC57FC">
      <w:start w:val="1"/>
      <w:numFmt w:val="decimal"/>
      <w:lvlText w:val="%7."/>
      <w:lvlJc w:val="left"/>
      <w:pPr>
        <w:ind w:left="5400" w:hanging="360"/>
      </w:pPr>
    </w:lvl>
    <w:lvl w:ilvl="7" w:tplc="CC64D22E">
      <w:start w:val="1"/>
      <w:numFmt w:val="lowerLetter"/>
      <w:lvlText w:val="%8."/>
      <w:lvlJc w:val="left"/>
      <w:pPr>
        <w:ind w:left="6120" w:hanging="360"/>
      </w:pPr>
    </w:lvl>
    <w:lvl w:ilvl="8" w:tplc="BEC07732">
      <w:start w:val="1"/>
      <w:numFmt w:val="lowerRoman"/>
      <w:lvlText w:val="%9."/>
      <w:lvlJc w:val="right"/>
      <w:pPr>
        <w:ind w:left="6840" w:hanging="180"/>
      </w:pPr>
    </w:lvl>
  </w:abstractNum>
  <w:abstractNum w:abstractNumId="32" w15:restartNumberingAfterBreak="0">
    <w:nsid w:val="65CC108F"/>
    <w:multiLevelType w:val="hybridMultilevel"/>
    <w:tmpl w:val="AB94DA92"/>
    <w:lvl w:ilvl="0" w:tplc="CBDC31FA">
      <w:start w:val="1"/>
      <w:numFmt w:val="decimal"/>
      <w:lvlText w:val="%1."/>
      <w:lvlJc w:val="left"/>
      <w:pPr>
        <w:ind w:left="927"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3" w15:restartNumberingAfterBreak="0">
    <w:nsid w:val="6CD1536A"/>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3668FC"/>
    <w:multiLevelType w:val="multilevel"/>
    <w:tmpl w:val="BFC8F33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1E6E5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EE5CF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7" w15:restartNumberingAfterBreak="0">
    <w:nsid w:val="7A5C7226"/>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8" w15:restartNumberingAfterBreak="0">
    <w:nsid w:val="7BAB149D"/>
    <w:multiLevelType w:val="hybridMultilevel"/>
    <w:tmpl w:val="FFFFFFFF"/>
    <w:lvl w:ilvl="0" w:tplc="1E7E29C4">
      <w:start w:val="1"/>
      <w:numFmt w:val="bullet"/>
      <w:lvlText w:val="ü"/>
      <w:lvlJc w:val="left"/>
      <w:pPr>
        <w:ind w:left="720" w:hanging="360"/>
      </w:pPr>
      <w:rPr>
        <w:rFonts w:ascii="&quot;Calibri Light&quot;,sans-serif" w:hAnsi="&quot;Calibri Light&quot;,sans-serif" w:hint="default"/>
      </w:rPr>
    </w:lvl>
    <w:lvl w:ilvl="1" w:tplc="CBD6547C">
      <w:start w:val="1"/>
      <w:numFmt w:val="bullet"/>
      <w:lvlText w:val="o"/>
      <w:lvlJc w:val="left"/>
      <w:pPr>
        <w:ind w:left="1440" w:hanging="360"/>
      </w:pPr>
      <w:rPr>
        <w:rFonts w:ascii="Courier New" w:hAnsi="Courier New" w:hint="default"/>
      </w:rPr>
    </w:lvl>
    <w:lvl w:ilvl="2" w:tplc="6C3CA126">
      <w:start w:val="1"/>
      <w:numFmt w:val="bullet"/>
      <w:lvlText w:val=""/>
      <w:lvlJc w:val="left"/>
      <w:pPr>
        <w:ind w:left="2160" w:hanging="360"/>
      </w:pPr>
      <w:rPr>
        <w:rFonts w:ascii="Wingdings" w:hAnsi="Wingdings" w:hint="default"/>
      </w:rPr>
    </w:lvl>
    <w:lvl w:ilvl="3" w:tplc="CE563794">
      <w:start w:val="1"/>
      <w:numFmt w:val="bullet"/>
      <w:lvlText w:val=""/>
      <w:lvlJc w:val="left"/>
      <w:pPr>
        <w:ind w:left="2880" w:hanging="360"/>
      </w:pPr>
      <w:rPr>
        <w:rFonts w:ascii="Symbol" w:hAnsi="Symbol" w:hint="default"/>
      </w:rPr>
    </w:lvl>
    <w:lvl w:ilvl="4" w:tplc="B978BEAE">
      <w:start w:val="1"/>
      <w:numFmt w:val="bullet"/>
      <w:lvlText w:val="o"/>
      <w:lvlJc w:val="left"/>
      <w:pPr>
        <w:ind w:left="3600" w:hanging="360"/>
      </w:pPr>
      <w:rPr>
        <w:rFonts w:ascii="Courier New" w:hAnsi="Courier New" w:hint="default"/>
      </w:rPr>
    </w:lvl>
    <w:lvl w:ilvl="5" w:tplc="C39857B6">
      <w:start w:val="1"/>
      <w:numFmt w:val="bullet"/>
      <w:lvlText w:val=""/>
      <w:lvlJc w:val="left"/>
      <w:pPr>
        <w:ind w:left="4320" w:hanging="360"/>
      </w:pPr>
      <w:rPr>
        <w:rFonts w:ascii="Wingdings" w:hAnsi="Wingdings" w:hint="default"/>
      </w:rPr>
    </w:lvl>
    <w:lvl w:ilvl="6" w:tplc="5F8CF2FA">
      <w:start w:val="1"/>
      <w:numFmt w:val="bullet"/>
      <w:lvlText w:val=""/>
      <w:lvlJc w:val="left"/>
      <w:pPr>
        <w:ind w:left="5040" w:hanging="360"/>
      </w:pPr>
      <w:rPr>
        <w:rFonts w:ascii="Symbol" w:hAnsi="Symbol" w:hint="default"/>
      </w:rPr>
    </w:lvl>
    <w:lvl w:ilvl="7" w:tplc="17DA4C5A">
      <w:start w:val="1"/>
      <w:numFmt w:val="bullet"/>
      <w:lvlText w:val="o"/>
      <w:lvlJc w:val="left"/>
      <w:pPr>
        <w:ind w:left="5760" w:hanging="360"/>
      </w:pPr>
      <w:rPr>
        <w:rFonts w:ascii="Courier New" w:hAnsi="Courier New" w:hint="default"/>
      </w:rPr>
    </w:lvl>
    <w:lvl w:ilvl="8" w:tplc="80C2F430">
      <w:start w:val="1"/>
      <w:numFmt w:val="bullet"/>
      <w:lvlText w:val=""/>
      <w:lvlJc w:val="left"/>
      <w:pPr>
        <w:ind w:left="6480" w:hanging="360"/>
      </w:pPr>
      <w:rPr>
        <w:rFonts w:ascii="Wingdings" w:hAnsi="Wingdings" w:hint="default"/>
      </w:rPr>
    </w:lvl>
  </w:abstractNum>
  <w:abstractNum w:abstractNumId="39" w15:restartNumberingAfterBreak="0">
    <w:nsid w:val="7CA93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20"/>
  </w:num>
  <w:num w:numId="2">
    <w:abstractNumId w:val="40"/>
  </w:num>
  <w:num w:numId="3">
    <w:abstractNumId w:val="2"/>
  </w:num>
  <w:num w:numId="4">
    <w:abstractNumId w:val="14"/>
  </w:num>
  <w:num w:numId="5">
    <w:abstractNumId w:val="36"/>
  </w:num>
  <w:num w:numId="6">
    <w:abstractNumId w:val="1"/>
  </w:num>
  <w:num w:numId="7">
    <w:abstractNumId w:val="30"/>
  </w:num>
  <w:num w:numId="8">
    <w:abstractNumId w:val="24"/>
  </w:num>
  <w:num w:numId="9">
    <w:abstractNumId w:val="32"/>
  </w:num>
  <w:num w:numId="10">
    <w:abstractNumId w:val="18"/>
  </w:num>
  <w:num w:numId="11">
    <w:abstractNumId w:val="6"/>
  </w:num>
  <w:num w:numId="12">
    <w:abstractNumId w:val="17"/>
  </w:num>
  <w:num w:numId="13">
    <w:abstractNumId w:val="11"/>
  </w:num>
  <w:num w:numId="14">
    <w:abstractNumId w:val="13"/>
  </w:num>
  <w:num w:numId="15">
    <w:abstractNumId w:val="37"/>
  </w:num>
  <w:num w:numId="16">
    <w:abstractNumId w:val="39"/>
  </w:num>
  <w:num w:numId="17">
    <w:abstractNumId w:val="26"/>
  </w:num>
  <w:num w:numId="18">
    <w:abstractNumId w:val="4"/>
  </w:num>
  <w:num w:numId="19">
    <w:abstractNumId w:val="22"/>
  </w:num>
  <w:num w:numId="20">
    <w:abstractNumId w:val="16"/>
  </w:num>
  <w:num w:numId="21">
    <w:abstractNumId w:val="33"/>
  </w:num>
  <w:num w:numId="22">
    <w:abstractNumId w:val="21"/>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num>
  <w:num w:numId="27">
    <w:abstractNumId w:val="35"/>
  </w:num>
  <w:num w:numId="28">
    <w:abstractNumId w:val="19"/>
  </w:num>
  <w:num w:numId="29">
    <w:abstractNumId w:val="38"/>
  </w:num>
  <w:num w:numId="30">
    <w:abstractNumId w:val="5"/>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9"/>
  </w:num>
  <w:num w:numId="39">
    <w:abstractNumId w:val="10"/>
  </w:num>
  <w:num w:numId="40">
    <w:abstractNumId w:val="0"/>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18ED"/>
    <w:rsid w:val="00001D3E"/>
    <w:rsid w:val="0000290C"/>
    <w:rsid w:val="000029FE"/>
    <w:rsid w:val="00003D15"/>
    <w:rsid w:val="000042FE"/>
    <w:rsid w:val="000044F1"/>
    <w:rsid w:val="000056B6"/>
    <w:rsid w:val="00005950"/>
    <w:rsid w:val="00005A61"/>
    <w:rsid w:val="000063BD"/>
    <w:rsid w:val="000065C8"/>
    <w:rsid w:val="000071E4"/>
    <w:rsid w:val="00010710"/>
    <w:rsid w:val="00010A1D"/>
    <w:rsid w:val="00011433"/>
    <w:rsid w:val="0001157B"/>
    <w:rsid w:val="00011EF1"/>
    <w:rsid w:val="0001271F"/>
    <w:rsid w:val="00012BA1"/>
    <w:rsid w:val="00013CA1"/>
    <w:rsid w:val="0001462F"/>
    <w:rsid w:val="000152EA"/>
    <w:rsid w:val="00015A6B"/>
    <w:rsid w:val="00015C9D"/>
    <w:rsid w:val="00015DD8"/>
    <w:rsid w:val="000160F5"/>
    <w:rsid w:val="00016AF0"/>
    <w:rsid w:val="00016B7E"/>
    <w:rsid w:val="000175F7"/>
    <w:rsid w:val="00020E37"/>
    <w:rsid w:val="0002197E"/>
    <w:rsid w:val="00021F61"/>
    <w:rsid w:val="000220FC"/>
    <w:rsid w:val="000221C5"/>
    <w:rsid w:val="0002252E"/>
    <w:rsid w:val="00022A56"/>
    <w:rsid w:val="00022BC9"/>
    <w:rsid w:val="00023296"/>
    <w:rsid w:val="00023407"/>
    <w:rsid w:val="00023D96"/>
    <w:rsid w:val="0002430A"/>
    <w:rsid w:val="000245FE"/>
    <w:rsid w:val="00025376"/>
    <w:rsid w:val="00025A73"/>
    <w:rsid w:val="00026071"/>
    <w:rsid w:val="00026509"/>
    <w:rsid w:val="000278E0"/>
    <w:rsid w:val="00027C8F"/>
    <w:rsid w:val="000305D0"/>
    <w:rsid w:val="0003093E"/>
    <w:rsid w:val="00030D30"/>
    <w:rsid w:val="000315EE"/>
    <w:rsid w:val="000316D3"/>
    <w:rsid w:val="00031ACD"/>
    <w:rsid w:val="00032223"/>
    <w:rsid w:val="00032363"/>
    <w:rsid w:val="00032580"/>
    <w:rsid w:val="00032BEF"/>
    <w:rsid w:val="00032E7E"/>
    <w:rsid w:val="0003346E"/>
    <w:rsid w:val="000338B9"/>
    <w:rsid w:val="0003420D"/>
    <w:rsid w:val="00034493"/>
    <w:rsid w:val="00034721"/>
    <w:rsid w:val="00034A65"/>
    <w:rsid w:val="00034CF3"/>
    <w:rsid w:val="00034FC3"/>
    <w:rsid w:val="000353B5"/>
    <w:rsid w:val="00035569"/>
    <w:rsid w:val="0003557C"/>
    <w:rsid w:val="0003638B"/>
    <w:rsid w:val="000365BB"/>
    <w:rsid w:val="00036E3B"/>
    <w:rsid w:val="00036F3C"/>
    <w:rsid w:val="000370E8"/>
    <w:rsid w:val="00037729"/>
    <w:rsid w:val="0003789B"/>
    <w:rsid w:val="00037FF9"/>
    <w:rsid w:val="00040013"/>
    <w:rsid w:val="00040564"/>
    <w:rsid w:val="00040922"/>
    <w:rsid w:val="000410C8"/>
    <w:rsid w:val="0004188F"/>
    <w:rsid w:val="00041E34"/>
    <w:rsid w:val="00041E9B"/>
    <w:rsid w:val="000421C0"/>
    <w:rsid w:val="000421D6"/>
    <w:rsid w:val="000427EB"/>
    <w:rsid w:val="00042F71"/>
    <w:rsid w:val="00043B5F"/>
    <w:rsid w:val="00044DFE"/>
    <w:rsid w:val="00045003"/>
    <w:rsid w:val="00045185"/>
    <w:rsid w:val="000454D3"/>
    <w:rsid w:val="0004580F"/>
    <w:rsid w:val="00045CAD"/>
    <w:rsid w:val="00045EBD"/>
    <w:rsid w:val="00046292"/>
    <w:rsid w:val="00046391"/>
    <w:rsid w:val="000464D8"/>
    <w:rsid w:val="0004757A"/>
    <w:rsid w:val="00047C8E"/>
    <w:rsid w:val="000507B7"/>
    <w:rsid w:val="000509D5"/>
    <w:rsid w:val="00050A9B"/>
    <w:rsid w:val="00050E64"/>
    <w:rsid w:val="000516B3"/>
    <w:rsid w:val="00051CA8"/>
    <w:rsid w:val="00051CB8"/>
    <w:rsid w:val="00051FCB"/>
    <w:rsid w:val="00052417"/>
    <w:rsid w:val="00052A38"/>
    <w:rsid w:val="00052E70"/>
    <w:rsid w:val="00053082"/>
    <w:rsid w:val="00053A27"/>
    <w:rsid w:val="00053A90"/>
    <w:rsid w:val="00053A99"/>
    <w:rsid w:val="00053E1A"/>
    <w:rsid w:val="000545B4"/>
    <w:rsid w:val="00054714"/>
    <w:rsid w:val="0005481B"/>
    <w:rsid w:val="00054B4B"/>
    <w:rsid w:val="00054E7C"/>
    <w:rsid w:val="00055430"/>
    <w:rsid w:val="00055FD6"/>
    <w:rsid w:val="000562F9"/>
    <w:rsid w:val="000562FA"/>
    <w:rsid w:val="000565AE"/>
    <w:rsid w:val="000568C8"/>
    <w:rsid w:val="00056A1F"/>
    <w:rsid w:val="00056A7D"/>
    <w:rsid w:val="00056D84"/>
    <w:rsid w:val="00057C37"/>
    <w:rsid w:val="00057EFB"/>
    <w:rsid w:val="0006021B"/>
    <w:rsid w:val="000603DC"/>
    <w:rsid w:val="00060B29"/>
    <w:rsid w:val="00060E17"/>
    <w:rsid w:val="00061DA8"/>
    <w:rsid w:val="0006259B"/>
    <w:rsid w:val="00062A8A"/>
    <w:rsid w:val="00062D42"/>
    <w:rsid w:val="00062F50"/>
    <w:rsid w:val="00063285"/>
    <w:rsid w:val="00063EF4"/>
    <w:rsid w:val="00063FF1"/>
    <w:rsid w:val="000640C4"/>
    <w:rsid w:val="0006578D"/>
    <w:rsid w:val="000659A6"/>
    <w:rsid w:val="00066466"/>
    <w:rsid w:val="000668AB"/>
    <w:rsid w:val="00067075"/>
    <w:rsid w:val="000673FA"/>
    <w:rsid w:val="00067AA2"/>
    <w:rsid w:val="00070311"/>
    <w:rsid w:val="000703F3"/>
    <w:rsid w:val="00071423"/>
    <w:rsid w:val="00071532"/>
    <w:rsid w:val="00071745"/>
    <w:rsid w:val="00071AE1"/>
    <w:rsid w:val="000722FD"/>
    <w:rsid w:val="000724A8"/>
    <w:rsid w:val="000725F3"/>
    <w:rsid w:val="00072980"/>
    <w:rsid w:val="00072DF4"/>
    <w:rsid w:val="00072E6C"/>
    <w:rsid w:val="000730AF"/>
    <w:rsid w:val="00073A43"/>
    <w:rsid w:val="0007412C"/>
    <w:rsid w:val="000743AD"/>
    <w:rsid w:val="000743B4"/>
    <w:rsid w:val="000743EF"/>
    <w:rsid w:val="00074775"/>
    <w:rsid w:val="0007484B"/>
    <w:rsid w:val="000749B1"/>
    <w:rsid w:val="00074A6E"/>
    <w:rsid w:val="00074BE1"/>
    <w:rsid w:val="00074FFE"/>
    <w:rsid w:val="00075003"/>
    <w:rsid w:val="00075AC7"/>
    <w:rsid w:val="00075C17"/>
    <w:rsid w:val="0007680E"/>
    <w:rsid w:val="00076F8F"/>
    <w:rsid w:val="0007745A"/>
    <w:rsid w:val="00077D16"/>
    <w:rsid w:val="00080CD0"/>
    <w:rsid w:val="000815D9"/>
    <w:rsid w:val="00081FE8"/>
    <w:rsid w:val="00082B44"/>
    <w:rsid w:val="00083495"/>
    <w:rsid w:val="0008399D"/>
    <w:rsid w:val="00083ABE"/>
    <w:rsid w:val="00083CE6"/>
    <w:rsid w:val="00084003"/>
    <w:rsid w:val="00084D0D"/>
    <w:rsid w:val="00084F5F"/>
    <w:rsid w:val="000851D4"/>
    <w:rsid w:val="000855D7"/>
    <w:rsid w:val="00085998"/>
    <w:rsid w:val="000859C0"/>
    <w:rsid w:val="000863F3"/>
    <w:rsid w:val="0008775B"/>
    <w:rsid w:val="0008781E"/>
    <w:rsid w:val="000904BE"/>
    <w:rsid w:val="000904E0"/>
    <w:rsid w:val="000906CF"/>
    <w:rsid w:val="0009070A"/>
    <w:rsid w:val="00090BD4"/>
    <w:rsid w:val="00090ED9"/>
    <w:rsid w:val="00090F8E"/>
    <w:rsid w:val="000911F4"/>
    <w:rsid w:val="00091CD2"/>
    <w:rsid w:val="00091E21"/>
    <w:rsid w:val="000923CE"/>
    <w:rsid w:val="00092DAD"/>
    <w:rsid w:val="00093937"/>
    <w:rsid w:val="00094EA6"/>
    <w:rsid w:val="00095512"/>
    <w:rsid w:val="0009597E"/>
    <w:rsid w:val="00095A41"/>
    <w:rsid w:val="00095A96"/>
    <w:rsid w:val="00095EC4"/>
    <w:rsid w:val="0009764E"/>
    <w:rsid w:val="00097687"/>
    <w:rsid w:val="00097B6C"/>
    <w:rsid w:val="000A03FE"/>
    <w:rsid w:val="000A072E"/>
    <w:rsid w:val="000A0A04"/>
    <w:rsid w:val="000A0D41"/>
    <w:rsid w:val="000A107B"/>
    <w:rsid w:val="000A1577"/>
    <w:rsid w:val="000A1AD5"/>
    <w:rsid w:val="000A1BA6"/>
    <w:rsid w:val="000A1BED"/>
    <w:rsid w:val="000A1D9C"/>
    <w:rsid w:val="000A1DBB"/>
    <w:rsid w:val="000A26A8"/>
    <w:rsid w:val="000A30AD"/>
    <w:rsid w:val="000A3313"/>
    <w:rsid w:val="000A3B50"/>
    <w:rsid w:val="000A4600"/>
    <w:rsid w:val="000A4D6C"/>
    <w:rsid w:val="000A54F1"/>
    <w:rsid w:val="000A566A"/>
    <w:rsid w:val="000A56BC"/>
    <w:rsid w:val="000A604E"/>
    <w:rsid w:val="000A6BED"/>
    <w:rsid w:val="000A7896"/>
    <w:rsid w:val="000A7EDD"/>
    <w:rsid w:val="000B01C4"/>
    <w:rsid w:val="000B0340"/>
    <w:rsid w:val="000B04F7"/>
    <w:rsid w:val="000B098A"/>
    <w:rsid w:val="000B0AE9"/>
    <w:rsid w:val="000B0C75"/>
    <w:rsid w:val="000B0C81"/>
    <w:rsid w:val="000B0FEA"/>
    <w:rsid w:val="000B12B5"/>
    <w:rsid w:val="000B1379"/>
    <w:rsid w:val="000B174A"/>
    <w:rsid w:val="000B1752"/>
    <w:rsid w:val="000B1763"/>
    <w:rsid w:val="000B17A0"/>
    <w:rsid w:val="000B1EC9"/>
    <w:rsid w:val="000B3A3E"/>
    <w:rsid w:val="000B440C"/>
    <w:rsid w:val="000B4ABC"/>
    <w:rsid w:val="000B5851"/>
    <w:rsid w:val="000B5E1A"/>
    <w:rsid w:val="000B62FC"/>
    <w:rsid w:val="000B6483"/>
    <w:rsid w:val="000B6924"/>
    <w:rsid w:val="000B6FB9"/>
    <w:rsid w:val="000B74F4"/>
    <w:rsid w:val="000B7D48"/>
    <w:rsid w:val="000C08BF"/>
    <w:rsid w:val="000C136C"/>
    <w:rsid w:val="000C1646"/>
    <w:rsid w:val="000C197D"/>
    <w:rsid w:val="000C2148"/>
    <w:rsid w:val="000C2294"/>
    <w:rsid w:val="000C3040"/>
    <w:rsid w:val="000C30BB"/>
    <w:rsid w:val="000C3268"/>
    <w:rsid w:val="000C3337"/>
    <w:rsid w:val="000C3947"/>
    <w:rsid w:val="000C3BE2"/>
    <w:rsid w:val="000C43C7"/>
    <w:rsid w:val="000C470C"/>
    <w:rsid w:val="000C5170"/>
    <w:rsid w:val="000C51FE"/>
    <w:rsid w:val="000C6983"/>
    <w:rsid w:val="000C6B57"/>
    <w:rsid w:val="000C6BC3"/>
    <w:rsid w:val="000C701D"/>
    <w:rsid w:val="000C7509"/>
    <w:rsid w:val="000C7B51"/>
    <w:rsid w:val="000D033F"/>
    <w:rsid w:val="000D0A0B"/>
    <w:rsid w:val="000D12DD"/>
    <w:rsid w:val="000D187D"/>
    <w:rsid w:val="000D1A72"/>
    <w:rsid w:val="000D2098"/>
    <w:rsid w:val="000D2210"/>
    <w:rsid w:val="000D22BD"/>
    <w:rsid w:val="000D4366"/>
    <w:rsid w:val="000D4381"/>
    <w:rsid w:val="000D43DB"/>
    <w:rsid w:val="000D4A65"/>
    <w:rsid w:val="000D5307"/>
    <w:rsid w:val="000D5C90"/>
    <w:rsid w:val="000D5D3F"/>
    <w:rsid w:val="000D62FB"/>
    <w:rsid w:val="000D635A"/>
    <w:rsid w:val="000D660E"/>
    <w:rsid w:val="000D68B8"/>
    <w:rsid w:val="000D790E"/>
    <w:rsid w:val="000D7E9E"/>
    <w:rsid w:val="000E0178"/>
    <w:rsid w:val="000E0241"/>
    <w:rsid w:val="000E0C23"/>
    <w:rsid w:val="000E1C40"/>
    <w:rsid w:val="000E2A20"/>
    <w:rsid w:val="000E2B30"/>
    <w:rsid w:val="000E2BD0"/>
    <w:rsid w:val="000E4C93"/>
    <w:rsid w:val="000E4E81"/>
    <w:rsid w:val="000E50D9"/>
    <w:rsid w:val="000E52F7"/>
    <w:rsid w:val="000E5AE4"/>
    <w:rsid w:val="000E65ED"/>
    <w:rsid w:val="000E6618"/>
    <w:rsid w:val="000E66D7"/>
    <w:rsid w:val="000E6701"/>
    <w:rsid w:val="000E6B04"/>
    <w:rsid w:val="000E6D71"/>
    <w:rsid w:val="000E738C"/>
    <w:rsid w:val="000F03BD"/>
    <w:rsid w:val="000F080E"/>
    <w:rsid w:val="000F0A8E"/>
    <w:rsid w:val="000F1575"/>
    <w:rsid w:val="000F1DD9"/>
    <w:rsid w:val="000F1EB8"/>
    <w:rsid w:val="000F25E0"/>
    <w:rsid w:val="000F402A"/>
    <w:rsid w:val="000F4117"/>
    <w:rsid w:val="000F459E"/>
    <w:rsid w:val="000F46D3"/>
    <w:rsid w:val="000F4BFE"/>
    <w:rsid w:val="000F4C39"/>
    <w:rsid w:val="000F4F9F"/>
    <w:rsid w:val="000F5652"/>
    <w:rsid w:val="000F5A5F"/>
    <w:rsid w:val="000F5B0F"/>
    <w:rsid w:val="000F5E49"/>
    <w:rsid w:val="000F6458"/>
    <w:rsid w:val="000F6A35"/>
    <w:rsid w:val="000F6A78"/>
    <w:rsid w:val="000F72EB"/>
    <w:rsid w:val="000F7801"/>
    <w:rsid w:val="000F7C7D"/>
    <w:rsid w:val="000F7CC8"/>
    <w:rsid w:val="0010020D"/>
    <w:rsid w:val="00100776"/>
    <w:rsid w:val="00103956"/>
    <w:rsid w:val="00103D50"/>
    <w:rsid w:val="00103E6A"/>
    <w:rsid w:val="00103F3E"/>
    <w:rsid w:val="001043AB"/>
    <w:rsid w:val="00104816"/>
    <w:rsid w:val="0010602E"/>
    <w:rsid w:val="00106DAF"/>
    <w:rsid w:val="00106ED8"/>
    <w:rsid w:val="0010781A"/>
    <w:rsid w:val="001100BF"/>
    <w:rsid w:val="00110CFC"/>
    <w:rsid w:val="0011212E"/>
    <w:rsid w:val="001122C2"/>
    <w:rsid w:val="00112A64"/>
    <w:rsid w:val="0011396F"/>
    <w:rsid w:val="00113F5C"/>
    <w:rsid w:val="00114307"/>
    <w:rsid w:val="00114628"/>
    <w:rsid w:val="00114B5B"/>
    <w:rsid w:val="00114CD1"/>
    <w:rsid w:val="00114DE0"/>
    <w:rsid w:val="001151F8"/>
    <w:rsid w:val="001157E9"/>
    <w:rsid w:val="0011640E"/>
    <w:rsid w:val="001169A2"/>
    <w:rsid w:val="00117E34"/>
    <w:rsid w:val="00120068"/>
    <w:rsid w:val="0012019C"/>
    <w:rsid w:val="0012099B"/>
    <w:rsid w:val="001211FD"/>
    <w:rsid w:val="00122873"/>
    <w:rsid w:val="00122AEC"/>
    <w:rsid w:val="00122E78"/>
    <w:rsid w:val="00123148"/>
    <w:rsid w:val="00123A33"/>
    <w:rsid w:val="0012469D"/>
    <w:rsid w:val="00124852"/>
    <w:rsid w:val="001255C6"/>
    <w:rsid w:val="0012589F"/>
    <w:rsid w:val="00125A65"/>
    <w:rsid w:val="00125E67"/>
    <w:rsid w:val="001264A0"/>
    <w:rsid w:val="00126B36"/>
    <w:rsid w:val="00126D5B"/>
    <w:rsid w:val="0012740F"/>
    <w:rsid w:val="0012759F"/>
    <w:rsid w:val="00130C68"/>
    <w:rsid w:val="00131657"/>
    <w:rsid w:val="00131BFB"/>
    <w:rsid w:val="00131D37"/>
    <w:rsid w:val="001323FF"/>
    <w:rsid w:val="0013245A"/>
    <w:rsid w:val="00133648"/>
    <w:rsid w:val="00133672"/>
    <w:rsid w:val="00133794"/>
    <w:rsid w:val="00133F8C"/>
    <w:rsid w:val="001341B3"/>
    <w:rsid w:val="001345D4"/>
    <w:rsid w:val="00134877"/>
    <w:rsid w:val="00134956"/>
    <w:rsid w:val="0013501C"/>
    <w:rsid w:val="00135246"/>
    <w:rsid w:val="00136305"/>
    <w:rsid w:val="00136611"/>
    <w:rsid w:val="001366C5"/>
    <w:rsid w:val="00137001"/>
    <w:rsid w:val="001377D1"/>
    <w:rsid w:val="001377EA"/>
    <w:rsid w:val="00137A20"/>
    <w:rsid w:val="00140762"/>
    <w:rsid w:val="00140871"/>
    <w:rsid w:val="001410F2"/>
    <w:rsid w:val="00141116"/>
    <w:rsid w:val="00141965"/>
    <w:rsid w:val="00141C85"/>
    <w:rsid w:val="00142004"/>
    <w:rsid w:val="001421A7"/>
    <w:rsid w:val="001424D0"/>
    <w:rsid w:val="001428DA"/>
    <w:rsid w:val="0014329A"/>
    <w:rsid w:val="00143572"/>
    <w:rsid w:val="00143684"/>
    <w:rsid w:val="001439BA"/>
    <w:rsid w:val="00143BC7"/>
    <w:rsid w:val="00143D13"/>
    <w:rsid w:val="00143DFF"/>
    <w:rsid w:val="001450C8"/>
    <w:rsid w:val="0014510D"/>
    <w:rsid w:val="00146113"/>
    <w:rsid w:val="001463E7"/>
    <w:rsid w:val="0014653C"/>
    <w:rsid w:val="001468CC"/>
    <w:rsid w:val="001475EA"/>
    <w:rsid w:val="00147EB9"/>
    <w:rsid w:val="0015002B"/>
    <w:rsid w:val="0015041D"/>
    <w:rsid w:val="00150722"/>
    <w:rsid w:val="00150A52"/>
    <w:rsid w:val="00150AB6"/>
    <w:rsid w:val="00150BC8"/>
    <w:rsid w:val="00150F7A"/>
    <w:rsid w:val="0015141F"/>
    <w:rsid w:val="00151B22"/>
    <w:rsid w:val="00151C10"/>
    <w:rsid w:val="00152682"/>
    <w:rsid w:val="00152CC3"/>
    <w:rsid w:val="00153275"/>
    <w:rsid w:val="00153C57"/>
    <w:rsid w:val="00154098"/>
    <w:rsid w:val="0015486D"/>
    <w:rsid w:val="0015534F"/>
    <w:rsid w:val="001553E0"/>
    <w:rsid w:val="00155DB4"/>
    <w:rsid w:val="001562A1"/>
    <w:rsid w:val="001563D0"/>
    <w:rsid w:val="00156C70"/>
    <w:rsid w:val="001579A1"/>
    <w:rsid w:val="00157A2D"/>
    <w:rsid w:val="00157AFF"/>
    <w:rsid w:val="00160089"/>
    <w:rsid w:val="00160845"/>
    <w:rsid w:val="00160857"/>
    <w:rsid w:val="0016094D"/>
    <w:rsid w:val="0016114A"/>
    <w:rsid w:val="00162CB5"/>
    <w:rsid w:val="00163C30"/>
    <w:rsid w:val="00163EFB"/>
    <w:rsid w:val="00164247"/>
    <w:rsid w:val="00164CA2"/>
    <w:rsid w:val="00164D20"/>
    <w:rsid w:val="001667A3"/>
    <w:rsid w:val="001671A2"/>
    <w:rsid w:val="00167636"/>
    <w:rsid w:val="001705A9"/>
    <w:rsid w:val="00170B2C"/>
    <w:rsid w:val="00171474"/>
    <w:rsid w:val="0017168C"/>
    <w:rsid w:val="00171866"/>
    <w:rsid w:val="001728FB"/>
    <w:rsid w:val="001731E3"/>
    <w:rsid w:val="0017392A"/>
    <w:rsid w:val="001740EC"/>
    <w:rsid w:val="001743A5"/>
    <w:rsid w:val="00174A2B"/>
    <w:rsid w:val="00175340"/>
    <w:rsid w:val="0017553F"/>
    <w:rsid w:val="0017554B"/>
    <w:rsid w:val="00175729"/>
    <w:rsid w:val="00175FAF"/>
    <w:rsid w:val="00176163"/>
    <w:rsid w:val="00177432"/>
    <w:rsid w:val="0017752B"/>
    <w:rsid w:val="00177769"/>
    <w:rsid w:val="001778F8"/>
    <w:rsid w:val="00177DD2"/>
    <w:rsid w:val="00180102"/>
    <w:rsid w:val="00181370"/>
    <w:rsid w:val="001830D3"/>
    <w:rsid w:val="0018323E"/>
    <w:rsid w:val="0018347D"/>
    <w:rsid w:val="00183A92"/>
    <w:rsid w:val="00184244"/>
    <w:rsid w:val="001842E4"/>
    <w:rsid w:val="00184EE0"/>
    <w:rsid w:val="001855A4"/>
    <w:rsid w:val="001857E4"/>
    <w:rsid w:val="00185BA8"/>
    <w:rsid w:val="00186684"/>
    <w:rsid w:val="00186BA5"/>
    <w:rsid w:val="00186FAA"/>
    <w:rsid w:val="00186FBD"/>
    <w:rsid w:val="00186FCD"/>
    <w:rsid w:val="00186FD6"/>
    <w:rsid w:val="00187B60"/>
    <w:rsid w:val="00187D95"/>
    <w:rsid w:val="0019041D"/>
    <w:rsid w:val="001910FA"/>
    <w:rsid w:val="00191964"/>
    <w:rsid w:val="00191A9D"/>
    <w:rsid w:val="001922DC"/>
    <w:rsid w:val="001923A2"/>
    <w:rsid w:val="001926F8"/>
    <w:rsid w:val="00193561"/>
    <w:rsid w:val="001947DD"/>
    <w:rsid w:val="00194F8D"/>
    <w:rsid w:val="001952FA"/>
    <w:rsid w:val="00195995"/>
    <w:rsid w:val="00195A8D"/>
    <w:rsid w:val="00195BA3"/>
    <w:rsid w:val="0019612C"/>
    <w:rsid w:val="00196384"/>
    <w:rsid w:val="00196569"/>
    <w:rsid w:val="00196800"/>
    <w:rsid w:val="0019688A"/>
    <w:rsid w:val="00196AA0"/>
    <w:rsid w:val="00196ACD"/>
    <w:rsid w:val="00197080"/>
    <w:rsid w:val="0019764D"/>
    <w:rsid w:val="00197EB7"/>
    <w:rsid w:val="001A09E8"/>
    <w:rsid w:val="001A128C"/>
    <w:rsid w:val="001A187B"/>
    <w:rsid w:val="001A199F"/>
    <w:rsid w:val="001A33E3"/>
    <w:rsid w:val="001A4968"/>
    <w:rsid w:val="001A58F7"/>
    <w:rsid w:val="001A673A"/>
    <w:rsid w:val="001A68B6"/>
    <w:rsid w:val="001A76E1"/>
    <w:rsid w:val="001A7957"/>
    <w:rsid w:val="001A79E3"/>
    <w:rsid w:val="001A7BDD"/>
    <w:rsid w:val="001A7CDD"/>
    <w:rsid w:val="001A7FC0"/>
    <w:rsid w:val="001B060C"/>
    <w:rsid w:val="001B0A14"/>
    <w:rsid w:val="001B128A"/>
    <w:rsid w:val="001B1342"/>
    <w:rsid w:val="001B1545"/>
    <w:rsid w:val="001B218D"/>
    <w:rsid w:val="001B2986"/>
    <w:rsid w:val="001B2C54"/>
    <w:rsid w:val="001B347B"/>
    <w:rsid w:val="001B5129"/>
    <w:rsid w:val="001B590F"/>
    <w:rsid w:val="001B5A32"/>
    <w:rsid w:val="001B5E2F"/>
    <w:rsid w:val="001B776F"/>
    <w:rsid w:val="001B7CED"/>
    <w:rsid w:val="001C05D9"/>
    <w:rsid w:val="001C08A6"/>
    <w:rsid w:val="001C08D9"/>
    <w:rsid w:val="001C1A5D"/>
    <w:rsid w:val="001C262C"/>
    <w:rsid w:val="001C2901"/>
    <w:rsid w:val="001C292E"/>
    <w:rsid w:val="001C3F6F"/>
    <w:rsid w:val="001C428D"/>
    <w:rsid w:val="001C499A"/>
    <w:rsid w:val="001C4A80"/>
    <w:rsid w:val="001C4FD5"/>
    <w:rsid w:val="001C55C3"/>
    <w:rsid w:val="001C6C3F"/>
    <w:rsid w:val="001C6EE9"/>
    <w:rsid w:val="001C7E34"/>
    <w:rsid w:val="001C7ED2"/>
    <w:rsid w:val="001D0A14"/>
    <w:rsid w:val="001D0C6F"/>
    <w:rsid w:val="001D0DAA"/>
    <w:rsid w:val="001D162A"/>
    <w:rsid w:val="001D1986"/>
    <w:rsid w:val="001D1A3E"/>
    <w:rsid w:val="001D23F8"/>
    <w:rsid w:val="001D2778"/>
    <w:rsid w:val="001D32DA"/>
    <w:rsid w:val="001D38E5"/>
    <w:rsid w:val="001D3E0D"/>
    <w:rsid w:val="001D3EA5"/>
    <w:rsid w:val="001D3F1A"/>
    <w:rsid w:val="001D46F6"/>
    <w:rsid w:val="001D47A4"/>
    <w:rsid w:val="001D4AB1"/>
    <w:rsid w:val="001D4D7B"/>
    <w:rsid w:val="001D5CCD"/>
    <w:rsid w:val="001D5E35"/>
    <w:rsid w:val="001D66DB"/>
    <w:rsid w:val="001D6DAA"/>
    <w:rsid w:val="001E119E"/>
    <w:rsid w:val="001E176F"/>
    <w:rsid w:val="001E1A78"/>
    <w:rsid w:val="001E1C91"/>
    <w:rsid w:val="001E2109"/>
    <w:rsid w:val="001E22D7"/>
    <w:rsid w:val="001E24D0"/>
    <w:rsid w:val="001E293A"/>
    <w:rsid w:val="001E3DB1"/>
    <w:rsid w:val="001E4949"/>
    <w:rsid w:val="001E53D1"/>
    <w:rsid w:val="001E5C70"/>
    <w:rsid w:val="001E6065"/>
    <w:rsid w:val="001E6332"/>
    <w:rsid w:val="001E6894"/>
    <w:rsid w:val="001E6C51"/>
    <w:rsid w:val="001E71AB"/>
    <w:rsid w:val="001E7B19"/>
    <w:rsid w:val="001F0070"/>
    <w:rsid w:val="001F0580"/>
    <w:rsid w:val="001F07A3"/>
    <w:rsid w:val="001F0804"/>
    <w:rsid w:val="001F08E0"/>
    <w:rsid w:val="001F096A"/>
    <w:rsid w:val="001F0BCD"/>
    <w:rsid w:val="001F0EB3"/>
    <w:rsid w:val="001F12E9"/>
    <w:rsid w:val="001F20DD"/>
    <w:rsid w:val="001F24B2"/>
    <w:rsid w:val="001F2F49"/>
    <w:rsid w:val="001F39C8"/>
    <w:rsid w:val="001F3BF8"/>
    <w:rsid w:val="001F3D2F"/>
    <w:rsid w:val="001F4585"/>
    <w:rsid w:val="001F46A7"/>
    <w:rsid w:val="001F499B"/>
    <w:rsid w:val="001F4AB9"/>
    <w:rsid w:val="001F4E36"/>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BC9"/>
    <w:rsid w:val="00203F73"/>
    <w:rsid w:val="00204854"/>
    <w:rsid w:val="002058A6"/>
    <w:rsid w:val="00205A80"/>
    <w:rsid w:val="002061A0"/>
    <w:rsid w:val="00206300"/>
    <w:rsid w:val="0020631D"/>
    <w:rsid w:val="00206523"/>
    <w:rsid w:val="002070C9"/>
    <w:rsid w:val="00210267"/>
    <w:rsid w:val="002104A8"/>
    <w:rsid w:val="002106A6"/>
    <w:rsid w:val="002109F1"/>
    <w:rsid w:val="00210F6C"/>
    <w:rsid w:val="002116BF"/>
    <w:rsid w:val="0021171F"/>
    <w:rsid w:val="00211761"/>
    <w:rsid w:val="00211797"/>
    <w:rsid w:val="00211B10"/>
    <w:rsid w:val="00211BCA"/>
    <w:rsid w:val="00211C85"/>
    <w:rsid w:val="00212497"/>
    <w:rsid w:val="002124F9"/>
    <w:rsid w:val="00212582"/>
    <w:rsid w:val="00212819"/>
    <w:rsid w:val="00212A6A"/>
    <w:rsid w:val="002138FA"/>
    <w:rsid w:val="002143A1"/>
    <w:rsid w:val="0021446E"/>
    <w:rsid w:val="0021470C"/>
    <w:rsid w:val="0021511F"/>
    <w:rsid w:val="002152E9"/>
    <w:rsid w:val="002154E3"/>
    <w:rsid w:val="00216246"/>
    <w:rsid w:val="00216353"/>
    <w:rsid w:val="00216743"/>
    <w:rsid w:val="00216E3F"/>
    <w:rsid w:val="00217122"/>
    <w:rsid w:val="00217618"/>
    <w:rsid w:val="00217694"/>
    <w:rsid w:val="0021787A"/>
    <w:rsid w:val="00217AD7"/>
    <w:rsid w:val="00220515"/>
    <w:rsid w:val="00221091"/>
    <w:rsid w:val="00221477"/>
    <w:rsid w:val="00221736"/>
    <w:rsid w:val="00222080"/>
    <w:rsid w:val="00222255"/>
    <w:rsid w:val="002227AF"/>
    <w:rsid w:val="00222D2A"/>
    <w:rsid w:val="00223957"/>
    <w:rsid w:val="0022497B"/>
    <w:rsid w:val="00224CB2"/>
    <w:rsid w:val="00225C3D"/>
    <w:rsid w:val="00225E15"/>
    <w:rsid w:val="0022637D"/>
    <w:rsid w:val="00226D23"/>
    <w:rsid w:val="00226F81"/>
    <w:rsid w:val="002270F6"/>
    <w:rsid w:val="002271E3"/>
    <w:rsid w:val="0022754A"/>
    <w:rsid w:val="00227F27"/>
    <w:rsid w:val="002306C9"/>
    <w:rsid w:val="00230B92"/>
    <w:rsid w:val="00230B9D"/>
    <w:rsid w:val="00230C51"/>
    <w:rsid w:val="00230CEF"/>
    <w:rsid w:val="00230E29"/>
    <w:rsid w:val="00231C7C"/>
    <w:rsid w:val="002325BC"/>
    <w:rsid w:val="00232A53"/>
    <w:rsid w:val="0023313B"/>
    <w:rsid w:val="002342A8"/>
    <w:rsid w:val="00234E1B"/>
    <w:rsid w:val="00234EE6"/>
    <w:rsid w:val="00235020"/>
    <w:rsid w:val="00235306"/>
    <w:rsid w:val="00235838"/>
    <w:rsid w:val="0023618A"/>
    <w:rsid w:val="00236265"/>
    <w:rsid w:val="00236EB2"/>
    <w:rsid w:val="00237095"/>
    <w:rsid w:val="002370E1"/>
    <w:rsid w:val="00237D01"/>
    <w:rsid w:val="0024054A"/>
    <w:rsid w:val="002406A8"/>
    <w:rsid w:val="00241045"/>
    <w:rsid w:val="00241D03"/>
    <w:rsid w:val="00241FBC"/>
    <w:rsid w:val="00242044"/>
    <w:rsid w:val="0024261F"/>
    <w:rsid w:val="0024335E"/>
    <w:rsid w:val="0024367B"/>
    <w:rsid w:val="00244233"/>
    <w:rsid w:val="00244E04"/>
    <w:rsid w:val="002461AB"/>
    <w:rsid w:val="00246377"/>
    <w:rsid w:val="0024639B"/>
    <w:rsid w:val="002464F4"/>
    <w:rsid w:val="00246E86"/>
    <w:rsid w:val="00246FF3"/>
    <w:rsid w:val="002474B3"/>
    <w:rsid w:val="00247E02"/>
    <w:rsid w:val="0025027E"/>
    <w:rsid w:val="00250632"/>
    <w:rsid w:val="0025134B"/>
    <w:rsid w:val="00251553"/>
    <w:rsid w:val="002516DD"/>
    <w:rsid w:val="00251D27"/>
    <w:rsid w:val="00252278"/>
    <w:rsid w:val="002523BC"/>
    <w:rsid w:val="00252574"/>
    <w:rsid w:val="002528D3"/>
    <w:rsid w:val="00252CB6"/>
    <w:rsid w:val="002533D0"/>
    <w:rsid w:val="00253F32"/>
    <w:rsid w:val="002544FC"/>
    <w:rsid w:val="002567E1"/>
    <w:rsid w:val="0025746C"/>
    <w:rsid w:val="00257A8B"/>
    <w:rsid w:val="00257D4F"/>
    <w:rsid w:val="0026062C"/>
    <w:rsid w:val="00261C23"/>
    <w:rsid w:val="00261CFA"/>
    <w:rsid w:val="002620DB"/>
    <w:rsid w:val="00262207"/>
    <w:rsid w:val="002625DF"/>
    <w:rsid w:val="0026278D"/>
    <w:rsid w:val="0026403B"/>
    <w:rsid w:val="00264392"/>
    <w:rsid w:val="00264560"/>
    <w:rsid w:val="0026493D"/>
    <w:rsid w:val="00264F21"/>
    <w:rsid w:val="00265644"/>
    <w:rsid w:val="00265F7E"/>
    <w:rsid w:val="00266A15"/>
    <w:rsid w:val="0026775B"/>
    <w:rsid w:val="002709A7"/>
    <w:rsid w:val="002712A3"/>
    <w:rsid w:val="00271415"/>
    <w:rsid w:val="00271452"/>
    <w:rsid w:val="00271997"/>
    <w:rsid w:val="00271CD4"/>
    <w:rsid w:val="002720EE"/>
    <w:rsid w:val="00272281"/>
    <w:rsid w:val="002725FF"/>
    <w:rsid w:val="00272C44"/>
    <w:rsid w:val="00272EC2"/>
    <w:rsid w:val="00275F05"/>
    <w:rsid w:val="002764F5"/>
    <w:rsid w:val="00276889"/>
    <w:rsid w:val="00277D0A"/>
    <w:rsid w:val="00280EF1"/>
    <w:rsid w:val="002815FC"/>
    <w:rsid w:val="00281757"/>
    <w:rsid w:val="00281AE1"/>
    <w:rsid w:val="00281FC9"/>
    <w:rsid w:val="00282F14"/>
    <w:rsid w:val="0028361F"/>
    <w:rsid w:val="0028396E"/>
    <w:rsid w:val="00283D79"/>
    <w:rsid w:val="00284A99"/>
    <w:rsid w:val="00284B4B"/>
    <w:rsid w:val="00284CCF"/>
    <w:rsid w:val="002856EC"/>
    <w:rsid w:val="0028583A"/>
    <w:rsid w:val="00285B56"/>
    <w:rsid w:val="00286550"/>
    <w:rsid w:val="00287113"/>
    <w:rsid w:val="00287470"/>
    <w:rsid w:val="0029034E"/>
    <w:rsid w:val="00290772"/>
    <w:rsid w:val="00290A80"/>
    <w:rsid w:val="00290C90"/>
    <w:rsid w:val="0029148B"/>
    <w:rsid w:val="00291F0C"/>
    <w:rsid w:val="00292075"/>
    <w:rsid w:val="002923E7"/>
    <w:rsid w:val="00292D0D"/>
    <w:rsid w:val="00292D22"/>
    <w:rsid w:val="00293200"/>
    <w:rsid w:val="00293326"/>
    <w:rsid w:val="00294EAA"/>
    <w:rsid w:val="0029515F"/>
    <w:rsid w:val="002955D0"/>
    <w:rsid w:val="002962E0"/>
    <w:rsid w:val="0029642E"/>
    <w:rsid w:val="00296EC4"/>
    <w:rsid w:val="00297E3C"/>
    <w:rsid w:val="002A0088"/>
    <w:rsid w:val="002A0168"/>
    <w:rsid w:val="002A06D6"/>
    <w:rsid w:val="002A1273"/>
    <w:rsid w:val="002A127E"/>
    <w:rsid w:val="002A1CB8"/>
    <w:rsid w:val="002A2881"/>
    <w:rsid w:val="002A2BF9"/>
    <w:rsid w:val="002A3469"/>
    <w:rsid w:val="002A3BC5"/>
    <w:rsid w:val="002A404C"/>
    <w:rsid w:val="002A4DEE"/>
    <w:rsid w:val="002A517A"/>
    <w:rsid w:val="002A5338"/>
    <w:rsid w:val="002A538C"/>
    <w:rsid w:val="002A6450"/>
    <w:rsid w:val="002A64A2"/>
    <w:rsid w:val="002A64EF"/>
    <w:rsid w:val="002A6945"/>
    <w:rsid w:val="002A6E62"/>
    <w:rsid w:val="002A702C"/>
    <w:rsid w:val="002A7ACC"/>
    <w:rsid w:val="002A7D7F"/>
    <w:rsid w:val="002A7F48"/>
    <w:rsid w:val="002B05A3"/>
    <w:rsid w:val="002B0B9A"/>
    <w:rsid w:val="002B18C5"/>
    <w:rsid w:val="002B19B4"/>
    <w:rsid w:val="002B1A68"/>
    <w:rsid w:val="002B20DB"/>
    <w:rsid w:val="002B2275"/>
    <w:rsid w:val="002B32BF"/>
    <w:rsid w:val="002B36E9"/>
    <w:rsid w:val="002B380E"/>
    <w:rsid w:val="002B4070"/>
    <w:rsid w:val="002B46AC"/>
    <w:rsid w:val="002B4CA1"/>
    <w:rsid w:val="002B4EB2"/>
    <w:rsid w:val="002B5D48"/>
    <w:rsid w:val="002B6102"/>
    <w:rsid w:val="002B6525"/>
    <w:rsid w:val="002B7452"/>
    <w:rsid w:val="002B7AA8"/>
    <w:rsid w:val="002C0420"/>
    <w:rsid w:val="002C0460"/>
    <w:rsid w:val="002C04EB"/>
    <w:rsid w:val="002C1943"/>
    <w:rsid w:val="002C1954"/>
    <w:rsid w:val="002C1CCF"/>
    <w:rsid w:val="002C1F81"/>
    <w:rsid w:val="002C21D9"/>
    <w:rsid w:val="002C2345"/>
    <w:rsid w:val="002C27D0"/>
    <w:rsid w:val="002C37D1"/>
    <w:rsid w:val="002C3D56"/>
    <w:rsid w:val="002C3E86"/>
    <w:rsid w:val="002C4503"/>
    <w:rsid w:val="002C460B"/>
    <w:rsid w:val="002C490A"/>
    <w:rsid w:val="002C567F"/>
    <w:rsid w:val="002C6604"/>
    <w:rsid w:val="002C6B02"/>
    <w:rsid w:val="002C6C3D"/>
    <w:rsid w:val="002C6CA6"/>
    <w:rsid w:val="002C7BD0"/>
    <w:rsid w:val="002C7EA8"/>
    <w:rsid w:val="002D1099"/>
    <w:rsid w:val="002D1A4C"/>
    <w:rsid w:val="002D1ADF"/>
    <w:rsid w:val="002D1E75"/>
    <w:rsid w:val="002D2588"/>
    <w:rsid w:val="002D2896"/>
    <w:rsid w:val="002D32A3"/>
    <w:rsid w:val="002D3A28"/>
    <w:rsid w:val="002D4513"/>
    <w:rsid w:val="002D51DD"/>
    <w:rsid w:val="002D5A47"/>
    <w:rsid w:val="002D6E2F"/>
    <w:rsid w:val="002D7307"/>
    <w:rsid w:val="002D73EA"/>
    <w:rsid w:val="002D7649"/>
    <w:rsid w:val="002D7841"/>
    <w:rsid w:val="002D795C"/>
    <w:rsid w:val="002D7B20"/>
    <w:rsid w:val="002E0CFA"/>
    <w:rsid w:val="002E0E34"/>
    <w:rsid w:val="002E0E43"/>
    <w:rsid w:val="002E0FF9"/>
    <w:rsid w:val="002E1072"/>
    <w:rsid w:val="002E11AD"/>
    <w:rsid w:val="002E172F"/>
    <w:rsid w:val="002E1828"/>
    <w:rsid w:val="002E1B9C"/>
    <w:rsid w:val="002E20EF"/>
    <w:rsid w:val="002E2F14"/>
    <w:rsid w:val="002E3163"/>
    <w:rsid w:val="002E35D7"/>
    <w:rsid w:val="002E53F3"/>
    <w:rsid w:val="002E5DFB"/>
    <w:rsid w:val="002E6402"/>
    <w:rsid w:val="002E7149"/>
    <w:rsid w:val="002E75B1"/>
    <w:rsid w:val="002E7863"/>
    <w:rsid w:val="002E7B65"/>
    <w:rsid w:val="002F04FB"/>
    <w:rsid w:val="002F06C8"/>
    <w:rsid w:val="002F0C50"/>
    <w:rsid w:val="002F148E"/>
    <w:rsid w:val="002F1DFF"/>
    <w:rsid w:val="002F20BA"/>
    <w:rsid w:val="002F27C3"/>
    <w:rsid w:val="002F307A"/>
    <w:rsid w:val="002F40AE"/>
    <w:rsid w:val="002F45B7"/>
    <w:rsid w:val="002F4A66"/>
    <w:rsid w:val="002F4AD3"/>
    <w:rsid w:val="002F4C3C"/>
    <w:rsid w:val="002F564E"/>
    <w:rsid w:val="002F5B6A"/>
    <w:rsid w:val="002F5D5B"/>
    <w:rsid w:val="002F648E"/>
    <w:rsid w:val="002F6894"/>
    <w:rsid w:val="002F69FD"/>
    <w:rsid w:val="002F6EC7"/>
    <w:rsid w:val="002F71A7"/>
    <w:rsid w:val="002F74B7"/>
    <w:rsid w:val="002F7CDF"/>
    <w:rsid w:val="003007AF"/>
    <w:rsid w:val="003007BD"/>
    <w:rsid w:val="00300963"/>
    <w:rsid w:val="0030127A"/>
    <w:rsid w:val="00301DB6"/>
    <w:rsid w:val="0030203A"/>
    <w:rsid w:val="00302379"/>
    <w:rsid w:val="003038E4"/>
    <w:rsid w:val="003046E7"/>
    <w:rsid w:val="003046E8"/>
    <w:rsid w:val="00304953"/>
    <w:rsid w:val="00304BC1"/>
    <w:rsid w:val="00304D10"/>
    <w:rsid w:val="003060D6"/>
    <w:rsid w:val="003060F8"/>
    <w:rsid w:val="00306733"/>
    <w:rsid w:val="00306D82"/>
    <w:rsid w:val="00307FF8"/>
    <w:rsid w:val="00310167"/>
    <w:rsid w:val="003101FC"/>
    <w:rsid w:val="003103B3"/>
    <w:rsid w:val="0031042E"/>
    <w:rsid w:val="00310A91"/>
    <w:rsid w:val="003114BB"/>
    <w:rsid w:val="00312493"/>
    <w:rsid w:val="003124CC"/>
    <w:rsid w:val="0031277A"/>
    <w:rsid w:val="00312A91"/>
    <w:rsid w:val="00313B8D"/>
    <w:rsid w:val="003140C0"/>
    <w:rsid w:val="00314150"/>
    <w:rsid w:val="003142C7"/>
    <w:rsid w:val="003142E5"/>
    <w:rsid w:val="00314D88"/>
    <w:rsid w:val="003154BE"/>
    <w:rsid w:val="00315BF9"/>
    <w:rsid w:val="003160C2"/>
    <w:rsid w:val="00316A8A"/>
    <w:rsid w:val="003177F7"/>
    <w:rsid w:val="00317D67"/>
    <w:rsid w:val="0032071D"/>
    <w:rsid w:val="003207C9"/>
    <w:rsid w:val="003211AB"/>
    <w:rsid w:val="003218C4"/>
    <w:rsid w:val="00321A99"/>
    <w:rsid w:val="00321F69"/>
    <w:rsid w:val="003220D8"/>
    <w:rsid w:val="003225A3"/>
    <w:rsid w:val="00322750"/>
    <w:rsid w:val="003229FA"/>
    <w:rsid w:val="0032374A"/>
    <w:rsid w:val="0032455F"/>
    <w:rsid w:val="00325CA5"/>
    <w:rsid w:val="003262D0"/>
    <w:rsid w:val="0032694D"/>
    <w:rsid w:val="00326B58"/>
    <w:rsid w:val="00326DD3"/>
    <w:rsid w:val="00327691"/>
    <w:rsid w:val="00327817"/>
    <w:rsid w:val="0033007F"/>
    <w:rsid w:val="003325BB"/>
    <w:rsid w:val="00332826"/>
    <w:rsid w:val="00332B0E"/>
    <w:rsid w:val="00333841"/>
    <w:rsid w:val="00333E80"/>
    <w:rsid w:val="003348AC"/>
    <w:rsid w:val="00334A5B"/>
    <w:rsid w:val="0033598D"/>
    <w:rsid w:val="00336977"/>
    <w:rsid w:val="003408DA"/>
    <w:rsid w:val="00340944"/>
    <w:rsid w:val="003412DC"/>
    <w:rsid w:val="00341A49"/>
    <w:rsid w:val="00342420"/>
    <w:rsid w:val="00342D7C"/>
    <w:rsid w:val="00343991"/>
    <w:rsid w:val="00343EE3"/>
    <w:rsid w:val="0034459B"/>
    <w:rsid w:val="0034466E"/>
    <w:rsid w:val="003455BF"/>
    <w:rsid w:val="00345CAC"/>
    <w:rsid w:val="00346C5B"/>
    <w:rsid w:val="00346C62"/>
    <w:rsid w:val="003472F6"/>
    <w:rsid w:val="00347DA6"/>
    <w:rsid w:val="00350025"/>
    <w:rsid w:val="0035024C"/>
    <w:rsid w:val="00350896"/>
    <w:rsid w:val="0035092B"/>
    <w:rsid w:val="00350FBA"/>
    <w:rsid w:val="003512A3"/>
    <w:rsid w:val="0035130C"/>
    <w:rsid w:val="0035141F"/>
    <w:rsid w:val="00351482"/>
    <w:rsid w:val="003531C3"/>
    <w:rsid w:val="003533F3"/>
    <w:rsid w:val="00353C80"/>
    <w:rsid w:val="00353D7E"/>
    <w:rsid w:val="003545FC"/>
    <w:rsid w:val="00354F83"/>
    <w:rsid w:val="003554C2"/>
    <w:rsid w:val="0035581C"/>
    <w:rsid w:val="00355AA0"/>
    <w:rsid w:val="00356C90"/>
    <w:rsid w:val="00356F69"/>
    <w:rsid w:val="00360254"/>
    <w:rsid w:val="00360453"/>
    <w:rsid w:val="00360E68"/>
    <w:rsid w:val="0036289E"/>
    <w:rsid w:val="00362995"/>
    <w:rsid w:val="00362E3C"/>
    <w:rsid w:val="0036327A"/>
    <w:rsid w:val="003635D5"/>
    <w:rsid w:val="00364678"/>
    <w:rsid w:val="003647DA"/>
    <w:rsid w:val="003648BB"/>
    <w:rsid w:val="003648DF"/>
    <w:rsid w:val="003655FD"/>
    <w:rsid w:val="00365AE4"/>
    <w:rsid w:val="00365E9D"/>
    <w:rsid w:val="00366CA7"/>
    <w:rsid w:val="0036730E"/>
    <w:rsid w:val="00370324"/>
    <w:rsid w:val="00370388"/>
    <w:rsid w:val="003708E9"/>
    <w:rsid w:val="003719E9"/>
    <w:rsid w:val="00371CD9"/>
    <w:rsid w:val="00372304"/>
    <w:rsid w:val="00372360"/>
    <w:rsid w:val="003727D0"/>
    <w:rsid w:val="003735B4"/>
    <w:rsid w:val="00373880"/>
    <w:rsid w:val="003746AA"/>
    <w:rsid w:val="003749C3"/>
    <w:rsid w:val="00374FA3"/>
    <w:rsid w:val="00375043"/>
    <w:rsid w:val="003754D1"/>
    <w:rsid w:val="003755AD"/>
    <w:rsid w:val="00375644"/>
    <w:rsid w:val="00375E1D"/>
    <w:rsid w:val="003768E0"/>
    <w:rsid w:val="003778DB"/>
    <w:rsid w:val="00380BC0"/>
    <w:rsid w:val="00380D7F"/>
    <w:rsid w:val="00381C5E"/>
    <w:rsid w:val="00382103"/>
    <w:rsid w:val="003827E9"/>
    <w:rsid w:val="003828DA"/>
    <w:rsid w:val="00382E48"/>
    <w:rsid w:val="00382F73"/>
    <w:rsid w:val="00383407"/>
    <w:rsid w:val="003841E0"/>
    <w:rsid w:val="003854EE"/>
    <w:rsid w:val="00385A72"/>
    <w:rsid w:val="00385A8A"/>
    <w:rsid w:val="0038628B"/>
    <w:rsid w:val="003866C1"/>
    <w:rsid w:val="0038695B"/>
    <w:rsid w:val="00387285"/>
    <w:rsid w:val="003873F5"/>
    <w:rsid w:val="00387B0F"/>
    <w:rsid w:val="00387B1C"/>
    <w:rsid w:val="00387FBD"/>
    <w:rsid w:val="00390089"/>
    <w:rsid w:val="00390DEF"/>
    <w:rsid w:val="00392274"/>
    <w:rsid w:val="00393ABB"/>
    <w:rsid w:val="00393FCA"/>
    <w:rsid w:val="00394EEB"/>
    <w:rsid w:val="00395845"/>
    <w:rsid w:val="003960CC"/>
    <w:rsid w:val="003964FB"/>
    <w:rsid w:val="00397CCD"/>
    <w:rsid w:val="003A13DE"/>
    <w:rsid w:val="003A1916"/>
    <w:rsid w:val="003A1EF2"/>
    <w:rsid w:val="003A27C8"/>
    <w:rsid w:val="003A30C5"/>
    <w:rsid w:val="003A32F9"/>
    <w:rsid w:val="003A3781"/>
    <w:rsid w:val="003A4506"/>
    <w:rsid w:val="003A4E04"/>
    <w:rsid w:val="003A5502"/>
    <w:rsid w:val="003A571C"/>
    <w:rsid w:val="003A57F5"/>
    <w:rsid w:val="003A6AA8"/>
    <w:rsid w:val="003A6C4F"/>
    <w:rsid w:val="003A76E2"/>
    <w:rsid w:val="003B053C"/>
    <w:rsid w:val="003B077C"/>
    <w:rsid w:val="003B1577"/>
    <w:rsid w:val="003B1588"/>
    <w:rsid w:val="003B2526"/>
    <w:rsid w:val="003B2BD1"/>
    <w:rsid w:val="003B3F89"/>
    <w:rsid w:val="003B5DF2"/>
    <w:rsid w:val="003B5EBD"/>
    <w:rsid w:val="003B6006"/>
    <w:rsid w:val="003B635D"/>
    <w:rsid w:val="003B6519"/>
    <w:rsid w:val="003B691A"/>
    <w:rsid w:val="003B6EC4"/>
    <w:rsid w:val="003B7DB0"/>
    <w:rsid w:val="003B7EA9"/>
    <w:rsid w:val="003B7EFB"/>
    <w:rsid w:val="003C0F2C"/>
    <w:rsid w:val="003C1238"/>
    <w:rsid w:val="003C1BB2"/>
    <w:rsid w:val="003C3E21"/>
    <w:rsid w:val="003C44FD"/>
    <w:rsid w:val="003C4D4E"/>
    <w:rsid w:val="003C4DC3"/>
    <w:rsid w:val="003C5288"/>
    <w:rsid w:val="003C5447"/>
    <w:rsid w:val="003C5564"/>
    <w:rsid w:val="003C560C"/>
    <w:rsid w:val="003C56D9"/>
    <w:rsid w:val="003C5A2A"/>
    <w:rsid w:val="003C5A6B"/>
    <w:rsid w:val="003C76D3"/>
    <w:rsid w:val="003C79AA"/>
    <w:rsid w:val="003C7BC8"/>
    <w:rsid w:val="003C7E93"/>
    <w:rsid w:val="003D0131"/>
    <w:rsid w:val="003D0434"/>
    <w:rsid w:val="003D05AA"/>
    <w:rsid w:val="003D1B95"/>
    <w:rsid w:val="003D1FC4"/>
    <w:rsid w:val="003D2543"/>
    <w:rsid w:val="003D2A37"/>
    <w:rsid w:val="003D311E"/>
    <w:rsid w:val="003D3569"/>
    <w:rsid w:val="003D35D5"/>
    <w:rsid w:val="003D40FE"/>
    <w:rsid w:val="003D44DA"/>
    <w:rsid w:val="003D4561"/>
    <w:rsid w:val="003D47E5"/>
    <w:rsid w:val="003D4D21"/>
    <w:rsid w:val="003D4DD3"/>
    <w:rsid w:val="003D53E8"/>
    <w:rsid w:val="003D58E8"/>
    <w:rsid w:val="003D5A82"/>
    <w:rsid w:val="003D5CF8"/>
    <w:rsid w:val="003D61C2"/>
    <w:rsid w:val="003D6412"/>
    <w:rsid w:val="003D6450"/>
    <w:rsid w:val="003D6EC0"/>
    <w:rsid w:val="003D75D6"/>
    <w:rsid w:val="003D7AED"/>
    <w:rsid w:val="003E0946"/>
    <w:rsid w:val="003E0A6C"/>
    <w:rsid w:val="003E2334"/>
    <w:rsid w:val="003E2CB2"/>
    <w:rsid w:val="003E3CEF"/>
    <w:rsid w:val="003E458A"/>
    <w:rsid w:val="003E4A80"/>
    <w:rsid w:val="003E4E36"/>
    <w:rsid w:val="003E620A"/>
    <w:rsid w:val="003E6B99"/>
    <w:rsid w:val="003E6FB9"/>
    <w:rsid w:val="003E70E7"/>
    <w:rsid w:val="003E733D"/>
    <w:rsid w:val="003F00FD"/>
    <w:rsid w:val="003F02B6"/>
    <w:rsid w:val="003F054A"/>
    <w:rsid w:val="003F0A8D"/>
    <w:rsid w:val="003F0B74"/>
    <w:rsid w:val="003F1A52"/>
    <w:rsid w:val="003F1D4E"/>
    <w:rsid w:val="003F1F0E"/>
    <w:rsid w:val="003F2132"/>
    <w:rsid w:val="003F2873"/>
    <w:rsid w:val="003F2A21"/>
    <w:rsid w:val="003F33CA"/>
    <w:rsid w:val="003F3760"/>
    <w:rsid w:val="003F3809"/>
    <w:rsid w:val="003F3E7C"/>
    <w:rsid w:val="003F3F89"/>
    <w:rsid w:val="003F40E1"/>
    <w:rsid w:val="003F4215"/>
    <w:rsid w:val="003F450F"/>
    <w:rsid w:val="003F4515"/>
    <w:rsid w:val="003F488F"/>
    <w:rsid w:val="003F6342"/>
    <w:rsid w:val="003F648D"/>
    <w:rsid w:val="003F69C1"/>
    <w:rsid w:val="003F713F"/>
    <w:rsid w:val="003F7912"/>
    <w:rsid w:val="003F7F55"/>
    <w:rsid w:val="0040070B"/>
    <w:rsid w:val="00400A88"/>
    <w:rsid w:val="00401584"/>
    <w:rsid w:val="00401DBB"/>
    <w:rsid w:val="00401EA7"/>
    <w:rsid w:val="004023E2"/>
    <w:rsid w:val="004026A8"/>
    <w:rsid w:val="00403717"/>
    <w:rsid w:val="0040396C"/>
    <w:rsid w:val="00403F42"/>
    <w:rsid w:val="00404477"/>
    <w:rsid w:val="00404CCE"/>
    <w:rsid w:val="0040535E"/>
    <w:rsid w:val="004058AC"/>
    <w:rsid w:val="00405F98"/>
    <w:rsid w:val="00407580"/>
    <w:rsid w:val="0040766A"/>
    <w:rsid w:val="00407804"/>
    <w:rsid w:val="00410B56"/>
    <w:rsid w:val="00411DC4"/>
    <w:rsid w:val="00411DDF"/>
    <w:rsid w:val="00411F13"/>
    <w:rsid w:val="00412207"/>
    <w:rsid w:val="00412572"/>
    <w:rsid w:val="0041340D"/>
    <w:rsid w:val="00413475"/>
    <w:rsid w:val="00413901"/>
    <w:rsid w:val="004151F2"/>
    <w:rsid w:val="00416443"/>
    <w:rsid w:val="004164B8"/>
    <w:rsid w:val="00416FCB"/>
    <w:rsid w:val="0041701E"/>
    <w:rsid w:val="004174DB"/>
    <w:rsid w:val="00417666"/>
    <w:rsid w:val="00417B9A"/>
    <w:rsid w:val="004201AF"/>
    <w:rsid w:val="00420887"/>
    <w:rsid w:val="00420E29"/>
    <w:rsid w:val="0042238E"/>
    <w:rsid w:val="00422F70"/>
    <w:rsid w:val="00422FC2"/>
    <w:rsid w:val="00423958"/>
    <w:rsid w:val="00423B4E"/>
    <w:rsid w:val="00424318"/>
    <w:rsid w:val="0042471E"/>
    <w:rsid w:val="00424A1D"/>
    <w:rsid w:val="00424BD3"/>
    <w:rsid w:val="004251E0"/>
    <w:rsid w:val="00425693"/>
    <w:rsid w:val="00425CC3"/>
    <w:rsid w:val="004262C2"/>
    <w:rsid w:val="004264EC"/>
    <w:rsid w:val="004277C7"/>
    <w:rsid w:val="004278FD"/>
    <w:rsid w:val="00427994"/>
    <w:rsid w:val="00427D3B"/>
    <w:rsid w:val="00427D5A"/>
    <w:rsid w:val="00427F16"/>
    <w:rsid w:val="00430783"/>
    <w:rsid w:val="00430D3E"/>
    <w:rsid w:val="00431133"/>
    <w:rsid w:val="004318F5"/>
    <w:rsid w:val="0043203F"/>
    <w:rsid w:val="004328DE"/>
    <w:rsid w:val="00432D53"/>
    <w:rsid w:val="00432FE1"/>
    <w:rsid w:val="00433208"/>
    <w:rsid w:val="004333F9"/>
    <w:rsid w:val="00433C22"/>
    <w:rsid w:val="00434085"/>
    <w:rsid w:val="00434914"/>
    <w:rsid w:val="00434CB4"/>
    <w:rsid w:val="004354C2"/>
    <w:rsid w:val="0043576C"/>
    <w:rsid w:val="00435ED8"/>
    <w:rsid w:val="00436514"/>
    <w:rsid w:val="00436AE4"/>
    <w:rsid w:val="00436AF0"/>
    <w:rsid w:val="00437161"/>
    <w:rsid w:val="0043730D"/>
    <w:rsid w:val="00437C9C"/>
    <w:rsid w:val="0044065A"/>
    <w:rsid w:val="00440F06"/>
    <w:rsid w:val="0044119C"/>
    <w:rsid w:val="0044156A"/>
    <w:rsid w:val="004417FF"/>
    <w:rsid w:val="0044210F"/>
    <w:rsid w:val="0044236E"/>
    <w:rsid w:val="00442682"/>
    <w:rsid w:val="0044369E"/>
    <w:rsid w:val="00444109"/>
    <w:rsid w:val="004445AD"/>
    <w:rsid w:val="004456AA"/>
    <w:rsid w:val="004459F3"/>
    <w:rsid w:val="00445C25"/>
    <w:rsid w:val="0044657B"/>
    <w:rsid w:val="00446742"/>
    <w:rsid w:val="00446EE6"/>
    <w:rsid w:val="00447F82"/>
    <w:rsid w:val="004505B3"/>
    <w:rsid w:val="00451894"/>
    <w:rsid w:val="004519B3"/>
    <w:rsid w:val="00451B26"/>
    <w:rsid w:val="00451FBB"/>
    <w:rsid w:val="0045360A"/>
    <w:rsid w:val="0045382F"/>
    <w:rsid w:val="00453CDF"/>
    <w:rsid w:val="00454090"/>
    <w:rsid w:val="00455159"/>
    <w:rsid w:val="004551E0"/>
    <w:rsid w:val="00455CDF"/>
    <w:rsid w:val="00455E60"/>
    <w:rsid w:val="00456826"/>
    <w:rsid w:val="00456DF1"/>
    <w:rsid w:val="004574CA"/>
    <w:rsid w:val="0045797D"/>
    <w:rsid w:val="004579B3"/>
    <w:rsid w:val="004605D2"/>
    <w:rsid w:val="0046088A"/>
    <w:rsid w:val="004616B1"/>
    <w:rsid w:val="00461DD6"/>
    <w:rsid w:val="00462127"/>
    <w:rsid w:val="004624E9"/>
    <w:rsid w:val="004628F8"/>
    <w:rsid w:val="00463180"/>
    <w:rsid w:val="00463715"/>
    <w:rsid w:val="0046371C"/>
    <w:rsid w:val="00463E8A"/>
    <w:rsid w:val="00463EE8"/>
    <w:rsid w:val="00464BDC"/>
    <w:rsid w:val="00464DB1"/>
    <w:rsid w:val="004654BE"/>
    <w:rsid w:val="004661BC"/>
    <w:rsid w:val="004661C4"/>
    <w:rsid w:val="00466238"/>
    <w:rsid w:val="00467DD1"/>
    <w:rsid w:val="00467F2A"/>
    <w:rsid w:val="00470127"/>
    <w:rsid w:val="004716D0"/>
    <w:rsid w:val="0047178F"/>
    <w:rsid w:val="0047184D"/>
    <w:rsid w:val="00471CF6"/>
    <w:rsid w:val="00471EAC"/>
    <w:rsid w:val="00472341"/>
    <w:rsid w:val="0047357E"/>
    <w:rsid w:val="00473622"/>
    <w:rsid w:val="00473FD3"/>
    <w:rsid w:val="004745CF"/>
    <w:rsid w:val="00474638"/>
    <w:rsid w:val="0047465B"/>
    <w:rsid w:val="00474840"/>
    <w:rsid w:val="004770F3"/>
    <w:rsid w:val="004771CF"/>
    <w:rsid w:val="00477DA5"/>
    <w:rsid w:val="00480211"/>
    <w:rsid w:val="004808D5"/>
    <w:rsid w:val="004811B6"/>
    <w:rsid w:val="004819EC"/>
    <w:rsid w:val="00481C19"/>
    <w:rsid w:val="00481FD8"/>
    <w:rsid w:val="004821E6"/>
    <w:rsid w:val="00482A5E"/>
    <w:rsid w:val="00482F33"/>
    <w:rsid w:val="00483061"/>
    <w:rsid w:val="0048331B"/>
    <w:rsid w:val="00483AA2"/>
    <w:rsid w:val="0048429A"/>
    <w:rsid w:val="00485AC3"/>
    <w:rsid w:val="00486014"/>
    <w:rsid w:val="00486674"/>
    <w:rsid w:val="004866A2"/>
    <w:rsid w:val="00486885"/>
    <w:rsid w:val="00486B54"/>
    <w:rsid w:val="00486B55"/>
    <w:rsid w:val="00486C67"/>
    <w:rsid w:val="0048718C"/>
    <w:rsid w:val="00487AB1"/>
    <w:rsid w:val="00487DDE"/>
    <w:rsid w:val="00493795"/>
    <w:rsid w:val="00493C8D"/>
    <w:rsid w:val="00494C13"/>
    <w:rsid w:val="00494CD6"/>
    <w:rsid w:val="00495318"/>
    <w:rsid w:val="00495660"/>
    <w:rsid w:val="00495716"/>
    <w:rsid w:val="004958F7"/>
    <w:rsid w:val="00496D0A"/>
    <w:rsid w:val="00497164"/>
    <w:rsid w:val="004975D7"/>
    <w:rsid w:val="00497660"/>
    <w:rsid w:val="004976D3"/>
    <w:rsid w:val="00497C06"/>
    <w:rsid w:val="004A005C"/>
    <w:rsid w:val="004A0093"/>
    <w:rsid w:val="004A09EA"/>
    <w:rsid w:val="004A0C1A"/>
    <w:rsid w:val="004A0D72"/>
    <w:rsid w:val="004A1CA0"/>
    <w:rsid w:val="004A1DD6"/>
    <w:rsid w:val="004A2909"/>
    <w:rsid w:val="004A294E"/>
    <w:rsid w:val="004A2CDC"/>
    <w:rsid w:val="004A3666"/>
    <w:rsid w:val="004A3DB8"/>
    <w:rsid w:val="004A44D2"/>
    <w:rsid w:val="004A4CB7"/>
    <w:rsid w:val="004A5005"/>
    <w:rsid w:val="004A5587"/>
    <w:rsid w:val="004A591D"/>
    <w:rsid w:val="004A6284"/>
    <w:rsid w:val="004A6F10"/>
    <w:rsid w:val="004B005F"/>
    <w:rsid w:val="004B056E"/>
    <w:rsid w:val="004B093B"/>
    <w:rsid w:val="004B0F1C"/>
    <w:rsid w:val="004B1ADA"/>
    <w:rsid w:val="004B1B00"/>
    <w:rsid w:val="004B28A8"/>
    <w:rsid w:val="004B2B95"/>
    <w:rsid w:val="004B2EE5"/>
    <w:rsid w:val="004B3965"/>
    <w:rsid w:val="004B3DA3"/>
    <w:rsid w:val="004B432A"/>
    <w:rsid w:val="004B44FA"/>
    <w:rsid w:val="004B4512"/>
    <w:rsid w:val="004B4F2A"/>
    <w:rsid w:val="004B5B81"/>
    <w:rsid w:val="004B612B"/>
    <w:rsid w:val="004B6BCB"/>
    <w:rsid w:val="004B7440"/>
    <w:rsid w:val="004B78D1"/>
    <w:rsid w:val="004B79B4"/>
    <w:rsid w:val="004C0234"/>
    <w:rsid w:val="004C0496"/>
    <w:rsid w:val="004C0601"/>
    <w:rsid w:val="004C1043"/>
    <w:rsid w:val="004C1C68"/>
    <w:rsid w:val="004C1E38"/>
    <w:rsid w:val="004C1F3C"/>
    <w:rsid w:val="004C1FCB"/>
    <w:rsid w:val="004C23BC"/>
    <w:rsid w:val="004C2D28"/>
    <w:rsid w:val="004C2DD7"/>
    <w:rsid w:val="004C316E"/>
    <w:rsid w:val="004C35BA"/>
    <w:rsid w:val="004C3AFB"/>
    <w:rsid w:val="004C3B1A"/>
    <w:rsid w:val="004C4243"/>
    <w:rsid w:val="004C446B"/>
    <w:rsid w:val="004C4914"/>
    <w:rsid w:val="004C4A79"/>
    <w:rsid w:val="004C5044"/>
    <w:rsid w:val="004C5322"/>
    <w:rsid w:val="004C5724"/>
    <w:rsid w:val="004C5F7C"/>
    <w:rsid w:val="004C61DA"/>
    <w:rsid w:val="004C6B11"/>
    <w:rsid w:val="004C6EEA"/>
    <w:rsid w:val="004C7DFA"/>
    <w:rsid w:val="004D0059"/>
    <w:rsid w:val="004D014D"/>
    <w:rsid w:val="004D0226"/>
    <w:rsid w:val="004D0300"/>
    <w:rsid w:val="004D0418"/>
    <w:rsid w:val="004D0431"/>
    <w:rsid w:val="004D0AD9"/>
    <w:rsid w:val="004D14C2"/>
    <w:rsid w:val="004D18B0"/>
    <w:rsid w:val="004D193B"/>
    <w:rsid w:val="004D2B4B"/>
    <w:rsid w:val="004D3203"/>
    <w:rsid w:val="004D421D"/>
    <w:rsid w:val="004D4A0F"/>
    <w:rsid w:val="004D54E2"/>
    <w:rsid w:val="004D6F19"/>
    <w:rsid w:val="004D71D5"/>
    <w:rsid w:val="004D797E"/>
    <w:rsid w:val="004E036B"/>
    <w:rsid w:val="004E098E"/>
    <w:rsid w:val="004E09A6"/>
    <w:rsid w:val="004E153E"/>
    <w:rsid w:val="004E25CF"/>
    <w:rsid w:val="004E295C"/>
    <w:rsid w:val="004E2976"/>
    <w:rsid w:val="004E3053"/>
    <w:rsid w:val="004E36E7"/>
    <w:rsid w:val="004E44B3"/>
    <w:rsid w:val="004E487A"/>
    <w:rsid w:val="004E51FD"/>
    <w:rsid w:val="004E5442"/>
    <w:rsid w:val="004E5655"/>
    <w:rsid w:val="004E5BAA"/>
    <w:rsid w:val="004E68F4"/>
    <w:rsid w:val="004E6A97"/>
    <w:rsid w:val="004E7B37"/>
    <w:rsid w:val="004E7BA2"/>
    <w:rsid w:val="004F160E"/>
    <w:rsid w:val="004F1A30"/>
    <w:rsid w:val="004F21F7"/>
    <w:rsid w:val="004F2311"/>
    <w:rsid w:val="004F26D8"/>
    <w:rsid w:val="004F2A03"/>
    <w:rsid w:val="004F2CF2"/>
    <w:rsid w:val="004F2FAE"/>
    <w:rsid w:val="004F332A"/>
    <w:rsid w:val="004F3501"/>
    <w:rsid w:val="004F3587"/>
    <w:rsid w:val="004F38D8"/>
    <w:rsid w:val="004F3A6D"/>
    <w:rsid w:val="004F3ECF"/>
    <w:rsid w:val="004F3EDC"/>
    <w:rsid w:val="004F3F84"/>
    <w:rsid w:val="004F521E"/>
    <w:rsid w:val="004F54E2"/>
    <w:rsid w:val="004F56D8"/>
    <w:rsid w:val="004F595F"/>
    <w:rsid w:val="004F5AB2"/>
    <w:rsid w:val="004F5D06"/>
    <w:rsid w:val="004F6A01"/>
    <w:rsid w:val="004F6BA8"/>
    <w:rsid w:val="004F6C8F"/>
    <w:rsid w:val="004F7245"/>
    <w:rsid w:val="004F75C1"/>
    <w:rsid w:val="004F7619"/>
    <w:rsid w:val="004F76D9"/>
    <w:rsid w:val="004F78C1"/>
    <w:rsid w:val="004F7C48"/>
    <w:rsid w:val="00500339"/>
    <w:rsid w:val="00500416"/>
    <w:rsid w:val="0050067A"/>
    <w:rsid w:val="00500817"/>
    <w:rsid w:val="0050118B"/>
    <w:rsid w:val="00501627"/>
    <w:rsid w:val="00501808"/>
    <w:rsid w:val="0050184A"/>
    <w:rsid w:val="0050191C"/>
    <w:rsid w:val="00501A65"/>
    <w:rsid w:val="00501B62"/>
    <w:rsid w:val="00501E32"/>
    <w:rsid w:val="005037BA"/>
    <w:rsid w:val="00503921"/>
    <w:rsid w:val="00503A14"/>
    <w:rsid w:val="00503DD8"/>
    <w:rsid w:val="00504BF3"/>
    <w:rsid w:val="00505039"/>
    <w:rsid w:val="0050503B"/>
    <w:rsid w:val="00505286"/>
    <w:rsid w:val="005063C9"/>
    <w:rsid w:val="0050733B"/>
    <w:rsid w:val="00507359"/>
    <w:rsid w:val="005074F6"/>
    <w:rsid w:val="0050780F"/>
    <w:rsid w:val="00507AC0"/>
    <w:rsid w:val="00507E1C"/>
    <w:rsid w:val="00510414"/>
    <w:rsid w:val="005106DF"/>
    <w:rsid w:val="005106F0"/>
    <w:rsid w:val="005109FD"/>
    <w:rsid w:val="00510A58"/>
    <w:rsid w:val="00510C51"/>
    <w:rsid w:val="00510CEF"/>
    <w:rsid w:val="00511202"/>
    <w:rsid w:val="00511464"/>
    <w:rsid w:val="00511575"/>
    <w:rsid w:val="005115FE"/>
    <w:rsid w:val="0051172B"/>
    <w:rsid w:val="00511A9B"/>
    <w:rsid w:val="00511E73"/>
    <w:rsid w:val="00512164"/>
    <w:rsid w:val="005123AA"/>
    <w:rsid w:val="005138FB"/>
    <w:rsid w:val="0051451C"/>
    <w:rsid w:val="00514D8C"/>
    <w:rsid w:val="00515D27"/>
    <w:rsid w:val="00516086"/>
    <w:rsid w:val="00516598"/>
    <w:rsid w:val="005174B1"/>
    <w:rsid w:val="0051760D"/>
    <w:rsid w:val="0052013B"/>
    <w:rsid w:val="005201B1"/>
    <w:rsid w:val="00520570"/>
    <w:rsid w:val="00522878"/>
    <w:rsid w:val="00522FEB"/>
    <w:rsid w:val="00523C55"/>
    <w:rsid w:val="00523EC9"/>
    <w:rsid w:val="00524F60"/>
    <w:rsid w:val="005259DD"/>
    <w:rsid w:val="00526132"/>
    <w:rsid w:val="00526559"/>
    <w:rsid w:val="00527129"/>
    <w:rsid w:val="00527A2A"/>
    <w:rsid w:val="00527A64"/>
    <w:rsid w:val="00530093"/>
    <w:rsid w:val="00530894"/>
    <w:rsid w:val="00531015"/>
    <w:rsid w:val="005311E4"/>
    <w:rsid w:val="005316B9"/>
    <w:rsid w:val="00531827"/>
    <w:rsid w:val="00531CFA"/>
    <w:rsid w:val="00531D8E"/>
    <w:rsid w:val="00531FB5"/>
    <w:rsid w:val="0053216C"/>
    <w:rsid w:val="005327B0"/>
    <w:rsid w:val="00532946"/>
    <w:rsid w:val="0053431F"/>
    <w:rsid w:val="0053475C"/>
    <w:rsid w:val="0053511B"/>
    <w:rsid w:val="005354D7"/>
    <w:rsid w:val="00535984"/>
    <w:rsid w:val="00535A5F"/>
    <w:rsid w:val="00535B01"/>
    <w:rsid w:val="00535EAF"/>
    <w:rsid w:val="0053616F"/>
    <w:rsid w:val="00536495"/>
    <w:rsid w:val="00536F9A"/>
    <w:rsid w:val="005371F4"/>
    <w:rsid w:val="00537575"/>
    <w:rsid w:val="005375C7"/>
    <w:rsid w:val="0053763C"/>
    <w:rsid w:val="00537AAF"/>
    <w:rsid w:val="00537BBF"/>
    <w:rsid w:val="00537BFC"/>
    <w:rsid w:val="005414F8"/>
    <w:rsid w:val="00541635"/>
    <w:rsid w:val="0054184F"/>
    <w:rsid w:val="00541980"/>
    <w:rsid w:val="005421AB"/>
    <w:rsid w:val="00542254"/>
    <w:rsid w:val="005423E2"/>
    <w:rsid w:val="00542458"/>
    <w:rsid w:val="0054298D"/>
    <w:rsid w:val="00542F44"/>
    <w:rsid w:val="00543348"/>
    <w:rsid w:val="00543455"/>
    <w:rsid w:val="005435C9"/>
    <w:rsid w:val="00543F72"/>
    <w:rsid w:val="00544200"/>
    <w:rsid w:val="005447A1"/>
    <w:rsid w:val="005457EF"/>
    <w:rsid w:val="005465CF"/>
    <w:rsid w:val="0054742B"/>
    <w:rsid w:val="005501FF"/>
    <w:rsid w:val="0055099D"/>
    <w:rsid w:val="00550D6F"/>
    <w:rsid w:val="00551921"/>
    <w:rsid w:val="00551B49"/>
    <w:rsid w:val="00551C1E"/>
    <w:rsid w:val="00551CCE"/>
    <w:rsid w:val="00552093"/>
    <w:rsid w:val="0055274E"/>
    <w:rsid w:val="00552A5A"/>
    <w:rsid w:val="00552C20"/>
    <w:rsid w:val="0055324F"/>
    <w:rsid w:val="005544DE"/>
    <w:rsid w:val="00554744"/>
    <w:rsid w:val="00554DB0"/>
    <w:rsid w:val="0055522F"/>
    <w:rsid w:val="005552E9"/>
    <w:rsid w:val="005552FC"/>
    <w:rsid w:val="0055556D"/>
    <w:rsid w:val="005556DB"/>
    <w:rsid w:val="00555877"/>
    <w:rsid w:val="00555A11"/>
    <w:rsid w:val="00555D64"/>
    <w:rsid w:val="0055602F"/>
    <w:rsid w:val="00556D10"/>
    <w:rsid w:val="005572D8"/>
    <w:rsid w:val="005577DE"/>
    <w:rsid w:val="00557869"/>
    <w:rsid w:val="00561182"/>
    <w:rsid w:val="00561730"/>
    <w:rsid w:val="00561C36"/>
    <w:rsid w:val="00562B71"/>
    <w:rsid w:val="00562DA6"/>
    <w:rsid w:val="00563729"/>
    <w:rsid w:val="00563968"/>
    <w:rsid w:val="00563ACB"/>
    <w:rsid w:val="00563B0C"/>
    <w:rsid w:val="00563D7D"/>
    <w:rsid w:val="0056458B"/>
    <w:rsid w:val="00564A0D"/>
    <w:rsid w:val="00564BE6"/>
    <w:rsid w:val="0056590A"/>
    <w:rsid w:val="00565DE9"/>
    <w:rsid w:val="00565F10"/>
    <w:rsid w:val="005661E3"/>
    <w:rsid w:val="0056688D"/>
    <w:rsid w:val="0056706D"/>
    <w:rsid w:val="00567A51"/>
    <w:rsid w:val="00567D15"/>
    <w:rsid w:val="00567D5D"/>
    <w:rsid w:val="005701CC"/>
    <w:rsid w:val="0057033B"/>
    <w:rsid w:val="00570442"/>
    <w:rsid w:val="005705A9"/>
    <w:rsid w:val="005706A0"/>
    <w:rsid w:val="00570AD5"/>
    <w:rsid w:val="00570BBA"/>
    <w:rsid w:val="00570EFB"/>
    <w:rsid w:val="00571228"/>
    <w:rsid w:val="00571ACA"/>
    <w:rsid w:val="00572661"/>
    <w:rsid w:val="0057295A"/>
    <w:rsid w:val="00572BC5"/>
    <w:rsid w:val="00572DCB"/>
    <w:rsid w:val="00572E24"/>
    <w:rsid w:val="00574116"/>
    <w:rsid w:val="00574A36"/>
    <w:rsid w:val="005751EC"/>
    <w:rsid w:val="00575BAA"/>
    <w:rsid w:val="00576995"/>
    <w:rsid w:val="00576ECB"/>
    <w:rsid w:val="00576FEF"/>
    <w:rsid w:val="005771D3"/>
    <w:rsid w:val="00577D6F"/>
    <w:rsid w:val="00577DF4"/>
    <w:rsid w:val="00577EAB"/>
    <w:rsid w:val="005800FF"/>
    <w:rsid w:val="0058011C"/>
    <w:rsid w:val="00580752"/>
    <w:rsid w:val="00580875"/>
    <w:rsid w:val="00580B9E"/>
    <w:rsid w:val="00580BE3"/>
    <w:rsid w:val="00581874"/>
    <w:rsid w:val="00581AE2"/>
    <w:rsid w:val="00581C55"/>
    <w:rsid w:val="0058257E"/>
    <w:rsid w:val="00583B29"/>
    <w:rsid w:val="00584C80"/>
    <w:rsid w:val="00584CE8"/>
    <w:rsid w:val="00585565"/>
    <w:rsid w:val="00585CDF"/>
    <w:rsid w:val="005865E4"/>
    <w:rsid w:val="00586713"/>
    <w:rsid w:val="00586C51"/>
    <w:rsid w:val="005875F6"/>
    <w:rsid w:val="00587A23"/>
    <w:rsid w:val="00587A73"/>
    <w:rsid w:val="00587CDD"/>
    <w:rsid w:val="00587EB1"/>
    <w:rsid w:val="00587FCF"/>
    <w:rsid w:val="0059028D"/>
    <w:rsid w:val="005904AD"/>
    <w:rsid w:val="0059099A"/>
    <w:rsid w:val="00591456"/>
    <w:rsid w:val="00592BE8"/>
    <w:rsid w:val="00592CEB"/>
    <w:rsid w:val="00593B4E"/>
    <w:rsid w:val="00593BAD"/>
    <w:rsid w:val="00594C12"/>
    <w:rsid w:val="00595225"/>
    <w:rsid w:val="00595227"/>
    <w:rsid w:val="00596ECF"/>
    <w:rsid w:val="005976A8"/>
    <w:rsid w:val="0059797A"/>
    <w:rsid w:val="005A169E"/>
    <w:rsid w:val="005A198C"/>
    <w:rsid w:val="005A2962"/>
    <w:rsid w:val="005A33EE"/>
    <w:rsid w:val="005A3581"/>
    <w:rsid w:val="005A3651"/>
    <w:rsid w:val="005A38BB"/>
    <w:rsid w:val="005A3B81"/>
    <w:rsid w:val="005A3C79"/>
    <w:rsid w:val="005A3CE2"/>
    <w:rsid w:val="005A42C2"/>
    <w:rsid w:val="005A4936"/>
    <w:rsid w:val="005A4F2F"/>
    <w:rsid w:val="005A5326"/>
    <w:rsid w:val="005A5685"/>
    <w:rsid w:val="005A5D94"/>
    <w:rsid w:val="005A67FC"/>
    <w:rsid w:val="005A6E92"/>
    <w:rsid w:val="005A79E5"/>
    <w:rsid w:val="005B00D2"/>
    <w:rsid w:val="005B22C2"/>
    <w:rsid w:val="005B230F"/>
    <w:rsid w:val="005B234B"/>
    <w:rsid w:val="005B265A"/>
    <w:rsid w:val="005B27A0"/>
    <w:rsid w:val="005B2816"/>
    <w:rsid w:val="005B28BE"/>
    <w:rsid w:val="005B379E"/>
    <w:rsid w:val="005B3816"/>
    <w:rsid w:val="005B39EE"/>
    <w:rsid w:val="005B41FD"/>
    <w:rsid w:val="005B4C26"/>
    <w:rsid w:val="005B4F26"/>
    <w:rsid w:val="005B4F96"/>
    <w:rsid w:val="005B51A7"/>
    <w:rsid w:val="005B544D"/>
    <w:rsid w:val="005B5767"/>
    <w:rsid w:val="005B587A"/>
    <w:rsid w:val="005B5CB4"/>
    <w:rsid w:val="005B5E29"/>
    <w:rsid w:val="005B66F0"/>
    <w:rsid w:val="005B6843"/>
    <w:rsid w:val="005B69B0"/>
    <w:rsid w:val="005B6C86"/>
    <w:rsid w:val="005B73E7"/>
    <w:rsid w:val="005B7951"/>
    <w:rsid w:val="005B7A33"/>
    <w:rsid w:val="005C13BB"/>
    <w:rsid w:val="005C16C0"/>
    <w:rsid w:val="005C2728"/>
    <w:rsid w:val="005C2D65"/>
    <w:rsid w:val="005C34A0"/>
    <w:rsid w:val="005C3718"/>
    <w:rsid w:val="005C4E81"/>
    <w:rsid w:val="005C4F3E"/>
    <w:rsid w:val="005C50EA"/>
    <w:rsid w:val="005C5106"/>
    <w:rsid w:val="005C5339"/>
    <w:rsid w:val="005C5862"/>
    <w:rsid w:val="005C68FF"/>
    <w:rsid w:val="005C6C9C"/>
    <w:rsid w:val="005C7FDC"/>
    <w:rsid w:val="005D01D1"/>
    <w:rsid w:val="005D027D"/>
    <w:rsid w:val="005D0FC6"/>
    <w:rsid w:val="005D1AEB"/>
    <w:rsid w:val="005D2690"/>
    <w:rsid w:val="005D3085"/>
    <w:rsid w:val="005D3771"/>
    <w:rsid w:val="005D39A3"/>
    <w:rsid w:val="005D483F"/>
    <w:rsid w:val="005D4965"/>
    <w:rsid w:val="005D4E5B"/>
    <w:rsid w:val="005D4EEB"/>
    <w:rsid w:val="005D606D"/>
    <w:rsid w:val="005D623B"/>
    <w:rsid w:val="005D62DC"/>
    <w:rsid w:val="005D6380"/>
    <w:rsid w:val="005D6AD5"/>
    <w:rsid w:val="005D6BAD"/>
    <w:rsid w:val="005D6D1E"/>
    <w:rsid w:val="005D71BF"/>
    <w:rsid w:val="005D7FEA"/>
    <w:rsid w:val="005E08E0"/>
    <w:rsid w:val="005E09D3"/>
    <w:rsid w:val="005E0FB8"/>
    <w:rsid w:val="005E10C5"/>
    <w:rsid w:val="005E1BC9"/>
    <w:rsid w:val="005E1C9D"/>
    <w:rsid w:val="005E1CA7"/>
    <w:rsid w:val="005E214F"/>
    <w:rsid w:val="005E27A8"/>
    <w:rsid w:val="005E2883"/>
    <w:rsid w:val="005E32FF"/>
    <w:rsid w:val="005E3796"/>
    <w:rsid w:val="005E3DB3"/>
    <w:rsid w:val="005E3EFD"/>
    <w:rsid w:val="005E4115"/>
    <w:rsid w:val="005E5603"/>
    <w:rsid w:val="005E56E0"/>
    <w:rsid w:val="005E585E"/>
    <w:rsid w:val="005E5BA5"/>
    <w:rsid w:val="005E65E2"/>
    <w:rsid w:val="005E6868"/>
    <w:rsid w:val="005E69DC"/>
    <w:rsid w:val="005E7985"/>
    <w:rsid w:val="005E7BBC"/>
    <w:rsid w:val="005E7D26"/>
    <w:rsid w:val="005F03A6"/>
    <w:rsid w:val="005F092F"/>
    <w:rsid w:val="005F11B5"/>
    <w:rsid w:val="005F11D3"/>
    <w:rsid w:val="005F1519"/>
    <w:rsid w:val="005F1561"/>
    <w:rsid w:val="005F17EF"/>
    <w:rsid w:val="005F1C7A"/>
    <w:rsid w:val="005F2029"/>
    <w:rsid w:val="005F2CF3"/>
    <w:rsid w:val="005F3835"/>
    <w:rsid w:val="005F389C"/>
    <w:rsid w:val="005F4090"/>
    <w:rsid w:val="005F4181"/>
    <w:rsid w:val="005F4AE5"/>
    <w:rsid w:val="005F53E3"/>
    <w:rsid w:val="005F671B"/>
    <w:rsid w:val="005F6B93"/>
    <w:rsid w:val="005F7163"/>
    <w:rsid w:val="005F7B22"/>
    <w:rsid w:val="00600C9B"/>
    <w:rsid w:val="006018D5"/>
    <w:rsid w:val="00601A8A"/>
    <w:rsid w:val="00601F2B"/>
    <w:rsid w:val="00602541"/>
    <w:rsid w:val="00605755"/>
    <w:rsid w:val="00605BDB"/>
    <w:rsid w:val="00605C74"/>
    <w:rsid w:val="006061BB"/>
    <w:rsid w:val="00606B03"/>
    <w:rsid w:val="0060783C"/>
    <w:rsid w:val="00607A93"/>
    <w:rsid w:val="00610312"/>
    <w:rsid w:val="00610AEB"/>
    <w:rsid w:val="00610F04"/>
    <w:rsid w:val="00611189"/>
    <w:rsid w:val="0061168D"/>
    <w:rsid w:val="00611C15"/>
    <w:rsid w:val="0061265F"/>
    <w:rsid w:val="0061281C"/>
    <w:rsid w:val="0061284E"/>
    <w:rsid w:val="00612D30"/>
    <w:rsid w:val="00612FAF"/>
    <w:rsid w:val="00613140"/>
    <w:rsid w:val="006137B9"/>
    <w:rsid w:val="006149DB"/>
    <w:rsid w:val="00614CAA"/>
    <w:rsid w:val="006150B5"/>
    <w:rsid w:val="0061557D"/>
    <w:rsid w:val="0061584F"/>
    <w:rsid w:val="00615C87"/>
    <w:rsid w:val="00616217"/>
    <w:rsid w:val="006168A5"/>
    <w:rsid w:val="00617233"/>
    <w:rsid w:val="006175DE"/>
    <w:rsid w:val="00617896"/>
    <w:rsid w:val="0061795F"/>
    <w:rsid w:val="0062152A"/>
    <w:rsid w:val="00621DF4"/>
    <w:rsid w:val="006220E4"/>
    <w:rsid w:val="006221AE"/>
    <w:rsid w:val="0062265E"/>
    <w:rsid w:val="0062269C"/>
    <w:rsid w:val="00622853"/>
    <w:rsid w:val="00624ADA"/>
    <w:rsid w:val="00624E2C"/>
    <w:rsid w:val="0062512A"/>
    <w:rsid w:val="006259D0"/>
    <w:rsid w:val="00625EC4"/>
    <w:rsid w:val="00625F09"/>
    <w:rsid w:val="00626040"/>
    <w:rsid w:val="00626609"/>
    <w:rsid w:val="006278D8"/>
    <w:rsid w:val="00627D9B"/>
    <w:rsid w:val="00627DEA"/>
    <w:rsid w:val="006301BB"/>
    <w:rsid w:val="006308DA"/>
    <w:rsid w:val="00630973"/>
    <w:rsid w:val="006314CA"/>
    <w:rsid w:val="006321BF"/>
    <w:rsid w:val="00632D7C"/>
    <w:rsid w:val="00633AEE"/>
    <w:rsid w:val="0063420E"/>
    <w:rsid w:val="006345F3"/>
    <w:rsid w:val="00634851"/>
    <w:rsid w:val="00634C20"/>
    <w:rsid w:val="00634FF8"/>
    <w:rsid w:val="00635012"/>
    <w:rsid w:val="0063505B"/>
    <w:rsid w:val="00635177"/>
    <w:rsid w:val="00636397"/>
    <w:rsid w:val="00636AC3"/>
    <w:rsid w:val="00640A53"/>
    <w:rsid w:val="006415D1"/>
    <w:rsid w:val="00641A80"/>
    <w:rsid w:val="00641DB0"/>
    <w:rsid w:val="0064203C"/>
    <w:rsid w:val="006432AE"/>
    <w:rsid w:val="006435BA"/>
    <w:rsid w:val="00643DD8"/>
    <w:rsid w:val="00643F46"/>
    <w:rsid w:val="006440E4"/>
    <w:rsid w:val="0064423F"/>
    <w:rsid w:val="00644436"/>
    <w:rsid w:val="00644B3B"/>
    <w:rsid w:val="00645301"/>
    <w:rsid w:val="006456F8"/>
    <w:rsid w:val="0064587C"/>
    <w:rsid w:val="00646744"/>
    <w:rsid w:val="00646B3C"/>
    <w:rsid w:val="00646BF8"/>
    <w:rsid w:val="0064777E"/>
    <w:rsid w:val="00647BF8"/>
    <w:rsid w:val="00650420"/>
    <w:rsid w:val="006509BF"/>
    <w:rsid w:val="00650FA2"/>
    <w:rsid w:val="00651163"/>
    <w:rsid w:val="0065163F"/>
    <w:rsid w:val="00651BAD"/>
    <w:rsid w:val="00651FED"/>
    <w:rsid w:val="00652572"/>
    <w:rsid w:val="00652718"/>
    <w:rsid w:val="006529BC"/>
    <w:rsid w:val="00652E94"/>
    <w:rsid w:val="006530B8"/>
    <w:rsid w:val="006531B3"/>
    <w:rsid w:val="006534CC"/>
    <w:rsid w:val="00653B6E"/>
    <w:rsid w:val="00653D2F"/>
    <w:rsid w:val="006542B6"/>
    <w:rsid w:val="006550E5"/>
    <w:rsid w:val="00655465"/>
    <w:rsid w:val="00655ABF"/>
    <w:rsid w:val="00655BC7"/>
    <w:rsid w:val="00655DFF"/>
    <w:rsid w:val="00656BB4"/>
    <w:rsid w:val="006572FD"/>
    <w:rsid w:val="00657A95"/>
    <w:rsid w:val="00657AFC"/>
    <w:rsid w:val="00657EAC"/>
    <w:rsid w:val="006600C5"/>
    <w:rsid w:val="006602AE"/>
    <w:rsid w:val="0066070D"/>
    <w:rsid w:val="00660A25"/>
    <w:rsid w:val="00660B67"/>
    <w:rsid w:val="00660E24"/>
    <w:rsid w:val="0066142A"/>
    <w:rsid w:val="006616CB"/>
    <w:rsid w:val="00662123"/>
    <w:rsid w:val="0066238D"/>
    <w:rsid w:val="0066348D"/>
    <w:rsid w:val="00663637"/>
    <w:rsid w:val="00663710"/>
    <w:rsid w:val="0066379D"/>
    <w:rsid w:val="00663C5A"/>
    <w:rsid w:val="00664CFC"/>
    <w:rsid w:val="0066513F"/>
    <w:rsid w:val="00665ACA"/>
    <w:rsid w:val="00665DE4"/>
    <w:rsid w:val="006661FA"/>
    <w:rsid w:val="00667113"/>
    <w:rsid w:val="00667AF1"/>
    <w:rsid w:val="00667B06"/>
    <w:rsid w:val="00667F0A"/>
    <w:rsid w:val="00670094"/>
    <w:rsid w:val="006702CA"/>
    <w:rsid w:val="0067049E"/>
    <w:rsid w:val="00670DAB"/>
    <w:rsid w:val="00670E73"/>
    <w:rsid w:val="00671246"/>
    <w:rsid w:val="00671313"/>
    <w:rsid w:val="0067153B"/>
    <w:rsid w:val="006719CD"/>
    <w:rsid w:val="00671EAC"/>
    <w:rsid w:val="00672032"/>
    <w:rsid w:val="0067256E"/>
    <w:rsid w:val="006730B3"/>
    <w:rsid w:val="006733A5"/>
    <w:rsid w:val="006739C8"/>
    <w:rsid w:val="006741E9"/>
    <w:rsid w:val="006742E6"/>
    <w:rsid w:val="006748F1"/>
    <w:rsid w:val="006755EE"/>
    <w:rsid w:val="0067573E"/>
    <w:rsid w:val="00675BC8"/>
    <w:rsid w:val="00675EA6"/>
    <w:rsid w:val="0067615D"/>
    <w:rsid w:val="006762A1"/>
    <w:rsid w:val="006763FD"/>
    <w:rsid w:val="006765BA"/>
    <w:rsid w:val="00676AB3"/>
    <w:rsid w:val="00676C99"/>
    <w:rsid w:val="0068027D"/>
    <w:rsid w:val="0068068C"/>
    <w:rsid w:val="00680D9A"/>
    <w:rsid w:val="00680F2C"/>
    <w:rsid w:val="0068106E"/>
    <w:rsid w:val="006813D0"/>
    <w:rsid w:val="00681A58"/>
    <w:rsid w:val="00681AFC"/>
    <w:rsid w:val="00682123"/>
    <w:rsid w:val="0068259D"/>
    <w:rsid w:val="00682750"/>
    <w:rsid w:val="0068297C"/>
    <w:rsid w:val="006857B0"/>
    <w:rsid w:val="0068589D"/>
    <w:rsid w:val="006858AB"/>
    <w:rsid w:val="00685C36"/>
    <w:rsid w:val="00686B5B"/>
    <w:rsid w:val="00686F78"/>
    <w:rsid w:val="00686F7F"/>
    <w:rsid w:val="006871A8"/>
    <w:rsid w:val="00687277"/>
    <w:rsid w:val="00687CB5"/>
    <w:rsid w:val="006901B4"/>
    <w:rsid w:val="00690855"/>
    <w:rsid w:val="00690B2A"/>
    <w:rsid w:val="006914B8"/>
    <w:rsid w:val="006914E3"/>
    <w:rsid w:val="00691A5E"/>
    <w:rsid w:val="00691B63"/>
    <w:rsid w:val="00691B7B"/>
    <w:rsid w:val="00691B82"/>
    <w:rsid w:val="006927B8"/>
    <w:rsid w:val="0069310B"/>
    <w:rsid w:val="00693752"/>
    <w:rsid w:val="0069395B"/>
    <w:rsid w:val="006944AF"/>
    <w:rsid w:val="006945C1"/>
    <w:rsid w:val="006950AC"/>
    <w:rsid w:val="00696B28"/>
    <w:rsid w:val="00697166"/>
    <w:rsid w:val="006977C4"/>
    <w:rsid w:val="006978F0"/>
    <w:rsid w:val="00697DCC"/>
    <w:rsid w:val="00697FE0"/>
    <w:rsid w:val="006A054A"/>
    <w:rsid w:val="006A05D5"/>
    <w:rsid w:val="006A0963"/>
    <w:rsid w:val="006A0B01"/>
    <w:rsid w:val="006A0C86"/>
    <w:rsid w:val="006A0F86"/>
    <w:rsid w:val="006A1AE1"/>
    <w:rsid w:val="006A2301"/>
    <w:rsid w:val="006A2784"/>
    <w:rsid w:val="006A2D73"/>
    <w:rsid w:val="006A2DA4"/>
    <w:rsid w:val="006A33D0"/>
    <w:rsid w:val="006A3744"/>
    <w:rsid w:val="006A3B00"/>
    <w:rsid w:val="006A3B32"/>
    <w:rsid w:val="006A413B"/>
    <w:rsid w:val="006A4B42"/>
    <w:rsid w:val="006A55B9"/>
    <w:rsid w:val="006A5779"/>
    <w:rsid w:val="006A691C"/>
    <w:rsid w:val="006A7620"/>
    <w:rsid w:val="006A7800"/>
    <w:rsid w:val="006A7A47"/>
    <w:rsid w:val="006A7BB4"/>
    <w:rsid w:val="006A7BCE"/>
    <w:rsid w:val="006A7CA7"/>
    <w:rsid w:val="006B09D9"/>
    <w:rsid w:val="006B1830"/>
    <w:rsid w:val="006B2076"/>
    <w:rsid w:val="006B2628"/>
    <w:rsid w:val="006B265B"/>
    <w:rsid w:val="006B363A"/>
    <w:rsid w:val="006B3905"/>
    <w:rsid w:val="006B39F5"/>
    <w:rsid w:val="006B4435"/>
    <w:rsid w:val="006B4649"/>
    <w:rsid w:val="006B4A62"/>
    <w:rsid w:val="006B4C64"/>
    <w:rsid w:val="006B587A"/>
    <w:rsid w:val="006B6046"/>
    <w:rsid w:val="006B69BA"/>
    <w:rsid w:val="006B6C73"/>
    <w:rsid w:val="006B6CC7"/>
    <w:rsid w:val="006B6D21"/>
    <w:rsid w:val="006B74B2"/>
    <w:rsid w:val="006B7B3F"/>
    <w:rsid w:val="006B7DC5"/>
    <w:rsid w:val="006C0433"/>
    <w:rsid w:val="006C0741"/>
    <w:rsid w:val="006C0ACB"/>
    <w:rsid w:val="006C0C6C"/>
    <w:rsid w:val="006C28BA"/>
    <w:rsid w:val="006C314B"/>
    <w:rsid w:val="006C36FA"/>
    <w:rsid w:val="006C37E9"/>
    <w:rsid w:val="006C3CC2"/>
    <w:rsid w:val="006C3DFC"/>
    <w:rsid w:val="006C4293"/>
    <w:rsid w:val="006C4922"/>
    <w:rsid w:val="006C4B14"/>
    <w:rsid w:val="006C4D05"/>
    <w:rsid w:val="006C4E8A"/>
    <w:rsid w:val="006C5448"/>
    <w:rsid w:val="006C5937"/>
    <w:rsid w:val="006C59A3"/>
    <w:rsid w:val="006C5CF6"/>
    <w:rsid w:val="006C5F5A"/>
    <w:rsid w:val="006C648F"/>
    <w:rsid w:val="006C70D0"/>
    <w:rsid w:val="006C7B9A"/>
    <w:rsid w:val="006D04FD"/>
    <w:rsid w:val="006D076C"/>
    <w:rsid w:val="006D0D5E"/>
    <w:rsid w:val="006D1391"/>
    <w:rsid w:val="006D14AE"/>
    <w:rsid w:val="006D17BB"/>
    <w:rsid w:val="006D1914"/>
    <w:rsid w:val="006D1A3F"/>
    <w:rsid w:val="006D1EA3"/>
    <w:rsid w:val="006D22B3"/>
    <w:rsid w:val="006D242F"/>
    <w:rsid w:val="006D246A"/>
    <w:rsid w:val="006D286F"/>
    <w:rsid w:val="006D33C1"/>
    <w:rsid w:val="006D382A"/>
    <w:rsid w:val="006D4079"/>
    <w:rsid w:val="006D40B4"/>
    <w:rsid w:val="006D4426"/>
    <w:rsid w:val="006D4F50"/>
    <w:rsid w:val="006D5252"/>
    <w:rsid w:val="006D5579"/>
    <w:rsid w:val="006D5AF0"/>
    <w:rsid w:val="006D601F"/>
    <w:rsid w:val="006D609C"/>
    <w:rsid w:val="006D654C"/>
    <w:rsid w:val="006D67DB"/>
    <w:rsid w:val="006D6929"/>
    <w:rsid w:val="006D75FF"/>
    <w:rsid w:val="006D76B4"/>
    <w:rsid w:val="006D7AD3"/>
    <w:rsid w:val="006E014B"/>
    <w:rsid w:val="006E0246"/>
    <w:rsid w:val="006E0498"/>
    <w:rsid w:val="006E0B2B"/>
    <w:rsid w:val="006E1657"/>
    <w:rsid w:val="006E18E9"/>
    <w:rsid w:val="006E1B67"/>
    <w:rsid w:val="006E1C18"/>
    <w:rsid w:val="006E1D96"/>
    <w:rsid w:val="006E218B"/>
    <w:rsid w:val="006E2C74"/>
    <w:rsid w:val="006E30E8"/>
    <w:rsid w:val="006E39A7"/>
    <w:rsid w:val="006E3B73"/>
    <w:rsid w:val="006E403F"/>
    <w:rsid w:val="006E4088"/>
    <w:rsid w:val="006E4D43"/>
    <w:rsid w:val="006E4FF1"/>
    <w:rsid w:val="006E6411"/>
    <w:rsid w:val="006E6A6C"/>
    <w:rsid w:val="006E6AC0"/>
    <w:rsid w:val="006E6B1F"/>
    <w:rsid w:val="006E6DD9"/>
    <w:rsid w:val="006E70BA"/>
    <w:rsid w:val="006E77B3"/>
    <w:rsid w:val="006E7812"/>
    <w:rsid w:val="006F0107"/>
    <w:rsid w:val="006F03D2"/>
    <w:rsid w:val="006F0984"/>
    <w:rsid w:val="006F0B27"/>
    <w:rsid w:val="006F0F4E"/>
    <w:rsid w:val="006F10A5"/>
    <w:rsid w:val="006F146D"/>
    <w:rsid w:val="006F1A7F"/>
    <w:rsid w:val="006F1C35"/>
    <w:rsid w:val="006F24C1"/>
    <w:rsid w:val="006F24EF"/>
    <w:rsid w:val="006F254A"/>
    <w:rsid w:val="006F2B06"/>
    <w:rsid w:val="006F2F52"/>
    <w:rsid w:val="006F395C"/>
    <w:rsid w:val="006F3B3F"/>
    <w:rsid w:val="006F4019"/>
    <w:rsid w:val="006F4959"/>
    <w:rsid w:val="006F4B08"/>
    <w:rsid w:val="006F516B"/>
    <w:rsid w:val="006F51BB"/>
    <w:rsid w:val="006F52C6"/>
    <w:rsid w:val="006F53EE"/>
    <w:rsid w:val="006F57A7"/>
    <w:rsid w:val="006F6789"/>
    <w:rsid w:val="006F6AC1"/>
    <w:rsid w:val="006F7870"/>
    <w:rsid w:val="006F7C0A"/>
    <w:rsid w:val="007001AE"/>
    <w:rsid w:val="00700B9A"/>
    <w:rsid w:val="00700FE5"/>
    <w:rsid w:val="007018BA"/>
    <w:rsid w:val="00701D89"/>
    <w:rsid w:val="00702DD0"/>
    <w:rsid w:val="007046BD"/>
    <w:rsid w:val="0070481B"/>
    <w:rsid w:val="00704A32"/>
    <w:rsid w:val="007053FE"/>
    <w:rsid w:val="00705493"/>
    <w:rsid w:val="007064E2"/>
    <w:rsid w:val="007066D0"/>
    <w:rsid w:val="00706E7E"/>
    <w:rsid w:val="00707527"/>
    <w:rsid w:val="007077C2"/>
    <w:rsid w:val="0071072A"/>
    <w:rsid w:val="00710C01"/>
    <w:rsid w:val="00711A1D"/>
    <w:rsid w:val="00711A7E"/>
    <w:rsid w:val="007124B1"/>
    <w:rsid w:val="0071282F"/>
    <w:rsid w:val="007129C8"/>
    <w:rsid w:val="007133E1"/>
    <w:rsid w:val="0071415D"/>
    <w:rsid w:val="0071466C"/>
    <w:rsid w:val="00714CCD"/>
    <w:rsid w:val="00715732"/>
    <w:rsid w:val="0071577E"/>
    <w:rsid w:val="007163F6"/>
    <w:rsid w:val="00716D62"/>
    <w:rsid w:val="00716D8E"/>
    <w:rsid w:val="00716F8C"/>
    <w:rsid w:val="007175C3"/>
    <w:rsid w:val="00717812"/>
    <w:rsid w:val="00717A38"/>
    <w:rsid w:val="00717EFC"/>
    <w:rsid w:val="00720129"/>
    <w:rsid w:val="0072016F"/>
    <w:rsid w:val="00720264"/>
    <w:rsid w:val="00720EF3"/>
    <w:rsid w:val="0072193B"/>
    <w:rsid w:val="00722D11"/>
    <w:rsid w:val="007233D6"/>
    <w:rsid w:val="007239BA"/>
    <w:rsid w:val="00723F4F"/>
    <w:rsid w:val="00724587"/>
    <w:rsid w:val="007252A8"/>
    <w:rsid w:val="00725CD2"/>
    <w:rsid w:val="0072704C"/>
    <w:rsid w:val="0072797E"/>
    <w:rsid w:val="00727AFB"/>
    <w:rsid w:val="0073095D"/>
    <w:rsid w:val="00730F08"/>
    <w:rsid w:val="0073141B"/>
    <w:rsid w:val="0073141F"/>
    <w:rsid w:val="0073211D"/>
    <w:rsid w:val="00732306"/>
    <w:rsid w:val="00732838"/>
    <w:rsid w:val="00733847"/>
    <w:rsid w:val="007338CD"/>
    <w:rsid w:val="00733DCE"/>
    <w:rsid w:val="00733FA1"/>
    <w:rsid w:val="0073413A"/>
    <w:rsid w:val="007345C9"/>
    <w:rsid w:val="00734A8B"/>
    <w:rsid w:val="00734E4D"/>
    <w:rsid w:val="00734FDC"/>
    <w:rsid w:val="007351DD"/>
    <w:rsid w:val="00735FAD"/>
    <w:rsid w:val="00736275"/>
    <w:rsid w:val="0073636F"/>
    <w:rsid w:val="00736373"/>
    <w:rsid w:val="00736A5C"/>
    <w:rsid w:val="00736B82"/>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172"/>
    <w:rsid w:val="00746346"/>
    <w:rsid w:val="0074637F"/>
    <w:rsid w:val="00746CEE"/>
    <w:rsid w:val="00747469"/>
    <w:rsid w:val="00747C4B"/>
    <w:rsid w:val="00750361"/>
    <w:rsid w:val="0075055C"/>
    <w:rsid w:val="00750F7D"/>
    <w:rsid w:val="00751392"/>
    <w:rsid w:val="00751910"/>
    <w:rsid w:val="007519D0"/>
    <w:rsid w:val="007520EF"/>
    <w:rsid w:val="00752241"/>
    <w:rsid w:val="00752426"/>
    <w:rsid w:val="007539AA"/>
    <w:rsid w:val="00753F4C"/>
    <w:rsid w:val="0075412E"/>
    <w:rsid w:val="00755222"/>
    <w:rsid w:val="0075538E"/>
    <w:rsid w:val="00755E57"/>
    <w:rsid w:val="007562ED"/>
    <w:rsid w:val="007563BD"/>
    <w:rsid w:val="00756517"/>
    <w:rsid w:val="0075760A"/>
    <w:rsid w:val="00760221"/>
    <w:rsid w:val="007614EC"/>
    <w:rsid w:val="00761F2F"/>
    <w:rsid w:val="007628E4"/>
    <w:rsid w:val="00762D05"/>
    <w:rsid w:val="0076341D"/>
    <w:rsid w:val="00763933"/>
    <w:rsid w:val="00763F4E"/>
    <w:rsid w:val="007644E8"/>
    <w:rsid w:val="007647B9"/>
    <w:rsid w:val="0076494A"/>
    <w:rsid w:val="00764A1E"/>
    <w:rsid w:val="0076548F"/>
    <w:rsid w:val="0076577F"/>
    <w:rsid w:val="00765B3C"/>
    <w:rsid w:val="00765B63"/>
    <w:rsid w:val="00765C74"/>
    <w:rsid w:val="00765D54"/>
    <w:rsid w:val="00766134"/>
    <w:rsid w:val="00766198"/>
    <w:rsid w:val="0076627D"/>
    <w:rsid w:val="007701A2"/>
    <w:rsid w:val="00770DA4"/>
    <w:rsid w:val="00770E92"/>
    <w:rsid w:val="00771034"/>
    <w:rsid w:val="007712D9"/>
    <w:rsid w:val="00771470"/>
    <w:rsid w:val="007718DE"/>
    <w:rsid w:val="0077230D"/>
    <w:rsid w:val="00773070"/>
    <w:rsid w:val="00773C7E"/>
    <w:rsid w:val="00773E6F"/>
    <w:rsid w:val="0077475C"/>
    <w:rsid w:val="00774AE7"/>
    <w:rsid w:val="00774B60"/>
    <w:rsid w:val="00775184"/>
    <w:rsid w:val="00775709"/>
    <w:rsid w:val="007757E9"/>
    <w:rsid w:val="00775E02"/>
    <w:rsid w:val="007764F1"/>
    <w:rsid w:val="00777753"/>
    <w:rsid w:val="00777A33"/>
    <w:rsid w:val="007808CB"/>
    <w:rsid w:val="00781204"/>
    <w:rsid w:val="00781904"/>
    <w:rsid w:val="00781941"/>
    <w:rsid w:val="00781CD0"/>
    <w:rsid w:val="00781D3C"/>
    <w:rsid w:val="00781F4F"/>
    <w:rsid w:val="0078221F"/>
    <w:rsid w:val="00783354"/>
    <w:rsid w:val="00783B12"/>
    <w:rsid w:val="00784C9A"/>
    <w:rsid w:val="00785CB1"/>
    <w:rsid w:val="00786350"/>
    <w:rsid w:val="00786645"/>
    <w:rsid w:val="00787016"/>
    <w:rsid w:val="0078727D"/>
    <w:rsid w:val="00787564"/>
    <w:rsid w:val="00787575"/>
    <w:rsid w:val="00787814"/>
    <w:rsid w:val="00787972"/>
    <w:rsid w:val="007907D3"/>
    <w:rsid w:val="00790B1D"/>
    <w:rsid w:val="00791E64"/>
    <w:rsid w:val="00792337"/>
    <w:rsid w:val="0079287F"/>
    <w:rsid w:val="007931CB"/>
    <w:rsid w:val="00793AA8"/>
    <w:rsid w:val="00793D5D"/>
    <w:rsid w:val="0079401D"/>
    <w:rsid w:val="00794297"/>
    <w:rsid w:val="00794745"/>
    <w:rsid w:val="00794C6D"/>
    <w:rsid w:val="00794D4C"/>
    <w:rsid w:val="007951CE"/>
    <w:rsid w:val="007956CD"/>
    <w:rsid w:val="00795A05"/>
    <w:rsid w:val="007964DA"/>
    <w:rsid w:val="0079680C"/>
    <w:rsid w:val="00796911"/>
    <w:rsid w:val="00796AE2"/>
    <w:rsid w:val="00796C79"/>
    <w:rsid w:val="00796F27"/>
    <w:rsid w:val="00797333"/>
    <w:rsid w:val="00797A43"/>
    <w:rsid w:val="00797C64"/>
    <w:rsid w:val="00797F27"/>
    <w:rsid w:val="007A0BCD"/>
    <w:rsid w:val="007A1730"/>
    <w:rsid w:val="007A28F3"/>
    <w:rsid w:val="007A2E79"/>
    <w:rsid w:val="007A34A6"/>
    <w:rsid w:val="007A34D9"/>
    <w:rsid w:val="007A3A4C"/>
    <w:rsid w:val="007A3A56"/>
    <w:rsid w:val="007A40F5"/>
    <w:rsid w:val="007A45E6"/>
    <w:rsid w:val="007A491F"/>
    <w:rsid w:val="007A6B49"/>
    <w:rsid w:val="007A7134"/>
    <w:rsid w:val="007A7321"/>
    <w:rsid w:val="007A7422"/>
    <w:rsid w:val="007A7581"/>
    <w:rsid w:val="007A76B1"/>
    <w:rsid w:val="007A7B9C"/>
    <w:rsid w:val="007B0126"/>
    <w:rsid w:val="007B0F5B"/>
    <w:rsid w:val="007B103A"/>
    <w:rsid w:val="007B1478"/>
    <w:rsid w:val="007B14EF"/>
    <w:rsid w:val="007B1EF4"/>
    <w:rsid w:val="007B2C5C"/>
    <w:rsid w:val="007B3511"/>
    <w:rsid w:val="007B6029"/>
    <w:rsid w:val="007B669B"/>
    <w:rsid w:val="007B68F8"/>
    <w:rsid w:val="007B7033"/>
    <w:rsid w:val="007B73D2"/>
    <w:rsid w:val="007B7E48"/>
    <w:rsid w:val="007C0C26"/>
    <w:rsid w:val="007C0C7B"/>
    <w:rsid w:val="007C107B"/>
    <w:rsid w:val="007C2A88"/>
    <w:rsid w:val="007C302C"/>
    <w:rsid w:val="007C30F7"/>
    <w:rsid w:val="007C31AA"/>
    <w:rsid w:val="007C33BE"/>
    <w:rsid w:val="007C3A40"/>
    <w:rsid w:val="007C3DB1"/>
    <w:rsid w:val="007C3F65"/>
    <w:rsid w:val="007C46F1"/>
    <w:rsid w:val="007C4792"/>
    <w:rsid w:val="007C48A1"/>
    <w:rsid w:val="007C48C3"/>
    <w:rsid w:val="007C4E88"/>
    <w:rsid w:val="007C50AF"/>
    <w:rsid w:val="007C5D8F"/>
    <w:rsid w:val="007C62AE"/>
    <w:rsid w:val="007C7270"/>
    <w:rsid w:val="007C7329"/>
    <w:rsid w:val="007C775D"/>
    <w:rsid w:val="007C78AE"/>
    <w:rsid w:val="007C7A7E"/>
    <w:rsid w:val="007C7BAB"/>
    <w:rsid w:val="007C7D79"/>
    <w:rsid w:val="007D0286"/>
    <w:rsid w:val="007D02E0"/>
    <w:rsid w:val="007D0BF2"/>
    <w:rsid w:val="007D1036"/>
    <w:rsid w:val="007D1076"/>
    <w:rsid w:val="007D16D8"/>
    <w:rsid w:val="007D16DC"/>
    <w:rsid w:val="007D1A4D"/>
    <w:rsid w:val="007D1C6E"/>
    <w:rsid w:val="007D1EC8"/>
    <w:rsid w:val="007D2CB0"/>
    <w:rsid w:val="007D393D"/>
    <w:rsid w:val="007D55D1"/>
    <w:rsid w:val="007D6422"/>
    <w:rsid w:val="007D68EA"/>
    <w:rsid w:val="007D6B25"/>
    <w:rsid w:val="007D6B38"/>
    <w:rsid w:val="007D6D97"/>
    <w:rsid w:val="007D7291"/>
    <w:rsid w:val="007D767F"/>
    <w:rsid w:val="007D7977"/>
    <w:rsid w:val="007E051C"/>
    <w:rsid w:val="007E0D40"/>
    <w:rsid w:val="007E149E"/>
    <w:rsid w:val="007E2054"/>
    <w:rsid w:val="007E28C6"/>
    <w:rsid w:val="007E2AFC"/>
    <w:rsid w:val="007E2CC2"/>
    <w:rsid w:val="007E31B0"/>
    <w:rsid w:val="007E3D8F"/>
    <w:rsid w:val="007E4462"/>
    <w:rsid w:val="007E447C"/>
    <w:rsid w:val="007E451A"/>
    <w:rsid w:val="007E497E"/>
    <w:rsid w:val="007E4FF1"/>
    <w:rsid w:val="007E509C"/>
    <w:rsid w:val="007E5439"/>
    <w:rsid w:val="007E588D"/>
    <w:rsid w:val="007E617A"/>
    <w:rsid w:val="007E72D1"/>
    <w:rsid w:val="007E7CB4"/>
    <w:rsid w:val="007E7DBA"/>
    <w:rsid w:val="007F0AAC"/>
    <w:rsid w:val="007F0E04"/>
    <w:rsid w:val="007F0E85"/>
    <w:rsid w:val="007F19E8"/>
    <w:rsid w:val="007F2768"/>
    <w:rsid w:val="007F2AB0"/>
    <w:rsid w:val="007F3590"/>
    <w:rsid w:val="007F37F8"/>
    <w:rsid w:val="007F3869"/>
    <w:rsid w:val="007F45AB"/>
    <w:rsid w:val="007F4AB4"/>
    <w:rsid w:val="007F4B34"/>
    <w:rsid w:val="007F5893"/>
    <w:rsid w:val="007F5D2F"/>
    <w:rsid w:val="007F5D8C"/>
    <w:rsid w:val="007F5F12"/>
    <w:rsid w:val="007F6996"/>
    <w:rsid w:val="008003F2"/>
    <w:rsid w:val="00800480"/>
    <w:rsid w:val="008009A8"/>
    <w:rsid w:val="00800A15"/>
    <w:rsid w:val="00800D25"/>
    <w:rsid w:val="008019D3"/>
    <w:rsid w:val="0080273F"/>
    <w:rsid w:val="00802C94"/>
    <w:rsid w:val="0080465D"/>
    <w:rsid w:val="00804A37"/>
    <w:rsid w:val="00805342"/>
    <w:rsid w:val="00805420"/>
    <w:rsid w:val="00805C45"/>
    <w:rsid w:val="00805D5F"/>
    <w:rsid w:val="00805F81"/>
    <w:rsid w:val="008068E1"/>
    <w:rsid w:val="00807B7F"/>
    <w:rsid w:val="0081146D"/>
    <w:rsid w:val="0081194C"/>
    <w:rsid w:val="00811B1A"/>
    <w:rsid w:val="00812723"/>
    <w:rsid w:val="00812B31"/>
    <w:rsid w:val="008134BA"/>
    <w:rsid w:val="0081357B"/>
    <w:rsid w:val="0081379F"/>
    <w:rsid w:val="00813C4A"/>
    <w:rsid w:val="00814418"/>
    <w:rsid w:val="008144FA"/>
    <w:rsid w:val="0081455B"/>
    <w:rsid w:val="008148CB"/>
    <w:rsid w:val="00814A76"/>
    <w:rsid w:val="00814F88"/>
    <w:rsid w:val="00815281"/>
    <w:rsid w:val="008154B4"/>
    <w:rsid w:val="00815587"/>
    <w:rsid w:val="008155C4"/>
    <w:rsid w:val="00815C17"/>
    <w:rsid w:val="00816CAF"/>
    <w:rsid w:val="00817C3D"/>
    <w:rsid w:val="00817C41"/>
    <w:rsid w:val="00817CB5"/>
    <w:rsid w:val="008205B2"/>
    <w:rsid w:val="00820861"/>
    <w:rsid w:val="00820E2C"/>
    <w:rsid w:val="00820E8A"/>
    <w:rsid w:val="00820ED4"/>
    <w:rsid w:val="00821F81"/>
    <w:rsid w:val="008221D2"/>
    <w:rsid w:val="00822337"/>
    <w:rsid w:val="0082244B"/>
    <w:rsid w:val="00822562"/>
    <w:rsid w:val="00822A61"/>
    <w:rsid w:val="00822B94"/>
    <w:rsid w:val="00822BA7"/>
    <w:rsid w:val="00822D9C"/>
    <w:rsid w:val="00822EB1"/>
    <w:rsid w:val="0082322A"/>
    <w:rsid w:val="0082350D"/>
    <w:rsid w:val="00823C0D"/>
    <w:rsid w:val="00823E27"/>
    <w:rsid w:val="008244ED"/>
    <w:rsid w:val="00824FB3"/>
    <w:rsid w:val="008253ED"/>
    <w:rsid w:val="00825E87"/>
    <w:rsid w:val="00826949"/>
    <w:rsid w:val="00826E68"/>
    <w:rsid w:val="0082745F"/>
    <w:rsid w:val="00830330"/>
    <w:rsid w:val="00831F51"/>
    <w:rsid w:val="008321D0"/>
    <w:rsid w:val="0083230A"/>
    <w:rsid w:val="0083261E"/>
    <w:rsid w:val="008329DD"/>
    <w:rsid w:val="00832A75"/>
    <w:rsid w:val="008333B0"/>
    <w:rsid w:val="00833605"/>
    <w:rsid w:val="008339AA"/>
    <w:rsid w:val="00833BE5"/>
    <w:rsid w:val="00833C74"/>
    <w:rsid w:val="00834E22"/>
    <w:rsid w:val="00834EDF"/>
    <w:rsid w:val="008350EC"/>
    <w:rsid w:val="00835157"/>
    <w:rsid w:val="00835963"/>
    <w:rsid w:val="008365F8"/>
    <w:rsid w:val="00836B63"/>
    <w:rsid w:val="00836BAF"/>
    <w:rsid w:val="00836F20"/>
    <w:rsid w:val="008370C1"/>
    <w:rsid w:val="008370D4"/>
    <w:rsid w:val="00837256"/>
    <w:rsid w:val="00840032"/>
    <w:rsid w:val="00840144"/>
    <w:rsid w:val="00840249"/>
    <w:rsid w:val="00841932"/>
    <w:rsid w:val="00841A41"/>
    <w:rsid w:val="00841B03"/>
    <w:rsid w:val="00842448"/>
    <w:rsid w:val="00842882"/>
    <w:rsid w:val="008434B8"/>
    <w:rsid w:val="00843DB5"/>
    <w:rsid w:val="00845180"/>
    <w:rsid w:val="0084536D"/>
    <w:rsid w:val="008453B2"/>
    <w:rsid w:val="008459CC"/>
    <w:rsid w:val="00845EC8"/>
    <w:rsid w:val="00846AA7"/>
    <w:rsid w:val="00846C2F"/>
    <w:rsid w:val="00846EC8"/>
    <w:rsid w:val="008471D3"/>
    <w:rsid w:val="00847411"/>
    <w:rsid w:val="008476E9"/>
    <w:rsid w:val="00847ED1"/>
    <w:rsid w:val="00847EEB"/>
    <w:rsid w:val="00847FBF"/>
    <w:rsid w:val="00851262"/>
    <w:rsid w:val="0085213D"/>
    <w:rsid w:val="00852371"/>
    <w:rsid w:val="00852380"/>
    <w:rsid w:val="00852D08"/>
    <w:rsid w:val="00853177"/>
    <w:rsid w:val="008534B5"/>
    <w:rsid w:val="00854478"/>
    <w:rsid w:val="00854638"/>
    <w:rsid w:val="00854A1D"/>
    <w:rsid w:val="00854B47"/>
    <w:rsid w:val="00854D8C"/>
    <w:rsid w:val="008555EF"/>
    <w:rsid w:val="00855DED"/>
    <w:rsid w:val="0085668D"/>
    <w:rsid w:val="0085715B"/>
    <w:rsid w:val="00857245"/>
    <w:rsid w:val="0085752A"/>
    <w:rsid w:val="00857638"/>
    <w:rsid w:val="00857AFF"/>
    <w:rsid w:val="00860157"/>
    <w:rsid w:val="00860601"/>
    <w:rsid w:val="0086142F"/>
    <w:rsid w:val="0086169F"/>
    <w:rsid w:val="00861989"/>
    <w:rsid w:val="00862691"/>
    <w:rsid w:val="00862973"/>
    <w:rsid w:val="00862A46"/>
    <w:rsid w:val="00862B41"/>
    <w:rsid w:val="00862DF9"/>
    <w:rsid w:val="00862EBC"/>
    <w:rsid w:val="008632F2"/>
    <w:rsid w:val="00863624"/>
    <w:rsid w:val="008637B3"/>
    <w:rsid w:val="00864889"/>
    <w:rsid w:val="00864A6B"/>
    <w:rsid w:val="00864CB6"/>
    <w:rsid w:val="00865666"/>
    <w:rsid w:val="00865E34"/>
    <w:rsid w:val="0086638A"/>
    <w:rsid w:val="008675DA"/>
    <w:rsid w:val="00867E9F"/>
    <w:rsid w:val="0087034E"/>
    <w:rsid w:val="00870A78"/>
    <w:rsid w:val="00870A8B"/>
    <w:rsid w:val="008711D0"/>
    <w:rsid w:val="0087140F"/>
    <w:rsid w:val="00871529"/>
    <w:rsid w:val="00871C2C"/>
    <w:rsid w:val="00871D7A"/>
    <w:rsid w:val="008720D3"/>
    <w:rsid w:val="00872632"/>
    <w:rsid w:val="00872CF6"/>
    <w:rsid w:val="00873623"/>
    <w:rsid w:val="00874064"/>
    <w:rsid w:val="00874388"/>
    <w:rsid w:val="008757D8"/>
    <w:rsid w:val="00875897"/>
    <w:rsid w:val="0087592E"/>
    <w:rsid w:val="0087659D"/>
    <w:rsid w:val="008766C7"/>
    <w:rsid w:val="00876946"/>
    <w:rsid w:val="00877449"/>
    <w:rsid w:val="008778F7"/>
    <w:rsid w:val="00877A29"/>
    <w:rsid w:val="00880F5F"/>
    <w:rsid w:val="008813B9"/>
    <w:rsid w:val="008815BF"/>
    <w:rsid w:val="00881611"/>
    <w:rsid w:val="0088163D"/>
    <w:rsid w:val="00881739"/>
    <w:rsid w:val="00881B61"/>
    <w:rsid w:val="00881C80"/>
    <w:rsid w:val="00881F3B"/>
    <w:rsid w:val="0088201A"/>
    <w:rsid w:val="008828D8"/>
    <w:rsid w:val="00883268"/>
    <w:rsid w:val="008837FF"/>
    <w:rsid w:val="008839F1"/>
    <w:rsid w:val="00883EC1"/>
    <w:rsid w:val="00884622"/>
    <w:rsid w:val="008848C2"/>
    <w:rsid w:val="00884D12"/>
    <w:rsid w:val="00884EE5"/>
    <w:rsid w:val="00885613"/>
    <w:rsid w:val="00885C5F"/>
    <w:rsid w:val="0088602E"/>
    <w:rsid w:val="00886482"/>
    <w:rsid w:val="0088667D"/>
    <w:rsid w:val="00886B84"/>
    <w:rsid w:val="00886EB4"/>
    <w:rsid w:val="008873D3"/>
    <w:rsid w:val="00887EE6"/>
    <w:rsid w:val="00890987"/>
    <w:rsid w:val="00890CC1"/>
    <w:rsid w:val="008913C8"/>
    <w:rsid w:val="00891414"/>
    <w:rsid w:val="00891C5B"/>
    <w:rsid w:val="00892A42"/>
    <w:rsid w:val="00893125"/>
    <w:rsid w:val="00893605"/>
    <w:rsid w:val="00893628"/>
    <w:rsid w:val="008936EF"/>
    <w:rsid w:val="00893C97"/>
    <w:rsid w:val="0089421B"/>
    <w:rsid w:val="00894354"/>
    <w:rsid w:val="008946E4"/>
    <w:rsid w:val="00894A2D"/>
    <w:rsid w:val="00894F66"/>
    <w:rsid w:val="008950E7"/>
    <w:rsid w:val="008956AA"/>
    <w:rsid w:val="00895A5D"/>
    <w:rsid w:val="00896311"/>
    <w:rsid w:val="008967BD"/>
    <w:rsid w:val="0089701B"/>
    <w:rsid w:val="00897438"/>
    <w:rsid w:val="00897A72"/>
    <w:rsid w:val="008A011C"/>
    <w:rsid w:val="008A06C7"/>
    <w:rsid w:val="008A07A1"/>
    <w:rsid w:val="008A1005"/>
    <w:rsid w:val="008A1D80"/>
    <w:rsid w:val="008A20F9"/>
    <w:rsid w:val="008A3309"/>
    <w:rsid w:val="008A3385"/>
    <w:rsid w:val="008A3677"/>
    <w:rsid w:val="008A3B2F"/>
    <w:rsid w:val="008A3F64"/>
    <w:rsid w:val="008A443A"/>
    <w:rsid w:val="008A461C"/>
    <w:rsid w:val="008A4927"/>
    <w:rsid w:val="008A4B25"/>
    <w:rsid w:val="008A4B4E"/>
    <w:rsid w:val="008A5872"/>
    <w:rsid w:val="008A58B1"/>
    <w:rsid w:val="008A5A47"/>
    <w:rsid w:val="008A620A"/>
    <w:rsid w:val="008A6B35"/>
    <w:rsid w:val="008A7749"/>
    <w:rsid w:val="008A7A8D"/>
    <w:rsid w:val="008B04D8"/>
    <w:rsid w:val="008B0705"/>
    <w:rsid w:val="008B0979"/>
    <w:rsid w:val="008B0AA4"/>
    <w:rsid w:val="008B14E3"/>
    <w:rsid w:val="008B1754"/>
    <w:rsid w:val="008B1FDC"/>
    <w:rsid w:val="008B23EC"/>
    <w:rsid w:val="008B269D"/>
    <w:rsid w:val="008B322B"/>
    <w:rsid w:val="008B379E"/>
    <w:rsid w:val="008B3D8D"/>
    <w:rsid w:val="008B4D63"/>
    <w:rsid w:val="008B5D0E"/>
    <w:rsid w:val="008B5FCB"/>
    <w:rsid w:val="008B6259"/>
    <w:rsid w:val="008B63F7"/>
    <w:rsid w:val="008B6548"/>
    <w:rsid w:val="008B68D7"/>
    <w:rsid w:val="008B74C5"/>
    <w:rsid w:val="008B7605"/>
    <w:rsid w:val="008C00CA"/>
    <w:rsid w:val="008C0639"/>
    <w:rsid w:val="008C0797"/>
    <w:rsid w:val="008C2383"/>
    <w:rsid w:val="008C299F"/>
    <w:rsid w:val="008C2D1D"/>
    <w:rsid w:val="008C3392"/>
    <w:rsid w:val="008C33F6"/>
    <w:rsid w:val="008C357F"/>
    <w:rsid w:val="008C4614"/>
    <w:rsid w:val="008C58D1"/>
    <w:rsid w:val="008C59B2"/>
    <w:rsid w:val="008C5AA6"/>
    <w:rsid w:val="008C5EB9"/>
    <w:rsid w:val="008C799F"/>
    <w:rsid w:val="008C7D64"/>
    <w:rsid w:val="008D02AE"/>
    <w:rsid w:val="008D0A43"/>
    <w:rsid w:val="008D0C8A"/>
    <w:rsid w:val="008D15C5"/>
    <w:rsid w:val="008D1F03"/>
    <w:rsid w:val="008D2852"/>
    <w:rsid w:val="008D33CC"/>
    <w:rsid w:val="008D3487"/>
    <w:rsid w:val="008D38FE"/>
    <w:rsid w:val="008D3CF4"/>
    <w:rsid w:val="008D3DA8"/>
    <w:rsid w:val="008D4AC4"/>
    <w:rsid w:val="008D4E27"/>
    <w:rsid w:val="008D5035"/>
    <w:rsid w:val="008D5157"/>
    <w:rsid w:val="008D53C1"/>
    <w:rsid w:val="008D549D"/>
    <w:rsid w:val="008D5C2A"/>
    <w:rsid w:val="008D6341"/>
    <w:rsid w:val="008D653C"/>
    <w:rsid w:val="008D6654"/>
    <w:rsid w:val="008D6EB6"/>
    <w:rsid w:val="008E014D"/>
    <w:rsid w:val="008E02D3"/>
    <w:rsid w:val="008E10F4"/>
    <w:rsid w:val="008E111A"/>
    <w:rsid w:val="008E1590"/>
    <w:rsid w:val="008E1D3D"/>
    <w:rsid w:val="008E1F78"/>
    <w:rsid w:val="008E21E3"/>
    <w:rsid w:val="008E26A1"/>
    <w:rsid w:val="008E3274"/>
    <w:rsid w:val="008E3470"/>
    <w:rsid w:val="008E3741"/>
    <w:rsid w:val="008E4084"/>
    <w:rsid w:val="008E4634"/>
    <w:rsid w:val="008E4795"/>
    <w:rsid w:val="008E4AF4"/>
    <w:rsid w:val="008E4B43"/>
    <w:rsid w:val="008E562B"/>
    <w:rsid w:val="008E59FC"/>
    <w:rsid w:val="008E6DE9"/>
    <w:rsid w:val="008F0591"/>
    <w:rsid w:val="008F0B14"/>
    <w:rsid w:val="008F1293"/>
    <w:rsid w:val="008F13C7"/>
    <w:rsid w:val="008F172B"/>
    <w:rsid w:val="008F1B6A"/>
    <w:rsid w:val="008F1BEA"/>
    <w:rsid w:val="008F1F0C"/>
    <w:rsid w:val="008F2158"/>
    <w:rsid w:val="008F2462"/>
    <w:rsid w:val="008F28F6"/>
    <w:rsid w:val="008F2E1B"/>
    <w:rsid w:val="008F31A8"/>
    <w:rsid w:val="008F34CF"/>
    <w:rsid w:val="008F3F9B"/>
    <w:rsid w:val="008F4909"/>
    <w:rsid w:val="008F4C08"/>
    <w:rsid w:val="008F4FEB"/>
    <w:rsid w:val="008F57C8"/>
    <w:rsid w:val="008F5BA0"/>
    <w:rsid w:val="008F6C4E"/>
    <w:rsid w:val="008F6C62"/>
    <w:rsid w:val="008F7116"/>
    <w:rsid w:val="008F75C2"/>
    <w:rsid w:val="008F7824"/>
    <w:rsid w:val="008F7C9D"/>
    <w:rsid w:val="00900B5F"/>
    <w:rsid w:val="0090116F"/>
    <w:rsid w:val="009017AE"/>
    <w:rsid w:val="00901880"/>
    <w:rsid w:val="00901B20"/>
    <w:rsid w:val="00903469"/>
    <w:rsid w:val="009036D8"/>
    <w:rsid w:val="00903CFB"/>
    <w:rsid w:val="00903FCE"/>
    <w:rsid w:val="009044B5"/>
    <w:rsid w:val="00904812"/>
    <w:rsid w:val="0090511F"/>
    <w:rsid w:val="00905412"/>
    <w:rsid w:val="00905955"/>
    <w:rsid w:val="00905AF6"/>
    <w:rsid w:val="00905D92"/>
    <w:rsid w:val="00905DFA"/>
    <w:rsid w:val="00905ED0"/>
    <w:rsid w:val="0090680B"/>
    <w:rsid w:val="009070E6"/>
    <w:rsid w:val="0090783D"/>
    <w:rsid w:val="009079C1"/>
    <w:rsid w:val="00907B0C"/>
    <w:rsid w:val="0091015A"/>
    <w:rsid w:val="009109B5"/>
    <w:rsid w:val="00911093"/>
    <w:rsid w:val="009110B0"/>
    <w:rsid w:val="009111E2"/>
    <w:rsid w:val="00911CB0"/>
    <w:rsid w:val="00912418"/>
    <w:rsid w:val="00912B05"/>
    <w:rsid w:val="009137FD"/>
    <w:rsid w:val="009138EE"/>
    <w:rsid w:val="00913D64"/>
    <w:rsid w:val="00913F52"/>
    <w:rsid w:val="00913F59"/>
    <w:rsid w:val="0091482B"/>
    <w:rsid w:val="00914F9C"/>
    <w:rsid w:val="009151DC"/>
    <w:rsid w:val="009159B8"/>
    <w:rsid w:val="00915C20"/>
    <w:rsid w:val="009163F0"/>
    <w:rsid w:val="00916824"/>
    <w:rsid w:val="00920552"/>
    <w:rsid w:val="00921755"/>
    <w:rsid w:val="00921987"/>
    <w:rsid w:val="00921EA1"/>
    <w:rsid w:val="00922438"/>
    <w:rsid w:val="0092373C"/>
    <w:rsid w:val="009237AB"/>
    <w:rsid w:val="00923886"/>
    <w:rsid w:val="00923C90"/>
    <w:rsid w:val="00923D75"/>
    <w:rsid w:val="00923FCA"/>
    <w:rsid w:val="009240D8"/>
    <w:rsid w:val="00924ACC"/>
    <w:rsid w:val="00925C24"/>
    <w:rsid w:val="00926903"/>
    <w:rsid w:val="00927234"/>
    <w:rsid w:val="00927C61"/>
    <w:rsid w:val="00927DB5"/>
    <w:rsid w:val="009301C3"/>
    <w:rsid w:val="009305DF"/>
    <w:rsid w:val="00930829"/>
    <w:rsid w:val="00930DA7"/>
    <w:rsid w:val="00930F81"/>
    <w:rsid w:val="0093132B"/>
    <w:rsid w:val="0093144D"/>
    <w:rsid w:val="00931638"/>
    <w:rsid w:val="00931996"/>
    <w:rsid w:val="00932098"/>
    <w:rsid w:val="0093248E"/>
    <w:rsid w:val="00932EEE"/>
    <w:rsid w:val="0093338D"/>
    <w:rsid w:val="00934456"/>
    <w:rsid w:val="00934C29"/>
    <w:rsid w:val="00935A03"/>
    <w:rsid w:val="00935ACC"/>
    <w:rsid w:val="009369D1"/>
    <w:rsid w:val="00937522"/>
    <w:rsid w:val="00937831"/>
    <w:rsid w:val="00940703"/>
    <w:rsid w:val="00940B60"/>
    <w:rsid w:val="00941317"/>
    <w:rsid w:val="00941490"/>
    <w:rsid w:val="00942407"/>
    <w:rsid w:val="00942747"/>
    <w:rsid w:val="0094367C"/>
    <w:rsid w:val="00943845"/>
    <w:rsid w:val="00944536"/>
    <w:rsid w:val="00944587"/>
    <w:rsid w:val="00944F7B"/>
    <w:rsid w:val="00944FA6"/>
    <w:rsid w:val="00945034"/>
    <w:rsid w:val="00945567"/>
    <w:rsid w:val="0094559A"/>
    <w:rsid w:val="009461B0"/>
    <w:rsid w:val="00946380"/>
    <w:rsid w:val="00946796"/>
    <w:rsid w:val="00947042"/>
    <w:rsid w:val="0094744D"/>
    <w:rsid w:val="0094767D"/>
    <w:rsid w:val="00950574"/>
    <w:rsid w:val="00950ABC"/>
    <w:rsid w:val="00950C49"/>
    <w:rsid w:val="0095100D"/>
    <w:rsid w:val="009510A2"/>
    <w:rsid w:val="00952962"/>
    <w:rsid w:val="0095377E"/>
    <w:rsid w:val="00953AF6"/>
    <w:rsid w:val="00953DD2"/>
    <w:rsid w:val="00954608"/>
    <w:rsid w:val="00954934"/>
    <w:rsid w:val="009552E9"/>
    <w:rsid w:val="009559E1"/>
    <w:rsid w:val="00955A13"/>
    <w:rsid w:val="00955B0B"/>
    <w:rsid w:val="00956189"/>
    <w:rsid w:val="00956396"/>
    <w:rsid w:val="0095643C"/>
    <w:rsid w:val="00956C8B"/>
    <w:rsid w:val="00956DFE"/>
    <w:rsid w:val="00957085"/>
    <w:rsid w:val="0095797A"/>
    <w:rsid w:val="00957C66"/>
    <w:rsid w:val="00960A98"/>
    <w:rsid w:val="00961174"/>
    <w:rsid w:val="009616FC"/>
    <w:rsid w:val="00961A82"/>
    <w:rsid w:val="009620B7"/>
    <w:rsid w:val="00962313"/>
    <w:rsid w:val="009625FC"/>
    <w:rsid w:val="00962925"/>
    <w:rsid w:val="00962CD5"/>
    <w:rsid w:val="009647CD"/>
    <w:rsid w:val="0096492C"/>
    <w:rsid w:val="0096525C"/>
    <w:rsid w:val="00965F29"/>
    <w:rsid w:val="00966187"/>
    <w:rsid w:val="00966643"/>
    <w:rsid w:val="00966C29"/>
    <w:rsid w:val="00966C58"/>
    <w:rsid w:val="00966D00"/>
    <w:rsid w:val="00966D82"/>
    <w:rsid w:val="00966DD3"/>
    <w:rsid w:val="00966F15"/>
    <w:rsid w:val="00967541"/>
    <w:rsid w:val="00967913"/>
    <w:rsid w:val="00970069"/>
    <w:rsid w:val="0097040C"/>
    <w:rsid w:val="00970574"/>
    <w:rsid w:val="00970C0B"/>
    <w:rsid w:val="009712AD"/>
    <w:rsid w:val="00972929"/>
    <w:rsid w:val="00973171"/>
    <w:rsid w:val="00973A08"/>
    <w:rsid w:val="00973E91"/>
    <w:rsid w:val="00973F53"/>
    <w:rsid w:val="00973F6A"/>
    <w:rsid w:val="00973FEA"/>
    <w:rsid w:val="0097438F"/>
    <w:rsid w:val="00974439"/>
    <w:rsid w:val="00974580"/>
    <w:rsid w:val="00975394"/>
    <w:rsid w:val="00975C20"/>
    <w:rsid w:val="0097602D"/>
    <w:rsid w:val="0097664C"/>
    <w:rsid w:val="00976969"/>
    <w:rsid w:val="00976BC1"/>
    <w:rsid w:val="00976CBE"/>
    <w:rsid w:val="00977194"/>
    <w:rsid w:val="0097725C"/>
    <w:rsid w:val="00977E3C"/>
    <w:rsid w:val="00977FFC"/>
    <w:rsid w:val="009805D3"/>
    <w:rsid w:val="00980E0C"/>
    <w:rsid w:val="00981AE3"/>
    <w:rsid w:val="00982014"/>
    <w:rsid w:val="0098289E"/>
    <w:rsid w:val="00982CD8"/>
    <w:rsid w:val="00982DFA"/>
    <w:rsid w:val="00982E8C"/>
    <w:rsid w:val="00984858"/>
    <w:rsid w:val="00984886"/>
    <w:rsid w:val="009858D9"/>
    <w:rsid w:val="00986315"/>
    <w:rsid w:val="00986F0C"/>
    <w:rsid w:val="0098707C"/>
    <w:rsid w:val="00987441"/>
    <w:rsid w:val="00987DAC"/>
    <w:rsid w:val="00990239"/>
    <w:rsid w:val="0099076F"/>
    <w:rsid w:val="00992252"/>
    <w:rsid w:val="00992B1D"/>
    <w:rsid w:val="009938E2"/>
    <w:rsid w:val="009942E7"/>
    <w:rsid w:val="00994D29"/>
    <w:rsid w:val="00995CEE"/>
    <w:rsid w:val="009970B2"/>
    <w:rsid w:val="009971EC"/>
    <w:rsid w:val="009974E3"/>
    <w:rsid w:val="009977CA"/>
    <w:rsid w:val="009977D7"/>
    <w:rsid w:val="009A05A5"/>
    <w:rsid w:val="009A1080"/>
    <w:rsid w:val="009A15E6"/>
    <w:rsid w:val="009A1CA5"/>
    <w:rsid w:val="009A1EB2"/>
    <w:rsid w:val="009A2611"/>
    <w:rsid w:val="009A2A08"/>
    <w:rsid w:val="009A30B9"/>
    <w:rsid w:val="009A4142"/>
    <w:rsid w:val="009A4B19"/>
    <w:rsid w:val="009A4BA3"/>
    <w:rsid w:val="009A4BBE"/>
    <w:rsid w:val="009A4E53"/>
    <w:rsid w:val="009A4F81"/>
    <w:rsid w:val="009A5120"/>
    <w:rsid w:val="009A52A2"/>
    <w:rsid w:val="009A5ED6"/>
    <w:rsid w:val="009A6E57"/>
    <w:rsid w:val="009A75D3"/>
    <w:rsid w:val="009B04FA"/>
    <w:rsid w:val="009B1E42"/>
    <w:rsid w:val="009B219B"/>
    <w:rsid w:val="009B2231"/>
    <w:rsid w:val="009B3144"/>
    <w:rsid w:val="009B3156"/>
    <w:rsid w:val="009B3E3A"/>
    <w:rsid w:val="009B4550"/>
    <w:rsid w:val="009B4624"/>
    <w:rsid w:val="009B4990"/>
    <w:rsid w:val="009B4F81"/>
    <w:rsid w:val="009B54DD"/>
    <w:rsid w:val="009B57DB"/>
    <w:rsid w:val="009B5EDA"/>
    <w:rsid w:val="009B6A2E"/>
    <w:rsid w:val="009B6E64"/>
    <w:rsid w:val="009B6EAA"/>
    <w:rsid w:val="009B7511"/>
    <w:rsid w:val="009C1216"/>
    <w:rsid w:val="009C1306"/>
    <w:rsid w:val="009C1709"/>
    <w:rsid w:val="009C1B97"/>
    <w:rsid w:val="009C1CCB"/>
    <w:rsid w:val="009C2095"/>
    <w:rsid w:val="009C20DE"/>
    <w:rsid w:val="009C2478"/>
    <w:rsid w:val="009C28FF"/>
    <w:rsid w:val="009C2C62"/>
    <w:rsid w:val="009C3DC9"/>
    <w:rsid w:val="009C3EA8"/>
    <w:rsid w:val="009C40EF"/>
    <w:rsid w:val="009C42A6"/>
    <w:rsid w:val="009C4B27"/>
    <w:rsid w:val="009C4B5F"/>
    <w:rsid w:val="009C5AA5"/>
    <w:rsid w:val="009C68E9"/>
    <w:rsid w:val="009C6D86"/>
    <w:rsid w:val="009C7653"/>
    <w:rsid w:val="009D0371"/>
    <w:rsid w:val="009D0407"/>
    <w:rsid w:val="009D1088"/>
    <w:rsid w:val="009D14A0"/>
    <w:rsid w:val="009D14FA"/>
    <w:rsid w:val="009D2113"/>
    <w:rsid w:val="009D25A6"/>
    <w:rsid w:val="009D283C"/>
    <w:rsid w:val="009D311D"/>
    <w:rsid w:val="009D3322"/>
    <w:rsid w:val="009D34CB"/>
    <w:rsid w:val="009D384B"/>
    <w:rsid w:val="009D3F54"/>
    <w:rsid w:val="009D4776"/>
    <w:rsid w:val="009D47B3"/>
    <w:rsid w:val="009D486C"/>
    <w:rsid w:val="009D4C50"/>
    <w:rsid w:val="009D52D9"/>
    <w:rsid w:val="009D55D1"/>
    <w:rsid w:val="009D5ABD"/>
    <w:rsid w:val="009D5B68"/>
    <w:rsid w:val="009D7468"/>
    <w:rsid w:val="009D7C5E"/>
    <w:rsid w:val="009E0FC9"/>
    <w:rsid w:val="009E1A58"/>
    <w:rsid w:val="009E227D"/>
    <w:rsid w:val="009E2CFC"/>
    <w:rsid w:val="009E2DEB"/>
    <w:rsid w:val="009E3197"/>
    <w:rsid w:val="009E3F06"/>
    <w:rsid w:val="009E50B7"/>
    <w:rsid w:val="009E5687"/>
    <w:rsid w:val="009E59AF"/>
    <w:rsid w:val="009E60CD"/>
    <w:rsid w:val="009E617C"/>
    <w:rsid w:val="009E6211"/>
    <w:rsid w:val="009E732F"/>
    <w:rsid w:val="009E74A6"/>
    <w:rsid w:val="009E7631"/>
    <w:rsid w:val="009E785D"/>
    <w:rsid w:val="009E7ABA"/>
    <w:rsid w:val="009F04C7"/>
    <w:rsid w:val="009F0908"/>
    <w:rsid w:val="009F168D"/>
    <w:rsid w:val="009F16C5"/>
    <w:rsid w:val="009F16F1"/>
    <w:rsid w:val="009F16FB"/>
    <w:rsid w:val="009F171F"/>
    <w:rsid w:val="009F1B9B"/>
    <w:rsid w:val="009F1E58"/>
    <w:rsid w:val="009F1EE1"/>
    <w:rsid w:val="009F35F8"/>
    <w:rsid w:val="009F3ADF"/>
    <w:rsid w:val="009F3BAA"/>
    <w:rsid w:val="009F4F5F"/>
    <w:rsid w:val="009F52C6"/>
    <w:rsid w:val="009F5393"/>
    <w:rsid w:val="009F584D"/>
    <w:rsid w:val="009F5CCD"/>
    <w:rsid w:val="009F615E"/>
    <w:rsid w:val="009F648B"/>
    <w:rsid w:val="009F6C2A"/>
    <w:rsid w:val="009F72E0"/>
    <w:rsid w:val="009F7C8A"/>
    <w:rsid w:val="009F7DDD"/>
    <w:rsid w:val="00A0062C"/>
    <w:rsid w:val="00A0066B"/>
    <w:rsid w:val="00A00925"/>
    <w:rsid w:val="00A00A5F"/>
    <w:rsid w:val="00A00A6E"/>
    <w:rsid w:val="00A00BFF"/>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4DEB"/>
    <w:rsid w:val="00A04EC6"/>
    <w:rsid w:val="00A05872"/>
    <w:rsid w:val="00A0591E"/>
    <w:rsid w:val="00A061DB"/>
    <w:rsid w:val="00A06303"/>
    <w:rsid w:val="00A065D1"/>
    <w:rsid w:val="00A0680A"/>
    <w:rsid w:val="00A0771C"/>
    <w:rsid w:val="00A10D2C"/>
    <w:rsid w:val="00A11236"/>
    <w:rsid w:val="00A1160B"/>
    <w:rsid w:val="00A11904"/>
    <w:rsid w:val="00A11A22"/>
    <w:rsid w:val="00A11DC4"/>
    <w:rsid w:val="00A1270A"/>
    <w:rsid w:val="00A12BDA"/>
    <w:rsid w:val="00A1334D"/>
    <w:rsid w:val="00A13F9E"/>
    <w:rsid w:val="00A1409F"/>
    <w:rsid w:val="00A1512A"/>
    <w:rsid w:val="00A15513"/>
    <w:rsid w:val="00A15A88"/>
    <w:rsid w:val="00A161F6"/>
    <w:rsid w:val="00A16276"/>
    <w:rsid w:val="00A17757"/>
    <w:rsid w:val="00A219CF"/>
    <w:rsid w:val="00A21DEE"/>
    <w:rsid w:val="00A22900"/>
    <w:rsid w:val="00A22B3E"/>
    <w:rsid w:val="00A22FB2"/>
    <w:rsid w:val="00A2321C"/>
    <w:rsid w:val="00A2357E"/>
    <w:rsid w:val="00A23647"/>
    <w:rsid w:val="00A23657"/>
    <w:rsid w:val="00A23BC4"/>
    <w:rsid w:val="00A23CFF"/>
    <w:rsid w:val="00A241B2"/>
    <w:rsid w:val="00A2442E"/>
    <w:rsid w:val="00A25BE1"/>
    <w:rsid w:val="00A26447"/>
    <w:rsid w:val="00A268AD"/>
    <w:rsid w:val="00A26D03"/>
    <w:rsid w:val="00A276C9"/>
    <w:rsid w:val="00A27884"/>
    <w:rsid w:val="00A27BF4"/>
    <w:rsid w:val="00A30867"/>
    <w:rsid w:val="00A30BB8"/>
    <w:rsid w:val="00A30EDB"/>
    <w:rsid w:val="00A30F52"/>
    <w:rsid w:val="00A31635"/>
    <w:rsid w:val="00A31A55"/>
    <w:rsid w:val="00A31B44"/>
    <w:rsid w:val="00A31B68"/>
    <w:rsid w:val="00A31BA8"/>
    <w:rsid w:val="00A32005"/>
    <w:rsid w:val="00A32602"/>
    <w:rsid w:val="00A32A10"/>
    <w:rsid w:val="00A32A38"/>
    <w:rsid w:val="00A339E1"/>
    <w:rsid w:val="00A33C94"/>
    <w:rsid w:val="00A33FEF"/>
    <w:rsid w:val="00A35263"/>
    <w:rsid w:val="00A35520"/>
    <w:rsid w:val="00A3557C"/>
    <w:rsid w:val="00A358CB"/>
    <w:rsid w:val="00A36440"/>
    <w:rsid w:val="00A36B6E"/>
    <w:rsid w:val="00A36EF1"/>
    <w:rsid w:val="00A37547"/>
    <w:rsid w:val="00A377F3"/>
    <w:rsid w:val="00A415E8"/>
    <w:rsid w:val="00A426CE"/>
    <w:rsid w:val="00A428DE"/>
    <w:rsid w:val="00A4315F"/>
    <w:rsid w:val="00A4357D"/>
    <w:rsid w:val="00A44191"/>
    <w:rsid w:val="00A44573"/>
    <w:rsid w:val="00A44804"/>
    <w:rsid w:val="00A44A08"/>
    <w:rsid w:val="00A44DD9"/>
    <w:rsid w:val="00A452A9"/>
    <w:rsid w:val="00A45543"/>
    <w:rsid w:val="00A4561E"/>
    <w:rsid w:val="00A457B3"/>
    <w:rsid w:val="00A45968"/>
    <w:rsid w:val="00A46D67"/>
    <w:rsid w:val="00A46FEC"/>
    <w:rsid w:val="00A470BC"/>
    <w:rsid w:val="00A47F1F"/>
    <w:rsid w:val="00A50A65"/>
    <w:rsid w:val="00A5156B"/>
    <w:rsid w:val="00A51EB1"/>
    <w:rsid w:val="00A52435"/>
    <w:rsid w:val="00A52AB6"/>
    <w:rsid w:val="00A54145"/>
    <w:rsid w:val="00A5477A"/>
    <w:rsid w:val="00A547D4"/>
    <w:rsid w:val="00A551BC"/>
    <w:rsid w:val="00A55706"/>
    <w:rsid w:val="00A56556"/>
    <w:rsid w:val="00A568A4"/>
    <w:rsid w:val="00A57472"/>
    <w:rsid w:val="00A5748E"/>
    <w:rsid w:val="00A578BC"/>
    <w:rsid w:val="00A579A2"/>
    <w:rsid w:val="00A57BC2"/>
    <w:rsid w:val="00A57F30"/>
    <w:rsid w:val="00A606C1"/>
    <w:rsid w:val="00A608B5"/>
    <w:rsid w:val="00A62A84"/>
    <w:rsid w:val="00A62CF2"/>
    <w:rsid w:val="00A6338D"/>
    <w:rsid w:val="00A646A8"/>
    <w:rsid w:val="00A6491A"/>
    <w:rsid w:val="00A652E0"/>
    <w:rsid w:val="00A65D39"/>
    <w:rsid w:val="00A661C8"/>
    <w:rsid w:val="00A66B4E"/>
    <w:rsid w:val="00A6724D"/>
    <w:rsid w:val="00A6786E"/>
    <w:rsid w:val="00A67DF7"/>
    <w:rsid w:val="00A70243"/>
    <w:rsid w:val="00A70D80"/>
    <w:rsid w:val="00A71183"/>
    <w:rsid w:val="00A71224"/>
    <w:rsid w:val="00A723B9"/>
    <w:rsid w:val="00A726E8"/>
    <w:rsid w:val="00A7480A"/>
    <w:rsid w:val="00A74985"/>
    <w:rsid w:val="00A75063"/>
    <w:rsid w:val="00A7596D"/>
    <w:rsid w:val="00A77649"/>
    <w:rsid w:val="00A77773"/>
    <w:rsid w:val="00A803BB"/>
    <w:rsid w:val="00A80F4E"/>
    <w:rsid w:val="00A812D8"/>
    <w:rsid w:val="00A81FF6"/>
    <w:rsid w:val="00A82020"/>
    <w:rsid w:val="00A82079"/>
    <w:rsid w:val="00A82151"/>
    <w:rsid w:val="00A8236A"/>
    <w:rsid w:val="00A83281"/>
    <w:rsid w:val="00A838FB"/>
    <w:rsid w:val="00A847B7"/>
    <w:rsid w:val="00A849D7"/>
    <w:rsid w:val="00A84DD8"/>
    <w:rsid w:val="00A84E15"/>
    <w:rsid w:val="00A85E04"/>
    <w:rsid w:val="00A863F2"/>
    <w:rsid w:val="00A86767"/>
    <w:rsid w:val="00A867F8"/>
    <w:rsid w:val="00A86E30"/>
    <w:rsid w:val="00A871EB"/>
    <w:rsid w:val="00A87715"/>
    <w:rsid w:val="00A877DF"/>
    <w:rsid w:val="00A87ADF"/>
    <w:rsid w:val="00A87DA0"/>
    <w:rsid w:val="00A90331"/>
    <w:rsid w:val="00A9039A"/>
    <w:rsid w:val="00A90BFC"/>
    <w:rsid w:val="00A90D09"/>
    <w:rsid w:val="00A91C0A"/>
    <w:rsid w:val="00A92108"/>
    <w:rsid w:val="00A924E1"/>
    <w:rsid w:val="00A9367F"/>
    <w:rsid w:val="00A93DFE"/>
    <w:rsid w:val="00A9406E"/>
    <w:rsid w:val="00A940E6"/>
    <w:rsid w:val="00A94AC5"/>
    <w:rsid w:val="00A94D64"/>
    <w:rsid w:val="00A94DCD"/>
    <w:rsid w:val="00A953BB"/>
    <w:rsid w:val="00A95D00"/>
    <w:rsid w:val="00A97CF4"/>
    <w:rsid w:val="00A97EB4"/>
    <w:rsid w:val="00AA106E"/>
    <w:rsid w:val="00AA253F"/>
    <w:rsid w:val="00AA2814"/>
    <w:rsid w:val="00AA2998"/>
    <w:rsid w:val="00AA3216"/>
    <w:rsid w:val="00AA3C6C"/>
    <w:rsid w:val="00AA3F5E"/>
    <w:rsid w:val="00AA4954"/>
    <w:rsid w:val="00AA4D2B"/>
    <w:rsid w:val="00AA5833"/>
    <w:rsid w:val="00AA66A7"/>
    <w:rsid w:val="00AA71F3"/>
    <w:rsid w:val="00AA72A7"/>
    <w:rsid w:val="00AB018D"/>
    <w:rsid w:val="00AB0330"/>
    <w:rsid w:val="00AB0935"/>
    <w:rsid w:val="00AB0AF0"/>
    <w:rsid w:val="00AB1033"/>
    <w:rsid w:val="00AB175B"/>
    <w:rsid w:val="00AB1D27"/>
    <w:rsid w:val="00AB233C"/>
    <w:rsid w:val="00AB2BDF"/>
    <w:rsid w:val="00AB315B"/>
    <w:rsid w:val="00AB36CE"/>
    <w:rsid w:val="00AB36F9"/>
    <w:rsid w:val="00AB3A66"/>
    <w:rsid w:val="00AB4175"/>
    <w:rsid w:val="00AB43AF"/>
    <w:rsid w:val="00AB4B29"/>
    <w:rsid w:val="00AB4DA1"/>
    <w:rsid w:val="00AB4FDD"/>
    <w:rsid w:val="00AB54EC"/>
    <w:rsid w:val="00AB596A"/>
    <w:rsid w:val="00AB59F2"/>
    <w:rsid w:val="00AB612C"/>
    <w:rsid w:val="00AB62EC"/>
    <w:rsid w:val="00AB6307"/>
    <w:rsid w:val="00AB72D0"/>
    <w:rsid w:val="00AB77DC"/>
    <w:rsid w:val="00AB7BAF"/>
    <w:rsid w:val="00AC0300"/>
    <w:rsid w:val="00AC1413"/>
    <w:rsid w:val="00AC1E43"/>
    <w:rsid w:val="00AC2CB8"/>
    <w:rsid w:val="00AC2DDE"/>
    <w:rsid w:val="00AC4249"/>
    <w:rsid w:val="00AC4510"/>
    <w:rsid w:val="00AC4752"/>
    <w:rsid w:val="00AC4BE6"/>
    <w:rsid w:val="00AC4D57"/>
    <w:rsid w:val="00AC5356"/>
    <w:rsid w:val="00AC6B44"/>
    <w:rsid w:val="00AC6E87"/>
    <w:rsid w:val="00AC7325"/>
    <w:rsid w:val="00AC77E4"/>
    <w:rsid w:val="00AC78C8"/>
    <w:rsid w:val="00AD040D"/>
    <w:rsid w:val="00AD0518"/>
    <w:rsid w:val="00AD0671"/>
    <w:rsid w:val="00AD0D43"/>
    <w:rsid w:val="00AD1935"/>
    <w:rsid w:val="00AD196A"/>
    <w:rsid w:val="00AD2184"/>
    <w:rsid w:val="00AD23ED"/>
    <w:rsid w:val="00AD2870"/>
    <w:rsid w:val="00AD36A2"/>
    <w:rsid w:val="00AD3800"/>
    <w:rsid w:val="00AD3B2B"/>
    <w:rsid w:val="00AD3BA3"/>
    <w:rsid w:val="00AD403C"/>
    <w:rsid w:val="00AD419E"/>
    <w:rsid w:val="00AD421F"/>
    <w:rsid w:val="00AD4651"/>
    <w:rsid w:val="00AD4A1F"/>
    <w:rsid w:val="00AD4EBF"/>
    <w:rsid w:val="00AD5F8C"/>
    <w:rsid w:val="00AD612E"/>
    <w:rsid w:val="00AD670D"/>
    <w:rsid w:val="00AD71D5"/>
    <w:rsid w:val="00AD780B"/>
    <w:rsid w:val="00AE07EE"/>
    <w:rsid w:val="00AE0ACC"/>
    <w:rsid w:val="00AE0CDE"/>
    <w:rsid w:val="00AE119F"/>
    <w:rsid w:val="00AE15E1"/>
    <w:rsid w:val="00AE1696"/>
    <w:rsid w:val="00AE19E9"/>
    <w:rsid w:val="00AE1C53"/>
    <w:rsid w:val="00AE22BD"/>
    <w:rsid w:val="00AE4CEB"/>
    <w:rsid w:val="00AE563F"/>
    <w:rsid w:val="00AE5BAC"/>
    <w:rsid w:val="00AE6143"/>
    <w:rsid w:val="00AE6488"/>
    <w:rsid w:val="00AE655E"/>
    <w:rsid w:val="00AE6D8E"/>
    <w:rsid w:val="00AE739A"/>
    <w:rsid w:val="00AE7871"/>
    <w:rsid w:val="00AE7A80"/>
    <w:rsid w:val="00AE7B29"/>
    <w:rsid w:val="00AE7C94"/>
    <w:rsid w:val="00AF064A"/>
    <w:rsid w:val="00AF0725"/>
    <w:rsid w:val="00AF0B16"/>
    <w:rsid w:val="00AF12E6"/>
    <w:rsid w:val="00AF2100"/>
    <w:rsid w:val="00AF25FC"/>
    <w:rsid w:val="00AF3011"/>
    <w:rsid w:val="00AF3256"/>
    <w:rsid w:val="00AF3BB3"/>
    <w:rsid w:val="00AF598C"/>
    <w:rsid w:val="00AF5B07"/>
    <w:rsid w:val="00AF6385"/>
    <w:rsid w:val="00AF66F3"/>
    <w:rsid w:val="00AF6D1E"/>
    <w:rsid w:val="00AF6D9F"/>
    <w:rsid w:val="00AF72BB"/>
    <w:rsid w:val="00AF747E"/>
    <w:rsid w:val="00B00E16"/>
    <w:rsid w:val="00B012C6"/>
    <w:rsid w:val="00B01785"/>
    <w:rsid w:val="00B01965"/>
    <w:rsid w:val="00B01B9F"/>
    <w:rsid w:val="00B01D25"/>
    <w:rsid w:val="00B01F2E"/>
    <w:rsid w:val="00B02225"/>
    <w:rsid w:val="00B026D6"/>
    <w:rsid w:val="00B034EE"/>
    <w:rsid w:val="00B0355C"/>
    <w:rsid w:val="00B03836"/>
    <w:rsid w:val="00B03C16"/>
    <w:rsid w:val="00B03C17"/>
    <w:rsid w:val="00B03E5B"/>
    <w:rsid w:val="00B03F6A"/>
    <w:rsid w:val="00B0401E"/>
    <w:rsid w:val="00B040D4"/>
    <w:rsid w:val="00B0457F"/>
    <w:rsid w:val="00B048C0"/>
    <w:rsid w:val="00B04B14"/>
    <w:rsid w:val="00B04B6E"/>
    <w:rsid w:val="00B04D83"/>
    <w:rsid w:val="00B051BA"/>
    <w:rsid w:val="00B05538"/>
    <w:rsid w:val="00B05BBF"/>
    <w:rsid w:val="00B06C2F"/>
    <w:rsid w:val="00B06E39"/>
    <w:rsid w:val="00B070D8"/>
    <w:rsid w:val="00B0761D"/>
    <w:rsid w:val="00B07846"/>
    <w:rsid w:val="00B07885"/>
    <w:rsid w:val="00B07B53"/>
    <w:rsid w:val="00B10D4F"/>
    <w:rsid w:val="00B1118D"/>
    <w:rsid w:val="00B112D4"/>
    <w:rsid w:val="00B11C31"/>
    <w:rsid w:val="00B137F3"/>
    <w:rsid w:val="00B13F38"/>
    <w:rsid w:val="00B15461"/>
    <w:rsid w:val="00B15572"/>
    <w:rsid w:val="00B15FD2"/>
    <w:rsid w:val="00B1626B"/>
    <w:rsid w:val="00B179CF"/>
    <w:rsid w:val="00B17B0C"/>
    <w:rsid w:val="00B203ED"/>
    <w:rsid w:val="00B20C63"/>
    <w:rsid w:val="00B20DAB"/>
    <w:rsid w:val="00B21037"/>
    <w:rsid w:val="00B2182B"/>
    <w:rsid w:val="00B21F02"/>
    <w:rsid w:val="00B22B17"/>
    <w:rsid w:val="00B238C6"/>
    <w:rsid w:val="00B23E1D"/>
    <w:rsid w:val="00B249D1"/>
    <w:rsid w:val="00B24D32"/>
    <w:rsid w:val="00B25B53"/>
    <w:rsid w:val="00B26D34"/>
    <w:rsid w:val="00B271F9"/>
    <w:rsid w:val="00B279E3"/>
    <w:rsid w:val="00B30368"/>
    <w:rsid w:val="00B304F9"/>
    <w:rsid w:val="00B30800"/>
    <w:rsid w:val="00B308F1"/>
    <w:rsid w:val="00B31336"/>
    <w:rsid w:val="00B31537"/>
    <w:rsid w:val="00B3243C"/>
    <w:rsid w:val="00B325F8"/>
    <w:rsid w:val="00B32779"/>
    <w:rsid w:val="00B32908"/>
    <w:rsid w:val="00B333BA"/>
    <w:rsid w:val="00B33468"/>
    <w:rsid w:val="00B34A45"/>
    <w:rsid w:val="00B34B38"/>
    <w:rsid w:val="00B350DC"/>
    <w:rsid w:val="00B352BB"/>
    <w:rsid w:val="00B35857"/>
    <w:rsid w:val="00B36431"/>
    <w:rsid w:val="00B36CBE"/>
    <w:rsid w:val="00B37120"/>
    <w:rsid w:val="00B372E3"/>
    <w:rsid w:val="00B37447"/>
    <w:rsid w:val="00B37546"/>
    <w:rsid w:val="00B402A1"/>
    <w:rsid w:val="00B403A4"/>
    <w:rsid w:val="00B414AD"/>
    <w:rsid w:val="00B41D9D"/>
    <w:rsid w:val="00B42747"/>
    <w:rsid w:val="00B42ADA"/>
    <w:rsid w:val="00B43D78"/>
    <w:rsid w:val="00B440AD"/>
    <w:rsid w:val="00B44617"/>
    <w:rsid w:val="00B45A84"/>
    <w:rsid w:val="00B45E37"/>
    <w:rsid w:val="00B466DE"/>
    <w:rsid w:val="00B467C9"/>
    <w:rsid w:val="00B46C90"/>
    <w:rsid w:val="00B46E1E"/>
    <w:rsid w:val="00B473FC"/>
    <w:rsid w:val="00B4766E"/>
    <w:rsid w:val="00B47DFF"/>
    <w:rsid w:val="00B47EA5"/>
    <w:rsid w:val="00B47FB8"/>
    <w:rsid w:val="00B50567"/>
    <w:rsid w:val="00B51138"/>
    <w:rsid w:val="00B512AD"/>
    <w:rsid w:val="00B512D8"/>
    <w:rsid w:val="00B516C4"/>
    <w:rsid w:val="00B51B92"/>
    <w:rsid w:val="00B51FCD"/>
    <w:rsid w:val="00B521FC"/>
    <w:rsid w:val="00B52238"/>
    <w:rsid w:val="00B52F76"/>
    <w:rsid w:val="00B52F83"/>
    <w:rsid w:val="00B53435"/>
    <w:rsid w:val="00B53ABD"/>
    <w:rsid w:val="00B53B17"/>
    <w:rsid w:val="00B544EF"/>
    <w:rsid w:val="00B54C93"/>
    <w:rsid w:val="00B55284"/>
    <w:rsid w:val="00B5538C"/>
    <w:rsid w:val="00B5556F"/>
    <w:rsid w:val="00B56F09"/>
    <w:rsid w:val="00B56F65"/>
    <w:rsid w:val="00B573E2"/>
    <w:rsid w:val="00B57405"/>
    <w:rsid w:val="00B57D70"/>
    <w:rsid w:val="00B57DB2"/>
    <w:rsid w:val="00B60787"/>
    <w:rsid w:val="00B60D8F"/>
    <w:rsid w:val="00B61330"/>
    <w:rsid w:val="00B616B2"/>
    <w:rsid w:val="00B6220B"/>
    <w:rsid w:val="00B625B8"/>
    <w:rsid w:val="00B630DB"/>
    <w:rsid w:val="00B633B1"/>
    <w:rsid w:val="00B634AB"/>
    <w:rsid w:val="00B63E1F"/>
    <w:rsid w:val="00B6461F"/>
    <w:rsid w:val="00B64626"/>
    <w:rsid w:val="00B64858"/>
    <w:rsid w:val="00B64F88"/>
    <w:rsid w:val="00B65001"/>
    <w:rsid w:val="00B65633"/>
    <w:rsid w:val="00B65C47"/>
    <w:rsid w:val="00B67124"/>
    <w:rsid w:val="00B671D3"/>
    <w:rsid w:val="00B67A17"/>
    <w:rsid w:val="00B702F5"/>
    <w:rsid w:val="00B72479"/>
    <w:rsid w:val="00B72B1F"/>
    <w:rsid w:val="00B73496"/>
    <w:rsid w:val="00B745E7"/>
    <w:rsid w:val="00B746B0"/>
    <w:rsid w:val="00B752C5"/>
    <w:rsid w:val="00B75F00"/>
    <w:rsid w:val="00B7602A"/>
    <w:rsid w:val="00B7621A"/>
    <w:rsid w:val="00B77961"/>
    <w:rsid w:val="00B802C8"/>
    <w:rsid w:val="00B802E6"/>
    <w:rsid w:val="00B82E21"/>
    <w:rsid w:val="00B833D4"/>
    <w:rsid w:val="00B83640"/>
    <w:rsid w:val="00B836FF"/>
    <w:rsid w:val="00B83E9A"/>
    <w:rsid w:val="00B84396"/>
    <w:rsid w:val="00B8474E"/>
    <w:rsid w:val="00B84EFD"/>
    <w:rsid w:val="00B85044"/>
    <w:rsid w:val="00B86783"/>
    <w:rsid w:val="00B86DE5"/>
    <w:rsid w:val="00B8731A"/>
    <w:rsid w:val="00B87DD8"/>
    <w:rsid w:val="00B90584"/>
    <w:rsid w:val="00B90721"/>
    <w:rsid w:val="00B91880"/>
    <w:rsid w:val="00B92311"/>
    <w:rsid w:val="00B92B58"/>
    <w:rsid w:val="00B92CD7"/>
    <w:rsid w:val="00B93747"/>
    <w:rsid w:val="00B93ED3"/>
    <w:rsid w:val="00B944B8"/>
    <w:rsid w:val="00B94730"/>
    <w:rsid w:val="00B9476F"/>
    <w:rsid w:val="00B948CC"/>
    <w:rsid w:val="00B94F74"/>
    <w:rsid w:val="00B95D45"/>
    <w:rsid w:val="00B9628D"/>
    <w:rsid w:val="00B96586"/>
    <w:rsid w:val="00B96FBB"/>
    <w:rsid w:val="00B97261"/>
    <w:rsid w:val="00BA0CD5"/>
    <w:rsid w:val="00BA0E5A"/>
    <w:rsid w:val="00BA1322"/>
    <w:rsid w:val="00BA16E6"/>
    <w:rsid w:val="00BA2447"/>
    <w:rsid w:val="00BA27FC"/>
    <w:rsid w:val="00BA39D6"/>
    <w:rsid w:val="00BA3F08"/>
    <w:rsid w:val="00BA50A0"/>
    <w:rsid w:val="00BA5674"/>
    <w:rsid w:val="00BA5E5E"/>
    <w:rsid w:val="00BA6172"/>
    <w:rsid w:val="00BA64B9"/>
    <w:rsid w:val="00BA6C85"/>
    <w:rsid w:val="00BA707E"/>
    <w:rsid w:val="00BA77F4"/>
    <w:rsid w:val="00BA7CBF"/>
    <w:rsid w:val="00BB0972"/>
    <w:rsid w:val="00BB0A44"/>
    <w:rsid w:val="00BB1369"/>
    <w:rsid w:val="00BB15F6"/>
    <w:rsid w:val="00BB174B"/>
    <w:rsid w:val="00BB1BB0"/>
    <w:rsid w:val="00BB1D2D"/>
    <w:rsid w:val="00BB256D"/>
    <w:rsid w:val="00BB329D"/>
    <w:rsid w:val="00BB34C3"/>
    <w:rsid w:val="00BB3551"/>
    <w:rsid w:val="00BB3613"/>
    <w:rsid w:val="00BB3C6E"/>
    <w:rsid w:val="00BB3C89"/>
    <w:rsid w:val="00BB3DCE"/>
    <w:rsid w:val="00BB4455"/>
    <w:rsid w:val="00BB4542"/>
    <w:rsid w:val="00BB4826"/>
    <w:rsid w:val="00BB4AA2"/>
    <w:rsid w:val="00BB4ECD"/>
    <w:rsid w:val="00BB59FA"/>
    <w:rsid w:val="00BB5D46"/>
    <w:rsid w:val="00BB5DD2"/>
    <w:rsid w:val="00BB657D"/>
    <w:rsid w:val="00BB6584"/>
    <w:rsid w:val="00BB70E4"/>
    <w:rsid w:val="00BB720B"/>
    <w:rsid w:val="00BB7585"/>
    <w:rsid w:val="00BB76AE"/>
    <w:rsid w:val="00BB7C08"/>
    <w:rsid w:val="00BC01E4"/>
    <w:rsid w:val="00BC03C9"/>
    <w:rsid w:val="00BC0A09"/>
    <w:rsid w:val="00BC12BF"/>
    <w:rsid w:val="00BC2F25"/>
    <w:rsid w:val="00BC3317"/>
    <w:rsid w:val="00BC3ECF"/>
    <w:rsid w:val="00BC4112"/>
    <w:rsid w:val="00BC42EF"/>
    <w:rsid w:val="00BC463D"/>
    <w:rsid w:val="00BC493F"/>
    <w:rsid w:val="00BC5E73"/>
    <w:rsid w:val="00BC5EE3"/>
    <w:rsid w:val="00BC605E"/>
    <w:rsid w:val="00BC6426"/>
    <w:rsid w:val="00BC67B1"/>
    <w:rsid w:val="00BD0091"/>
    <w:rsid w:val="00BD02BA"/>
    <w:rsid w:val="00BD0761"/>
    <w:rsid w:val="00BD12AC"/>
    <w:rsid w:val="00BD1720"/>
    <w:rsid w:val="00BD2CFB"/>
    <w:rsid w:val="00BD369D"/>
    <w:rsid w:val="00BD4151"/>
    <w:rsid w:val="00BD491E"/>
    <w:rsid w:val="00BD4EB4"/>
    <w:rsid w:val="00BD568B"/>
    <w:rsid w:val="00BD66E7"/>
    <w:rsid w:val="00BD6FD2"/>
    <w:rsid w:val="00BD722F"/>
    <w:rsid w:val="00BD751E"/>
    <w:rsid w:val="00BE01C0"/>
    <w:rsid w:val="00BE05E2"/>
    <w:rsid w:val="00BE0DFD"/>
    <w:rsid w:val="00BE0ECF"/>
    <w:rsid w:val="00BE10D5"/>
    <w:rsid w:val="00BE133E"/>
    <w:rsid w:val="00BE1FA8"/>
    <w:rsid w:val="00BE2003"/>
    <w:rsid w:val="00BE2094"/>
    <w:rsid w:val="00BE249C"/>
    <w:rsid w:val="00BE2BFB"/>
    <w:rsid w:val="00BE2F8F"/>
    <w:rsid w:val="00BE3058"/>
    <w:rsid w:val="00BE318C"/>
    <w:rsid w:val="00BE3F2E"/>
    <w:rsid w:val="00BE40BB"/>
    <w:rsid w:val="00BE4314"/>
    <w:rsid w:val="00BE453F"/>
    <w:rsid w:val="00BE5394"/>
    <w:rsid w:val="00BE6952"/>
    <w:rsid w:val="00BE6AA4"/>
    <w:rsid w:val="00BE7A18"/>
    <w:rsid w:val="00BF014F"/>
    <w:rsid w:val="00BF1C28"/>
    <w:rsid w:val="00BF2448"/>
    <w:rsid w:val="00BF2839"/>
    <w:rsid w:val="00BF2938"/>
    <w:rsid w:val="00BF3101"/>
    <w:rsid w:val="00BF3F33"/>
    <w:rsid w:val="00BF41A9"/>
    <w:rsid w:val="00BF446B"/>
    <w:rsid w:val="00BF4B1E"/>
    <w:rsid w:val="00BF4CA8"/>
    <w:rsid w:val="00BF5138"/>
    <w:rsid w:val="00BF527F"/>
    <w:rsid w:val="00BF55C9"/>
    <w:rsid w:val="00BF5618"/>
    <w:rsid w:val="00BF5843"/>
    <w:rsid w:val="00BF5DA6"/>
    <w:rsid w:val="00BF6070"/>
    <w:rsid w:val="00BF6321"/>
    <w:rsid w:val="00BF6A1C"/>
    <w:rsid w:val="00BF6C35"/>
    <w:rsid w:val="00BF6EB2"/>
    <w:rsid w:val="00BF7FDA"/>
    <w:rsid w:val="00C017C5"/>
    <w:rsid w:val="00C01940"/>
    <w:rsid w:val="00C0199D"/>
    <w:rsid w:val="00C01A80"/>
    <w:rsid w:val="00C02BAD"/>
    <w:rsid w:val="00C02FF4"/>
    <w:rsid w:val="00C033C2"/>
    <w:rsid w:val="00C037F5"/>
    <w:rsid w:val="00C04261"/>
    <w:rsid w:val="00C04E52"/>
    <w:rsid w:val="00C057CE"/>
    <w:rsid w:val="00C05B7B"/>
    <w:rsid w:val="00C05BDE"/>
    <w:rsid w:val="00C05D1D"/>
    <w:rsid w:val="00C06532"/>
    <w:rsid w:val="00C06EC5"/>
    <w:rsid w:val="00C07115"/>
    <w:rsid w:val="00C07D18"/>
    <w:rsid w:val="00C07D55"/>
    <w:rsid w:val="00C105FA"/>
    <w:rsid w:val="00C10B86"/>
    <w:rsid w:val="00C11E4A"/>
    <w:rsid w:val="00C11FE4"/>
    <w:rsid w:val="00C1210B"/>
    <w:rsid w:val="00C1265F"/>
    <w:rsid w:val="00C1267A"/>
    <w:rsid w:val="00C12CC8"/>
    <w:rsid w:val="00C1338E"/>
    <w:rsid w:val="00C13D53"/>
    <w:rsid w:val="00C146BF"/>
    <w:rsid w:val="00C14A5D"/>
    <w:rsid w:val="00C14ACD"/>
    <w:rsid w:val="00C14E10"/>
    <w:rsid w:val="00C15B82"/>
    <w:rsid w:val="00C15D77"/>
    <w:rsid w:val="00C15F54"/>
    <w:rsid w:val="00C16098"/>
    <w:rsid w:val="00C16756"/>
    <w:rsid w:val="00C17418"/>
    <w:rsid w:val="00C177F1"/>
    <w:rsid w:val="00C1795C"/>
    <w:rsid w:val="00C17D19"/>
    <w:rsid w:val="00C17E0B"/>
    <w:rsid w:val="00C17E63"/>
    <w:rsid w:val="00C20278"/>
    <w:rsid w:val="00C20748"/>
    <w:rsid w:val="00C209FE"/>
    <w:rsid w:val="00C20B33"/>
    <w:rsid w:val="00C20F99"/>
    <w:rsid w:val="00C210F9"/>
    <w:rsid w:val="00C214E8"/>
    <w:rsid w:val="00C219AE"/>
    <w:rsid w:val="00C21C55"/>
    <w:rsid w:val="00C22C10"/>
    <w:rsid w:val="00C23250"/>
    <w:rsid w:val="00C23675"/>
    <w:rsid w:val="00C23EDB"/>
    <w:rsid w:val="00C24001"/>
    <w:rsid w:val="00C252D1"/>
    <w:rsid w:val="00C259B5"/>
    <w:rsid w:val="00C25C4D"/>
    <w:rsid w:val="00C25F39"/>
    <w:rsid w:val="00C26B5D"/>
    <w:rsid w:val="00C275D4"/>
    <w:rsid w:val="00C27FEF"/>
    <w:rsid w:val="00C3108E"/>
    <w:rsid w:val="00C31557"/>
    <w:rsid w:val="00C3157F"/>
    <w:rsid w:val="00C31809"/>
    <w:rsid w:val="00C31E80"/>
    <w:rsid w:val="00C32357"/>
    <w:rsid w:val="00C3316B"/>
    <w:rsid w:val="00C34201"/>
    <w:rsid w:val="00C34453"/>
    <w:rsid w:val="00C34978"/>
    <w:rsid w:val="00C34F1C"/>
    <w:rsid w:val="00C35817"/>
    <w:rsid w:val="00C36139"/>
    <w:rsid w:val="00C365DF"/>
    <w:rsid w:val="00C368F7"/>
    <w:rsid w:val="00C36F47"/>
    <w:rsid w:val="00C3712B"/>
    <w:rsid w:val="00C37636"/>
    <w:rsid w:val="00C4042C"/>
    <w:rsid w:val="00C40C82"/>
    <w:rsid w:val="00C4191A"/>
    <w:rsid w:val="00C41988"/>
    <w:rsid w:val="00C41F38"/>
    <w:rsid w:val="00C427D6"/>
    <w:rsid w:val="00C42883"/>
    <w:rsid w:val="00C42A95"/>
    <w:rsid w:val="00C42D63"/>
    <w:rsid w:val="00C42F9C"/>
    <w:rsid w:val="00C43AF0"/>
    <w:rsid w:val="00C43C4B"/>
    <w:rsid w:val="00C44323"/>
    <w:rsid w:val="00C44422"/>
    <w:rsid w:val="00C45458"/>
    <w:rsid w:val="00C455A5"/>
    <w:rsid w:val="00C46B06"/>
    <w:rsid w:val="00C47498"/>
    <w:rsid w:val="00C47524"/>
    <w:rsid w:val="00C47951"/>
    <w:rsid w:val="00C47CF6"/>
    <w:rsid w:val="00C5111D"/>
    <w:rsid w:val="00C51151"/>
    <w:rsid w:val="00C511E4"/>
    <w:rsid w:val="00C51296"/>
    <w:rsid w:val="00C51FA3"/>
    <w:rsid w:val="00C5232F"/>
    <w:rsid w:val="00C529A8"/>
    <w:rsid w:val="00C52B8D"/>
    <w:rsid w:val="00C52ED3"/>
    <w:rsid w:val="00C530A9"/>
    <w:rsid w:val="00C53936"/>
    <w:rsid w:val="00C53B19"/>
    <w:rsid w:val="00C544F4"/>
    <w:rsid w:val="00C5459B"/>
    <w:rsid w:val="00C54ABD"/>
    <w:rsid w:val="00C54DE1"/>
    <w:rsid w:val="00C55060"/>
    <w:rsid w:val="00C55BCD"/>
    <w:rsid w:val="00C55CEE"/>
    <w:rsid w:val="00C55D30"/>
    <w:rsid w:val="00C55FC6"/>
    <w:rsid w:val="00C562E9"/>
    <w:rsid w:val="00C565C1"/>
    <w:rsid w:val="00C5741B"/>
    <w:rsid w:val="00C575C2"/>
    <w:rsid w:val="00C57771"/>
    <w:rsid w:val="00C60687"/>
    <w:rsid w:val="00C60702"/>
    <w:rsid w:val="00C614BC"/>
    <w:rsid w:val="00C61702"/>
    <w:rsid w:val="00C6177C"/>
    <w:rsid w:val="00C620C6"/>
    <w:rsid w:val="00C620D5"/>
    <w:rsid w:val="00C62B7B"/>
    <w:rsid w:val="00C630D0"/>
    <w:rsid w:val="00C6370D"/>
    <w:rsid w:val="00C63765"/>
    <w:rsid w:val="00C63F1D"/>
    <w:rsid w:val="00C63F39"/>
    <w:rsid w:val="00C63FA0"/>
    <w:rsid w:val="00C6436B"/>
    <w:rsid w:val="00C646D5"/>
    <w:rsid w:val="00C648F7"/>
    <w:rsid w:val="00C64F21"/>
    <w:rsid w:val="00C6573C"/>
    <w:rsid w:val="00C667E4"/>
    <w:rsid w:val="00C674D0"/>
    <w:rsid w:val="00C7008E"/>
    <w:rsid w:val="00C7096F"/>
    <w:rsid w:val="00C7217A"/>
    <w:rsid w:val="00C729A4"/>
    <w:rsid w:val="00C73036"/>
    <w:rsid w:val="00C7360C"/>
    <w:rsid w:val="00C737FA"/>
    <w:rsid w:val="00C73A0F"/>
    <w:rsid w:val="00C73F3E"/>
    <w:rsid w:val="00C74086"/>
    <w:rsid w:val="00C740A3"/>
    <w:rsid w:val="00C742E1"/>
    <w:rsid w:val="00C749B3"/>
    <w:rsid w:val="00C74AAB"/>
    <w:rsid w:val="00C74C6D"/>
    <w:rsid w:val="00C75C90"/>
    <w:rsid w:val="00C76236"/>
    <w:rsid w:val="00C76873"/>
    <w:rsid w:val="00C76FC5"/>
    <w:rsid w:val="00C77090"/>
    <w:rsid w:val="00C772EA"/>
    <w:rsid w:val="00C77326"/>
    <w:rsid w:val="00C77601"/>
    <w:rsid w:val="00C80349"/>
    <w:rsid w:val="00C803AA"/>
    <w:rsid w:val="00C80859"/>
    <w:rsid w:val="00C80A03"/>
    <w:rsid w:val="00C816C3"/>
    <w:rsid w:val="00C81B04"/>
    <w:rsid w:val="00C81B68"/>
    <w:rsid w:val="00C822FB"/>
    <w:rsid w:val="00C82D85"/>
    <w:rsid w:val="00C83381"/>
    <w:rsid w:val="00C83C36"/>
    <w:rsid w:val="00C84198"/>
    <w:rsid w:val="00C848A7"/>
    <w:rsid w:val="00C84CD4"/>
    <w:rsid w:val="00C854A6"/>
    <w:rsid w:val="00C85539"/>
    <w:rsid w:val="00C85778"/>
    <w:rsid w:val="00C85B9F"/>
    <w:rsid w:val="00C860FF"/>
    <w:rsid w:val="00C86262"/>
    <w:rsid w:val="00C86B30"/>
    <w:rsid w:val="00C8715F"/>
    <w:rsid w:val="00C87533"/>
    <w:rsid w:val="00C90080"/>
    <w:rsid w:val="00C905C0"/>
    <w:rsid w:val="00C90CE1"/>
    <w:rsid w:val="00C90E03"/>
    <w:rsid w:val="00C90EBD"/>
    <w:rsid w:val="00C91328"/>
    <w:rsid w:val="00C917B5"/>
    <w:rsid w:val="00C925B6"/>
    <w:rsid w:val="00C92C4E"/>
    <w:rsid w:val="00C92D94"/>
    <w:rsid w:val="00C92DBA"/>
    <w:rsid w:val="00C93041"/>
    <w:rsid w:val="00C93160"/>
    <w:rsid w:val="00C93666"/>
    <w:rsid w:val="00C93F9F"/>
    <w:rsid w:val="00C948A2"/>
    <w:rsid w:val="00C95100"/>
    <w:rsid w:val="00C95263"/>
    <w:rsid w:val="00C95676"/>
    <w:rsid w:val="00C9582E"/>
    <w:rsid w:val="00C95C87"/>
    <w:rsid w:val="00C962D0"/>
    <w:rsid w:val="00C96ECD"/>
    <w:rsid w:val="00C96FB4"/>
    <w:rsid w:val="00C9744B"/>
    <w:rsid w:val="00CA0086"/>
    <w:rsid w:val="00CA0E9F"/>
    <w:rsid w:val="00CA12F2"/>
    <w:rsid w:val="00CA15CC"/>
    <w:rsid w:val="00CA1A09"/>
    <w:rsid w:val="00CA1F12"/>
    <w:rsid w:val="00CA2336"/>
    <w:rsid w:val="00CA2DCA"/>
    <w:rsid w:val="00CA318D"/>
    <w:rsid w:val="00CA373A"/>
    <w:rsid w:val="00CA39E4"/>
    <w:rsid w:val="00CA3B4C"/>
    <w:rsid w:val="00CA3CA8"/>
    <w:rsid w:val="00CA4372"/>
    <w:rsid w:val="00CA49B3"/>
    <w:rsid w:val="00CA54C8"/>
    <w:rsid w:val="00CA57B6"/>
    <w:rsid w:val="00CA5D86"/>
    <w:rsid w:val="00CA5DA4"/>
    <w:rsid w:val="00CA5EFC"/>
    <w:rsid w:val="00CA6338"/>
    <w:rsid w:val="00CA638C"/>
    <w:rsid w:val="00CA691F"/>
    <w:rsid w:val="00CA7061"/>
    <w:rsid w:val="00CA70CD"/>
    <w:rsid w:val="00CA75D5"/>
    <w:rsid w:val="00CA7A64"/>
    <w:rsid w:val="00CA7EFD"/>
    <w:rsid w:val="00CB001C"/>
    <w:rsid w:val="00CB034D"/>
    <w:rsid w:val="00CB06D9"/>
    <w:rsid w:val="00CB06E5"/>
    <w:rsid w:val="00CB081E"/>
    <w:rsid w:val="00CB0E54"/>
    <w:rsid w:val="00CB0EEF"/>
    <w:rsid w:val="00CB1145"/>
    <w:rsid w:val="00CB202E"/>
    <w:rsid w:val="00CB3730"/>
    <w:rsid w:val="00CB3895"/>
    <w:rsid w:val="00CB556A"/>
    <w:rsid w:val="00CB67A1"/>
    <w:rsid w:val="00CB683D"/>
    <w:rsid w:val="00CB6FF8"/>
    <w:rsid w:val="00CC03DE"/>
    <w:rsid w:val="00CC040B"/>
    <w:rsid w:val="00CC076A"/>
    <w:rsid w:val="00CC0DEE"/>
    <w:rsid w:val="00CC0FC1"/>
    <w:rsid w:val="00CC10F1"/>
    <w:rsid w:val="00CC197D"/>
    <w:rsid w:val="00CC1F5A"/>
    <w:rsid w:val="00CC22F9"/>
    <w:rsid w:val="00CC2934"/>
    <w:rsid w:val="00CC2E09"/>
    <w:rsid w:val="00CC2E3A"/>
    <w:rsid w:val="00CC3124"/>
    <w:rsid w:val="00CC3772"/>
    <w:rsid w:val="00CC3AC4"/>
    <w:rsid w:val="00CC41B0"/>
    <w:rsid w:val="00CC4EA5"/>
    <w:rsid w:val="00CC5261"/>
    <w:rsid w:val="00CC60BD"/>
    <w:rsid w:val="00CC6798"/>
    <w:rsid w:val="00CC7360"/>
    <w:rsid w:val="00CC736A"/>
    <w:rsid w:val="00CC7416"/>
    <w:rsid w:val="00CD1374"/>
    <w:rsid w:val="00CD1EA9"/>
    <w:rsid w:val="00CD1F9E"/>
    <w:rsid w:val="00CD205C"/>
    <w:rsid w:val="00CD2D93"/>
    <w:rsid w:val="00CD3B25"/>
    <w:rsid w:val="00CD3EC9"/>
    <w:rsid w:val="00CD5654"/>
    <w:rsid w:val="00CD5D67"/>
    <w:rsid w:val="00CD6159"/>
    <w:rsid w:val="00CD72E4"/>
    <w:rsid w:val="00CD772F"/>
    <w:rsid w:val="00CD7985"/>
    <w:rsid w:val="00CD799B"/>
    <w:rsid w:val="00CD7DF2"/>
    <w:rsid w:val="00CE004E"/>
    <w:rsid w:val="00CE00C0"/>
    <w:rsid w:val="00CE029D"/>
    <w:rsid w:val="00CE05EE"/>
    <w:rsid w:val="00CE11A5"/>
    <w:rsid w:val="00CE18C8"/>
    <w:rsid w:val="00CE1CDB"/>
    <w:rsid w:val="00CE1F1D"/>
    <w:rsid w:val="00CE2271"/>
    <w:rsid w:val="00CE2602"/>
    <w:rsid w:val="00CE2AE3"/>
    <w:rsid w:val="00CE2BE2"/>
    <w:rsid w:val="00CE341C"/>
    <w:rsid w:val="00CE3491"/>
    <w:rsid w:val="00CE350D"/>
    <w:rsid w:val="00CE3A01"/>
    <w:rsid w:val="00CE3BA5"/>
    <w:rsid w:val="00CE3D3A"/>
    <w:rsid w:val="00CE4098"/>
    <w:rsid w:val="00CE40F2"/>
    <w:rsid w:val="00CE418E"/>
    <w:rsid w:val="00CE493C"/>
    <w:rsid w:val="00CE4EFA"/>
    <w:rsid w:val="00CE5A9E"/>
    <w:rsid w:val="00CE5AD5"/>
    <w:rsid w:val="00CE65C7"/>
    <w:rsid w:val="00CE6687"/>
    <w:rsid w:val="00CE6693"/>
    <w:rsid w:val="00CE70C5"/>
    <w:rsid w:val="00CE7359"/>
    <w:rsid w:val="00CE7458"/>
    <w:rsid w:val="00CE7837"/>
    <w:rsid w:val="00CF02B7"/>
    <w:rsid w:val="00CF089C"/>
    <w:rsid w:val="00CF0A21"/>
    <w:rsid w:val="00CF0EE7"/>
    <w:rsid w:val="00CF1091"/>
    <w:rsid w:val="00CF19D5"/>
    <w:rsid w:val="00CF361E"/>
    <w:rsid w:val="00CF3846"/>
    <w:rsid w:val="00CF3A18"/>
    <w:rsid w:val="00CF43B9"/>
    <w:rsid w:val="00CF4879"/>
    <w:rsid w:val="00CF4B2D"/>
    <w:rsid w:val="00CF4D84"/>
    <w:rsid w:val="00CF576F"/>
    <w:rsid w:val="00CF7056"/>
    <w:rsid w:val="00CF70FD"/>
    <w:rsid w:val="00CF7F65"/>
    <w:rsid w:val="00D00012"/>
    <w:rsid w:val="00D005FA"/>
    <w:rsid w:val="00D00B26"/>
    <w:rsid w:val="00D011E1"/>
    <w:rsid w:val="00D01C67"/>
    <w:rsid w:val="00D01FE5"/>
    <w:rsid w:val="00D024B0"/>
    <w:rsid w:val="00D02814"/>
    <w:rsid w:val="00D02C9B"/>
    <w:rsid w:val="00D02E9F"/>
    <w:rsid w:val="00D032B1"/>
    <w:rsid w:val="00D043E4"/>
    <w:rsid w:val="00D0444D"/>
    <w:rsid w:val="00D047C4"/>
    <w:rsid w:val="00D0596C"/>
    <w:rsid w:val="00D05B39"/>
    <w:rsid w:val="00D06191"/>
    <w:rsid w:val="00D0678C"/>
    <w:rsid w:val="00D07149"/>
    <w:rsid w:val="00D078E6"/>
    <w:rsid w:val="00D07FF7"/>
    <w:rsid w:val="00D10103"/>
    <w:rsid w:val="00D103D5"/>
    <w:rsid w:val="00D107BF"/>
    <w:rsid w:val="00D10C6E"/>
    <w:rsid w:val="00D11082"/>
    <w:rsid w:val="00D11CC2"/>
    <w:rsid w:val="00D1208A"/>
    <w:rsid w:val="00D13D3D"/>
    <w:rsid w:val="00D14256"/>
    <w:rsid w:val="00D14561"/>
    <w:rsid w:val="00D1517D"/>
    <w:rsid w:val="00D159BD"/>
    <w:rsid w:val="00D16092"/>
    <w:rsid w:val="00D17BDA"/>
    <w:rsid w:val="00D20158"/>
    <w:rsid w:val="00D210B1"/>
    <w:rsid w:val="00D213F4"/>
    <w:rsid w:val="00D2154A"/>
    <w:rsid w:val="00D21A0A"/>
    <w:rsid w:val="00D21E38"/>
    <w:rsid w:val="00D2498F"/>
    <w:rsid w:val="00D24ABB"/>
    <w:rsid w:val="00D2535C"/>
    <w:rsid w:val="00D25B2B"/>
    <w:rsid w:val="00D25D2D"/>
    <w:rsid w:val="00D26101"/>
    <w:rsid w:val="00D26F93"/>
    <w:rsid w:val="00D27010"/>
    <w:rsid w:val="00D278C7"/>
    <w:rsid w:val="00D278E2"/>
    <w:rsid w:val="00D27E96"/>
    <w:rsid w:val="00D30050"/>
    <w:rsid w:val="00D301F7"/>
    <w:rsid w:val="00D30AE2"/>
    <w:rsid w:val="00D30AEE"/>
    <w:rsid w:val="00D310E5"/>
    <w:rsid w:val="00D31304"/>
    <w:rsid w:val="00D315A9"/>
    <w:rsid w:val="00D3251A"/>
    <w:rsid w:val="00D32B9B"/>
    <w:rsid w:val="00D32C3C"/>
    <w:rsid w:val="00D32DA1"/>
    <w:rsid w:val="00D32ECA"/>
    <w:rsid w:val="00D33196"/>
    <w:rsid w:val="00D337AA"/>
    <w:rsid w:val="00D33FC2"/>
    <w:rsid w:val="00D3419E"/>
    <w:rsid w:val="00D344F9"/>
    <w:rsid w:val="00D35229"/>
    <w:rsid w:val="00D35597"/>
    <w:rsid w:val="00D3587C"/>
    <w:rsid w:val="00D363CB"/>
    <w:rsid w:val="00D3704A"/>
    <w:rsid w:val="00D3706E"/>
    <w:rsid w:val="00D377A0"/>
    <w:rsid w:val="00D378D4"/>
    <w:rsid w:val="00D37F67"/>
    <w:rsid w:val="00D40127"/>
    <w:rsid w:val="00D401F8"/>
    <w:rsid w:val="00D40A96"/>
    <w:rsid w:val="00D40AF9"/>
    <w:rsid w:val="00D40E04"/>
    <w:rsid w:val="00D40E2A"/>
    <w:rsid w:val="00D40EC1"/>
    <w:rsid w:val="00D4259E"/>
    <w:rsid w:val="00D427B5"/>
    <w:rsid w:val="00D427EC"/>
    <w:rsid w:val="00D42E47"/>
    <w:rsid w:val="00D4304A"/>
    <w:rsid w:val="00D43384"/>
    <w:rsid w:val="00D4367F"/>
    <w:rsid w:val="00D43D71"/>
    <w:rsid w:val="00D44AD6"/>
    <w:rsid w:val="00D45139"/>
    <w:rsid w:val="00D459C0"/>
    <w:rsid w:val="00D45AE2"/>
    <w:rsid w:val="00D45D51"/>
    <w:rsid w:val="00D45E33"/>
    <w:rsid w:val="00D4627D"/>
    <w:rsid w:val="00D46733"/>
    <w:rsid w:val="00D46B44"/>
    <w:rsid w:val="00D46D21"/>
    <w:rsid w:val="00D46DC8"/>
    <w:rsid w:val="00D46EA7"/>
    <w:rsid w:val="00D47505"/>
    <w:rsid w:val="00D47DD1"/>
    <w:rsid w:val="00D47F24"/>
    <w:rsid w:val="00D50180"/>
    <w:rsid w:val="00D50A39"/>
    <w:rsid w:val="00D51A18"/>
    <w:rsid w:val="00D51D00"/>
    <w:rsid w:val="00D51E19"/>
    <w:rsid w:val="00D51F9F"/>
    <w:rsid w:val="00D52074"/>
    <w:rsid w:val="00D5273C"/>
    <w:rsid w:val="00D53056"/>
    <w:rsid w:val="00D53568"/>
    <w:rsid w:val="00D53597"/>
    <w:rsid w:val="00D53D1B"/>
    <w:rsid w:val="00D53E6A"/>
    <w:rsid w:val="00D54930"/>
    <w:rsid w:val="00D54D32"/>
    <w:rsid w:val="00D55080"/>
    <w:rsid w:val="00D55A70"/>
    <w:rsid w:val="00D56099"/>
    <w:rsid w:val="00D560BA"/>
    <w:rsid w:val="00D56212"/>
    <w:rsid w:val="00D568F5"/>
    <w:rsid w:val="00D57ADB"/>
    <w:rsid w:val="00D57C9E"/>
    <w:rsid w:val="00D6008B"/>
    <w:rsid w:val="00D607E4"/>
    <w:rsid w:val="00D607F8"/>
    <w:rsid w:val="00D60BBE"/>
    <w:rsid w:val="00D61946"/>
    <w:rsid w:val="00D61A52"/>
    <w:rsid w:val="00D620E5"/>
    <w:rsid w:val="00D630C2"/>
    <w:rsid w:val="00D63F8D"/>
    <w:rsid w:val="00D64359"/>
    <w:rsid w:val="00D64474"/>
    <w:rsid w:val="00D65041"/>
    <w:rsid w:val="00D658A0"/>
    <w:rsid w:val="00D66451"/>
    <w:rsid w:val="00D667F8"/>
    <w:rsid w:val="00D668CA"/>
    <w:rsid w:val="00D67089"/>
    <w:rsid w:val="00D672F3"/>
    <w:rsid w:val="00D7003F"/>
    <w:rsid w:val="00D7064C"/>
    <w:rsid w:val="00D7075C"/>
    <w:rsid w:val="00D70795"/>
    <w:rsid w:val="00D708AE"/>
    <w:rsid w:val="00D70AD2"/>
    <w:rsid w:val="00D70ED6"/>
    <w:rsid w:val="00D70F18"/>
    <w:rsid w:val="00D71B60"/>
    <w:rsid w:val="00D71D84"/>
    <w:rsid w:val="00D74724"/>
    <w:rsid w:val="00D7499D"/>
    <w:rsid w:val="00D74E57"/>
    <w:rsid w:val="00D751B1"/>
    <w:rsid w:val="00D751C5"/>
    <w:rsid w:val="00D76655"/>
    <w:rsid w:val="00D76705"/>
    <w:rsid w:val="00D777A5"/>
    <w:rsid w:val="00D80ACB"/>
    <w:rsid w:val="00D80D7A"/>
    <w:rsid w:val="00D81861"/>
    <w:rsid w:val="00D82684"/>
    <w:rsid w:val="00D82B1C"/>
    <w:rsid w:val="00D82C35"/>
    <w:rsid w:val="00D82F59"/>
    <w:rsid w:val="00D8388A"/>
    <w:rsid w:val="00D83FAF"/>
    <w:rsid w:val="00D845D2"/>
    <w:rsid w:val="00D853F9"/>
    <w:rsid w:val="00D8577B"/>
    <w:rsid w:val="00D85C91"/>
    <w:rsid w:val="00D85D71"/>
    <w:rsid w:val="00D85D75"/>
    <w:rsid w:val="00D86419"/>
    <w:rsid w:val="00D866FE"/>
    <w:rsid w:val="00D87455"/>
    <w:rsid w:val="00D874A1"/>
    <w:rsid w:val="00D877D1"/>
    <w:rsid w:val="00D9045D"/>
    <w:rsid w:val="00D90CF9"/>
    <w:rsid w:val="00D90E2C"/>
    <w:rsid w:val="00D91405"/>
    <w:rsid w:val="00D91B50"/>
    <w:rsid w:val="00D920DD"/>
    <w:rsid w:val="00D92AFF"/>
    <w:rsid w:val="00D93468"/>
    <w:rsid w:val="00D9374A"/>
    <w:rsid w:val="00D949C6"/>
    <w:rsid w:val="00D94DA7"/>
    <w:rsid w:val="00D95A44"/>
    <w:rsid w:val="00D9642A"/>
    <w:rsid w:val="00D96C97"/>
    <w:rsid w:val="00D96DB9"/>
    <w:rsid w:val="00DA061B"/>
    <w:rsid w:val="00DA0A83"/>
    <w:rsid w:val="00DA133A"/>
    <w:rsid w:val="00DA151C"/>
    <w:rsid w:val="00DA15DF"/>
    <w:rsid w:val="00DA1995"/>
    <w:rsid w:val="00DA1B68"/>
    <w:rsid w:val="00DA221A"/>
    <w:rsid w:val="00DA2B01"/>
    <w:rsid w:val="00DA2CC0"/>
    <w:rsid w:val="00DA2DFD"/>
    <w:rsid w:val="00DA30E6"/>
    <w:rsid w:val="00DA31C8"/>
    <w:rsid w:val="00DA3676"/>
    <w:rsid w:val="00DA3C3C"/>
    <w:rsid w:val="00DA3D35"/>
    <w:rsid w:val="00DA3EE7"/>
    <w:rsid w:val="00DA4B59"/>
    <w:rsid w:val="00DA4B96"/>
    <w:rsid w:val="00DA4C59"/>
    <w:rsid w:val="00DA51A6"/>
    <w:rsid w:val="00DA63CA"/>
    <w:rsid w:val="00DA77C1"/>
    <w:rsid w:val="00DB0CC4"/>
    <w:rsid w:val="00DB0DF3"/>
    <w:rsid w:val="00DB0F24"/>
    <w:rsid w:val="00DB105A"/>
    <w:rsid w:val="00DB27F6"/>
    <w:rsid w:val="00DB2D68"/>
    <w:rsid w:val="00DB3162"/>
    <w:rsid w:val="00DB3801"/>
    <w:rsid w:val="00DB3976"/>
    <w:rsid w:val="00DB3F57"/>
    <w:rsid w:val="00DB4113"/>
    <w:rsid w:val="00DB50A3"/>
    <w:rsid w:val="00DB6CA6"/>
    <w:rsid w:val="00DB6F1A"/>
    <w:rsid w:val="00DB7EFC"/>
    <w:rsid w:val="00DC01B3"/>
    <w:rsid w:val="00DC06E1"/>
    <w:rsid w:val="00DC0760"/>
    <w:rsid w:val="00DC12FD"/>
    <w:rsid w:val="00DC1BFC"/>
    <w:rsid w:val="00DC1DAF"/>
    <w:rsid w:val="00DC2013"/>
    <w:rsid w:val="00DC2997"/>
    <w:rsid w:val="00DC42ED"/>
    <w:rsid w:val="00DC52DC"/>
    <w:rsid w:val="00DC54ED"/>
    <w:rsid w:val="00DC5AB1"/>
    <w:rsid w:val="00DC650D"/>
    <w:rsid w:val="00DC6A81"/>
    <w:rsid w:val="00DC7108"/>
    <w:rsid w:val="00DC748B"/>
    <w:rsid w:val="00DD026D"/>
    <w:rsid w:val="00DD1A41"/>
    <w:rsid w:val="00DD2A82"/>
    <w:rsid w:val="00DD2BC0"/>
    <w:rsid w:val="00DD2C9B"/>
    <w:rsid w:val="00DD2DCC"/>
    <w:rsid w:val="00DD32AB"/>
    <w:rsid w:val="00DD35DF"/>
    <w:rsid w:val="00DD3733"/>
    <w:rsid w:val="00DD3A39"/>
    <w:rsid w:val="00DD3E17"/>
    <w:rsid w:val="00DD3EC4"/>
    <w:rsid w:val="00DD41AE"/>
    <w:rsid w:val="00DD4FC0"/>
    <w:rsid w:val="00DD4FF6"/>
    <w:rsid w:val="00DD53B9"/>
    <w:rsid w:val="00DD5BA0"/>
    <w:rsid w:val="00DD5BF1"/>
    <w:rsid w:val="00DD5CEF"/>
    <w:rsid w:val="00DD63B0"/>
    <w:rsid w:val="00DD6EBC"/>
    <w:rsid w:val="00DE0366"/>
    <w:rsid w:val="00DE0622"/>
    <w:rsid w:val="00DE0FF8"/>
    <w:rsid w:val="00DE11E4"/>
    <w:rsid w:val="00DE1249"/>
    <w:rsid w:val="00DE1764"/>
    <w:rsid w:val="00DE17B6"/>
    <w:rsid w:val="00DE1B4B"/>
    <w:rsid w:val="00DE2177"/>
    <w:rsid w:val="00DE26F4"/>
    <w:rsid w:val="00DE2830"/>
    <w:rsid w:val="00DE29C9"/>
    <w:rsid w:val="00DE2BB1"/>
    <w:rsid w:val="00DE341F"/>
    <w:rsid w:val="00DE3559"/>
    <w:rsid w:val="00DE362E"/>
    <w:rsid w:val="00DE3ACA"/>
    <w:rsid w:val="00DE3D0C"/>
    <w:rsid w:val="00DE3F9E"/>
    <w:rsid w:val="00DE4167"/>
    <w:rsid w:val="00DE4322"/>
    <w:rsid w:val="00DE4B37"/>
    <w:rsid w:val="00DE4CF9"/>
    <w:rsid w:val="00DE50B2"/>
    <w:rsid w:val="00DE5CDB"/>
    <w:rsid w:val="00DE60B0"/>
    <w:rsid w:val="00DE66B6"/>
    <w:rsid w:val="00DE6CB7"/>
    <w:rsid w:val="00DE7791"/>
    <w:rsid w:val="00DE7C69"/>
    <w:rsid w:val="00DF0B5D"/>
    <w:rsid w:val="00DF15A9"/>
    <w:rsid w:val="00DF1709"/>
    <w:rsid w:val="00DF1B92"/>
    <w:rsid w:val="00DF2286"/>
    <w:rsid w:val="00DF232B"/>
    <w:rsid w:val="00DF2BB8"/>
    <w:rsid w:val="00DF2C6D"/>
    <w:rsid w:val="00DF33B7"/>
    <w:rsid w:val="00DF3D2D"/>
    <w:rsid w:val="00DF3D36"/>
    <w:rsid w:val="00DF5036"/>
    <w:rsid w:val="00DF5F1F"/>
    <w:rsid w:val="00DF613F"/>
    <w:rsid w:val="00DF6918"/>
    <w:rsid w:val="00DF6ACB"/>
    <w:rsid w:val="00DF6DFC"/>
    <w:rsid w:val="00DF6E60"/>
    <w:rsid w:val="00DF722A"/>
    <w:rsid w:val="00E0068D"/>
    <w:rsid w:val="00E0128D"/>
    <w:rsid w:val="00E020EE"/>
    <w:rsid w:val="00E024D6"/>
    <w:rsid w:val="00E02668"/>
    <w:rsid w:val="00E02C53"/>
    <w:rsid w:val="00E034DD"/>
    <w:rsid w:val="00E0354D"/>
    <w:rsid w:val="00E03CD7"/>
    <w:rsid w:val="00E0427F"/>
    <w:rsid w:val="00E04DB9"/>
    <w:rsid w:val="00E050A8"/>
    <w:rsid w:val="00E06201"/>
    <w:rsid w:val="00E0673A"/>
    <w:rsid w:val="00E068AC"/>
    <w:rsid w:val="00E0725A"/>
    <w:rsid w:val="00E0734D"/>
    <w:rsid w:val="00E07B35"/>
    <w:rsid w:val="00E1052C"/>
    <w:rsid w:val="00E10588"/>
    <w:rsid w:val="00E10D11"/>
    <w:rsid w:val="00E11858"/>
    <w:rsid w:val="00E11C6B"/>
    <w:rsid w:val="00E11FFE"/>
    <w:rsid w:val="00E1200D"/>
    <w:rsid w:val="00E120BF"/>
    <w:rsid w:val="00E128F9"/>
    <w:rsid w:val="00E128FC"/>
    <w:rsid w:val="00E12B90"/>
    <w:rsid w:val="00E12CB5"/>
    <w:rsid w:val="00E13081"/>
    <w:rsid w:val="00E13AC5"/>
    <w:rsid w:val="00E13DF9"/>
    <w:rsid w:val="00E1471D"/>
    <w:rsid w:val="00E15018"/>
    <w:rsid w:val="00E15115"/>
    <w:rsid w:val="00E15E95"/>
    <w:rsid w:val="00E1619E"/>
    <w:rsid w:val="00E16656"/>
    <w:rsid w:val="00E168DE"/>
    <w:rsid w:val="00E17926"/>
    <w:rsid w:val="00E17A1A"/>
    <w:rsid w:val="00E21B87"/>
    <w:rsid w:val="00E21DF3"/>
    <w:rsid w:val="00E21E0F"/>
    <w:rsid w:val="00E22673"/>
    <w:rsid w:val="00E22798"/>
    <w:rsid w:val="00E22C09"/>
    <w:rsid w:val="00E22D4C"/>
    <w:rsid w:val="00E23E61"/>
    <w:rsid w:val="00E249C9"/>
    <w:rsid w:val="00E24B96"/>
    <w:rsid w:val="00E24DA5"/>
    <w:rsid w:val="00E26D67"/>
    <w:rsid w:val="00E27098"/>
    <w:rsid w:val="00E27827"/>
    <w:rsid w:val="00E2793F"/>
    <w:rsid w:val="00E27F99"/>
    <w:rsid w:val="00E301E6"/>
    <w:rsid w:val="00E30DC0"/>
    <w:rsid w:val="00E3102D"/>
    <w:rsid w:val="00E3115A"/>
    <w:rsid w:val="00E318AF"/>
    <w:rsid w:val="00E31BD7"/>
    <w:rsid w:val="00E32197"/>
    <w:rsid w:val="00E323A0"/>
    <w:rsid w:val="00E33900"/>
    <w:rsid w:val="00E33CB8"/>
    <w:rsid w:val="00E340E5"/>
    <w:rsid w:val="00E34348"/>
    <w:rsid w:val="00E34427"/>
    <w:rsid w:val="00E34F33"/>
    <w:rsid w:val="00E35137"/>
    <w:rsid w:val="00E351AC"/>
    <w:rsid w:val="00E35A57"/>
    <w:rsid w:val="00E36486"/>
    <w:rsid w:val="00E364DF"/>
    <w:rsid w:val="00E366AB"/>
    <w:rsid w:val="00E36AD8"/>
    <w:rsid w:val="00E370A0"/>
    <w:rsid w:val="00E3718B"/>
    <w:rsid w:val="00E37E85"/>
    <w:rsid w:val="00E40374"/>
    <w:rsid w:val="00E40558"/>
    <w:rsid w:val="00E40881"/>
    <w:rsid w:val="00E40ED3"/>
    <w:rsid w:val="00E41956"/>
    <w:rsid w:val="00E41C3D"/>
    <w:rsid w:val="00E42597"/>
    <w:rsid w:val="00E43525"/>
    <w:rsid w:val="00E4354A"/>
    <w:rsid w:val="00E4390B"/>
    <w:rsid w:val="00E43BE8"/>
    <w:rsid w:val="00E44229"/>
    <w:rsid w:val="00E44F3B"/>
    <w:rsid w:val="00E452FC"/>
    <w:rsid w:val="00E453EA"/>
    <w:rsid w:val="00E45679"/>
    <w:rsid w:val="00E45939"/>
    <w:rsid w:val="00E45B70"/>
    <w:rsid w:val="00E45F14"/>
    <w:rsid w:val="00E46328"/>
    <w:rsid w:val="00E464B0"/>
    <w:rsid w:val="00E464D5"/>
    <w:rsid w:val="00E46C0E"/>
    <w:rsid w:val="00E46D1F"/>
    <w:rsid w:val="00E475AC"/>
    <w:rsid w:val="00E502D5"/>
    <w:rsid w:val="00E50423"/>
    <w:rsid w:val="00E5054A"/>
    <w:rsid w:val="00E50A22"/>
    <w:rsid w:val="00E5113A"/>
    <w:rsid w:val="00E51232"/>
    <w:rsid w:val="00E51E43"/>
    <w:rsid w:val="00E522EF"/>
    <w:rsid w:val="00E52A95"/>
    <w:rsid w:val="00E52BA3"/>
    <w:rsid w:val="00E5375E"/>
    <w:rsid w:val="00E53FF9"/>
    <w:rsid w:val="00E54886"/>
    <w:rsid w:val="00E54E4D"/>
    <w:rsid w:val="00E552EB"/>
    <w:rsid w:val="00E56135"/>
    <w:rsid w:val="00E5634A"/>
    <w:rsid w:val="00E563FB"/>
    <w:rsid w:val="00E56990"/>
    <w:rsid w:val="00E573B3"/>
    <w:rsid w:val="00E610AE"/>
    <w:rsid w:val="00E61105"/>
    <w:rsid w:val="00E619B8"/>
    <w:rsid w:val="00E61FD3"/>
    <w:rsid w:val="00E62A4B"/>
    <w:rsid w:val="00E62BD5"/>
    <w:rsid w:val="00E62D23"/>
    <w:rsid w:val="00E62E22"/>
    <w:rsid w:val="00E633E8"/>
    <w:rsid w:val="00E64A16"/>
    <w:rsid w:val="00E64A1E"/>
    <w:rsid w:val="00E64B90"/>
    <w:rsid w:val="00E656D7"/>
    <w:rsid w:val="00E65BAC"/>
    <w:rsid w:val="00E65C13"/>
    <w:rsid w:val="00E65F21"/>
    <w:rsid w:val="00E661DC"/>
    <w:rsid w:val="00E6689E"/>
    <w:rsid w:val="00E66E64"/>
    <w:rsid w:val="00E6712D"/>
    <w:rsid w:val="00E67244"/>
    <w:rsid w:val="00E6785B"/>
    <w:rsid w:val="00E700A2"/>
    <w:rsid w:val="00E7035F"/>
    <w:rsid w:val="00E70361"/>
    <w:rsid w:val="00E704BE"/>
    <w:rsid w:val="00E7200B"/>
    <w:rsid w:val="00E7241A"/>
    <w:rsid w:val="00E73198"/>
    <w:rsid w:val="00E7352E"/>
    <w:rsid w:val="00E735D2"/>
    <w:rsid w:val="00E7393D"/>
    <w:rsid w:val="00E73997"/>
    <w:rsid w:val="00E73CEA"/>
    <w:rsid w:val="00E74231"/>
    <w:rsid w:val="00E74463"/>
    <w:rsid w:val="00E744DF"/>
    <w:rsid w:val="00E746E7"/>
    <w:rsid w:val="00E74829"/>
    <w:rsid w:val="00E748E5"/>
    <w:rsid w:val="00E75361"/>
    <w:rsid w:val="00E75935"/>
    <w:rsid w:val="00E76314"/>
    <w:rsid w:val="00E767D4"/>
    <w:rsid w:val="00E76A79"/>
    <w:rsid w:val="00E76D08"/>
    <w:rsid w:val="00E76E59"/>
    <w:rsid w:val="00E779D2"/>
    <w:rsid w:val="00E77C12"/>
    <w:rsid w:val="00E77DD7"/>
    <w:rsid w:val="00E8011A"/>
    <w:rsid w:val="00E80195"/>
    <w:rsid w:val="00E80ED0"/>
    <w:rsid w:val="00E8131F"/>
    <w:rsid w:val="00E816DE"/>
    <w:rsid w:val="00E81DE3"/>
    <w:rsid w:val="00E82196"/>
    <w:rsid w:val="00E82374"/>
    <w:rsid w:val="00E82B97"/>
    <w:rsid w:val="00E83AB9"/>
    <w:rsid w:val="00E83DAD"/>
    <w:rsid w:val="00E83F9B"/>
    <w:rsid w:val="00E845EF"/>
    <w:rsid w:val="00E85276"/>
    <w:rsid w:val="00E852A3"/>
    <w:rsid w:val="00E85505"/>
    <w:rsid w:val="00E85A19"/>
    <w:rsid w:val="00E86A7B"/>
    <w:rsid w:val="00E87208"/>
    <w:rsid w:val="00E87F28"/>
    <w:rsid w:val="00E90E5D"/>
    <w:rsid w:val="00E912FF"/>
    <w:rsid w:val="00E919F2"/>
    <w:rsid w:val="00E91E61"/>
    <w:rsid w:val="00E91E7F"/>
    <w:rsid w:val="00E92380"/>
    <w:rsid w:val="00E92803"/>
    <w:rsid w:val="00E935F9"/>
    <w:rsid w:val="00E94CAD"/>
    <w:rsid w:val="00E94D72"/>
    <w:rsid w:val="00E9577C"/>
    <w:rsid w:val="00E9605A"/>
    <w:rsid w:val="00E96E9E"/>
    <w:rsid w:val="00E96FD3"/>
    <w:rsid w:val="00E97631"/>
    <w:rsid w:val="00E97CBC"/>
    <w:rsid w:val="00EA0163"/>
    <w:rsid w:val="00EA0811"/>
    <w:rsid w:val="00EA0948"/>
    <w:rsid w:val="00EA0A3D"/>
    <w:rsid w:val="00EA0B31"/>
    <w:rsid w:val="00EA1B57"/>
    <w:rsid w:val="00EA1BEF"/>
    <w:rsid w:val="00EA1DEE"/>
    <w:rsid w:val="00EA1F1E"/>
    <w:rsid w:val="00EA2430"/>
    <w:rsid w:val="00EA26E4"/>
    <w:rsid w:val="00EA29E0"/>
    <w:rsid w:val="00EA384B"/>
    <w:rsid w:val="00EA3C04"/>
    <w:rsid w:val="00EA40D1"/>
    <w:rsid w:val="00EA4E20"/>
    <w:rsid w:val="00EA527E"/>
    <w:rsid w:val="00EA5694"/>
    <w:rsid w:val="00EA5A62"/>
    <w:rsid w:val="00EA639C"/>
    <w:rsid w:val="00EA6AE9"/>
    <w:rsid w:val="00EA7125"/>
    <w:rsid w:val="00EA7AE2"/>
    <w:rsid w:val="00EA7D08"/>
    <w:rsid w:val="00EB0358"/>
    <w:rsid w:val="00EB0BF5"/>
    <w:rsid w:val="00EB0D99"/>
    <w:rsid w:val="00EB1438"/>
    <w:rsid w:val="00EB2323"/>
    <w:rsid w:val="00EB26E8"/>
    <w:rsid w:val="00EB28D7"/>
    <w:rsid w:val="00EB2B3C"/>
    <w:rsid w:val="00EB2BB3"/>
    <w:rsid w:val="00EB3F38"/>
    <w:rsid w:val="00EB3FBF"/>
    <w:rsid w:val="00EB41D4"/>
    <w:rsid w:val="00EB497B"/>
    <w:rsid w:val="00EB50C1"/>
    <w:rsid w:val="00EB68E8"/>
    <w:rsid w:val="00EB6B26"/>
    <w:rsid w:val="00EB7E70"/>
    <w:rsid w:val="00EB7FBE"/>
    <w:rsid w:val="00EB7FFD"/>
    <w:rsid w:val="00EC0771"/>
    <w:rsid w:val="00EC0D3E"/>
    <w:rsid w:val="00EC1385"/>
    <w:rsid w:val="00EC14E0"/>
    <w:rsid w:val="00EC16C8"/>
    <w:rsid w:val="00EC1C6C"/>
    <w:rsid w:val="00EC1D16"/>
    <w:rsid w:val="00EC2977"/>
    <w:rsid w:val="00EC2B30"/>
    <w:rsid w:val="00EC2C7C"/>
    <w:rsid w:val="00EC2EBF"/>
    <w:rsid w:val="00EC302E"/>
    <w:rsid w:val="00EC35E6"/>
    <w:rsid w:val="00EC365C"/>
    <w:rsid w:val="00EC3F55"/>
    <w:rsid w:val="00EC4100"/>
    <w:rsid w:val="00EC41AF"/>
    <w:rsid w:val="00EC41C1"/>
    <w:rsid w:val="00EC4534"/>
    <w:rsid w:val="00EC46C7"/>
    <w:rsid w:val="00EC474C"/>
    <w:rsid w:val="00EC4980"/>
    <w:rsid w:val="00EC49AF"/>
    <w:rsid w:val="00EC5768"/>
    <w:rsid w:val="00EC5E08"/>
    <w:rsid w:val="00EC6836"/>
    <w:rsid w:val="00EC6EAA"/>
    <w:rsid w:val="00EC6F35"/>
    <w:rsid w:val="00EC6F83"/>
    <w:rsid w:val="00EC705C"/>
    <w:rsid w:val="00EC7175"/>
    <w:rsid w:val="00EC779F"/>
    <w:rsid w:val="00ED011F"/>
    <w:rsid w:val="00ED0653"/>
    <w:rsid w:val="00ED0F8C"/>
    <w:rsid w:val="00ED1811"/>
    <w:rsid w:val="00ED2426"/>
    <w:rsid w:val="00ED3068"/>
    <w:rsid w:val="00ED3204"/>
    <w:rsid w:val="00ED3D2C"/>
    <w:rsid w:val="00ED44F4"/>
    <w:rsid w:val="00ED4930"/>
    <w:rsid w:val="00ED4998"/>
    <w:rsid w:val="00ED4EB7"/>
    <w:rsid w:val="00ED5F69"/>
    <w:rsid w:val="00ED6457"/>
    <w:rsid w:val="00ED6921"/>
    <w:rsid w:val="00ED6BA8"/>
    <w:rsid w:val="00ED6C2F"/>
    <w:rsid w:val="00ED6FD5"/>
    <w:rsid w:val="00ED72EF"/>
    <w:rsid w:val="00ED7B5B"/>
    <w:rsid w:val="00EE00D3"/>
    <w:rsid w:val="00EE010F"/>
    <w:rsid w:val="00EE068B"/>
    <w:rsid w:val="00EE0E46"/>
    <w:rsid w:val="00EE0E9B"/>
    <w:rsid w:val="00EE159A"/>
    <w:rsid w:val="00EE316D"/>
    <w:rsid w:val="00EE46CE"/>
    <w:rsid w:val="00EE51C6"/>
    <w:rsid w:val="00EE5633"/>
    <w:rsid w:val="00EE5B2D"/>
    <w:rsid w:val="00EE5D75"/>
    <w:rsid w:val="00EE5F27"/>
    <w:rsid w:val="00EE65B5"/>
    <w:rsid w:val="00EE65BD"/>
    <w:rsid w:val="00EE66A3"/>
    <w:rsid w:val="00EE6CDA"/>
    <w:rsid w:val="00EE6EF9"/>
    <w:rsid w:val="00EE787C"/>
    <w:rsid w:val="00EF03D4"/>
    <w:rsid w:val="00EF04DD"/>
    <w:rsid w:val="00EF140F"/>
    <w:rsid w:val="00EF170E"/>
    <w:rsid w:val="00EF1D50"/>
    <w:rsid w:val="00EF2778"/>
    <w:rsid w:val="00EF2A99"/>
    <w:rsid w:val="00EF2D0B"/>
    <w:rsid w:val="00EF2F12"/>
    <w:rsid w:val="00EF3015"/>
    <w:rsid w:val="00EF3A70"/>
    <w:rsid w:val="00EF3B38"/>
    <w:rsid w:val="00EF4FDB"/>
    <w:rsid w:val="00EF5499"/>
    <w:rsid w:val="00EF5BC6"/>
    <w:rsid w:val="00EF6396"/>
    <w:rsid w:val="00EF68C7"/>
    <w:rsid w:val="00EF7161"/>
    <w:rsid w:val="00F00064"/>
    <w:rsid w:val="00F0022D"/>
    <w:rsid w:val="00F00A18"/>
    <w:rsid w:val="00F00DB3"/>
    <w:rsid w:val="00F014B6"/>
    <w:rsid w:val="00F01A5C"/>
    <w:rsid w:val="00F01B6D"/>
    <w:rsid w:val="00F02522"/>
    <w:rsid w:val="00F037E8"/>
    <w:rsid w:val="00F037E9"/>
    <w:rsid w:val="00F03935"/>
    <w:rsid w:val="00F03B18"/>
    <w:rsid w:val="00F03DF1"/>
    <w:rsid w:val="00F04067"/>
    <w:rsid w:val="00F043C9"/>
    <w:rsid w:val="00F04813"/>
    <w:rsid w:val="00F05667"/>
    <w:rsid w:val="00F056C4"/>
    <w:rsid w:val="00F058A2"/>
    <w:rsid w:val="00F0599D"/>
    <w:rsid w:val="00F05A30"/>
    <w:rsid w:val="00F07558"/>
    <w:rsid w:val="00F07791"/>
    <w:rsid w:val="00F102E4"/>
    <w:rsid w:val="00F112EF"/>
    <w:rsid w:val="00F1164A"/>
    <w:rsid w:val="00F117CE"/>
    <w:rsid w:val="00F11B06"/>
    <w:rsid w:val="00F11B44"/>
    <w:rsid w:val="00F12621"/>
    <w:rsid w:val="00F12703"/>
    <w:rsid w:val="00F12F73"/>
    <w:rsid w:val="00F13362"/>
    <w:rsid w:val="00F13A60"/>
    <w:rsid w:val="00F13EE2"/>
    <w:rsid w:val="00F1458B"/>
    <w:rsid w:val="00F14A7E"/>
    <w:rsid w:val="00F153CE"/>
    <w:rsid w:val="00F15639"/>
    <w:rsid w:val="00F15A8C"/>
    <w:rsid w:val="00F15D45"/>
    <w:rsid w:val="00F15F16"/>
    <w:rsid w:val="00F1603A"/>
    <w:rsid w:val="00F1606D"/>
    <w:rsid w:val="00F1661C"/>
    <w:rsid w:val="00F16661"/>
    <w:rsid w:val="00F167ED"/>
    <w:rsid w:val="00F173F1"/>
    <w:rsid w:val="00F17869"/>
    <w:rsid w:val="00F1786F"/>
    <w:rsid w:val="00F17C8A"/>
    <w:rsid w:val="00F17D2F"/>
    <w:rsid w:val="00F2040C"/>
    <w:rsid w:val="00F20A93"/>
    <w:rsid w:val="00F234DA"/>
    <w:rsid w:val="00F236A1"/>
    <w:rsid w:val="00F237A5"/>
    <w:rsid w:val="00F23EC3"/>
    <w:rsid w:val="00F23F06"/>
    <w:rsid w:val="00F241F1"/>
    <w:rsid w:val="00F24A1D"/>
    <w:rsid w:val="00F24CBC"/>
    <w:rsid w:val="00F24E11"/>
    <w:rsid w:val="00F26429"/>
    <w:rsid w:val="00F267D8"/>
    <w:rsid w:val="00F26B02"/>
    <w:rsid w:val="00F27156"/>
    <w:rsid w:val="00F27218"/>
    <w:rsid w:val="00F275FB"/>
    <w:rsid w:val="00F27611"/>
    <w:rsid w:val="00F27ACE"/>
    <w:rsid w:val="00F3005D"/>
    <w:rsid w:val="00F305C7"/>
    <w:rsid w:val="00F30D8B"/>
    <w:rsid w:val="00F31093"/>
    <w:rsid w:val="00F3129A"/>
    <w:rsid w:val="00F3188F"/>
    <w:rsid w:val="00F3286E"/>
    <w:rsid w:val="00F32C55"/>
    <w:rsid w:val="00F3312E"/>
    <w:rsid w:val="00F33336"/>
    <w:rsid w:val="00F33656"/>
    <w:rsid w:val="00F33924"/>
    <w:rsid w:val="00F33FF0"/>
    <w:rsid w:val="00F348C6"/>
    <w:rsid w:val="00F34E93"/>
    <w:rsid w:val="00F34F64"/>
    <w:rsid w:val="00F350E6"/>
    <w:rsid w:val="00F35316"/>
    <w:rsid w:val="00F35D99"/>
    <w:rsid w:val="00F35FE2"/>
    <w:rsid w:val="00F36189"/>
    <w:rsid w:val="00F3642A"/>
    <w:rsid w:val="00F36477"/>
    <w:rsid w:val="00F36847"/>
    <w:rsid w:val="00F369D7"/>
    <w:rsid w:val="00F36B29"/>
    <w:rsid w:val="00F36BD3"/>
    <w:rsid w:val="00F36C8A"/>
    <w:rsid w:val="00F37FDD"/>
    <w:rsid w:val="00F4110D"/>
    <w:rsid w:val="00F411ED"/>
    <w:rsid w:val="00F41F7D"/>
    <w:rsid w:val="00F4234B"/>
    <w:rsid w:val="00F4272D"/>
    <w:rsid w:val="00F42D2C"/>
    <w:rsid w:val="00F42D9C"/>
    <w:rsid w:val="00F437EA"/>
    <w:rsid w:val="00F438E2"/>
    <w:rsid w:val="00F43A16"/>
    <w:rsid w:val="00F44033"/>
    <w:rsid w:val="00F44578"/>
    <w:rsid w:val="00F45172"/>
    <w:rsid w:val="00F453A7"/>
    <w:rsid w:val="00F463D9"/>
    <w:rsid w:val="00F5103E"/>
    <w:rsid w:val="00F51262"/>
    <w:rsid w:val="00F52041"/>
    <w:rsid w:val="00F52182"/>
    <w:rsid w:val="00F5219C"/>
    <w:rsid w:val="00F522DE"/>
    <w:rsid w:val="00F52743"/>
    <w:rsid w:val="00F52E8F"/>
    <w:rsid w:val="00F53680"/>
    <w:rsid w:val="00F53BC3"/>
    <w:rsid w:val="00F54C10"/>
    <w:rsid w:val="00F54C55"/>
    <w:rsid w:val="00F55601"/>
    <w:rsid w:val="00F55FA7"/>
    <w:rsid w:val="00F5630E"/>
    <w:rsid w:val="00F57D6D"/>
    <w:rsid w:val="00F57D9E"/>
    <w:rsid w:val="00F57FE1"/>
    <w:rsid w:val="00F60410"/>
    <w:rsid w:val="00F61E5A"/>
    <w:rsid w:val="00F62368"/>
    <w:rsid w:val="00F624A6"/>
    <w:rsid w:val="00F62B20"/>
    <w:rsid w:val="00F643F1"/>
    <w:rsid w:val="00F64558"/>
    <w:rsid w:val="00F64D60"/>
    <w:rsid w:val="00F65BE1"/>
    <w:rsid w:val="00F66A6F"/>
    <w:rsid w:val="00F66DB0"/>
    <w:rsid w:val="00F66F58"/>
    <w:rsid w:val="00F67060"/>
    <w:rsid w:val="00F67141"/>
    <w:rsid w:val="00F6736A"/>
    <w:rsid w:val="00F67DB4"/>
    <w:rsid w:val="00F704D8"/>
    <w:rsid w:val="00F705F5"/>
    <w:rsid w:val="00F707AE"/>
    <w:rsid w:val="00F70A97"/>
    <w:rsid w:val="00F71035"/>
    <w:rsid w:val="00F71BDE"/>
    <w:rsid w:val="00F722E3"/>
    <w:rsid w:val="00F72BC9"/>
    <w:rsid w:val="00F7335E"/>
    <w:rsid w:val="00F74294"/>
    <w:rsid w:val="00F74EF9"/>
    <w:rsid w:val="00F75919"/>
    <w:rsid w:val="00F768E8"/>
    <w:rsid w:val="00F76BFD"/>
    <w:rsid w:val="00F76D75"/>
    <w:rsid w:val="00F76EFC"/>
    <w:rsid w:val="00F7742A"/>
    <w:rsid w:val="00F77858"/>
    <w:rsid w:val="00F77A82"/>
    <w:rsid w:val="00F77ECC"/>
    <w:rsid w:val="00F8108F"/>
    <w:rsid w:val="00F810EC"/>
    <w:rsid w:val="00F81E02"/>
    <w:rsid w:val="00F82B13"/>
    <w:rsid w:val="00F82D0C"/>
    <w:rsid w:val="00F833C6"/>
    <w:rsid w:val="00F838C6"/>
    <w:rsid w:val="00F83D63"/>
    <w:rsid w:val="00F8561D"/>
    <w:rsid w:val="00F85A40"/>
    <w:rsid w:val="00F85FDE"/>
    <w:rsid w:val="00F86413"/>
    <w:rsid w:val="00F866F3"/>
    <w:rsid w:val="00F87302"/>
    <w:rsid w:val="00F873D2"/>
    <w:rsid w:val="00F8758B"/>
    <w:rsid w:val="00F87812"/>
    <w:rsid w:val="00F90A79"/>
    <w:rsid w:val="00F91415"/>
    <w:rsid w:val="00F91860"/>
    <w:rsid w:val="00F9187F"/>
    <w:rsid w:val="00F918BD"/>
    <w:rsid w:val="00F91E83"/>
    <w:rsid w:val="00F9225B"/>
    <w:rsid w:val="00F92710"/>
    <w:rsid w:val="00F92BB5"/>
    <w:rsid w:val="00F92C29"/>
    <w:rsid w:val="00F932FE"/>
    <w:rsid w:val="00F940C5"/>
    <w:rsid w:val="00F941B2"/>
    <w:rsid w:val="00F9468C"/>
    <w:rsid w:val="00F94A78"/>
    <w:rsid w:val="00F94DA8"/>
    <w:rsid w:val="00F94F04"/>
    <w:rsid w:val="00F956AD"/>
    <w:rsid w:val="00F95E9F"/>
    <w:rsid w:val="00F95ED4"/>
    <w:rsid w:val="00F963B9"/>
    <w:rsid w:val="00F9653A"/>
    <w:rsid w:val="00F96599"/>
    <w:rsid w:val="00F965CC"/>
    <w:rsid w:val="00F9715A"/>
    <w:rsid w:val="00F97168"/>
    <w:rsid w:val="00F974B9"/>
    <w:rsid w:val="00F97B7D"/>
    <w:rsid w:val="00FA0095"/>
    <w:rsid w:val="00FA03E4"/>
    <w:rsid w:val="00FA0718"/>
    <w:rsid w:val="00FA1040"/>
    <w:rsid w:val="00FA1142"/>
    <w:rsid w:val="00FA12D0"/>
    <w:rsid w:val="00FA1365"/>
    <w:rsid w:val="00FA1AC5"/>
    <w:rsid w:val="00FA1E1C"/>
    <w:rsid w:val="00FA204C"/>
    <w:rsid w:val="00FA2AAA"/>
    <w:rsid w:val="00FA323C"/>
    <w:rsid w:val="00FA3CBB"/>
    <w:rsid w:val="00FA423F"/>
    <w:rsid w:val="00FA4E22"/>
    <w:rsid w:val="00FA5416"/>
    <w:rsid w:val="00FA55A4"/>
    <w:rsid w:val="00FA6715"/>
    <w:rsid w:val="00FA6F9A"/>
    <w:rsid w:val="00FA74B9"/>
    <w:rsid w:val="00FA7573"/>
    <w:rsid w:val="00FA7A61"/>
    <w:rsid w:val="00FB0368"/>
    <w:rsid w:val="00FB0532"/>
    <w:rsid w:val="00FB0668"/>
    <w:rsid w:val="00FB0A48"/>
    <w:rsid w:val="00FB0E89"/>
    <w:rsid w:val="00FB100F"/>
    <w:rsid w:val="00FB19F4"/>
    <w:rsid w:val="00FB1C26"/>
    <w:rsid w:val="00FB396A"/>
    <w:rsid w:val="00FB3BFC"/>
    <w:rsid w:val="00FB4058"/>
    <w:rsid w:val="00FB4DCD"/>
    <w:rsid w:val="00FB4EFF"/>
    <w:rsid w:val="00FB5401"/>
    <w:rsid w:val="00FB5FAC"/>
    <w:rsid w:val="00FB601A"/>
    <w:rsid w:val="00FB6454"/>
    <w:rsid w:val="00FB6A75"/>
    <w:rsid w:val="00FB70F2"/>
    <w:rsid w:val="00FB72EF"/>
    <w:rsid w:val="00FB7378"/>
    <w:rsid w:val="00FB74F2"/>
    <w:rsid w:val="00FB791A"/>
    <w:rsid w:val="00FC0224"/>
    <w:rsid w:val="00FC042F"/>
    <w:rsid w:val="00FC04C0"/>
    <w:rsid w:val="00FC13E2"/>
    <w:rsid w:val="00FC1649"/>
    <w:rsid w:val="00FC1788"/>
    <w:rsid w:val="00FC17F0"/>
    <w:rsid w:val="00FC1933"/>
    <w:rsid w:val="00FC3E04"/>
    <w:rsid w:val="00FC4024"/>
    <w:rsid w:val="00FC420A"/>
    <w:rsid w:val="00FC4640"/>
    <w:rsid w:val="00FC47B2"/>
    <w:rsid w:val="00FC521E"/>
    <w:rsid w:val="00FC55B4"/>
    <w:rsid w:val="00FC569E"/>
    <w:rsid w:val="00FC6DAA"/>
    <w:rsid w:val="00FC71D9"/>
    <w:rsid w:val="00FC78FE"/>
    <w:rsid w:val="00FC7CAA"/>
    <w:rsid w:val="00FD10C9"/>
    <w:rsid w:val="00FD11C0"/>
    <w:rsid w:val="00FD12D2"/>
    <w:rsid w:val="00FD14D6"/>
    <w:rsid w:val="00FD1B30"/>
    <w:rsid w:val="00FD2B78"/>
    <w:rsid w:val="00FD2DD4"/>
    <w:rsid w:val="00FD33A7"/>
    <w:rsid w:val="00FD3566"/>
    <w:rsid w:val="00FD35C4"/>
    <w:rsid w:val="00FD3E2B"/>
    <w:rsid w:val="00FD3E85"/>
    <w:rsid w:val="00FD444C"/>
    <w:rsid w:val="00FD5DF6"/>
    <w:rsid w:val="00FD60EA"/>
    <w:rsid w:val="00FD61B3"/>
    <w:rsid w:val="00FD639E"/>
    <w:rsid w:val="00FD64A9"/>
    <w:rsid w:val="00FD663A"/>
    <w:rsid w:val="00FD6985"/>
    <w:rsid w:val="00FD7687"/>
    <w:rsid w:val="00FD795F"/>
    <w:rsid w:val="00FE0FBA"/>
    <w:rsid w:val="00FE192E"/>
    <w:rsid w:val="00FE2638"/>
    <w:rsid w:val="00FE26E6"/>
    <w:rsid w:val="00FE273E"/>
    <w:rsid w:val="00FE2BC8"/>
    <w:rsid w:val="00FE31B3"/>
    <w:rsid w:val="00FE3A57"/>
    <w:rsid w:val="00FE3C72"/>
    <w:rsid w:val="00FE3DBC"/>
    <w:rsid w:val="00FE3DE9"/>
    <w:rsid w:val="00FE4282"/>
    <w:rsid w:val="00FE5C43"/>
    <w:rsid w:val="00FE6059"/>
    <w:rsid w:val="00FE6076"/>
    <w:rsid w:val="00FE6594"/>
    <w:rsid w:val="00FE6926"/>
    <w:rsid w:val="00FE798D"/>
    <w:rsid w:val="00FE7BF3"/>
    <w:rsid w:val="00FF0285"/>
    <w:rsid w:val="00FF032D"/>
    <w:rsid w:val="00FF0766"/>
    <w:rsid w:val="00FF0BBD"/>
    <w:rsid w:val="00FF0CCF"/>
    <w:rsid w:val="00FF1245"/>
    <w:rsid w:val="00FF1D46"/>
    <w:rsid w:val="00FF2570"/>
    <w:rsid w:val="00FF2DC8"/>
    <w:rsid w:val="00FF3065"/>
    <w:rsid w:val="00FF30C0"/>
    <w:rsid w:val="00FF4A3B"/>
    <w:rsid w:val="00FF4C82"/>
    <w:rsid w:val="00FF4E7C"/>
    <w:rsid w:val="00FF51AF"/>
    <w:rsid w:val="00FF52F3"/>
    <w:rsid w:val="00FF611A"/>
    <w:rsid w:val="00FF66B7"/>
    <w:rsid w:val="00FF69B0"/>
    <w:rsid w:val="00FF7B7A"/>
    <w:rsid w:val="00FF7CBA"/>
    <w:rsid w:val="03E2BB5E"/>
    <w:rsid w:val="05518435"/>
    <w:rsid w:val="089DA3A2"/>
    <w:rsid w:val="08EF639F"/>
    <w:rsid w:val="0A1B04FC"/>
    <w:rsid w:val="0B336F34"/>
    <w:rsid w:val="112A9A34"/>
    <w:rsid w:val="13B0DF3C"/>
    <w:rsid w:val="1513DC6E"/>
    <w:rsid w:val="156B6B2C"/>
    <w:rsid w:val="15D2A80A"/>
    <w:rsid w:val="165C62CA"/>
    <w:rsid w:val="1BC761AD"/>
    <w:rsid w:val="1BF5C8C4"/>
    <w:rsid w:val="1CBC65FC"/>
    <w:rsid w:val="1DDDFAB6"/>
    <w:rsid w:val="2321A5DE"/>
    <w:rsid w:val="2340A393"/>
    <w:rsid w:val="23F3A7D3"/>
    <w:rsid w:val="24FF3409"/>
    <w:rsid w:val="2662A4F6"/>
    <w:rsid w:val="2714D6CD"/>
    <w:rsid w:val="2BEF7D3D"/>
    <w:rsid w:val="30E14059"/>
    <w:rsid w:val="3614FF5F"/>
    <w:rsid w:val="38FD7B6D"/>
    <w:rsid w:val="39B862DC"/>
    <w:rsid w:val="3E753B58"/>
    <w:rsid w:val="3ED78A04"/>
    <w:rsid w:val="419D5D13"/>
    <w:rsid w:val="41FFB692"/>
    <w:rsid w:val="45358C98"/>
    <w:rsid w:val="4994E0D9"/>
    <w:rsid w:val="4B0804DA"/>
    <w:rsid w:val="4BD72079"/>
    <w:rsid w:val="4CE39106"/>
    <w:rsid w:val="4E25EAD4"/>
    <w:rsid w:val="542EED21"/>
    <w:rsid w:val="596A6D9D"/>
    <w:rsid w:val="59BCD6F2"/>
    <w:rsid w:val="5C9512DD"/>
    <w:rsid w:val="5FCF889C"/>
    <w:rsid w:val="60A7BC03"/>
    <w:rsid w:val="63447550"/>
    <w:rsid w:val="6478053F"/>
    <w:rsid w:val="65A816B1"/>
    <w:rsid w:val="6665D875"/>
    <w:rsid w:val="6729410D"/>
    <w:rsid w:val="69A3BCFB"/>
    <w:rsid w:val="6A504679"/>
    <w:rsid w:val="6E47323C"/>
    <w:rsid w:val="6E4F9ECA"/>
    <w:rsid w:val="6E8E9264"/>
    <w:rsid w:val="71297490"/>
    <w:rsid w:val="72B3582E"/>
    <w:rsid w:val="74D79A47"/>
    <w:rsid w:val="76D16243"/>
    <w:rsid w:val="780FA96D"/>
    <w:rsid w:val="7CDCD00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C8B1F"/>
  <w15:docId w15:val="{6F2612CF-E9CF-4328-A140-B354132A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uiPriority w:val="99"/>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97EB4"/>
  </w:style>
  <w:style w:type="paragraph" w:customStyle="1" w:styleId="paragraph">
    <w:name w:val="paragraph"/>
    <w:basedOn w:val="Normal"/>
    <w:rsid w:val="00A97EB4"/>
    <w:pPr>
      <w:spacing w:before="100" w:beforeAutospacing="1" w:after="100" w:afterAutospacing="1"/>
    </w:pPr>
  </w:style>
  <w:style w:type="character" w:customStyle="1" w:styleId="findhit">
    <w:name w:val="findhit"/>
    <w:basedOn w:val="DefaultParagraphFont"/>
    <w:rsid w:val="00A97EB4"/>
  </w:style>
  <w:style w:type="character" w:customStyle="1" w:styleId="eop">
    <w:name w:val="eop"/>
    <w:basedOn w:val="DefaultParagraphFont"/>
    <w:rsid w:val="00A97EB4"/>
  </w:style>
  <w:style w:type="character" w:customStyle="1" w:styleId="spellingerror">
    <w:name w:val="spellingerror"/>
    <w:basedOn w:val="DefaultParagraphFont"/>
    <w:rsid w:val="00A9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69348137">
              <w:marLeft w:val="0"/>
              <w:marRight w:val="0"/>
              <w:marTop w:val="0"/>
              <w:marBottom w:val="0"/>
              <w:divBdr>
                <w:top w:val="none" w:sz="0" w:space="0" w:color="auto"/>
                <w:left w:val="none" w:sz="0" w:space="0" w:color="auto"/>
                <w:bottom w:val="none" w:sz="0" w:space="0" w:color="auto"/>
                <w:right w:val="none" w:sz="0" w:space="0" w:color="auto"/>
              </w:divBdr>
            </w:div>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17750812">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39806521">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25923019">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09998393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34704296">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51821634">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717856312">
      <w:bodyDiv w:val="1"/>
      <w:marLeft w:val="0"/>
      <w:marRight w:val="0"/>
      <w:marTop w:val="0"/>
      <w:marBottom w:val="0"/>
      <w:divBdr>
        <w:top w:val="none" w:sz="0" w:space="0" w:color="auto"/>
        <w:left w:val="none" w:sz="0" w:space="0" w:color="auto"/>
        <w:bottom w:val="none" w:sz="0" w:space="0" w:color="auto"/>
        <w:right w:val="none" w:sz="0" w:space="0" w:color="auto"/>
      </w:divBdr>
    </w:div>
    <w:div w:id="1747337644">
      <w:bodyDiv w:val="1"/>
      <w:marLeft w:val="0"/>
      <w:marRight w:val="0"/>
      <w:marTop w:val="0"/>
      <w:marBottom w:val="0"/>
      <w:divBdr>
        <w:top w:val="none" w:sz="0" w:space="0" w:color="auto"/>
        <w:left w:val="none" w:sz="0" w:space="0" w:color="auto"/>
        <w:bottom w:val="none" w:sz="0" w:space="0" w:color="auto"/>
        <w:right w:val="none" w:sz="0" w:space="0" w:color="auto"/>
      </w:divBdr>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280873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18917442">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3731170">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7458" TargetMode="External"/><Relationship Id="rId13" Type="http://schemas.openxmlformats.org/officeDocument/2006/relationships/hyperlink" Target="https://m.likumi.lv/ta/id/207458" TargetMode="External"/><Relationship Id="rId18" Type="http://schemas.openxmlformats.org/officeDocument/2006/relationships/hyperlink" Target="https://m.likumi.lv/ta/id/207458" TargetMode="External"/><Relationship Id="rId26" Type="http://schemas.openxmlformats.org/officeDocument/2006/relationships/hyperlink" Target="https://m.likumi.lv/ta/id/207458" TargetMode="External"/><Relationship Id="rId3" Type="http://schemas.openxmlformats.org/officeDocument/2006/relationships/styles" Target="styles.xml"/><Relationship Id="rId21" Type="http://schemas.openxmlformats.org/officeDocument/2006/relationships/hyperlink" Target="https://m.likumi.lv/ta/id/2074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207458" TargetMode="External"/><Relationship Id="rId17" Type="http://schemas.openxmlformats.org/officeDocument/2006/relationships/hyperlink" Target="https://m.likumi.lv/ta/id/207458" TargetMode="External"/><Relationship Id="rId25" Type="http://schemas.openxmlformats.org/officeDocument/2006/relationships/hyperlink" Target="https://m.likumi.lv/ta/id/207458" TargetMode="External"/><Relationship Id="rId33" Type="http://schemas.openxmlformats.org/officeDocument/2006/relationships/footer" Target="footer2.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likumi.lv/ta/id/207458" TargetMode="External"/><Relationship Id="rId20" Type="http://schemas.openxmlformats.org/officeDocument/2006/relationships/hyperlink" Target="https://m.likumi.lv/ta/id/207458" TargetMode="External"/><Relationship Id="rId29" Type="http://schemas.openxmlformats.org/officeDocument/2006/relationships/hyperlink" Target="http://eur-lex.europa.eu/eli/reg/1999/659/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07458" TargetMode="External"/><Relationship Id="rId24" Type="http://schemas.openxmlformats.org/officeDocument/2006/relationships/hyperlink" Target="https://likumi.lv/ta/id/20745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likumi.lv/ta/id/207458" TargetMode="External"/><Relationship Id="rId23" Type="http://schemas.openxmlformats.org/officeDocument/2006/relationships/hyperlink" Target="https://m.likumi.lv/ta/id/207458" TargetMode="External"/><Relationship Id="rId28" Type="http://schemas.openxmlformats.org/officeDocument/2006/relationships/hyperlink" Target="http://eur-lex.europa.eu/eli/reg/1999/659/oj/?locale=LV" TargetMode="External"/><Relationship Id="rId10" Type="http://schemas.openxmlformats.org/officeDocument/2006/relationships/hyperlink" Target="https://m.likumi.lv/ta/id/207458" TargetMode="External"/><Relationship Id="rId19" Type="http://schemas.openxmlformats.org/officeDocument/2006/relationships/hyperlink" Target="https://m.likumi.lv/ta/id/20745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likumi.lv/ta/id/207458" TargetMode="External"/><Relationship Id="rId14" Type="http://schemas.openxmlformats.org/officeDocument/2006/relationships/hyperlink" Target="https://m.likumi.lv/ta/id/207458" TargetMode="External"/><Relationship Id="rId22" Type="http://schemas.openxmlformats.org/officeDocument/2006/relationships/hyperlink" Target="https://m.likumi.lv/ta/id/207458" TargetMode="External"/><Relationship Id="rId27" Type="http://schemas.openxmlformats.org/officeDocument/2006/relationships/hyperlink" Target="http://eur-lex.europa.eu/eli/reg/1999/659/oj/?locale=LV"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5FFE-8158-408B-81EC-40BC4356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41</Pages>
  <Words>60015</Words>
  <Characters>34210</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94037</CharactersWithSpaces>
  <SharedDoc>false</SharedDoc>
  <HLinks>
    <vt:vector size="180" baseType="variant">
      <vt:variant>
        <vt:i4>6422579</vt:i4>
      </vt:variant>
      <vt:variant>
        <vt:i4>87</vt:i4>
      </vt:variant>
      <vt:variant>
        <vt:i4>0</vt:i4>
      </vt:variant>
      <vt:variant>
        <vt:i4>5</vt:i4>
      </vt:variant>
      <vt:variant>
        <vt:lpwstr>http://eur-lex.europa.eu/eli/reg/1999/659/oj/?locale=LV</vt:lpwstr>
      </vt:variant>
      <vt:variant>
        <vt:lpwstr/>
      </vt:variant>
      <vt:variant>
        <vt:i4>6422579</vt:i4>
      </vt:variant>
      <vt:variant>
        <vt:i4>84</vt:i4>
      </vt:variant>
      <vt:variant>
        <vt:i4>0</vt:i4>
      </vt:variant>
      <vt:variant>
        <vt:i4>5</vt:i4>
      </vt:variant>
      <vt:variant>
        <vt:lpwstr>http://eur-lex.europa.eu/eli/reg/1999/659/oj/?locale=LV</vt:lpwstr>
      </vt:variant>
      <vt:variant>
        <vt:lpwstr/>
      </vt:variant>
      <vt:variant>
        <vt:i4>6422579</vt:i4>
      </vt:variant>
      <vt:variant>
        <vt:i4>81</vt:i4>
      </vt:variant>
      <vt:variant>
        <vt:i4>0</vt:i4>
      </vt:variant>
      <vt:variant>
        <vt:i4>5</vt:i4>
      </vt:variant>
      <vt:variant>
        <vt:lpwstr>http://eur-lex.europa.eu/eli/reg/1999/659/oj/?locale=LV</vt:lpwstr>
      </vt:variant>
      <vt:variant>
        <vt:lpwstr/>
      </vt:variant>
      <vt:variant>
        <vt:i4>983135</vt:i4>
      </vt:variant>
      <vt:variant>
        <vt:i4>78</vt:i4>
      </vt:variant>
      <vt:variant>
        <vt:i4>0</vt:i4>
      </vt:variant>
      <vt:variant>
        <vt:i4>5</vt:i4>
      </vt:variant>
      <vt:variant>
        <vt:lpwstr>https://m.likumi.lv/ta/id/189260</vt:lpwstr>
      </vt:variant>
      <vt:variant>
        <vt:lpwstr>p51.9</vt:lpwstr>
      </vt:variant>
      <vt:variant>
        <vt:i4>983135</vt:i4>
      </vt:variant>
      <vt:variant>
        <vt:i4>75</vt:i4>
      </vt:variant>
      <vt:variant>
        <vt:i4>0</vt:i4>
      </vt:variant>
      <vt:variant>
        <vt:i4>5</vt:i4>
      </vt:variant>
      <vt:variant>
        <vt:lpwstr>https://m.likumi.lv/ta/id/189260</vt:lpwstr>
      </vt:variant>
      <vt:variant>
        <vt:lpwstr>p51.8</vt:lpwstr>
      </vt:variant>
      <vt:variant>
        <vt:i4>6422579</vt:i4>
      </vt:variant>
      <vt:variant>
        <vt:i4>72</vt:i4>
      </vt:variant>
      <vt:variant>
        <vt:i4>0</vt:i4>
      </vt:variant>
      <vt:variant>
        <vt:i4>5</vt:i4>
      </vt:variant>
      <vt:variant>
        <vt:lpwstr>http://eur-lex.europa.eu/eli/reg/1999/659/oj/?locale=LV</vt:lpwstr>
      </vt:variant>
      <vt:variant>
        <vt:lpwstr/>
      </vt:variant>
      <vt:variant>
        <vt:i4>6422579</vt:i4>
      </vt:variant>
      <vt:variant>
        <vt:i4>69</vt:i4>
      </vt:variant>
      <vt:variant>
        <vt:i4>0</vt:i4>
      </vt:variant>
      <vt:variant>
        <vt:i4>5</vt:i4>
      </vt:variant>
      <vt:variant>
        <vt:lpwstr>http://eur-lex.europa.eu/eli/reg/1999/659/oj/?locale=LV</vt:lpwstr>
      </vt:variant>
      <vt:variant>
        <vt:lpwstr/>
      </vt:variant>
      <vt:variant>
        <vt:i4>6422579</vt:i4>
      </vt:variant>
      <vt:variant>
        <vt:i4>66</vt:i4>
      </vt:variant>
      <vt:variant>
        <vt:i4>0</vt:i4>
      </vt:variant>
      <vt:variant>
        <vt:i4>5</vt:i4>
      </vt:variant>
      <vt:variant>
        <vt:lpwstr>http://eur-lex.europa.eu/eli/reg/1999/659/oj/?locale=LV</vt:lpwstr>
      </vt:variant>
      <vt:variant>
        <vt:lpwstr/>
      </vt:variant>
      <vt:variant>
        <vt:i4>2556000</vt:i4>
      </vt:variant>
      <vt:variant>
        <vt:i4>63</vt:i4>
      </vt:variant>
      <vt:variant>
        <vt:i4>0</vt:i4>
      </vt:variant>
      <vt:variant>
        <vt:i4>5</vt:i4>
      </vt:variant>
      <vt:variant>
        <vt:lpwstr>https://m.likumi.lv/ta/id/207458</vt:lpwstr>
      </vt:variant>
      <vt:variant>
        <vt:lpwstr>p53</vt:lpwstr>
      </vt:variant>
      <vt:variant>
        <vt:i4>2359392</vt:i4>
      </vt:variant>
      <vt:variant>
        <vt:i4>60</vt:i4>
      </vt:variant>
      <vt:variant>
        <vt:i4>0</vt:i4>
      </vt:variant>
      <vt:variant>
        <vt:i4>5</vt:i4>
      </vt:variant>
      <vt:variant>
        <vt:lpwstr>https://m.likumi.lv/ta/id/207458</vt:lpwstr>
      </vt:variant>
      <vt:variant>
        <vt:lpwstr>p60</vt:lpwstr>
      </vt:variant>
      <vt:variant>
        <vt:i4>851981</vt:i4>
      </vt:variant>
      <vt:variant>
        <vt:i4>57</vt:i4>
      </vt:variant>
      <vt:variant>
        <vt:i4>0</vt:i4>
      </vt:variant>
      <vt:variant>
        <vt:i4>5</vt:i4>
      </vt:variant>
      <vt:variant>
        <vt:lpwstr>https://likumi.lv/ta/id/207458</vt:lpwstr>
      </vt:variant>
      <vt:variant>
        <vt:lpwstr>p14</vt:lpwstr>
      </vt:variant>
      <vt:variant>
        <vt:i4>1507333</vt:i4>
      </vt:variant>
      <vt:variant>
        <vt:i4>54</vt:i4>
      </vt:variant>
      <vt:variant>
        <vt:i4>0</vt:i4>
      </vt:variant>
      <vt:variant>
        <vt:i4>5</vt:i4>
      </vt:variant>
      <vt:variant>
        <vt:lpwstr>https://m.likumi.lv/ta/id/207458</vt:lpwstr>
      </vt:variant>
      <vt:variant>
        <vt:lpwstr>piel9</vt:lpwstr>
      </vt:variant>
      <vt:variant>
        <vt:i4>2359392</vt:i4>
      </vt:variant>
      <vt:variant>
        <vt:i4>51</vt:i4>
      </vt:variant>
      <vt:variant>
        <vt:i4>0</vt:i4>
      </vt:variant>
      <vt:variant>
        <vt:i4>5</vt:i4>
      </vt:variant>
      <vt:variant>
        <vt:lpwstr>https://m.likumi.lv/ta/id/207458</vt:lpwstr>
      </vt:variant>
      <vt:variant>
        <vt:lpwstr>p60</vt:lpwstr>
      </vt:variant>
      <vt:variant>
        <vt:i4>8323106</vt:i4>
      </vt:variant>
      <vt:variant>
        <vt:i4>48</vt:i4>
      </vt:variant>
      <vt:variant>
        <vt:i4>0</vt:i4>
      </vt:variant>
      <vt:variant>
        <vt:i4>5</vt:i4>
      </vt:variant>
      <vt:variant>
        <vt:lpwstr>https://m.likumi.lv/ta/id/207458</vt:lpwstr>
      </vt:variant>
      <vt:variant>
        <vt:lpwstr>p56.2%C2%A0</vt:lpwstr>
      </vt:variant>
      <vt:variant>
        <vt:i4>8323106</vt:i4>
      </vt:variant>
      <vt:variant>
        <vt:i4>45</vt:i4>
      </vt:variant>
      <vt:variant>
        <vt:i4>0</vt:i4>
      </vt:variant>
      <vt:variant>
        <vt:i4>5</vt:i4>
      </vt:variant>
      <vt:variant>
        <vt:lpwstr>https://m.likumi.lv/ta/id/207458</vt:lpwstr>
      </vt:variant>
      <vt:variant>
        <vt:lpwstr>p56.2%C2%A0</vt:lpwstr>
      </vt:variant>
      <vt:variant>
        <vt:i4>8323106</vt:i4>
      </vt:variant>
      <vt:variant>
        <vt:i4>42</vt:i4>
      </vt:variant>
      <vt:variant>
        <vt:i4>0</vt:i4>
      </vt:variant>
      <vt:variant>
        <vt:i4>5</vt:i4>
      </vt:variant>
      <vt:variant>
        <vt:lpwstr>https://m.likumi.lv/ta/id/207458</vt:lpwstr>
      </vt:variant>
      <vt:variant>
        <vt:lpwstr>p56.2%C2%A0</vt:lpwstr>
      </vt:variant>
      <vt:variant>
        <vt:i4>8323106</vt:i4>
      </vt:variant>
      <vt:variant>
        <vt:i4>39</vt:i4>
      </vt:variant>
      <vt:variant>
        <vt:i4>0</vt:i4>
      </vt:variant>
      <vt:variant>
        <vt:i4>5</vt:i4>
      </vt:variant>
      <vt:variant>
        <vt:lpwstr>https://m.likumi.lv/ta/id/207458</vt:lpwstr>
      </vt:variant>
      <vt:variant>
        <vt:lpwstr>p56.2%C2%A0</vt:lpwstr>
      </vt:variant>
      <vt:variant>
        <vt:i4>8323106</vt:i4>
      </vt:variant>
      <vt:variant>
        <vt:i4>36</vt:i4>
      </vt:variant>
      <vt:variant>
        <vt:i4>0</vt:i4>
      </vt:variant>
      <vt:variant>
        <vt:i4>5</vt:i4>
      </vt:variant>
      <vt:variant>
        <vt:lpwstr>https://m.likumi.lv/ta/id/207458</vt:lpwstr>
      </vt:variant>
      <vt:variant>
        <vt:lpwstr>p56.2%C2%A0</vt:lpwstr>
      </vt:variant>
      <vt:variant>
        <vt:i4>8323106</vt:i4>
      </vt:variant>
      <vt:variant>
        <vt:i4>33</vt:i4>
      </vt:variant>
      <vt:variant>
        <vt:i4>0</vt:i4>
      </vt:variant>
      <vt:variant>
        <vt:i4>5</vt:i4>
      </vt:variant>
      <vt:variant>
        <vt:lpwstr>https://m.likumi.lv/ta/id/207458</vt:lpwstr>
      </vt:variant>
      <vt:variant>
        <vt:lpwstr>p56.2%C2%A0</vt:lpwstr>
      </vt:variant>
      <vt:variant>
        <vt:i4>2359392</vt:i4>
      </vt:variant>
      <vt:variant>
        <vt:i4>30</vt:i4>
      </vt:variant>
      <vt:variant>
        <vt:i4>0</vt:i4>
      </vt:variant>
      <vt:variant>
        <vt:i4>5</vt:i4>
      </vt:variant>
      <vt:variant>
        <vt:lpwstr>https://m.likumi.lv/ta/id/207458</vt:lpwstr>
      </vt:variant>
      <vt:variant>
        <vt:lpwstr>p60</vt:lpwstr>
      </vt:variant>
      <vt:variant>
        <vt:i4>2359392</vt:i4>
      </vt:variant>
      <vt:variant>
        <vt:i4>27</vt:i4>
      </vt:variant>
      <vt:variant>
        <vt:i4>0</vt:i4>
      </vt:variant>
      <vt:variant>
        <vt:i4>5</vt:i4>
      </vt:variant>
      <vt:variant>
        <vt:lpwstr>https://m.likumi.lv/ta/id/207458</vt:lpwstr>
      </vt:variant>
      <vt:variant>
        <vt:lpwstr>p60</vt:lpwstr>
      </vt:variant>
      <vt:variant>
        <vt:i4>8323106</vt:i4>
      </vt:variant>
      <vt:variant>
        <vt:i4>24</vt:i4>
      </vt:variant>
      <vt:variant>
        <vt:i4>0</vt:i4>
      </vt:variant>
      <vt:variant>
        <vt:i4>5</vt:i4>
      </vt:variant>
      <vt:variant>
        <vt:lpwstr>https://m.likumi.lv/ta/id/207458</vt:lpwstr>
      </vt:variant>
      <vt:variant>
        <vt:lpwstr>p56.2%C2%A0</vt:lpwstr>
      </vt:variant>
      <vt:variant>
        <vt:i4>8323106</vt:i4>
      </vt:variant>
      <vt:variant>
        <vt:i4>21</vt:i4>
      </vt:variant>
      <vt:variant>
        <vt:i4>0</vt:i4>
      </vt:variant>
      <vt:variant>
        <vt:i4>5</vt:i4>
      </vt:variant>
      <vt:variant>
        <vt:lpwstr>https://m.likumi.lv/ta/id/207458</vt:lpwstr>
      </vt:variant>
      <vt:variant>
        <vt:lpwstr>p56.2%C2%A0</vt:lpwstr>
      </vt:variant>
      <vt:variant>
        <vt:i4>2556000</vt:i4>
      </vt:variant>
      <vt:variant>
        <vt:i4>18</vt:i4>
      </vt:variant>
      <vt:variant>
        <vt:i4>0</vt:i4>
      </vt:variant>
      <vt:variant>
        <vt:i4>5</vt:i4>
      </vt:variant>
      <vt:variant>
        <vt:lpwstr>https://m.likumi.lv/ta/id/207458</vt:lpwstr>
      </vt:variant>
      <vt:variant>
        <vt:lpwstr>p56</vt:lpwstr>
      </vt:variant>
      <vt:variant>
        <vt:i4>8323106</vt:i4>
      </vt:variant>
      <vt:variant>
        <vt:i4>15</vt:i4>
      </vt:variant>
      <vt:variant>
        <vt:i4>0</vt:i4>
      </vt:variant>
      <vt:variant>
        <vt:i4>5</vt:i4>
      </vt:variant>
      <vt:variant>
        <vt:lpwstr>https://m.likumi.lv/ta/id/207458</vt:lpwstr>
      </vt:variant>
      <vt:variant>
        <vt:lpwstr>p56.2%C2%A0</vt:lpwstr>
      </vt:variant>
      <vt:variant>
        <vt:i4>655441</vt:i4>
      </vt:variant>
      <vt:variant>
        <vt:i4>12</vt:i4>
      </vt:variant>
      <vt:variant>
        <vt:i4>0</vt:i4>
      </vt:variant>
      <vt:variant>
        <vt:i4>5</vt:i4>
      </vt:variant>
      <vt:variant>
        <vt:lpwstr>https://m.likumi.lv/ta/id/207458</vt:lpwstr>
      </vt:variant>
      <vt:variant>
        <vt:lpwstr>p61.2</vt:lpwstr>
      </vt:variant>
      <vt:variant>
        <vt:i4>655441</vt:i4>
      </vt:variant>
      <vt:variant>
        <vt:i4>9</vt:i4>
      </vt:variant>
      <vt:variant>
        <vt:i4>0</vt:i4>
      </vt:variant>
      <vt:variant>
        <vt:i4>5</vt:i4>
      </vt:variant>
      <vt:variant>
        <vt:lpwstr>https://m.likumi.lv/ta/id/207458</vt:lpwstr>
      </vt:variant>
      <vt:variant>
        <vt:lpwstr>p61.2</vt:lpwstr>
      </vt:variant>
      <vt:variant>
        <vt:i4>655441</vt:i4>
      </vt:variant>
      <vt:variant>
        <vt:i4>6</vt:i4>
      </vt:variant>
      <vt:variant>
        <vt:i4>0</vt:i4>
      </vt:variant>
      <vt:variant>
        <vt:i4>5</vt:i4>
      </vt:variant>
      <vt:variant>
        <vt:lpwstr>https://m.likumi.lv/ta/id/207458</vt:lpwstr>
      </vt:variant>
      <vt:variant>
        <vt:lpwstr>p61.2</vt:lpwstr>
      </vt:variant>
      <vt:variant>
        <vt:i4>2555956</vt:i4>
      </vt:variant>
      <vt:variant>
        <vt:i4>3</vt:i4>
      </vt:variant>
      <vt:variant>
        <vt:i4>0</vt:i4>
      </vt:variant>
      <vt:variant>
        <vt:i4>5</vt:i4>
      </vt:variant>
      <vt:variant>
        <vt:lpwstr>https://m.likumi.lv/ta/id/207458</vt:lpwstr>
      </vt:variant>
      <vt:variant>
        <vt:lpwstr>piel10</vt:lpwstr>
      </vt:variant>
      <vt:variant>
        <vt:i4>2555956</vt:i4>
      </vt:variant>
      <vt:variant>
        <vt:i4>0</vt:i4>
      </vt:variant>
      <vt:variant>
        <vt:i4>0</vt:i4>
      </vt:variant>
      <vt:variant>
        <vt:i4>5</vt:i4>
      </vt:variant>
      <vt:variant>
        <vt:lpwstr>https://m.likumi.lv/ta/id/207458</vt:lpwstr>
      </vt:variant>
      <vt:variant>
        <vt:lpwstr>piel10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cp:keywords/>
  <dc:description/>
  <cp:lastModifiedBy>Aivars Neimanis</cp:lastModifiedBy>
  <cp:revision>24</cp:revision>
  <cp:lastPrinted>2020-03-05T16:38:00Z</cp:lastPrinted>
  <dcterms:created xsi:type="dcterms:W3CDTF">2020-08-28T09:02:00Z</dcterms:created>
  <dcterms:modified xsi:type="dcterms:W3CDTF">2020-08-28T16:37:00Z</dcterms:modified>
</cp:coreProperties>
</file>