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3359" w14:textId="101242D5" w:rsidR="78C739C1" w:rsidRPr="004E4FBE" w:rsidRDefault="78C739C1" w:rsidP="004E4FBE">
      <w:pPr>
        <w:spacing w:after="120"/>
        <w:jc w:val="right"/>
        <w:rPr>
          <w:rFonts w:eastAsia="Times New Roman" w:cs="Times New Roman"/>
          <w:sz w:val="24"/>
          <w:szCs w:val="24"/>
        </w:rPr>
      </w:pPr>
      <w:r w:rsidRPr="004E4FBE">
        <w:rPr>
          <w:rFonts w:eastAsia="Times New Roman" w:cs="Times New Roman"/>
          <w:sz w:val="24"/>
          <w:szCs w:val="24"/>
        </w:rPr>
        <w:t xml:space="preserve">(Ministru kabineta </w:t>
      </w:r>
    </w:p>
    <w:p w14:paraId="6767ADAB" w14:textId="1533C5E1" w:rsidR="78C739C1" w:rsidRPr="004E4FBE" w:rsidRDefault="78C739C1" w:rsidP="004E4FBE">
      <w:pPr>
        <w:spacing w:after="120"/>
        <w:jc w:val="right"/>
        <w:rPr>
          <w:rFonts w:eastAsia="Times New Roman" w:cs="Times New Roman"/>
          <w:sz w:val="24"/>
          <w:szCs w:val="24"/>
        </w:rPr>
      </w:pPr>
      <w:r w:rsidRPr="004E4FBE">
        <w:rPr>
          <w:rFonts w:eastAsia="Times New Roman" w:cs="Times New Roman"/>
          <w:sz w:val="24"/>
          <w:szCs w:val="24"/>
        </w:rPr>
        <w:t>2020. gada</w:t>
      </w:r>
    </w:p>
    <w:p w14:paraId="001B08AB" w14:textId="7E3AFD42" w:rsidR="78C739C1" w:rsidRPr="004E4FBE" w:rsidRDefault="78C739C1" w:rsidP="004E4FBE">
      <w:pPr>
        <w:spacing w:after="120"/>
        <w:jc w:val="right"/>
        <w:rPr>
          <w:rFonts w:eastAsia="Times New Roman" w:cs="Times New Roman"/>
          <w:sz w:val="24"/>
          <w:szCs w:val="24"/>
        </w:rPr>
      </w:pPr>
      <w:r w:rsidRPr="004E4FBE">
        <w:rPr>
          <w:rFonts w:eastAsia="Times New Roman" w:cs="Times New Roman"/>
          <w:sz w:val="24"/>
          <w:szCs w:val="24"/>
        </w:rPr>
        <w:t>rīkojums Nr.)</w:t>
      </w:r>
    </w:p>
    <w:p w14:paraId="32D399D9" w14:textId="4D312F4C" w:rsidR="7DB12C65" w:rsidRPr="004E4FBE" w:rsidRDefault="7DB12C65" w:rsidP="004E4FBE">
      <w:pPr>
        <w:spacing w:after="120"/>
        <w:jc w:val="center"/>
        <w:rPr>
          <w:rFonts w:eastAsia="Times New Roman" w:cs="Times New Roman"/>
          <w:b/>
          <w:bCs/>
          <w:sz w:val="24"/>
          <w:szCs w:val="24"/>
        </w:rPr>
      </w:pPr>
    </w:p>
    <w:p w14:paraId="06E36766" w14:textId="08FB9B10" w:rsidR="7DB12C65" w:rsidRPr="004E4FBE" w:rsidRDefault="7DB12C65" w:rsidP="004E4FBE">
      <w:pPr>
        <w:spacing w:after="120"/>
        <w:jc w:val="center"/>
        <w:rPr>
          <w:rFonts w:eastAsia="Times New Roman" w:cs="Times New Roman"/>
          <w:b/>
          <w:bCs/>
          <w:sz w:val="24"/>
          <w:szCs w:val="24"/>
        </w:rPr>
      </w:pPr>
    </w:p>
    <w:p w14:paraId="49903265" w14:textId="0A2E8F0C" w:rsidR="7DB12C65" w:rsidRPr="004E4FBE" w:rsidRDefault="7DB12C65" w:rsidP="004E4FBE">
      <w:pPr>
        <w:spacing w:after="120"/>
        <w:jc w:val="center"/>
        <w:rPr>
          <w:rFonts w:eastAsia="Times New Roman" w:cs="Times New Roman"/>
          <w:b/>
          <w:bCs/>
          <w:sz w:val="24"/>
          <w:szCs w:val="24"/>
        </w:rPr>
      </w:pPr>
    </w:p>
    <w:p w14:paraId="1FB7EF2D" w14:textId="5436F415" w:rsidR="7DB12C65" w:rsidRPr="004E4FBE" w:rsidRDefault="7DB12C65" w:rsidP="004E4FBE">
      <w:pPr>
        <w:spacing w:after="120"/>
        <w:jc w:val="center"/>
        <w:rPr>
          <w:rFonts w:eastAsia="Times New Roman" w:cs="Times New Roman"/>
          <w:b/>
          <w:bCs/>
          <w:sz w:val="24"/>
          <w:szCs w:val="24"/>
        </w:rPr>
      </w:pPr>
    </w:p>
    <w:p w14:paraId="33429F55" w14:textId="5B2853FF" w:rsidR="7DB12C65" w:rsidRPr="004E4FBE" w:rsidRDefault="7DB12C65" w:rsidP="004E4FBE">
      <w:pPr>
        <w:spacing w:after="120"/>
        <w:jc w:val="center"/>
        <w:rPr>
          <w:rFonts w:eastAsia="Times New Roman" w:cs="Times New Roman"/>
          <w:b/>
          <w:bCs/>
          <w:sz w:val="28"/>
          <w:szCs w:val="28"/>
        </w:rPr>
      </w:pPr>
    </w:p>
    <w:p w14:paraId="237F15A3" w14:textId="2DDC3F54" w:rsidR="7DB12C65" w:rsidRPr="004E4FBE" w:rsidRDefault="7DB12C65" w:rsidP="004E4FBE">
      <w:pPr>
        <w:spacing w:after="120"/>
        <w:jc w:val="center"/>
        <w:rPr>
          <w:rFonts w:eastAsia="Times New Roman" w:cs="Times New Roman"/>
          <w:b/>
          <w:bCs/>
          <w:sz w:val="28"/>
          <w:szCs w:val="28"/>
        </w:rPr>
      </w:pPr>
      <w:bookmarkStart w:id="0" w:name="_Hlk48297606"/>
    </w:p>
    <w:p w14:paraId="6B7DC7EA" w14:textId="4E2E0041" w:rsidR="78C739C1" w:rsidRPr="004E4FBE" w:rsidRDefault="78C739C1" w:rsidP="004E4FBE">
      <w:pPr>
        <w:spacing w:after="120"/>
        <w:jc w:val="center"/>
        <w:rPr>
          <w:rFonts w:eastAsia="Times New Roman" w:cs="Times New Roman"/>
          <w:b/>
          <w:bCs/>
          <w:sz w:val="28"/>
          <w:szCs w:val="28"/>
        </w:rPr>
      </w:pPr>
      <w:r w:rsidRPr="004E4FBE">
        <w:rPr>
          <w:rFonts w:eastAsia="Times New Roman" w:cs="Times New Roman"/>
          <w:b/>
          <w:bCs/>
          <w:sz w:val="28"/>
          <w:szCs w:val="28"/>
        </w:rPr>
        <w:t>Konceptuāls ziņojums</w:t>
      </w:r>
    </w:p>
    <w:p w14:paraId="1D6EACC5" w14:textId="43CBAB8E" w:rsidR="7DB12C65" w:rsidRPr="004E4FBE" w:rsidRDefault="7DB12C65" w:rsidP="004E4FBE">
      <w:pPr>
        <w:spacing w:after="120"/>
        <w:jc w:val="center"/>
        <w:rPr>
          <w:rFonts w:eastAsia="Times New Roman" w:cs="Times New Roman"/>
          <w:b/>
          <w:bCs/>
          <w:sz w:val="28"/>
          <w:szCs w:val="28"/>
        </w:rPr>
      </w:pPr>
    </w:p>
    <w:p w14:paraId="2D76CACD" w14:textId="5ACEC8F0" w:rsidR="003366CD" w:rsidRPr="004E4FBE" w:rsidRDefault="003366CD" w:rsidP="004E4FBE">
      <w:pPr>
        <w:spacing w:after="120"/>
        <w:jc w:val="center"/>
        <w:rPr>
          <w:rFonts w:eastAsia="Times New Roman" w:cs="Times New Roman"/>
          <w:b/>
          <w:bCs/>
          <w:sz w:val="28"/>
          <w:szCs w:val="28"/>
        </w:rPr>
      </w:pPr>
      <w:r w:rsidRPr="004E4FBE">
        <w:rPr>
          <w:rFonts w:eastAsia="Times New Roman" w:cs="Times New Roman"/>
          <w:b/>
          <w:bCs/>
          <w:sz w:val="28"/>
          <w:szCs w:val="28"/>
        </w:rPr>
        <w:t>Kompleksi pasākumi obligātā iepirkuma komponentes problemātikas risināšanai un elektroenerģijas tirgus attīstībai</w:t>
      </w:r>
    </w:p>
    <w:bookmarkEnd w:id="0"/>
    <w:p w14:paraId="184DB9B1" w14:textId="19F2F546" w:rsidR="00502E1D" w:rsidRPr="004E4FBE" w:rsidRDefault="00502E1D" w:rsidP="004E4FBE">
      <w:pPr>
        <w:spacing w:after="120"/>
        <w:rPr>
          <w:rFonts w:eastAsia="Times New Roman" w:cs="Times New Roman"/>
          <w:sz w:val="24"/>
          <w:szCs w:val="24"/>
        </w:rPr>
      </w:pPr>
    </w:p>
    <w:p w14:paraId="465B3A1F" w14:textId="045FB9C4" w:rsidR="4D7EFBA2" w:rsidRPr="004E4FBE" w:rsidRDefault="4D7EFBA2" w:rsidP="004E4FBE">
      <w:pPr>
        <w:spacing w:after="120"/>
        <w:rPr>
          <w:rFonts w:eastAsia="Times New Roman" w:cs="Times New Roman"/>
          <w:sz w:val="24"/>
          <w:szCs w:val="24"/>
        </w:rPr>
      </w:pPr>
    </w:p>
    <w:p w14:paraId="59ED8635" w14:textId="0C32B024" w:rsidR="4D7EFBA2" w:rsidRPr="004E4FBE" w:rsidRDefault="4D7EFBA2" w:rsidP="004E4FBE">
      <w:pPr>
        <w:spacing w:after="120"/>
        <w:rPr>
          <w:rFonts w:eastAsia="Times New Roman" w:cs="Times New Roman"/>
          <w:sz w:val="24"/>
          <w:szCs w:val="24"/>
        </w:rPr>
      </w:pPr>
    </w:p>
    <w:p w14:paraId="75CCB53F" w14:textId="0830A601" w:rsidR="4D7EFBA2" w:rsidRPr="004E4FBE" w:rsidRDefault="4D7EFBA2" w:rsidP="004E4FBE">
      <w:pPr>
        <w:spacing w:after="120"/>
        <w:rPr>
          <w:rFonts w:eastAsia="Times New Roman" w:cs="Times New Roman"/>
          <w:sz w:val="24"/>
          <w:szCs w:val="24"/>
        </w:rPr>
      </w:pPr>
    </w:p>
    <w:p w14:paraId="67DD5168" w14:textId="37ECD168" w:rsidR="4D7EFBA2" w:rsidRPr="004E4FBE" w:rsidRDefault="4D7EFBA2" w:rsidP="004E4FBE">
      <w:pPr>
        <w:spacing w:after="120"/>
        <w:rPr>
          <w:rFonts w:eastAsia="Times New Roman" w:cs="Times New Roman"/>
          <w:sz w:val="24"/>
          <w:szCs w:val="24"/>
        </w:rPr>
      </w:pPr>
    </w:p>
    <w:p w14:paraId="06E59127" w14:textId="37FFFD10" w:rsidR="4D7EFBA2" w:rsidRPr="004E4FBE" w:rsidRDefault="4D7EFBA2" w:rsidP="004E4FBE">
      <w:pPr>
        <w:spacing w:after="120"/>
        <w:rPr>
          <w:rFonts w:eastAsia="Times New Roman" w:cs="Times New Roman"/>
          <w:sz w:val="24"/>
          <w:szCs w:val="24"/>
        </w:rPr>
      </w:pPr>
    </w:p>
    <w:p w14:paraId="02FC6D23" w14:textId="7F5ADFFE" w:rsidR="4D7EFBA2" w:rsidRPr="004E4FBE" w:rsidRDefault="4D7EFBA2" w:rsidP="004E4FBE">
      <w:pPr>
        <w:spacing w:after="120"/>
        <w:rPr>
          <w:rFonts w:eastAsia="Times New Roman" w:cs="Times New Roman"/>
          <w:sz w:val="24"/>
          <w:szCs w:val="24"/>
        </w:rPr>
      </w:pPr>
    </w:p>
    <w:p w14:paraId="564A380B" w14:textId="1A6EF3A6" w:rsidR="4D7EFBA2" w:rsidRPr="004E4FBE" w:rsidRDefault="4D7EFBA2" w:rsidP="004E4FBE">
      <w:pPr>
        <w:spacing w:after="120"/>
        <w:rPr>
          <w:rFonts w:eastAsia="Times New Roman" w:cs="Times New Roman"/>
          <w:sz w:val="24"/>
          <w:szCs w:val="24"/>
        </w:rPr>
      </w:pPr>
    </w:p>
    <w:p w14:paraId="11A92F21" w14:textId="0B0477DD" w:rsidR="4D7EFBA2" w:rsidRPr="004E4FBE" w:rsidRDefault="4D7EFBA2" w:rsidP="004E4FBE">
      <w:pPr>
        <w:spacing w:after="120"/>
        <w:rPr>
          <w:rFonts w:eastAsia="Times New Roman" w:cs="Times New Roman"/>
          <w:sz w:val="24"/>
          <w:szCs w:val="24"/>
        </w:rPr>
      </w:pPr>
    </w:p>
    <w:p w14:paraId="73AEE955" w14:textId="4B6F8DB4" w:rsidR="4D7EFBA2" w:rsidRPr="004E4FBE" w:rsidRDefault="4D7EFBA2" w:rsidP="004E4FBE">
      <w:pPr>
        <w:spacing w:after="120"/>
        <w:rPr>
          <w:rFonts w:eastAsia="Times New Roman" w:cs="Times New Roman"/>
          <w:sz w:val="24"/>
          <w:szCs w:val="24"/>
        </w:rPr>
      </w:pPr>
    </w:p>
    <w:p w14:paraId="6B652D7F" w14:textId="67C2D04F" w:rsidR="4D7EFBA2" w:rsidRPr="004E4FBE" w:rsidRDefault="4D7EFBA2" w:rsidP="004E4FBE">
      <w:pPr>
        <w:spacing w:after="120"/>
        <w:rPr>
          <w:rFonts w:eastAsia="Times New Roman" w:cs="Times New Roman"/>
          <w:sz w:val="24"/>
          <w:szCs w:val="24"/>
        </w:rPr>
      </w:pPr>
    </w:p>
    <w:p w14:paraId="23D8277D" w14:textId="4ECBF7C5" w:rsidR="4D7EFBA2" w:rsidRPr="004E4FBE" w:rsidRDefault="4D7EFBA2" w:rsidP="004E4FBE">
      <w:pPr>
        <w:spacing w:after="120"/>
        <w:rPr>
          <w:rFonts w:eastAsia="Times New Roman" w:cs="Times New Roman"/>
          <w:sz w:val="24"/>
          <w:szCs w:val="24"/>
        </w:rPr>
      </w:pPr>
    </w:p>
    <w:p w14:paraId="61EFA8CC" w14:textId="669E2D40" w:rsidR="4D7EFBA2" w:rsidRPr="004E4FBE" w:rsidRDefault="4D7EFBA2" w:rsidP="004E4FBE">
      <w:pPr>
        <w:spacing w:after="120"/>
        <w:rPr>
          <w:rFonts w:eastAsia="Times New Roman" w:cs="Times New Roman"/>
          <w:sz w:val="24"/>
          <w:szCs w:val="24"/>
        </w:rPr>
      </w:pPr>
    </w:p>
    <w:p w14:paraId="506E9975" w14:textId="669E2D40" w:rsidR="002C3965" w:rsidRPr="004E4FBE" w:rsidRDefault="002C3965" w:rsidP="004E4FBE">
      <w:pPr>
        <w:spacing w:after="120"/>
        <w:rPr>
          <w:rFonts w:eastAsia="Times New Roman" w:cs="Times New Roman"/>
          <w:sz w:val="24"/>
          <w:szCs w:val="24"/>
        </w:rPr>
      </w:pPr>
    </w:p>
    <w:p w14:paraId="6E048AEC" w14:textId="669E2D40" w:rsidR="002C3965" w:rsidRPr="004E4FBE" w:rsidRDefault="002C3965" w:rsidP="004E4FBE">
      <w:pPr>
        <w:spacing w:after="120"/>
        <w:rPr>
          <w:rFonts w:eastAsia="Times New Roman" w:cs="Times New Roman"/>
          <w:sz w:val="24"/>
          <w:szCs w:val="24"/>
        </w:rPr>
      </w:pPr>
    </w:p>
    <w:p w14:paraId="56D2BC3F" w14:textId="669E2D40" w:rsidR="002C3965" w:rsidRPr="004E4FBE" w:rsidRDefault="002C3965" w:rsidP="004E4FBE">
      <w:pPr>
        <w:spacing w:after="120"/>
        <w:rPr>
          <w:rFonts w:eastAsia="Times New Roman" w:cs="Times New Roman"/>
          <w:sz w:val="24"/>
          <w:szCs w:val="24"/>
        </w:rPr>
      </w:pPr>
    </w:p>
    <w:p w14:paraId="47E93370" w14:textId="669E2D40" w:rsidR="002C3965" w:rsidRPr="004E4FBE" w:rsidRDefault="002C3965" w:rsidP="004E4FBE">
      <w:pPr>
        <w:spacing w:after="120"/>
        <w:rPr>
          <w:rFonts w:eastAsia="Times New Roman" w:cs="Times New Roman"/>
          <w:sz w:val="24"/>
          <w:szCs w:val="24"/>
        </w:rPr>
      </w:pPr>
    </w:p>
    <w:p w14:paraId="0815B8B4" w14:textId="669E2D40" w:rsidR="002C3965" w:rsidRPr="004E4FBE" w:rsidRDefault="002C3965" w:rsidP="004E4FBE">
      <w:pPr>
        <w:spacing w:after="120"/>
        <w:rPr>
          <w:rFonts w:eastAsia="Times New Roman" w:cs="Times New Roman"/>
          <w:sz w:val="24"/>
          <w:szCs w:val="24"/>
        </w:rPr>
      </w:pPr>
    </w:p>
    <w:p w14:paraId="04CE984B" w14:textId="669E2D40" w:rsidR="002C3965" w:rsidRPr="004E4FBE" w:rsidRDefault="002C3965" w:rsidP="004E4FBE">
      <w:pPr>
        <w:spacing w:after="120"/>
        <w:rPr>
          <w:rFonts w:eastAsia="Times New Roman" w:cs="Times New Roman"/>
          <w:sz w:val="24"/>
          <w:szCs w:val="24"/>
        </w:rPr>
      </w:pPr>
    </w:p>
    <w:p w14:paraId="328C6E0A" w14:textId="669E2D40" w:rsidR="002C3965" w:rsidRPr="004E4FBE" w:rsidRDefault="002C3965" w:rsidP="004E4FBE">
      <w:pPr>
        <w:spacing w:after="120"/>
        <w:rPr>
          <w:rFonts w:eastAsia="Times New Roman" w:cs="Times New Roman"/>
          <w:sz w:val="24"/>
          <w:szCs w:val="24"/>
        </w:rPr>
      </w:pPr>
    </w:p>
    <w:p w14:paraId="6C22374F" w14:textId="352D896D" w:rsidR="4D7EFBA2" w:rsidRPr="004E4FBE" w:rsidRDefault="005A27D0" w:rsidP="004E4FBE">
      <w:pPr>
        <w:spacing w:after="120"/>
        <w:jc w:val="center"/>
        <w:rPr>
          <w:rFonts w:eastAsia="Times New Roman" w:cs="Times New Roman"/>
          <w:b/>
          <w:bCs/>
          <w:sz w:val="24"/>
          <w:szCs w:val="24"/>
        </w:rPr>
      </w:pPr>
      <w:r w:rsidRPr="004E4FBE">
        <w:rPr>
          <w:rFonts w:eastAsia="Times New Roman" w:cs="Times New Roman"/>
          <w:b/>
          <w:bCs/>
          <w:sz w:val="24"/>
          <w:szCs w:val="24"/>
        </w:rPr>
        <w:t>2020</w:t>
      </w:r>
    </w:p>
    <w:p w14:paraId="77A6DA2B" w14:textId="6B17A7E1" w:rsidR="031E0B3E" w:rsidRPr="004E4FBE" w:rsidRDefault="031E0B3E" w:rsidP="004E4FBE">
      <w:pPr>
        <w:pStyle w:val="Heading1"/>
        <w:numPr>
          <w:ilvl w:val="0"/>
          <w:numId w:val="0"/>
        </w:numPr>
        <w:spacing w:before="0" w:after="120"/>
        <w:jc w:val="center"/>
        <w:rPr>
          <w:rFonts w:ascii="Times New Roman" w:eastAsia="Times New Roman" w:hAnsi="Times New Roman" w:cs="Times New Roman"/>
          <w:b/>
          <w:bCs/>
          <w:color w:val="auto"/>
          <w:sz w:val="24"/>
          <w:szCs w:val="24"/>
        </w:rPr>
      </w:pPr>
      <w:bookmarkStart w:id="1" w:name="_Toc51576929"/>
      <w:r w:rsidRPr="004E4FBE">
        <w:rPr>
          <w:rFonts w:ascii="Times New Roman" w:eastAsia="Times New Roman" w:hAnsi="Times New Roman" w:cs="Times New Roman"/>
          <w:b/>
          <w:bCs/>
          <w:color w:val="auto"/>
          <w:sz w:val="24"/>
          <w:szCs w:val="24"/>
        </w:rPr>
        <w:lastRenderedPageBreak/>
        <w:t>Saturs</w:t>
      </w:r>
      <w:bookmarkEnd w:id="1"/>
    </w:p>
    <w:sdt>
      <w:sdtPr>
        <w:rPr>
          <w:rFonts w:ascii="Times New Roman" w:eastAsiaTheme="minorHAnsi" w:hAnsi="Times New Roman" w:cstheme="minorBidi"/>
          <w:color w:val="auto"/>
          <w:sz w:val="26"/>
          <w:szCs w:val="22"/>
          <w:lang w:val="lv-LV"/>
        </w:rPr>
        <w:id w:val="-1440753894"/>
        <w:docPartObj>
          <w:docPartGallery w:val="Table of Contents"/>
          <w:docPartUnique/>
        </w:docPartObj>
      </w:sdtPr>
      <w:sdtEndPr>
        <w:rPr>
          <w:b/>
          <w:bCs/>
          <w:noProof/>
        </w:rPr>
      </w:sdtEndPr>
      <w:sdtContent>
        <w:p w14:paraId="46D0B161" w14:textId="7E10D278" w:rsidR="00472665" w:rsidRPr="004E4FBE" w:rsidRDefault="00472665" w:rsidP="004E4FBE">
          <w:pPr>
            <w:pStyle w:val="TOCHeading"/>
            <w:spacing w:before="0" w:after="120" w:line="240" w:lineRule="auto"/>
            <w:rPr>
              <w:color w:val="auto"/>
            </w:rPr>
          </w:pPr>
        </w:p>
        <w:p w14:paraId="3ED205DA" w14:textId="3A525988" w:rsidR="0058152C" w:rsidRDefault="00472665">
          <w:pPr>
            <w:pStyle w:val="TOC1"/>
            <w:tabs>
              <w:tab w:val="right" w:leader="dot" w:pos="9061"/>
            </w:tabs>
            <w:rPr>
              <w:rFonts w:asciiTheme="minorHAnsi" w:eastAsiaTheme="minorEastAsia" w:hAnsiTheme="minorHAnsi"/>
              <w:noProof/>
              <w:sz w:val="22"/>
              <w:lang w:eastAsia="lv-LV"/>
            </w:rPr>
          </w:pPr>
          <w:r w:rsidRPr="004E4FBE">
            <w:fldChar w:fldCharType="begin"/>
          </w:r>
          <w:r w:rsidRPr="004E4FBE">
            <w:instrText xml:space="preserve"> TOC \o "1-3" \h \z \u </w:instrText>
          </w:r>
          <w:r w:rsidRPr="004E4FBE">
            <w:fldChar w:fldCharType="separate"/>
          </w:r>
          <w:hyperlink w:anchor="_Toc51576929" w:history="1">
            <w:r w:rsidR="0058152C" w:rsidRPr="007019D5">
              <w:rPr>
                <w:rStyle w:val="Hyperlink"/>
                <w:rFonts w:eastAsia="Times New Roman" w:cs="Times New Roman"/>
                <w:b/>
                <w:bCs/>
                <w:noProof/>
              </w:rPr>
              <w:t>Saturs</w:t>
            </w:r>
            <w:r w:rsidR="0058152C">
              <w:rPr>
                <w:noProof/>
                <w:webHidden/>
              </w:rPr>
              <w:tab/>
            </w:r>
            <w:r w:rsidR="0058152C">
              <w:rPr>
                <w:noProof/>
                <w:webHidden/>
              </w:rPr>
              <w:fldChar w:fldCharType="begin"/>
            </w:r>
            <w:r w:rsidR="0058152C">
              <w:rPr>
                <w:noProof/>
                <w:webHidden/>
              </w:rPr>
              <w:instrText xml:space="preserve"> PAGEREF _Toc51576929 \h </w:instrText>
            </w:r>
            <w:r w:rsidR="0058152C">
              <w:rPr>
                <w:noProof/>
                <w:webHidden/>
              </w:rPr>
            </w:r>
            <w:r w:rsidR="0058152C">
              <w:rPr>
                <w:noProof/>
                <w:webHidden/>
              </w:rPr>
              <w:fldChar w:fldCharType="separate"/>
            </w:r>
            <w:r w:rsidR="0058152C">
              <w:rPr>
                <w:noProof/>
                <w:webHidden/>
              </w:rPr>
              <w:t>2</w:t>
            </w:r>
            <w:r w:rsidR="0058152C">
              <w:rPr>
                <w:noProof/>
                <w:webHidden/>
              </w:rPr>
              <w:fldChar w:fldCharType="end"/>
            </w:r>
          </w:hyperlink>
        </w:p>
        <w:p w14:paraId="1A374315" w14:textId="04D200F4" w:rsidR="0058152C" w:rsidRDefault="00322B1A">
          <w:pPr>
            <w:pStyle w:val="TOC1"/>
            <w:tabs>
              <w:tab w:val="right" w:leader="dot" w:pos="9061"/>
            </w:tabs>
            <w:rPr>
              <w:rFonts w:asciiTheme="minorHAnsi" w:eastAsiaTheme="minorEastAsia" w:hAnsiTheme="minorHAnsi"/>
              <w:noProof/>
              <w:sz w:val="22"/>
              <w:lang w:eastAsia="lv-LV"/>
            </w:rPr>
          </w:pPr>
          <w:hyperlink w:anchor="_Toc51576930" w:history="1">
            <w:r w:rsidR="0058152C" w:rsidRPr="007019D5">
              <w:rPr>
                <w:rStyle w:val="Hyperlink"/>
                <w:rFonts w:eastAsia="Times New Roman" w:cs="Times New Roman"/>
                <w:b/>
                <w:bCs/>
                <w:noProof/>
              </w:rPr>
              <w:t>Kopsavilkums</w:t>
            </w:r>
            <w:r w:rsidR="0058152C">
              <w:rPr>
                <w:noProof/>
                <w:webHidden/>
              </w:rPr>
              <w:tab/>
            </w:r>
            <w:r w:rsidR="0058152C">
              <w:rPr>
                <w:noProof/>
                <w:webHidden/>
              </w:rPr>
              <w:fldChar w:fldCharType="begin"/>
            </w:r>
            <w:r w:rsidR="0058152C">
              <w:rPr>
                <w:noProof/>
                <w:webHidden/>
              </w:rPr>
              <w:instrText xml:space="preserve"> PAGEREF _Toc51576930 \h </w:instrText>
            </w:r>
            <w:r w:rsidR="0058152C">
              <w:rPr>
                <w:noProof/>
                <w:webHidden/>
              </w:rPr>
            </w:r>
            <w:r w:rsidR="0058152C">
              <w:rPr>
                <w:noProof/>
                <w:webHidden/>
              </w:rPr>
              <w:fldChar w:fldCharType="separate"/>
            </w:r>
            <w:r w:rsidR="0058152C">
              <w:rPr>
                <w:noProof/>
                <w:webHidden/>
              </w:rPr>
              <w:t>3</w:t>
            </w:r>
            <w:r w:rsidR="0058152C">
              <w:rPr>
                <w:noProof/>
                <w:webHidden/>
              </w:rPr>
              <w:fldChar w:fldCharType="end"/>
            </w:r>
          </w:hyperlink>
        </w:p>
        <w:p w14:paraId="551529A9" w14:textId="0BF78AC9" w:rsidR="0058152C" w:rsidRDefault="00322B1A">
          <w:pPr>
            <w:pStyle w:val="TOC1"/>
            <w:tabs>
              <w:tab w:val="left" w:pos="440"/>
              <w:tab w:val="right" w:leader="dot" w:pos="9061"/>
            </w:tabs>
            <w:rPr>
              <w:rFonts w:asciiTheme="minorHAnsi" w:eastAsiaTheme="minorEastAsia" w:hAnsiTheme="minorHAnsi"/>
              <w:noProof/>
              <w:sz w:val="22"/>
              <w:lang w:eastAsia="lv-LV"/>
            </w:rPr>
          </w:pPr>
          <w:hyperlink w:anchor="_Toc51576931" w:history="1">
            <w:r w:rsidR="0058152C" w:rsidRPr="007019D5">
              <w:rPr>
                <w:rStyle w:val="Hyperlink"/>
                <w:rFonts w:eastAsia="Times New Roman" w:cs="Times New Roman"/>
                <w:b/>
                <w:bCs/>
                <w:noProof/>
              </w:rPr>
              <w:t>1.</w:t>
            </w:r>
            <w:r w:rsidR="0058152C">
              <w:rPr>
                <w:rFonts w:asciiTheme="minorHAnsi" w:eastAsiaTheme="minorEastAsia" w:hAnsiTheme="minorHAnsi"/>
                <w:noProof/>
                <w:sz w:val="22"/>
                <w:lang w:eastAsia="lv-LV"/>
              </w:rPr>
              <w:tab/>
            </w:r>
            <w:r w:rsidR="0058152C" w:rsidRPr="007019D5">
              <w:rPr>
                <w:rStyle w:val="Hyperlink"/>
                <w:rFonts w:eastAsia="Times New Roman" w:cs="Times New Roman"/>
                <w:b/>
                <w:bCs/>
                <w:noProof/>
              </w:rPr>
              <w:t>Esošās situācijas raksturojums</w:t>
            </w:r>
            <w:r w:rsidR="0058152C">
              <w:rPr>
                <w:noProof/>
                <w:webHidden/>
              </w:rPr>
              <w:tab/>
            </w:r>
            <w:r w:rsidR="0058152C">
              <w:rPr>
                <w:noProof/>
                <w:webHidden/>
              </w:rPr>
              <w:fldChar w:fldCharType="begin"/>
            </w:r>
            <w:r w:rsidR="0058152C">
              <w:rPr>
                <w:noProof/>
                <w:webHidden/>
              </w:rPr>
              <w:instrText xml:space="preserve"> PAGEREF _Toc51576931 \h </w:instrText>
            </w:r>
            <w:r w:rsidR="0058152C">
              <w:rPr>
                <w:noProof/>
                <w:webHidden/>
              </w:rPr>
            </w:r>
            <w:r w:rsidR="0058152C">
              <w:rPr>
                <w:noProof/>
                <w:webHidden/>
              </w:rPr>
              <w:fldChar w:fldCharType="separate"/>
            </w:r>
            <w:r w:rsidR="0058152C">
              <w:rPr>
                <w:noProof/>
                <w:webHidden/>
              </w:rPr>
              <w:t>4</w:t>
            </w:r>
            <w:r w:rsidR="0058152C">
              <w:rPr>
                <w:noProof/>
                <w:webHidden/>
              </w:rPr>
              <w:fldChar w:fldCharType="end"/>
            </w:r>
          </w:hyperlink>
        </w:p>
        <w:p w14:paraId="27EC189B" w14:textId="2A51AEA8" w:rsidR="0058152C" w:rsidRDefault="00322B1A">
          <w:pPr>
            <w:pStyle w:val="TOC2"/>
            <w:tabs>
              <w:tab w:val="left" w:pos="880"/>
              <w:tab w:val="right" w:leader="dot" w:pos="9061"/>
            </w:tabs>
            <w:rPr>
              <w:rFonts w:asciiTheme="minorHAnsi" w:eastAsiaTheme="minorEastAsia" w:hAnsiTheme="minorHAnsi"/>
              <w:noProof/>
              <w:sz w:val="22"/>
              <w:lang w:eastAsia="lv-LV"/>
            </w:rPr>
          </w:pPr>
          <w:hyperlink w:anchor="_Toc51576932" w:history="1">
            <w:r w:rsidR="0058152C" w:rsidRPr="007019D5">
              <w:rPr>
                <w:rStyle w:val="Hyperlink"/>
                <w:rFonts w:eastAsia="Times New Roman" w:cs="Times New Roman"/>
                <w:b/>
                <w:bCs/>
                <w:noProof/>
              </w:rPr>
              <w:t>1.1.</w:t>
            </w:r>
            <w:r w:rsidR="0058152C">
              <w:rPr>
                <w:rFonts w:asciiTheme="minorHAnsi" w:eastAsiaTheme="minorEastAsia" w:hAnsiTheme="minorHAnsi"/>
                <w:noProof/>
                <w:sz w:val="22"/>
                <w:lang w:eastAsia="lv-LV"/>
              </w:rPr>
              <w:tab/>
            </w:r>
            <w:r w:rsidR="0058152C" w:rsidRPr="007019D5">
              <w:rPr>
                <w:rStyle w:val="Hyperlink"/>
                <w:rFonts w:eastAsia="Times New Roman" w:cs="Times New Roman"/>
                <w:b/>
                <w:bCs/>
                <w:noProof/>
              </w:rPr>
              <w:t>Atbalsts elektroenerģijas ražošanai un obligātā iepirkuma komponente</w:t>
            </w:r>
            <w:r w:rsidR="0058152C">
              <w:rPr>
                <w:noProof/>
                <w:webHidden/>
              </w:rPr>
              <w:tab/>
            </w:r>
            <w:r w:rsidR="0058152C">
              <w:rPr>
                <w:noProof/>
                <w:webHidden/>
              </w:rPr>
              <w:fldChar w:fldCharType="begin"/>
            </w:r>
            <w:r w:rsidR="0058152C">
              <w:rPr>
                <w:noProof/>
                <w:webHidden/>
              </w:rPr>
              <w:instrText xml:space="preserve"> PAGEREF _Toc51576932 \h </w:instrText>
            </w:r>
            <w:r w:rsidR="0058152C">
              <w:rPr>
                <w:noProof/>
                <w:webHidden/>
              </w:rPr>
            </w:r>
            <w:r w:rsidR="0058152C">
              <w:rPr>
                <w:noProof/>
                <w:webHidden/>
              </w:rPr>
              <w:fldChar w:fldCharType="separate"/>
            </w:r>
            <w:r w:rsidR="0058152C">
              <w:rPr>
                <w:noProof/>
                <w:webHidden/>
              </w:rPr>
              <w:t>4</w:t>
            </w:r>
            <w:r w:rsidR="0058152C">
              <w:rPr>
                <w:noProof/>
                <w:webHidden/>
              </w:rPr>
              <w:fldChar w:fldCharType="end"/>
            </w:r>
          </w:hyperlink>
        </w:p>
        <w:p w14:paraId="2778AE7A" w14:textId="7C211248" w:rsidR="0058152C" w:rsidRDefault="00322B1A">
          <w:pPr>
            <w:pStyle w:val="TOC2"/>
            <w:tabs>
              <w:tab w:val="left" w:pos="880"/>
              <w:tab w:val="right" w:leader="dot" w:pos="9061"/>
            </w:tabs>
            <w:rPr>
              <w:rFonts w:asciiTheme="minorHAnsi" w:eastAsiaTheme="minorEastAsia" w:hAnsiTheme="minorHAnsi"/>
              <w:noProof/>
              <w:sz w:val="22"/>
              <w:lang w:eastAsia="lv-LV"/>
            </w:rPr>
          </w:pPr>
          <w:hyperlink w:anchor="_Toc51576933" w:history="1">
            <w:r w:rsidR="0058152C" w:rsidRPr="007019D5">
              <w:rPr>
                <w:rStyle w:val="Hyperlink"/>
                <w:rFonts w:eastAsia="Times New Roman" w:cs="Times New Roman"/>
                <w:b/>
                <w:bCs/>
                <w:noProof/>
              </w:rPr>
              <w:t>1.2.</w:t>
            </w:r>
            <w:r w:rsidR="0058152C">
              <w:rPr>
                <w:rFonts w:asciiTheme="minorHAnsi" w:eastAsiaTheme="minorEastAsia" w:hAnsiTheme="minorHAnsi"/>
                <w:noProof/>
                <w:sz w:val="22"/>
                <w:lang w:eastAsia="lv-LV"/>
              </w:rPr>
              <w:tab/>
            </w:r>
            <w:r w:rsidR="0058152C" w:rsidRPr="007019D5">
              <w:rPr>
                <w:rStyle w:val="Hyperlink"/>
                <w:rFonts w:eastAsia="Times New Roman" w:cs="Times New Roman"/>
                <w:b/>
                <w:bCs/>
                <w:noProof/>
              </w:rPr>
              <w:t>Avansa maksājums jaudas maksājuma kompensācijai</w:t>
            </w:r>
            <w:r w:rsidR="0058152C">
              <w:rPr>
                <w:noProof/>
                <w:webHidden/>
              </w:rPr>
              <w:tab/>
            </w:r>
            <w:r w:rsidR="0058152C">
              <w:rPr>
                <w:noProof/>
                <w:webHidden/>
              </w:rPr>
              <w:fldChar w:fldCharType="begin"/>
            </w:r>
            <w:r w:rsidR="0058152C">
              <w:rPr>
                <w:noProof/>
                <w:webHidden/>
              </w:rPr>
              <w:instrText xml:space="preserve"> PAGEREF _Toc51576933 \h </w:instrText>
            </w:r>
            <w:r w:rsidR="0058152C">
              <w:rPr>
                <w:noProof/>
                <w:webHidden/>
              </w:rPr>
            </w:r>
            <w:r w:rsidR="0058152C">
              <w:rPr>
                <w:noProof/>
                <w:webHidden/>
              </w:rPr>
              <w:fldChar w:fldCharType="separate"/>
            </w:r>
            <w:r w:rsidR="0058152C">
              <w:rPr>
                <w:noProof/>
                <w:webHidden/>
              </w:rPr>
              <w:t>6</w:t>
            </w:r>
            <w:r w:rsidR="0058152C">
              <w:rPr>
                <w:noProof/>
                <w:webHidden/>
              </w:rPr>
              <w:fldChar w:fldCharType="end"/>
            </w:r>
          </w:hyperlink>
        </w:p>
        <w:p w14:paraId="5BCA52B0" w14:textId="449C86BD" w:rsidR="0058152C" w:rsidRDefault="00322B1A">
          <w:pPr>
            <w:pStyle w:val="TOC2"/>
            <w:tabs>
              <w:tab w:val="left" w:pos="880"/>
              <w:tab w:val="right" w:leader="dot" w:pos="9061"/>
            </w:tabs>
            <w:rPr>
              <w:rFonts w:asciiTheme="minorHAnsi" w:eastAsiaTheme="minorEastAsia" w:hAnsiTheme="minorHAnsi"/>
              <w:noProof/>
              <w:sz w:val="22"/>
              <w:lang w:eastAsia="lv-LV"/>
            </w:rPr>
          </w:pPr>
          <w:hyperlink w:anchor="_Toc51576934" w:history="1">
            <w:r w:rsidR="0058152C" w:rsidRPr="007019D5">
              <w:rPr>
                <w:rStyle w:val="Hyperlink"/>
                <w:rFonts w:eastAsia="Times New Roman" w:cs="Times New Roman"/>
                <w:b/>
                <w:bCs/>
                <w:noProof/>
              </w:rPr>
              <w:t>1.3.</w:t>
            </w:r>
            <w:r w:rsidR="0058152C">
              <w:rPr>
                <w:rFonts w:asciiTheme="minorHAnsi" w:eastAsiaTheme="minorEastAsia" w:hAnsiTheme="minorHAnsi"/>
                <w:noProof/>
                <w:sz w:val="22"/>
                <w:lang w:eastAsia="lv-LV"/>
              </w:rPr>
              <w:tab/>
            </w:r>
            <w:r w:rsidR="0058152C" w:rsidRPr="007019D5">
              <w:rPr>
                <w:rStyle w:val="Hyperlink"/>
                <w:rFonts w:eastAsia="Times New Roman" w:cs="Times New Roman"/>
                <w:b/>
                <w:bCs/>
                <w:noProof/>
              </w:rPr>
              <w:t>Atbalsts energoietilpīgiem apstrādes rūpniecības uzņēmumiem</w:t>
            </w:r>
            <w:r w:rsidR="0058152C">
              <w:rPr>
                <w:noProof/>
                <w:webHidden/>
              </w:rPr>
              <w:tab/>
            </w:r>
            <w:r w:rsidR="0058152C">
              <w:rPr>
                <w:noProof/>
                <w:webHidden/>
              </w:rPr>
              <w:fldChar w:fldCharType="begin"/>
            </w:r>
            <w:r w:rsidR="0058152C">
              <w:rPr>
                <w:noProof/>
                <w:webHidden/>
              </w:rPr>
              <w:instrText xml:space="preserve"> PAGEREF _Toc51576934 \h </w:instrText>
            </w:r>
            <w:r w:rsidR="0058152C">
              <w:rPr>
                <w:noProof/>
                <w:webHidden/>
              </w:rPr>
            </w:r>
            <w:r w:rsidR="0058152C">
              <w:rPr>
                <w:noProof/>
                <w:webHidden/>
              </w:rPr>
              <w:fldChar w:fldCharType="separate"/>
            </w:r>
            <w:r w:rsidR="0058152C">
              <w:rPr>
                <w:noProof/>
                <w:webHidden/>
              </w:rPr>
              <w:t>7</w:t>
            </w:r>
            <w:r w:rsidR="0058152C">
              <w:rPr>
                <w:noProof/>
                <w:webHidden/>
              </w:rPr>
              <w:fldChar w:fldCharType="end"/>
            </w:r>
          </w:hyperlink>
        </w:p>
        <w:p w14:paraId="7BD31801" w14:textId="61D2B416" w:rsidR="0058152C" w:rsidRDefault="00322B1A">
          <w:pPr>
            <w:pStyle w:val="TOC2"/>
            <w:tabs>
              <w:tab w:val="left" w:pos="880"/>
              <w:tab w:val="right" w:leader="dot" w:pos="9061"/>
            </w:tabs>
            <w:rPr>
              <w:rFonts w:asciiTheme="minorHAnsi" w:eastAsiaTheme="minorEastAsia" w:hAnsiTheme="minorHAnsi"/>
              <w:noProof/>
              <w:sz w:val="22"/>
              <w:lang w:eastAsia="lv-LV"/>
            </w:rPr>
          </w:pPr>
          <w:hyperlink w:anchor="_Toc51576935" w:history="1">
            <w:r w:rsidR="0058152C" w:rsidRPr="007019D5">
              <w:rPr>
                <w:rStyle w:val="Hyperlink"/>
                <w:rFonts w:eastAsia="Times New Roman" w:cs="Times New Roman"/>
                <w:b/>
                <w:bCs/>
                <w:noProof/>
              </w:rPr>
              <w:t>1.4.</w:t>
            </w:r>
            <w:r w:rsidR="0058152C">
              <w:rPr>
                <w:rFonts w:asciiTheme="minorHAnsi" w:eastAsiaTheme="minorEastAsia" w:hAnsiTheme="minorHAnsi"/>
                <w:noProof/>
                <w:sz w:val="22"/>
                <w:lang w:eastAsia="lv-LV"/>
              </w:rPr>
              <w:tab/>
            </w:r>
            <w:r w:rsidR="0058152C" w:rsidRPr="007019D5">
              <w:rPr>
                <w:rStyle w:val="Hyperlink"/>
                <w:rFonts w:eastAsia="Times New Roman" w:cs="Times New Roman"/>
                <w:b/>
                <w:bCs/>
                <w:noProof/>
              </w:rPr>
              <w:t>Atbalsts aizsargātajiem lietotājiem</w:t>
            </w:r>
            <w:r w:rsidR="0058152C">
              <w:rPr>
                <w:noProof/>
                <w:webHidden/>
              </w:rPr>
              <w:tab/>
            </w:r>
            <w:r w:rsidR="0058152C">
              <w:rPr>
                <w:noProof/>
                <w:webHidden/>
              </w:rPr>
              <w:fldChar w:fldCharType="begin"/>
            </w:r>
            <w:r w:rsidR="0058152C">
              <w:rPr>
                <w:noProof/>
                <w:webHidden/>
              </w:rPr>
              <w:instrText xml:space="preserve"> PAGEREF _Toc51576935 \h </w:instrText>
            </w:r>
            <w:r w:rsidR="0058152C">
              <w:rPr>
                <w:noProof/>
                <w:webHidden/>
              </w:rPr>
            </w:r>
            <w:r w:rsidR="0058152C">
              <w:rPr>
                <w:noProof/>
                <w:webHidden/>
              </w:rPr>
              <w:fldChar w:fldCharType="separate"/>
            </w:r>
            <w:r w:rsidR="0058152C">
              <w:rPr>
                <w:noProof/>
                <w:webHidden/>
              </w:rPr>
              <w:t>8</w:t>
            </w:r>
            <w:r w:rsidR="0058152C">
              <w:rPr>
                <w:noProof/>
                <w:webHidden/>
              </w:rPr>
              <w:fldChar w:fldCharType="end"/>
            </w:r>
          </w:hyperlink>
        </w:p>
        <w:p w14:paraId="6C4CD80B" w14:textId="06611734" w:rsidR="0058152C" w:rsidRDefault="00322B1A">
          <w:pPr>
            <w:pStyle w:val="TOC1"/>
            <w:tabs>
              <w:tab w:val="left" w:pos="440"/>
              <w:tab w:val="right" w:leader="dot" w:pos="9061"/>
            </w:tabs>
            <w:rPr>
              <w:rFonts w:asciiTheme="minorHAnsi" w:eastAsiaTheme="minorEastAsia" w:hAnsiTheme="minorHAnsi"/>
              <w:noProof/>
              <w:sz w:val="22"/>
              <w:lang w:eastAsia="lv-LV"/>
            </w:rPr>
          </w:pPr>
          <w:hyperlink w:anchor="_Toc51576936" w:history="1">
            <w:r w:rsidR="0058152C" w:rsidRPr="007019D5">
              <w:rPr>
                <w:rStyle w:val="Hyperlink"/>
                <w:rFonts w:cs="Times New Roman"/>
                <w:b/>
                <w:bCs/>
                <w:noProof/>
              </w:rPr>
              <w:t>2.</w:t>
            </w:r>
            <w:r w:rsidR="0058152C">
              <w:rPr>
                <w:rFonts w:asciiTheme="minorHAnsi" w:eastAsiaTheme="minorEastAsia" w:hAnsiTheme="minorHAnsi"/>
                <w:noProof/>
                <w:sz w:val="22"/>
                <w:lang w:eastAsia="lv-LV"/>
              </w:rPr>
              <w:tab/>
            </w:r>
            <w:r w:rsidR="0058152C" w:rsidRPr="007019D5">
              <w:rPr>
                <w:rStyle w:val="Hyperlink"/>
                <w:rFonts w:cs="Times New Roman"/>
                <w:b/>
                <w:bCs/>
                <w:noProof/>
              </w:rPr>
              <w:t>Valsts pētījumu programmas “Enerģētika”  un citu pētījumu īstenošana NEKP mērķu sasniegšanai</w:t>
            </w:r>
            <w:r w:rsidR="0058152C">
              <w:rPr>
                <w:noProof/>
                <w:webHidden/>
              </w:rPr>
              <w:tab/>
            </w:r>
            <w:r w:rsidR="0058152C">
              <w:rPr>
                <w:noProof/>
                <w:webHidden/>
              </w:rPr>
              <w:fldChar w:fldCharType="begin"/>
            </w:r>
            <w:r w:rsidR="0058152C">
              <w:rPr>
                <w:noProof/>
                <w:webHidden/>
              </w:rPr>
              <w:instrText xml:space="preserve"> PAGEREF _Toc51576936 \h </w:instrText>
            </w:r>
            <w:r w:rsidR="0058152C">
              <w:rPr>
                <w:noProof/>
                <w:webHidden/>
              </w:rPr>
            </w:r>
            <w:r w:rsidR="0058152C">
              <w:rPr>
                <w:noProof/>
                <w:webHidden/>
              </w:rPr>
              <w:fldChar w:fldCharType="separate"/>
            </w:r>
            <w:r w:rsidR="0058152C">
              <w:rPr>
                <w:noProof/>
                <w:webHidden/>
              </w:rPr>
              <w:t>9</w:t>
            </w:r>
            <w:r w:rsidR="0058152C">
              <w:rPr>
                <w:noProof/>
                <w:webHidden/>
              </w:rPr>
              <w:fldChar w:fldCharType="end"/>
            </w:r>
          </w:hyperlink>
        </w:p>
        <w:p w14:paraId="5B091D99" w14:textId="2B7272C9" w:rsidR="0058152C" w:rsidRDefault="00322B1A">
          <w:pPr>
            <w:pStyle w:val="TOC1"/>
            <w:tabs>
              <w:tab w:val="left" w:pos="440"/>
              <w:tab w:val="right" w:leader="dot" w:pos="9061"/>
            </w:tabs>
            <w:rPr>
              <w:rFonts w:asciiTheme="minorHAnsi" w:eastAsiaTheme="minorEastAsia" w:hAnsiTheme="minorHAnsi"/>
              <w:noProof/>
              <w:sz w:val="22"/>
              <w:lang w:eastAsia="lv-LV"/>
            </w:rPr>
          </w:pPr>
          <w:hyperlink w:anchor="_Toc51576937" w:history="1">
            <w:r w:rsidR="0058152C" w:rsidRPr="007019D5">
              <w:rPr>
                <w:rStyle w:val="Hyperlink"/>
                <w:rFonts w:cs="Times New Roman"/>
                <w:b/>
                <w:bCs/>
                <w:noProof/>
              </w:rPr>
              <w:t>3.</w:t>
            </w:r>
            <w:r w:rsidR="0058152C">
              <w:rPr>
                <w:rFonts w:asciiTheme="minorHAnsi" w:eastAsiaTheme="minorEastAsia" w:hAnsiTheme="minorHAnsi"/>
                <w:noProof/>
                <w:sz w:val="22"/>
                <w:lang w:eastAsia="lv-LV"/>
              </w:rPr>
              <w:tab/>
            </w:r>
            <w:r w:rsidR="0058152C" w:rsidRPr="007019D5">
              <w:rPr>
                <w:rStyle w:val="Hyperlink"/>
                <w:rFonts w:cs="Times New Roman"/>
                <w:b/>
                <w:bCs/>
                <w:noProof/>
              </w:rPr>
              <w:t>Risinājumi</w:t>
            </w:r>
            <w:r w:rsidR="0058152C">
              <w:rPr>
                <w:noProof/>
                <w:webHidden/>
              </w:rPr>
              <w:tab/>
            </w:r>
            <w:r w:rsidR="0058152C">
              <w:rPr>
                <w:noProof/>
                <w:webHidden/>
              </w:rPr>
              <w:fldChar w:fldCharType="begin"/>
            </w:r>
            <w:r w:rsidR="0058152C">
              <w:rPr>
                <w:noProof/>
                <w:webHidden/>
              </w:rPr>
              <w:instrText xml:space="preserve"> PAGEREF _Toc51576937 \h </w:instrText>
            </w:r>
            <w:r w:rsidR="0058152C">
              <w:rPr>
                <w:noProof/>
                <w:webHidden/>
              </w:rPr>
            </w:r>
            <w:r w:rsidR="0058152C">
              <w:rPr>
                <w:noProof/>
                <w:webHidden/>
              </w:rPr>
              <w:fldChar w:fldCharType="separate"/>
            </w:r>
            <w:r w:rsidR="0058152C">
              <w:rPr>
                <w:noProof/>
                <w:webHidden/>
              </w:rPr>
              <w:t>11</w:t>
            </w:r>
            <w:r w:rsidR="0058152C">
              <w:rPr>
                <w:noProof/>
                <w:webHidden/>
              </w:rPr>
              <w:fldChar w:fldCharType="end"/>
            </w:r>
          </w:hyperlink>
        </w:p>
        <w:p w14:paraId="07C15D50" w14:textId="6A422ED1" w:rsidR="0058152C" w:rsidRDefault="00322B1A">
          <w:pPr>
            <w:pStyle w:val="TOC2"/>
            <w:tabs>
              <w:tab w:val="left" w:pos="880"/>
              <w:tab w:val="right" w:leader="dot" w:pos="9061"/>
            </w:tabs>
            <w:rPr>
              <w:rFonts w:asciiTheme="minorHAnsi" w:eastAsiaTheme="minorEastAsia" w:hAnsiTheme="minorHAnsi"/>
              <w:noProof/>
              <w:sz w:val="22"/>
              <w:lang w:eastAsia="lv-LV"/>
            </w:rPr>
          </w:pPr>
          <w:hyperlink w:anchor="_Toc51576938" w:history="1">
            <w:r w:rsidR="0058152C" w:rsidRPr="007019D5">
              <w:rPr>
                <w:rStyle w:val="Hyperlink"/>
                <w:rFonts w:cs="Times New Roman"/>
                <w:b/>
                <w:bCs/>
                <w:noProof/>
              </w:rPr>
              <w:t>3.1.</w:t>
            </w:r>
            <w:r w:rsidR="0058152C">
              <w:rPr>
                <w:rFonts w:asciiTheme="minorHAnsi" w:eastAsiaTheme="minorEastAsia" w:hAnsiTheme="minorHAnsi"/>
                <w:noProof/>
                <w:sz w:val="22"/>
                <w:lang w:eastAsia="lv-LV"/>
              </w:rPr>
              <w:tab/>
            </w:r>
            <w:r w:rsidR="0058152C" w:rsidRPr="007019D5">
              <w:rPr>
                <w:rStyle w:val="Hyperlink"/>
                <w:rFonts w:cs="Times New Roman"/>
                <w:b/>
                <w:bCs/>
                <w:noProof/>
              </w:rPr>
              <w:t>OIK pieauguma scenārijs</w:t>
            </w:r>
            <w:r w:rsidR="0058152C">
              <w:rPr>
                <w:noProof/>
                <w:webHidden/>
              </w:rPr>
              <w:tab/>
            </w:r>
            <w:r w:rsidR="0058152C">
              <w:rPr>
                <w:noProof/>
                <w:webHidden/>
              </w:rPr>
              <w:fldChar w:fldCharType="begin"/>
            </w:r>
            <w:r w:rsidR="0058152C">
              <w:rPr>
                <w:noProof/>
                <w:webHidden/>
              </w:rPr>
              <w:instrText xml:space="preserve"> PAGEREF _Toc51576938 \h </w:instrText>
            </w:r>
            <w:r w:rsidR="0058152C">
              <w:rPr>
                <w:noProof/>
                <w:webHidden/>
              </w:rPr>
            </w:r>
            <w:r w:rsidR="0058152C">
              <w:rPr>
                <w:noProof/>
                <w:webHidden/>
              </w:rPr>
              <w:fldChar w:fldCharType="separate"/>
            </w:r>
            <w:r w:rsidR="0058152C">
              <w:rPr>
                <w:noProof/>
                <w:webHidden/>
              </w:rPr>
              <w:t>11</w:t>
            </w:r>
            <w:r w:rsidR="0058152C">
              <w:rPr>
                <w:noProof/>
                <w:webHidden/>
              </w:rPr>
              <w:fldChar w:fldCharType="end"/>
            </w:r>
          </w:hyperlink>
        </w:p>
        <w:p w14:paraId="20257AAA" w14:textId="33B7DB2A" w:rsidR="0058152C" w:rsidRDefault="00322B1A">
          <w:pPr>
            <w:pStyle w:val="TOC2"/>
            <w:tabs>
              <w:tab w:val="left" w:pos="880"/>
              <w:tab w:val="right" w:leader="dot" w:pos="9061"/>
            </w:tabs>
            <w:rPr>
              <w:rFonts w:asciiTheme="minorHAnsi" w:eastAsiaTheme="minorEastAsia" w:hAnsiTheme="minorHAnsi"/>
              <w:noProof/>
              <w:sz w:val="22"/>
              <w:lang w:eastAsia="lv-LV"/>
            </w:rPr>
          </w:pPr>
          <w:hyperlink w:anchor="_Toc51576939" w:history="1">
            <w:r w:rsidR="0058152C" w:rsidRPr="007019D5">
              <w:rPr>
                <w:rStyle w:val="Hyperlink"/>
                <w:rFonts w:cs="Times New Roman"/>
                <w:b/>
                <w:bCs/>
                <w:noProof/>
              </w:rPr>
              <w:t>3.2.</w:t>
            </w:r>
            <w:r w:rsidR="0058152C">
              <w:rPr>
                <w:rFonts w:asciiTheme="minorHAnsi" w:eastAsiaTheme="minorEastAsia" w:hAnsiTheme="minorHAnsi"/>
                <w:noProof/>
                <w:sz w:val="22"/>
                <w:lang w:eastAsia="lv-LV"/>
              </w:rPr>
              <w:tab/>
            </w:r>
            <w:r w:rsidR="0058152C" w:rsidRPr="007019D5">
              <w:rPr>
                <w:rStyle w:val="Hyperlink"/>
                <w:rFonts w:cs="Times New Roman"/>
                <w:b/>
                <w:bCs/>
                <w:noProof/>
              </w:rPr>
              <w:t>OIK noturēšanas scenārijs līdzšinējā apmērā</w:t>
            </w:r>
            <w:r w:rsidR="0058152C">
              <w:rPr>
                <w:noProof/>
                <w:webHidden/>
              </w:rPr>
              <w:tab/>
            </w:r>
            <w:r w:rsidR="0058152C">
              <w:rPr>
                <w:noProof/>
                <w:webHidden/>
              </w:rPr>
              <w:fldChar w:fldCharType="begin"/>
            </w:r>
            <w:r w:rsidR="0058152C">
              <w:rPr>
                <w:noProof/>
                <w:webHidden/>
              </w:rPr>
              <w:instrText xml:space="preserve"> PAGEREF _Toc51576939 \h </w:instrText>
            </w:r>
            <w:r w:rsidR="0058152C">
              <w:rPr>
                <w:noProof/>
                <w:webHidden/>
              </w:rPr>
            </w:r>
            <w:r w:rsidR="0058152C">
              <w:rPr>
                <w:noProof/>
                <w:webHidden/>
              </w:rPr>
              <w:fldChar w:fldCharType="separate"/>
            </w:r>
            <w:r w:rsidR="0058152C">
              <w:rPr>
                <w:noProof/>
                <w:webHidden/>
              </w:rPr>
              <w:t>12</w:t>
            </w:r>
            <w:r w:rsidR="0058152C">
              <w:rPr>
                <w:noProof/>
                <w:webHidden/>
              </w:rPr>
              <w:fldChar w:fldCharType="end"/>
            </w:r>
          </w:hyperlink>
        </w:p>
        <w:p w14:paraId="58DF92DD" w14:textId="6410B2E3" w:rsidR="0058152C" w:rsidRDefault="00322B1A">
          <w:pPr>
            <w:pStyle w:val="TOC2"/>
            <w:tabs>
              <w:tab w:val="left" w:pos="880"/>
              <w:tab w:val="right" w:leader="dot" w:pos="9061"/>
            </w:tabs>
            <w:rPr>
              <w:rFonts w:asciiTheme="minorHAnsi" w:eastAsiaTheme="minorEastAsia" w:hAnsiTheme="minorHAnsi"/>
              <w:noProof/>
              <w:sz w:val="22"/>
              <w:lang w:eastAsia="lv-LV"/>
            </w:rPr>
          </w:pPr>
          <w:hyperlink w:anchor="_Toc51576940" w:history="1">
            <w:r w:rsidR="0058152C" w:rsidRPr="007019D5">
              <w:rPr>
                <w:rStyle w:val="Hyperlink"/>
                <w:rFonts w:cs="Times New Roman"/>
                <w:b/>
                <w:bCs/>
                <w:noProof/>
              </w:rPr>
              <w:t>3.3.</w:t>
            </w:r>
            <w:r w:rsidR="0058152C">
              <w:rPr>
                <w:rFonts w:asciiTheme="minorHAnsi" w:eastAsiaTheme="minorEastAsia" w:hAnsiTheme="minorHAnsi"/>
                <w:noProof/>
                <w:sz w:val="22"/>
                <w:lang w:eastAsia="lv-LV"/>
              </w:rPr>
              <w:tab/>
            </w:r>
            <w:r w:rsidR="0058152C" w:rsidRPr="007019D5">
              <w:rPr>
                <w:rStyle w:val="Hyperlink"/>
                <w:rFonts w:cs="Times New Roman"/>
                <w:b/>
                <w:bCs/>
                <w:noProof/>
              </w:rPr>
              <w:t>OIK samazināšanas scenārijs</w:t>
            </w:r>
            <w:r w:rsidR="0058152C">
              <w:rPr>
                <w:noProof/>
                <w:webHidden/>
              </w:rPr>
              <w:tab/>
            </w:r>
            <w:r w:rsidR="0058152C">
              <w:rPr>
                <w:noProof/>
                <w:webHidden/>
              </w:rPr>
              <w:fldChar w:fldCharType="begin"/>
            </w:r>
            <w:r w:rsidR="0058152C">
              <w:rPr>
                <w:noProof/>
                <w:webHidden/>
              </w:rPr>
              <w:instrText xml:space="preserve"> PAGEREF _Toc51576940 \h </w:instrText>
            </w:r>
            <w:r w:rsidR="0058152C">
              <w:rPr>
                <w:noProof/>
                <w:webHidden/>
              </w:rPr>
            </w:r>
            <w:r w:rsidR="0058152C">
              <w:rPr>
                <w:noProof/>
                <w:webHidden/>
              </w:rPr>
              <w:fldChar w:fldCharType="separate"/>
            </w:r>
            <w:r w:rsidR="0058152C">
              <w:rPr>
                <w:noProof/>
                <w:webHidden/>
              </w:rPr>
              <w:t>14</w:t>
            </w:r>
            <w:r w:rsidR="0058152C">
              <w:rPr>
                <w:noProof/>
                <w:webHidden/>
              </w:rPr>
              <w:fldChar w:fldCharType="end"/>
            </w:r>
          </w:hyperlink>
        </w:p>
        <w:p w14:paraId="14121097" w14:textId="3F050D10" w:rsidR="0058152C" w:rsidRDefault="00322B1A">
          <w:pPr>
            <w:pStyle w:val="TOC2"/>
            <w:tabs>
              <w:tab w:val="left" w:pos="880"/>
              <w:tab w:val="right" w:leader="dot" w:pos="9061"/>
            </w:tabs>
            <w:rPr>
              <w:rFonts w:asciiTheme="minorHAnsi" w:eastAsiaTheme="minorEastAsia" w:hAnsiTheme="minorHAnsi"/>
              <w:noProof/>
              <w:sz w:val="22"/>
              <w:lang w:eastAsia="lv-LV"/>
            </w:rPr>
          </w:pPr>
          <w:hyperlink w:anchor="_Toc51576941" w:history="1">
            <w:r w:rsidR="0058152C" w:rsidRPr="007019D5">
              <w:rPr>
                <w:rStyle w:val="Hyperlink"/>
                <w:b/>
                <w:bCs/>
                <w:noProof/>
              </w:rPr>
              <w:t>3.4.</w:t>
            </w:r>
            <w:r w:rsidR="0058152C">
              <w:rPr>
                <w:rFonts w:asciiTheme="minorHAnsi" w:eastAsiaTheme="minorEastAsia" w:hAnsiTheme="minorHAnsi"/>
                <w:noProof/>
                <w:sz w:val="22"/>
                <w:lang w:eastAsia="lv-LV"/>
              </w:rPr>
              <w:tab/>
            </w:r>
            <w:r w:rsidR="0058152C" w:rsidRPr="007019D5">
              <w:rPr>
                <w:rStyle w:val="Hyperlink"/>
                <w:rFonts w:cs="Times New Roman"/>
                <w:b/>
                <w:bCs/>
                <w:noProof/>
              </w:rPr>
              <w:t>OIK atce</w:t>
            </w:r>
            <w:r w:rsidR="0058152C" w:rsidRPr="007019D5">
              <w:rPr>
                <w:rStyle w:val="Hyperlink"/>
                <w:rFonts w:eastAsia="Times New Roman" w:cs="Times New Roman"/>
                <w:b/>
                <w:bCs/>
                <w:noProof/>
              </w:rPr>
              <w:t>lšanas no patērētāju rēķiniem scenā</w:t>
            </w:r>
            <w:r w:rsidR="0058152C" w:rsidRPr="007019D5">
              <w:rPr>
                <w:rStyle w:val="Hyperlink"/>
                <w:rFonts w:cs="Times New Roman"/>
                <w:b/>
                <w:bCs/>
                <w:noProof/>
              </w:rPr>
              <w:t>rijs</w:t>
            </w:r>
            <w:r w:rsidR="0058152C">
              <w:rPr>
                <w:noProof/>
                <w:webHidden/>
              </w:rPr>
              <w:tab/>
            </w:r>
            <w:r w:rsidR="0058152C">
              <w:rPr>
                <w:noProof/>
                <w:webHidden/>
              </w:rPr>
              <w:fldChar w:fldCharType="begin"/>
            </w:r>
            <w:r w:rsidR="0058152C">
              <w:rPr>
                <w:noProof/>
                <w:webHidden/>
              </w:rPr>
              <w:instrText xml:space="preserve"> PAGEREF _Toc51576941 \h </w:instrText>
            </w:r>
            <w:r w:rsidR="0058152C">
              <w:rPr>
                <w:noProof/>
                <w:webHidden/>
              </w:rPr>
            </w:r>
            <w:r w:rsidR="0058152C">
              <w:rPr>
                <w:noProof/>
                <w:webHidden/>
              </w:rPr>
              <w:fldChar w:fldCharType="separate"/>
            </w:r>
            <w:r w:rsidR="0058152C">
              <w:rPr>
                <w:noProof/>
                <w:webHidden/>
              </w:rPr>
              <w:t>15</w:t>
            </w:r>
            <w:r w:rsidR="0058152C">
              <w:rPr>
                <w:noProof/>
                <w:webHidden/>
              </w:rPr>
              <w:fldChar w:fldCharType="end"/>
            </w:r>
          </w:hyperlink>
        </w:p>
        <w:p w14:paraId="14131E57" w14:textId="2C5D4774" w:rsidR="0058152C" w:rsidRDefault="00322B1A">
          <w:pPr>
            <w:pStyle w:val="TOC2"/>
            <w:tabs>
              <w:tab w:val="left" w:pos="880"/>
              <w:tab w:val="right" w:leader="dot" w:pos="9061"/>
            </w:tabs>
            <w:rPr>
              <w:rFonts w:asciiTheme="minorHAnsi" w:eastAsiaTheme="minorEastAsia" w:hAnsiTheme="minorHAnsi"/>
              <w:noProof/>
              <w:sz w:val="22"/>
              <w:lang w:eastAsia="lv-LV"/>
            </w:rPr>
          </w:pPr>
          <w:hyperlink w:anchor="_Toc51576942" w:history="1">
            <w:r w:rsidR="0058152C" w:rsidRPr="007019D5">
              <w:rPr>
                <w:rStyle w:val="Hyperlink"/>
                <w:rFonts w:cs="Times New Roman"/>
                <w:b/>
                <w:bCs/>
                <w:noProof/>
                <w:lang w:eastAsia="lv-LV"/>
              </w:rPr>
              <w:t>3.5.</w:t>
            </w:r>
            <w:r w:rsidR="0058152C">
              <w:rPr>
                <w:rFonts w:asciiTheme="minorHAnsi" w:eastAsiaTheme="minorEastAsia" w:hAnsiTheme="minorHAnsi"/>
                <w:noProof/>
                <w:sz w:val="22"/>
                <w:lang w:eastAsia="lv-LV"/>
              </w:rPr>
              <w:tab/>
            </w:r>
            <w:r w:rsidR="0058152C" w:rsidRPr="007019D5">
              <w:rPr>
                <w:rStyle w:val="Hyperlink"/>
                <w:rFonts w:cs="Times New Roman"/>
                <w:b/>
                <w:bCs/>
                <w:noProof/>
                <w:lang w:eastAsia="lv-LV"/>
              </w:rPr>
              <w:t>OIK pakāpenisks mazināšanas scenārijs</w:t>
            </w:r>
            <w:r w:rsidR="0058152C">
              <w:rPr>
                <w:noProof/>
                <w:webHidden/>
              </w:rPr>
              <w:tab/>
            </w:r>
            <w:r w:rsidR="0058152C">
              <w:rPr>
                <w:noProof/>
                <w:webHidden/>
              </w:rPr>
              <w:fldChar w:fldCharType="begin"/>
            </w:r>
            <w:r w:rsidR="0058152C">
              <w:rPr>
                <w:noProof/>
                <w:webHidden/>
              </w:rPr>
              <w:instrText xml:space="preserve"> PAGEREF _Toc51576942 \h </w:instrText>
            </w:r>
            <w:r w:rsidR="0058152C">
              <w:rPr>
                <w:noProof/>
                <w:webHidden/>
              </w:rPr>
            </w:r>
            <w:r w:rsidR="0058152C">
              <w:rPr>
                <w:noProof/>
                <w:webHidden/>
              </w:rPr>
              <w:fldChar w:fldCharType="separate"/>
            </w:r>
            <w:r w:rsidR="0058152C">
              <w:rPr>
                <w:noProof/>
                <w:webHidden/>
              </w:rPr>
              <w:t>17</w:t>
            </w:r>
            <w:r w:rsidR="0058152C">
              <w:rPr>
                <w:noProof/>
                <w:webHidden/>
              </w:rPr>
              <w:fldChar w:fldCharType="end"/>
            </w:r>
          </w:hyperlink>
        </w:p>
        <w:p w14:paraId="3C7FACE6" w14:textId="404E66D3" w:rsidR="0058152C" w:rsidRDefault="00322B1A">
          <w:pPr>
            <w:pStyle w:val="TOC1"/>
            <w:tabs>
              <w:tab w:val="right" w:leader="dot" w:pos="9061"/>
            </w:tabs>
            <w:rPr>
              <w:rFonts w:asciiTheme="minorHAnsi" w:eastAsiaTheme="minorEastAsia" w:hAnsiTheme="minorHAnsi"/>
              <w:noProof/>
              <w:sz w:val="22"/>
              <w:lang w:eastAsia="lv-LV"/>
            </w:rPr>
          </w:pPr>
          <w:hyperlink w:anchor="_Toc51576943" w:history="1">
            <w:r w:rsidR="0058152C" w:rsidRPr="007019D5">
              <w:rPr>
                <w:rStyle w:val="Hyperlink"/>
                <w:rFonts w:cs="Times New Roman"/>
                <w:b/>
                <w:bCs/>
                <w:noProof/>
              </w:rPr>
              <w:t>Secinājumi</w:t>
            </w:r>
            <w:r w:rsidR="0058152C">
              <w:rPr>
                <w:noProof/>
                <w:webHidden/>
              </w:rPr>
              <w:tab/>
            </w:r>
            <w:r w:rsidR="0058152C">
              <w:rPr>
                <w:noProof/>
                <w:webHidden/>
              </w:rPr>
              <w:fldChar w:fldCharType="begin"/>
            </w:r>
            <w:r w:rsidR="0058152C">
              <w:rPr>
                <w:noProof/>
                <w:webHidden/>
              </w:rPr>
              <w:instrText xml:space="preserve"> PAGEREF _Toc51576943 \h </w:instrText>
            </w:r>
            <w:r w:rsidR="0058152C">
              <w:rPr>
                <w:noProof/>
                <w:webHidden/>
              </w:rPr>
            </w:r>
            <w:r w:rsidR="0058152C">
              <w:rPr>
                <w:noProof/>
                <w:webHidden/>
              </w:rPr>
              <w:fldChar w:fldCharType="separate"/>
            </w:r>
            <w:r w:rsidR="0058152C">
              <w:rPr>
                <w:noProof/>
                <w:webHidden/>
              </w:rPr>
              <w:t>18</w:t>
            </w:r>
            <w:r w:rsidR="0058152C">
              <w:rPr>
                <w:noProof/>
                <w:webHidden/>
              </w:rPr>
              <w:fldChar w:fldCharType="end"/>
            </w:r>
          </w:hyperlink>
        </w:p>
        <w:p w14:paraId="4F31B911" w14:textId="02467FF0" w:rsidR="00472665" w:rsidRPr="004E4FBE" w:rsidRDefault="00472665" w:rsidP="004E4FBE">
          <w:pPr>
            <w:spacing w:after="120"/>
          </w:pPr>
          <w:r w:rsidRPr="004E4FBE">
            <w:rPr>
              <w:b/>
              <w:bCs/>
              <w:noProof/>
            </w:rPr>
            <w:fldChar w:fldCharType="end"/>
          </w:r>
        </w:p>
      </w:sdtContent>
    </w:sdt>
    <w:p w14:paraId="6C08A920" w14:textId="55465F5F" w:rsidR="00937DA3" w:rsidRPr="004E4FBE" w:rsidRDefault="00937DA3" w:rsidP="004E4FBE">
      <w:pPr>
        <w:spacing w:after="120"/>
        <w:rPr>
          <w:rFonts w:eastAsia="Times New Roman" w:cs="Times New Roman"/>
          <w:sz w:val="24"/>
          <w:szCs w:val="24"/>
        </w:rPr>
      </w:pPr>
    </w:p>
    <w:p w14:paraId="07C5AE69" w14:textId="77777777" w:rsidR="00E61569" w:rsidRPr="004E4FBE" w:rsidRDefault="00E61569" w:rsidP="004E4FBE">
      <w:pPr>
        <w:spacing w:after="120"/>
        <w:rPr>
          <w:rFonts w:eastAsia="Times New Roman" w:cs="Times New Roman"/>
          <w:sz w:val="24"/>
          <w:szCs w:val="24"/>
        </w:rPr>
      </w:pPr>
    </w:p>
    <w:p w14:paraId="47EA8F7D" w14:textId="30DA2020" w:rsidR="4D7EFBA2" w:rsidRPr="004E4FBE" w:rsidRDefault="4D7EFBA2" w:rsidP="004E4FBE">
      <w:pPr>
        <w:spacing w:after="120"/>
        <w:rPr>
          <w:rFonts w:eastAsia="Times New Roman" w:cs="Times New Roman"/>
          <w:sz w:val="24"/>
          <w:szCs w:val="24"/>
        </w:rPr>
      </w:pPr>
    </w:p>
    <w:p w14:paraId="022A7859" w14:textId="4BF536AB" w:rsidR="4D7EFBA2" w:rsidRPr="004E4FBE" w:rsidRDefault="4D7EFBA2" w:rsidP="004E4FBE">
      <w:pPr>
        <w:spacing w:after="120"/>
        <w:rPr>
          <w:rFonts w:eastAsia="Times New Roman" w:cs="Times New Roman"/>
          <w:sz w:val="24"/>
          <w:szCs w:val="24"/>
        </w:rPr>
      </w:pPr>
    </w:p>
    <w:p w14:paraId="2713D5CF" w14:textId="4C2FC5C1" w:rsidR="4D7EFBA2" w:rsidRPr="004E4FBE" w:rsidRDefault="4D7EFBA2" w:rsidP="004E4FBE">
      <w:pPr>
        <w:spacing w:after="120"/>
        <w:rPr>
          <w:rFonts w:eastAsia="Times New Roman" w:cs="Times New Roman"/>
          <w:sz w:val="24"/>
          <w:szCs w:val="24"/>
        </w:rPr>
      </w:pPr>
    </w:p>
    <w:p w14:paraId="1CFCF970" w14:textId="7902010E" w:rsidR="4D7EFBA2" w:rsidRPr="004E4FBE" w:rsidRDefault="4D7EFBA2" w:rsidP="004E4FBE">
      <w:pPr>
        <w:spacing w:after="120"/>
        <w:rPr>
          <w:rFonts w:eastAsia="Times New Roman" w:cs="Times New Roman"/>
          <w:sz w:val="24"/>
          <w:szCs w:val="24"/>
        </w:rPr>
      </w:pPr>
    </w:p>
    <w:p w14:paraId="29E35318" w14:textId="112A95BF" w:rsidR="4D7EFBA2" w:rsidRPr="004E4FBE" w:rsidRDefault="4D7EFBA2" w:rsidP="004E4FBE">
      <w:pPr>
        <w:spacing w:after="120"/>
        <w:rPr>
          <w:rFonts w:eastAsia="Times New Roman" w:cs="Times New Roman"/>
          <w:sz w:val="24"/>
          <w:szCs w:val="24"/>
        </w:rPr>
      </w:pPr>
    </w:p>
    <w:p w14:paraId="18DB853F" w14:textId="0480C709" w:rsidR="4D7EFBA2" w:rsidRPr="004E4FBE" w:rsidRDefault="4D7EFBA2" w:rsidP="004E4FBE">
      <w:pPr>
        <w:spacing w:after="120"/>
        <w:rPr>
          <w:rFonts w:eastAsia="Times New Roman" w:cs="Times New Roman"/>
          <w:sz w:val="24"/>
          <w:szCs w:val="24"/>
        </w:rPr>
      </w:pPr>
    </w:p>
    <w:p w14:paraId="607AD5CF" w14:textId="52224E35" w:rsidR="4D7EFBA2" w:rsidRPr="004E4FBE" w:rsidRDefault="4D7EFBA2" w:rsidP="004E4FBE">
      <w:pPr>
        <w:spacing w:after="120"/>
        <w:rPr>
          <w:rFonts w:eastAsia="Times New Roman" w:cs="Times New Roman"/>
          <w:sz w:val="24"/>
          <w:szCs w:val="24"/>
        </w:rPr>
      </w:pPr>
    </w:p>
    <w:p w14:paraId="549274F2" w14:textId="51281B35" w:rsidR="4D7EFBA2" w:rsidRPr="004E4FBE" w:rsidRDefault="4D7EFBA2" w:rsidP="004E4FBE">
      <w:pPr>
        <w:spacing w:after="120"/>
        <w:rPr>
          <w:rFonts w:eastAsia="Times New Roman" w:cs="Times New Roman"/>
          <w:sz w:val="24"/>
          <w:szCs w:val="24"/>
        </w:rPr>
      </w:pPr>
    </w:p>
    <w:p w14:paraId="59047369" w14:textId="5EA25FE5" w:rsidR="4D7EFBA2" w:rsidRPr="004E4FBE" w:rsidRDefault="4D7EFBA2" w:rsidP="004E4FBE">
      <w:pPr>
        <w:spacing w:after="120"/>
        <w:rPr>
          <w:rFonts w:eastAsia="Times New Roman" w:cs="Times New Roman"/>
          <w:sz w:val="24"/>
          <w:szCs w:val="24"/>
        </w:rPr>
      </w:pPr>
    </w:p>
    <w:p w14:paraId="123A1356" w14:textId="44DD5E63" w:rsidR="4D7EFBA2" w:rsidRPr="004E4FBE" w:rsidRDefault="4D7EFBA2" w:rsidP="004E4FBE">
      <w:pPr>
        <w:spacing w:after="120"/>
        <w:rPr>
          <w:rFonts w:eastAsia="Times New Roman" w:cs="Times New Roman"/>
          <w:sz w:val="24"/>
          <w:szCs w:val="24"/>
        </w:rPr>
      </w:pPr>
    </w:p>
    <w:p w14:paraId="5CE02CD7" w14:textId="5ABCB461" w:rsidR="4D7EFBA2" w:rsidRPr="004E4FBE" w:rsidRDefault="4D7EFBA2" w:rsidP="004E4FBE">
      <w:pPr>
        <w:spacing w:after="120"/>
        <w:rPr>
          <w:rFonts w:eastAsia="Times New Roman" w:cs="Times New Roman"/>
          <w:sz w:val="24"/>
          <w:szCs w:val="24"/>
        </w:rPr>
      </w:pPr>
    </w:p>
    <w:p w14:paraId="1F59FFF5" w14:textId="230F3FE1" w:rsidR="4D7EFBA2" w:rsidRPr="004E4FBE" w:rsidRDefault="4D7EFBA2" w:rsidP="004E4FBE">
      <w:pPr>
        <w:spacing w:after="120"/>
        <w:rPr>
          <w:rFonts w:eastAsia="Times New Roman" w:cs="Times New Roman"/>
          <w:sz w:val="24"/>
          <w:szCs w:val="24"/>
        </w:rPr>
      </w:pPr>
    </w:p>
    <w:p w14:paraId="3A837FEA" w14:textId="4531DB7A" w:rsidR="4D7EFBA2" w:rsidRPr="004E4FBE" w:rsidRDefault="4D7EFBA2" w:rsidP="004E4FBE">
      <w:pPr>
        <w:spacing w:after="120"/>
        <w:rPr>
          <w:rFonts w:eastAsia="Times New Roman" w:cs="Times New Roman"/>
          <w:sz w:val="24"/>
          <w:szCs w:val="24"/>
        </w:rPr>
      </w:pPr>
    </w:p>
    <w:p w14:paraId="6629D2A0" w14:textId="7DC8041F" w:rsidR="4D7EFBA2" w:rsidRPr="004E4FBE" w:rsidRDefault="4D7EFBA2" w:rsidP="004E4FBE">
      <w:pPr>
        <w:spacing w:after="120"/>
        <w:rPr>
          <w:rFonts w:eastAsia="Times New Roman" w:cs="Times New Roman"/>
          <w:sz w:val="24"/>
          <w:szCs w:val="24"/>
        </w:rPr>
      </w:pPr>
    </w:p>
    <w:p w14:paraId="1E763ECD" w14:textId="56630C47" w:rsidR="4D7EFBA2" w:rsidRPr="004E4FBE" w:rsidRDefault="4D7EFBA2" w:rsidP="004E4FBE">
      <w:pPr>
        <w:spacing w:after="120"/>
        <w:rPr>
          <w:rFonts w:eastAsia="Times New Roman" w:cs="Times New Roman"/>
          <w:sz w:val="24"/>
          <w:szCs w:val="24"/>
        </w:rPr>
      </w:pPr>
    </w:p>
    <w:p w14:paraId="6E9AB582" w14:textId="44D3B1C2" w:rsidR="4F54D9B5" w:rsidRPr="004E4FBE" w:rsidRDefault="4F54D9B5" w:rsidP="004E4FBE">
      <w:pPr>
        <w:pStyle w:val="Heading1"/>
        <w:numPr>
          <w:ilvl w:val="0"/>
          <w:numId w:val="0"/>
        </w:numPr>
        <w:spacing w:before="0" w:after="120"/>
        <w:jc w:val="center"/>
        <w:rPr>
          <w:rFonts w:ascii="Times New Roman" w:eastAsia="Times New Roman" w:hAnsi="Times New Roman" w:cs="Times New Roman"/>
          <w:b/>
          <w:bCs/>
          <w:color w:val="auto"/>
          <w:sz w:val="24"/>
          <w:szCs w:val="24"/>
        </w:rPr>
      </w:pPr>
      <w:bookmarkStart w:id="2" w:name="_Toc51576930"/>
      <w:r w:rsidRPr="004E4FBE">
        <w:rPr>
          <w:rFonts w:ascii="Times New Roman" w:eastAsia="Times New Roman" w:hAnsi="Times New Roman" w:cs="Times New Roman"/>
          <w:b/>
          <w:bCs/>
          <w:color w:val="auto"/>
          <w:sz w:val="24"/>
          <w:szCs w:val="24"/>
        </w:rPr>
        <w:t>Kopsavilkums</w:t>
      </w:r>
      <w:bookmarkEnd w:id="2"/>
    </w:p>
    <w:p w14:paraId="4323DDC1" w14:textId="0B22F2F2" w:rsidR="4F25727C" w:rsidRDefault="4F25727C" w:rsidP="004E4FBE">
      <w:pPr>
        <w:spacing w:after="120"/>
        <w:ind w:firstLine="709"/>
        <w:rPr>
          <w:rFonts w:eastAsia="Times New Roman" w:cs="Times New Roman"/>
          <w:sz w:val="24"/>
          <w:szCs w:val="24"/>
        </w:rPr>
      </w:pPr>
      <w:r w:rsidRPr="004E4FBE">
        <w:rPr>
          <w:rFonts w:eastAsia="Times New Roman" w:cs="Times New Roman"/>
          <w:sz w:val="24"/>
          <w:szCs w:val="24"/>
        </w:rPr>
        <w:t xml:space="preserve">Konceptuālais ziņojums </w:t>
      </w:r>
      <w:r w:rsidR="30539081" w:rsidRPr="004E4FBE">
        <w:rPr>
          <w:rFonts w:eastAsia="Times New Roman" w:cs="Times New Roman"/>
          <w:sz w:val="24"/>
          <w:szCs w:val="24"/>
        </w:rPr>
        <w:t>“</w:t>
      </w:r>
      <w:r w:rsidRPr="004E4FBE">
        <w:rPr>
          <w:rFonts w:eastAsia="Times New Roman" w:cs="Times New Roman"/>
          <w:sz w:val="24"/>
          <w:szCs w:val="24"/>
        </w:rPr>
        <w:t>Kompleksi pasākumi obligātā iepirkuma komponentes problemātikas risināšanai un elektroenerģijas tirgus attīstībai</w:t>
      </w:r>
      <w:r w:rsidR="65114D65" w:rsidRPr="004E4FBE">
        <w:rPr>
          <w:rFonts w:eastAsia="Times New Roman" w:cs="Times New Roman"/>
          <w:sz w:val="24"/>
          <w:szCs w:val="24"/>
        </w:rPr>
        <w:t>”</w:t>
      </w:r>
      <w:r w:rsidRPr="004E4FBE">
        <w:rPr>
          <w:rFonts w:eastAsia="Times New Roman" w:cs="Times New Roman"/>
          <w:sz w:val="24"/>
          <w:szCs w:val="24"/>
        </w:rPr>
        <w:t xml:space="preserve"> (turpmāk – konceptuālais ziņojums) sagatavots, lai </w:t>
      </w:r>
      <w:r w:rsidR="00576EE3">
        <w:rPr>
          <w:rFonts w:eastAsia="Times New Roman" w:cs="Times New Roman"/>
          <w:sz w:val="24"/>
          <w:szCs w:val="24"/>
        </w:rPr>
        <w:t xml:space="preserve">piedāvātu pasākumus </w:t>
      </w:r>
      <w:r w:rsidR="00576EE3" w:rsidRPr="004E4FBE">
        <w:rPr>
          <w:rFonts w:eastAsia="Times New Roman" w:cs="Times New Roman"/>
          <w:sz w:val="24"/>
          <w:szCs w:val="24"/>
        </w:rPr>
        <w:t>obligātā iepirkuma komponentes (turpmāk – OIK) problemātik</w:t>
      </w:r>
      <w:r w:rsidR="00576EE3">
        <w:rPr>
          <w:rFonts w:eastAsia="Times New Roman" w:cs="Times New Roman"/>
          <w:sz w:val="24"/>
          <w:szCs w:val="24"/>
        </w:rPr>
        <w:t>as risināšanai un</w:t>
      </w:r>
      <w:r w:rsidR="00576EE3" w:rsidRPr="004E4FBE">
        <w:rPr>
          <w:rFonts w:eastAsia="Times New Roman" w:cs="Times New Roman"/>
          <w:sz w:val="24"/>
          <w:szCs w:val="24"/>
        </w:rPr>
        <w:t xml:space="preserve"> </w:t>
      </w:r>
      <w:r w:rsidRPr="004E4FBE">
        <w:rPr>
          <w:rFonts w:eastAsia="Times New Roman" w:cs="Times New Roman"/>
          <w:sz w:val="24"/>
          <w:szCs w:val="24"/>
        </w:rPr>
        <w:t xml:space="preserve">risinātu </w:t>
      </w:r>
      <w:r w:rsidR="00576EE3">
        <w:rPr>
          <w:rFonts w:eastAsia="Times New Roman" w:cs="Times New Roman"/>
          <w:sz w:val="24"/>
          <w:szCs w:val="24"/>
        </w:rPr>
        <w:t xml:space="preserve">citas </w:t>
      </w:r>
      <w:r w:rsidRPr="004E4FBE">
        <w:rPr>
          <w:rFonts w:eastAsia="Times New Roman" w:cs="Times New Roman"/>
          <w:sz w:val="24"/>
          <w:szCs w:val="24"/>
        </w:rPr>
        <w:t>aktuālās problēmas elektroenerģijas tirgū,</w:t>
      </w:r>
      <w:r w:rsidR="00935BB9">
        <w:rPr>
          <w:rFonts w:eastAsia="Times New Roman" w:cs="Times New Roman"/>
          <w:sz w:val="24"/>
          <w:szCs w:val="24"/>
        </w:rPr>
        <w:t xml:space="preserve"> </w:t>
      </w:r>
      <w:r w:rsidR="00576EE3">
        <w:rPr>
          <w:rFonts w:eastAsia="Times New Roman" w:cs="Times New Roman"/>
          <w:sz w:val="24"/>
          <w:szCs w:val="24"/>
        </w:rPr>
        <w:t xml:space="preserve">tostarp </w:t>
      </w:r>
      <w:r w:rsidR="00935BB9">
        <w:rPr>
          <w:rFonts w:eastAsia="Times New Roman" w:cs="Times New Roman"/>
          <w:sz w:val="24"/>
          <w:szCs w:val="24"/>
        </w:rPr>
        <w:t xml:space="preserve">veicinātu </w:t>
      </w:r>
      <w:r w:rsidR="00576EE3">
        <w:rPr>
          <w:rFonts w:eastAsia="Times New Roman" w:cs="Times New Roman"/>
          <w:sz w:val="24"/>
          <w:szCs w:val="24"/>
        </w:rPr>
        <w:t>enerģētikas sektoram</w:t>
      </w:r>
      <w:r w:rsidR="00935BB9">
        <w:rPr>
          <w:rFonts w:eastAsia="Times New Roman" w:cs="Times New Roman"/>
          <w:sz w:val="24"/>
          <w:szCs w:val="24"/>
        </w:rPr>
        <w:t xml:space="preserve"> no</w:t>
      </w:r>
      <w:r w:rsidR="00576EE3">
        <w:rPr>
          <w:rFonts w:eastAsia="Times New Roman" w:cs="Times New Roman"/>
          <w:sz w:val="24"/>
          <w:szCs w:val="24"/>
        </w:rPr>
        <w:t>teikto</w:t>
      </w:r>
      <w:r w:rsidR="00935BB9">
        <w:rPr>
          <w:rFonts w:eastAsia="Times New Roman" w:cs="Times New Roman"/>
          <w:sz w:val="24"/>
          <w:szCs w:val="24"/>
        </w:rPr>
        <w:t xml:space="preserve"> mērķu sasniegšanu</w:t>
      </w:r>
      <w:r w:rsidR="00576EE3">
        <w:rPr>
          <w:rFonts w:eastAsia="Times New Roman" w:cs="Times New Roman"/>
          <w:sz w:val="24"/>
          <w:szCs w:val="24"/>
        </w:rPr>
        <w:t xml:space="preserve">. </w:t>
      </w:r>
      <w:r w:rsidR="00935BB9">
        <w:rPr>
          <w:rFonts w:eastAsia="Times New Roman" w:cs="Times New Roman"/>
          <w:sz w:val="24"/>
          <w:szCs w:val="24"/>
        </w:rPr>
        <w:t xml:space="preserve">Konceptuālajā ziņojumā ir </w:t>
      </w:r>
      <w:r w:rsidR="5B99EE8C" w:rsidRPr="004E4FBE">
        <w:rPr>
          <w:rFonts w:eastAsia="Times New Roman" w:cs="Times New Roman"/>
          <w:sz w:val="24"/>
          <w:szCs w:val="24"/>
        </w:rPr>
        <w:t>piedāvā</w:t>
      </w:r>
      <w:r w:rsidR="00935BB9">
        <w:rPr>
          <w:rFonts w:eastAsia="Times New Roman" w:cs="Times New Roman"/>
          <w:sz w:val="24"/>
          <w:szCs w:val="24"/>
        </w:rPr>
        <w:t>ti</w:t>
      </w:r>
      <w:r w:rsidR="5B99EE8C" w:rsidRPr="004E4FBE">
        <w:rPr>
          <w:rFonts w:eastAsia="Times New Roman" w:cs="Times New Roman"/>
          <w:sz w:val="24"/>
          <w:szCs w:val="24"/>
        </w:rPr>
        <w:t xml:space="preserve"> </w:t>
      </w:r>
      <w:r w:rsidR="007B7ACF">
        <w:rPr>
          <w:rFonts w:eastAsia="Times New Roman" w:cs="Times New Roman"/>
          <w:sz w:val="24"/>
          <w:szCs w:val="24"/>
        </w:rPr>
        <w:t xml:space="preserve">pieci </w:t>
      </w:r>
      <w:r w:rsidR="00935BB9">
        <w:rPr>
          <w:rFonts w:eastAsia="Times New Roman" w:cs="Times New Roman"/>
          <w:sz w:val="24"/>
          <w:szCs w:val="24"/>
        </w:rPr>
        <w:t xml:space="preserve">iespējamie attīstības </w:t>
      </w:r>
      <w:r w:rsidR="0A463D7F" w:rsidRPr="004E4FBE">
        <w:rPr>
          <w:rFonts w:eastAsia="Times New Roman" w:cs="Times New Roman"/>
          <w:sz w:val="24"/>
          <w:szCs w:val="24"/>
        </w:rPr>
        <w:t>scenārij</w:t>
      </w:r>
      <w:r w:rsidR="00935BB9">
        <w:rPr>
          <w:rFonts w:eastAsia="Times New Roman" w:cs="Times New Roman"/>
          <w:sz w:val="24"/>
          <w:szCs w:val="24"/>
        </w:rPr>
        <w:t>i:</w:t>
      </w:r>
    </w:p>
    <w:p w14:paraId="18230AB1" w14:textId="60218AB4" w:rsidR="1A5A49AE" w:rsidRPr="004E4FBE" w:rsidRDefault="1A5A49AE" w:rsidP="004E4FBE">
      <w:pPr>
        <w:spacing w:after="120"/>
        <w:ind w:firstLine="709"/>
        <w:rPr>
          <w:rFonts w:eastAsia="Times New Roman" w:cs="Times New Roman"/>
          <w:sz w:val="24"/>
          <w:szCs w:val="24"/>
        </w:rPr>
      </w:pPr>
      <w:r w:rsidRPr="004E4FBE">
        <w:rPr>
          <w:rFonts w:eastAsia="Times New Roman" w:cs="Times New Roman"/>
          <w:sz w:val="24"/>
          <w:szCs w:val="24"/>
        </w:rPr>
        <w:t xml:space="preserve">1. </w:t>
      </w:r>
      <w:r w:rsidR="4344D04B" w:rsidRPr="004E4FBE">
        <w:rPr>
          <w:rFonts w:eastAsia="Times New Roman" w:cs="Times New Roman"/>
          <w:sz w:val="24"/>
          <w:szCs w:val="24"/>
        </w:rPr>
        <w:t>OIK pieauguma scenārijs;</w:t>
      </w:r>
    </w:p>
    <w:p w14:paraId="34F27CF8" w14:textId="5C926ED4" w:rsidR="01ADF594" w:rsidRPr="004E4FBE" w:rsidRDefault="01ADF594" w:rsidP="004E4FBE">
      <w:pPr>
        <w:spacing w:after="120"/>
        <w:ind w:firstLine="709"/>
        <w:rPr>
          <w:rFonts w:eastAsia="Times New Roman" w:cs="Times New Roman"/>
          <w:sz w:val="24"/>
          <w:szCs w:val="24"/>
        </w:rPr>
      </w:pPr>
      <w:r w:rsidRPr="004E4FBE">
        <w:rPr>
          <w:rFonts w:eastAsia="Times New Roman" w:cs="Times New Roman"/>
          <w:sz w:val="24"/>
          <w:szCs w:val="24"/>
        </w:rPr>
        <w:t xml:space="preserve">2. </w:t>
      </w:r>
      <w:r w:rsidR="4344D04B" w:rsidRPr="004E4FBE">
        <w:rPr>
          <w:rFonts w:eastAsia="Times New Roman" w:cs="Times New Roman"/>
          <w:sz w:val="24"/>
          <w:szCs w:val="24"/>
        </w:rPr>
        <w:t>OIK noturēšanas scenārijs līdzšinējā apmērā</w:t>
      </w:r>
      <w:r w:rsidR="00C82F61" w:rsidRPr="004E4FBE">
        <w:rPr>
          <w:rFonts w:eastAsia="Times New Roman" w:cs="Times New Roman"/>
          <w:sz w:val="24"/>
          <w:szCs w:val="24"/>
        </w:rPr>
        <w:t>;</w:t>
      </w:r>
    </w:p>
    <w:p w14:paraId="512EF25A" w14:textId="78B29FDE" w:rsidR="51DEDC69" w:rsidRPr="004E4FBE" w:rsidRDefault="51DEDC69" w:rsidP="004E4FBE">
      <w:pPr>
        <w:spacing w:after="120"/>
        <w:ind w:firstLine="709"/>
        <w:rPr>
          <w:rFonts w:eastAsia="Times New Roman" w:cs="Times New Roman"/>
          <w:sz w:val="24"/>
          <w:szCs w:val="24"/>
        </w:rPr>
      </w:pPr>
      <w:r w:rsidRPr="004E4FBE">
        <w:rPr>
          <w:rFonts w:eastAsia="Times New Roman" w:cs="Times New Roman"/>
          <w:sz w:val="24"/>
          <w:szCs w:val="24"/>
        </w:rPr>
        <w:t xml:space="preserve">3. </w:t>
      </w:r>
      <w:r w:rsidR="4344D04B" w:rsidRPr="004E4FBE">
        <w:rPr>
          <w:rFonts w:eastAsia="Times New Roman" w:cs="Times New Roman"/>
          <w:sz w:val="24"/>
          <w:szCs w:val="24"/>
        </w:rPr>
        <w:t>OIK samazināšanas scenārijs</w:t>
      </w:r>
      <w:r w:rsidR="00C82F61" w:rsidRPr="004E4FBE">
        <w:rPr>
          <w:rFonts w:eastAsia="Times New Roman" w:cs="Times New Roman"/>
          <w:sz w:val="24"/>
          <w:szCs w:val="24"/>
        </w:rPr>
        <w:t>;</w:t>
      </w:r>
    </w:p>
    <w:p w14:paraId="6A9650B6" w14:textId="205B013B" w:rsidR="007B7ACF" w:rsidRDefault="7ECE9217" w:rsidP="004E4FBE">
      <w:pPr>
        <w:spacing w:after="120"/>
        <w:ind w:firstLine="709"/>
        <w:rPr>
          <w:rFonts w:eastAsia="Times New Roman" w:cs="Times New Roman"/>
          <w:sz w:val="24"/>
          <w:szCs w:val="24"/>
        </w:rPr>
      </w:pPr>
      <w:r w:rsidRPr="013C5203">
        <w:rPr>
          <w:rFonts w:eastAsia="Times New Roman" w:cs="Times New Roman"/>
          <w:sz w:val="24"/>
          <w:szCs w:val="24"/>
        </w:rPr>
        <w:t xml:space="preserve">4. </w:t>
      </w:r>
      <w:r w:rsidR="4344D04B" w:rsidRPr="013C5203">
        <w:rPr>
          <w:rFonts w:eastAsia="Times New Roman" w:cs="Times New Roman"/>
          <w:sz w:val="24"/>
          <w:szCs w:val="24"/>
        </w:rPr>
        <w:t>OIK atcelšanas</w:t>
      </w:r>
      <w:r w:rsidR="24ADEF9C" w:rsidRPr="013C5203">
        <w:rPr>
          <w:rFonts w:eastAsia="Times New Roman" w:cs="Times New Roman"/>
          <w:sz w:val="24"/>
          <w:szCs w:val="24"/>
        </w:rPr>
        <w:t xml:space="preserve"> no patērētāju rēķiniem</w:t>
      </w:r>
      <w:r w:rsidR="4344D04B" w:rsidRPr="013C5203">
        <w:rPr>
          <w:rFonts w:eastAsia="Times New Roman" w:cs="Times New Roman"/>
          <w:sz w:val="24"/>
          <w:szCs w:val="24"/>
        </w:rPr>
        <w:t xml:space="preserve"> scenārijs</w:t>
      </w:r>
      <w:r w:rsidR="007B7ACF">
        <w:rPr>
          <w:rFonts w:eastAsia="Times New Roman" w:cs="Times New Roman"/>
          <w:sz w:val="24"/>
          <w:szCs w:val="24"/>
        </w:rPr>
        <w:t>;</w:t>
      </w:r>
    </w:p>
    <w:p w14:paraId="488D2123" w14:textId="7B39A11B" w:rsidR="007B7ACF" w:rsidRPr="007B7ACF" w:rsidRDefault="007B7ACF" w:rsidP="007B7ACF">
      <w:pPr>
        <w:ind w:firstLine="709"/>
        <w:rPr>
          <w:rFonts w:ascii="Segoe UI" w:hAnsi="Segoe UI" w:cs="Segoe UI"/>
          <w:color w:val="2F5496"/>
          <w:sz w:val="16"/>
          <w:szCs w:val="16"/>
          <w:lang w:eastAsia="lv-LV"/>
        </w:rPr>
      </w:pPr>
      <w:r w:rsidRPr="007B7ACF">
        <w:rPr>
          <w:rFonts w:eastAsia="Times New Roman" w:cs="Times New Roman"/>
          <w:sz w:val="24"/>
          <w:szCs w:val="20"/>
        </w:rPr>
        <w:t>5</w:t>
      </w:r>
      <w:r w:rsidR="00C82F61" w:rsidRPr="007B7ACF">
        <w:rPr>
          <w:rFonts w:eastAsia="Times New Roman" w:cs="Times New Roman"/>
          <w:sz w:val="24"/>
          <w:szCs w:val="20"/>
        </w:rPr>
        <w:t>.</w:t>
      </w:r>
      <w:r w:rsidRPr="007B7ACF">
        <w:rPr>
          <w:sz w:val="24"/>
          <w:szCs w:val="20"/>
          <w:lang w:eastAsia="lv-LV"/>
        </w:rPr>
        <w:t xml:space="preserve"> OIK pakāpenisks mazināšanas scenārijs</w:t>
      </w:r>
      <w:r>
        <w:rPr>
          <w:sz w:val="24"/>
          <w:szCs w:val="20"/>
          <w:lang w:eastAsia="lv-LV"/>
        </w:rPr>
        <w:t>.</w:t>
      </w:r>
    </w:p>
    <w:p w14:paraId="52682922" w14:textId="74BA2A24" w:rsidR="7ECE9217" w:rsidRDefault="7ECE9217" w:rsidP="004E4FBE">
      <w:pPr>
        <w:spacing w:after="120"/>
        <w:ind w:firstLine="709"/>
        <w:rPr>
          <w:rFonts w:eastAsia="Times New Roman" w:cs="Times New Roman"/>
          <w:sz w:val="24"/>
          <w:szCs w:val="24"/>
        </w:rPr>
      </w:pPr>
    </w:p>
    <w:p w14:paraId="24EFA0B0" w14:textId="77777777" w:rsidR="00946B3F" w:rsidRDefault="00946B3F" w:rsidP="004E4FBE">
      <w:pPr>
        <w:spacing w:after="120"/>
        <w:ind w:firstLine="709"/>
        <w:rPr>
          <w:rFonts w:eastAsia="Times New Roman" w:cs="Times New Roman"/>
          <w:sz w:val="24"/>
          <w:szCs w:val="24"/>
        </w:rPr>
      </w:pPr>
    </w:p>
    <w:p w14:paraId="536D5407" w14:textId="77777777" w:rsidR="007B7ACF" w:rsidRPr="004E4FBE" w:rsidRDefault="007B7ACF" w:rsidP="004E4FBE">
      <w:pPr>
        <w:spacing w:after="120"/>
        <w:ind w:firstLine="709"/>
        <w:rPr>
          <w:rFonts w:eastAsia="Times New Roman" w:cs="Times New Roman"/>
          <w:sz w:val="24"/>
          <w:szCs w:val="24"/>
        </w:rPr>
      </w:pPr>
    </w:p>
    <w:p w14:paraId="1E0CB526" w14:textId="502C39A7" w:rsidR="4D7EFBA2" w:rsidRPr="004E4FBE" w:rsidRDefault="4D7EFBA2" w:rsidP="004E4FBE">
      <w:pPr>
        <w:spacing w:after="120"/>
        <w:jc w:val="center"/>
        <w:rPr>
          <w:rFonts w:eastAsia="Times New Roman" w:cs="Times New Roman"/>
          <w:sz w:val="24"/>
          <w:szCs w:val="24"/>
        </w:rPr>
      </w:pPr>
    </w:p>
    <w:p w14:paraId="5525CA8B" w14:textId="3C6508B7" w:rsidR="4D7EFBA2" w:rsidRPr="004E4FBE" w:rsidRDefault="4D7EFBA2" w:rsidP="004E4FBE">
      <w:pPr>
        <w:spacing w:after="120"/>
        <w:jc w:val="center"/>
        <w:rPr>
          <w:rFonts w:eastAsia="Times New Roman" w:cs="Times New Roman"/>
          <w:sz w:val="24"/>
          <w:szCs w:val="24"/>
        </w:rPr>
      </w:pPr>
    </w:p>
    <w:p w14:paraId="0AB39696" w14:textId="0FDC20E6" w:rsidR="4D7EFBA2" w:rsidRPr="004E4FBE" w:rsidRDefault="4D7EFBA2" w:rsidP="004E4FBE">
      <w:pPr>
        <w:spacing w:after="120"/>
        <w:jc w:val="center"/>
        <w:rPr>
          <w:rFonts w:eastAsia="Times New Roman" w:cs="Times New Roman"/>
          <w:sz w:val="24"/>
          <w:szCs w:val="24"/>
        </w:rPr>
      </w:pPr>
    </w:p>
    <w:p w14:paraId="37A5251A" w14:textId="7B7722B4" w:rsidR="4D7EFBA2" w:rsidRPr="004E4FBE" w:rsidRDefault="4D7EFBA2" w:rsidP="004E4FBE">
      <w:pPr>
        <w:spacing w:after="120"/>
        <w:jc w:val="center"/>
        <w:rPr>
          <w:rFonts w:eastAsia="Times New Roman" w:cs="Times New Roman"/>
          <w:sz w:val="24"/>
          <w:szCs w:val="24"/>
        </w:rPr>
      </w:pPr>
    </w:p>
    <w:p w14:paraId="72A78D29" w14:textId="0BC2050F" w:rsidR="4D7EFBA2" w:rsidRPr="004E4FBE" w:rsidRDefault="4D7EFBA2" w:rsidP="004E4FBE">
      <w:pPr>
        <w:spacing w:after="120"/>
        <w:jc w:val="center"/>
        <w:rPr>
          <w:rFonts w:eastAsia="Times New Roman" w:cs="Times New Roman"/>
          <w:sz w:val="24"/>
          <w:szCs w:val="24"/>
        </w:rPr>
      </w:pPr>
    </w:p>
    <w:p w14:paraId="05237AAC" w14:textId="5D5194EA" w:rsidR="4D7EFBA2" w:rsidRPr="004E4FBE" w:rsidRDefault="4D7EFBA2" w:rsidP="004E4FBE">
      <w:pPr>
        <w:spacing w:after="120"/>
        <w:jc w:val="center"/>
        <w:rPr>
          <w:rFonts w:eastAsia="Times New Roman" w:cs="Times New Roman"/>
          <w:sz w:val="24"/>
          <w:szCs w:val="24"/>
        </w:rPr>
      </w:pPr>
    </w:p>
    <w:p w14:paraId="749C1A59" w14:textId="0CC7216D" w:rsidR="4D7EFBA2" w:rsidRPr="004E4FBE" w:rsidRDefault="4D7EFBA2" w:rsidP="004E4FBE">
      <w:pPr>
        <w:spacing w:after="120"/>
        <w:jc w:val="center"/>
        <w:rPr>
          <w:rFonts w:eastAsia="Times New Roman" w:cs="Times New Roman"/>
          <w:sz w:val="24"/>
          <w:szCs w:val="24"/>
        </w:rPr>
      </w:pPr>
    </w:p>
    <w:p w14:paraId="769E713B" w14:textId="64185D30" w:rsidR="4D7EFBA2" w:rsidRPr="004E4FBE" w:rsidRDefault="4D7EFBA2" w:rsidP="004E4FBE">
      <w:pPr>
        <w:spacing w:after="120"/>
        <w:jc w:val="center"/>
        <w:rPr>
          <w:rFonts w:eastAsia="Times New Roman" w:cs="Times New Roman"/>
          <w:sz w:val="24"/>
          <w:szCs w:val="24"/>
        </w:rPr>
      </w:pPr>
    </w:p>
    <w:p w14:paraId="0A687432" w14:textId="1C84DC0D" w:rsidR="4D7EFBA2" w:rsidRPr="004E4FBE" w:rsidRDefault="4D7EFBA2" w:rsidP="004E4FBE">
      <w:pPr>
        <w:spacing w:after="120"/>
        <w:jc w:val="center"/>
        <w:rPr>
          <w:rFonts w:eastAsia="Times New Roman" w:cs="Times New Roman"/>
          <w:sz w:val="24"/>
          <w:szCs w:val="24"/>
        </w:rPr>
      </w:pPr>
    </w:p>
    <w:p w14:paraId="70830DEA" w14:textId="1B8EF6E5" w:rsidR="4D7EFBA2" w:rsidRPr="004E4FBE" w:rsidRDefault="4D7EFBA2" w:rsidP="004E4FBE">
      <w:pPr>
        <w:spacing w:after="120"/>
        <w:jc w:val="center"/>
        <w:rPr>
          <w:rFonts w:eastAsia="Times New Roman" w:cs="Times New Roman"/>
          <w:sz w:val="24"/>
          <w:szCs w:val="24"/>
        </w:rPr>
      </w:pPr>
    </w:p>
    <w:p w14:paraId="544E787C" w14:textId="1B05A36F" w:rsidR="4D7EFBA2" w:rsidRPr="004E4FBE" w:rsidRDefault="4D7EFBA2" w:rsidP="004E4FBE">
      <w:pPr>
        <w:spacing w:after="120"/>
        <w:jc w:val="center"/>
        <w:rPr>
          <w:rFonts w:eastAsia="Times New Roman" w:cs="Times New Roman"/>
          <w:sz w:val="24"/>
          <w:szCs w:val="24"/>
        </w:rPr>
      </w:pPr>
    </w:p>
    <w:p w14:paraId="1CE51247" w14:textId="37CD83B1" w:rsidR="4D7EFBA2" w:rsidRPr="004E4FBE" w:rsidRDefault="4D7EFBA2" w:rsidP="004E4FBE">
      <w:pPr>
        <w:spacing w:after="120"/>
        <w:jc w:val="center"/>
        <w:rPr>
          <w:rFonts w:eastAsia="Times New Roman" w:cs="Times New Roman"/>
          <w:sz w:val="24"/>
          <w:szCs w:val="24"/>
        </w:rPr>
      </w:pPr>
    </w:p>
    <w:p w14:paraId="28D8C37D" w14:textId="22E76EA1" w:rsidR="4D7EFBA2" w:rsidRPr="004E4FBE" w:rsidRDefault="4D7EFBA2" w:rsidP="004E4FBE">
      <w:pPr>
        <w:spacing w:after="120"/>
        <w:jc w:val="center"/>
        <w:rPr>
          <w:rFonts w:eastAsia="Times New Roman" w:cs="Times New Roman"/>
          <w:sz w:val="24"/>
          <w:szCs w:val="24"/>
        </w:rPr>
      </w:pPr>
    </w:p>
    <w:p w14:paraId="362AE17C" w14:textId="4AEFCD7C" w:rsidR="4D7EFBA2" w:rsidRPr="004E4FBE" w:rsidRDefault="4D7EFBA2" w:rsidP="004E4FBE">
      <w:pPr>
        <w:spacing w:after="120"/>
        <w:jc w:val="center"/>
        <w:rPr>
          <w:rFonts w:eastAsia="Times New Roman" w:cs="Times New Roman"/>
          <w:sz w:val="24"/>
          <w:szCs w:val="24"/>
        </w:rPr>
      </w:pPr>
    </w:p>
    <w:p w14:paraId="7B7BFB0D" w14:textId="7BF2555C" w:rsidR="4D7EFBA2" w:rsidRPr="004E4FBE" w:rsidRDefault="4D7EFBA2" w:rsidP="004E4FBE">
      <w:pPr>
        <w:spacing w:after="120"/>
        <w:jc w:val="center"/>
        <w:rPr>
          <w:rFonts w:eastAsia="Times New Roman" w:cs="Times New Roman"/>
          <w:sz w:val="24"/>
          <w:szCs w:val="24"/>
        </w:rPr>
      </w:pPr>
    </w:p>
    <w:p w14:paraId="3584A5B6" w14:textId="50622537" w:rsidR="4D7EFBA2" w:rsidRPr="004E4FBE" w:rsidRDefault="4D7EFBA2" w:rsidP="004E4FBE">
      <w:pPr>
        <w:spacing w:after="120"/>
        <w:jc w:val="center"/>
        <w:rPr>
          <w:rFonts w:eastAsia="Times New Roman" w:cs="Times New Roman"/>
          <w:sz w:val="24"/>
          <w:szCs w:val="24"/>
        </w:rPr>
      </w:pPr>
    </w:p>
    <w:p w14:paraId="5B2DDCB7" w14:textId="6A6EE6A9" w:rsidR="4D7EFBA2" w:rsidRPr="004E4FBE" w:rsidRDefault="4D7EFBA2" w:rsidP="004E4FBE">
      <w:pPr>
        <w:spacing w:after="120"/>
        <w:jc w:val="center"/>
        <w:rPr>
          <w:rFonts w:eastAsia="Times New Roman" w:cs="Times New Roman"/>
          <w:sz w:val="24"/>
          <w:szCs w:val="24"/>
        </w:rPr>
      </w:pPr>
    </w:p>
    <w:p w14:paraId="401DDB38" w14:textId="7434172D" w:rsidR="4D7EFBA2" w:rsidRPr="004E4FBE" w:rsidRDefault="4D7EFBA2" w:rsidP="004E4FBE">
      <w:pPr>
        <w:spacing w:after="120"/>
        <w:jc w:val="center"/>
        <w:rPr>
          <w:rFonts w:eastAsia="Times New Roman" w:cs="Times New Roman"/>
          <w:sz w:val="24"/>
          <w:szCs w:val="24"/>
        </w:rPr>
      </w:pPr>
    </w:p>
    <w:p w14:paraId="710ADC30" w14:textId="10211155" w:rsidR="4D7EFBA2" w:rsidRPr="004E4FBE" w:rsidRDefault="4D7EFBA2" w:rsidP="004E4FBE">
      <w:pPr>
        <w:spacing w:after="120"/>
        <w:jc w:val="center"/>
        <w:rPr>
          <w:rFonts w:eastAsia="Times New Roman" w:cs="Times New Roman"/>
          <w:sz w:val="24"/>
          <w:szCs w:val="24"/>
        </w:rPr>
      </w:pPr>
    </w:p>
    <w:p w14:paraId="18856E57" w14:textId="2C3223A1" w:rsidR="4D7EFBA2" w:rsidRPr="004E4FBE" w:rsidRDefault="4D7EFBA2" w:rsidP="004E4FBE">
      <w:pPr>
        <w:spacing w:after="120"/>
        <w:jc w:val="center"/>
        <w:rPr>
          <w:rFonts w:eastAsia="Times New Roman" w:cs="Times New Roman"/>
          <w:sz w:val="24"/>
          <w:szCs w:val="24"/>
        </w:rPr>
      </w:pPr>
    </w:p>
    <w:p w14:paraId="39C9F68F" w14:textId="758B2BA0" w:rsidR="4D7EFBA2" w:rsidRPr="004E4FBE" w:rsidRDefault="4D7EFBA2" w:rsidP="004E4FBE">
      <w:pPr>
        <w:spacing w:after="120"/>
        <w:jc w:val="center"/>
        <w:rPr>
          <w:rFonts w:eastAsia="Times New Roman" w:cs="Times New Roman"/>
          <w:sz w:val="24"/>
          <w:szCs w:val="24"/>
        </w:rPr>
      </w:pPr>
    </w:p>
    <w:p w14:paraId="37F73C78" w14:textId="38A29AE0" w:rsidR="4D7EFBA2" w:rsidRPr="004E4FBE" w:rsidRDefault="4D7EFBA2" w:rsidP="004E4FBE">
      <w:pPr>
        <w:spacing w:after="120"/>
        <w:jc w:val="center"/>
        <w:rPr>
          <w:rFonts w:eastAsia="Times New Roman" w:cs="Times New Roman"/>
          <w:sz w:val="24"/>
          <w:szCs w:val="24"/>
        </w:rPr>
      </w:pPr>
    </w:p>
    <w:p w14:paraId="4CE16617" w14:textId="5FC5F2FB" w:rsidR="00937DA3" w:rsidRDefault="00F915ED" w:rsidP="004E4FBE">
      <w:pPr>
        <w:pStyle w:val="Heading1"/>
        <w:spacing w:before="0" w:after="120"/>
        <w:jc w:val="center"/>
        <w:rPr>
          <w:rFonts w:ascii="Times New Roman" w:eastAsia="Times New Roman" w:hAnsi="Times New Roman" w:cs="Times New Roman"/>
          <w:b/>
          <w:bCs/>
          <w:color w:val="auto"/>
          <w:sz w:val="24"/>
          <w:szCs w:val="24"/>
        </w:rPr>
      </w:pPr>
      <w:bookmarkStart w:id="3" w:name="_Toc51576931"/>
      <w:r w:rsidRPr="6410F582">
        <w:rPr>
          <w:rFonts w:ascii="Times New Roman" w:eastAsia="Times New Roman" w:hAnsi="Times New Roman" w:cs="Times New Roman"/>
          <w:b/>
          <w:bCs/>
          <w:color w:val="auto"/>
          <w:sz w:val="24"/>
          <w:szCs w:val="24"/>
        </w:rPr>
        <w:t>Esošās situācijas raksturojums</w:t>
      </w:r>
      <w:bookmarkEnd w:id="3"/>
    </w:p>
    <w:p w14:paraId="77C86776" w14:textId="3161BE8E" w:rsidR="005C2A81" w:rsidRPr="0058152C" w:rsidRDefault="00662944" w:rsidP="0058152C">
      <w:pPr>
        <w:rPr>
          <w:sz w:val="24"/>
          <w:szCs w:val="20"/>
          <w:lang w:eastAsia="lv-LV"/>
        </w:rPr>
      </w:pPr>
      <w:r w:rsidRPr="0058152C">
        <w:rPr>
          <w:sz w:val="24"/>
          <w:szCs w:val="20"/>
          <w:lang w:eastAsia="lv-LV"/>
        </w:rPr>
        <w:tab/>
      </w:r>
      <w:r w:rsidR="005C2A81" w:rsidRPr="0058152C">
        <w:rPr>
          <w:sz w:val="24"/>
          <w:szCs w:val="20"/>
          <w:lang w:eastAsia="lv-LV"/>
        </w:rPr>
        <w:t xml:space="preserve">Pašreizējā Latvijas ekonomikas attīstības līmenī esošais OIK maksājuma apmērs elektroenerģijas gala lietotājiem radījis būtisku slogu, atstājot negatīvu ietekmi uz Latvijas globālo konkurētspēju ilgtermiņā, ko vēl vairāk pastiprina </w:t>
      </w:r>
      <w:r w:rsidR="00576EE3" w:rsidRPr="0058152C">
        <w:rPr>
          <w:sz w:val="24"/>
          <w:szCs w:val="20"/>
          <w:lang w:eastAsia="lv-LV"/>
        </w:rPr>
        <w:t xml:space="preserve">globālās pandēmijas radītās ietekmes. </w:t>
      </w:r>
    </w:p>
    <w:p w14:paraId="3C5B1684" w14:textId="77777777" w:rsidR="00576EE3" w:rsidRPr="0058152C" w:rsidRDefault="00576EE3" w:rsidP="0058152C">
      <w:pPr>
        <w:rPr>
          <w:sz w:val="24"/>
          <w:szCs w:val="20"/>
          <w:lang w:eastAsia="lv-LV"/>
        </w:rPr>
      </w:pPr>
      <w:r w:rsidRPr="0058152C">
        <w:rPr>
          <w:sz w:val="24"/>
          <w:szCs w:val="20"/>
          <w:lang w:eastAsia="lv-LV"/>
        </w:rPr>
        <w:tab/>
      </w:r>
      <w:r w:rsidR="005C2A81" w:rsidRPr="0058152C">
        <w:rPr>
          <w:sz w:val="24"/>
          <w:szCs w:val="20"/>
          <w:lang w:eastAsia="lv-LV"/>
        </w:rPr>
        <w:t>Lai arī pēdējos gados valdības īstenotās politikas rezultātā ir izdevies būtiski mazināt elektroenerģijas izmaksu slogu noteiktām elektroenerģijas lietotāju grupām, aplūkojot reģionālā griezumā, joprojām mazo un vidējo uzņēmumu elektroenerģijas izmaksas Latvijā ir vērtējamas kā salīdzinoši augstas, tādējādi samazinot rūpniecības, īpaši apstrādes rūpniecības attīstības iespējas. Energoresursu izmaksu īpatsvars uzņēmumu apgrozījumā īpaši kritisks ir kļuvis piespiedu ekonomiskās dīkstāves laikā.</w:t>
      </w:r>
    </w:p>
    <w:p w14:paraId="41EB8331" w14:textId="59BC2B28" w:rsidR="00762DC5" w:rsidRPr="0058152C" w:rsidRDefault="00ED6BBC" w:rsidP="0058152C">
      <w:pPr>
        <w:rPr>
          <w:sz w:val="24"/>
          <w:szCs w:val="20"/>
          <w:lang w:eastAsia="lv-LV"/>
        </w:rPr>
      </w:pPr>
      <w:r>
        <w:rPr>
          <w:lang w:eastAsia="lv-LV"/>
        </w:rPr>
        <w:tab/>
      </w:r>
      <w:r w:rsidR="00762DC5" w:rsidRPr="0058152C">
        <w:rPr>
          <w:sz w:val="24"/>
          <w:szCs w:val="20"/>
          <w:lang w:eastAsia="lv-LV"/>
        </w:rPr>
        <w:t>Līdz šim ar</w:t>
      </w:r>
      <w:r w:rsidR="00576EE3" w:rsidRPr="0058152C">
        <w:rPr>
          <w:sz w:val="24"/>
          <w:szCs w:val="20"/>
          <w:lang w:eastAsia="lv-LV"/>
        </w:rPr>
        <w:t xml:space="preserve"> Ministru kabinet</w:t>
      </w:r>
      <w:r w:rsidR="00762DC5" w:rsidRPr="0058152C">
        <w:rPr>
          <w:sz w:val="24"/>
          <w:szCs w:val="20"/>
          <w:lang w:eastAsia="lv-LV"/>
        </w:rPr>
        <w:t>a lēmumiem OIK ir bijusi fiksēta noteiktā līmenī, šim mērķim novirzot budžeta līdzekļus, kā arī ir piešķirti līdzekļu atbalstam</w:t>
      </w:r>
      <w:r w:rsidRPr="0058152C">
        <w:rPr>
          <w:sz w:val="24"/>
          <w:szCs w:val="20"/>
        </w:rPr>
        <w:t xml:space="preserve"> energoietilpīgiem apstrādes rūpniecības uzņēmumiem</w:t>
      </w:r>
      <w:r w:rsidR="00727EEF" w:rsidRPr="0058152C">
        <w:rPr>
          <w:sz w:val="24"/>
          <w:szCs w:val="20"/>
        </w:rPr>
        <w:t>, aizsargāto lietotāju atbalstam</w:t>
      </w:r>
      <w:r w:rsidR="00762DC5" w:rsidRPr="0058152C">
        <w:rPr>
          <w:sz w:val="24"/>
          <w:szCs w:val="20"/>
          <w:lang w:eastAsia="lv-LV"/>
        </w:rPr>
        <w:t xml:space="preserve"> un </w:t>
      </w:r>
      <w:r w:rsidR="001E561A" w:rsidRPr="0058152C">
        <w:rPr>
          <w:sz w:val="24"/>
          <w:szCs w:val="20"/>
          <w:lang w:eastAsia="lv-LV"/>
        </w:rPr>
        <w:t>v</w:t>
      </w:r>
      <w:r w:rsidR="00762DC5" w:rsidRPr="0058152C">
        <w:rPr>
          <w:sz w:val="24"/>
          <w:szCs w:val="20"/>
          <w:lang w:eastAsia="lv-LV"/>
        </w:rPr>
        <w:t>alsts pētījumu</w:t>
      </w:r>
      <w:r w:rsidRPr="0058152C">
        <w:rPr>
          <w:sz w:val="24"/>
          <w:szCs w:val="20"/>
        </w:rPr>
        <w:t xml:space="preserve"> programmai enerģētikā. </w:t>
      </w:r>
      <w:r w:rsidR="00762DC5" w:rsidRPr="0058152C">
        <w:rPr>
          <w:sz w:val="24"/>
          <w:szCs w:val="20"/>
          <w:lang w:eastAsia="lv-LV"/>
        </w:rPr>
        <w:t xml:space="preserve">Vidēja termiņa budžetā 2020. – 2022.gadam nav iezīmēti līdzekļi minētajiem pasākumiem. </w:t>
      </w:r>
    </w:p>
    <w:p w14:paraId="5BE483C9" w14:textId="2A98FF6B" w:rsidR="00152DC3" w:rsidRPr="00152DC3" w:rsidRDefault="00762DC5" w:rsidP="00ED6BBC">
      <w:r>
        <w:rPr>
          <w:rFonts w:eastAsia="Times New Roman" w:cs="Times New Roman"/>
          <w:sz w:val="24"/>
          <w:szCs w:val="24"/>
          <w:lang w:eastAsia="lv-LV"/>
        </w:rPr>
        <w:t xml:space="preserve"> </w:t>
      </w:r>
    </w:p>
    <w:p w14:paraId="1BFED6A1" w14:textId="79DC43A8" w:rsidR="00937DA3" w:rsidRPr="004E4FBE" w:rsidRDefault="00937DA3" w:rsidP="004E4FBE">
      <w:pPr>
        <w:pStyle w:val="Heading2"/>
        <w:spacing w:before="0" w:after="120" w:line="240" w:lineRule="auto"/>
        <w:rPr>
          <w:rFonts w:ascii="Times New Roman" w:eastAsia="Times New Roman" w:hAnsi="Times New Roman" w:cs="Times New Roman"/>
          <w:b/>
          <w:bCs/>
          <w:color w:val="auto"/>
          <w:sz w:val="24"/>
          <w:szCs w:val="24"/>
        </w:rPr>
      </w:pPr>
      <w:bookmarkStart w:id="4" w:name="_Toc51576932"/>
      <w:r w:rsidRPr="004E4FBE">
        <w:rPr>
          <w:rFonts w:ascii="Times New Roman" w:eastAsia="Times New Roman" w:hAnsi="Times New Roman" w:cs="Times New Roman"/>
          <w:b/>
          <w:bCs/>
          <w:color w:val="auto"/>
          <w:sz w:val="24"/>
          <w:szCs w:val="24"/>
        </w:rPr>
        <w:t>Atbalsts elektroenerģijas ražošanai un obligātā iepirkuma komponente</w:t>
      </w:r>
      <w:bookmarkEnd w:id="4"/>
    </w:p>
    <w:p w14:paraId="1A7CAD8A" w14:textId="6E221F75" w:rsidR="00937DA3" w:rsidRPr="004E4FBE" w:rsidRDefault="00937DA3" w:rsidP="004E4FBE">
      <w:pPr>
        <w:spacing w:after="120"/>
        <w:ind w:firstLine="851"/>
        <w:rPr>
          <w:rFonts w:eastAsia="Times New Roman" w:cs="Times New Roman"/>
          <w:sz w:val="24"/>
          <w:szCs w:val="24"/>
        </w:rPr>
      </w:pPr>
      <w:r w:rsidRPr="004E4FBE">
        <w:rPr>
          <w:rFonts w:eastAsia="Times New Roman" w:cs="Times New Roman"/>
          <w:sz w:val="24"/>
          <w:szCs w:val="24"/>
        </w:rPr>
        <w:t>Lai veicinātu elektroenerģijas ražošanu no</w:t>
      </w:r>
      <w:r w:rsidR="340CC84A" w:rsidRPr="004E4FBE">
        <w:rPr>
          <w:rFonts w:eastAsia="Times New Roman" w:cs="Times New Roman"/>
          <w:sz w:val="24"/>
          <w:szCs w:val="24"/>
        </w:rPr>
        <w:t xml:space="preserve"> atjaunojamiem energoresursiem (turpmāk </w:t>
      </w:r>
      <w:r w:rsidR="5A513C87" w:rsidRPr="004E4FBE">
        <w:rPr>
          <w:rFonts w:eastAsia="Times New Roman" w:cs="Times New Roman"/>
          <w:sz w:val="24"/>
          <w:szCs w:val="24"/>
        </w:rPr>
        <w:t>–</w:t>
      </w:r>
      <w:r w:rsidRPr="004E4FBE">
        <w:rPr>
          <w:rFonts w:eastAsia="Times New Roman" w:cs="Times New Roman"/>
          <w:sz w:val="24"/>
          <w:szCs w:val="24"/>
        </w:rPr>
        <w:t xml:space="preserve"> AER</w:t>
      </w:r>
      <w:r w:rsidR="7F0C9991" w:rsidRPr="004E4FBE">
        <w:rPr>
          <w:rFonts w:eastAsia="Times New Roman" w:cs="Times New Roman"/>
          <w:sz w:val="24"/>
          <w:szCs w:val="24"/>
        </w:rPr>
        <w:t>)</w:t>
      </w:r>
      <w:r w:rsidRPr="004E4FBE">
        <w:rPr>
          <w:rFonts w:eastAsia="Times New Roman" w:cs="Times New Roman"/>
          <w:sz w:val="24"/>
          <w:szCs w:val="24"/>
        </w:rPr>
        <w:t xml:space="preserve"> un augstas efektivitātes koģenerācijā, Latvijā kā atbalsta instruments tiek izmantots elektroenerģijas </w:t>
      </w:r>
      <w:r w:rsidR="60B02289" w:rsidRPr="004E4FBE">
        <w:rPr>
          <w:rFonts w:eastAsia="Times New Roman" w:cs="Times New Roman"/>
          <w:sz w:val="24"/>
          <w:szCs w:val="24"/>
        </w:rPr>
        <w:t xml:space="preserve">obligātais iepirkums (turpmāk </w:t>
      </w:r>
      <w:r w:rsidR="19011C34" w:rsidRPr="004E4FBE">
        <w:rPr>
          <w:rFonts w:eastAsia="Times New Roman" w:cs="Times New Roman"/>
          <w:sz w:val="24"/>
          <w:szCs w:val="24"/>
        </w:rPr>
        <w:t>–</w:t>
      </w:r>
      <w:r w:rsidR="60B02289" w:rsidRPr="004E4FBE">
        <w:rPr>
          <w:rFonts w:eastAsia="Times New Roman" w:cs="Times New Roman"/>
          <w:sz w:val="24"/>
          <w:szCs w:val="24"/>
        </w:rPr>
        <w:t xml:space="preserve"> </w:t>
      </w:r>
      <w:r w:rsidRPr="004E4FBE">
        <w:rPr>
          <w:rFonts w:eastAsia="Times New Roman" w:cs="Times New Roman"/>
          <w:sz w:val="24"/>
          <w:szCs w:val="24"/>
        </w:rPr>
        <w:t>OI</w:t>
      </w:r>
      <w:r w:rsidR="2650B63B" w:rsidRPr="004E4FBE">
        <w:rPr>
          <w:rFonts w:eastAsia="Times New Roman" w:cs="Times New Roman"/>
          <w:sz w:val="24"/>
          <w:szCs w:val="24"/>
        </w:rPr>
        <w:t>)</w:t>
      </w:r>
      <w:r w:rsidRPr="004E4FBE">
        <w:rPr>
          <w:rFonts w:eastAsia="Times New Roman" w:cs="Times New Roman"/>
          <w:sz w:val="24"/>
          <w:szCs w:val="24"/>
        </w:rPr>
        <w:t xml:space="preserve"> un jaudas maksa par elektrostacijā uzstādīto elektrisko jaudu</w:t>
      </w:r>
      <w:r w:rsidR="009B01A7">
        <w:rPr>
          <w:rStyle w:val="FootnoteReference"/>
          <w:rFonts w:eastAsia="Times New Roman" w:cs="Times New Roman"/>
          <w:sz w:val="24"/>
          <w:szCs w:val="24"/>
        </w:rPr>
        <w:footnoteReference w:id="2"/>
      </w:r>
      <w:r w:rsidRPr="004E4FBE">
        <w:rPr>
          <w:rFonts w:eastAsia="Times New Roman" w:cs="Times New Roman"/>
          <w:sz w:val="24"/>
          <w:szCs w:val="24"/>
        </w:rPr>
        <w:t>.</w:t>
      </w:r>
    </w:p>
    <w:p w14:paraId="3C1A52D0" w14:textId="77777777" w:rsidR="00937DA3" w:rsidRPr="004E4FBE" w:rsidRDefault="00937DA3" w:rsidP="004E4FBE">
      <w:pPr>
        <w:spacing w:after="120"/>
        <w:ind w:firstLine="851"/>
        <w:rPr>
          <w:rFonts w:eastAsia="Times New Roman" w:cs="Times New Roman"/>
          <w:sz w:val="24"/>
          <w:szCs w:val="24"/>
        </w:rPr>
      </w:pPr>
      <w:r w:rsidRPr="004E4FBE">
        <w:rPr>
          <w:rFonts w:eastAsia="Times New Roman" w:cs="Times New Roman"/>
          <w:sz w:val="24"/>
          <w:szCs w:val="24"/>
        </w:rPr>
        <w:t>Šobrīd papildus izmaksas, kas rodas atbalsta sniegšanas rezultātā, sedz visi Latvijas elektroenerģijas galalietotāji proporcionāli savam elektroenerģijas patēriņam, maksājot OIK, kas papildus elektroenerģijas cenai, sadales/pārvades tarifam un pievienotās vērtības nodoklim (turpmāk – PVN) tiek iekļauta elektroenerģijas kopējā cenā.</w:t>
      </w:r>
    </w:p>
    <w:p w14:paraId="58E7BA92" w14:textId="53C42509" w:rsidR="00937DA3" w:rsidRPr="004E4FBE" w:rsidRDefault="00937DA3" w:rsidP="004E4FBE">
      <w:pPr>
        <w:spacing w:after="120"/>
        <w:ind w:firstLine="851"/>
        <w:rPr>
          <w:rFonts w:eastAsia="Times New Roman" w:cs="Times New Roman"/>
          <w:sz w:val="24"/>
          <w:szCs w:val="24"/>
        </w:rPr>
      </w:pPr>
      <w:r w:rsidRPr="004E4FBE">
        <w:rPr>
          <w:rFonts w:eastAsia="Times New Roman" w:cs="Times New Roman"/>
          <w:sz w:val="24"/>
          <w:szCs w:val="24"/>
        </w:rPr>
        <w:t>Savukārt sākot ar 2018. gada 1. janvāri</w:t>
      </w:r>
      <w:r w:rsidR="0F3BB9C2" w:rsidRPr="004E4FBE">
        <w:rPr>
          <w:rFonts w:eastAsia="Times New Roman" w:cs="Times New Roman"/>
          <w:sz w:val="24"/>
          <w:szCs w:val="24"/>
        </w:rPr>
        <w:t>,</w:t>
      </w:r>
      <w:r w:rsidRPr="004E4FBE">
        <w:rPr>
          <w:rFonts w:eastAsia="Times New Roman" w:cs="Times New Roman"/>
          <w:sz w:val="24"/>
          <w:szCs w:val="24"/>
        </w:rPr>
        <w:t xml:space="preserve"> visu Latvijas elektroenerģijas gala lietotāju izmaksas, kas saistītas ar atbalsta sniegšanu OI un garantētās maksas ietvaros, veido fiksētā daļa, kas </w:t>
      </w:r>
      <w:r w:rsidR="0001457A" w:rsidRPr="004E4FBE">
        <w:rPr>
          <w:rFonts w:eastAsia="Times New Roman" w:cs="Times New Roman"/>
          <w:sz w:val="24"/>
          <w:szCs w:val="24"/>
        </w:rPr>
        <w:t>ir</w:t>
      </w:r>
      <w:r w:rsidRPr="004E4FBE">
        <w:rPr>
          <w:rFonts w:eastAsia="Times New Roman" w:cs="Times New Roman"/>
          <w:sz w:val="24"/>
          <w:szCs w:val="24"/>
        </w:rPr>
        <w:t xml:space="preserve"> atkarīga no garantētas maksas par koģenerācijas stacijās uzstādīto elektrisko jaudu, un mainīgā daļa atkarībā no izmaksām par OI ietvaros iepirkto elektroenerģiju. Līdz ar to, gala lietotāji fiksētās izmaksas se</w:t>
      </w:r>
      <w:r w:rsidR="0001457A" w:rsidRPr="004E4FBE">
        <w:rPr>
          <w:rFonts w:eastAsia="Times New Roman" w:cs="Times New Roman"/>
          <w:sz w:val="24"/>
          <w:szCs w:val="24"/>
        </w:rPr>
        <w:t>dz</w:t>
      </w:r>
      <w:r w:rsidRPr="004E4FBE">
        <w:rPr>
          <w:rFonts w:eastAsia="Times New Roman" w:cs="Times New Roman"/>
          <w:sz w:val="24"/>
          <w:szCs w:val="24"/>
        </w:rPr>
        <w:t xml:space="preserve"> atkarībā no pieslēguma parametriem, izmaksas sadalot pa sprieguma un patēriņa līmeņa grupām proporcionāli ieņēmumu fiksētajai daļai no sistēmas pakalpojumiem, bet mainīgās – proporcionāli elektroenerģijas patēriņam.</w:t>
      </w:r>
    </w:p>
    <w:p w14:paraId="4CED580B" w14:textId="77777777" w:rsidR="00937DA3" w:rsidRPr="004E4FBE" w:rsidRDefault="00937DA3" w:rsidP="004E4FBE">
      <w:pPr>
        <w:spacing w:after="120"/>
        <w:ind w:firstLine="851"/>
        <w:rPr>
          <w:rFonts w:eastAsia="Times New Roman" w:cs="Times New Roman"/>
          <w:sz w:val="24"/>
          <w:szCs w:val="24"/>
        </w:rPr>
      </w:pPr>
      <w:r w:rsidRPr="004E4FBE">
        <w:rPr>
          <w:rFonts w:eastAsia="Times New Roman" w:cs="Times New Roman"/>
          <w:sz w:val="24"/>
          <w:szCs w:val="24"/>
        </w:rPr>
        <w:t>OIK ir atkarīga no iepriekšējā gadā OI ietvaros iepirktās elektroenerģijas daudzuma un tās iepirkuma cenas. OIK apmēru ietekmē dabasgāzes cena, elektroenerģijas cena biržā un elektroenerģijas patēriņš. Pieaugot dabasgāzes cenai, pieaug arī OIK maksājumi. Turpretim, pieaugot elektroenerģijas cenai biržā vai elektroenerģijas patēriņa apjomam, OIK samazinās. OI ietvaros iepirktais elektroenerģijas apjoms un atbalsta izmaksas 2019. gadā un turpmāko 4 gadu prognoze ir apkopota 1. tabulā.</w:t>
      </w:r>
    </w:p>
    <w:p w14:paraId="48577224" w14:textId="77777777" w:rsidR="00937DA3" w:rsidRPr="004E4FBE" w:rsidRDefault="00937DA3"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lastRenderedPageBreak/>
        <w:t>1. tabula</w:t>
      </w:r>
    </w:p>
    <w:p w14:paraId="5DC2A83E" w14:textId="77777777" w:rsidR="00937DA3" w:rsidRPr="004E4FBE" w:rsidRDefault="00937DA3"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OI ietvaros iepirktais elektroenerģijas apjoms un atbalsta izmaksas</w:t>
      </w:r>
    </w:p>
    <w:p w14:paraId="0FBD3236" w14:textId="77777777" w:rsidR="00937DA3" w:rsidRPr="004E4FBE" w:rsidRDefault="00937DA3" w:rsidP="004E4FBE">
      <w:pPr>
        <w:spacing w:after="120"/>
        <w:rPr>
          <w:rFonts w:eastAsia="Times New Roman" w:cs="Times New Roman"/>
          <w:sz w:val="24"/>
          <w:szCs w:val="24"/>
        </w:rPr>
      </w:pPr>
      <w:r w:rsidRPr="004E4FBE">
        <w:rPr>
          <w:rFonts w:cs="Times New Roman"/>
          <w:noProof/>
          <w:lang w:eastAsia="lv-LV"/>
        </w:rPr>
        <w:drawing>
          <wp:inline distT="0" distB="0" distL="0" distR="0" wp14:anchorId="1FA93072" wp14:editId="7A8574FF">
            <wp:extent cx="5727210" cy="13462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0537" cy="1351683"/>
                    </a:xfrm>
                    <a:prstGeom prst="rect">
                      <a:avLst/>
                    </a:prstGeom>
                    <a:noFill/>
                    <a:ln>
                      <a:noFill/>
                    </a:ln>
                  </pic:spPr>
                </pic:pic>
              </a:graphicData>
            </a:graphic>
          </wp:inline>
        </w:drawing>
      </w:r>
    </w:p>
    <w:p w14:paraId="683BF35E" w14:textId="3BDB8664" w:rsidR="00937DA3" w:rsidRPr="004E4FBE" w:rsidRDefault="00937DA3" w:rsidP="004E4FBE">
      <w:pPr>
        <w:pStyle w:val="BodyText"/>
        <w:spacing w:after="120"/>
        <w:ind w:firstLine="851"/>
        <w:jc w:val="both"/>
        <w:rPr>
          <w:i w:val="0"/>
          <w:szCs w:val="24"/>
        </w:rPr>
      </w:pPr>
      <w:r w:rsidRPr="004E4FBE">
        <w:rPr>
          <w:i w:val="0"/>
          <w:szCs w:val="24"/>
        </w:rPr>
        <w:t>Prognozes balstās sekojošos pieņēmumos</w:t>
      </w:r>
      <w:r w:rsidR="00961B5A" w:rsidRPr="004E4FBE">
        <w:rPr>
          <w:i w:val="0"/>
          <w:szCs w:val="24"/>
        </w:rPr>
        <w:t>:</w:t>
      </w:r>
    </w:p>
    <w:p w14:paraId="5EF44E5D" w14:textId="77777777" w:rsidR="00937DA3" w:rsidRPr="004E4FBE" w:rsidRDefault="00937DA3" w:rsidP="004E4FBE">
      <w:pPr>
        <w:pStyle w:val="BodyText2"/>
        <w:spacing w:after="120"/>
        <w:ind w:firstLine="567"/>
        <w:rPr>
          <w:szCs w:val="24"/>
        </w:rPr>
      </w:pPr>
      <w:r w:rsidRPr="004E4FBE">
        <w:rPr>
          <w:szCs w:val="24"/>
        </w:rPr>
        <w:t xml:space="preserve">1) </w:t>
      </w:r>
      <w:r w:rsidRPr="004E4FBE">
        <w:rPr>
          <w:i/>
          <w:iCs/>
          <w:szCs w:val="24"/>
        </w:rPr>
        <w:t>elektroenerģijas patēriņa samazinājums COVID-19 ietekmē</w:t>
      </w:r>
      <w:r w:rsidRPr="004E4FBE">
        <w:rPr>
          <w:szCs w:val="24"/>
        </w:rPr>
        <w:t>;</w:t>
      </w:r>
    </w:p>
    <w:p w14:paraId="5D6F313B" w14:textId="09B14196" w:rsidR="00937DA3" w:rsidRPr="004E4FBE" w:rsidRDefault="00937DA3" w:rsidP="004E4FBE">
      <w:pPr>
        <w:pStyle w:val="BodyText2"/>
        <w:spacing w:after="120"/>
        <w:ind w:firstLine="567"/>
        <w:rPr>
          <w:i/>
          <w:iCs/>
          <w:szCs w:val="24"/>
        </w:rPr>
      </w:pPr>
      <w:r w:rsidRPr="004E4FBE">
        <w:rPr>
          <w:szCs w:val="24"/>
        </w:rPr>
        <w:t>Ievērojot COVID-19 ietekmi, elektroenerģijas patēriņš 2020.</w:t>
      </w:r>
      <w:r w:rsidR="0048486F" w:rsidRPr="004E4FBE">
        <w:rPr>
          <w:szCs w:val="24"/>
        </w:rPr>
        <w:t> </w:t>
      </w:r>
      <w:r w:rsidRPr="004E4FBE">
        <w:rPr>
          <w:szCs w:val="24"/>
        </w:rPr>
        <w:t>gadā ir būtiski samazinājies (</w:t>
      </w:r>
      <w:r w:rsidR="00D64680" w:rsidRPr="004E4FBE">
        <w:rPr>
          <w:szCs w:val="24"/>
        </w:rPr>
        <w:t>prognozēts</w:t>
      </w:r>
      <w:r w:rsidRPr="004E4FBE">
        <w:rPr>
          <w:szCs w:val="24"/>
        </w:rPr>
        <w:t xml:space="preserve"> samazinājums par 5%), tomēr tautsaimniecības atkopšanās scenārijs paredz elektroenerģijas patēriņa palielināšanos vidēji par 2% 2021.-2022. gadā un 1% 2023. gadā.</w:t>
      </w:r>
    </w:p>
    <w:p w14:paraId="0DC09069" w14:textId="77777777" w:rsidR="00937DA3" w:rsidRPr="004E4FBE" w:rsidRDefault="00937DA3" w:rsidP="004E4FBE">
      <w:pPr>
        <w:pStyle w:val="BodyText2"/>
        <w:spacing w:after="120"/>
        <w:ind w:firstLine="567"/>
        <w:rPr>
          <w:b/>
          <w:bCs/>
          <w:szCs w:val="24"/>
        </w:rPr>
      </w:pPr>
      <w:r w:rsidRPr="004E4FBE">
        <w:rPr>
          <w:szCs w:val="24"/>
        </w:rPr>
        <w:t>Palielinoties elektroenerģijas galapatēriņam, palielinās arī elektroenerģijas apjoms, uz kuru izmaksas tiek dalītas (OIK samazinās), un otrādi – samazinoties gala patēriņam, OIK palielinās.</w:t>
      </w:r>
    </w:p>
    <w:p w14:paraId="2F70B5CE" w14:textId="77777777" w:rsidR="00937DA3" w:rsidRPr="004E4FBE" w:rsidRDefault="00937DA3"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2. tabula</w:t>
      </w:r>
    </w:p>
    <w:p w14:paraId="11FB7961" w14:textId="77777777" w:rsidR="00937DA3" w:rsidRPr="004E4FBE" w:rsidRDefault="00937DA3"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Elektroenerģijas patēriņa prognozes</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80"/>
        <w:gridCol w:w="928"/>
        <w:gridCol w:w="928"/>
        <w:gridCol w:w="928"/>
        <w:gridCol w:w="928"/>
        <w:gridCol w:w="928"/>
        <w:gridCol w:w="928"/>
        <w:gridCol w:w="928"/>
      </w:tblGrid>
      <w:tr w:rsidR="004E4FBE" w:rsidRPr="004E4FBE" w14:paraId="32FC0467" w14:textId="77777777" w:rsidTr="0008370F">
        <w:trPr>
          <w:trHeight w:val="422"/>
          <w:jc w:val="center"/>
        </w:trPr>
        <w:tc>
          <w:tcPr>
            <w:tcW w:w="2580" w:type="dxa"/>
            <w:shd w:val="clear" w:color="auto" w:fill="auto"/>
            <w:hideMark/>
          </w:tcPr>
          <w:p w14:paraId="776C3409" w14:textId="77777777" w:rsidR="00937DA3" w:rsidRPr="004E4FBE" w:rsidRDefault="00937DA3" w:rsidP="004E4FBE">
            <w:pPr>
              <w:spacing w:after="120"/>
              <w:jc w:val="center"/>
              <w:rPr>
                <w:rFonts w:eastAsia="Times New Roman" w:cs="Times New Roman"/>
                <w:sz w:val="24"/>
                <w:szCs w:val="24"/>
                <w:lang w:eastAsia="lv-LV"/>
              </w:rPr>
            </w:pPr>
          </w:p>
        </w:tc>
        <w:tc>
          <w:tcPr>
            <w:tcW w:w="928" w:type="dxa"/>
            <w:shd w:val="clear" w:color="auto" w:fill="auto"/>
            <w:vAlign w:val="center"/>
            <w:hideMark/>
          </w:tcPr>
          <w:p w14:paraId="0D152726"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2017</w:t>
            </w:r>
          </w:p>
        </w:tc>
        <w:tc>
          <w:tcPr>
            <w:tcW w:w="928" w:type="dxa"/>
            <w:shd w:val="clear" w:color="auto" w:fill="auto"/>
            <w:vAlign w:val="center"/>
            <w:hideMark/>
          </w:tcPr>
          <w:p w14:paraId="7F8B833D"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2018</w:t>
            </w:r>
          </w:p>
        </w:tc>
        <w:tc>
          <w:tcPr>
            <w:tcW w:w="928" w:type="dxa"/>
            <w:tcBorders>
              <w:bottom w:val="single" w:sz="4" w:space="0" w:color="auto"/>
            </w:tcBorders>
            <w:vAlign w:val="center"/>
          </w:tcPr>
          <w:p w14:paraId="2636C255"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2019</w:t>
            </w:r>
          </w:p>
        </w:tc>
        <w:tc>
          <w:tcPr>
            <w:tcW w:w="928" w:type="dxa"/>
            <w:tcBorders>
              <w:bottom w:val="single" w:sz="4" w:space="0" w:color="auto"/>
            </w:tcBorders>
          </w:tcPr>
          <w:p w14:paraId="1DCA046F"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2020</w:t>
            </w:r>
          </w:p>
        </w:tc>
        <w:tc>
          <w:tcPr>
            <w:tcW w:w="928" w:type="dxa"/>
            <w:tcBorders>
              <w:bottom w:val="single" w:sz="4" w:space="0" w:color="auto"/>
            </w:tcBorders>
          </w:tcPr>
          <w:p w14:paraId="6A18C9B9"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2021</w:t>
            </w:r>
          </w:p>
        </w:tc>
        <w:tc>
          <w:tcPr>
            <w:tcW w:w="928" w:type="dxa"/>
            <w:tcBorders>
              <w:bottom w:val="single" w:sz="4" w:space="0" w:color="auto"/>
            </w:tcBorders>
          </w:tcPr>
          <w:p w14:paraId="53FFAF46"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2022</w:t>
            </w:r>
          </w:p>
        </w:tc>
        <w:tc>
          <w:tcPr>
            <w:tcW w:w="928" w:type="dxa"/>
            <w:tcBorders>
              <w:bottom w:val="single" w:sz="4" w:space="0" w:color="auto"/>
            </w:tcBorders>
          </w:tcPr>
          <w:p w14:paraId="12F3EDF1"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2023</w:t>
            </w:r>
          </w:p>
        </w:tc>
      </w:tr>
      <w:tr w:rsidR="004E4FBE" w:rsidRPr="004E4FBE" w14:paraId="05205355" w14:textId="77777777" w:rsidTr="0008370F">
        <w:trPr>
          <w:trHeight w:val="343"/>
          <w:jc w:val="center"/>
        </w:trPr>
        <w:tc>
          <w:tcPr>
            <w:tcW w:w="2580" w:type="dxa"/>
            <w:shd w:val="clear" w:color="auto" w:fill="auto"/>
            <w:vAlign w:val="center"/>
          </w:tcPr>
          <w:p w14:paraId="0941B2B2"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2017.g prognoze</w:t>
            </w:r>
            <w:r w:rsidRPr="004E4FBE">
              <w:rPr>
                <w:rStyle w:val="FootnoteReference"/>
                <w:rFonts w:eastAsia="Times New Roman" w:cs="Times New Roman"/>
                <w:sz w:val="24"/>
                <w:szCs w:val="24"/>
                <w:lang w:eastAsia="lv-LV"/>
              </w:rPr>
              <w:footnoteReference w:id="3"/>
            </w:r>
            <w:r w:rsidRPr="004E4FBE">
              <w:rPr>
                <w:rFonts w:eastAsia="Times New Roman" w:cs="Times New Roman"/>
                <w:sz w:val="24"/>
                <w:szCs w:val="24"/>
                <w:lang w:eastAsia="lv-LV"/>
              </w:rPr>
              <w:t>, GWh</w:t>
            </w:r>
          </w:p>
        </w:tc>
        <w:tc>
          <w:tcPr>
            <w:tcW w:w="928" w:type="dxa"/>
            <w:shd w:val="clear" w:color="auto" w:fill="auto"/>
            <w:vAlign w:val="center"/>
          </w:tcPr>
          <w:p w14:paraId="387110E2"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 xml:space="preserve">6836 </w:t>
            </w:r>
          </w:p>
        </w:tc>
        <w:tc>
          <w:tcPr>
            <w:tcW w:w="928" w:type="dxa"/>
            <w:shd w:val="clear" w:color="auto" w:fill="auto"/>
            <w:vAlign w:val="center"/>
          </w:tcPr>
          <w:p w14:paraId="64A18D1C"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 6904</w:t>
            </w:r>
          </w:p>
        </w:tc>
        <w:tc>
          <w:tcPr>
            <w:tcW w:w="928" w:type="dxa"/>
            <w:shd w:val="clear" w:color="auto" w:fill="auto"/>
            <w:vAlign w:val="center"/>
          </w:tcPr>
          <w:p w14:paraId="24AF514D"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 xml:space="preserve">6973 </w:t>
            </w:r>
          </w:p>
        </w:tc>
        <w:tc>
          <w:tcPr>
            <w:tcW w:w="928" w:type="dxa"/>
            <w:vAlign w:val="center"/>
          </w:tcPr>
          <w:p w14:paraId="74CEC08D"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7043</w:t>
            </w:r>
          </w:p>
        </w:tc>
        <w:tc>
          <w:tcPr>
            <w:tcW w:w="928" w:type="dxa"/>
          </w:tcPr>
          <w:p w14:paraId="3ABDC94C" w14:textId="77777777" w:rsidR="00937DA3" w:rsidRPr="004E4FBE" w:rsidRDefault="00937DA3" w:rsidP="004E4FBE">
            <w:pPr>
              <w:spacing w:after="120"/>
              <w:jc w:val="center"/>
              <w:rPr>
                <w:rFonts w:eastAsia="Times New Roman" w:cs="Times New Roman"/>
                <w:sz w:val="24"/>
                <w:szCs w:val="24"/>
                <w:lang w:eastAsia="lv-LV"/>
              </w:rPr>
            </w:pPr>
          </w:p>
        </w:tc>
        <w:tc>
          <w:tcPr>
            <w:tcW w:w="928" w:type="dxa"/>
          </w:tcPr>
          <w:p w14:paraId="1DE04DFD" w14:textId="77777777" w:rsidR="00937DA3" w:rsidRPr="004E4FBE" w:rsidRDefault="00937DA3" w:rsidP="004E4FBE">
            <w:pPr>
              <w:spacing w:after="120"/>
              <w:jc w:val="center"/>
              <w:rPr>
                <w:rFonts w:eastAsia="Times New Roman" w:cs="Times New Roman"/>
                <w:sz w:val="24"/>
                <w:szCs w:val="24"/>
                <w:lang w:eastAsia="lv-LV"/>
              </w:rPr>
            </w:pPr>
          </w:p>
        </w:tc>
        <w:tc>
          <w:tcPr>
            <w:tcW w:w="928" w:type="dxa"/>
          </w:tcPr>
          <w:p w14:paraId="411CB389" w14:textId="77777777" w:rsidR="00937DA3" w:rsidRPr="004E4FBE" w:rsidRDefault="00937DA3" w:rsidP="004E4FBE">
            <w:pPr>
              <w:spacing w:after="120"/>
              <w:jc w:val="center"/>
              <w:rPr>
                <w:rFonts w:eastAsia="Times New Roman" w:cs="Times New Roman"/>
                <w:sz w:val="24"/>
                <w:szCs w:val="24"/>
                <w:lang w:eastAsia="lv-LV"/>
              </w:rPr>
            </w:pPr>
          </w:p>
        </w:tc>
      </w:tr>
      <w:tr w:rsidR="00937DA3" w:rsidRPr="004E4FBE" w14:paraId="3D007B1A" w14:textId="77777777" w:rsidTr="0008370F">
        <w:trPr>
          <w:trHeight w:val="343"/>
          <w:jc w:val="center"/>
        </w:trPr>
        <w:tc>
          <w:tcPr>
            <w:tcW w:w="2580" w:type="dxa"/>
            <w:shd w:val="clear" w:color="auto" w:fill="auto"/>
            <w:vAlign w:val="center"/>
          </w:tcPr>
          <w:p w14:paraId="44299F13"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Aktualizētā 2020. gada prognoze, GWh</w:t>
            </w:r>
          </w:p>
        </w:tc>
        <w:tc>
          <w:tcPr>
            <w:tcW w:w="928" w:type="dxa"/>
            <w:shd w:val="clear" w:color="auto" w:fill="auto"/>
            <w:vAlign w:val="center"/>
          </w:tcPr>
          <w:p w14:paraId="0BC8626A" w14:textId="77777777" w:rsidR="00937DA3" w:rsidRPr="004E4FBE" w:rsidRDefault="00937DA3" w:rsidP="004E4FBE">
            <w:pPr>
              <w:spacing w:after="120"/>
              <w:jc w:val="center"/>
              <w:rPr>
                <w:rFonts w:eastAsia="Times New Roman" w:cs="Times New Roman"/>
                <w:sz w:val="24"/>
                <w:szCs w:val="24"/>
                <w:lang w:eastAsia="lv-LV"/>
              </w:rPr>
            </w:pPr>
          </w:p>
        </w:tc>
        <w:tc>
          <w:tcPr>
            <w:tcW w:w="928" w:type="dxa"/>
            <w:shd w:val="clear" w:color="auto" w:fill="auto"/>
            <w:vAlign w:val="center"/>
          </w:tcPr>
          <w:p w14:paraId="21742D10" w14:textId="77777777" w:rsidR="00937DA3" w:rsidRPr="004E4FBE" w:rsidRDefault="00937DA3" w:rsidP="004E4FBE">
            <w:pPr>
              <w:spacing w:after="120"/>
              <w:jc w:val="center"/>
              <w:rPr>
                <w:rFonts w:eastAsia="Times New Roman" w:cs="Times New Roman"/>
                <w:sz w:val="24"/>
                <w:szCs w:val="24"/>
                <w:lang w:eastAsia="lv-LV"/>
              </w:rPr>
            </w:pPr>
          </w:p>
        </w:tc>
        <w:tc>
          <w:tcPr>
            <w:tcW w:w="928" w:type="dxa"/>
            <w:shd w:val="clear" w:color="auto" w:fill="auto"/>
            <w:vAlign w:val="center"/>
          </w:tcPr>
          <w:p w14:paraId="00F18D44"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6795</w:t>
            </w:r>
          </w:p>
        </w:tc>
        <w:tc>
          <w:tcPr>
            <w:tcW w:w="928" w:type="dxa"/>
            <w:vAlign w:val="center"/>
          </w:tcPr>
          <w:p w14:paraId="4DC523FF"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6475</w:t>
            </w:r>
          </w:p>
        </w:tc>
        <w:tc>
          <w:tcPr>
            <w:tcW w:w="928" w:type="dxa"/>
            <w:vAlign w:val="center"/>
          </w:tcPr>
          <w:p w14:paraId="1F02D39E"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6605</w:t>
            </w:r>
          </w:p>
        </w:tc>
        <w:tc>
          <w:tcPr>
            <w:tcW w:w="928" w:type="dxa"/>
            <w:vAlign w:val="center"/>
          </w:tcPr>
          <w:p w14:paraId="4A7D1B81"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6737</w:t>
            </w:r>
          </w:p>
        </w:tc>
        <w:tc>
          <w:tcPr>
            <w:tcW w:w="928" w:type="dxa"/>
            <w:vAlign w:val="center"/>
          </w:tcPr>
          <w:p w14:paraId="3C950C2A"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6804</w:t>
            </w:r>
          </w:p>
        </w:tc>
      </w:tr>
    </w:tbl>
    <w:p w14:paraId="567F7819" w14:textId="77777777" w:rsidR="00937DA3" w:rsidRPr="004E4FBE" w:rsidRDefault="00937DA3" w:rsidP="004E4FBE">
      <w:pPr>
        <w:pStyle w:val="BodyText"/>
        <w:spacing w:after="120"/>
        <w:ind w:left="720" w:firstLine="720"/>
        <w:jc w:val="both"/>
        <w:rPr>
          <w:i w:val="0"/>
          <w:szCs w:val="24"/>
        </w:rPr>
      </w:pPr>
    </w:p>
    <w:p w14:paraId="732F473F" w14:textId="77777777" w:rsidR="00937DA3" w:rsidRPr="004E4FBE" w:rsidRDefault="00937DA3" w:rsidP="004E4FBE">
      <w:pPr>
        <w:pStyle w:val="BodyText2"/>
        <w:spacing w:after="120"/>
        <w:ind w:firstLine="567"/>
        <w:rPr>
          <w:i/>
          <w:iCs/>
          <w:szCs w:val="24"/>
        </w:rPr>
      </w:pPr>
      <w:r w:rsidRPr="004E4FBE">
        <w:rPr>
          <w:szCs w:val="24"/>
        </w:rPr>
        <w:t>2)</w:t>
      </w:r>
      <w:r w:rsidRPr="004E4FBE">
        <w:rPr>
          <w:i/>
          <w:iCs/>
          <w:szCs w:val="24"/>
        </w:rPr>
        <w:t xml:space="preserve"> zemāka elektroenerģijas tirgus cena </w:t>
      </w:r>
      <w:r w:rsidRPr="004E4FBE">
        <w:rPr>
          <w:szCs w:val="24"/>
        </w:rPr>
        <w:t>(skat. 3.tab.);</w:t>
      </w:r>
    </w:p>
    <w:p w14:paraId="77CD38DD" w14:textId="6096464C" w:rsidR="00937DA3" w:rsidRPr="004E4FBE" w:rsidRDefault="00937DA3" w:rsidP="004E4FBE">
      <w:pPr>
        <w:pStyle w:val="BodyText2"/>
        <w:spacing w:after="120"/>
        <w:ind w:firstLine="567"/>
        <w:rPr>
          <w:szCs w:val="24"/>
        </w:rPr>
      </w:pPr>
      <w:r w:rsidRPr="004E4FBE">
        <w:rPr>
          <w:szCs w:val="24"/>
        </w:rPr>
        <w:t>Elektroenerģijas tirgus cenas 2020.</w:t>
      </w:r>
      <w:r w:rsidR="009E358F" w:rsidRPr="004E4FBE">
        <w:rPr>
          <w:szCs w:val="24"/>
        </w:rPr>
        <w:t> </w:t>
      </w:r>
      <w:r w:rsidRPr="004E4FBE">
        <w:rPr>
          <w:szCs w:val="24"/>
        </w:rPr>
        <w:t>gadā samazināšanās reģionā salīdzinājumā ar 2017. gada prognozēm, kā rezultātā iepirktās elektroenerģijas tirgus vērtība kļūst zemāka, bet atbalsta apjoms attiecīgi lielāks.</w:t>
      </w:r>
    </w:p>
    <w:p w14:paraId="170B7597" w14:textId="77777777" w:rsidR="00937DA3" w:rsidRPr="004E4FBE" w:rsidRDefault="00937DA3"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3. tabula</w:t>
      </w:r>
    </w:p>
    <w:p w14:paraId="2DAAECB6" w14:textId="77777777" w:rsidR="00937DA3" w:rsidRPr="004E4FBE" w:rsidRDefault="00937DA3"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Elektroenerģijas tirgus cenas prognozes</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819"/>
        <w:gridCol w:w="902"/>
        <w:gridCol w:w="902"/>
        <w:gridCol w:w="902"/>
        <w:gridCol w:w="902"/>
        <w:gridCol w:w="902"/>
        <w:gridCol w:w="902"/>
        <w:gridCol w:w="902"/>
      </w:tblGrid>
      <w:tr w:rsidR="004E4FBE" w:rsidRPr="004E4FBE" w14:paraId="347B3703" w14:textId="77777777" w:rsidTr="686AEE59">
        <w:trPr>
          <w:trHeight w:val="395"/>
          <w:jc w:val="center"/>
        </w:trPr>
        <w:tc>
          <w:tcPr>
            <w:tcW w:w="2819" w:type="dxa"/>
            <w:shd w:val="clear" w:color="auto" w:fill="auto"/>
            <w:hideMark/>
          </w:tcPr>
          <w:p w14:paraId="1147C734" w14:textId="77777777" w:rsidR="00937DA3" w:rsidRPr="004E4FBE" w:rsidRDefault="00937DA3" w:rsidP="004E4FBE">
            <w:pPr>
              <w:spacing w:after="120"/>
              <w:jc w:val="center"/>
              <w:rPr>
                <w:rFonts w:eastAsia="Times New Roman" w:cs="Times New Roman"/>
                <w:sz w:val="24"/>
                <w:szCs w:val="24"/>
                <w:lang w:eastAsia="lv-LV"/>
              </w:rPr>
            </w:pPr>
          </w:p>
        </w:tc>
        <w:tc>
          <w:tcPr>
            <w:tcW w:w="902" w:type="dxa"/>
            <w:shd w:val="clear" w:color="auto" w:fill="auto"/>
            <w:vAlign w:val="center"/>
            <w:hideMark/>
          </w:tcPr>
          <w:p w14:paraId="09B1DB81"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2017</w:t>
            </w:r>
          </w:p>
        </w:tc>
        <w:tc>
          <w:tcPr>
            <w:tcW w:w="902" w:type="dxa"/>
            <w:shd w:val="clear" w:color="auto" w:fill="auto"/>
            <w:vAlign w:val="center"/>
            <w:hideMark/>
          </w:tcPr>
          <w:p w14:paraId="073E8D87"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2018</w:t>
            </w:r>
          </w:p>
        </w:tc>
        <w:tc>
          <w:tcPr>
            <w:tcW w:w="902" w:type="dxa"/>
            <w:tcBorders>
              <w:bottom w:val="single" w:sz="4" w:space="0" w:color="auto"/>
            </w:tcBorders>
            <w:vAlign w:val="center"/>
          </w:tcPr>
          <w:p w14:paraId="05C82739"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2019</w:t>
            </w:r>
          </w:p>
        </w:tc>
        <w:tc>
          <w:tcPr>
            <w:tcW w:w="902" w:type="dxa"/>
            <w:tcBorders>
              <w:bottom w:val="single" w:sz="4" w:space="0" w:color="auto"/>
            </w:tcBorders>
          </w:tcPr>
          <w:p w14:paraId="6A956B81"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2020</w:t>
            </w:r>
          </w:p>
        </w:tc>
        <w:tc>
          <w:tcPr>
            <w:tcW w:w="902" w:type="dxa"/>
            <w:tcBorders>
              <w:bottom w:val="single" w:sz="4" w:space="0" w:color="auto"/>
            </w:tcBorders>
          </w:tcPr>
          <w:p w14:paraId="014A1DBE"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2021</w:t>
            </w:r>
          </w:p>
        </w:tc>
        <w:tc>
          <w:tcPr>
            <w:tcW w:w="902" w:type="dxa"/>
            <w:tcBorders>
              <w:bottom w:val="single" w:sz="4" w:space="0" w:color="auto"/>
            </w:tcBorders>
          </w:tcPr>
          <w:p w14:paraId="1363A864"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2022</w:t>
            </w:r>
          </w:p>
        </w:tc>
        <w:tc>
          <w:tcPr>
            <w:tcW w:w="902" w:type="dxa"/>
            <w:tcBorders>
              <w:bottom w:val="single" w:sz="4" w:space="0" w:color="auto"/>
            </w:tcBorders>
          </w:tcPr>
          <w:p w14:paraId="713FB7CD"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2023</w:t>
            </w:r>
          </w:p>
        </w:tc>
      </w:tr>
      <w:tr w:rsidR="004E4FBE" w:rsidRPr="004E4FBE" w14:paraId="7F541667" w14:textId="77777777" w:rsidTr="686AEE59">
        <w:trPr>
          <w:trHeight w:val="321"/>
          <w:jc w:val="center"/>
        </w:trPr>
        <w:tc>
          <w:tcPr>
            <w:tcW w:w="2819" w:type="dxa"/>
            <w:shd w:val="clear" w:color="auto" w:fill="auto"/>
            <w:vAlign w:val="center"/>
          </w:tcPr>
          <w:p w14:paraId="75FA2FCD"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 xml:space="preserve">2017.g prognoze, </w:t>
            </w:r>
            <w:r w:rsidRPr="004E4FBE">
              <w:rPr>
                <w:rFonts w:eastAsia="Times New Roman" w:cs="Times New Roman"/>
                <w:sz w:val="24"/>
                <w:szCs w:val="24"/>
              </w:rPr>
              <w:t>EUR/MWh</w:t>
            </w:r>
          </w:p>
        </w:tc>
        <w:tc>
          <w:tcPr>
            <w:tcW w:w="902" w:type="dxa"/>
            <w:shd w:val="clear" w:color="auto" w:fill="auto"/>
            <w:vAlign w:val="center"/>
          </w:tcPr>
          <w:p w14:paraId="1A08B0C7" w14:textId="77777777" w:rsidR="00937DA3" w:rsidRPr="004E4FBE" w:rsidRDefault="00937DA3" w:rsidP="004E4FBE">
            <w:pPr>
              <w:spacing w:after="120"/>
              <w:jc w:val="center"/>
              <w:rPr>
                <w:rFonts w:eastAsia="Times New Roman" w:cs="Times New Roman"/>
                <w:sz w:val="24"/>
                <w:szCs w:val="24"/>
              </w:rPr>
            </w:pPr>
            <w:r w:rsidRPr="004E4FBE">
              <w:rPr>
                <w:rFonts w:eastAsia="Times New Roman" w:cs="Times New Roman"/>
                <w:sz w:val="24"/>
                <w:szCs w:val="24"/>
              </w:rPr>
              <w:t xml:space="preserve">36,30 </w:t>
            </w:r>
          </w:p>
        </w:tc>
        <w:tc>
          <w:tcPr>
            <w:tcW w:w="902" w:type="dxa"/>
            <w:shd w:val="clear" w:color="auto" w:fill="auto"/>
            <w:vAlign w:val="center"/>
          </w:tcPr>
          <w:p w14:paraId="5A728BF2" w14:textId="77777777" w:rsidR="00937DA3" w:rsidRPr="004E4FBE" w:rsidRDefault="00937DA3" w:rsidP="004E4FBE">
            <w:pPr>
              <w:spacing w:after="120"/>
              <w:jc w:val="center"/>
              <w:rPr>
                <w:rFonts w:eastAsia="Times New Roman" w:cs="Times New Roman"/>
                <w:sz w:val="24"/>
                <w:szCs w:val="24"/>
              </w:rPr>
            </w:pPr>
            <w:r w:rsidRPr="004E4FBE">
              <w:rPr>
                <w:rFonts w:eastAsia="Times New Roman" w:cs="Times New Roman"/>
                <w:sz w:val="24"/>
                <w:szCs w:val="24"/>
              </w:rPr>
              <w:t> 33,99</w:t>
            </w:r>
          </w:p>
        </w:tc>
        <w:tc>
          <w:tcPr>
            <w:tcW w:w="902" w:type="dxa"/>
            <w:shd w:val="clear" w:color="auto" w:fill="auto"/>
            <w:vAlign w:val="center"/>
          </w:tcPr>
          <w:p w14:paraId="776FB1F4" w14:textId="77777777" w:rsidR="00937DA3" w:rsidRPr="004E4FBE" w:rsidRDefault="00937DA3" w:rsidP="004E4FBE">
            <w:pPr>
              <w:spacing w:after="120"/>
              <w:jc w:val="center"/>
              <w:rPr>
                <w:rFonts w:eastAsia="Times New Roman" w:cs="Times New Roman"/>
                <w:sz w:val="24"/>
                <w:szCs w:val="24"/>
              </w:rPr>
            </w:pPr>
            <w:r w:rsidRPr="004E4FBE">
              <w:rPr>
                <w:rFonts w:eastAsia="Times New Roman" w:cs="Times New Roman"/>
                <w:sz w:val="24"/>
                <w:szCs w:val="24"/>
              </w:rPr>
              <w:t> 32,46</w:t>
            </w:r>
          </w:p>
        </w:tc>
        <w:tc>
          <w:tcPr>
            <w:tcW w:w="902" w:type="dxa"/>
            <w:vAlign w:val="center"/>
          </w:tcPr>
          <w:p w14:paraId="130AE530" w14:textId="77777777" w:rsidR="00937DA3" w:rsidRPr="004E4FBE" w:rsidRDefault="00937DA3" w:rsidP="004E4FBE">
            <w:pPr>
              <w:spacing w:after="120"/>
              <w:jc w:val="center"/>
              <w:rPr>
                <w:rFonts w:eastAsia="Times New Roman" w:cs="Times New Roman"/>
                <w:sz w:val="24"/>
                <w:szCs w:val="24"/>
              </w:rPr>
            </w:pPr>
            <w:r w:rsidRPr="004E4FBE">
              <w:rPr>
                <w:rFonts w:eastAsia="Times New Roman" w:cs="Times New Roman"/>
                <w:sz w:val="24"/>
                <w:szCs w:val="24"/>
              </w:rPr>
              <w:t xml:space="preserve">32,28 </w:t>
            </w:r>
          </w:p>
        </w:tc>
        <w:tc>
          <w:tcPr>
            <w:tcW w:w="902" w:type="dxa"/>
          </w:tcPr>
          <w:p w14:paraId="24072C8B" w14:textId="77777777" w:rsidR="00937DA3" w:rsidRPr="004E4FBE" w:rsidRDefault="00937DA3" w:rsidP="004E4FBE">
            <w:pPr>
              <w:spacing w:after="120"/>
              <w:jc w:val="center"/>
              <w:rPr>
                <w:rFonts w:eastAsia="Times New Roman" w:cs="Times New Roman"/>
                <w:sz w:val="24"/>
                <w:szCs w:val="24"/>
              </w:rPr>
            </w:pPr>
          </w:p>
        </w:tc>
        <w:tc>
          <w:tcPr>
            <w:tcW w:w="902" w:type="dxa"/>
          </w:tcPr>
          <w:p w14:paraId="42449CA0" w14:textId="77777777" w:rsidR="00937DA3" w:rsidRPr="004E4FBE" w:rsidRDefault="00937DA3" w:rsidP="004E4FBE">
            <w:pPr>
              <w:spacing w:after="120"/>
              <w:jc w:val="center"/>
              <w:rPr>
                <w:rFonts w:eastAsia="Times New Roman" w:cs="Times New Roman"/>
                <w:sz w:val="24"/>
                <w:szCs w:val="24"/>
              </w:rPr>
            </w:pPr>
          </w:p>
        </w:tc>
        <w:tc>
          <w:tcPr>
            <w:tcW w:w="902" w:type="dxa"/>
          </w:tcPr>
          <w:p w14:paraId="5D396E94" w14:textId="77777777" w:rsidR="00937DA3" w:rsidRPr="004E4FBE" w:rsidRDefault="00937DA3" w:rsidP="004E4FBE">
            <w:pPr>
              <w:spacing w:after="120"/>
              <w:jc w:val="center"/>
              <w:rPr>
                <w:rFonts w:eastAsia="Times New Roman" w:cs="Times New Roman"/>
                <w:sz w:val="24"/>
                <w:szCs w:val="24"/>
              </w:rPr>
            </w:pPr>
          </w:p>
        </w:tc>
      </w:tr>
      <w:tr w:rsidR="00937DA3" w:rsidRPr="004E4FBE" w14:paraId="04801704" w14:textId="77777777" w:rsidTr="686AEE59">
        <w:trPr>
          <w:trHeight w:val="321"/>
          <w:jc w:val="center"/>
        </w:trPr>
        <w:tc>
          <w:tcPr>
            <w:tcW w:w="2819" w:type="dxa"/>
            <w:shd w:val="clear" w:color="auto" w:fill="auto"/>
            <w:vAlign w:val="center"/>
          </w:tcPr>
          <w:p w14:paraId="57EC6A2C"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Aktualizētā 2020. gada prognoze, EUR/MWh</w:t>
            </w:r>
          </w:p>
        </w:tc>
        <w:tc>
          <w:tcPr>
            <w:tcW w:w="902" w:type="dxa"/>
            <w:shd w:val="clear" w:color="auto" w:fill="auto"/>
            <w:vAlign w:val="center"/>
          </w:tcPr>
          <w:p w14:paraId="23B20476" w14:textId="77777777" w:rsidR="00937DA3" w:rsidRPr="004E4FBE" w:rsidRDefault="00937DA3" w:rsidP="004E4FBE">
            <w:pPr>
              <w:spacing w:after="120"/>
              <w:jc w:val="center"/>
              <w:rPr>
                <w:rFonts w:eastAsia="Times New Roman" w:cs="Times New Roman"/>
                <w:sz w:val="24"/>
                <w:szCs w:val="24"/>
              </w:rPr>
            </w:pPr>
          </w:p>
        </w:tc>
        <w:tc>
          <w:tcPr>
            <w:tcW w:w="902" w:type="dxa"/>
            <w:shd w:val="clear" w:color="auto" w:fill="auto"/>
            <w:vAlign w:val="center"/>
          </w:tcPr>
          <w:p w14:paraId="7F61DA9C" w14:textId="77777777" w:rsidR="00937DA3" w:rsidRPr="004E4FBE" w:rsidRDefault="00937DA3" w:rsidP="004E4FBE">
            <w:pPr>
              <w:spacing w:after="120"/>
              <w:jc w:val="center"/>
              <w:rPr>
                <w:rFonts w:eastAsia="Times New Roman" w:cs="Times New Roman"/>
                <w:sz w:val="24"/>
                <w:szCs w:val="24"/>
              </w:rPr>
            </w:pPr>
          </w:p>
        </w:tc>
        <w:tc>
          <w:tcPr>
            <w:tcW w:w="902" w:type="dxa"/>
            <w:shd w:val="clear" w:color="auto" w:fill="auto"/>
            <w:vAlign w:val="center"/>
          </w:tcPr>
          <w:p w14:paraId="680C9844" w14:textId="26CA560D" w:rsidR="00937DA3" w:rsidRPr="004E4FBE" w:rsidRDefault="00937DA3" w:rsidP="004E4FBE">
            <w:pPr>
              <w:spacing w:after="120"/>
              <w:jc w:val="center"/>
              <w:rPr>
                <w:rFonts w:eastAsia="Times New Roman" w:cs="Times New Roman"/>
                <w:sz w:val="24"/>
                <w:szCs w:val="24"/>
              </w:rPr>
            </w:pPr>
            <w:r w:rsidRPr="004E4FBE">
              <w:rPr>
                <w:rFonts w:eastAsia="Times New Roman" w:cs="Times New Roman"/>
                <w:sz w:val="24"/>
                <w:szCs w:val="24"/>
              </w:rPr>
              <w:t>46</w:t>
            </w:r>
            <w:r w:rsidR="00B3167B">
              <w:rPr>
                <w:rFonts w:eastAsia="Times New Roman" w:cs="Times New Roman"/>
                <w:sz w:val="24"/>
                <w:szCs w:val="24"/>
              </w:rPr>
              <w:t>,</w:t>
            </w:r>
            <w:r w:rsidRPr="004E4FBE">
              <w:rPr>
                <w:rFonts w:eastAsia="Times New Roman" w:cs="Times New Roman"/>
                <w:sz w:val="24"/>
                <w:szCs w:val="24"/>
              </w:rPr>
              <w:t>06</w:t>
            </w:r>
          </w:p>
        </w:tc>
        <w:tc>
          <w:tcPr>
            <w:tcW w:w="902" w:type="dxa"/>
            <w:vAlign w:val="center"/>
          </w:tcPr>
          <w:p w14:paraId="463A63CF" w14:textId="1D7FFD87" w:rsidR="00937DA3" w:rsidRPr="004E4FBE" w:rsidRDefault="00937DA3" w:rsidP="004E4FBE">
            <w:pPr>
              <w:spacing w:after="120"/>
              <w:jc w:val="center"/>
              <w:rPr>
                <w:rFonts w:eastAsia="Times New Roman" w:cs="Times New Roman"/>
                <w:sz w:val="24"/>
                <w:szCs w:val="24"/>
              </w:rPr>
            </w:pPr>
            <w:r w:rsidRPr="004E4FBE">
              <w:rPr>
                <w:rFonts w:eastAsia="Times New Roman" w:cs="Times New Roman"/>
                <w:sz w:val="24"/>
                <w:szCs w:val="24"/>
              </w:rPr>
              <w:t>31</w:t>
            </w:r>
            <w:r w:rsidR="00B3167B">
              <w:rPr>
                <w:rFonts w:eastAsia="Times New Roman" w:cs="Times New Roman"/>
                <w:sz w:val="24"/>
                <w:szCs w:val="24"/>
              </w:rPr>
              <w:t>,</w:t>
            </w:r>
            <w:r w:rsidRPr="004E4FBE">
              <w:rPr>
                <w:rFonts w:eastAsia="Times New Roman" w:cs="Times New Roman"/>
                <w:sz w:val="24"/>
                <w:szCs w:val="24"/>
              </w:rPr>
              <w:t>90</w:t>
            </w:r>
          </w:p>
        </w:tc>
        <w:tc>
          <w:tcPr>
            <w:tcW w:w="902" w:type="dxa"/>
            <w:vAlign w:val="center"/>
          </w:tcPr>
          <w:p w14:paraId="4913E6BF" w14:textId="46583C78" w:rsidR="00937DA3" w:rsidRPr="004E4FBE" w:rsidRDefault="00937DA3" w:rsidP="004E4FBE">
            <w:pPr>
              <w:spacing w:after="120"/>
              <w:jc w:val="center"/>
              <w:rPr>
                <w:rFonts w:eastAsia="Times New Roman" w:cs="Times New Roman"/>
                <w:sz w:val="24"/>
                <w:szCs w:val="24"/>
              </w:rPr>
            </w:pPr>
            <w:r w:rsidRPr="004E4FBE">
              <w:rPr>
                <w:rFonts w:eastAsia="Times New Roman" w:cs="Times New Roman"/>
                <w:sz w:val="24"/>
                <w:szCs w:val="24"/>
              </w:rPr>
              <w:t>38</w:t>
            </w:r>
            <w:r w:rsidR="00B3167B">
              <w:rPr>
                <w:rFonts w:eastAsia="Times New Roman" w:cs="Times New Roman"/>
                <w:sz w:val="24"/>
                <w:szCs w:val="24"/>
              </w:rPr>
              <w:t>,</w:t>
            </w:r>
            <w:r w:rsidRPr="004E4FBE">
              <w:rPr>
                <w:rFonts w:eastAsia="Times New Roman" w:cs="Times New Roman"/>
                <w:sz w:val="24"/>
                <w:szCs w:val="24"/>
              </w:rPr>
              <w:t>95</w:t>
            </w:r>
          </w:p>
        </w:tc>
        <w:tc>
          <w:tcPr>
            <w:tcW w:w="902" w:type="dxa"/>
            <w:vAlign w:val="center"/>
          </w:tcPr>
          <w:p w14:paraId="1B881278" w14:textId="2A6B490D" w:rsidR="00937DA3" w:rsidRPr="004E4FBE" w:rsidRDefault="00937DA3" w:rsidP="004E4FBE">
            <w:pPr>
              <w:spacing w:after="120"/>
              <w:jc w:val="center"/>
              <w:rPr>
                <w:rFonts w:eastAsia="Times New Roman" w:cs="Times New Roman"/>
                <w:sz w:val="24"/>
                <w:szCs w:val="24"/>
              </w:rPr>
            </w:pPr>
            <w:r w:rsidRPr="004E4FBE">
              <w:rPr>
                <w:rFonts w:eastAsia="Times New Roman" w:cs="Times New Roman"/>
                <w:sz w:val="24"/>
                <w:szCs w:val="24"/>
              </w:rPr>
              <w:t>41</w:t>
            </w:r>
            <w:r w:rsidR="00B3167B">
              <w:rPr>
                <w:rFonts w:eastAsia="Times New Roman" w:cs="Times New Roman"/>
                <w:sz w:val="24"/>
                <w:szCs w:val="24"/>
              </w:rPr>
              <w:t>,</w:t>
            </w:r>
            <w:r w:rsidRPr="004E4FBE">
              <w:rPr>
                <w:rFonts w:eastAsia="Times New Roman" w:cs="Times New Roman"/>
                <w:sz w:val="24"/>
                <w:szCs w:val="24"/>
              </w:rPr>
              <w:t>96</w:t>
            </w:r>
          </w:p>
        </w:tc>
        <w:tc>
          <w:tcPr>
            <w:tcW w:w="902" w:type="dxa"/>
            <w:vAlign w:val="center"/>
          </w:tcPr>
          <w:p w14:paraId="4E393A58" w14:textId="1BBDD50E" w:rsidR="00937DA3" w:rsidRPr="004E4FBE" w:rsidRDefault="00937DA3" w:rsidP="004E4FBE">
            <w:pPr>
              <w:spacing w:after="120"/>
              <w:jc w:val="center"/>
              <w:rPr>
                <w:rFonts w:eastAsia="Times New Roman" w:cs="Times New Roman"/>
                <w:sz w:val="24"/>
                <w:szCs w:val="24"/>
              </w:rPr>
            </w:pPr>
            <w:r w:rsidRPr="004E4FBE">
              <w:rPr>
                <w:rFonts w:eastAsia="Times New Roman" w:cs="Times New Roman"/>
                <w:sz w:val="24"/>
                <w:szCs w:val="24"/>
              </w:rPr>
              <w:t>43</w:t>
            </w:r>
            <w:r w:rsidR="00B3167B">
              <w:rPr>
                <w:rFonts w:eastAsia="Times New Roman" w:cs="Times New Roman"/>
                <w:sz w:val="24"/>
                <w:szCs w:val="24"/>
              </w:rPr>
              <w:t>,</w:t>
            </w:r>
            <w:r w:rsidRPr="004E4FBE">
              <w:rPr>
                <w:rFonts w:eastAsia="Times New Roman" w:cs="Times New Roman"/>
                <w:sz w:val="24"/>
                <w:szCs w:val="24"/>
              </w:rPr>
              <w:t>70</w:t>
            </w:r>
          </w:p>
        </w:tc>
      </w:tr>
    </w:tbl>
    <w:p w14:paraId="50FF4575" w14:textId="6B9D826D" w:rsidR="686AEE59" w:rsidRDefault="686AEE59"/>
    <w:p w14:paraId="40FFAE26" w14:textId="77777777" w:rsidR="00937DA3" w:rsidRPr="004E4FBE" w:rsidRDefault="00937DA3" w:rsidP="004E4FBE">
      <w:pPr>
        <w:pStyle w:val="BodyText2"/>
        <w:spacing w:after="120"/>
        <w:ind w:firstLine="851"/>
        <w:rPr>
          <w:szCs w:val="24"/>
        </w:rPr>
      </w:pPr>
    </w:p>
    <w:p w14:paraId="2BC8BC66" w14:textId="0ACC6567" w:rsidR="00937DA3" w:rsidRPr="004E4FBE" w:rsidRDefault="00937DA3" w:rsidP="004E4FBE">
      <w:pPr>
        <w:pStyle w:val="BodyText2"/>
        <w:spacing w:after="120"/>
        <w:ind w:firstLine="851"/>
        <w:rPr>
          <w:szCs w:val="24"/>
        </w:rPr>
      </w:pPr>
      <w:r w:rsidRPr="004E4FBE">
        <w:rPr>
          <w:szCs w:val="24"/>
        </w:rPr>
        <w:lastRenderedPageBreak/>
        <w:t>Vidējās OIK izmaiņas pa gadiem bez dotācijas no valsts budžeta saskaņā ar Enerģijas publiskā tirgotāja (turpmāk – EPT) prognozēm atspoguļotas 4. tabulā. Jāatzīmē, ka OIK tiek noteikt</w:t>
      </w:r>
      <w:r w:rsidR="0001457A" w:rsidRPr="004E4FBE">
        <w:rPr>
          <w:szCs w:val="24"/>
        </w:rPr>
        <w:t>a</w:t>
      </w:r>
      <w:r w:rsidRPr="004E4FBE">
        <w:rPr>
          <w:szCs w:val="24"/>
        </w:rPr>
        <w:t xml:space="preserve"> ar viena gada nobīdi, t.i</w:t>
      </w:r>
      <w:r w:rsidR="00EA5AC1" w:rsidRPr="004E4FBE">
        <w:rPr>
          <w:szCs w:val="24"/>
        </w:rPr>
        <w:t>.</w:t>
      </w:r>
      <w:r w:rsidRPr="004E4FBE">
        <w:rPr>
          <w:szCs w:val="24"/>
        </w:rPr>
        <w:t>, izmaksas virs tirgus cenas, kas veidojas, piemēram, 2020. gadā bez valsts budžeta līdzfinansējuma atspoguļojas OIK sākot ar 2021. gadu.</w:t>
      </w:r>
    </w:p>
    <w:p w14:paraId="79457413" w14:textId="77777777" w:rsidR="00937DA3" w:rsidRPr="004E4FBE" w:rsidRDefault="00937DA3"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4. tabula</w:t>
      </w:r>
    </w:p>
    <w:p w14:paraId="7882FDA0" w14:textId="77777777" w:rsidR="00937DA3" w:rsidRPr="004E4FBE" w:rsidRDefault="00937DA3"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OIK prognozes bez valsts dotācijas, EUR/MWh</w:t>
      </w:r>
    </w:p>
    <w:tbl>
      <w:tblPr>
        <w:tblW w:w="6260" w:type="dxa"/>
        <w:jc w:val="center"/>
        <w:tblLook w:val="04A0" w:firstRow="1" w:lastRow="0" w:firstColumn="1" w:lastColumn="0" w:noHBand="0" w:noVBand="1"/>
      </w:tblPr>
      <w:tblGrid>
        <w:gridCol w:w="2420"/>
        <w:gridCol w:w="960"/>
        <w:gridCol w:w="960"/>
        <w:gridCol w:w="960"/>
        <w:gridCol w:w="960"/>
      </w:tblGrid>
      <w:tr w:rsidR="004E4FBE" w:rsidRPr="004E4FBE" w14:paraId="56494E25" w14:textId="77777777" w:rsidTr="2101D4DB">
        <w:trPr>
          <w:trHeight w:val="300"/>
          <w:jc w:val="center"/>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8E5B9" w14:textId="77777777" w:rsidR="00937DA3" w:rsidRPr="004E4FBE" w:rsidRDefault="00937DA3" w:rsidP="004E4FBE">
            <w:pPr>
              <w:spacing w:after="120"/>
              <w:jc w:val="center"/>
              <w:rPr>
                <w:rFonts w:eastAsia="Times New Roman" w:cs="Times New Roman"/>
                <w:sz w:val="24"/>
                <w:szCs w:val="24"/>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BA1DB21"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B602A33"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2022</w:t>
            </w:r>
          </w:p>
        </w:tc>
        <w:tc>
          <w:tcPr>
            <w:tcW w:w="960" w:type="dxa"/>
            <w:tcBorders>
              <w:top w:val="single" w:sz="4" w:space="0" w:color="auto"/>
              <w:left w:val="nil"/>
              <w:bottom w:val="single" w:sz="4" w:space="0" w:color="auto"/>
              <w:right w:val="single" w:sz="4" w:space="0" w:color="auto"/>
            </w:tcBorders>
            <w:vAlign w:val="center"/>
          </w:tcPr>
          <w:p w14:paraId="133FBC9F"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2023</w:t>
            </w:r>
          </w:p>
        </w:tc>
        <w:tc>
          <w:tcPr>
            <w:tcW w:w="960" w:type="dxa"/>
            <w:tcBorders>
              <w:top w:val="single" w:sz="4" w:space="0" w:color="auto"/>
              <w:left w:val="nil"/>
              <w:bottom w:val="single" w:sz="4" w:space="0" w:color="auto"/>
              <w:right w:val="single" w:sz="4" w:space="0" w:color="auto"/>
            </w:tcBorders>
          </w:tcPr>
          <w:p w14:paraId="0F33EE4A"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2024</w:t>
            </w:r>
          </w:p>
        </w:tc>
      </w:tr>
      <w:tr w:rsidR="00937DA3" w:rsidRPr="004E4FBE" w14:paraId="53FE0D85" w14:textId="77777777" w:rsidTr="2101D4DB">
        <w:trPr>
          <w:trHeight w:val="600"/>
          <w:jc w:val="center"/>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7C34C"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OIK bez dotācijas, EUR/MWh</w:t>
            </w:r>
          </w:p>
        </w:tc>
        <w:tc>
          <w:tcPr>
            <w:tcW w:w="960" w:type="dxa"/>
            <w:tcBorders>
              <w:top w:val="nil"/>
              <w:left w:val="nil"/>
              <w:bottom w:val="single" w:sz="4" w:space="0" w:color="auto"/>
              <w:right w:val="single" w:sz="4" w:space="0" w:color="auto"/>
            </w:tcBorders>
            <w:shd w:val="clear" w:color="auto" w:fill="auto"/>
            <w:noWrap/>
            <w:vAlign w:val="center"/>
            <w:hideMark/>
          </w:tcPr>
          <w:p w14:paraId="3D1C1CFE"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25.72</w:t>
            </w:r>
          </w:p>
        </w:tc>
        <w:tc>
          <w:tcPr>
            <w:tcW w:w="960" w:type="dxa"/>
            <w:tcBorders>
              <w:top w:val="nil"/>
              <w:left w:val="nil"/>
              <w:bottom w:val="single" w:sz="4" w:space="0" w:color="auto"/>
              <w:right w:val="single" w:sz="4" w:space="0" w:color="auto"/>
            </w:tcBorders>
            <w:shd w:val="clear" w:color="auto" w:fill="auto"/>
            <w:noWrap/>
            <w:vAlign w:val="center"/>
            <w:hideMark/>
          </w:tcPr>
          <w:p w14:paraId="16CB04F4" w14:textId="2D7E761A" w:rsidR="00937DA3" w:rsidRPr="004E4FBE" w:rsidRDefault="663692D4" w:rsidP="6410F582">
            <w:pPr>
              <w:spacing w:after="120"/>
              <w:jc w:val="center"/>
              <w:rPr>
                <w:rFonts w:eastAsia="Times New Roman" w:cs="Times New Roman"/>
                <w:sz w:val="24"/>
                <w:szCs w:val="24"/>
                <w:lang w:eastAsia="lv-LV"/>
              </w:rPr>
            </w:pPr>
            <w:r w:rsidRPr="2101D4DB">
              <w:rPr>
                <w:rFonts w:eastAsia="Times New Roman" w:cs="Times New Roman"/>
                <w:sz w:val="24"/>
                <w:szCs w:val="24"/>
                <w:lang w:eastAsia="lv-LV"/>
              </w:rPr>
              <w:t>23.66</w:t>
            </w:r>
          </w:p>
          <w:p w14:paraId="7A9102B4" w14:textId="1D27D285" w:rsidR="00937DA3" w:rsidRPr="004E4FBE" w:rsidRDefault="00937DA3" w:rsidP="6410F582">
            <w:pPr>
              <w:spacing w:after="120"/>
              <w:jc w:val="center"/>
              <w:rPr>
                <w:rFonts w:eastAsia="Times New Roman" w:cs="Times New Roman"/>
                <w:sz w:val="24"/>
                <w:szCs w:val="24"/>
                <w:lang w:eastAsia="lv-LV"/>
              </w:rPr>
            </w:pPr>
          </w:p>
        </w:tc>
        <w:tc>
          <w:tcPr>
            <w:tcW w:w="960" w:type="dxa"/>
            <w:tcBorders>
              <w:top w:val="nil"/>
              <w:left w:val="nil"/>
              <w:bottom w:val="single" w:sz="4" w:space="0" w:color="auto"/>
              <w:right w:val="single" w:sz="4" w:space="0" w:color="auto"/>
            </w:tcBorders>
            <w:vAlign w:val="center"/>
          </w:tcPr>
          <w:p w14:paraId="65773EC7" w14:textId="77777777" w:rsidR="00DB45E2" w:rsidRDefault="00DB45E2" w:rsidP="6410F582">
            <w:pPr>
              <w:spacing w:after="120"/>
              <w:jc w:val="center"/>
              <w:rPr>
                <w:rFonts w:eastAsia="Times New Roman" w:cs="Times New Roman"/>
                <w:sz w:val="24"/>
                <w:szCs w:val="24"/>
                <w:lang w:eastAsia="lv-LV"/>
              </w:rPr>
            </w:pPr>
          </w:p>
          <w:p w14:paraId="0492B688" w14:textId="21917D0E" w:rsidR="00937DA3" w:rsidRPr="004E4FBE" w:rsidRDefault="6FB7CF54" w:rsidP="6410F582">
            <w:pPr>
              <w:spacing w:after="120"/>
              <w:jc w:val="center"/>
              <w:rPr>
                <w:rFonts w:eastAsia="Times New Roman" w:cs="Times New Roman"/>
                <w:sz w:val="24"/>
                <w:szCs w:val="24"/>
                <w:lang w:eastAsia="lv-LV"/>
              </w:rPr>
            </w:pPr>
            <w:r w:rsidRPr="2101D4DB">
              <w:rPr>
                <w:rFonts w:eastAsia="Times New Roman" w:cs="Times New Roman"/>
                <w:sz w:val="24"/>
                <w:szCs w:val="24"/>
                <w:lang w:eastAsia="lv-LV"/>
              </w:rPr>
              <w:t>18.81</w:t>
            </w:r>
          </w:p>
          <w:p w14:paraId="2821A9B4" w14:textId="1D27D285" w:rsidR="00937DA3" w:rsidRPr="004E4FBE" w:rsidRDefault="00937DA3" w:rsidP="6410F582">
            <w:pPr>
              <w:spacing w:after="120"/>
              <w:jc w:val="center"/>
              <w:rPr>
                <w:rFonts w:eastAsia="Times New Roman" w:cs="Times New Roman"/>
                <w:sz w:val="24"/>
                <w:szCs w:val="24"/>
                <w:lang w:eastAsia="lv-LV"/>
              </w:rPr>
            </w:pPr>
          </w:p>
        </w:tc>
        <w:tc>
          <w:tcPr>
            <w:tcW w:w="960" w:type="dxa"/>
            <w:tcBorders>
              <w:top w:val="nil"/>
              <w:left w:val="nil"/>
              <w:bottom w:val="single" w:sz="4" w:space="0" w:color="auto"/>
              <w:right w:val="single" w:sz="4" w:space="0" w:color="auto"/>
            </w:tcBorders>
            <w:vAlign w:val="center"/>
          </w:tcPr>
          <w:p w14:paraId="2E78310A" w14:textId="0D243601" w:rsidR="00937DA3" w:rsidRPr="004E4FBE" w:rsidRDefault="000B3352" w:rsidP="004E4FBE">
            <w:pPr>
              <w:spacing w:after="120"/>
              <w:jc w:val="center"/>
              <w:rPr>
                <w:rFonts w:eastAsia="Times New Roman" w:cs="Times New Roman"/>
                <w:sz w:val="24"/>
                <w:szCs w:val="24"/>
                <w:lang w:eastAsia="lv-LV"/>
              </w:rPr>
            </w:pPr>
            <w:r>
              <w:rPr>
                <w:rFonts w:eastAsia="Times New Roman" w:cs="Times New Roman"/>
                <w:sz w:val="24"/>
                <w:szCs w:val="24"/>
                <w:lang w:eastAsia="lv-LV"/>
              </w:rPr>
              <w:t>16.65</w:t>
            </w:r>
          </w:p>
        </w:tc>
      </w:tr>
    </w:tbl>
    <w:p w14:paraId="5916C1A0" w14:textId="10E2044B" w:rsidR="686AEE59" w:rsidRDefault="686AEE59"/>
    <w:p w14:paraId="54598CB2" w14:textId="77777777" w:rsidR="00937DA3" w:rsidRPr="004E4FBE" w:rsidRDefault="00937DA3" w:rsidP="004E4FBE">
      <w:pPr>
        <w:pStyle w:val="BodyText2"/>
        <w:spacing w:after="120"/>
        <w:ind w:firstLine="851"/>
        <w:rPr>
          <w:szCs w:val="24"/>
        </w:rPr>
      </w:pPr>
    </w:p>
    <w:p w14:paraId="0A77594A" w14:textId="561EB47F" w:rsidR="00937DA3" w:rsidRPr="004E4FBE" w:rsidRDefault="00937DA3" w:rsidP="004E4FBE">
      <w:pPr>
        <w:pStyle w:val="BodyText2"/>
        <w:spacing w:after="120"/>
        <w:ind w:firstLine="851"/>
      </w:pPr>
      <w:r>
        <w:t>Elektroenerģijas tirgus cenas samazinājuma rezultātā 2020. gadā, prognozēt</w:t>
      </w:r>
      <w:r w:rsidR="0001457A">
        <w:t>ā</w:t>
      </w:r>
      <w:r>
        <w:t xml:space="preserve"> OIK 2021. gadā pārsniegs līdzšinējo politikā noteikto</w:t>
      </w:r>
      <w:r w:rsidR="00D64680">
        <w:t>s</w:t>
      </w:r>
      <w:r>
        <w:t xml:space="preserve"> ierobežojuma griestus 22,68 EUR/MWh apmērā.</w:t>
      </w:r>
      <w:r w:rsidR="00026014">
        <w:t xml:space="preserve"> Tādējādi pretēji valdības noteiktajam mērķim par OIK mazināšanu bez papildu valsts budžeta dotācijas OIK  2021. un 2022.gadā salīdzinājumā ar 2020.gada līmeni palielinātos. Ņemot vērā minēto, Ministru kabinetam ir jālemj par atbilstošo risinājumu. </w:t>
      </w:r>
    </w:p>
    <w:p w14:paraId="5CB84106" w14:textId="23A36E2E" w:rsidR="00937DA3" w:rsidRPr="004E4FBE" w:rsidRDefault="00937DA3" w:rsidP="004E4FBE">
      <w:pPr>
        <w:pStyle w:val="BodyText2"/>
        <w:spacing w:after="120"/>
        <w:ind w:firstLine="851"/>
        <w:rPr>
          <w:szCs w:val="24"/>
        </w:rPr>
      </w:pPr>
    </w:p>
    <w:p w14:paraId="6A350437" w14:textId="77777777" w:rsidR="00937DA3" w:rsidRPr="004E4FBE" w:rsidRDefault="00937DA3" w:rsidP="004E4FBE">
      <w:pPr>
        <w:pStyle w:val="Heading2"/>
        <w:spacing w:before="0" w:after="120" w:line="240" w:lineRule="auto"/>
        <w:rPr>
          <w:rFonts w:ascii="Times New Roman" w:eastAsia="Times New Roman" w:hAnsi="Times New Roman" w:cs="Times New Roman"/>
          <w:b/>
          <w:bCs/>
          <w:color w:val="auto"/>
          <w:sz w:val="24"/>
          <w:szCs w:val="24"/>
        </w:rPr>
      </w:pPr>
      <w:bookmarkStart w:id="5" w:name="_Toc51576933"/>
      <w:r w:rsidRPr="004E4FBE">
        <w:rPr>
          <w:rFonts w:ascii="Times New Roman" w:eastAsia="Times New Roman" w:hAnsi="Times New Roman" w:cs="Times New Roman"/>
          <w:b/>
          <w:bCs/>
          <w:color w:val="auto"/>
          <w:sz w:val="24"/>
          <w:szCs w:val="24"/>
        </w:rPr>
        <w:t>Avansa maksājums jaudas maksājuma kompensācijai</w:t>
      </w:r>
      <w:bookmarkEnd w:id="5"/>
    </w:p>
    <w:p w14:paraId="116F4206" w14:textId="1AF8DCEC" w:rsidR="00DB06E2" w:rsidRPr="004E4FBE" w:rsidRDefault="00DB06E2" w:rsidP="004E4FBE">
      <w:pPr>
        <w:pStyle w:val="BodyText2"/>
        <w:spacing w:after="120"/>
        <w:ind w:firstLine="851"/>
        <w:rPr>
          <w:szCs w:val="24"/>
        </w:rPr>
      </w:pPr>
      <w:r w:rsidRPr="004E4FBE">
        <w:rPr>
          <w:szCs w:val="24"/>
        </w:rPr>
        <w:t>2017.</w:t>
      </w:r>
      <w:r w:rsidR="0096400F" w:rsidRPr="004E4FBE">
        <w:rPr>
          <w:szCs w:val="24"/>
        </w:rPr>
        <w:t> </w:t>
      </w:r>
      <w:r w:rsidRPr="004E4FBE">
        <w:rPr>
          <w:szCs w:val="24"/>
        </w:rPr>
        <w:t xml:space="preserve">gadā saskaņā ar </w:t>
      </w:r>
      <w:r w:rsidR="00323773" w:rsidRPr="004E4FBE">
        <w:rPr>
          <w:szCs w:val="24"/>
        </w:rPr>
        <w:t>Ministru kabineta 2009. gada 10. marta noteikumiem Nr.</w:t>
      </w:r>
      <w:r w:rsidR="0024182A" w:rsidRPr="004E4FBE">
        <w:t xml:space="preserve"> </w:t>
      </w:r>
      <w:r w:rsidR="00323773" w:rsidRPr="004E4FBE">
        <w:rPr>
          <w:szCs w:val="24"/>
        </w:rPr>
        <w:t>221 “Noteikumi par elektroenerģijas ražošanu un cenu noteikšanu, ražojot elektroenerģiju koģenerācijā” (turpmāk – MK noteikumi Nr.</w:t>
      </w:r>
      <w:r w:rsidR="0024182A" w:rsidRPr="004E4FBE">
        <w:rPr>
          <w:szCs w:val="24"/>
        </w:rPr>
        <w:t xml:space="preserve"> </w:t>
      </w:r>
      <w:r w:rsidR="00323773" w:rsidRPr="004E4FBE">
        <w:rPr>
          <w:szCs w:val="24"/>
        </w:rPr>
        <w:t>221)</w:t>
      </w:r>
      <w:r w:rsidRPr="004E4FBE">
        <w:rPr>
          <w:szCs w:val="24"/>
        </w:rPr>
        <w:t xml:space="preserve"> AS “Latvenergo” pieteicās uz vienreizēju maksājumu, kas sastāv no diskontētām trim ceturtdaļām no atlikušajā atbalsta periodā saņemamās garantētās maksas par koģenerācijas elektrostacijā uzstādīto elektrisko jaudu (turpmāk – vienreizējs maksājums)</w:t>
      </w:r>
      <w:r w:rsidR="003836FB" w:rsidRPr="004E4FBE">
        <w:rPr>
          <w:szCs w:val="24"/>
        </w:rPr>
        <w:t xml:space="preserve">. Saskaņā ar </w:t>
      </w:r>
      <w:r w:rsidR="00323773" w:rsidRPr="004E4FBE">
        <w:rPr>
          <w:szCs w:val="24"/>
        </w:rPr>
        <w:t>MK noteikumi</w:t>
      </w:r>
      <w:r w:rsidR="006A6DED" w:rsidRPr="004E4FBE">
        <w:rPr>
          <w:szCs w:val="24"/>
        </w:rPr>
        <w:t>em</w:t>
      </w:r>
      <w:r w:rsidR="00323773" w:rsidRPr="004E4FBE">
        <w:rPr>
          <w:szCs w:val="24"/>
        </w:rPr>
        <w:t xml:space="preserve"> Nr.</w:t>
      </w:r>
      <w:r w:rsidR="0024182A" w:rsidRPr="004E4FBE">
        <w:rPr>
          <w:szCs w:val="24"/>
        </w:rPr>
        <w:t xml:space="preserve"> </w:t>
      </w:r>
      <w:r w:rsidR="00323773" w:rsidRPr="004E4FBE">
        <w:rPr>
          <w:szCs w:val="24"/>
        </w:rPr>
        <w:t>221</w:t>
      </w:r>
      <w:r w:rsidR="003836FB" w:rsidRPr="004E4FBE">
        <w:rPr>
          <w:szCs w:val="24"/>
        </w:rPr>
        <w:t xml:space="preserve"> vienreizējo maksājumu veido divas daļas, par kuru apmēru lemj Ministru kabinets. Pirmā daļa nepārsniedz vienu trešdaļu no kopējā apmēra, tiek izmaksāta komersantam kā kompensācija izmaksas gadā un komersanta grāmatvedības dokumentos ir grāmatojama kā attiecīgā gada ieņēmumi. Atlikusī daļa tiek izmaksāta kā avansa maksājums un komersanta grāmatvedībā ir atzīstama kā ieņēmumi proporcionāli saistību izpildei līdz atbalsta perioda beigām. Avansa maksājums veido ikgadēju ietekmi uz valsts budžeta fiskālo telpu saskaņā ar 5.tabulu.</w:t>
      </w:r>
    </w:p>
    <w:p w14:paraId="775BA9BD" w14:textId="10376ED6" w:rsidR="003836FB" w:rsidRPr="004E4FBE" w:rsidRDefault="003836FB"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5. tabula</w:t>
      </w:r>
    </w:p>
    <w:p w14:paraId="128BADD3" w14:textId="6F205FE9" w:rsidR="003836FB" w:rsidRPr="004E4FBE" w:rsidRDefault="003836FB"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Vienreizējā maksājuma avansa daļas ietekme uz valsts budžetu</w:t>
      </w:r>
    </w:p>
    <w:tbl>
      <w:tblPr>
        <w:tblStyle w:val="TableGrid"/>
        <w:tblW w:w="0" w:type="auto"/>
        <w:jc w:val="center"/>
        <w:tblLook w:val="04A0" w:firstRow="1" w:lastRow="0" w:firstColumn="1" w:lastColumn="0" w:noHBand="0" w:noVBand="1"/>
      </w:tblPr>
      <w:tblGrid>
        <w:gridCol w:w="988"/>
        <w:gridCol w:w="3902"/>
      </w:tblGrid>
      <w:tr w:rsidR="004E4FBE" w:rsidRPr="004E4FBE" w14:paraId="7607E9A2" w14:textId="77777777" w:rsidTr="686AEE59">
        <w:trPr>
          <w:jc w:val="center"/>
        </w:trPr>
        <w:tc>
          <w:tcPr>
            <w:tcW w:w="988" w:type="dxa"/>
            <w:vAlign w:val="center"/>
          </w:tcPr>
          <w:p w14:paraId="13983C5D" w14:textId="77777777" w:rsidR="003836FB" w:rsidRPr="004E4FBE" w:rsidRDefault="003836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Gads</w:t>
            </w:r>
          </w:p>
        </w:tc>
        <w:tc>
          <w:tcPr>
            <w:tcW w:w="3902" w:type="dxa"/>
            <w:vAlign w:val="center"/>
          </w:tcPr>
          <w:p w14:paraId="525084EA" w14:textId="77777777" w:rsidR="003836FB" w:rsidRPr="004E4FBE" w:rsidRDefault="003836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Prognozētā nepieciešamā atbalsta summa no valsts budžeta, EUR</w:t>
            </w:r>
          </w:p>
        </w:tc>
      </w:tr>
      <w:tr w:rsidR="004E4FBE" w:rsidRPr="004E4FBE" w14:paraId="7E3BFAC6" w14:textId="77777777" w:rsidTr="686AEE59">
        <w:trPr>
          <w:jc w:val="center"/>
        </w:trPr>
        <w:tc>
          <w:tcPr>
            <w:tcW w:w="988" w:type="dxa"/>
          </w:tcPr>
          <w:p w14:paraId="289AE9E2" w14:textId="77777777" w:rsidR="003836FB" w:rsidRPr="004E4FBE" w:rsidRDefault="003836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2021</w:t>
            </w:r>
          </w:p>
        </w:tc>
        <w:tc>
          <w:tcPr>
            <w:tcW w:w="3902" w:type="dxa"/>
          </w:tcPr>
          <w:p w14:paraId="5A0B4AA8" w14:textId="54547701" w:rsidR="003836FB" w:rsidRPr="004E4FBE" w:rsidRDefault="09C45F7F" w:rsidP="004E4FBE">
            <w:pPr>
              <w:spacing w:after="120"/>
              <w:jc w:val="center"/>
              <w:rPr>
                <w:rFonts w:eastAsia="Times New Roman" w:cs="Times New Roman"/>
                <w:sz w:val="24"/>
                <w:szCs w:val="24"/>
                <w:lang w:eastAsia="lv-LV"/>
              </w:rPr>
            </w:pPr>
            <w:r w:rsidRPr="004E4FBE">
              <w:rPr>
                <w:rFonts w:eastAsia="Times New Roman" w:cs="Times New Roman"/>
                <w:sz w:val="24"/>
                <w:szCs w:val="24"/>
                <w:lang w:val="de-DE"/>
              </w:rPr>
              <w:t>24 003 600</w:t>
            </w:r>
          </w:p>
        </w:tc>
      </w:tr>
      <w:tr w:rsidR="004E4FBE" w:rsidRPr="004E4FBE" w14:paraId="1355C04A" w14:textId="77777777" w:rsidTr="686AEE59">
        <w:trPr>
          <w:jc w:val="center"/>
        </w:trPr>
        <w:tc>
          <w:tcPr>
            <w:tcW w:w="988" w:type="dxa"/>
          </w:tcPr>
          <w:p w14:paraId="5E1085C6" w14:textId="77777777" w:rsidR="003836FB" w:rsidRPr="004E4FBE" w:rsidRDefault="003836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2022</w:t>
            </w:r>
          </w:p>
        </w:tc>
        <w:tc>
          <w:tcPr>
            <w:tcW w:w="3902" w:type="dxa"/>
          </w:tcPr>
          <w:p w14:paraId="3AE8E2E8" w14:textId="374D9353" w:rsidR="003836FB" w:rsidRPr="004E4FBE" w:rsidRDefault="09C45F7F" w:rsidP="004E4FBE">
            <w:pPr>
              <w:spacing w:after="120"/>
              <w:jc w:val="center"/>
              <w:rPr>
                <w:rFonts w:eastAsia="Times New Roman" w:cs="Times New Roman"/>
                <w:sz w:val="24"/>
                <w:szCs w:val="24"/>
                <w:lang w:val="de-DE"/>
              </w:rPr>
            </w:pPr>
            <w:r w:rsidRPr="004E4FBE">
              <w:rPr>
                <w:rFonts w:eastAsia="Times New Roman" w:cs="Times New Roman"/>
                <w:sz w:val="24"/>
                <w:szCs w:val="24"/>
                <w:lang w:val="de-DE"/>
              </w:rPr>
              <w:t>24 003 600</w:t>
            </w:r>
          </w:p>
        </w:tc>
      </w:tr>
      <w:tr w:rsidR="003836FB" w:rsidRPr="004E4FBE" w14:paraId="4BBD324F" w14:textId="77777777" w:rsidTr="686AEE59">
        <w:trPr>
          <w:jc w:val="center"/>
        </w:trPr>
        <w:tc>
          <w:tcPr>
            <w:tcW w:w="988" w:type="dxa"/>
          </w:tcPr>
          <w:p w14:paraId="5BBEA0D6" w14:textId="77777777" w:rsidR="003836FB" w:rsidRPr="004E4FBE" w:rsidRDefault="003836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2023</w:t>
            </w:r>
          </w:p>
        </w:tc>
        <w:tc>
          <w:tcPr>
            <w:tcW w:w="3902" w:type="dxa"/>
          </w:tcPr>
          <w:p w14:paraId="3B2D164C" w14:textId="0F663774" w:rsidR="003836FB" w:rsidRPr="004E4FBE" w:rsidRDefault="09C45F7F" w:rsidP="004E4FBE">
            <w:pPr>
              <w:spacing w:after="120"/>
              <w:jc w:val="center"/>
              <w:rPr>
                <w:rFonts w:eastAsia="Times New Roman" w:cs="Times New Roman"/>
                <w:sz w:val="24"/>
                <w:szCs w:val="24"/>
                <w:lang w:val="de-DE"/>
              </w:rPr>
            </w:pPr>
            <w:r w:rsidRPr="004E4FBE">
              <w:rPr>
                <w:rFonts w:eastAsia="Times New Roman" w:cs="Times New Roman"/>
                <w:sz w:val="24"/>
                <w:szCs w:val="24"/>
                <w:lang w:val="de-DE"/>
              </w:rPr>
              <w:t>24 003 600</w:t>
            </w:r>
          </w:p>
        </w:tc>
      </w:tr>
    </w:tbl>
    <w:p w14:paraId="1470A997" w14:textId="22519479" w:rsidR="686AEE59" w:rsidRDefault="686AEE59"/>
    <w:p w14:paraId="4C3850C9" w14:textId="77777777" w:rsidR="003836FB" w:rsidRPr="004E4FBE" w:rsidRDefault="003836FB" w:rsidP="004E4FBE">
      <w:pPr>
        <w:pStyle w:val="BodyText2"/>
        <w:spacing w:after="120"/>
        <w:ind w:firstLine="851"/>
        <w:rPr>
          <w:szCs w:val="24"/>
        </w:rPr>
      </w:pPr>
    </w:p>
    <w:p w14:paraId="14AAC65F" w14:textId="77777777" w:rsidR="00937DA3" w:rsidRPr="004E4FBE" w:rsidRDefault="00937DA3" w:rsidP="004E4FBE">
      <w:pPr>
        <w:pStyle w:val="Heading2"/>
        <w:spacing w:before="0" w:after="120" w:line="240" w:lineRule="auto"/>
        <w:rPr>
          <w:rFonts w:ascii="Times New Roman" w:eastAsia="Times New Roman" w:hAnsi="Times New Roman" w:cs="Times New Roman"/>
          <w:b/>
          <w:bCs/>
          <w:color w:val="auto"/>
          <w:sz w:val="24"/>
          <w:szCs w:val="24"/>
        </w:rPr>
      </w:pPr>
      <w:bookmarkStart w:id="6" w:name="_Toc491699585"/>
      <w:bookmarkStart w:id="7" w:name="_Toc51576934"/>
      <w:r w:rsidRPr="004E4FBE">
        <w:rPr>
          <w:rFonts w:ascii="Times New Roman" w:eastAsia="Times New Roman" w:hAnsi="Times New Roman" w:cs="Times New Roman"/>
          <w:b/>
          <w:bCs/>
          <w:color w:val="auto"/>
          <w:sz w:val="24"/>
          <w:szCs w:val="24"/>
        </w:rPr>
        <w:lastRenderedPageBreak/>
        <w:t>Atbalsts energoietilpīgiem apstrādes rūpniecības uzņēmumiem</w:t>
      </w:r>
      <w:bookmarkEnd w:id="6"/>
      <w:bookmarkEnd w:id="7"/>
    </w:p>
    <w:p w14:paraId="3835D168" w14:textId="68174AF3" w:rsidR="00BE0917" w:rsidRDefault="00937DA3" w:rsidP="004E4FBE">
      <w:pPr>
        <w:spacing w:after="120"/>
        <w:ind w:firstLine="851"/>
        <w:rPr>
          <w:rFonts w:eastAsia="Times New Roman" w:cs="Times New Roman"/>
          <w:sz w:val="24"/>
          <w:szCs w:val="24"/>
        </w:rPr>
      </w:pPr>
      <w:r w:rsidRPr="004E4FBE">
        <w:rPr>
          <w:rFonts w:eastAsia="Times New Roman" w:cs="Times New Roman"/>
          <w:sz w:val="24"/>
          <w:szCs w:val="24"/>
        </w:rPr>
        <w:t xml:space="preserve">Atbalsts elektroenerģijas lietotājiem vidējās OIK samazināšanai samazina lietotāju kopējos maksājumus, taču daudziem apstrādes rūpniecības uzņēmumiem ir liela energoietilpība un ar šo atbalstu nepietiek to konkurētspējas nodrošināšanai. Lai mazinātu OIK pieauguma negatīvo efektu uz komersantiem, kas savu pamatdarbību ir izvērsuši energoietilpīgajās nozarēs, tostarp, metālrūpniecībā un būvmateriālu ražošanā, tika pieņemti </w:t>
      </w:r>
      <w:r w:rsidR="00AB62C6" w:rsidRPr="004E4FBE">
        <w:rPr>
          <w:rFonts w:eastAsia="Times New Roman" w:cs="Times New Roman"/>
          <w:sz w:val="24"/>
          <w:szCs w:val="24"/>
        </w:rPr>
        <w:t>Ministru kabineta</w:t>
      </w:r>
      <w:r w:rsidR="008B6836" w:rsidRPr="004E4FBE">
        <w:rPr>
          <w:rFonts w:eastAsia="Times New Roman" w:cs="Times New Roman"/>
          <w:sz w:val="24"/>
          <w:szCs w:val="24"/>
        </w:rPr>
        <w:t xml:space="preserve"> 2015. gada 14. jūlija</w:t>
      </w:r>
      <w:r w:rsidR="00AB62C6" w:rsidRPr="004E4FBE">
        <w:rPr>
          <w:rFonts w:eastAsia="Times New Roman" w:cs="Times New Roman"/>
          <w:sz w:val="24"/>
          <w:szCs w:val="24"/>
        </w:rPr>
        <w:t xml:space="preserve"> </w:t>
      </w:r>
      <w:r w:rsidRPr="004E4FBE">
        <w:rPr>
          <w:rFonts w:eastAsia="Times New Roman" w:cs="Times New Roman"/>
          <w:sz w:val="24"/>
          <w:szCs w:val="24"/>
        </w:rPr>
        <w:t>noteikumi Nr.</w:t>
      </w:r>
      <w:r w:rsidR="0024182A" w:rsidRPr="004E4FBE">
        <w:rPr>
          <w:rFonts w:eastAsia="Times New Roman" w:cs="Times New Roman"/>
          <w:sz w:val="24"/>
          <w:szCs w:val="24"/>
        </w:rPr>
        <w:t xml:space="preserve"> </w:t>
      </w:r>
      <w:r w:rsidRPr="004E4FBE">
        <w:rPr>
          <w:rFonts w:eastAsia="Times New Roman" w:cs="Times New Roman"/>
          <w:sz w:val="24"/>
          <w:szCs w:val="24"/>
        </w:rPr>
        <w:t>395</w:t>
      </w:r>
      <w:r w:rsidR="008B6836" w:rsidRPr="004E4FBE">
        <w:rPr>
          <w:rFonts w:eastAsia="Times New Roman" w:cs="Times New Roman"/>
          <w:sz w:val="24"/>
          <w:szCs w:val="24"/>
        </w:rPr>
        <w:t xml:space="preserve"> “Kārtība, kādā energoietilpīgi apstrādes rūpniecības uzņēmumi iegūst tiesības uz samazinātu līdzdalību obligātā iepirkuma komponentes maksājumam”</w:t>
      </w:r>
      <w:r w:rsidRPr="004E4FBE">
        <w:rPr>
          <w:rFonts w:eastAsia="Times New Roman" w:cs="Times New Roman"/>
          <w:sz w:val="24"/>
          <w:szCs w:val="24"/>
        </w:rPr>
        <w:t>, kuri apstrādes rūpniecības komersantiem paredz tiesības kvalificēties samazinātam OIK līdzdalības maksājumam</w:t>
      </w:r>
      <w:r w:rsidR="00DC30AC">
        <w:rPr>
          <w:rStyle w:val="FootnoteReference"/>
          <w:rFonts w:eastAsia="Times New Roman" w:cs="Times New Roman"/>
          <w:sz w:val="24"/>
          <w:szCs w:val="24"/>
        </w:rPr>
        <w:footnoteReference w:id="4"/>
      </w:r>
      <w:r w:rsidRPr="004E4FBE">
        <w:rPr>
          <w:rFonts w:eastAsia="Times New Roman" w:cs="Times New Roman"/>
          <w:sz w:val="24"/>
          <w:szCs w:val="24"/>
        </w:rPr>
        <w:t>.</w:t>
      </w:r>
      <w:r w:rsidR="00BE0917">
        <w:rPr>
          <w:rFonts w:eastAsia="Times New Roman" w:cs="Times New Roman"/>
          <w:sz w:val="24"/>
          <w:szCs w:val="24"/>
        </w:rPr>
        <w:t xml:space="preserve"> </w:t>
      </w:r>
    </w:p>
    <w:p w14:paraId="610BB884" w14:textId="23EE30B2" w:rsidR="0075491E" w:rsidRPr="005E70F8" w:rsidRDefault="0007133C" w:rsidP="0075491E">
      <w:pPr>
        <w:tabs>
          <w:tab w:val="left" w:pos="0"/>
        </w:tabs>
        <w:rPr>
          <w:rFonts w:cs="Times New Roman"/>
          <w:sz w:val="24"/>
          <w:szCs w:val="24"/>
          <w:shd w:val="clear" w:color="auto" w:fill="FFFFFF"/>
        </w:rPr>
      </w:pPr>
      <w:r>
        <w:rPr>
          <w:rFonts w:eastAsia="Times New Roman" w:cs="Times New Roman"/>
          <w:sz w:val="24"/>
          <w:szCs w:val="24"/>
        </w:rPr>
        <w:tab/>
      </w:r>
      <w:r w:rsidR="00BE0917" w:rsidRPr="638B9066">
        <w:rPr>
          <w:rFonts w:eastAsia="Times New Roman" w:cs="Times New Roman"/>
          <w:sz w:val="24"/>
          <w:szCs w:val="24"/>
        </w:rPr>
        <w:t xml:space="preserve">Saglabājot OIK, ir nepieciešams saglabāt arī atbalstu energoietilpīgajiem apstrādes rūpniecības uzņēmumiem </w:t>
      </w:r>
      <w:r w:rsidR="4F7F1FF5" w:rsidRPr="638B9066">
        <w:rPr>
          <w:rFonts w:eastAsia="Times New Roman" w:cs="Times New Roman"/>
          <w:sz w:val="24"/>
          <w:szCs w:val="24"/>
        </w:rPr>
        <w:t xml:space="preserve">konkurētspējas </w:t>
      </w:r>
      <w:r w:rsidR="00BE0917" w:rsidRPr="638B9066">
        <w:rPr>
          <w:rFonts w:eastAsia="Times New Roman" w:cs="Times New Roman"/>
          <w:sz w:val="24"/>
          <w:szCs w:val="24"/>
        </w:rPr>
        <w:t xml:space="preserve">saglabāšanai. </w:t>
      </w:r>
      <w:r w:rsidR="00565BF8" w:rsidRPr="734F9448">
        <w:rPr>
          <w:rFonts w:eastAsia="Times New Roman" w:cs="Times New Roman"/>
          <w:sz w:val="24"/>
          <w:szCs w:val="24"/>
        </w:rPr>
        <w:t xml:space="preserve">Atbilstoši </w:t>
      </w:r>
      <w:r w:rsidR="00843E79" w:rsidRPr="638B9066">
        <w:rPr>
          <w:rFonts w:eastAsia="Times New Roman" w:cs="Times New Roman"/>
          <w:sz w:val="24"/>
          <w:szCs w:val="24"/>
        </w:rPr>
        <w:t>Ministru kabineta 2015. gada 14. jūlija noteikumi</w:t>
      </w:r>
      <w:r w:rsidR="00565BF8" w:rsidRPr="734F9448">
        <w:rPr>
          <w:rFonts w:eastAsia="Times New Roman" w:cs="Times New Roman"/>
          <w:sz w:val="24"/>
          <w:szCs w:val="24"/>
        </w:rPr>
        <w:t>em</w:t>
      </w:r>
      <w:r w:rsidR="00843E79" w:rsidRPr="638B9066">
        <w:rPr>
          <w:rFonts w:eastAsia="Times New Roman" w:cs="Times New Roman"/>
          <w:sz w:val="24"/>
          <w:szCs w:val="24"/>
        </w:rPr>
        <w:t xml:space="preserve"> Nr. 395 </w:t>
      </w:r>
      <w:r w:rsidR="00565BF8" w:rsidRPr="734F9448">
        <w:rPr>
          <w:rFonts w:eastAsia="Times New Roman" w:cs="Times New Roman"/>
          <w:sz w:val="24"/>
          <w:szCs w:val="24"/>
        </w:rPr>
        <w:t>atbalstu</w:t>
      </w:r>
      <w:r w:rsidR="002E6585" w:rsidRPr="734F9448">
        <w:rPr>
          <w:rFonts w:eastAsia="Times New Roman" w:cs="Times New Roman"/>
          <w:sz w:val="24"/>
          <w:szCs w:val="24"/>
        </w:rPr>
        <w:t xml:space="preserve"> energoietilpīgiem apstrādes rūpniecības uzņēmumiem var piešķirt par periodu</w:t>
      </w:r>
      <w:r w:rsidR="00843E79" w:rsidRPr="638B9066">
        <w:rPr>
          <w:rFonts w:eastAsia="Times New Roman" w:cs="Times New Roman"/>
          <w:sz w:val="24"/>
          <w:szCs w:val="24"/>
        </w:rPr>
        <w:t xml:space="preserve"> līdz 2020.gada 31.decembrim, kad ir nepieciešams izvērtēt, vai turpināt atbalstu energoietilpīgajiem apstrādes rūpniecības uzņēmumiem un lēmuma ietekmi uz valsts budžetu.</w:t>
      </w:r>
      <w:r w:rsidR="00FC5968" w:rsidRPr="638B9066">
        <w:rPr>
          <w:rFonts w:eastAsia="Times New Roman" w:cs="Times New Roman"/>
          <w:sz w:val="24"/>
          <w:szCs w:val="24"/>
        </w:rPr>
        <w:t xml:space="preserve"> </w:t>
      </w:r>
      <w:r w:rsidR="0075491E" w:rsidRPr="734F9448">
        <w:rPr>
          <w:rFonts w:cs="Times New Roman"/>
          <w:sz w:val="24"/>
          <w:szCs w:val="24"/>
        </w:rPr>
        <w:t xml:space="preserve">Eiropas Komisijas Konkurences ģenerāldirektorāts </w:t>
      </w:r>
      <w:r w:rsidR="000601F7" w:rsidRPr="734F9448">
        <w:rPr>
          <w:rFonts w:cs="Times New Roman"/>
          <w:sz w:val="24"/>
          <w:szCs w:val="24"/>
        </w:rPr>
        <w:t xml:space="preserve">ir pieņēmis </w:t>
      </w:r>
      <w:r w:rsidR="0075491E" w:rsidRPr="734F9448">
        <w:rPr>
          <w:rFonts w:cs="Times New Roman"/>
          <w:sz w:val="24"/>
          <w:szCs w:val="24"/>
        </w:rPr>
        <w:t>paziņojumu</w:t>
      </w:r>
      <w:r w:rsidR="000601F7" w:rsidRPr="734F9448">
        <w:rPr>
          <w:rFonts w:cs="Times New Roman"/>
          <w:sz w:val="24"/>
          <w:szCs w:val="24"/>
        </w:rPr>
        <w:t>,</w:t>
      </w:r>
      <w:r w:rsidR="0075491E" w:rsidRPr="734F9448">
        <w:rPr>
          <w:rFonts w:cs="Times New Roman"/>
          <w:sz w:val="24"/>
          <w:szCs w:val="24"/>
        </w:rPr>
        <w:t xml:space="preserve"> saskaņā ar ko</w:t>
      </w:r>
      <w:r w:rsidR="0075491E" w:rsidRPr="734F9448">
        <w:rPr>
          <w:rFonts w:cs="Times New Roman"/>
          <w:i/>
          <w:iCs/>
          <w:sz w:val="24"/>
          <w:szCs w:val="24"/>
        </w:rPr>
        <w:t xml:space="preserve"> </w:t>
      </w:r>
      <w:r w:rsidR="0075491E" w:rsidRPr="734F9448">
        <w:rPr>
          <w:rFonts w:cs="Times New Roman"/>
          <w:sz w:val="24"/>
          <w:szCs w:val="24"/>
        </w:rPr>
        <w:t>“Pamatnostādnes par valsts atbalstu vides aizsardzībai un enerģētikai 2014.-2020. gadam piemērošanas”</w:t>
      </w:r>
      <w:r w:rsidR="000416A6" w:rsidRPr="734F9448">
        <w:rPr>
          <w:rFonts w:cs="Times New Roman"/>
          <w:sz w:val="24"/>
          <w:szCs w:val="24"/>
        </w:rPr>
        <w:t>,</w:t>
      </w:r>
      <w:r w:rsidR="000601F7" w:rsidRPr="734F9448">
        <w:rPr>
          <w:rFonts w:cs="Times New Roman"/>
          <w:sz w:val="24"/>
          <w:szCs w:val="24"/>
        </w:rPr>
        <w:t xml:space="preserve"> atbilstoši kurām saskaņots atba</w:t>
      </w:r>
      <w:r w:rsidR="000416A6" w:rsidRPr="734F9448">
        <w:rPr>
          <w:rFonts w:cs="Times New Roman"/>
          <w:sz w:val="24"/>
          <w:szCs w:val="24"/>
        </w:rPr>
        <w:t>lsts energoietilpīgiem apstrādes rūpniecības uzņēmumiem,</w:t>
      </w:r>
      <w:r w:rsidR="007B26B4" w:rsidRPr="734F9448">
        <w:rPr>
          <w:rFonts w:cs="Times New Roman"/>
          <w:sz w:val="24"/>
          <w:szCs w:val="24"/>
        </w:rPr>
        <w:t xml:space="preserve"> </w:t>
      </w:r>
      <w:r w:rsidR="0075491E" w:rsidRPr="734F9448">
        <w:rPr>
          <w:rFonts w:cs="Times New Roman"/>
          <w:sz w:val="24"/>
          <w:szCs w:val="24"/>
        </w:rPr>
        <w:t>piemērošanas termiņ</w:t>
      </w:r>
      <w:r w:rsidR="00427F2B" w:rsidRPr="734F9448">
        <w:rPr>
          <w:rFonts w:cs="Times New Roman"/>
          <w:sz w:val="24"/>
          <w:szCs w:val="24"/>
        </w:rPr>
        <w:t>š</w:t>
      </w:r>
      <w:r w:rsidR="0075491E" w:rsidRPr="734F9448">
        <w:rPr>
          <w:rFonts w:cs="Times New Roman"/>
          <w:sz w:val="24"/>
          <w:szCs w:val="24"/>
        </w:rPr>
        <w:t xml:space="preserve"> </w:t>
      </w:r>
      <w:r w:rsidR="00427F2B" w:rsidRPr="734F9448">
        <w:rPr>
          <w:rFonts w:cs="Times New Roman"/>
          <w:sz w:val="24"/>
          <w:szCs w:val="24"/>
        </w:rPr>
        <w:t xml:space="preserve">ir </w:t>
      </w:r>
      <w:r w:rsidR="0075491E" w:rsidRPr="734F9448">
        <w:rPr>
          <w:rFonts w:cs="Times New Roman"/>
          <w:sz w:val="24"/>
          <w:szCs w:val="24"/>
        </w:rPr>
        <w:t>pagarinā</w:t>
      </w:r>
      <w:r w:rsidR="00427F2B" w:rsidRPr="734F9448">
        <w:rPr>
          <w:rFonts w:cs="Times New Roman"/>
          <w:sz w:val="24"/>
          <w:szCs w:val="24"/>
        </w:rPr>
        <w:t>ts</w:t>
      </w:r>
      <w:r w:rsidR="0075491E" w:rsidRPr="734F9448">
        <w:rPr>
          <w:rFonts w:cs="Times New Roman"/>
          <w:sz w:val="24"/>
          <w:szCs w:val="24"/>
        </w:rPr>
        <w:t xml:space="preserve"> līdz 2021. gada 31. decembrim.</w:t>
      </w:r>
    </w:p>
    <w:p w14:paraId="19B287E2" w14:textId="07B48501" w:rsidR="0075491E" w:rsidRPr="005E70F8" w:rsidRDefault="0007133C" w:rsidP="0075491E">
      <w:pPr>
        <w:tabs>
          <w:tab w:val="left" w:pos="0"/>
        </w:tabs>
        <w:rPr>
          <w:rFonts w:eastAsia="Times New Roman" w:cs="Times New Roman"/>
          <w:sz w:val="24"/>
          <w:szCs w:val="24"/>
          <w:lang w:eastAsia="lv-LV"/>
        </w:rPr>
      </w:pPr>
      <w:r>
        <w:rPr>
          <w:rFonts w:cs="Times New Roman"/>
          <w:sz w:val="24"/>
          <w:szCs w:val="24"/>
          <w:shd w:val="clear" w:color="auto" w:fill="FFFFFF"/>
        </w:rPr>
        <w:tab/>
      </w:r>
      <w:r w:rsidR="00427F2B">
        <w:rPr>
          <w:rFonts w:cs="Times New Roman"/>
          <w:sz w:val="24"/>
          <w:szCs w:val="24"/>
          <w:shd w:val="clear" w:color="auto" w:fill="FFFFFF"/>
        </w:rPr>
        <w:t xml:space="preserve">Tādējādi iespējams pagarināt arī </w:t>
      </w:r>
      <w:r w:rsidR="0075491E" w:rsidRPr="005E70F8">
        <w:rPr>
          <w:rFonts w:eastAsia="Times New Roman" w:cs="Times New Roman"/>
          <w:sz w:val="24"/>
          <w:szCs w:val="24"/>
          <w:lang w:eastAsia="lv-LV"/>
        </w:rPr>
        <w:t>energoietilpīg</w:t>
      </w:r>
      <w:r w:rsidR="00427F2B">
        <w:rPr>
          <w:rFonts w:eastAsia="Times New Roman" w:cs="Times New Roman"/>
          <w:sz w:val="24"/>
          <w:szCs w:val="24"/>
          <w:lang w:eastAsia="lv-LV"/>
        </w:rPr>
        <w:t xml:space="preserve">o </w:t>
      </w:r>
      <w:r w:rsidR="0075491E" w:rsidRPr="005E70F8">
        <w:rPr>
          <w:rFonts w:eastAsia="Times New Roman" w:cs="Times New Roman"/>
          <w:sz w:val="24"/>
          <w:szCs w:val="24"/>
          <w:lang w:eastAsia="lv-LV"/>
        </w:rPr>
        <w:t>apstrādes rūpniecības uzņēmum</w:t>
      </w:r>
      <w:r w:rsidR="00427F2B">
        <w:rPr>
          <w:rFonts w:eastAsia="Times New Roman" w:cs="Times New Roman"/>
          <w:sz w:val="24"/>
          <w:szCs w:val="24"/>
          <w:lang w:eastAsia="lv-LV"/>
        </w:rPr>
        <w:t>u atbalstu</w:t>
      </w:r>
      <w:r w:rsidR="003F57A6">
        <w:rPr>
          <w:rFonts w:eastAsia="Times New Roman" w:cs="Times New Roman"/>
          <w:sz w:val="24"/>
          <w:szCs w:val="24"/>
          <w:lang w:eastAsia="lv-LV"/>
        </w:rPr>
        <w:t xml:space="preserve"> un Ekonomikas ministrija strādā pie attiecīgiem MK noteikumu Nr.395 grozījumiem</w:t>
      </w:r>
      <w:r w:rsidR="009B2B30">
        <w:rPr>
          <w:rFonts w:eastAsia="Times New Roman" w:cs="Times New Roman"/>
          <w:sz w:val="24"/>
          <w:szCs w:val="24"/>
          <w:lang w:eastAsia="lv-LV"/>
        </w:rPr>
        <w:t>, kas Ministru kabinetā tiks apstiprināti līdz 2020.gada beigām un varēs stāties spēkā pēc Eiropas Komisijas saskaņojuma saņemšanas</w:t>
      </w:r>
      <w:r w:rsidR="003F57A6">
        <w:rPr>
          <w:rFonts w:eastAsia="Times New Roman" w:cs="Times New Roman"/>
          <w:sz w:val="24"/>
          <w:szCs w:val="24"/>
          <w:lang w:eastAsia="lv-LV"/>
        </w:rPr>
        <w:t xml:space="preserve">. </w:t>
      </w:r>
    </w:p>
    <w:p w14:paraId="05B00232" w14:textId="52F33660" w:rsidR="003E2BEF" w:rsidRDefault="00BE77A3" w:rsidP="003E2BEF">
      <w:pPr>
        <w:spacing w:after="120"/>
        <w:ind w:firstLine="851"/>
        <w:rPr>
          <w:rFonts w:eastAsia="Times New Roman" w:cs="Times New Roman"/>
          <w:sz w:val="24"/>
          <w:szCs w:val="24"/>
        </w:rPr>
      </w:pPr>
      <w:r w:rsidRPr="734F9448">
        <w:rPr>
          <w:rFonts w:eastAsia="Times New Roman" w:cs="Times New Roman"/>
          <w:sz w:val="24"/>
          <w:szCs w:val="24"/>
        </w:rPr>
        <w:t>Paredzams, ka arī jaunās valsts atbalsta vadlīnijas pieļaus šāda valsts atbalsta programmu, tādēļ</w:t>
      </w:r>
      <w:r w:rsidR="00B85441" w:rsidRPr="734F9448">
        <w:rPr>
          <w:rFonts w:eastAsia="Times New Roman" w:cs="Times New Roman"/>
          <w:sz w:val="24"/>
          <w:szCs w:val="24"/>
        </w:rPr>
        <w:t xml:space="preserve"> </w:t>
      </w:r>
      <w:r w:rsidR="3CAD3763" w:rsidRPr="734F9448">
        <w:rPr>
          <w:rFonts w:eastAsia="Times New Roman" w:cs="Times New Roman"/>
          <w:sz w:val="24"/>
          <w:szCs w:val="24"/>
        </w:rPr>
        <w:t>tiek plānots</w:t>
      </w:r>
      <w:r w:rsidR="00B85441" w:rsidRPr="734F9448">
        <w:rPr>
          <w:rFonts w:eastAsia="Times New Roman" w:cs="Times New Roman"/>
          <w:sz w:val="24"/>
          <w:szCs w:val="24"/>
        </w:rPr>
        <w:t>,</w:t>
      </w:r>
      <w:r w:rsidR="186293D3" w:rsidRPr="734F9448">
        <w:rPr>
          <w:rFonts w:eastAsia="Times New Roman" w:cs="Times New Roman"/>
          <w:sz w:val="24"/>
          <w:szCs w:val="24"/>
        </w:rPr>
        <w:t xml:space="preserve"> ka</w:t>
      </w:r>
      <w:r w:rsidR="00B85441" w:rsidRPr="734F9448">
        <w:rPr>
          <w:rFonts w:eastAsia="Times New Roman" w:cs="Times New Roman"/>
          <w:sz w:val="24"/>
          <w:szCs w:val="24"/>
        </w:rPr>
        <w:t xml:space="preserve"> valsts atbalsts 7</w:t>
      </w:r>
      <w:r w:rsidR="6C000427" w:rsidRPr="734F9448">
        <w:rPr>
          <w:rFonts w:eastAsia="Times New Roman" w:cs="Times New Roman"/>
          <w:sz w:val="24"/>
          <w:szCs w:val="24"/>
        </w:rPr>
        <w:t xml:space="preserve"> </w:t>
      </w:r>
      <w:r w:rsidR="00B85441" w:rsidRPr="734F9448">
        <w:rPr>
          <w:rFonts w:eastAsia="Times New Roman" w:cs="Times New Roman"/>
          <w:sz w:val="24"/>
          <w:szCs w:val="24"/>
        </w:rPr>
        <w:t>00</w:t>
      </w:r>
      <w:r w:rsidR="3020C5D6" w:rsidRPr="734F9448">
        <w:rPr>
          <w:rFonts w:eastAsia="Times New Roman" w:cs="Times New Roman"/>
          <w:sz w:val="24"/>
          <w:szCs w:val="24"/>
        </w:rPr>
        <w:t>0</w:t>
      </w:r>
      <w:r w:rsidR="5AE10A2D" w:rsidRPr="734F9448">
        <w:rPr>
          <w:rFonts w:eastAsia="Times New Roman" w:cs="Times New Roman"/>
          <w:sz w:val="24"/>
          <w:szCs w:val="24"/>
        </w:rPr>
        <w:t xml:space="preserve"> </w:t>
      </w:r>
      <w:r w:rsidR="00B85441" w:rsidRPr="734F9448">
        <w:rPr>
          <w:rFonts w:eastAsia="Times New Roman" w:cs="Times New Roman"/>
          <w:sz w:val="24"/>
          <w:szCs w:val="24"/>
        </w:rPr>
        <w:t>000 EUR apmērā būs nepieciešams katru gadu arī turpmāk.</w:t>
      </w:r>
    </w:p>
    <w:p w14:paraId="0CB7A105" w14:textId="3294E4F3" w:rsidR="008226FE" w:rsidRPr="006B1FFF" w:rsidRDefault="009233CE" w:rsidP="008B33DB">
      <w:pPr>
        <w:spacing w:after="120"/>
        <w:ind w:firstLine="851"/>
        <w:rPr>
          <w:rFonts w:eastAsia="Times New Roman" w:cs="Times New Roman"/>
          <w:sz w:val="24"/>
          <w:szCs w:val="24"/>
        </w:rPr>
      </w:pPr>
      <w:r w:rsidRPr="009233CE">
        <w:rPr>
          <w:rFonts w:eastAsia="Times New Roman" w:cs="Times New Roman"/>
          <w:sz w:val="24"/>
          <w:szCs w:val="24"/>
        </w:rPr>
        <w:t xml:space="preserve">Saskaņā ar EM aplēsēm, t.sk. ņemot vērā vēsturiskos pieteikumus </w:t>
      </w:r>
      <w:r w:rsidR="009E6626">
        <w:rPr>
          <w:rFonts w:eastAsia="Times New Roman" w:cs="Times New Roman"/>
          <w:sz w:val="24"/>
          <w:szCs w:val="24"/>
        </w:rPr>
        <w:t>atbalstam, ieskaitot tādus, kuri</w:t>
      </w:r>
      <w:r w:rsidR="007F2835">
        <w:rPr>
          <w:rFonts w:eastAsia="Times New Roman" w:cs="Times New Roman"/>
          <w:sz w:val="24"/>
          <w:szCs w:val="24"/>
        </w:rPr>
        <w:t xml:space="preserve"> netika apstiprināti, </w:t>
      </w:r>
      <w:r>
        <w:rPr>
          <w:rFonts w:eastAsia="Times New Roman" w:cs="Times New Roman"/>
          <w:sz w:val="24"/>
          <w:szCs w:val="24"/>
        </w:rPr>
        <w:t xml:space="preserve">un ņemot vērā, ka </w:t>
      </w:r>
      <w:r w:rsidR="009E6626">
        <w:rPr>
          <w:rFonts w:eastAsia="Times New Roman" w:cs="Times New Roman"/>
          <w:sz w:val="24"/>
          <w:szCs w:val="24"/>
        </w:rPr>
        <w:t>EM</w:t>
      </w:r>
      <w:r w:rsidR="004B1AD1">
        <w:rPr>
          <w:rFonts w:eastAsia="Times New Roman" w:cs="Times New Roman"/>
          <w:sz w:val="24"/>
          <w:szCs w:val="24"/>
        </w:rPr>
        <w:t xml:space="preserve"> līdz ar atbalsta pagarināšanu</w:t>
      </w:r>
      <w:r w:rsidR="009E6626">
        <w:rPr>
          <w:rFonts w:eastAsia="Times New Roman" w:cs="Times New Roman"/>
          <w:sz w:val="24"/>
          <w:szCs w:val="24"/>
        </w:rPr>
        <w:t xml:space="preserve"> piedāvās arī izmaiņas </w:t>
      </w:r>
      <w:r w:rsidR="007F2835">
        <w:rPr>
          <w:rFonts w:eastAsia="Times New Roman" w:cs="Times New Roman"/>
          <w:sz w:val="24"/>
          <w:szCs w:val="24"/>
        </w:rPr>
        <w:t>esoša</w:t>
      </w:r>
      <w:r w:rsidR="004B1AD1">
        <w:rPr>
          <w:rFonts w:eastAsia="Times New Roman" w:cs="Times New Roman"/>
          <w:sz w:val="24"/>
          <w:szCs w:val="24"/>
        </w:rPr>
        <w:t xml:space="preserve">jā atbalstā, </w:t>
      </w:r>
      <w:r w:rsidR="008226FE">
        <w:rPr>
          <w:rFonts w:eastAsia="Times New Roman" w:cs="Times New Roman"/>
          <w:sz w:val="24"/>
          <w:szCs w:val="24"/>
        </w:rPr>
        <w:t xml:space="preserve">kā arī </w:t>
      </w:r>
      <w:r w:rsidR="008B33DB" w:rsidRPr="008B33DB">
        <w:rPr>
          <w:rFonts w:eastAsia="Times New Roman" w:cs="Times New Roman"/>
          <w:sz w:val="24"/>
          <w:szCs w:val="24"/>
        </w:rPr>
        <w:t>rūpniecības izaugsmi</w:t>
      </w:r>
      <w:r w:rsidR="008B33DB">
        <w:rPr>
          <w:rFonts w:eastAsia="Times New Roman" w:cs="Times New Roman"/>
          <w:sz w:val="24"/>
          <w:szCs w:val="24"/>
        </w:rPr>
        <w:t xml:space="preserve">, </w:t>
      </w:r>
      <w:r w:rsidR="004B1AD1">
        <w:rPr>
          <w:rFonts w:eastAsia="Times New Roman" w:cs="Times New Roman"/>
          <w:sz w:val="24"/>
          <w:szCs w:val="24"/>
        </w:rPr>
        <w:t>paredzams, ka nepieciešamais finansējums var sasniegt</w:t>
      </w:r>
      <w:r w:rsidR="008B33DB">
        <w:rPr>
          <w:rFonts w:eastAsia="Times New Roman" w:cs="Times New Roman"/>
          <w:sz w:val="24"/>
          <w:szCs w:val="24"/>
        </w:rPr>
        <w:t xml:space="preserve"> </w:t>
      </w:r>
      <w:r w:rsidR="008226FE" w:rsidRPr="008B33DB">
        <w:rPr>
          <w:rFonts w:eastAsia="Times New Roman" w:cs="Times New Roman"/>
          <w:sz w:val="24"/>
          <w:szCs w:val="24"/>
        </w:rPr>
        <w:t>7,00 milj. EUR</w:t>
      </w:r>
      <w:r w:rsidR="008B33DB" w:rsidRPr="008B33DB">
        <w:rPr>
          <w:rFonts w:eastAsia="Times New Roman" w:cs="Times New Roman"/>
          <w:sz w:val="24"/>
          <w:szCs w:val="24"/>
        </w:rPr>
        <w:t>.</w:t>
      </w:r>
      <w:r w:rsidR="0007133C">
        <w:rPr>
          <w:rFonts w:eastAsia="Times New Roman" w:cs="Times New Roman"/>
          <w:sz w:val="24"/>
          <w:szCs w:val="24"/>
        </w:rPr>
        <w:t xml:space="preserve"> </w:t>
      </w:r>
    </w:p>
    <w:p w14:paraId="43892E14" w14:textId="10E3F34C" w:rsidR="00843DFE" w:rsidRPr="004E4FBE" w:rsidRDefault="00937DA3" w:rsidP="002B53C6">
      <w:pPr>
        <w:spacing w:after="120"/>
        <w:ind w:firstLine="851"/>
        <w:rPr>
          <w:rFonts w:eastAsia="Times New Roman" w:cs="Times New Roman"/>
          <w:sz w:val="24"/>
          <w:szCs w:val="24"/>
        </w:rPr>
      </w:pPr>
      <w:r w:rsidRPr="004E4FBE">
        <w:rPr>
          <w:rFonts w:eastAsia="Times New Roman" w:cs="Times New Roman"/>
          <w:sz w:val="24"/>
          <w:szCs w:val="24"/>
        </w:rPr>
        <w:t xml:space="preserve">Atbalsta mehānisma īstenošanai valsts budžetā paredzētais finansējuma apmērs atspoguļots </w:t>
      </w:r>
      <w:r w:rsidR="003836FB" w:rsidRPr="004E4FBE">
        <w:rPr>
          <w:rFonts w:eastAsia="Times New Roman" w:cs="Times New Roman"/>
          <w:sz w:val="24"/>
          <w:szCs w:val="24"/>
        </w:rPr>
        <w:t>6</w:t>
      </w:r>
      <w:r w:rsidRPr="004E4FBE">
        <w:rPr>
          <w:rFonts w:eastAsia="Times New Roman" w:cs="Times New Roman"/>
          <w:sz w:val="24"/>
          <w:szCs w:val="24"/>
        </w:rPr>
        <w:t>. tabulā.</w:t>
      </w:r>
    </w:p>
    <w:p w14:paraId="53FD1707" w14:textId="5B8E38EF" w:rsidR="00937DA3" w:rsidRPr="004E4FBE" w:rsidRDefault="003836FB" w:rsidP="004E4FBE">
      <w:pPr>
        <w:pStyle w:val="Caption"/>
        <w:keepNext/>
        <w:tabs>
          <w:tab w:val="left" w:pos="2552"/>
        </w:tabs>
        <w:spacing w:line="240" w:lineRule="auto"/>
        <w:jc w:val="right"/>
        <w:rPr>
          <w:rFonts w:ascii="Times New Roman" w:hAnsi="Times New Roman"/>
          <w:color w:val="auto"/>
          <w:sz w:val="24"/>
          <w:szCs w:val="24"/>
        </w:rPr>
      </w:pPr>
      <w:r w:rsidRPr="004E4FBE">
        <w:rPr>
          <w:rFonts w:ascii="Times New Roman" w:hAnsi="Times New Roman"/>
          <w:color w:val="auto"/>
          <w:sz w:val="24"/>
          <w:szCs w:val="24"/>
        </w:rPr>
        <w:t>6</w:t>
      </w:r>
      <w:r w:rsidR="00937DA3" w:rsidRPr="004E4FBE">
        <w:rPr>
          <w:rFonts w:ascii="Times New Roman" w:hAnsi="Times New Roman"/>
          <w:color w:val="auto"/>
          <w:sz w:val="24"/>
          <w:szCs w:val="24"/>
        </w:rPr>
        <w:t>. tabula</w:t>
      </w:r>
    </w:p>
    <w:p w14:paraId="2F6954B7" w14:textId="77777777" w:rsidR="00937DA3" w:rsidRPr="004E4FBE" w:rsidRDefault="00937DA3"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Atbalsta mehānisma ietekme uz valsts budžetu</w:t>
      </w:r>
    </w:p>
    <w:tbl>
      <w:tblPr>
        <w:tblStyle w:val="TableGrid"/>
        <w:tblW w:w="0" w:type="auto"/>
        <w:jc w:val="center"/>
        <w:tblLook w:val="04A0" w:firstRow="1" w:lastRow="0" w:firstColumn="1" w:lastColumn="0" w:noHBand="0" w:noVBand="1"/>
      </w:tblPr>
      <w:tblGrid>
        <w:gridCol w:w="988"/>
        <w:gridCol w:w="3902"/>
      </w:tblGrid>
      <w:tr w:rsidR="004E4FBE" w:rsidRPr="004E4FBE" w14:paraId="4CFEE6E7" w14:textId="77777777" w:rsidTr="686AEE59">
        <w:trPr>
          <w:jc w:val="center"/>
        </w:trPr>
        <w:tc>
          <w:tcPr>
            <w:tcW w:w="988" w:type="dxa"/>
            <w:vAlign w:val="center"/>
          </w:tcPr>
          <w:p w14:paraId="76E3BCE8"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Gads</w:t>
            </w:r>
          </w:p>
        </w:tc>
        <w:tc>
          <w:tcPr>
            <w:tcW w:w="3902" w:type="dxa"/>
            <w:vAlign w:val="center"/>
          </w:tcPr>
          <w:p w14:paraId="19D2F49D"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Prognozētā nepieciešamā atbalsta summa no valsts budžeta, EUR</w:t>
            </w:r>
          </w:p>
        </w:tc>
      </w:tr>
      <w:tr w:rsidR="004E4FBE" w:rsidRPr="004E4FBE" w14:paraId="705A02DE" w14:textId="77777777" w:rsidTr="686AEE59">
        <w:trPr>
          <w:jc w:val="center"/>
        </w:trPr>
        <w:tc>
          <w:tcPr>
            <w:tcW w:w="988" w:type="dxa"/>
          </w:tcPr>
          <w:p w14:paraId="69ED0AC6"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2021</w:t>
            </w:r>
          </w:p>
        </w:tc>
        <w:tc>
          <w:tcPr>
            <w:tcW w:w="3902" w:type="dxa"/>
          </w:tcPr>
          <w:p w14:paraId="45C34C7C"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val="de-DE"/>
              </w:rPr>
              <w:t>7 000 000</w:t>
            </w:r>
          </w:p>
        </w:tc>
      </w:tr>
      <w:tr w:rsidR="004E4FBE" w:rsidRPr="004E4FBE" w14:paraId="1CA72436" w14:textId="77777777" w:rsidTr="686AEE59">
        <w:trPr>
          <w:jc w:val="center"/>
        </w:trPr>
        <w:tc>
          <w:tcPr>
            <w:tcW w:w="988" w:type="dxa"/>
          </w:tcPr>
          <w:p w14:paraId="482CE5F9"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2022</w:t>
            </w:r>
          </w:p>
        </w:tc>
        <w:tc>
          <w:tcPr>
            <w:tcW w:w="3902" w:type="dxa"/>
          </w:tcPr>
          <w:p w14:paraId="7D7F6DE0" w14:textId="4DB268BA" w:rsidR="00937DA3" w:rsidRPr="004E4FBE" w:rsidRDefault="00937DA3" w:rsidP="004E4FBE">
            <w:pPr>
              <w:spacing w:after="120"/>
              <w:jc w:val="center"/>
              <w:rPr>
                <w:rFonts w:eastAsia="Times New Roman" w:cs="Times New Roman"/>
                <w:sz w:val="24"/>
                <w:szCs w:val="24"/>
                <w:lang w:val="de-DE"/>
              </w:rPr>
            </w:pPr>
            <w:r w:rsidRPr="004E4FBE">
              <w:rPr>
                <w:rFonts w:eastAsia="Times New Roman" w:cs="Times New Roman"/>
                <w:sz w:val="24"/>
                <w:szCs w:val="24"/>
                <w:lang w:val="de-DE"/>
              </w:rPr>
              <w:t>7 000 000</w:t>
            </w:r>
          </w:p>
        </w:tc>
      </w:tr>
      <w:tr w:rsidR="004E4FBE" w:rsidRPr="004E4FBE" w14:paraId="4AE6E309" w14:textId="77777777" w:rsidTr="686AEE59">
        <w:trPr>
          <w:jc w:val="center"/>
        </w:trPr>
        <w:tc>
          <w:tcPr>
            <w:tcW w:w="988" w:type="dxa"/>
          </w:tcPr>
          <w:p w14:paraId="5324EC94" w14:textId="77777777" w:rsidR="00937DA3" w:rsidRPr="004E4FBE" w:rsidRDefault="00937DA3"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2023</w:t>
            </w:r>
          </w:p>
        </w:tc>
        <w:tc>
          <w:tcPr>
            <w:tcW w:w="3902" w:type="dxa"/>
          </w:tcPr>
          <w:p w14:paraId="4A94D61D" w14:textId="17C6FF61" w:rsidR="00937DA3" w:rsidRPr="004E4FBE" w:rsidRDefault="00937DA3" w:rsidP="004E4FBE">
            <w:pPr>
              <w:spacing w:after="120"/>
              <w:jc w:val="center"/>
              <w:rPr>
                <w:rFonts w:eastAsia="Times New Roman" w:cs="Times New Roman"/>
                <w:sz w:val="24"/>
                <w:szCs w:val="24"/>
                <w:lang w:val="de-DE"/>
              </w:rPr>
            </w:pPr>
            <w:r w:rsidRPr="004E4FBE">
              <w:rPr>
                <w:rFonts w:eastAsia="Times New Roman" w:cs="Times New Roman"/>
                <w:sz w:val="24"/>
                <w:szCs w:val="24"/>
                <w:lang w:val="de-DE"/>
              </w:rPr>
              <w:t>7 000 000</w:t>
            </w:r>
          </w:p>
        </w:tc>
      </w:tr>
    </w:tbl>
    <w:p w14:paraId="16A0BB92" w14:textId="77777777" w:rsidR="00937DA3" w:rsidRPr="004E4FBE" w:rsidRDefault="00937DA3" w:rsidP="002B53C6">
      <w:pPr>
        <w:pStyle w:val="BodyText"/>
        <w:spacing w:after="120"/>
        <w:jc w:val="center"/>
        <w:rPr>
          <w:i w:val="0"/>
          <w:szCs w:val="24"/>
        </w:rPr>
      </w:pPr>
      <w:r w:rsidRPr="004E4FBE">
        <w:rPr>
          <w:i w:val="0"/>
          <w:szCs w:val="24"/>
        </w:rPr>
        <w:t>Avots: Ekonomikas ministrija</w:t>
      </w:r>
    </w:p>
    <w:p w14:paraId="15C60E38" w14:textId="098C40B5" w:rsidR="4D7EFBA2" w:rsidRPr="004E4FBE" w:rsidRDefault="4D7EFBA2" w:rsidP="004E4FBE">
      <w:pPr>
        <w:pStyle w:val="BodyText"/>
        <w:spacing w:after="120"/>
        <w:jc w:val="center"/>
        <w:rPr>
          <w:i w:val="0"/>
          <w:szCs w:val="24"/>
        </w:rPr>
      </w:pPr>
    </w:p>
    <w:p w14:paraId="2F4887B6" w14:textId="452BB6F1" w:rsidR="00937DA3" w:rsidRPr="004E4FBE" w:rsidRDefault="00937DA3" w:rsidP="004E4FBE">
      <w:pPr>
        <w:pStyle w:val="Heading2"/>
        <w:spacing w:before="0" w:after="120" w:line="240" w:lineRule="auto"/>
        <w:rPr>
          <w:rFonts w:ascii="Times New Roman" w:eastAsia="Times New Roman" w:hAnsi="Times New Roman" w:cs="Times New Roman"/>
          <w:b/>
          <w:bCs/>
          <w:color w:val="auto"/>
          <w:sz w:val="24"/>
          <w:szCs w:val="24"/>
        </w:rPr>
      </w:pPr>
      <w:bookmarkStart w:id="8" w:name="_Toc491699586"/>
      <w:bookmarkStart w:id="9" w:name="_Toc51576935"/>
      <w:r w:rsidRPr="004E4FBE">
        <w:rPr>
          <w:rFonts w:ascii="Times New Roman" w:eastAsia="Times New Roman" w:hAnsi="Times New Roman" w:cs="Times New Roman"/>
          <w:b/>
          <w:bCs/>
          <w:color w:val="auto"/>
          <w:sz w:val="24"/>
          <w:szCs w:val="24"/>
        </w:rPr>
        <w:lastRenderedPageBreak/>
        <w:t>Atbalsts aizsargātajiem lietotājiem</w:t>
      </w:r>
      <w:bookmarkEnd w:id="8"/>
      <w:bookmarkEnd w:id="9"/>
    </w:p>
    <w:p w14:paraId="5C7A6647" w14:textId="4E277843" w:rsidR="0001457A" w:rsidRPr="004E4FBE" w:rsidRDefault="0001457A" w:rsidP="004E4FBE">
      <w:pPr>
        <w:spacing w:after="120"/>
        <w:ind w:firstLine="576"/>
        <w:rPr>
          <w:rFonts w:eastAsia="Times New Roman" w:cs="Times New Roman"/>
          <w:sz w:val="24"/>
          <w:szCs w:val="24"/>
        </w:rPr>
      </w:pPr>
      <w:r w:rsidRPr="638B9066">
        <w:rPr>
          <w:rFonts w:eastAsia="Times New Roman" w:cs="Times New Roman"/>
          <w:sz w:val="24"/>
          <w:szCs w:val="24"/>
        </w:rPr>
        <w:t>Aizsargātā lietotāja tirdzniecības pakalpojuma</w:t>
      </w:r>
      <w:r w:rsidR="088B83AC" w:rsidRPr="638B9066">
        <w:rPr>
          <w:rFonts w:eastAsia="Times New Roman" w:cs="Times New Roman"/>
          <w:sz w:val="24"/>
          <w:szCs w:val="24"/>
        </w:rPr>
        <w:t xml:space="preserve"> (turpmāk - pakalpojums)</w:t>
      </w:r>
      <w:r w:rsidRPr="638B9066">
        <w:rPr>
          <w:rFonts w:eastAsia="Times New Roman" w:cs="Times New Roman"/>
          <w:sz w:val="24"/>
          <w:szCs w:val="24"/>
        </w:rPr>
        <w:t xml:space="preserve"> ietvaros daudzbērnu ģimenēm, ģimenēm, kuras aprūpē bērnu ar invaliditāti, personām ar I invaliditātes grupu, trūcīgām un maznodrošinātām ģimenēm/personām no valsts budžeta kopš 2015.</w:t>
      </w:r>
      <w:r w:rsidR="00242A37" w:rsidRPr="638B9066">
        <w:rPr>
          <w:rFonts w:eastAsia="Times New Roman" w:cs="Times New Roman"/>
          <w:sz w:val="24"/>
          <w:szCs w:val="24"/>
        </w:rPr>
        <w:t> </w:t>
      </w:r>
      <w:r w:rsidRPr="638B9066">
        <w:rPr>
          <w:rFonts w:eastAsia="Times New Roman" w:cs="Times New Roman"/>
          <w:sz w:val="24"/>
          <w:szCs w:val="24"/>
        </w:rPr>
        <w:t>gada tiek kompensēta daļa no maksājuma par elektroenerģiju. No 2020.</w:t>
      </w:r>
      <w:r w:rsidR="00E310E0" w:rsidRPr="638B9066">
        <w:rPr>
          <w:rFonts w:eastAsia="Times New Roman" w:cs="Times New Roman"/>
          <w:sz w:val="24"/>
          <w:szCs w:val="24"/>
        </w:rPr>
        <w:t> </w:t>
      </w:r>
      <w:r w:rsidRPr="638B9066">
        <w:rPr>
          <w:rFonts w:eastAsia="Times New Roman" w:cs="Times New Roman"/>
          <w:sz w:val="24"/>
          <w:szCs w:val="24"/>
        </w:rPr>
        <w:t xml:space="preserve">gada Būvniecības valsts kontroles birojs (turpmāk </w:t>
      </w:r>
      <w:r w:rsidR="00242A37" w:rsidRPr="638B9066">
        <w:rPr>
          <w:rFonts w:eastAsia="Times New Roman" w:cs="Times New Roman"/>
          <w:sz w:val="24"/>
          <w:szCs w:val="24"/>
        </w:rPr>
        <w:t>–</w:t>
      </w:r>
      <w:r w:rsidRPr="638B9066">
        <w:rPr>
          <w:rFonts w:eastAsia="Times New Roman" w:cs="Times New Roman"/>
          <w:sz w:val="24"/>
          <w:szCs w:val="24"/>
        </w:rPr>
        <w:t xml:space="preserve"> BVKB) (līdz 2020.</w:t>
      </w:r>
      <w:r w:rsidR="00E310E0" w:rsidRPr="638B9066">
        <w:rPr>
          <w:rFonts w:eastAsia="Times New Roman" w:cs="Times New Roman"/>
          <w:sz w:val="24"/>
          <w:szCs w:val="24"/>
        </w:rPr>
        <w:t> </w:t>
      </w:r>
      <w:r w:rsidRPr="638B9066">
        <w:rPr>
          <w:rFonts w:eastAsia="Times New Roman" w:cs="Times New Roman"/>
          <w:sz w:val="24"/>
          <w:szCs w:val="24"/>
        </w:rPr>
        <w:t xml:space="preserve">gadam </w:t>
      </w:r>
      <w:r w:rsidR="00E310E0" w:rsidRPr="638B9066">
        <w:rPr>
          <w:rFonts w:eastAsia="Times New Roman" w:cs="Times New Roman"/>
          <w:sz w:val="24"/>
          <w:szCs w:val="24"/>
        </w:rPr>
        <w:t>–</w:t>
      </w:r>
      <w:r w:rsidRPr="638B9066">
        <w:rPr>
          <w:rFonts w:eastAsia="Times New Roman" w:cs="Times New Roman"/>
          <w:sz w:val="24"/>
          <w:szCs w:val="24"/>
        </w:rPr>
        <w:t xml:space="preserve"> Ekonomikas ministrija) pakalpojuma sniedzējam kompensē izmaksas, kas rodas, samazinot gala rēķinu par elektroenerģiju Ministru kabineta 2016.</w:t>
      </w:r>
      <w:r w:rsidR="00242A37" w:rsidRPr="638B9066">
        <w:rPr>
          <w:rFonts w:eastAsia="Times New Roman" w:cs="Times New Roman"/>
          <w:sz w:val="24"/>
          <w:szCs w:val="24"/>
        </w:rPr>
        <w:t> </w:t>
      </w:r>
      <w:r w:rsidRPr="638B9066">
        <w:rPr>
          <w:rFonts w:eastAsia="Times New Roman" w:cs="Times New Roman"/>
          <w:sz w:val="24"/>
          <w:szCs w:val="24"/>
        </w:rPr>
        <w:t>gada 12.</w:t>
      </w:r>
      <w:r w:rsidR="00242A37" w:rsidRPr="638B9066">
        <w:rPr>
          <w:rFonts w:eastAsia="Times New Roman" w:cs="Times New Roman"/>
          <w:sz w:val="24"/>
          <w:szCs w:val="24"/>
        </w:rPr>
        <w:t> </w:t>
      </w:r>
      <w:r w:rsidRPr="638B9066">
        <w:rPr>
          <w:rFonts w:eastAsia="Times New Roman" w:cs="Times New Roman"/>
          <w:sz w:val="24"/>
          <w:szCs w:val="24"/>
        </w:rPr>
        <w:t xml:space="preserve">jūlija noteikumos Nr. 459 "Aizsargātā lietotāja tirdzniecības pakalpojuma sniegšanas, obligātā iepirkuma komponentes un sadales sistēmas pakalpojuma kompensēšanas kārtība" noteiktajā kārtībā. Tā kā pašlaik pakalpojumu var izmantot tikai viena elektroenerģijas tirgotāja klienti, atbalsta mehānisms kā sociāls rīks nesasniedz visas aizsargātajam lietotājam atbilstošās personas, kā arī savā veidā ierobežo konkurenci starp elektroenerģijas tirgotājiem. </w:t>
      </w:r>
    </w:p>
    <w:p w14:paraId="7E43D823" w14:textId="5779E38E" w:rsidR="0001457A" w:rsidRPr="004E4FBE" w:rsidRDefault="0001457A" w:rsidP="004E4FBE">
      <w:pPr>
        <w:spacing w:after="120"/>
        <w:rPr>
          <w:rFonts w:eastAsia="Times New Roman" w:cs="Times New Roman"/>
          <w:sz w:val="24"/>
          <w:szCs w:val="24"/>
        </w:rPr>
      </w:pPr>
      <w:r w:rsidRPr="004E4FBE">
        <w:rPr>
          <w:rFonts w:cs="Times New Roman"/>
        </w:rPr>
        <w:tab/>
      </w:r>
      <w:r w:rsidRPr="004E4FBE">
        <w:rPr>
          <w:rFonts w:eastAsia="Times New Roman" w:cs="Times New Roman"/>
          <w:sz w:val="24"/>
          <w:szCs w:val="24"/>
        </w:rPr>
        <w:t>Lai augstāk minēto novērstu, veikti grozījumi Elektroenerģijas tirgus likuma 33.</w:t>
      </w:r>
      <w:r w:rsidR="00242A37" w:rsidRPr="004E4FBE">
        <w:rPr>
          <w:rFonts w:eastAsia="Times New Roman" w:cs="Times New Roman"/>
          <w:sz w:val="24"/>
          <w:szCs w:val="24"/>
          <w:vertAlign w:val="superscript"/>
        </w:rPr>
        <w:t>1</w:t>
      </w:r>
      <w:r w:rsidRPr="004E4FBE">
        <w:rPr>
          <w:rFonts w:eastAsia="Times New Roman" w:cs="Times New Roman"/>
          <w:sz w:val="24"/>
          <w:szCs w:val="24"/>
        </w:rPr>
        <w:t xml:space="preserve"> pantā</w:t>
      </w:r>
      <w:r w:rsidR="00A75F60" w:rsidRPr="004E4FBE">
        <w:rPr>
          <w:rFonts w:eastAsia="Times New Roman" w:cs="Times New Roman"/>
          <w:sz w:val="24"/>
          <w:szCs w:val="24"/>
        </w:rPr>
        <w:t>,</w:t>
      </w:r>
      <w:r w:rsidRPr="004E4FBE">
        <w:rPr>
          <w:rFonts w:eastAsia="Times New Roman" w:cs="Times New Roman"/>
          <w:sz w:val="24"/>
          <w:szCs w:val="24"/>
        </w:rPr>
        <w:t xml:space="preserve"> do</w:t>
      </w:r>
      <w:r w:rsidR="00A75F60" w:rsidRPr="004E4FBE">
        <w:rPr>
          <w:rFonts w:eastAsia="Times New Roman" w:cs="Times New Roman"/>
          <w:sz w:val="24"/>
          <w:szCs w:val="24"/>
        </w:rPr>
        <w:t>dot</w:t>
      </w:r>
      <w:r w:rsidRPr="004E4FBE">
        <w:rPr>
          <w:rFonts w:eastAsia="Times New Roman" w:cs="Times New Roman"/>
          <w:sz w:val="24"/>
          <w:szCs w:val="24"/>
        </w:rPr>
        <w:t xml:space="preserve"> deleģējum</w:t>
      </w:r>
      <w:r w:rsidR="00A75F60" w:rsidRPr="004E4FBE">
        <w:rPr>
          <w:rFonts w:eastAsia="Times New Roman" w:cs="Times New Roman"/>
          <w:sz w:val="24"/>
          <w:szCs w:val="24"/>
        </w:rPr>
        <w:t>u Ministru kabinetam</w:t>
      </w:r>
      <w:r w:rsidRPr="004E4FBE">
        <w:rPr>
          <w:rFonts w:eastAsia="Times New Roman" w:cs="Times New Roman"/>
          <w:sz w:val="24"/>
          <w:szCs w:val="24"/>
        </w:rPr>
        <w:t xml:space="preserve"> noteikt kārtību pakalpojuma nodrošināšanai (MK noteikumu projekts "Noteikumi par aizsargātā lietotāja tirdzniecības pakalpojumu" </w:t>
      </w:r>
      <w:r w:rsidR="00044DE6" w:rsidRPr="004E4FBE">
        <w:rPr>
          <w:rFonts w:eastAsia="Times New Roman" w:cs="Times New Roman"/>
          <w:sz w:val="24"/>
          <w:szCs w:val="24"/>
        </w:rPr>
        <w:t>(</w:t>
      </w:r>
      <w:r w:rsidRPr="004E4FBE">
        <w:rPr>
          <w:rFonts w:eastAsia="Times New Roman" w:cs="Times New Roman"/>
          <w:sz w:val="24"/>
          <w:szCs w:val="24"/>
        </w:rPr>
        <w:t>VSS-258</w:t>
      </w:r>
      <w:r w:rsidR="00044DE6" w:rsidRPr="004E4FBE">
        <w:rPr>
          <w:rFonts w:eastAsia="Times New Roman" w:cs="Times New Roman"/>
          <w:sz w:val="24"/>
          <w:szCs w:val="24"/>
        </w:rPr>
        <w:t>)</w:t>
      </w:r>
      <w:r w:rsidRPr="004E4FBE">
        <w:rPr>
          <w:rFonts w:eastAsia="Times New Roman" w:cs="Times New Roman"/>
          <w:sz w:val="24"/>
          <w:szCs w:val="24"/>
        </w:rPr>
        <w:t xml:space="preserve">), paredzot, ka BVKB administrēs pakalpojuma īstenošanu un veiks pārziņa funkciju aizsargātā lietotāja datu informācijas sistēmai (ALDIS), kas apkopos datus no valsts datu reģistriem, kā arī visiem </w:t>
      </w:r>
      <w:r w:rsidR="433E914C" w:rsidRPr="004E4FBE">
        <w:rPr>
          <w:rFonts w:eastAsia="Times New Roman" w:cs="Times New Roman"/>
          <w:sz w:val="24"/>
          <w:szCs w:val="24"/>
        </w:rPr>
        <w:t>pak</w:t>
      </w:r>
      <w:r w:rsidR="4B5DD4E7" w:rsidRPr="004E4FBE">
        <w:rPr>
          <w:rFonts w:eastAsia="Times New Roman" w:cs="Times New Roman"/>
          <w:sz w:val="24"/>
          <w:szCs w:val="24"/>
        </w:rPr>
        <w:t>a</w:t>
      </w:r>
      <w:r w:rsidR="433E914C" w:rsidRPr="004E4FBE">
        <w:rPr>
          <w:rFonts w:eastAsia="Times New Roman" w:cs="Times New Roman"/>
          <w:sz w:val="24"/>
          <w:szCs w:val="24"/>
        </w:rPr>
        <w:t>lpojuma sniedzējiem</w:t>
      </w:r>
      <w:r w:rsidR="63369FE9" w:rsidRPr="004E4FBE">
        <w:rPr>
          <w:rFonts w:eastAsia="Times New Roman" w:cs="Times New Roman"/>
          <w:sz w:val="24"/>
          <w:szCs w:val="24"/>
        </w:rPr>
        <w:t xml:space="preserve"> </w:t>
      </w:r>
      <w:r w:rsidR="433E914C" w:rsidRPr="004E4FBE">
        <w:rPr>
          <w:rFonts w:eastAsia="Times New Roman" w:cs="Times New Roman"/>
          <w:sz w:val="24"/>
          <w:szCs w:val="24"/>
        </w:rPr>
        <w:t>(</w:t>
      </w:r>
      <w:r w:rsidRPr="004E4FBE">
        <w:rPr>
          <w:rFonts w:eastAsia="Times New Roman" w:cs="Times New Roman"/>
          <w:sz w:val="24"/>
          <w:szCs w:val="24"/>
        </w:rPr>
        <w:t>reģistrētajiem elektroenerģijas tirgotājiem</w:t>
      </w:r>
      <w:r w:rsidR="57B0E720" w:rsidRPr="004E4FBE">
        <w:rPr>
          <w:rFonts w:eastAsia="Times New Roman" w:cs="Times New Roman"/>
          <w:sz w:val="24"/>
          <w:szCs w:val="24"/>
        </w:rPr>
        <w:t>)</w:t>
      </w:r>
      <w:r w:rsidRPr="004E4FBE">
        <w:rPr>
          <w:rFonts w:eastAsia="Times New Roman" w:cs="Times New Roman"/>
          <w:sz w:val="24"/>
          <w:szCs w:val="24"/>
        </w:rPr>
        <w:t>, lai aprēķinātu, kāds ir kompensācijas apmērs un kuri elektroenerģijas tirgotāju klienti atbilst aizsargātā lietotāja statusam, kā rezultātā šis kompensācijas apmērs ir jāattiecina to rēķinos par elektroenerģiju</w:t>
      </w:r>
      <w:r w:rsidR="385542F8" w:rsidRPr="004E4FBE">
        <w:rPr>
          <w:rFonts w:eastAsia="Times New Roman" w:cs="Times New Roman"/>
          <w:sz w:val="24"/>
          <w:szCs w:val="24"/>
        </w:rPr>
        <w:t xml:space="preserve"> kā maksājuma samazinājums</w:t>
      </w:r>
      <w:r w:rsidRPr="004E4FBE">
        <w:rPr>
          <w:rFonts w:eastAsia="Times New Roman" w:cs="Times New Roman"/>
          <w:sz w:val="24"/>
          <w:szCs w:val="24"/>
        </w:rPr>
        <w:t xml:space="preserve"> </w:t>
      </w:r>
      <w:r w:rsidR="434302F0" w:rsidRPr="004E4FBE">
        <w:rPr>
          <w:rFonts w:eastAsia="Times New Roman" w:cs="Times New Roman"/>
          <w:sz w:val="24"/>
          <w:szCs w:val="24"/>
        </w:rPr>
        <w:t>Tiek plānots, ka sākot ar 2021.</w:t>
      </w:r>
      <w:r w:rsidR="00242A37" w:rsidRPr="004E4FBE">
        <w:rPr>
          <w:rFonts w:eastAsia="Times New Roman" w:cs="Times New Roman"/>
          <w:sz w:val="24"/>
          <w:szCs w:val="24"/>
        </w:rPr>
        <w:t> </w:t>
      </w:r>
      <w:r w:rsidR="434302F0" w:rsidRPr="004E4FBE">
        <w:rPr>
          <w:rFonts w:eastAsia="Times New Roman" w:cs="Times New Roman"/>
          <w:sz w:val="24"/>
          <w:szCs w:val="24"/>
        </w:rPr>
        <w:t>gada 1.</w:t>
      </w:r>
      <w:r w:rsidR="00242A37" w:rsidRPr="004E4FBE">
        <w:rPr>
          <w:rFonts w:eastAsia="Times New Roman" w:cs="Times New Roman"/>
          <w:sz w:val="24"/>
          <w:szCs w:val="24"/>
        </w:rPr>
        <w:t> </w:t>
      </w:r>
      <w:r w:rsidR="434302F0" w:rsidRPr="004E4FBE">
        <w:rPr>
          <w:rFonts w:eastAsia="Times New Roman" w:cs="Times New Roman"/>
          <w:sz w:val="24"/>
          <w:szCs w:val="24"/>
        </w:rPr>
        <w:t xml:space="preserve">janvāri sāks darboties jaunā aizsargātā lietotāja tirdzniecības pakalpojuma sniegšanas kārtība, izmantojot ALDIS sistēmu. Izmaiņu rezultātā </w:t>
      </w:r>
      <w:r w:rsidR="434302F0" w:rsidRPr="004E4FBE">
        <w:rPr>
          <w:rFonts w:cs="Times New Roman"/>
          <w:sz w:val="24"/>
          <w:szCs w:val="24"/>
        </w:rPr>
        <w:t>jāparedz papildus finansējums jaunās kārtības darbības nodrošināšanai, jo tās ietvaros palielināsies aizsargāto lietotāju skaits, kā arī radīsies papildus izdevumi ALDIS uzturēšanai.</w:t>
      </w:r>
    </w:p>
    <w:p w14:paraId="06A8A93B" w14:textId="5D6FDF82" w:rsidR="0001457A" w:rsidRPr="004E4FBE" w:rsidRDefault="0001457A" w:rsidP="004E4FBE">
      <w:pPr>
        <w:spacing w:after="120"/>
        <w:rPr>
          <w:rFonts w:eastAsia="Times New Roman" w:cs="Times New Roman"/>
          <w:sz w:val="24"/>
          <w:szCs w:val="24"/>
        </w:rPr>
      </w:pPr>
      <w:r w:rsidRPr="004E4FBE">
        <w:rPr>
          <w:rFonts w:cs="Times New Roman"/>
        </w:rPr>
        <w:tab/>
      </w:r>
      <w:r w:rsidRPr="004E4FBE">
        <w:rPr>
          <w:rFonts w:eastAsia="Times New Roman" w:cs="Times New Roman"/>
          <w:sz w:val="24"/>
          <w:szCs w:val="24"/>
        </w:rPr>
        <w:t>Papildus, saskaņā ar Elektroenerģijas tirgus likuma 9.</w:t>
      </w:r>
      <w:r w:rsidR="00451374" w:rsidRPr="004E4FBE">
        <w:rPr>
          <w:rFonts w:eastAsia="Times New Roman" w:cs="Times New Roman"/>
          <w:sz w:val="24"/>
          <w:szCs w:val="24"/>
        </w:rPr>
        <w:t xml:space="preserve"> </w:t>
      </w:r>
      <w:r w:rsidRPr="004E4FBE">
        <w:rPr>
          <w:rFonts w:eastAsia="Times New Roman" w:cs="Times New Roman"/>
          <w:sz w:val="24"/>
          <w:szCs w:val="24"/>
        </w:rPr>
        <w:t xml:space="preserve">panta otrajā </w:t>
      </w:r>
      <w:r w:rsidR="00614473" w:rsidRPr="004E4FBE">
        <w:rPr>
          <w:rFonts w:eastAsia="Times New Roman" w:cs="Times New Roman"/>
          <w:sz w:val="24"/>
          <w:szCs w:val="24"/>
        </w:rPr>
        <w:t>trīs prim</w:t>
      </w:r>
      <w:r w:rsidRPr="004E4FBE">
        <w:rPr>
          <w:rFonts w:eastAsia="Times New Roman" w:cs="Times New Roman"/>
          <w:sz w:val="24"/>
          <w:szCs w:val="24"/>
        </w:rPr>
        <w:t xml:space="preserve"> daļā noteikto deleģējumu, Ministru kabinetam jānosaka kārtību, kādā finansē pieslēguma ierīkošanu aizsargātajam lietotājam, faktiski atjaunojot spēku zaudējušos Ministru kabineta 2017.</w:t>
      </w:r>
      <w:r w:rsidR="004132D9" w:rsidRPr="004E4FBE">
        <w:rPr>
          <w:rFonts w:eastAsia="Times New Roman" w:cs="Times New Roman"/>
          <w:sz w:val="24"/>
          <w:szCs w:val="24"/>
        </w:rPr>
        <w:t> </w:t>
      </w:r>
      <w:r w:rsidRPr="004E4FBE">
        <w:rPr>
          <w:rFonts w:eastAsia="Times New Roman" w:cs="Times New Roman"/>
          <w:sz w:val="24"/>
          <w:szCs w:val="24"/>
        </w:rPr>
        <w:t>gada 16.</w:t>
      </w:r>
      <w:r w:rsidR="004132D9" w:rsidRPr="004E4FBE">
        <w:rPr>
          <w:rFonts w:eastAsia="Times New Roman" w:cs="Times New Roman"/>
          <w:sz w:val="24"/>
          <w:szCs w:val="24"/>
        </w:rPr>
        <w:t> </w:t>
      </w:r>
      <w:r w:rsidRPr="004E4FBE">
        <w:rPr>
          <w:rFonts w:eastAsia="Times New Roman" w:cs="Times New Roman"/>
          <w:sz w:val="24"/>
          <w:szCs w:val="24"/>
        </w:rPr>
        <w:t>augusta noteikumus Nr.</w:t>
      </w:r>
      <w:r w:rsidR="00451374" w:rsidRPr="004E4FBE">
        <w:rPr>
          <w:rFonts w:eastAsia="Times New Roman" w:cs="Times New Roman"/>
          <w:sz w:val="24"/>
          <w:szCs w:val="24"/>
        </w:rPr>
        <w:t xml:space="preserve"> </w:t>
      </w:r>
      <w:r w:rsidRPr="004E4FBE">
        <w:rPr>
          <w:rFonts w:eastAsia="Times New Roman" w:cs="Times New Roman"/>
          <w:sz w:val="24"/>
          <w:szCs w:val="24"/>
        </w:rPr>
        <w:t>483 "Kārtība, kādā finansē pieslēguma ierīkošanu aizsargātajam lietotājam", kas paredz valsts līdzfinansējumu.</w:t>
      </w:r>
    </w:p>
    <w:p w14:paraId="0F70DDEE" w14:textId="29017A18" w:rsidR="0001457A" w:rsidRPr="004E4FBE" w:rsidRDefault="0001457A" w:rsidP="004E4FBE">
      <w:pPr>
        <w:spacing w:after="120"/>
        <w:rPr>
          <w:rFonts w:eastAsia="Times New Roman" w:cs="Times New Roman"/>
          <w:sz w:val="24"/>
          <w:szCs w:val="24"/>
        </w:rPr>
      </w:pPr>
      <w:r w:rsidRPr="004E4FBE">
        <w:rPr>
          <w:rFonts w:cs="Times New Roman"/>
        </w:rPr>
        <w:tab/>
      </w:r>
      <w:r w:rsidRPr="004E4FBE">
        <w:rPr>
          <w:rFonts w:eastAsia="Times New Roman" w:cs="Times New Roman"/>
          <w:sz w:val="24"/>
          <w:szCs w:val="24"/>
        </w:rPr>
        <w:t>Pēc Labklājības ministrijas sniegtajiem datiem 2019.</w:t>
      </w:r>
      <w:r w:rsidR="00C637D8" w:rsidRPr="004E4FBE">
        <w:rPr>
          <w:rFonts w:eastAsia="Times New Roman" w:cs="Times New Roman"/>
          <w:sz w:val="24"/>
          <w:szCs w:val="24"/>
        </w:rPr>
        <w:t> </w:t>
      </w:r>
      <w:r w:rsidRPr="004E4FBE">
        <w:rPr>
          <w:rFonts w:eastAsia="Times New Roman" w:cs="Times New Roman"/>
          <w:sz w:val="24"/>
          <w:szCs w:val="24"/>
        </w:rPr>
        <w:t>gadā aizsargāto lietotāju skaits pa kategorijām ir:</w:t>
      </w:r>
    </w:p>
    <w:p w14:paraId="77FEAE5A" w14:textId="28CE4889" w:rsidR="0001457A" w:rsidRPr="004E4FBE" w:rsidRDefault="0001457A" w:rsidP="004E4FBE">
      <w:pPr>
        <w:pStyle w:val="ListParagraph"/>
        <w:numPr>
          <w:ilvl w:val="0"/>
          <w:numId w:val="18"/>
        </w:numPr>
        <w:spacing w:after="120" w:line="240" w:lineRule="auto"/>
        <w:rPr>
          <w:rFonts w:ascii="Times New Roman" w:eastAsia="Times New Roman" w:hAnsi="Times New Roman" w:cs="Times New Roman"/>
          <w:sz w:val="24"/>
          <w:szCs w:val="24"/>
        </w:rPr>
      </w:pPr>
      <w:r w:rsidRPr="004E4FBE">
        <w:rPr>
          <w:rFonts w:ascii="Times New Roman" w:eastAsia="Times New Roman" w:hAnsi="Times New Roman" w:cs="Times New Roman"/>
          <w:sz w:val="24"/>
          <w:szCs w:val="24"/>
        </w:rPr>
        <w:t xml:space="preserve">personas ar I invaliditātes grupu </w:t>
      </w:r>
      <w:r w:rsidR="00C15E33" w:rsidRPr="004E4FBE">
        <w:rPr>
          <w:rFonts w:ascii="Times New Roman" w:eastAsia="Times New Roman" w:hAnsi="Times New Roman" w:cs="Times New Roman"/>
          <w:sz w:val="24"/>
          <w:szCs w:val="24"/>
        </w:rPr>
        <w:t>–</w:t>
      </w:r>
      <w:r w:rsidRPr="004E4FBE">
        <w:rPr>
          <w:rFonts w:ascii="Times New Roman" w:eastAsia="Times New Roman" w:hAnsi="Times New Roman" w:cs="Times New Roman"/>
          <w:sz w:val="24"/>
          <w:szCs w:val="24"/>
        </w:rPr>
        <w:t xml:space="preserve"> 26</w:t>
      </w:r>
      <w:r w:rsidR="00771AAC" w:rsidRPr="004E4FBE">
        <w:rPr>
          <w:rFonts w:ascii="Times New Roman" w:eastAsia="Times New Roman" w:hAnsi="Times New Roman" w:cs="Times New Roman"/>
          <w:sz w:val="24"/>
          <w:szCs w:val="24"/>
        </w:rPr>
        <w:t> </w:t>
      </w:r>
      <w:r w:rsidRPr="004E4FBE">
        <w:rPr>
          <w:rFonts w:ascii="Times New Roman" w:eastAsia="Times New Roman" w:hAnsi="Times New Roman" w:cs="Times New Roman"/>
          <w:sz w:val="24"/>
          <w:szCs w:val="24"/>
        </w:rPr>
        <w:t>808;</w:t>
      </w:r>
    </w:p>
    <w:p w14:paraId="0073AA0F" w14:textId="755EF325" w:rsidR="0001457A" w:rsidRPr="004E4FBE" w:rsidRDefault="0001457A" w:rsidP="004E4FBE">
      <w:pPr>
        <w:pStyle w:val="ListParagraph"/>
        <w:numPr>
          <w:ilvl w:val="0"/>
          <w:numId w:val="18"/>
        </w:numPr>
        <w:spacing w:after="120" w:line="240" w:lineRule="auto"/>
        <w:rPr>
          <w:rFonts w:ascii="Times New Roman" w:eastAsia="Times New Roman" w:hAnsi="Times New Roman" w:cs="Times New Roman"/>
          <w:sz w:val="24"/>
          <w:szCs w:val="24"/>
        </w:rPr>
      </w:pPr>
      <w:r w:rsidRPr="004E4FBE">
        <w:rPr>
          <w:rFonts w:ascii="Times New Roman" w:eastAsia="Times New Roman" w:hAnsi="Times New Roman" w:cs="Times New Roman"/>
          <w:sz w:val="24"/>
          <w:szCs w:val="24"/>
        </w:rPr>
        <w:t xml:space="preserve">ģimenes ar bērniem ar invaliditāti </w:t>
      </w:r>
      <w:r w:rsidR="00C15E33" w:rsidRPr="004E4FBE">
        <w:rPr>
          <w:rFonts w:ascii="Times New Roman" w:eastAsia="Times New Roman" w:hAnsi="Times New Roman" w:cs="Times New Roman"/>
          <w:sz w:val="24"/>
          <w:szCs w:val="24"/>
        </w:rPr>
        <w:t>–</w:t>
      </w:r>
      <w:r w:rsidRPr="004E4FBE">
        <w:rPr>
          <w:rFonts w:ascii="Times New Roman" w:eastAsia="Times New Roman" w:hAnsi="Times New Roman" w:cs="Times New Roman"/>
          <w:sz w:val="24"/>
          <w:szCs w:val="24"/>
        </w:rPr>
        <w:t xml:space="preserve"> 8</w:t>
      </w:r>
      <w:r w:rsidR="00771AAC" w:rsidRPr="004E4FBE">
        <w:rPr>
          <w:rFonts w:ascii="Times New Roman" w:eastAsia="Times New Roman" w:hAnsi="Times New Roman" w:cs="Times New Roman"/>
          <w:sz w:val="24"/>
          <w:szCs w:val="24"/>
        </w:rPr>
        <w:t> </w:t>
      </w:r>
      <w:r w:rsidRPr="004E4FBE">
        <w:rPr>
          <w:rFonts w:ascii="Times New Roman" w:eastAsia="Times New Roman" w:hAnsi="Times New Roman" w:cs="Times New Roman"/>
          <w:sz w:val="24"/>
          <w:szCs w:val="24"/>
        </w:rPr>
        <w:t>262;</w:t>
      </w:r>
    </w:p>
    <w:p w14:paraId="704FC28F" w14:textId="56A2D5DD" w:rsidR="0001457A" w:rsidRPr="004E4FBE" w:rsidRDefault="0001457A" w:rsidP="004E4FBE">
      <w:pPr>
        <w:pStyle w:val="ListParagraph"/>
        <w:numPr>
          <w:ilvl w:val="0"/>
          <w:numId w:val="18"/>
        </w:numPr>
        <w:spacing w:after="120" w:line="240" w:lineRule="auto"/>
        <w:rPr>
          <w:rFonts w:ascii="Times New Roman" w:eastAsia="Times New Roman" w:hAnsi="Times New Roman" w:cs="Times New Roman"/>
          <w:sz w:val="24"/>
          <w:szCs w:val="24"/>
        </w:rPr>
      </w:pPr>
      <w:r w:rsidRPr="004E4FBE">
        <w:rPr>
          <w:rFonts w:ascii="Times New Roman" w:eastAsia="Times New Roman" w:hAnsi="Times New Roman" w:cs="Times New Roman"/>
          <w:sz w:val="24"/>
          <w:szCs w:val="24"/>
        </w:rPr>
        <w:t>trūcīgas/maznodrošinātas ģimenes (personas) – 66</w:t>
      </w:r>
      <w:r w:rsidR="00771AAC" w:rsidRPr="004E4FBE">
        <w:rPr>
          <w:rFonts w:ascii="Times New Roman" w:eastAsia="Times New Roman" w:hAnsi="Times New Roman" w:cs="Times New Roman"/>
          <w:sz w:val="24"/>
          <w:szCs w:val="24"/>
        </w:rPr>
        <w:t> </w:t>
      </w:r>
      <w:r w:rsidRPr="004E4FBE">
        <w:rPr>
          <w:rFonts w:ascii="Times New Roman" w:eastAsia="Times New Roman" w:hAnsi="Times New Roman" w:cs="Times New Roman"/>
          <w:sz w:val="24"/>
          <w:szCs w:val="24"/>
        </w:rPr>
        <w:t>579.</w:t>
      </w:r>
    </w:p>
    <w:p w14:paraId="3EE7E23C" w14:textId="0DD22779" w:rsidR="0001457A" w:rsidRPr="004E4FBE" w:rsidRDefault="0001457A" w:rsidP="004E4FBE">
      <w:pPr>
        <w:spacing w:after="120"/>
        <w:rPr>
          <w:rFonts w:eastAsia="Times New Roman" w:cs="Times New Roman"/>
          <w:sz w:val="24"/>
          <w:szCs w:val="24"/>
        </w:rPr>
      </w:pPr>
      <w:r w:rsidRPr="004E4FBE">
        <w:rPr>
          <w:rFonts w:cs="Times New Roman"/>
        </w:rPr>
        <w:tab/>
      </w:r>
      <w:r w:rsidRPr="004E4FBE">
        <w:rPr>
          <w:rFonts w:eastAsia="Times New Roman" w:cs="Times New Roman"/>
          <w:sz w:val="24"/>
          <w:szCs w:val="24"/>
        </w:rPr>
        <w:t>Pēc Pilsonības un migrācijas lietu pārvaldes datiem Latvijā ir aptuveni 45</w:t>
      </w:r>
      <w:r w:rsidR="00343612" w:rsidRPr="004E4FBE">
        <w:rPr>
          <w:rFonts w:eastAsia="Times New Roman" w:cs="Times New Roman"/>
          <w:sz w:val="24"/>
          <w:szCs w:val="24"/>
        </w:rPr>
        <w:t> </w:t>
      </w:r>
      <w:r w:rsidRPr="004E4FBE">
        <w:rPr>
          <w:rFonts w:eastAsia="Times New Roman" w:cs="Times New Roman"/>
          <w:sz w:val="24"/>
          <w:szCs w:val="24"/>
        </w:rPr>
        <w:t>000 daudzbērnu ģimeņu.</w:t>
      </w:r>
    </w:p>
    <w:p w14:paraId="60DEE798" w14:textId="6C5DF69E" w:rsidR="0001457A" w:rsidRPr="00CA6654" w:rsidRDefault="0001457A" w:rsidP="4EC2768B">
      <w:pPr>
        <w:spacing w:after="120"/>
        <w:rPr>
          <w:rFonts w:eastAsia="Times New Roman" w:cs="Times New Roman"/>
          <w:color w:val="D13438"/>
          <w:sz w:val="24"/>
          <w:szCs w:val="24"/>
        </w:rPr>
      </w:pPr>
      <w:r w:rsidRPr="004E4FBE">
        <w:rPr>
          <w:rFonts w:cs="Times New Roman"/>
        </w:rPr>
        <w:tab/>
      </w:r>
      <w:r w:rsidRPr="004E4FBE">
        <w:rPr>
          <w:rFonts w:eastAsia="Times New Roman" w:cs="Times New Roman"/>
          <w:sz w:val="24"/>
          <w:szCs w:val="24"/>
        </w:rPr>
        <w:t>I</w:t>
      </w:r>
      <w:r w:rsidRPr="4EC2768B">
        <w:rPr>
          <w:rFonts w:eastAsia="Times New Roman" w:cs="Times New Roman"/>
          <w:sz w:val="24"/>
          <w:szCs w:val="24"/>
        </w:rPr>
        <w:t>eviešot jaunu atbalsta mehānismu, aizsargātajam lietotājam paredzēt</w:t>
      </w:r>
      <w:r w:rsidR="0A5E6CE7" w:rsidRPr="4EC2768B">
        <w:rPr>
          <w:rFonts w:eastAsia="Times New Roman" w:cs="Times New Roman"/>
          <w:sz w:val="24"/>
          <w:szCs w:val="24"/>
        </w:rPr>
        <w:t>s</w:t>
      </w:r>
      <w:r w:rsidRPr="4EC2768B">
        <w:rPr>
          <w:rFonts w:eastAsia="Times New Roman" w:cs="Times New Roman"/>
          <w:sz w:val="24"/>
          <w:szCs w:val="24"/>
        </w:rPr>
        <w:t xml:space="preserve"> 5 </w:t>
      </w:r>
      <w:r w:rsidRPr="4EC2768B">
        <w:rPr>
          <w:rFonts w:eastAsia="Times New Roman" w:cs="Times New Roman"/>
          <w:i/>
          <w:iCs/>
          <w:sz w:val="24"/>
          <w:szCs w:val="24"/>
        </w:rPr>
        <w:t>euro</w:t>
      </w:r>
      <w:r w:rsidRPr="4EC2768B">
        <w:rPr>
          <w:rFonts w:eastAsia="Times New Roman" w:cs="Times New Roman"/>
          <w:sz w:val="24"/>
          <w:szCs w:val="24"/>
        </w:rPr>
        <w:t xml:space="preserve"> </w:t>
      </w:r>
      <w:r w:rsidR="710B0ED5" w:rsidRPr="4EC2768B">
        <w:rPr>
          <w:rFonts w:eastAsia="Times New Roman" w:cs="Times New Roman"/>
          <w:sz w:val="24"/>
          <w:szCs w:val="24"/>
        </w:rPr>
        <w:t xml:space="preserve">maksājuma samazinājums </w:t>
      </w:r>
      <w:r w:rsidRPr="4EC2768B">
        <w:rPr>
          <w:rFonts w:eastAsia="Times New Roman" w:cs="Times New Roman"/>
          <w:sz w:val="24"/>
          <w:szCs w:val="24"/>
        </w:rPr>
        <w:t>rēķinam par elektroenerģiju, bet daudzbērnu ģimenēm</w:t>
      </w:r>
      <w:r w:rsidRPr="00401AD9">
        <w:rPr>
          <w:rFonts w:eastAsia="Times New Roman" w:cs="Times New Roman"/>
          <w:sz w:val="24"/>
          <w:szCs w:val="24"/>
          <w:vertAlign w:val="superscript"/>
        </w:rPr>
        <w:footnoteReference w:id="5"/>
      </w:r>
      <w:r w:rsidRPr="4EC2768B">
        <w:rPr>
          <w:rFonts w:eastAsia="Times New Roman" w:cs="Times New Roman"/>
          <w:sz w:val="24"/>
          <w:szCs w:val="24"/>
        </w:rPr>
        <w:t xml:space="preserve"> 10 </w:t>
      </w:r>
      <w:r w:rsidRPr="4EC2768B">
        <w:rPr>
          <w:rFonts w:eastAsia="Times New Roman" w:cs="Times New Roman"/>
          <w:i/>
          <w:iCs/>
          <w:sz w:val="24"/>
          <w:szCs w:val="24"/>
        </w:rPr>
        <w:t>euro</w:t>
      </w:r>
      <w:r w:rsidR="17D33E44" w:rsidRPr="4EC2768B">
        <w:rPr>
          <w:rFonts w:eastAsia="Times New Roman" w:cs="Times New Roman"/>
          <w:i/>
          <w:iCs/>
          <w:sz w:val="24"/>
          <w:szCs w:val="24"/>
        </w:rPr>
        <w:t>.</w:t>
      </w:r>
      <w:r w:rsidRPr="4EC2768B">
        <w:rPr>
          <w:rFonts w:eastAsia="Times New Roman" w:cs="Times New Roman"/>
          <w:sz w:val="24"/>
          <w:szCs w:val="24"/>
        </w:rPr>
        <w:t xml:space="preserve">  </w:t>
      </w:r>
      <w:r w:rsidRPr="4EC2768B">
        <w:rPr>
          <w:rFonts w:eastAsia="Times New Roman" w:cs="Times New Roman"/>
          <w:sz w:val="24"/>
          <w:szCs w:val="24"/>
        </w:rPr>
        <w:lastRenderedPageBreak/>
        <w:t xml:space="preserve">Papildus finansējums nepieciešams ALDIS </w:t>
      </w:r>
      <w:r w:rsidRPr="00CA6654">
        <w:rPr>
          <w:rFonts w:eastAsia="Times New Roman" w:cs="Times New Roman"/>
          <w:sz w:val="24"/>
          <w:szCs w:val="24"/>
        </w:rPr>
        <w:t>uzturēšanai</w:t>
      </w:r>
      <w:r w:rsidR="0DFF15B3" w:rsidRPr="00CA6654">
        <w:rPr>
          <w:rFonts w:eastAsia="Times New Roman" w:cs="Times New Roman"/>
          <w:sz w:val="24"/>
          <w:szCs w:val="24"/>
        </w:rPr>
        <w:t xml:space="preserve">, tā kā </w:t>
      </w:r>
      <w:r w:rsidR="50E7E7A1" w:rsidRPr="00CA6654">
        <w:rPr>
          <w:rFonts w:eastAsia="Times New Roman" w:cs="Times New Roman"/>
          <w:sz w:val="24"/>
          <w:szCs w:val="24"/>
        </w:rPr>
        <w:t>ALDIS vēl nav nodota ekspluatācijā un tai BVKB informācijas sistēmu uzturēšanas budžetā nav iedalīts finansējums.</w:t>
      </w:r>
    </w:p>
    <w:p w14:paraId="62679D37" w14:textId="55802A4F" w:rsidR="0001457A" w:rsidRPr="004E4FBE" w:rsidRDefault="0001457A" w:rsidP="4EC2768B">
      <w:pPr>
        <w:spacing w:after="120"/>
        <w:rPr>
          <w:rFonts w:eastAsia="Times New Roman" w:cs="Times New Roman"/>
          <w:sz w:val="24"/>
          <w:szCs w:val="24"/>
        </w:rPr>
      </w:pPr>
      <w:r w:rsidRPr="004E4FBE">
        <w:rPr>
          <w:rFonts w:cs="Times New Roman"/>
        </w:rPr>
        <w:tab/>
      </w:r>
      <w:r w:rsidRPr="4EC2768B">
        <w:rPr>
          <w:rFonts w:eastAsia="Times New Roman" w:cs="Times New Roman"/>
          <w:sz w:val="24"/>
          <w:szCs w:val="24"/>
        </w:rPr>
        <w:t>Ņemot vērā iepriekš minēto aizsargāto lietotāju skaitu kategorijās, kas šobrīd kopskaitā ir ~150</w:t>
      </w:r>
      <w:r w:rsidR="00771AAC" w:rsidRPr="4EC2768B">
        <w:rPr>
          <w:rFonts w:eastAsia="Times New Roman" w:cs="Times New Roman"/>
          <w:sz w:val="24"/>
          <w:szCs w:val="24"/>
        </w:rPr>
        <w:t> </w:t>
      </w:r>
      <w:r w:rsidRPr="4EC2768B">
        <w:rPr>
          <w:rFonts w:eastAsia="Times New Roman" w:cs="Times New Roman"/>
          <w:sz w:val="24"/>
          <w:szCs w:val="24"/>
        </w:rPr>
        <w:t xml:space="preserve">000   un katram aizsargātajam lietotājam plānoto </w:t>
      </w:r>
      <w:r w:rsidR="0CF9CB27" w:rsidRPr="734F9448">
        <w:rPr>
          <w:rFonts w:eastAsia="Times New Roman" w:cs="Times New Roman"/>
          <w:sz w:val="24"/>
          <w:szCs w:val="24"/>
        </w:rPr>
        <w:t>maksājuma samazinājumu r</w:t>
      </w:r>
      <w:r w:rsidR="00401AD9">
        <w:rPr>
          <w:rFonts w:eastAsia="Times New Roman" w:cs="Times New Roman"/>
          <w:sz w:val="24"/>
          <w:szCs w:val="24"/>
        </w:rPr>
        <w:t>ē</w:t>
      </w:r>
      <w:r w:rsidR="0CF9CB27" w:rsidRPr="734F9448">
        <w:rPr>
          <w:rFonts w:eastAsia="Times New Roman" w:cs="Times New Roman"/>
          <w:sz w:val="24"/>
          <w:szCs w:val="24"/>
        </w:rPr>
        <w:t>ķi</w:t>
      </w:r>
      <w:r w:rsidR="00401AD9">
        <w:rPr>
          <w:rFonts w:eastAsia="Times New Roman" w:cs="Times New Roman"/>
          <w:sz w:val="24"/>
          <w:szCs w:val="24"/>
        </w:rPr>
        <w:t>n</w:t>
      </w:r>
      <w:r w:rsidR="0CF9CB27" w:rsidRPr="734F9448">
        <w:rPr>
          <w:rFonts w:eastAsia="Times New Roman" w:cs="Times New Roman"/>
          <w:sz w:val="24"/>
          <w:szCs w:val="24"/>
        </w:rPr>
        <w:t>ā par elektrību</w:t>
      </w:r>
      <w:r w:rsidRPr="4EC2768B">
        <w:rPr>
          <w:rFonts w:eastAsia="Times New Roman" w:cs="Times New Roman"/>
          <w:sz w:val="24"/>
          <w:szCs w:val="24"/>
        </w:rPr>
        <w:t>,</w:t>
      </w:r>
      <w:r w:rsidR="2FDB7834" w:rsidRPr="734F9448">
        <w:rPr>
          <w:rFonts w:eastAsia="Times New Roman" w:cs="Times New Roman"/>
          <w:sz w:val="24"/>
          <w:szCs w:val="24"/>
        </w:rPr>
        <w:t xml:space="preserve"> </w:t>
      </w:r>
      <w:r w:rsidR="294FD3E5" w:rsidRPr="734F9448">
        <w:rPr>
          <w:rFonts w:eastAsia="Times New Roman" w:cs="Times New Roman"/>
          <w:sz w:val="24"/>
          <w:szCs w:val="24"/>
        </w:rPr>
        <w:t>t</w:t>
      </w:r>
      <w:r w:rsidRPr="4EC2768B">
        <w:rPr>
          <w:rFonts w:eastAsia="Times New Roman" w:cs="Times New Roman"/>
          <w:sz w:val="24"/>
          <w:szCs w:val="24"/>
        </w:rPr>
        <w:t>uvināt</w:t>
      </w:r>
      <w:r w:rsidR="441A991F" w:rsidRPr="734F9448">
        <w:rPr>
          <w:rFonts w:eastAsia="Times New Roman" w:cs="Times New Roman"/>
          <w:sz w:val="24"/>
          <w:szCs w:val="24"/>
        </w:rPr>
        <w:t xml:space="preserve">s pakalpojuma nodrošināšanai nepieciešamo valsts budžeta līdzekļu </w:t>
      </w:r>
      <w:r w:rsidRPr="4EC2768B">
        <w:rPr>
          <w:rFonts w:eastAsia="Times New Roman" w:cs="Times New Roman"/>
          <w:sz w:val="24"/>
          <w:szCs w:val="24"/>
        </w:rPr>
        <w:t>aprēķins</w:t>
      </w:r>
      <w:r w:rsidR="4AD8A5EC" w:rsidRPr="734F9448">
        <w:rPr>
          <w:rFonts w:eastAsia="Times New Roman" w:cs="Times New Roman"/>
          <w:sz w:val="24"/>
          <w:szCs w:val="24"/>
        </w:rPr>
        <w:t xml:space="preserve"> </w:t>
      </w:r>
      <w:r w:rsidRPr="4EC2768B">
        <w:rPr>
          <w:rFonts w:eastAsia="Times New Roman" w:cs="Times New Roman"/>
          <w:sz w:val="24"/>
          <w:szCs w:val="24"/>
        </w:rPr>
        <w:t xml:space="preserve"> </w:t>
      </w:r>
      <w:r w:rsidR="008C7E44" w:rsidRPr="4EC2768B">
        <w:rPr>
          <w:rFonts w:eastAsia="Times New Roman" w:cs="Times New Roman"/>
          <w:sz w:val="24"/>
          <w:szCs w:val="24"/>
        </w:rPr>
        <w:t>–</w:t>
      </w:r>
      <w:r w:rsidRPr="4EC2768B">
        <w:rPr>
          <w:rFonts w:eastAsia="Times New Roman" w:cs="Times New Roman"/>
          <w:sz w:val="24"/>
          <w:szCs w:val="24"/>
        </w:rPr>
        <w:t xml:space="preserve"> (26</w:t>
      </w:r>
      <w:r w:rsidR="00C15E33" w:rsidRPr="4EC2768B">
        <w:rPr>
          <w:rFonts w:eastAsia="Times New Roman" w:cs="Times New Roman"/>
          <w:sz w:val="24"/>
          <w:szCs w:val="24"/>
        </w:rPr>
        <w:t> </w:t>
      </w:r>
      <w:r w:rsidRPr="4EC2768B">
        <w:rPr>
          <w:rFonts w:eastAsia="Times New Roman" w:cs="Times New Roman"/>
          <w:sz w:val="24"/>
          <w:szCs w:val="24"/>
        </w:rPr>
        <w:t>808*5+8</w:t>
      </w:r>
      <w:r w:rsidR="00C15E33" w:rsidRPr="4EC2768B">
        <w:rPr>
          <w:rFonts w:eastAsia="Times New Roman" w:cs="Times New Roman"/>
          <w:sz w:val="24"/>
          <w:szCs w:val="24"/>
        </w:rPr>
        <w:t> </w:t>
      </w:r>
      <w:r w:rsidRPr="4EC2768B">
        <w:rPr>
          <w:rFonts w:eastAsia="Times New Roman" w:cs="Times New Roman"/>
          <w:sz w:val="24"/>
          <w:szCs w:val="24"/>
        </w:rPr>
        <w:t>262*5+66</w:t>
      </w:r>
      <w:r w:rsidR="00C15E33" w:rsidRPr="4EC2768B">
        <w:rPr>
          <w:rFonts w:eastAsia="Times New Roman" w:cs="Times New Roman"/>
          <w:sz w:val="24"/>
          <w:szCs w:val="24"/>
        </w:rPr>
        <w:t> </w:t>
      </w:r>
      <w:r w:rsidRPr="4EC2768B">
        <w:rPr>
          <w:rFonts w:eastAsia="Times New Roman" w:cs="Times New Roman"/>
          <w:sz w:val="24"/>
          <w:szCs w:val="24"/>
        </w:rPr>
        <w:t>579*5+45</w:t>
      </w:r>
      <w:r w:rsidR="00C15E33" w:rsidRPr="4EC2768B">
        <w:rPr>
          <w:rFonts w:eastAsia="Times New Roman" w:cs="Times New Roman"/>
          <w:sz w:val="24"/>
          <w:szCs w:val="24"/>
        </w:rPr>
        <w:t> </w:t>
      </w:r>
      <w:r w:rsidRPr="4EC2768B">
        <w:rPr>
          <w:rFonts w:eastAsia="Times New Roman" w:cs="Times New Roman"/>
          <w:sz w:val="24"/>
          <w:szCs w:val="24"/>
        </w:rPr>
        <w:t>000*10) * 12 (mēn.) = 11</w:t>
      </w:r>
      <w:r w:rsidR="00771AAC" w:rsidRPr="4EC2768B">
        <w:rPr>
          <w:rFonts w:eastAsia="Times New Roman" w:cs="Times New Roman"/>
          <w:sz w:val="24"/>
          <w:szCs w:val="24"/>
        </w:rPr>
        <w:t> </w:t>
      </w:r>
      <w:r w:rsidRPr="4EC2768B">
        <w:rPr>
          <w:rFonts w:eastAsia="Times New Roman" w:cs="Times New Roman"/>
          <w:sz w:val="24"/>
          <w:szCs w:val="24"/>
        </w:rPr>
        <w:t>498</w:t>
      </w:r>
      <w:r w:rsidR="00771AAC" w:rsidRPr="4EC2768B">
        <w:rPr>
          <w:rFonts w:eastAsia="Times New Roman" w:cs="Times New Roman"/>
          <w:sz w:val="24"/>
          <w:szCs w:val="24"/>
        </w:rPr>
        <w:t> </w:t>
      </w:r>
      <w:r w:rsidRPr="4EC2768B">
        <w:rPr>
          <w:rFonts w:eastAsia="Times New Roman" w:cs="Times New Roman"/>
          <w:sz w:val="24"/>
          <w:szCs w:val="24"/>
        </w:rPr>
        <w:t>940 +</w:t>
      </w:r>
      <w:r w:rsidR="10726F12" w:rsidRPr="734F9448">
        <w:rPr>
          <w:rFonts w:eastAsia="Times New Roman" w:cs="Times New Roman"/>
          <w:sz w:val="24"/>
          <w:szCs w:val="24"/>
        </w:rPr>
        <w:t>79 3120</w:t>
      </w:r>
      <w:r w:rsidRPr="4EC2768B">
        <w:rPr>
          <w:rFonts w:eastAsia="Times New Roman" w:cs="Times New Roman"/>
          <w:sz w:val="24"/>
          <w:szCs w:val="24"/>
        </w:rPr>
        <w:t xml:space="preserve"> (ALDIS uzturēšanas izmaksas) = </w:t>
      </w:r>
      <w:r w:rsidR="30AFF7C3" w:rsidRPr="734F9448">
        <w:rPr>
          <w:rFonts w:eastAsia="Times New Roman" w:cs="Times New Roman"/>
          <w:sz w:val="24"/>
          <w:szCs w:val="24"/>
        </w:rPr>
        <w:t>11  578 252</w:t>
      </w:r>
      <w:r w:rsidRPr="4EC2768B">
        <w:rPr>
          <w:rFonts w:eastAsia="Times New Roman" w:cs="Times New Roman"/>
          <w:sz w:val="24"/>
          <w:szCs w:val="24"/>
        </w:rPr>
        <w:t xml:space="preserve"> </w:t>
      </w:r>
      <w:r w:rsidRPr="734F9448">
        <w:rPr>
          <w:rFonts w:eastAsia="Times New Roman" w:cs="Times New Roman"/>
          <w:i/>
          <w:iCs/>
          <w:sz w:val="24"/>
          <w:szCs w:val="24"/>
        </w:rPr>
        <w:t>euro</w:t>
      </w:r>
      <w:r w:rsidRPr="4EC2768B">
        <w:rPr>
          <w:rFonts w:eastAsia="Times New Roman" w:cs="Times New Roman"/>
          <w:sz w:val="24"/>
          <w:szCs w:val="24"/>
        </w:rPr>
        <w:t>). Būtiski uzsvērt, ka aizsargāto lietotāju skaits ir mainīgs, tāpēc atbalstam nepieciešamā summa ir tuvināts aprēķins</w:t>
      </w:r>
      <w:r w:rsidR="5F69360A" w:rsidRPr="734F9448">
        <w:rPr>
          <w:rFonts w:eastAsia="Times New Roman" w:cs="Times New Roman"/>
          <w:sz w:val="24"/>
          <w:szCs w:val="24"/>
        </w:rPr>
        <w:t>. T</w:t>
      </w:r>
      <w:r w:rsidR="1ED7A6C7" w:rsidRPr="734F9448">
        <w:rPr>
          <w:rFonts w:eastAsia="Times New Roman" w:cs="Times New Roman"/>
          <w:sz w:val="24"/>
          <w:szCs w:val="24"/>
        </w:rPr>
        <w:t>āpat jāmin, ka tikai pēc jaunā aizsargāto lietotāju atbalsta mehānisma darbības uzsākšanas, izmantojot ALDIS datus</w:t>
      </w:r>
      <w:r w:rsidR="510BAD4E" w:rsidRPr="734F9448">
        <w:rPr>
          <w:rFonts w:eastAsia="Times New Roman" w:cs="Times New Roman"/>
          <w:sz w:val="24"/>
          <w:szCs w:val="24"/>
        </w:rPr>
        <w:t>,</w:t>
      </w:r>
      <w:r w:rsidR="1ED7A6C7" w:rsidRPr="734F9448">
        <w:rPr>
          <w:rFonts w:eastAsia="Times New Roman" w:cs="Times New Roman"/>
          <w:sz w:val="24"/>
          <w:szCs w:val="24"/>
        </w:rPr>
        <w:t xml:space="preserve"> varēs</w:t>
      </w:r>
      <w:r w:rsidR="11E3322E" w:rsidRPr="734F9448">
        <w:rPr>
          <w:rFonts w:eastAsia="Times New Roman" w:cs="Times New Roman"/>
          <w:sz w:val="24"/>
          <w:szCs w:val="24"/>
        </w:rPr>
        <w:t xml:space="preserve"> skaidrāk saprast ikmēn</w:t>
      </w:r>
      <w:r w:rsidR="00401AD9">
        <w:rPr>
          <w:rFonts w:eastAsia="Times New Roman" w:cs="Times New Roman"/>
          <w:sz w:val="24"/>
          <w:szCs w:val="24"/>
        </w:rPr>
        <w:t>e</w:t>
      </w:r>
      <w:r w:rsidR="11E3322E" w:rsidRPr="734F9448">
        <w:rPr>
          <w:rFonts w:eastAsia="Times New Roman" w:cs="Times New Roman"/>
          <w:sz w:val="24"/>
          <w:szCs w:val="24"/>
        </w:rPr>
        <w:t>ša un gada izmaksas pakalpojuma nodrošināšanai</w:t>
      </w:r>
      <w:r w:rsidR="5B0C1D79" w:rsidRPr="734F9448">
        <w:rPr>
          <w:rFonts w:eastAsia="Times New Roman" w:cs="Times New Roman"/>
          <w:sz w:val="24"/>
          <w:szCs w:val="24"/>
        </w:rPr>
        <w:t>, kā arī precizētu aizsargāto lietotāju, kas saņem pakalpojumu, skaitu.</w:t>
      </w:r>
    </w:p>
    <w:p w14:paraId="63C279A1" w14:textId="1224A1E9" w:rsidR="5E602946" w:rsidRDefault="5E602946" w:rsidP="00CA6654">
      <w:pPr>
        <w:spacing w:after="120"/>
        <w:ind w:firstLine="720"/>
        <w:rPr>
          <w:rFonts w:eastAsia="Times New Roman" w:cs="Times New Roman"/>
          <w:sz w:val="24"/>
          <w:szCs w:val="24"/>
        </w:rPr>
      </w:pPr>
      <w:r w:rsidRPr="00CA6654">
        <w:rPr>
          <w:rFonts w:eastAsia="Times New Roman" w:cs="Times New Roman"/>
          <w:sz w:val="24"/>
          <w:szCs w:val="24"/>
        </w:rPr>
        <w:t>Papildus, saistībā ar Satversmes tiesas spriedumiem par garantēto minimālo ienākumu līmeni (lieta Nr.2019-24-03) par ģimenes vai atsevišķi dzīvojošas personas atzīšanu par trūcīgu (lieta Nr.2019-25-03) un citiem saistītiem Satversmes tiesas spriedumiem, kas attiecas uz plašu personu loku ar minimālajiem ienākumiem, Labklājības ministrija gatavo izmaiņas virknē normatīvo aktu, par kurām vēl jāvienojas Ministru kabinetā un Saeimā. Izmaiņas attiecībā uz trūcīgas personas ienākumu līmeni un maznodrošinātās personas statusu var ietekmēt aizsargāto lietotāju mērķgrupu un līdz ar to aizsargāto lietotāju atbalstam nepieciešamā finansējuma apjomu.</w:t>
      </w:r>
      <w:r w:rsidR="39E8970A" w:rsidRPr="638B9066">
        <w:rPr>
          <w:rFonts w:eastAsia="Times New Roman" w:cs="Times New Roman"/>
          <w:sz w:val="24"/>
          <w:szCs w:val="24"/>
        </w:rPr>
        <w:t xml:space="preserve"> Atkarībā no minētajām iespējamajām izmaiņām maznodrošināto un trūcīgo ģimeņu (personu) skaitā, attiecīgajā laika posmā tiks pārskatīts</w:t>
      </w:r>
      <w:r w:rsidR="0939315C" w:rsidRPr="638B9066">
        <w:rPr>
          <w:rFonts w:eastAsia="Times New Roman" w:cs="Times New Roman"/>
          <w:sz w:val="24"/>
          <w:szCs w:val="24"/>
        </w:rPr>
        <w:t xml:space="preserve"> elektroenerģijas lietotāju atbalstam paredzētais</w:t>
      </w:r>
      <w:r w:rsidR="2D010F8E" w:rsidRPr="638B9066">
        <w:rPr>
          <w:rFonts w:eastAsia="Times New Roman" w:cs="Times New Roman"/>
          <w:sz w:val="24"/>
          <w:szCs w:val="24"/>
        </w:rPr>
        <w:t xml:space="preserve"> valsts budžeta</w:t>
      </w:r>
      <w:r w:rsidR="1C649BB3" w:rsidRPr="638B9066">
        <w:rPr>
          <w:rFonts w:eastAsia="Times New Roman" w:cs="Times New Roman"/>
          <w:sz w:val="24"/>
          <w:szCs w:val="24"/>
        </w:rPr>
        <w:t xml:space="preserve"> līdzekļu apjoms, kā arī aizsargātā lietotāja atbalsta mehānisma īsten</w:t>
      </w:r>
      <w:r w:rsidR="0DF8537B" w:rsidRPr="638B9066">
        <w:rPr>
          <w:rFonts w:eastAsia="Times New Roman" w:cs="Times New Roman"/>
          <w:sz w:val="24"/>
          <w:szCs w:val="24"/>
        </w:rPr>
        <w:t>ošanas aspekti.</w:t>
      </w:r>
    </w:p>
    <w:p w14:paraId="3C072F82" w14:textId="2838E10E" w:rsidR="0001457A" w:rsidRPr="004E4FBE" w:rsidRDefault="0001457A" w:rsidP="00CA6654">
      <w:pPr>
        <w:spacing w:after="120"/>
        <w:ind w:firstLine="720"/>
        <w:rPr>
          <w:rFonts w:eastAsia="Times New Roman" w:cs="Times New Roman"/>
          <w:sz w:val="24"/>
          <w:szCs w:val="24"/>
        </w:rPr>
      </w:pPr>
      <w:r w:rsidRPr="004E4FBE">
        <w:rPr>
          <w:rFonts w:eastAsia="Times New Roman" w:cs="Times New Roman"/>
          <w:sz w:val="24"/>
          <w:szCs w:val="24"/>
        </w:rPr>
        <w:t>Pēc AS "Sadales tīkls" lūguma no pašvaldībām saņemti dati par Latvijas teritorijā aptuveni 42 vēsturiski neelektrificētiem aizsargāto lietotāju mājokļiem, kuru pieslēgumu izbūvei plānots līdzfinansēt maksimums 7</w:t>
      </w:r>
      <w:r w:rsidR="00675F1C" w:rsidRPr="004E4FBE">
        <w:rPr>
          <w:rFonts w:eastAsia="Times New Roman" w:cs="Times New Roman"/>
          <w:sz w:val="24"/>
          <w:szCs w:val="24"/>
        </w:rPr>
        <w:t> </w:t>
      </w:r>
      <w:r w:rsidRPr="004E4FBE">
        <w:rPr>
          <w:rFonts w:eastAsia="Times New Roman" w:cs="Times New Roman"/>
          <w:sz w:val="24"/>
          <w:szCs w:val="24"/>
        </w:rPr>
        <w:t xml:space="preserve">500 </w:t>
      </w:r>
      <w:r w:rsidRPr="638B9066">
        <w:rPr>
          <w:rFonts w:eastAsia="Times New Roman" w:cs="Times New Roman"/>
          <w:i/>
          <w:iCs/>
          <w:sz w:val="24"/>
          <w:szCs w:val="24"/>
        </w:rPr>
        <w:t>euro</w:t>
      </w:r>
      <w:r w:rsidRPr="004E4FBE">
        <w:rPr>
          <w:rFonts w:eastAsia="Times New Roman" w:cs="Times New Roman"/>
          <w:sz w:val="24"/>
          <w:szCs w:val="24"/>
        </w:rPr>
        <w:t xml:space="preserve"> uz pieslēgumu, kas kopumā sastāda 42*7</w:t>
      </w:r>
      <w:r w:rsidR="00675F1C" w:rsidRPr="004E4FBE">
        <w:rPr>
          <w:rFonts w:eastAsia="Times New Roman" w:cs="Times New Roman"/>
          <w:sz w:val="24"/>
          <w:szCs w:val="24"/>
        </w:rPr>
        <w:t> </w:t>
      </w:r>
      <w:r w:rsidRPr="004E4FBE">
        <w:rPr>
          <w:rFonts w:eastAsia="Times New Roman" w:cs="Times New Roman"/>
          <w:sz w:val="24"/>
          <w:szCs w:val="24"/>
        </w:rPr>
        <w:t>500 = 315</w:t>
      </w:r>
      <w:r w:rsidR="00B61883" w:rsidRPr="004E4FBE">
        <w:rPr>
          <w:rFonts w:eastAsia="Times New Roman" w:cs="Times New Roman"/>
          <w:sz w:val="24"/>
          <w:szCs w:val="24"/>
        </w:rPr>
        <w:t> </w:t>
      </w:r>
      <w:r w:rsidRPr="004E4FBE">
        <w:rPr>
          <w:rFonts w:eastAsia="Times New Roman" w:cs="Times New Roman"/>
          <w:sz w:val="24"/>
          <w:szCs w:val="24"/>
        </w:rPr>
        <w:t xml:space="preserve">000 </w:t>
      </w:r>
      <w:r w:rsidRPr="638B9066">
        <w:rPr>
          <w:rFonts w:eastAsia="Times New Roman" w:cs="Times New Roman"/>
          <w:i/>
          <w:iCs/>
          <w:sz w:val="24"/>
          <w:szCs w:val="24"/>
        </w:rPr>
        <w:t>euro</w:t>
      </w:r>
      <w:r w:rsidRPr="004E4FBE">
        <w:rPr>
          <w:rFonts w:eastAsia="Times New Roman" w:cs="Times New Roman"/>
          <w:sz w:val="24"/>
          <w:szCs w:val="24"/>
        </w:rPr>
        <w:t>, jeb 105</w:t>
      </w:r>
      <w:r w:rsidR="00B61883" w:rsidRPr="004E4FBE">
        <w:rPr>
          <w:rFonts w:eastAsia="Times New Roman" w:cs="Times New Roman"/>
          <w:sz w:val="24"/>
          <w:szCs w:val="24"/>
        </w:rPr>
        <w:t> </w:t>
      </w:r>
      <w:r w:rsidRPr="004E4FBE">
        <w:rPr>
          <w:rFonts w:eastAsia="Times New Roman" w:cs="Times New Roman"/>
          <w:sz w:val="24"/>
          <w:szCs w:val="24"/>
        </w:rPr>
        <w:t xml:space="preserve">000 </w:t>
      </w:r>
      <w:r w:rsidRPr="638B9066">
        <w:rPr>
          <w:rFonts w:eastAsia="Times New Roman" w:cs="Times New Roman"/>
          <w:i/>
          <w:iCs/>
          <w:sz w:val="24"/>
          <w:szCs w:val="24"/>
        </w:rPr>
        <w:t>euro</w:t>
      </w:r>
      <w:r w:rsidRPr="004E4FBE">
        <w:rPr>
          <w:rFonts w:eastAsia="Times New Roman" w:cs="Times New Roman"/>
          <w:sz w:val="24"/>
          <w:szCs w:val="24"/>
        </w:rPr>
        <w:t>/gadā, izdalot proporcionāli 3 gadu griezumā. 2020.</w:t>
      </w:r>
      <w:r w:rsidR="00675F1C" w:rsidRPr="004E4FBE">
        <w:rPr>
          <w:rFonts w:eastAsia="Times New Roman" w:cs="Times New Roman"/>
          <w:sz w:val="24"/>
          <w:szCs w:val="24"/>
        </w:rPr>
        <w:t> </w:t>
      </w:r>
      <w:r w:rsidRPr="004E4FBE">
        <w:rPr>
          <w:rFonts w:eastAsia="Times New Roman" w:cs="Times New Roman"/>
          <w:sz w:val="24"/>
          <w:szCs w:val="24"/>
        </w:rPr>
        <w:t>gadā šim pasākumam nav piešķirts budžeta finansējums.</w:t>
      </w:r>
    </w:p>
    <w:p w14:paraId="3000ADEC" w14:textId="0A2FA3EF" w:rsidR="55A9F092" w:rsidRDefault="55A9F092" w:rsidP="00CA6654">
      <w:pPr>
        <w:spacing w:after="120"/>
        <w:ind w:firstLine="720"/>
        <w:rPr>
          <w:rFonts w:eastAsia="Times New Roman" w:cs="Times New Roman"/>
          <w:sz w:val="24"/>
          <w:szCs w:val="24"/>
        </w:rPr>
      </w:pPr>
      <w:r w:rsidRPr="638B9066">
        <w:rPr>
          <w:rFonts w:eastAsia="Times New Roman" w:cs="Times New Roman"/>
          <w:sz w:val="24"/>
          <w:szCs w:val="24"/>
        </w:rPr>
        <w:t xml:space="preserve">Ietverot aizsargāto lietotāju </w:t>
      </w:r>
      <w:r w:rsidR="3F841D7A" w:rsidRPr="638B9066">
        <w:rPr>
          <w:rFonts w:eastAsia="Times New Roman" w:cs="Times New Roman"/>
          <w:sz w:val="24"/>
          <w:szCs w:val="24"/>
        </w:rPr>
        <w:t xml:space="preserve">tirdzniecības </w:t>
      </w:r>
      <w:r w:rsidRPr="638B9066">
        <w:rPr>
          <w:rFonts w:eastAsia="Times New Roman" w:cs="Times New Roman"/>
          <w:sz w:val="24"/>
          <w:szCs w:val="24"/>
        </w:rPr>
        <w:t>pakalpojuma nodrošināšanai nepieciešamos finanšu līdzekļus, ALDIS uzturēšanai nepieciešamās ikgadējās izmaksas, kā arī aizsargāto lietotāju neelektrifi</w:t>
      </w:r>
      <w:r w:rsidR="1349BA31" w:rsidRPr="638B9066">
        <w:rPr>
          <w:rFonts w:eastAsia="Times New Roman" w:cs="Times New Roman"/>
          <w:sz w:val="24"/>
          <w:szCs w:val="24"/>
        </w:rPr>
        <w:t xml:space="preserve">cēto mājokļu elektroenerģijas pieslēgumu līdzfinansēšanas izmaksas, </w:t>
      </w:r>
      <w:r w:rsidRPr="638B9066">
        <w:rPr>
          <w:rFonts w:eastAsia="Times New Roman" w:cs="Times New Roman"/>
          <w:sz w:val="24"/>
          <w:szCs w:val="24"/>
        </w:rPr>
        <w:t xml:space="preserve">paredzēts, ka budžeta izdevumi šim mērķim sasniegs līdz 12 milj. </w:t>
      </w:r>
      <w:r w:rsidRPr="638B9066">
        <w:rPr>
          <w:rFonts w:eastAsia="Times New Roman" w:cs="Times New Roman"/>
          <w:i/>
          <w:iCs/>
          <w:sz w:val="24"/>
          <w:szCs w:val="24"/>
        </w:rPr>
        <w:t>euro</w:t>
      </w:r>
      <w:r w:rsidRPr="638B9066">
        <w:rPr>
          <w:rFonts w:eastAsia="Times New Roman" w:cs="Times New Roman"/>
          <w:sz w:val="24"/>
          <w:szCs w:val="24"/>
        </w:rPr>
        <w:t>/gadā, sākot ar 2021. gadu.</w:t>
      </w:r>
    </w:p>
    <w:p w14:paraId="46C25C56" w14:textId="77777777" w:rsidR="0001457A" w:rsidRPr="004E4FBE" w:rsidRDefault="0001457A" w:rsidP="004E4FBE">
      <w:pPr>
        <w:spacing w:after="120"/>
        <w:rPr>
          <w:rFonts w:eastAsia="Times New Roman" w:cs="Times New Roman"/>
          <w:sz w:val="24"/>
          <w:szCs w:val="24"/>
        </w:rPr>
      </w:pPr>
    </w:p>
    <w:p w14:paraId="0C8B2963" w14:textId="6B713148" w:rsidR="00937DA3" w:rsidRDefault="07350D77" w:rsidP="004E4FBE">
      <w:pPr>
        <w:pStyle w:val="Heading1"/>
        <w:spacing w:before="0" w:after="120"/>
        <w:ind w:left="431" w:hanging="431"/>
        <w:jc w:val="center"/>
        <w:rPr>
          <w:rFonts w:ascii="Times New Roman" w:hAnsi="Times New Roman" w:cs="Times New Roman"/>
          <w:b/>
          <w:bCs/>
          <w:color w:val="auto"/>
          <w:sz w:val="24"/>
          <w:szCs w:val="24"/>
        </w:rPr>
      </w:pPr>
      <w:bookmarkStart w:id="10" w:name="_Toc51576936"/>
      <w:r w:rsidRPr="6410F582">
        <w:rPr>
          <w:rFonts w:ascii="Times New Roman" w:hAnsi="Times New Roman" w:cs="Times New Roman"/>
          <w:b/>
          <w:bCs/>
          <w:color w:val="auto"/>
          <w:sz w:val="24"/>
          <w:szCs w:val="24"/>
        </w:rPr>
        <w:t>Valsts pētījumu programmas “Enerģētika”</w:t>
      </w:r>
      <w:r w:rsidR="00A75F60" w:rsidRPr="6410F582">
        <w:rPr>
          <w:rFonts w:ascii="Times New Roman" w:hAnsi="Times New Roman" w:cs="Times New Roman"/>
          <w:b/>
          <w:bCs/>
          <w:color w:val="auto"/>
          <w:sz w:val="24"/>
          <w:szCs w:val="24"/>
        </w:rPr>
        <w:t xml:space="preserve"> </w:t>
      </w:r>
      <w:r w:rsidR="00B552E4" w:rsidRPr="6410F582">
        <w:rPr>
          <w:rFonts w:ascii="Times New Roman" w:hAnsi="Times New Roman" w:cs="Times New Roman"/>
          <w:b/>
          <w:bCs/>
          <w:color w:val="auto"/>
          <w:sz w:val="24"/>
          <w:szCs w:val="24"/>
        </w:rPr>
        <w:t xml:space="preserve"> un citu pētījumu </w:t>
      </w:r>
      <w:r w:rsidR="00A75F60" w:rsidRPr="6410F582">
        <w:rPr>
          <w:rFonts w:ascii="Times New Roman" w:hAnsi="Times New Roman" w:cs="Times New Roman"/>
          <w:b/>
          <w:bCs/>
          <w:color w:val="auto"/>
          <w:sz w:val="24"/>
          <w:szCs w:val="24"/>
        </w:rPr>
        <w:t>īstenošana</w:t>
      </w:r>
      <w:r w:rsidR="65A99C5B" w:rsidRPr="6410F582">
        <w:rPr>
          <w:rFonts w:ascii="Times New Roman" w:hAnsi="Times New Roman" w:cs="Times New Roman"/>
          <w:b/>
          <w:bCs/>
          <w:color w:val="auto"/>
          <w:sz w:val="24"/>
          <w:szCs w:val="24"/>
        </w:rPr>
        <w:t xml:space="preserve"> NEKP mērķu sasniegšanai</w:t>
      </w:r>
      <w:bookmarkEnd w:id="10"/>
    </w:p>
    <w:p w14:paraId="4B437FC4" w14:textId="49A13D0C" w:rsidR="001E510F" w:rsidRPr="001E510F" w:rsidRDefault="00935BB9" w:rsidP="000A27AA">
      <w:pPr>
        <w:ind w:firstLine="720"/>
      </w:pPr>
      <w:r w:rsidRPr="00026014">
        <w:rPr>
          <w:sz w:val="24"/>
          <w:szCs w:val="24"/>
        </w:rPr>
        <w:t xml:space="preserve">Lai sasniegtu </w:t>
      </w:r>
      <w:r w:rsidR="00996183" w:rsidRPr="638B9066">
        <w:rPr>
          <w:rFonts w:eastAsia="Times New Roman" w:cs="Times New Roman"/>
          <w:sz w:val="24"/>
          <w:szCs w:val="24"/>
        </w:rPr>
        <w:t>Latvijas Nacionālā Enerģētikas un klimata plāna 2021.-2030. gadam īstenošanu (turpmāk – NEKP)</w:t>
      </w:r>
      <w:r w:rsidR="00996183">
        <w:rPr>
          <w:rFonts w:eastAsia="Times New Roman" w:cs="Times New Roman"/>
          <w:sz w:val="24"/>
          <w:szCs w:val="24"/>
        </w:rPr>
        <w:t xml:space="preserve"> </w:t>
      </w:r>
      <w:r w:rsidRPr="00026014">
        <w:rPr>
          <w:sz w:val="24"/>
          <w:szCs w:val="24"/>
        </w:rPr>
        <w:t xml:space="preserve">noteiktos ambiciozos mērķus, kā arī </w:t>
      </w:r>
      <w:r w:rsidR="001E510F" w:rsidRPr="00026014">
        <w:rPr>
          <w:sz w:val="24"/>
          <w:szCs w:val="24"/>
        </w:rPr>
        <w:t>ņemot vērā nozares prioritātes un plānošanas dokument</w:t>
      </w:r>
      <w:r w:rsidRPr="00026014">
        <w:rPr>
          <w:sz w:val="24"/>
          <w:szCs w:val="24"/>
        </w:rPr>
        <w:t xml:space="preserve">us, </w:t>
      </w:r>
      <w:r w:rsidR="001E510F" w:rsidRPr="00026014">
        <w:rPr>
          <w:sz w:val="24"/>
          <w:szCs w:val="24"/>
        </w:rPr>
        <w:t>ir nepieciešams īstenot virkni pētījumu un pasākumu enerģētikas nozarē. Šie pasākumi ir tieši saistīti ar 2030.gada mērķiem nepieciešamajām enerģētikas tirgus izmaiņām.</w:t>
      </w:r>
    </w:p>
    <w:p w14:paraId="1550119F" w14:textId="28868692" w:rsidR="0001457A" w:rsidRPr="004E4FBE" w:rsidRDefault="0001457A" w:rsidP="638B9066">
      <w:pPr>
        <w:spacing w:after="120"/>
        <w:ind w:firstLine="720"/>
        <w:rPr>
          <w:rFonts w:eastAsia="Times New Roman" w:cs="Times New Roman"/>
          <w:sz w:val="24"/>
          <w:szCs w:val="24"/>
        </w:rPr>
      </w:pPr>
      <w:r w:rsidRPr="638B9066">
        <w:rPr>
          <w:rFonts w:eastAsia="Times New Roman" w:cs="Times New Roman"/>
          <w:sz w:val="24"/>
          <w:szCs w:val="24"/>
        </w:rPr>
        <w:t>Ar Ministru kabineta 2018.</w:t>
      </w:r>
      <w:r w:rsidR="00CB7C5A" w:rsidRPr="638B9066">
        <w:rPr>
          <w:rFonts w:eastAsia="Times New Roman" w:cs="Times New Roman"/>
          <w:sz w:val="24"/>
          <w:szCs w:val="24"/>
        </w:rPr>
        <w:t> </w:t>
      </w:r>
      <w:r w:rsidRPr="638B9066">
        <w:rPr>
          <w:rFonts w:eastAsia="Times New Roman" w:cs="Times New Roman"/>
          <w:sz w:val="24"/>
          <w:szCs w:val="24"/>
        </w:rPr>
        <w:t>gada 26.</w:t>
      </w:r>
      <w:r w:rsidR="00CB7C5A" w:rsidRPr="638B9066">
        <w:rPr>
          <w:rFonts w:eastAsia="Times New Roman" w:cs="Times New Roman"/>
          <w:sz w:val="24"/>
          <w:szCs w:val="24"/>
        </w:rPr>
        <w:t> </w:t>
      </w:r>
      <w:r w:rsidRPr="638B9066">
        <w:rPr>
          <w:rFonts w:eastAsia="Times New Roman" w:cs="Times New Roman"/>
          <w:sz w:val="24"/>
          <w:szCs w:val="24"/>
        </w:rPr>
        <w:t>septembra rīkojumu Nr.</w:t>
      </w:r>
      <w:r w:rsidR="00AB6D42" w:rsidRPr="638B9066">
        <w:rPr>
          <w:rFonts w:eastAsia="Times New Roman" w:cs="Times New Roman"/>
          <w:sz w:val="24"/>
          <w:szCs w:val="24"/>
        </w:rPr>
        <w:t xml:space="preserve"> </w:t>
      </w:r>
      <w:r w:rsidRPr="638B9066">
        <w:rPr>
          <w:rFonts w:eastAsia="Times New Roman" w:cs="Times New Roman"/>
          <w:sz w:val="24"/>
          <w:szCs w:val="24"/>
        </w:rPr>
        <w:t>462</w:t>
      </w:r>
      <w:r w:rsidRPr="638B9066">
        <w:rPr>
          <w:rStyle w:val="FootnoteReference"/>
          <w:rFonts w:eastAsia="Times New Roman" w:cs="Times New Roman"/>
          <w:sz w:val="24"/>
          <w:szCs w:val="24"/>
        </w:rPr>
        <w:footnoteReference w:id="6"/>
      </w:r>
      <w:r w:rsidRPr="638B9066">
        <w:rPr>
          <w:rFonts w:eastAsia="Times New Roman" w:cs="Times New Roman"/>
          <w:sz w:val="24"/>
          <w:szCs w:val="24"/>
        </w:rPr>
        <w:t xml:space="preserve"> ir izveidota valsts pētījumu programm</w:t>
      </w:r>
      <w:r w:rsidR="001C7DD1" w:rsidRPr="638B9066">
        <w:rPr>
          <w:rFonts w:eastAsia="Times New Roman" w:cs="Times New Roman"/>
          <w:sz w:val="24"/>
          <w:szCs w:val="24"/>
        </w:rPr>
        <w:t>a</w:t>
      </w:r>
      <w:r w:rsidRPr="638B9066">
        <w:rPr>
          <w:rFonts w:eastAsia="Times New Roman" w:cs="Times New Roman"/>
          <w:sz w:val="24"/>
          <w:szCs w:val="24"/>
        </w:rPr>
        <w:t xml:space="preserve"> </w:t>
      </w:r>
      <w:r w:rsidR="00995F14" w:rsidRPr="638B9066">
        <w:rPr>
          <w:rFonts w:eastAsia="Times New Roman" w:cs="Times New Roman"/>
          <w:sz w:val="24"/>
          <w:szCs w:val="24"/>
        </w:rPr>
        <w:t>“E</w:t>
      </w:r>
      <w:r w:rsidRPr="638B9066">
        <w:rPr>
          <w:rFonts w:eastAsia="Times New Roman" w:cs="Times New Roman"/>
          <w:sz w:val="24"/>
          <w:szCs w:val="24"/>
        </w:rPr>
        <w:t>nerģētika</w:t>
      </w:r>
      <w:r w:rsidR="00995F14" w:rsidRPr="638B9066">
        <w:rPr>
          <w:rFonts w:eastAsia="Times New Roman" w:cs="Times New Roman"/>
          <w:sz w:val="24"/>
          <w:szCs w:val="24"/>
        </w:rPr>
        <w:t>” (turpmāk – VPP)</w:t>
      </w:r>
      <w:r w:rsidRPr="638B9066">
        <w:rPr>
          <w:rFonts w:eastAsia="Times New Roman" w:cs="Times New Roman"/>
          <w:sz w:val="24"/>
          <w:szCs w:val="24"/>
        </w:rPr>
        <w:t xml:space="preserve">. Tika izdalīti vairāki pētniecības bloki attiecībā uz </w:t>
      </w:r>
      <w:r w:rsidR="00F82B42" w:rsidRPr="638B9066">
        <w:rPr>
          <w:rFonts w:eastAsia="Times New Roman" w:cs="Times New Roman"/>
          <w:sz w:val="24"/>
          <w:szCs w:val="24"/>
        </w:rPr>
        <w:t>NEKP</w:t>
      </w:r>
      <w:r w:rsidRPr="638B9066">
        <w:rPr>
          <w:rFonts w:eastAsia="Times New Roman" w:cs="Times New Roman"/>
          <w:sz w:val="24"/>
          <w:szCs w:val="24"/>
        </w:rPr>
        <w:t>, energoefektivitāti, tirgus un infrastruktūras jautājumiem, kā arī vietējiem un atjaunojamiem resursiem.</w:t>
      </w:r>
    </w:p>
    <w:p w14:paraId="3BC0BC55" w14:textId="288784CC" w:rsidR="0001457A" w:rsidRPr="004E4FBE" w:rsidRDefault="00995F14" w:rsidP="638B9066">
      <w:pPr>
        <w:spacing w:after="120"/>
        <w:ind w:right="57" w:firstLine="720"/>
        <w:rPr>
          <w:rFonts w:eastAsia="Times New Roman" w:cs="Times New Roman"/>
          <w:sz w:val="24"/>
          <w:szCs w:val="24"/>
          <w:lang w:eastAsia="lv-LV"/>
        </w:rPr>
      </w:pPr>
      <w:r w:rsidRPr="691DAFBF">
        <w:rPr>
          <w:rFonts w:eastAsia="Times New Roman" w:cs="Times New Roman"/>
          <w:sz w:val="24"/>
          <w:szCs w:val="24"/>
        </w:rPr>
        <w:lastRenderedPageBreak/>
        <w:t xml:space="preserve">VPP </w:t>
      </w:r>
      <w:r w:rsidR="0001457A" w:rsidRPr="691DAFBF">
        <w:rPr>
          <w:rFonts w:eastAsia="Times New Roman" w:cs="Times New Roman"/>
          <w:sz w:val="24"/>
          <w:szCs w:val="24"/>
        </w:rPr>
        <w:t>ietvaros 2018.</w:t>
      </w:r>
      <w:r w:rsidR="00CB7C5A" w:rsidRPr="691DAFBF">
        <w:rPr>
          <w:rFonts w:eastAsia="Times New Roman" w:cs="Times New Roman"/>
          <w:sz w:val="24"/>
          <w:szCs w:val="24"/>
        </w:rPr>
        <w:t> </w:t>
      </w:r>
      <w:r w:rsidR="0001457A" w:rsidRPr="691DAFBF">
        <w:rPr>
          <w:rFonts w:eastAsia="Times New Roman" w:cs="Times New Roman"/>
          <w:sz w:val="24"/>
          <w:szCs w:val="24"/>
        </w:rPr>
        <w:t xml:space="preserve">gada nogalē uzsākti 11 projekti, </w:t>
      </w:r>
      <w:r w:rsidR="37D599B4" w:rsidRPr="691DAFBF">
        <w:rPr>
          <w:rFonts w:eastAsia="Times New Roman" w:cs="Times New Roman"/>
          <w:sz w:val="24"/>
          <w:szCs w:val="24"/>
        </w:rPr>
        <w:t>kuros</w:t>
      </w:r>
      <w:r w:rsidR="0001457A" w:rsidRPr="691DAFBF">
        <w:rPr>
          <w:rFonts w:eastAsia="Times New Roman" w:cs="Times New Roman"/>
          <w:sz w:val="24"/>
          <w:szCs w:val="24"/>
        </w:rPr>
        <w:t xml:space="preserve"> tiek īstenota pētniecība</w:t>
      </w:r>
      <w:r w:rsidR="1B51B7BC" w:rsidRPr="691DAFBF">
        <w:rPr>
          <w:rFonts w:eastAsia="Times New Roman" w:cs="Times New Roman"/>
          <w:sz w:val="24"/>
          <w:szCs w:val="24"/>
        </w:rPr>
        <w:t>:</w:t>
      </w:r>
      <w:r w:rsidR="0001457A" w:rsidRPr="691DAFBF">
        <w:rPr>
          <w:rFonts w:eastAsia="Times New Roman" w:cs="Times New Roman"/>
          <w:sz w:val="24"/>
          <w:szCs w:val="24"/>
        </w:rPr>
        <w:t xml:space="preserve"> </w:t>
      </w:r>
      <w:r w:rsidR="2697D725" w:rsidRPr="691DAFBF">
        <w:rPr>
          <w:rFonts w:eastAsia="Times New Roman" w:cs="Times New Roman"/>
          <w:sz w:val="24"/>
          <w:szCs w:val="24"/>
        </w:rPr>
        <w:t xml:space="preserve">Enerģētikas un klimata modelēšana virzībā uz oglekļa neitralitāti, </w:t>
      </w:r>
      <w:r w:rsidR="0001457A" w:rsidRPr="691DAFBF">
        <w:rPr>
          <w:rFonts w:eastAsia="Times New Roman" w:cs="Times New Roman"/>
          <w:sz w:val="24"/>
          <w:szCs w:val="24"/>
          <w:lang w:eastAsia="lv-LV"/>
        </w:rPr>
        <w:t xml:space="preserve">Ilgtspējīga Latvijas energosistēmas attīstība un integrācija Eiropā (FutureProof), Latvijas dabasgāzes infrastruktūras attīstības tendences, izaicinājumi un risinājumi (LAGAS), Inovatīvas viedo tīklu tehnoloģijas un to optimizācija (INGRIDO), Latvijas siltumapgādes un dzesēšanas sistēmu attīstība, Ceļvedis uz energoefektīvu Latvijas nākotni (EnergyPath), Energoefektivitātes rīcībpolitikas novērtējums un analīze, Ēku energoefektivitātes tehnoloģisko risinājumu uzlabošana, Latvijas atjaunojamo energoresursu ražošanas un izmantošanas ekonomiskā potenciāla novērtējums un politikas rekomendāciju izstrāde, Ilgtspējīga un atjaunīga transporta politikas formulēšana Latvijā (akronīms </w:t>
      </w:r>
      <w:r w:rsidR="00141028" w:rsidRPr="691DAFBF">
        <w:rPr>
          <w:rFonts w:eastAsia="Times New Roman" w:cs="Times New Roman"/>
          <w:sz w:val="24"/>
          <w:szCs w:val="24"/>
          <w:lang w:eastAsia="lv-LV"/>
        </w:rPr>
        <w:t>–</w:t>
      </w:r>
      <w:r w:rsidR="0001457A" w:rsidRPr="691DAFBF">
        <w:rPr>
          <w:rFonts w:eastAsia="Times New Roman" w:cs="Times New Roman"/>
          <w:sz w:val="24"/>
          <w:szCs w:val="24"/>
          <w:lang w:eastAsia="lv-LV"/>
        </w:rPr>
        <w:t xml:space="preserve"> 4muLATe), Inovatīvi risinājumi un rekomendācijas Latvijas vietējo un atjaunojamo energoresursu apguves palielināšanai (RTUAER).</w:t>
      </w:r>
    </w:p>
    <w:p w14:paraId="6C05CBDD" w14:textId="18D2F0B8" w:rsidR="0001457A" w:rsidRPr="004E4FBE" w:rsidRDefault="0001457A" w:rsidP="691DAFBF">
      <w:pPr>
        <w:spacing w:after="120"/>
        <w:ind w:firstLine="720"/>
        <w:rPr>
          <w:rFonts w:eastAsia="Times New Roman" w:cs="Times New Roman"/>
          <w:sz w:val="24"/>
          <w:szCs w:val="24"/>
        </w:rPr>
      </w:pPr>
      <w:r w:rsidRPr="691DAFBF">
        <w:rPr>
          <w:rFonts w:eastAsia="Times New Roman" w:cs="Times New Roman"/>
          <w:sz w:val="24"/>
          <w:szCs w:val="24"/>
        </w:rPr>
        <w:t xml:space="preserve">Lai nodrošinātu efektīvu un ilgtspējīgu </w:t>
      </w:r>
      <w:r w:rsidR="00995F14" w:rsidRPr="691DAFBF">
        <w:rPr>
          <w:rFonts w:eastAsia="Times New Roman" w:cs="Times New Roman"/>
          <w:sz w:val="24"/>
          <w:szCs w:val="24"/>
        </w:rPr>
        <w:t>VPP</w:t>
      </w:r>
      <w:r w:rsidRPr="691DAFBF">
        <w:rPr>
          <w:rFonts w:eastAsia="Times New Roman" w:cs="Times New Roman"/>
          <w:sz w:val="24"/>
          <w:szCs w:val="24"/>
        </w:rPr>
        <w:t xml:space="preserve"> īstenošanu, šim mērķim </w:t>
      </w:r>
      <w:r w:rsidR="003D0E47" w:rsidRPr="691DAFBF">
        <w:rPr>
          <w:rFonts w:eastAsia="Times New Roman" w:cs="Times New Roman"/>
          <w:sz w:val="24"/>
          <w:szCs w:val="24"/>
        </w:rPr>
        <w:t>ir ticis piešķirts</w:t>
      </w:r>
      <w:r w:rsidRPr="691DAFBF">
        <w:rPr>
          <w:rFonts w:eastAsia="Times New Roman" w:cs="Times New Roman"/>
          <w:sz w:val="24"/>
          <w:szCs w:val="24"/>
        </w:rPr>
        <w:t xml:space="preserve"> finansējum</w:t>
      </w:r>
      <w:r w:rsidR="003D0E47" w:rsidRPr="691DAFBF">
        <w:rPr>
          <w:rFonts w:eastAsia="Times New Roman" w:cs="Times New Roman"/>
          <w:sz w:val="24"/>
          <w:szCs w:val="24"/>
        </w:rPr>
        <w:t>s</w:t>
      </w:r>
      <w:r w:rsidRPr="691DAFBF">
        <w:rPr>
          <w:rFonts w:eastAsia="Times New Roman" w:cs="Times New Roman"/>
          <w:sz w:val="24"/>
          <w:szCs w:val="24"/>
        </w:rPr>
        <w:t xml:space="preserve"> 2019.</w:t>
      </w:r>
      <w:r w:rsidR="003D0E47" w:rsidRPr="691DAFBF">
        <w:rPr>
          <w:rFonts w:eastAsia="Times New Roman" w:cs="Times New Roman"/>
          <w:sz w:val="24"/>
          <w:szCs w:val="24"/>
        </w:rPr>
        <w:t xml:space="preserve"> un </w:t>
      </w:r>
      <w:r w:rsidRPr="691DAFBF">
        <w:rPr>
          <w:rFonts w:eastAsia="Times New Roman" w:cs="Times New Roman"/>
          <w:sz w:val="24"/>
          <w:szCs w:val="24"/>
        </w:rPr>
        <w:t>202</w:t>
      </w:r>
      <w:r w:rsidR="003D0E47" w:rsidRPr="691DAFBF">
        <w:rPr>
          <w:rFonts w:eastAsia="Times New Roman" w:cs="Times New Roman"/>
          <w:sz w:val="24"/>
          <w:szCs w:val="24"/>
        </w:rPr>
        <w:t>0</w:t>
      </w:r>
      <w:r w:rsidRPr="691DAFBF">
        <w:rPr>
          <w:rFonts w:eastAsia="Times New Roman" w:cs="Times New Roman"/>
          <w:sz w:val="24"/>
          <w:szCs w:val="24"/>
        </w:rPr>
        <w:t>.</w:t>
      </w:r>
      <w:r w:rsidR="00141028" w:rsidRPr="691DAFBF">
        <w:rPr>
          <w:rFonts w:eastAsia="Times New Roman" w:cs="Times New Roman"/>
          <w:sz w:val="24"/>
          <w:szCs w:val="24"/>
        </w:rPr>
        <w:t> </w:t>
      </w:r>
      <w:r w:rsidRPr="691DAFBF">
        <w:rPr>
          <w:rFonts w:eastAsia="Times New Roman" w:cs="Times New Roman"/>
          <w:sz w:val="24"/>
          <w:szCs w:val="24"/>
        </w:rPr>
        <w:t>gad</w:t>
      </w:r>
      <w:r w:rsidR="003D0E47" w:rsidRPr="691DAFBF">
        <w:rPr>
          <w:rFonts w:eastAsia="Times New Roman" w:cs="Times New Roman"/>
          <w:sz w:val="24"/>
          <w:szCs w:val="24"/>
        </w:rPr>
        <w:t>os</w:t>
      </w:r>
      <w:r w:rsidRPr="691DAFBF">
        <w:rPr>
          <w:rFonts w:eastAsia="Times New Roman" w:cs="Times New Roman"/>
          <w:sz w:val="24"/>
          <w:szCs w:val="24"/>
        </w:rPr>
        <w:t xml:space="preserve"> 2</w:t>
      </w:r>
      <w:r w:rsidR="00AB6D42" w:rsidRPr="691DAFBF">
        <w:rPr>
          <w:rFonts w:eastAsia="Times New Roman" w:cs="Times New Roman"/>
          <w:sz w:val="24"/>
          <w:szCs w:val="24"/>
        </w:rPr>
        <w:t xml:space="preserve"> </w:t>
      </w:r>
      <w:r w:rsidRPr="691DAFBF">
        <w:rPr>
          <w:rFonts w:eastAsia="Times New Roman" w:cs="Times New Roman"/>
          <w:sz w:val="24"/>
          <w:szCs w:val="24"/>
        </w:rPr>
        <w:t>milj.</w:t>
      </w:r>
      <w:r w:rsidR="00AB6D42" w:rsidRPr="691DAFBF">
        <w:rPr>
          <w:rFonts w:eastAsia="Times New Roman" w:cs="Times New Roman"/>
          <w:sz w:val="24"/>
          <w:szCs w:val="24"/>
        </w:rPr>
        <w:t xml:space="preserve"> </w:t>
      </w:r>
      <w:r w:rsidR="00F22E15" w:rsidRPr="691DAFBF">
        <w:rPr>
          <w:rFonts w:eastAsia="Times New Roman" w:cs="Times New Roman"/>
          <w:i/>
          <w:iCs/>
          <w:sz w:val="24"/>
          <w:szCs w:val="24"/>
        </w:rPr>
        <w:t>euro</w:t>
      </w:r>
      <w:r w:rsidR="00F22E15" w:rsidRPr="691DAFBF">
        <w:rPr>
          <w:rFonts w:eastAsia="Times New Roman" w:cs="Times New Roman"/>
          <w:sz w:val="24"/>
          <w:szCs w:val="24"/>
        </w:rPr>
        <w:t xml:space="preserve"> </w:t>
      </w:r>
      <w:r w:rsidRPr="691DAFBF">
        <w:rPr>
          <w:rFonts w:eastAsia="Times New Roman" w:cs="Times New Roman"/>
          <w:sz w:val="24"/>
          <w:szCs w:val="24"/>
        </w:rPr>
        <w:t xml:space="preserve">apmērā ik gadu. </w:t>
      </w:r>
      <w:r w:rsidR="00995F14" w:rsidRPr="691DAFBF">
        <w:rPr>
          <w:rFonts w:eastAsia="Times New Roman" w:cs="Times New Roman"/>
          <w:sz w:val="24"/>
          <w:szCs w:val="24"/>
        </w:rPr>
        <w:t xml:space="preserve">VPP </w:t>
      </w:r>
      <w:r w:rsidRPr="691DAFBF">
        <w:rPr>
          <w:rFonts w:eastAsia="Times New Roman" w:cs="Times New Roman"/>
          <w:sz w:val="24"/>
          <w:szCs w:val="24"/>
        </w:rPr>
        <w:t>izpildes ilgums ir trīs gadi,</w:t>
      </w:r>
      <w:r w:rsidR="007E61FC" w:rsidRPr="691DAFBF">
        <w:rPr>
          <w:rFonts w:eastAsia="Times New Roman" w:cs="Times New Roman"/>
          <w:sz w:val="24"/>
          <w:szCs w:val="24"/>
        </w:rPr>
        <w:t xml:space="preserve"> </w:t>
      </w:r>
      <w:r w:rsidRPr="691DAFBF">
        <w:rPr>
          <w:rFonts w:eastAsia="Times New Roman" w:cs="Times New Roman"/>
          <w:sz w:val="24"/>
          <w:szCs w:val="24"/>
        </w:rPr>
        <w:t>ieskaitot 2021.</w:t>
      </w:r>
      <w:r w:rsidR="00B5335D" w:rsidRPr="691DAFBF">
        <w:rPr>
          <w:rFonts w:eastAsia="Times New Roman" w:cs="Times New Roman"/>
          <w:sz w:val="24"/>
          <w:szCs w:val="24"/>
        </w:rPr>
        <w:t> </w:t>
      </w:r>
      <w:r w:rsidRPr="691DAFBF">
        <w:rPr>
          <w:rFonts w:eastAsia="Times New Roman" w:cs="Times New Roman"/>
          <w:sz w:val="24"/>
          <w:szCs w:val="24"/>
        </w:rPr>
        <w:t>gadu</w:t>
      </w:r>
      <w:r w:rsidR="007E61FC" w:rsidRPr="691DAFBF">
        <w:rPr>
          <w:rFonts w:eastAsia="Times New Roman" w:cs="Times New Roman"/>
          <w:sz w:val="24"/>
          <w:szCs w:val="24"/>
        </w:rPr>
        <w:t xml:space="preserve"> ar iespēju pagarināt līdz vienam gadam (2022.</w:t>
      </w:r>
      <w:r w:rsidR="00AB6D42" w:rsidRPr="691DAFBF">
        <w:rPr>
          <w:rFonts w:eastAsia="Times New Roman" w:cs="Times New Roman"/>
          <w:sz w:val="24"/>
          <w:szCs w:val="24"/>
        </w:rPr>
        <w:t> </w:t>
      </w:r>
      <w:r w:rsidR="007E61FC" w:rsidRPr="691DAFBF">
        <w:rPr>
          <w:rFonts w:eastAsia="Times New Roman" w:cs="Times New Roman"/>
          <w:sz w:val="24"/>
          <w:szCs w:val="24"/>
        </w:rPr>
        <w:t xml:space="preserve">g), ja tas ir nepieciešams </w:t>
      </w:r>
      <w:r w:rsidR="00995F14" w:rsidRPr="691DAFBF">
        <w:rPr>
          <w:rFonts w:eastAsia="Times New Roman" w:cs="Times New Roman"/>
          <w:sz w:val="24"/>
          <w:szCs w:val="24"/>
        </w:rPr>
        <w:t>VPP</w:t>
      </w:r>
      <w:r w:rsidR="007E61FC" w:rsidRPr="691DAFBF">
        <w:rPr>
          <w:rFonts w:eastAsia="Times New Roman" w:cs="Times New Roman"/>
          <w:sz w:val="24"/>
          <w:szCs w:val="24"/>
        </w:rPr>
        <w:t xml:space="preserve"> un tās projektu rezultātu nostiprināšanai un publiskošanai, bez papildus finansējuma piešķiršanas</w:t>
      </w:r>
      <w:r w:rsidR="003D0E47" w:rsidRPr="691DAFBF">
        <w:rPr>
          <w:rFonts w:eastAsia="Times New Roman" w:cs="Times New Roman"/>
          <w:sz w:val="24"/>
          <w:szCs w:val="24"/>
        </w:rPr>
        <w:t>, attiecīgi, lai izpildītu VPP ietvaros uzņemtās saistības 2021.</w:t>
      </w:r>
      <w:r w:rsidR="00B5335D" w:rsidRPr="691DAFBF">
        <w:rPr>
          <w:rFonts w:eastAsia="Times New Roman" w:cs="Times New Roman"/>
          <w:sz w:val="24"/>
          <w:szCs w:val="24"/>
        </w:rPr>
        <w:t> </w:t>
      </w:r>
      <w:r w:rsidR="003D0E47" w:rsidRPr="691DAFBF">
        <w:rPr>
          <w:rFonts w:eastAsia="Times New Roman" w:cs="Times New Roman"/>
          <w:sz w:val="24"/>
          <w:szCs w:val="24"/>
        </w:rPr>
        <w:t xml:space="preserve">gadā nepieciešams finansējums </w:t>
      </w:r>
      <w:r w:rsidR="007E61FC" w:rsidRPr="691DAFBF">
        <w:rPr>
          <w:rFonts w:eastAsia="Times New Roman" w:cs="Times New Roman"/>
          <w:sz w:val="24"/>
          <w:szCs w:val="24"/>
        </w:rPr>
        <w:t>54</w:t>
      </w:r>
      <w:r w:rsidR="00F439DB" w:rsidRPr="691DAFBF">
        <w:rPr>
          <w:rFonts w:eastAsia="Times New Roman" w:cs="Times New Roman"/>
          <w:sz w:val="24"/>
          <w:szCs w:val="24"/>
        </w:rPr>
        <w:t>5</w:t>
      </w:r>
      <w:r w:rsidR="007E61FC" w:rsidRPr="691DAFBF">
        <w:rPr>
          <w:rFonts w:eastAsia="Times New Roman" w:cs="Times New Roman"/>
          <w:sz w:val="24"/>
          <w:szCs w:val="24"/>
        </w:rPr>
        <w:t xml:space="preserve"> </w:t>
      </w:r>
      <w:r w:rsidR="00F439DB" w:rsidRPr="691DAFBF">
        <w:rPr>
          <w:rFonts w:eastAsia="Times New Roman" w:cs="Times New Roman"/>
          <w:sz w:val="24"/>
          <w:szCs w:val="24"/>
        </w:rPr>
        <w:t>160</w:t>
      </w:r>
      <w:r w:rsidR="003B5973" w:rsidRPr="691DAFBF">
        <w:rPr>
          <w:rFonts w:eastAsia="Times New Roman" w:cs="Times New Roman"/>
          <w:sz w:val="24"/>
          <w:szCs w:val="24"/>
        </w:rPr>
        <w:t xml:space="preserve"> </w:t>
      </w:r>
      <w:r w:rsidR="003D0E47" w:rsidRPr="691DAFBF">
        <w:rPr>
          <w:rFonts w:eastAsia="Times New Roman" w:cs="Times New Roman"/>
          <w:i/>
          <w:iCs/>
          <w:sz w:val="24"/>
          <w:szCs w:val="24"/>
        </w:rPr>
        <w:t>eur</w:t>
      </w:r>
      <w:r w:rsidR="00141028" w:rsidRPr="691DAFBF">
        <w:rPr>
          <w:rFonts w:eastAsia="Times New Roman" w:cs="Times New Roman"/>
          <w:i/>
          <w:iCs/>
          <w:sz w:val="24"/>
          <w:szCs w:val="24"/>
        </w:rPr>
        <w:t>o</w:t>
      </w:r>
      <w:r w:rsidR="003D0E47" w:rsidRPr="691DAFBF">
        <w:rPr>
          <w:rFonts w:eastAsia="Times New Roman" w:cs="Times New Roman"/>
          <w:sz w:val="24"/>
          <w:szCs w:val="24"/>
        </w:rPr>
        <w:t xml:space="preserve"> apmērā</w:t>
      </w:r>
      <w:r w:rsidR="00037870" w:rsidRPr="691DAFBF">
        <w:rPr>
          <w:rFonts w:eastAsia="Times New Roman" w:cs="Times New Roman"/>
          <w:sz w:val="24"/>
          <w:szCs w:val="24"/>
        </w:rPr>
        <w:t xml:space="preserve">. Līguma finansējuma atlikusī daļa </w:t>
      </w:r>
      <w:r w:rsidR="007E61FC" w:rsidRPr="691DAFBF">
        <w:rPr>
          <w:rFonts w:eastAsia="Times New Roman" w:cs="Times New Roman"/>
          <w:sz w:val="24"/>
          <w:szCs w:val="24"/>
        </w:rPr>
        <w:t>10% apmērā tiek izmaksāta projekta izpildītājam pēc noslēguma atskaišu izvērtēšanas</w:t>
      </w:r>
      <w:r w:rsidRPr="691DAFBF">
        <w:rPr>
          <w:rFonts w:eastAsia="Times New Roman" w:cs="Times New Roman"/>
          <w:sz w:val="24"/>
          <w:szCs w:val="24"/>
        </w:rPr>
        <w:t xml:space="preserve">. Ekonomikas ministrija kā nozares ministrija uzrauga </w:t>
      </w:r>
      <w:r w:rsidR="00995F14" w:rsidRPr="691DAFBF">
        <w:rPr>
          <w:rFonts w:eastAsia="Times New Roman" w:cs="Times New Roman"/>
          <w:sz w:val="24"/>
          <w:szCs w:val="24"/>
        </w:rPr>
        <w:t xml:space="preserve">VPP </w:t>
      </w:r>
      <w:r w:rsidRPr="691DAFBF">
        <w:rPr>
          <w:rFonts w:eastAsia="Times New Roman" w:cs="Times New Roman"/>
          <w:sz w:val="24"/>
          <w:szCs w:val="24"/>
        </w:rPr>
        <w:t>īstenošanu un finansējuma piešķiršanu.</w:t>
      </w:r>
    </w:p>
    <w:p w14:paraId="7FF58687" w14:textId="0336E511" w:rsidR="00D47A0F" w:rsidRPr="004E4FBE" w:rsidRDefault="72821894" w:rsidP="691DAFBF">
      <w:pPr>
        <w:spacing w:after="120"/>
        <w:ind w:firstLine="720"/>
        <w:rPr>
          <w:rFonts w:eastAsia="Times New Roman" w:cs="Times New Roman"/>
          <w:sz w:val="24"/>
          <w:szCs w:val="24"/>
        </w:rPr>
      </w:pPr>
      <w:r w:rsidRPr="691DAFBF">
        <w:rPr>
          <w:rFonts w:eastAsia="Times New Roman" w:cs="Times New Roman"/>
          <w:sz w:val="24"/>
          <w:szCs w:val="24"/>
        </w:rPr>
        <w:t xml:space="preserve">Līdzšinēji veiktie projekti </w:t>
      </w:r>
      <w:r w:rsidR="00995F14" w:rsidRPr="691DAFBF">
        <w:rPr>
          <w:rFonts w:eastAsia="Times New Roman" w:cs="Times New Roman"/>
          <w:sz w:val="24"/>
          <w:szCs w:val="24"/>
        </w:rPr>
        <w:t>VPP</w:t>
      </w:r>
      <w:r w:rsidRPr="691DAFBF">
        <w:rPr>
          <w:rFonts w:eastAsia="Times New Roman" w:cs="Times New Roman"/>
          <w:sz w:val="24"/>
          <w:szCs w:val="24"/>
        </w:rPr>
        <w:t xml:space="preserve"> īstenošanā ir bijuši nozīmīgi Latvijas zinātnes attīstībai enerģētikas jomā, vienlaikus sniedzot atbalstu </w:t>
      </w:r>
      <w:r w:rsidR="006359AA" w:rsidRPr="691DAFBF">
        <w:rPr>
          <w:rFonts w:eastAsia="Times New Roman" w:cs="Times New Roman"/>
          <w:sz w:val="24"/>
          <w:szCs w:val="24"/>
        </w:rPr>
        <w:t>NEKP</w:t>
      </w:r>
      <w:r w:rsidRPr="691DAFBF">
        <w:rPr>
          <w:rFonts w:eastAsia="Times New Roman" w:cs="Times New Roman"/>
          <w:sz w:val="24"/>
          <w:szCs w:val="24"/>
        </w:rPr>
        <w:t xml:space="preserve"> izstrādē. </w:t>
      </w:r>
      <w:r w:rsidR="006359AA" w:rsidRPr="691DAFBF">
        <w:rPr>
          <w:rFonts w:eastAsia="Times New Roman" w:cs="Times New Roman"/>
          <w:sz w:val="24"/>
          <w:szCs w:val="24"/>
        </w:rPr>
        <w:t xml:space="preserve">NEKP </w:t>
      </w:r>
      <w:r w:rsidRPr="691DAFBF">
        <w:rPr>
          <w:rFonts w:eastAsia="Times New Roman" w:cs="Times New Roman"/>
          <w:sz w:val="24"/>
          <w:szCs w:val="24"/>
        </w:rPr>
        <w:t>noteiktie mērķi 2030.</w:t>
      </w:r>
      <w:r w:rsidR="00141028" w:rsidRPr="691DAFBF">
        <w:rPr>
          <w:rFonts w:eastAsia="Times New Roman" w:cs="Times New Roman"/>
          <w:sz w:val="24"/>
          <w:szCs w:val="24"/>
        </w:rPr>
        <w:t> </w:t>
      </w:r>
      <w:r w:rsidRPr="691DAFBF">
        <w:rPr>
          <w:rFonts w:eastAsia="Times New Roman" w:cs="Times New Roman"/>
          <w:sz w:val="24"/>
          <w:szCs w:val="24"/>
        </w:rPr>
        <w:t xml:space="preserve">gadam ir ambiciozi un var kļūt par atslēgas faktoru Latvijas tautsaimniecības straujākā attīstībā, pie nosacījuma ka tiek izmantotas kopējās dekarbonizācijas procesa radītās iespējas. Lai nodrošinātu mērķu sasniegšanu uz esošās </w:t>
      </w:r>
      <w:r w:rsidR="00995F14" w:rsidRPr="691DAFBF">
        <w:rPr>
          <w:rFonts w:eastAsia="Times New Roman" w:cs="Times New Roman"/>
          <w:sz w:val="24"/>
          <w:szCs w:val="24"/>
        </w:rPr>
        <w:t>VPP</w:t>
      </w:r>
      <w:r w:rsidRPr="691DAFBF">
        <w:rPr>
          <w:rFonts w:eastAsia="Times New Roman" w:cs="Times New Roman"/>
          <w:sz w:val="24"/>
          <w:szCs w:val="24"/>
        </w:rPr>
        <w:t xml:space="preserve"> bāzes ir nepieciešams īstenot NEKP noteiktos izvērtējumus par optimālu rīcību mērķu sasniegšanai. Turpmākajos gados nepieciešamais finansējums, atbilstoši NEKP paredzētajām aktivitātēm ir 485 000 </w:t>
      </w:r>
      <w:r w:rsidRPr="691DAFBF">
        <w:rPr>
          <w:rFonts w:eastAsia="Times New Roman" w:cs="Times New Roman"/>
          <w:i/>
          <w:iCs/>
          <w:sz w:val="24"/>
          <w:szCs w:val="24"/>
        </w:rPr>
        <w:t>euro</w:t>
      </w:r>
      <w:r w:rsidRPr="691DAFBF">
        <w:rPr>
          <w:rFonts w:eastAsia="Times New Roman" w:cs="Times New Roman"/>
          <w:sz w:val="24"/>
          <w:szCs w:val="24"/>
        </w:rPr>
        <w:t xml:space="preserve"> 2021.</w:t>
      </w:r>
      <w:r w:rsidR="00141028" w:rsidRPr="691DAFBF">
        <w:rPr>
          <w:rFonts w:eastAsia="Times New Roman" w:cs="Times New Roman"/>
          <w:sz w:val="24"/>
          <w:szCs w:val="24"/>
        </w:rPr>
        <w:t> </w:t>
      </w:r>
      <w:r w:rsidRPr="691DAFBF">
        <w:rPr>
          <w:rFonts w:eastAsia="Times New Roman" w:cs="Times New Roman"/>
          <w:sz w:val="24"/>
          <w:szCs w:val="24"/>
        </w:rPr>
        <w:t xml:space="preserve">gadā, 565 000 </w:t>
      </w:r>
      <w:r w:rsidRPr="691DAFBF">
        <w:rPr>
          <w:rFonts w:eastAsia="Times New Roman" w:cs="Times New Roman"/>
          <w:i/>
          <w:iCs/>
          <w:sz w:val="24"/>
          <w:szCs w:val="24"/>
        </w:rPr>
        <w:t>euro</w:t>
      </w:r>
      <w:r w:rsidRPr="691DAFBF">
        <w:rPr>
          <w:rFonts w:eastAsia="Times New Roman" w:cs="Times New Roman"/>
          <w:sz w:val="24"/>
          <w:szCs w:val="24"/>
        </w:rPr>
        <w:t xml:space="preserve"> 2022.</w:t>
      </w:r>
      <w:r w:rsidR="00141028" w:rsidRPr="691DAFBF">
        <w:rPr>
          <w:rFonts w:eastAsia="Times New Roman" w:cs="Times New Roman"/>
          <w:sz w:val="24"/>
          <w:szCs w:val="24"/>
        </w:rPr>
        <w:t> </w:t>
      </w:r>
      <w:r w:rsidRPr="691DAFBF">
        <w:rPr>
          <w:rFonts w:eastAsia="Times New Roman" w:cs="Times New Roman"/>
          <w:sz w:val="24"/>
          <w:szCs w:val="24"/>
        </w:rPr>
        <w:t xml:space="preserve">gadā un 465 000 </w:t>
      </w:r>
      <w:r w:rsidRPr="691DAFBF">
        <w:rPr>
          <w:rFonts w:eastAsia="Times New Roman" w:cs="Times New Roman"/>
          <w:i/>
          <w:iCs/>
          <w:sz w:val="24"/>
          <w:szCs w:val="24"/>
        </w:rPr>
        <w:t>euro</w:t>
      </w:r>
      <w:r w:rsidRPr="691DAFBF">
        <w:rPr>
          <w:rFonts w:eastAsia="Times New Roman" w:cs="Times New Roman"/>
          <w:sz w:val="24"/>
          <w:szCs w:val="24"/>
        </w:rPr>
        <w:t xml:space="preserve"> 2023.</w:t>
      </w:r>
      <w:r w:rsidR="00141028" w:rsidRPr="691DAFBF">
        <w:rPr>
          <w:rFonts w:eastAsia="Times New Roman" w:cs="Times New Roman"/>
          <w:sz w:val="24"/>
          <w:szCs w:val="24"/>
        </w:rPr>
        <w:t> </w:t>
      </w:r>
      <w:r w:rsidRPr="691DAFBF">
        <w:rPr>
          <w:rFonts w:eastAsia="Times New Roman" w:cs="Times New Roman"/>
          <w:sz w:val="24"/>
          <w:szCs w:val="24"/>
        </w:rPr>
        <w:t>gadā. Vienlaikus</w:t>
      </w:r>
      <w:r w:rsidR="437DC6F9" w:rsidRPr="691DAFBF">
        <w:rPr>
          <w:rFonts w:eastAsia="Times New Roman" w:cs="Times New Roman"/>
          <w:sz w:val="24"/>
          <w:szCs w:val="24"/>
        </w:rPr>
        <w:t xml:space="preserve"> paredzēts attīstīt nākamo</w:t>
      </w:r>
      <w:r w:rsidRPr="691DAFBF">
        <w:rPr>
          <w:rFonts w:eastAsia="Times New Roman" w:cs="Times New Roman"/>
          <w:sz w:val="24"/>
          <w:szCs w:val="24"/>
        </w:rPr>
        <w:t xml:space="preserve"> </w:t>
      </w:r>
      <w:r w:rsidR="00995F14" w:rsidRPr="691DAFBF">
        <w:rPr>
          <w:rFonts w:eastAsia="Times New Roman" w:cs="Times New Roman"/>
          <w:sz w:val="24"/>
          <w:szCs w:val="24"/>
        </w:rPr>
        <w:t>VPP</w:t>
      </w:r>
      <w:r w:rsidR="5832B930" w:rsidRPr="691DAFBF">
        <w:rPr>
          <w:rFonts w:eastAsia="Times New Roman" w:cs="Times New Roman"/>
          <w:sz w:val="24"/>
          <w:szCs w:val="24"/>
        </w:rPr>
        <w:t>,</w:t>
      </w:r>
      <w:r w:rsidR="15A2AAE5" w:rsidRPr="691DAFBF">
        <w:rPr>
          <w:rFonts w:eastAsia="Times New Roman" w:cs="Times New Roman"/>
          <w:sz w:val="24"/>
          <w:szCs w:val="24"/>
        </w:rPr>
        <w:t xml:space="preserve"> nosakot prioritātes, uzdevumus un sasniedzamos rezultātus</w:t>
      </w:r>
      <w:r w:rsidR="5832B930" w:rsidRPr="691DAFBF">
        <w:rPr>
          <w:rFonts w:eastAsia="Times New Roman" w:cs="Times New Roman"/>
          <w:sz w:val="24"/>
          <w:szCs w:val="24"/>
        </w:rPr>
        <w:t xml:space="preserve"> </w:t>
      </w:r>
      <w:r w:rsidR="6697CD5C" w:rsidRPr="691DAFBF">
        <w:rPr>
          <w:rFonts w:eastAsia="Times New Roman" w:cs="Times New Roman"/>
          <w:sz w:val="24"/>
          <w:szCs w:val="24"/>
        </w:rPr>
        <w:t xml:space="preserve">- </w:t>
      </w:r>
      <w:r w:rsidRPr="691DAFBF">
        <w:rPr>
          <w:rFonts w:eastAsia="Times New Roman" w:cs="Times New Roman"/>
          <w:sz w:val="24"/>
          <w:szCs w:val="24"/>
        </w:rPr>
        <w:t xml:space="preserve">projektu konkursos </w:t>
      </w:r>
      <w:r w:rsidR="746DB6D8" w:rsidRPr="6E23CDA8">
        <w:rPr>
          <w:rFonts w:eastAsia="Times New Roman" w:cs="Times New Roman"/>
          <w:sz w:val="24"/>
          <w:szCs w:val="24"/>
        </w:rPr>
        <w:t>uzsverot</w:t>
      </w:r>
      <w:r w:rsidRPr="691DAFBF">
        <w:rPr>
          <w:rFonts w:eastAsia="Times New Roman" w:cs="Times New Roman"/>
          <w:sz w:val="24"/>
          <w:szCs w:val="24"/>
        </w:rPr>
        <w:t xml:space="preserve"> enerģētikas ekosistēmu iedzīvināšan</w:t>
      </w:r>
      <w:r w:rsidR="618C1E22" w:rsidRPr="15060520">
        <w:rPr>
          <w:rFonts w:eastAsia="Times New Roman" w:cs="Times New Roman"/>
          <w:sz w:val="24"/>
          <w:szCs w:val="24"/>
        </w:rPr>
        <w:t>u</w:t>
      </w:r>
      <w:r w:rsidRPr="691DAFBF">
        <w:rPr>
          <w:rFonts w:eastAsia="Times New Roman" w:cs="Times New Roman"/>
          <w:sz w:val="24"/>
          <w:szCs w:val="24"/>
        </w:rPr>
        <w:t>, papildinot Latvijas zinātnes esošo un nākotnes potenciālu ar Latvijas enerģētikas sektora attīstības virzieniem</w:t>
      </w:r>
      <w:r w:rsidR="38EC41A1" w:rsidRPr="691DAFBF">
        <w:rPr>
          <w:rFonts w:eastAsia="Times New Roman" w:cs="Times New Roman"/>
          <w:sz w:val="24"/>
          <w:szCs w:val="24"/>
        </w:rPr>
        <w:t xml:space="preserve">, tostarp sekmējot </w:t>
      </w:r>
      <w:r w:rsidR="534F80E4" w:rsidRPr="691DAFBF">
        <w:rPr>
          <w:rFonts w:eastAsia="Times New Roman" w:cs="Times New Roman"/>
          <w:sz w:val="24"/>
          <w:szCs w:val="24"/>
        </w:rPr>
        <w:t>pētniecību enerģētikas industrijas attīstībai</w:t>
      </w:r>
      <w:r w:rsidRPr="691DAFBF">
        <w:rPr>
          <w:rFonts w:eastAsia="Times New Roman" w:cs="Times New Roman"/>
          <w:sz w:val="24"/>
          <w:szCs w:val="24"/>
        </w:rPr>
        <w:t>.</w:t>
      </w:r>
      <w:r w:rsidR="1DAFE2CC" w:rsidRPr="691DAFBF">
        <w:rPr>
          <w:rFonts w:eastAsia="Times New Roman" w:cs="Times New Roman"/>
          <w:sz w:val="24"/>
          <w:szCs w:val="24"/>
        </w:rPr>
        <w:t xml:space="preserve"> Š</w:t>
      </w:r>
      <w:r w:rsidR="0B4C6920" w:rsidRPr="691DAFBF">
        <w:rPr>
          <w:rFonts w:eastAsia="Times New Roman" w:cs="Times New Roman"/>
          <w:sz w:val="24"/>
          <w:szCs w:val="24"/>
        </w:rPr>
        <w:t>im virzienam</w:t>
      </w:r>
      <w:r w:rsidR="14BD3D03" w:rsidRPr="691DAFBF">
        <w:rPr>
          <w:rFonts w:eastAsia="Times New Roman" w:cs="Times New Roman"/>
          <w:sz w:val="24"/>
          <w:szCs w:val="24"/>
        </w:rPr>
        <w:t xml:space="preserve"> 2021.</w:t>
      </w:r>
      <w:r w:rsidR="00141028" w:rsidRPr="691DAFBF">
        <w:rPr>
          <w:rFonts w:eastAsia="Times New Roman" w:cs="Times New Roman"/>
          <w:sz w:val="24"/>
          <w:szCs w:val="24"/>
        </w:rPr>
        <w:t> </w:t>
      </w:r>
      <w:r w:rsidR="14BD3D03" w:rsidRPr="691DAFBF">
        <w:rPr>
          <w:rFonts w:eastAsia="Times New Roman" w:cs="Times New Roman"/>
          <w:sz w:val="24"/>
          <w:szCs w:val="24"/>
        </w:rPr>
        <w:t>gadā nepieciešami 918</w:t>
      </w:r>
      <w:r w:rsidR="00210A6D" w:rsidRPr="691DAFBF">
        <w:rPr>
          <w:rFonts w:eastAsia="Times New Roman" w:cs="Times New Roman"/>
          <w:sz w:val="24"/>
          <w:szCs w:val="24"/>
        </w:rPr>
        <w:t> </w:t>
      </w:r>
      <w:r w:rsidR="14BD3D03" w:rsidRPr="691DAFBF">
        <w:rPr>
          <w:rFonts w:eastAsia="Times New Roman" w:cs="Times New Roman"/>
          <w:sz w:val="24"/>
          <w:szCs w:val="24"/>
        </w:rPr>
        <w:t>01</w:t>
      </w:r>
      <w:r w:rsidR="32B10ED2" w:rsidRPr="691DAFBF">
        <w:rPr>
          <w:rFonts w:eastAsia="Times New Roman" w:cs="Times New Roman"/>
          <w:sz w:val="24"/>
          <w:szCs w:val="24"/>
        </w:rPr>
        <w:t>4</w:t>
      </w:r>
      <w:r w:rsidR="14BD3D03" w:rsidRPr="691DAFBF">
        <w:rPr>
          <w:rFonts w:eastAsia="Times New Roman" w:cs="Times New Roman"/>
          <w:sz w:val="24"/>
          <w:szCs w:val="24"/>
        </w:rPr>
        <w:t xml:space="preserve"> </w:t>
      </w:r>
      <w:r w:rsidR="14BD3D03" w:rsidRPr="691DAFBF">
        <w:rPr>
          <w:rFonts w:eastAsia="Times New Roman" w:cs="Times New Roman"/>
          <w:i/>
          <w:iCs/>
          <w:sz w:val="24"/>
          <w:szCs w:val="24"/>
        </w:rPr>
        <w:t>euro</w:t>
      </w:r>
      <w:r w:rsidR="14BD3D03" w:rsidRPr="691DAFBF">
        <w:rPr>
          <w:rFonts w:eastAsia="Times New Roman" w:cs="Times New Roman"/>
          <w:sz w:val="24"/>
          <w:szCs w:val="24"/>
        </w:rPr>
        <w:t xml:space="preserve"> un </w:t>
      </w:r>
      <w:r w:rsidR="0B4C6920" w:rsidRPr="691DAFBF">
        <w:rPr>
          <w:rFonts w:eastAsia="Times New Roman" w:cs="Times New Roman"/>
          <w:sz w:val="24"/>
          <w:szCs w:val="24"/>
        </w:rPr>
        <w:t>turpmākajos gados nepieciešami 2 milj</w:t>
      </w:r>
      <w:r w:rsidR="0B757ABA" w:rsidRPr="691DAFBF">
        <w:rPr>
          <w:rFonts w:eastAsia="Times New Roman" w:cs="Times New Roman"/>
          <w:sz w:val="24"/>
          <w:szCs w:val="24"/>
        </w:rPr>
        <w:t>.</w:t>
      </w:r>
      <w:r w:rsidR="0B4C6920" w:rsidRPr="691DAFBF">
        <w:rPr>
          <w:rFonts w:eastAsia="Times New Roman" w:cs="Times New Roman"/>
          <w:sz w:val="24"/>
          <w:szCs w:val="24"/>
        </w:rPr>
        <w:t xml:space="preserve"> </w:t>
      </w:r>
      <w:r w:rsidR="0B4C6920" w:rsidRPr="691DAFBF">
        <w:rPr>
          <w:rFonts w:eastAsia="Times New Roman" w:cs="Times New Roman"/>
          <w:i/>
          <w:iCs/>
          <w:sz w:val="24"/>
          <w:szCs w:val="24"/>
        </w:rPr>
        <w:t>eur</w:t>
      </w:r>
      <w:r w:rsidR="52510727" w:rsidRPr="691DAFBF">
        <w:rPr>
          <w:rFonts w:eastAsia="Times New Roman" w:cs="Times New Roman"/>
          <w:i/>
          <w:iCs/>
          <w:sz w:val="24"/>
          <w:szCs w:val="24"/>
        </w:rPr>
        <w:t>o</w:t>
      </w:r>
      <w:r w:rsidR="0B4C6920" w:rsidRPr="691DAFBF">
        <w:rPr>
          <w:rFonts w:eastAsia="Times New Roman" w:cs="Times New Roman"/>
          <w:sz w:val="24"/>
          <w:szCs w:val="24"/>
        </w:rPr>
        <w:t xml:space="preserve"> gadā</w:t>
      </w:r>
      <w:r w:rsidR="005934DF" w:rsidRPr="691DAFBF">
        <w:rPr>
          <w:rFonts w:eastAsia="Times New Roman" w:cs="Times New Roman"/>
          <w:sz w:val="24"/>
          <w:szCs w:val="24"/>
        </w:rPr>
        <w:t>.</w:t>
      </w:r>
    </w:p>
    <w:p w14:paraId="356AC5F6" w14:textId="20AEF3B5" w:rsidR="0001457A" w:rsidRPr="000A542D" w:rsidRDefault="003D0E47" w:rsidP="691DAFBF">
      <w:pPr>
        <w:spacing w:after="120"/>
        <w:ind w:firstLine="720"/>
        <w:rPr>
          <w:rFonts w:eastAsia="Times New Roman" w:cs="Times New Roman"/>
          <w:sz w:val="24"/>
          <w:szCs w:val="24"/>
        </w:rPr>
      </w:pPr>
      <w:r w:rsidRPr="691DAFBF">
        <w:rPr>
          <w:rFonts w:eastAsia="Times New Roman" w:cs="Times New Roman"/>
          <w:sz w:val="24"/>
          <w:szCs w:val="24"/>
        </w:rPr>
        <w:t>Turpmāk</w:t>
      </w:r>
      <w:r w:rsidR="0001457A" w:rsidRPr="691DAFBF">
        <w:rPr>
          <w:rFonts w:eastAsia="Times New Roman" w:cs="Times New Roman"/>
          <w:sz w:val="24"/>
          <w:szCs w:val="24"/>
        </w:rPr>
        <w:t>, saskaņā ar ES Enerģētikas savienības Pārvaldības regul</w:t>
      </w:r>
      <w:r w:rsidRPr="691DAFBF">
        <w:rPr>
          <w:rFonts w:eastAsia="Times New Roman" w:cs="Times New Roman"/>
          <w:sz w:val="24"/>
          <w:szCs w:val="24"/>
        </w:rPr>
        <w:t xml:space="preserve">u </w:t>
      </w:r>
      <w:r w:rsidR="0001457A" w:rsidRPr="691DAFBF">
        <w:rPr>
          <w:rFonts w:eastAsia="Times New Roman" w:cs="Times New Roman"/>
          <w:sz w:val="24"/>
          <w:szCs w:val="24"/>
        </w:rPr>
        <w:t xml:space="preserve">NEKP pētniecībai un zinātnei enerģētikas jomā paredzēts ilgtermiņa finansējuma periods no 2021. gada līdz 2030. gadam. Kā arī NEKP un tajā ietvertie ilgtermiņa mērķi un pasākumi to sasniegšanai visās Enerģētikas Savienības dimensijās, t.sk. attiecībā uz pētniecību, tiks ņemti par pamatu, EK vērtējot ES struktūrfondu piešķiršanu dalībvalstij turpmāko ES daudzgadu budžeta ietvaros. </w:t>
      </w:r>
    </w:p>
    <w:p w14:paraId="1F49DBD7" w14:textId="49A01FC4" w:rsidR="004B45F3" w:rsidRPr="004B45F3" w:rsidRDefault="00376BC3">
      <w:pPr>
        <w:ind w:firstLine="720"/>
        <w:rPr>
          <w:rFonts w:eastAsia="Times New Roman" w:cs="Times New Roman"/>
          <w:sz w:val="24"/>
          <w:szCs w:val="24"/>
        </w:rPr>
      </w:pPr>
      <w:r>
        <w:rPr>
          <w:rFonts w:eastAsia="Times New Roman" w:cs="Times New Roman"/>
          <w:sz w:val="24"/>
          <w:szCs w:val="24"/>
        </w:rPr>
        <w:t>F</w:t>
      </w:r>
      <w:r w:rsidR="1D6946C7" w:rsidRPr="691DAFBF">
        <w:rPr>
          <w:rFonts w:eastAsia="Times New Roman" w:cs="Times New Roman"/>
          <w:sz w:val="24"/>
          <w:szCs w:val="24"/>
        </w:rPr>
        <w:t xml:space="preserve">inansējums paredzēts šādu NEKP pētījumu/pasākumu īstenošanai: </w:t>
      </w:r>
      <w:r w:rsidR="4735FED0" w:rsidRPr="691DAFBF">
        <w:rPr>
          <w:rFonts w:eastAsia="Times New Roman" w:cs="Times New Roman"/>
          <w:sz w:val="24"/>
          <w:szCs w:val="24"/>
        </w:rPr>
        <w:t xml:space="preserve">enerģētikas un klimata modelēšanas sistēmas izveide, enerģētikas monitoringa </w:t>
      </w:r>
      <w:r w:rsidR="005B4362">
        <w:rPr>
          <w:rFonts w:eastAsia="Times New Roman" w:cs="Times New Roman"/>
          <w:sz w:val="24"/>
          <w:szCs w:val="24"/>
        </w:rPr>
        <w:t>un</w:t>
      </w:r>
      <w:r w:rsidR="4735FED0" w:rsidRPr="691DAFBF">
        <w:rPr>
          <w:rFonts w:eastAsia="Times New Roman" w:cs="Times New Roman"/>
          <w:sz w:val="24"/>
          <w:szCs w:val="24"/>
        </w:rPr>
        <w:t xml:space="preserve"> ziņošanas sistēmas izveide un darbība, , kā arī politikas plānošanai nepieciešamo pētījumu veikšana, kas savukārt saskaņā ar NEKP ir: </w:t>
      </w:r>
      <w:r w:rsidR="1D6946C7" w:rsidRPr="691DAFBF">
        <w:rPr>
          <w:rFonts w:eastAsia="Times New Roman" w:cs="Times New Roman"/>
          <w:sz w:val="24"/>
          <w:szCs w:val="24"/>
        </w:rPr>
        <w:t xml:space="preserve">plānoto investīciju plūsmas un to prognožu analīze visos tautsaimniecības sektoros atbilstoši mērķiem, vadlīniju izstrāde AER projektu virzītājiem, energoapgādes sistēmu optimizācijas analīze, pāreja uz zemas temperatūras apkures sistēmām un atlikumsiltuma integrāciju, dzīvojamā fonda energoefektivitātes uzlabošanas kompleksu ilgtermiņa risinājums, pētījums par gāzes tīkla dekarbonizāciju – iespējām dabasgāzes pārvades sistēmu pielāgot AER ūdeņraža un citu gāzveida kurināmo (ne-metāna) ievadei, AER izmantošanas potenciāla analīze jūras siltuma izmantošanai piekrastes apdzīvotajās vietās, </w:t>
      </w:r>
      <w:r w:rsidR="10A7493D" w:rsidRPr="691DAFBF">
        <w:rPr>
          <w:rFonts w:eastAsia="Times New Roman" w:cs="Times New Roman"/>
          <w:sz w:val="24"/>
          <w:szCs w:val="24"/>
        </w:rPr>
        <w:t xml:space="preserve">funkcionējoša </w:t>
      </w:r>
      <w:r w:rsidR="1D6946C7" w:rsidRPr="691DAFBF">
        <w:rPr>
          <w:rFonts w:eastAsia="Times New Roman" w:cs="Times New Roman"/>
          <w:sz w:val="24"/>
          <w:szCs w:val="24"/>
        </w:rPr>
        <w:t xml:space="preserve">biznesa modeļa izstrāde </w:t>
      </w:r>
      <w:r w:rsidR="0198C250" w:rsidRPr="691DAFBF">
        <w:rPr>
          <w:rFonts w:eastAsia="Times New Roman" w:cs="Times New Roman"/>
          <w:sz w:val="24"/>
          <w:szCs w:val="24"/>
        </w:rPr>
        <w:t>energo</w:t>
      </w:r>
      <w:r w:rsidR="1D6946C7" w:rsidRPr="691DAFBF">
        <w:rPr>
          <w:rFonts w:eastAsia="Times New Roman" w:cs="Times New Roman"/>
          <w:sz w:val="24"/>
          <w:szCs w:val="24"/>
        </w:rPr>
        <w:t xml:space="preserve">kopienas </w:t>
      </w:r>
      <w:r w:rsidR="2A3F5B06" w:rsidRPr="691DAFBF">
        <w:rPr>
          <w:rFonts w:eastAsia="Times New Roman" w:cs="Times New Roman"/>
          <w:sz w:val="24"/>
          <w:szCs w:val="24"/>
        </w:rPr>
        <w:t xml:space="preserve">un AER kopienas </w:t>
      </w:r>
      <w:r w:rsidR="1D6946C7" w:rsidRPr="691DAFBF">
        <w:rPr>
          <w:rFonts w:eastAsia="Times New Roman" w:cs="Times New Roman"/>
          <w:sz w:val="24"/>
          <w:szCs w:val="24"/>
        </w:rPr>
        <w:t>darbībai.</w:t>
      </w:r>
    </w:p>
    <w:p w14:paraId="262B5842" w14:textId="0BE79226" w:rsidR="006748F9" w:rsidRPr="000A542D" w:rsidRDefault="006748F9" w:rsidP="006748F9">
      <w:pPr>
        <w:spacing w:after="120"/>
        <w:ind w:firstLine="720"/>
        <w:rPr>
          <w:rFonts w:eastAsia="Times New Roman" w:cs="Times New Roman"/>
          <w:sz w:val="24"/>
          <w:szCs w:val="24"/>
        </w:rPr>
      </w:pPr>
      <w:r>
        <w:rPr>
          <w:rFonts w:eastAsia="Times New Roman" w:cs="Times New Roman"/>
          <w:sz w:val="24"/>
          <w:szCs w:val="24"/>
          <w:shd w:val="clear" w:color="auto" w:fill="FFFFFF"/>
        </w:rPr>
        <w:lastRenderedPageBreak/>
        <w:t xml:space="preserve">Nozaru ministrijas finansējumu VPP veidošanai pieprasa individuāli, ņemot vērā nozares prioritātes un </w:t>
      </w:r>
      <w:r w:rsidR="005563BE">
        <w:rPr>
          <w:rFonts w:eastAsia="Times New Roman" w:cs="Times New Roman"/>
          <w:sz w:val="24"/>
          <w:szCs w:val="24"/>
          <w:shd w:val="clear" w:color="auto" w:fill="FFFFFF"/>
        </w:rPr>
        <w:t>plānošanas dokumentos noteiktos</w:t>
      </w:r>
      <w:r>
        <w:rPr>
          <w:rFonts w:eastAsia="Times New Roman" w:cs="Times New Roman"/>
          <w:sz w:val="24"/>
          <w:szCs w:val="24"/>
          <w:shd w:val="clear" w:color="auto" w:fill="FFFFFF"/>
        </w:rPr>
        <w:t xml:space="preserve"> mērķus. </w:t>
      </w:r>
      <w:r w:rsidR="00F94DB4">
        <w:rPr>
          <w:rFonts w:eastAsia="Times New Roman" w:cs="Times New Roman"/>
          <w:sz w:val="24"/>
          <w:szCs w:val="24"/>
          <w:shd w:val="clear" w:color="auto" w:fill="FFFFFF"/>
        </w:rPr>
        <w:t>NEKP noteikto ambiciozo mēr</w:t>
      </w:r>
      <w:r w:rsidR="001110D6">
        <w:rPr>
          <w:rFonts w:eastAsia="Times New Roman" w:cs="Times New Roman"/>
          <w:sz w:val="24"/>
          <w:szCs w:val="24"/>
          <w:shd w:val="clear" w:color="auto" w:fill="FFFFFF"/>
        </w:rPr>
        <w:t>ķu sasniegšanai ir nepieciešam</w:t>
      </w:r>
      <w:r w:rsidR="00552CAD">
        <w:rPr>
          <w:rFonts w:eastAsia="Times New Roman" w:cs="Times New Roman"/>
          <w:sz w:val="24"/>
          <w:szCs w:val="24"/>
          <w:shd w:val="clear" w:color="auto" w:fill="FFFFFF"/>
        </w:rPr>
        <w:t>s īstenot virkni pētījumu un pasākumu enerģētikas nozarē.</w:t>
      </w:r>
    </w:p>
    <w:p w14:paraId="5C393EC4" w14:textId="71F16F58" w:rsidR="0001457A" w:rsidRPr="000A542D" w:rsidRDefault="0001457A" w:rsidP="691DAFBF">
      <w:pPr>
        <w:spacing w:after="120"/>
        <w:ind w:firstLine="720"/>
        <w:rPr>
          <w:rFonts w:eastAsia="Times New Roman" w:cs="Times New Roman"/>
          <w:sz w:val="24"/>
          <w:szCs w:val="24"/>
        </w:rPr>
      </w:pPr>
      <w:r w:rsidRPr="691DAFBF">
        <w:rPr>
          <w:rFonts w:eastAsia="Times New Roman" w:cs="Times New Roman"/>
          <w:sz w:val="24"/>
          <w:szCs w:val="24"/>
        </w:rPr>
        <w:t xml:space="preserve">Latvijas valsts interesēs ir īstenot </w:t>
      </w:r>
      <w:r w:rsidRPr="691DAFBF">
        <w:rPr>
          <w:rFonts w:eastAsia="Times New Roman" w:cs="Times New Roman"/>
          <w:b/>
          <w:bCs/>
          <w:sz w:val="24"/>
          <w:szCs w:val="24"/>
        </w:rPr>
        <w:t>stabilu un pastāvīgu</w:t>
      </w:r>
      <w:r w:rsidRPr="691DAFBF">
        <w:rPr>
          <w:rFonts w:eastAsia="Times New Roman" w:cs="Times New Roman"/>
          <w:sz w:val="24"/>
          <w:szCs w:val="24"/>
        </w:rPr>
        <w:t xml:space="preserve"> </w:t>
      </w:r>
      <w:r w:rsidR="00995F14" w:rsidRPr="691DAFBF">
        <w:rPr>
          <w:rFonts w:eastAsia="Times New Roman" w:cs="Times New Roman"/>
          <w:sz w:val="24"/>
          <w:szCs w:val="24"/>
        </w:rPr>
        <w:t>VPP</w:t>
      </w:r>
      <w:r w:rsidRPr="691DAFBF">
        <w:rPr>
          <w:rFonts w:eastAsia="Times New Roman" w:cs="Times New Roman"/>
          <w:sz w:val="24"/>
          <w:szCs w:val="24"/>
        </w:rPr>
        <w:t xml:space="preserve">, kas kalpotu par pamatu pētniecības attīstībai, radot </w:t>
      </w:r>
      <w:r w:rsidRPr="00CA6654">
        <w:rPr>
          <w:rFonts w:eastAsia="Times New Roman" w:cs="Times New Roman"/>
          <w:sz w:val="24"/>
          <w:szCs w:val="24"/>
          <w:shd w:val="clear" w:color="auto" w:fill="FFFFFF"/>
        </w:rPr>
        <w:t>jaunas zināšanas, prasmes un inovācijas, attīstot jaunus produktus, procesus un pakalpojumus nozares problēmu risināšanai,</w:t>
      </w:r>
      <w:r w:rsidRPr="691DAFBF">
        <w:rPr>
          <w:rFonts w:eastAsia="Times New Roman" w:cs="Times New Roman"/>
          <w:sz w:val="24"/>
          <w:szCs w:val="24"/>
        </w:rPr>
        <w:t xml:space="preserve"> kā arī uz pētījumiem balstītas politikas īstenošanai, tādā veidā sekmējot ilgtermiņa politikas mērķu sasniegšanu</w:t>
      </w:r>
      <w:r w:rsidRPr="00CA6654">
        <w:rPr>
          <w:rFonts w:eastAsia="Times New Roman" w:cs="Times New Roman"/>
          <w:sz w:val="24"/>
          <w:szCs w:val="24"/>
          <w:shd w:val="clear" w:color="auto" w:fill="FFFFFF"/>
        </w:rPr>
        <w:t>.</w:t>
      </w:r>
    </w:p>
    <w:p w14:paraId="6DF76974" w14:textId="6F7C30DB" w:rsidR="00CE5111" w:rsidRPr="00907983" w:rsidRDefault="0001457A" w:rsidP="00907983">
      <w:pPr>
        <w:spacing w:after="120"/>
        <w:ind w:firstLine="720"/>
        <w:rPr>
          <w:rFonts w:eastAsia="Times New Roman" w:cs="Times New Roman"/>
          <w:sz w:val="24"/>
          <w:szCs w:val="24"/>
        </w:rPr>
      </w:pPr>
      <w:r w:rsidRPr="691DAFBF">
        <w:rPr>
          <w:rFonts w:eastAsia="Times New Roman" w:cs="Times New Roman"/>
          <w:sz w:val="24"/>
          <w:szCs w:val="24"/>
        </w:rPr>
        <w:t xml:space="preserve">Ņemot vērā minēto, šī </w:t>
      </w:r>
      <w:r w:rsidR="00995F14" w:rsidRPr="691DAFBF">
        <w:rPr>
          <w:rFonts w:eastAsia="Times New Roman" w:cs="Times New Roman"/>
          <w:sz w:val="24"/>
          <w:szCs w:val="24"/>
        </w:rPr>
        <w:t xml:space="preserve">VPP </w:t>
      </w:r>
      <w:r w:rsidRPr="691DAFBF">
        <w:rPr>
          <w:rFonts w:eastAsia="Times New Roman" w:cs="Times New Roman"/>
          <w:sz w:val="24"/>
          <w:szCs w:val="24"/>
        </w:rPr>
        <w:t xml:space="preserve">vērtējama kā pastāvīgs instruments pētniecības attīstībai enerģētikā. Savukārt, vērtējot </w:t>
      </w:r>
      <w:r w:rsidR="00995F14" w:rsidRPr="691DAFBF">
        <w:rPr>
          <w:rFonts w:eastAsia="Times New Roman" w:cs="Times New Roman"/>
          <w:sz w:val="24"/>
          <w:szCs w:val="24"/>
        </w:rPr>
        <w:t>VPP</w:t>
      </w:r>
      <w:r w:rsidRPr="691DAFBF">
        <w:rPr>
          <w:rFonts w:eastAsia="Times New Roman" w:cs="Times New Roman"/>
          <w:sz w:val="24"/>
          <w:szCs w:val="24"/>
        </w:rPr>
        <w:t xml:space="preserve"> rezultātus 2021. gadā</w:t>
      </w:r>
      <w:r w:rsidR="178FB072" w:rsidRPr="691DAFBF">
        <w:rPr>
          <w:rFonts w:eastAsia="Times New Roman" w:cs="Times New Roman"/>
          <w:sz w:val="24"/>
          <w:szCs w:val="24"/>
        </w:rPr>
        <w:t>,</w:t>
      </w:r>
      <w:r w:rsidRPr="691DAFBF">
        <w:rPr>
          <w:rFonts w:eastAsia="Times New Roman" w:cs="Times New Roman"/>
          <w:sz w:val="24"/>
          <w:szCs w:val="24"/>
        </w:rPr>
        <w:t xml:space="preserve"> aktuāls jautājums būs par </w:t>
      </w:r>
      <w:r w:rsidR="00995F14" w:rsidRPr="691DAFBF">
        <w:rPr>
          <w:rFonts w:eastAsia="Times New Roman" w:cs="Times New Roman"/>
          <w:sz w:val="24"/>
          <w:szCs w:val="24"/>
        </w:rPr>
        <w:t xml:space="preserve">VPP </w:t>
      </w:r>
      <w:r w:rsidRPr="691DAFBF">
        <w:rPr>
          <w:rFonts w:eastAsia="Times New Roman" w:cs="Times New Roman"/>
          <w:b/>
          <w:bCs/>
          <w:sz w:val="24"/>
          <w:szCs w:val="24"/>
        </w:rPr>
        <w:t>turpmākajām prioritātēm un efektivitātes paaugstināšanu</w:t>
      </w:r>
      <w:r w:rsidRPr="691DAFBF">
        <w:rPr>
          <w:rFonts w:eastAsia="Times New Roman" w:cs="Times New Roman"/>
          <w:sz w:val="24"/>
          <w:szCs w:val="24"/>
        </w:rPr>
        <w:t>.</w:t>
      </w:r>
    </w:p>
    <w:p w14:paraId="7AE513DF" w14:textId="77777777" w:rsidR="00657538" w:rsidRPr="004E4FBE" w:rsidRDefault="00657538" w:rsidP="004E4FBE">
      <w:pPr>
        <w:spacing w:after="120"/>
        <w:jc w:val="center"/>
        <w:rPr>
          <w:rFonts w:eastAsia="Times New Roman" w:cs="Times New Roman"/>
          <w:b/>
          <w:bCs/>
          <w:sz w:val="24"/>
          <w:szCs w:val="24"/>
        </w:rPr>
      </w:pPr>
    </w:p>
    <w:p w14:paraId="0F27CBEA" w14:textId="13F95A7E" w:rsidR="003366CD" w:rsidRDefault="00C23077" w:rsidP="004E4FBE">
      <w:pPr>
        <w:pStyle w:val="Heading1"/>
        <w:spacing w:before="0" w:after="120"/>
        <w:ind w:left="431" w:hanging="431"/>
        <w:jc w:val="center"/>
        <w:rPr>
          <w:rFonts w:ascii="Times New Roman" w:hAnsi="Times New Roman" w:cs="Times New Roman"/>
          <w:b/>
          <w:bCs/>
          <w:color w:val="auto"/>
          <w:sz w:val="24"/>
          <w:szCs w:val="24"/>
        </w:rPr>
      </w:pPr>
      <w:bookmarkStart w:id="11" w:name="_Toc51576937"/>
      <w:r w:rsidRPr="6410F582">
        <w:rPr>
          <w:rFonts w:ascii="Times New Roman" w:hAnsi="Times New Roman" w:cs="Times New Roman"/>
          <w:b/>
          <w:bCs/>
          <w:color w:val="auto"/>
          <w:sz w:val="24"/>
          <w:szCs w:val="24"/>
        </w:rPr>
        <w:t>R</w:t>
      </w:r>
      <w:r w:rsidR="003D1FE5" w:rsidRPr="6410F582">
        <w:rPr>
          <w:rFonts w:ascii="Times New Roman" w:hAnsi="Times New Roman" w:cs="Times New Roman"/>
          <w:b/>
          <w:bCs/>
          <w:color w:val="auto"/>
          <w:sz w:val="24"/>
          <w:szCs w:val="24"/>
        </w:rPr>
        <w:t>isinājumi</w:t>
      </w:r>
      <w:bookmarkEnd w:id="11"/>
    </w:p>
    <w:p w14:paraId="601149DF" w14:textId="77777777" w:rsidR="002B53C6" w:rsidRPr="002B53C6" w:rsidRDefault="002B53C6" w:rsidP="002B53C6"/>
    <w:p w14:paraId="1115580A" w14:textId="28E8631D" w:rsidR="003836FB" w:rsidRPr="004E4FBE" w:rsidRDefault="003836FB" w:rsidP="004E4FBE">
      <w:pPr>
        <w:pStyle w:val="Heading2"/>
        <w:spacing w:before="0" w:after="120" w:line="240" w:lineRule="auto"/>
        <w:rPr>
          <w:rFonts w:ascii="Times New Roman" w:hAnsi="Times New Roman" w:cs="Times New Roman"/>
          <w:b/>
          <w:bCs/>
          <w:color w:val="auto"/>
          <w:sz w:val="24"/>
          <w:szCs w:val="24"/>
        </w:rPr>
      </w:pPr>
      <w:bookmarkStart w:id="12" w:name="_Toc47565366"/>
      <w:bookmarkStart w:id="13" w:name="_Toc47606284"/>
      <w:bookmarkStart w:id="14" w:name="_Toc47565367"/>
      <w:bookmarkStart w:id="15" w:name="_Toc47606285"/>
      <w:bookmarkStart w:id="16" w:name="_Toc47565368"/>
      <w:bookmarkStart w:id="17" w:name="_Toc47606286"/>
      <w:bookmarkStart w:id="18" w:name="_Toc47565369"/>
      <w:bookmarkStart w:id="19" w:name="_Toc47606287"/>
      <w:bookmarkStart w:id="20" w:name="_Toc47565370"/>
      <w:bookmarkStart w:id="21" w:name="_Toc47606288"/>
      <w:bookmarkStart w:id="22" w:name="_Toc47565371"/>
      <w:bookmarkStart w:id="23" w:name="_Toc47606289"/>
      <w:bookmarkStart w:id="24" w:name="_Toc51576938"/>
      <w:bookmarkEnd w:id="12"/>
      <w:bookmarkEnd w:id="13"/>
      <w:bookmarkEnd w:id="14"/>
      <w:bookmarkEnd w:id="15"/>
      <w:bookmarkEnd w:id="16"/>
      <w:bookmarkEnd w:id="17"/>
      <w:bookmarkEnd w:id="18"/>
      <w:bookmarkEnd w:id="19"/>
      <w:bookmarkEnd w:id="20"/>
      <w:bookmarkEnd w:id="21"/>
      <w:bookmarkEnd w:id="22"/>
      <w:bookmarkEnd w:id="23"/>
      <w:r w:rsidRPr="004E4FBE">
        <w:rPr>
          <w:rFonts w:ascii="Times New Roman" w:hAnsi="Times New Roman" w:cs="Times New Roman"/>
          <w:b/>
          <w:bCs/>
          <w:color w:val="auto"/>
          <w:sz w:val="24"/>
          <w:szCs w:val="24"/>
        </w:rPr>
        <w:t>OIK pieauguma scenārijs</w:t>
      </w:r>
      <w:bookmarkEnd w:id="24"/>
    </w:p>
    <w:p w14:paraId="106BBD57" w14:textId="144C9FBD" w:rsidR="003836FB" w:rsidRPr="005934DF" w:rsidRDefault="003836FB" w:rsidP="004E4FBE">
      <w:pPr>
        <w:spacing w:after="120"/>
        <w:ind w:firstLine="851"/>
        <w:rPr>
          <w:rFonts w:eastAsia="Times New Roman" w:cs="Times New Roman"/>
          <w:color w:val="FF0000"/>
          <w:sz w:val="24"/>
          <w:szCs w:val="24"/>
        </w:rPr>
      </w:pPr>
      <w:r w:rsidRPr="004E4FBE">
        <w:rPr>
          <w:rFonts w:eastAsia="Times New Roman" w:cs="Times New Roman"/>
          <w:sz w:val="24"/>
          <w:szCs w:val="24"/>
        </w:rPr>
        <w:t>Scenārijs paredz pārtraukt OIK noturēšanu esošā 22,68 EUR/MWh līmenī, pārtraucot budžeta līdzfinansējumu publiskajam tirgotajam</w:t>
      </w:r>
      <w:r w:rsidR="00E27CAF">
        <w:rPr>
          <w:rFonts w:eastAsia="Times New Roman" w:cs="Times New Roman"/>
          <w:sz w:val="24"/>
          <w:szCs w:val="24"/>
        </w:rPr>
        <w:t xml:space="preserve"> un </w:t>
      </w:r>
      <w:r w:rsidR="00B85441">
        <w:rPr>
          <w:rFonts w:eastAsia="Times New Roman" w:cs="Times New Roman"/>
          <w:sz w:val="24"/>
          <w:szCs w:val="24"/>
        </w:rPr>
        <w:t>atbalstu energoietilpīgajiem uzņēmumiem</w:t>
      </w:r>
      <w:r w:rsidRPr="004E4FBE">
        <w:rPr>
          <w:rFonts w:eastAsia="Times New Roman" w:cs="Times New Roman"/>
          <w:sz w:val="24"/>
          <w:szCs w:val="24"/>
        </w:rPr>
        <w:t>. Scenārijs paredz saglabāt finansējumu pārējām</w:t>
      </w:r>
      <w:r w:rsidR="00B85441">
        <w:rPr>
          <w:rFonts w:eastAsia="Times New Roman" w:cs="Times New Roman"/>
          <w:sz w:val="24"/>
          <w:szCs w:val="24"/>
        </w:rPr>
        <w:t xml:space="preserve"> divām</w:t>
      </w:r>
      <w:r w:rsidRPr="004E4FBE">
        <w:rPr>
          <w:rFonts w:eastAsia="Times New Roman" w:cs="Times New Roman"/>
          <w:sz w:val="24"/>
          <w:szCs w:val="24"/>
        </w:rPr>
        <w:t xml:space="preserve"> </w:t>
      </w:r>
      <w:r w:rsidR="00D47A0F" w:rsidRPr="004E4FBE">
        <w:rPr>
          <w:rFonts w:eastAsia="Times New Roman" w:cs="Times New Roman"/>
          <w:sz w:val="24"/>
          <w:szCs w:val="24"/>
        </w:rPr>
        <w:t xml:space="preserve">prioritārajām </w:t>
      </w:r>
      <w:r w:rsidRPr="004E4FBE">
        <w:rPr>
          <w:rFonts w:eastAsia="Times New Roman" w:cs="Times New Roman"/>
          <w:sz w:val="24"/>
          <w:szCs w:val="24"/>
        </w:rPr>
        <w:t>aktivitātēm</w:t>
      </w:r>
      <w:r w:rsidR="00B85441">
        <w:rPr>
          <w:rFonts w:eastAsia="Times New Roman" w:cs="Times New Roman"/>
          <w:sz w:val="24"/>
          <w:szCs w:val="24"/>
        </w:rPr>
        <w:t xml:space="preserve">- </w:t>
      </w:r>
      <w:r w:rsidRPr="004E4FBE">
        <w:rPr>
          <w:rFonts w:eastAsia="Times New Roman" w:cs="Times New Roman"/>
          <w:sz w:val="24"/>
          <w:szCs w:val="24"/>
        </w:rPr>
        <w:t>atbals</w:t>
      </w:r>
      <w:r w:rsidR="00E27CAF">
        <w:rPr>
          <w:rFonts w:eastAsia="Times New Roman" w:cs="Times New Roman"/>
          <w:sz w:val="24"/>
          <w:szCs w:val="24"/>
        </w:rPr>
        <w:t>t</w:t>
      </w:r>
      <w:r w:rsidR="00B85441">
        <w:rPr>
          <w:rFonts w:eastAsia="Times New Roman" w:cs="Times New Roman"/>
          <w:sz w:val="24"/>
          <w:szCs w:val="24"/>
        </w:rPr>
        <w:t>am</w:t>
      </w:r>
      <w:r w:rsidRPr="004E4FBE">
        <w:rPr>
          <w:rFonts w:eastAsia="Times New Roman" w:cs="Times New Roman"/>
          <w:sz w:val="24"/>
          <w:szCs w:val="24"/>
        </w:rPr>
        <w:t xml:space="preserve"> aizsargātajiem lietotājiem</w:t>
      </w:r>
      <w:r w:rsidR="00B85441">
        <w:rPr>
          <w:rFonts w:eastAsia="Times New Roman" w:cs="Times New Roman"/>
          <w:sz w:val="24"/>
          <w:szCs w:val="24"/>
        </w:rPr>
        <w:t xml:space="preserve"> </w:t>
      </w:r>
      <w:r w:rsidR="00D47A0F" w:rsidRPr="004E4FBE">
        <w:rPr>
          <w:rFonts w:eastAsia="Times New Roman" w:cs="Times New Roman"/>
          <w:sz w:val="24"/>
          <w:szCs w:val="24"/>
        </w:rPr>
        <w:t xml:space="preserve">un </w:t>
      </w:r>
      <w:r w:rsidRPr="004E4FBE">
        <w:rPr>
          <w:rFonts w:eastAsia="Times New Roman" w:cs="Times New Roman"/>
          <w:sz w:val="24"/>
          <w:szCs w:val="24"/>
        </w:rPr>
        <w:t xml:space="preserve">NEKP </w:t>
      </w:r>
      <w:r w:rsidR="00D47A0F" w:rsidRPr="004E4FBE">
        <w:rPr>
          <w:rFonts w:eastAsia="Times New Roman" w:cs="Times New Roman"/>
          <w:sz w:val="24"/>
          <w:szCs w:val="24"/>
        </w:rPr>
        <w:t>īstenošanai</w:t>
      </w:r>
      <w:r w:rsidRPr="004E4FBE">
        <w:rPr>
          <w:rFonts w:eastAsia="Times New Roman" w:cs="Times New Roman"/>
          <w:sz w:val="24"/>
          <w:szCs w:val="24"/>
        </w:rPr>
        <w:t>.</w:t>
      </w:r>
    </w:p>
    <w:p w14:paraId="1EB1511E" w14:textId="4BE5673B" w:rsidR="003836FB" w:rsidRDefault="048E97E4" w:rsidP="004E4FBE">
      <w:pPr>
        <w:spacing w:after="120"/>
        <w:ind w:firstLine="851"/>
        <w:rPr>
          <w:rFonts w:eastAsia="Times New Roman" w:cs="Times New Roman"/>
          <w:sz w:val="24"/>
          <w:szCs w:val="24"/>
        </w:rPr>
      </w:pPr>
      <w:r w:rsidRPr="201A1355">
        <w:rPr>
          <w:rFonts w:eastAsia="Times New Roman" w:cs="Times New Roman"/>
          <w:sz w:val="24"/>
          <w:szCs w:val="24"/>
        </w:rPr>
        <w:t>Scenārijs paredz OIK vidējās likmes pieaugumu</w:t>
      </w:r>
      <w:r w:rsidR="00932623">
        <w:rPr>
          <w:rFonts w:eastAsia="Times New Roman" w:cs="Times New Roman"/>
          <w:sz w:val="24"/>
          <w:szCs w:val="24"/>
        </w:rPr>
        <w:t>,</w:t>
      </w:r>
      <w:r w:rsidRPr="201A1355">
        <w:rPr>
          <w:rFonts w:eastAsia="Times New Roman" w:cs="Times New Roman"/>
          <w:sz w:val="24"/>
          <w:szCs w:val="24"/>
        </w:rPr>
        <w:t xml:space="preserve"> sākot ar 01.01.2021. </w:t>
      </w:r>
      <w:r w:rsidR="326ED059" w:rsidRPr="201A1355">
        <w:rPr>
          <w:rFonts w:eastAsia="Times New Roman" w:cs="Times New Roman"/>
          <w:sz w:val="24"/>
          <w:szCs w:val="24"/>
        </w:rPr>
        <w:t>provizoriski līdz 25,72 EUR/MWh, un pakāpenisku samazinājumu turpmākajos gados:</w:t>
      </w:r>
    </w:p>
    <w:p w14:paraId="7B9E7550" w14:textId="77777777" w:rsidR="00CE5111" w:rsidRPr="004E4FBE" w:rsidRDefault="00CE5111" w:rsidP="004E4FBE">
      <w:pPr>
        <w:spacing w:after="120"/>
        <w:ind w:firstLine="851"/>
        <w:rPr>
          <w:rFonts w:eastAsia="Times New Roman" w:cs="Times New Roman"/>
          <w:sz w:val="24"/>
          <w:szCs w:val="24"/>
        </w:rPr>
      </w:pPr>
    </w:p>
    <w:p w14:paraId="2F2E4094" w14:textId="7E3BD239" w:rsidR="009912FB" w:rsidRPr="004E4FBE" w:rsidRDefault="00AA4890"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7</w:t>
      </w:r>
      <w:r w:rsidR="009912FB" w:rsidRPr="004E4FBE">
        <w:rPr>
          <w:rFonts w:ascii="Times New Roman" w:hAnsi="Times New Roman"/>
          <w:color w:val="auto"/>
          <w:sz w:val="24"/>
          <w:szCs w:val="24"/>
        </w:rPr>
        <w:t>. tabula</w:t>
      </w:r>
    </w:p>
    <w:p w14:paraId="1C704728" w14:textId="77777777" w:rsidR="009912FB" w:rsidRPr="004E4FBE" w:rsidRDefault="009912FB"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OIK prognozes bez valsts dotācijas, EUR/MWh</w:t>
      </w:r>
    </w:p>
    <w:tbl>
      <w:tblPr>
        <w:tblW w:w="5300" w:type="dxa"/>
        <w:jc w:val="center"/>
        <w:tblLook w:val="04A0" w:firstRow="1" w:lastRow="0" w:firstColumn="1" w:lastColumn="0" w:noHBand="0" w:noVBand="1"/>
      </w:tblPr>
      <w:tblGrid>
        <w:gridCol w:w="2420"/>
        <w:gridCol w:w="960"/>
        <w:gridCol w:w="960"/>
        <w:gridCol w:w="960"/>
      </w:tblGrid>
      <w:tr w:rsidR="004E4FBE" w:rsidRPr="004E4FBE" w14:paraId="5E8F493C" w14:textId="77777777" w:rsidTr="005C28EE">
        <w:trPr>
          <w:trHeight w:val="300"/>
          <w:jc w:val="center"/>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697C2" w14:textId="77777777" w:rsidR="009912FB" w:rsidRPr="004E4FBE" w:rsidRDefault="009912FB" w:rsidP="004E4FBE">
            <w:pPr>
              <w:spacing w:after="120"/>
              <w:jc w:val="center"/>
              <w:rPr>
                <w:rFonts w:eastAsia="Times New Roman" w:cs="Times New Roman"/>
                <w:sz w:val="24"/>
                <w:szCs w:val="24"/>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CD8B93A" w14:textId="77777777"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46D869" w14:textId="77777777"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2022</w:t>
            </w:r>
          </w:p>
        </w:tc>
        <w:tc>
          <w:tcPr>
            <w:tcW w:w="960" w:type="dxa"/>
            <w:tcBorders>
              <w:top w:val="single" w:sz="4" w:space="0" w:color="auto"/>
              <w:left w:val="nil"/>
              <w:bottom w:val="single" w:sz="4" w:space="0" w:color="auto"/>
              <w:right w:val="single" w:sz="4" w:space="0" w:color="auto"/>
            </w:tcBorders>
            <w:vAlign w:val="center"/>
          </w:tcPr>
          <w:p w14:paraId="25E9152E" w14:textId="77777777"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2023</w:t>
            </w:r>
          </w:p>
        </w:tc>
      </w:tr>
      <w:tr w:rsidR="009912FB" w:rsidRPr="004E4FBE" w14:paraId="35419F7C" w14:textId="77777777" w:rsidTr="005C28EE">
        <w:trPr>
          <w:trHeight w:val="600"/>
          <w:jc w:val="center"/>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97510" w14:textId="77777777"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OIK bez dotācijas, EUR/MWh</w:t>
            </w:r>
          </w:p>
        </w:tc>
        <w:tc>
          <w:tcPr>
            <w:tcW w:w="960" w:type="dxa"/>
            <w:tcBorders>
              <w:top w:val="nil"/>
              <w:left w:val="nil"/>
              <w:bottom w:val="single" w:sz="4" w:space="0" w:color="auto"/>
              <w:right w:val="single" w:sz="4" w:space="0" w:color="auto"/>
            </w:tcBorders>
            <w:shd w:val="clear" w:color="auto" w:fill="auto"/>
            <w:noWrap/>
            <w:vAlign w:val="center"/>
            <w:hideMark/>
          </w:tcPr>
          <w:p w14:paraId="320CC0BA" w14:textId="77777777"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25.72</w:t>
            </w:r>
          </w:p>
        </w:tc>
        <w:tc>
          <w:tcPr>
            <w:tcW w:w="960" w:type="dxa"/>
            <w:tcBorders>
              <w:top w:val="nil"/>
              <w:left w:val="nil"/>
              <w:bottom w:val="single" w:sz="4" w:space="0" w:color="auto"/>
              <w:right w:val="single" w:sz="4" w:space="0" w:color="auto"/>
            </w:tcBorders>
            <w:shd w:val="clear" w:color="auto" w:fill="auto"/>
            <w:noWrap/>
            <w:vAlign w:val="center"/>
            <w:hideMark/>
          </w:tcPr>
          <w:p w14:paraId="2E4A7836" w14:textId="215DD9A4" w:rsidR="009912FB" w:rsidRPr="004E4FBE" w:rsidRDefault="00EE70C8" w:rsidP="004E4FBE">
            <w:pPr>
              <w:spacing w:after="120"/>
              <w:jc w:val="center"/>
              <w:rPr>
                <w:rFonts w:eastAsia="Times New Roman" w:cs="Times New Roman"/>
                <w:sz w:val="24"/>
                <w:szCs w:val="24"/>
                <w:lang w:eastAsia="lv-LV"/>
              </w:rPr>
            </w:pPr>
            <w:r>
              <w:rPr>
                <w:rFonts w:eastAsia="Times New Roman" w:cs="Times New Roman"/>
                <w:sz w:val="24"/>
                <w:szCs w:val="24"/>
                <w:lang w:eastAsia="lv-LV"/>
              </w:rPr>
              <w:t>23.66</w:t>
            </w:r>
          </w:p>
        </w:tc>
        <w:tc>
          <w:tcPr>
            <w:tcW w:w="960" w:type="dxa"/>
            <w:tcBorders>
              <w:top w:val="nil"/>
              <w:left w:val="nil"/>
              <w:bottom w:val="single" w:sz="4" w:space="0" w:color="auto"/>
              <w:right w:val="single" w:sz="4" w:space="0" w:color="auto"/>
            </w:tcBorders>
            <w:vAlign w:val="center"/>
          </w:tcPr>
          <w:p w14:paraId="79F284E2" w14:textId="77777777"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18.81</w:t>
            </w:r>
          </w:p>
        </w:tc>
      </w:tr>
    </w:tbl>
    <w:p w14:paraId="51F568C1" w14:textId="2F8652E5" w:rsidR="009912FB" w:rsidRDefault="009912FB" w:rsidP="004E4FBE">
      <w:pPr>
        <w:pStyle w:val="Caption"/>
        <w:keepNext/>
        <w:spacing w:line="240" w:lineRule="auto"/>
        <w:jc w:val="right"/>
        <w:rPr>
          <w:rFonts w:ascii="Times New Roman" w:hAnsi="Times New Roman"/>
          <w:color w:val="auto"/>
          <w:sz w:val="24"/>
          <w:szCs w:val="24"/>
        </w:rPr>
      </w:pPr>
    </w:p>
    <w:p w14:paraId="4F26DF27" w14:textId="086DA0C2" w:rsidR="00CE5111" w:rsidRPr="00762DC5" w:rsidRDefault="00932623" w:rsidP="00CE5111">
      <w:pPr>
        <w:rPr>
          <w:sz w:val="24"/>
          <w:szCs w:val="20"/>
        </w:rPr>
      </w:pPr>
      <w:r>
        <w:tab/>
      </w:r>
      <w:r w:rsidRPr="00762DC5">
        <w:rPr>
          <w:sz w:val="24"/>
          <w:szCs w:val="20"/>
        </w:rPr>
        <w:t xml:space="preserve">Šāda risinājuma rezultātā pieaugtu elektroenerģijas izmaksas visiem elektroenerģijas galalietotājiem salīdzinājumā ar pārējiem scenārijiem, kuros tiek piedāvāts OIK </w:t>
      </w:r>
      <w:r w:rsidR="00154CFB" w:rsidRPr="00762DC5">
        <w:rPr>
          <w:sz w:val="24"/>
          <w:szCs w:val="20"/>
        </w:rPr>
        <w:t>likmi ierobežot noteiktā līmenī.</w:t>
      </w:r>
    </w:p>
    <w:p w14:paraId="5948DC7C" w14:textId="57FCCE3D" w:rsidR="009912FB" w:rsidRPr="004E4FBE" w:rsidRDefault="00AA4890"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8</w:t>
      </w:r>
      <w:r w:rsidR="009912FB" w:rsidRPr="004E4FBE">
        <w:rPr>
          <w:rFonts w:ascii="Times New Roman" w:hAnsi="Times New Roman"/>
          <w:color w:val="auto"/>
          <w:sz w:val="24"/>
          <w:szCs w:val="24"/>
        </w:rPr>
        <w:t>. tabula</w:t>
      </w:r>
    </w:p>
    <w:p w14:paraId="3F45E1B2" w14:textId="57481E4D" w:rsidR="009912FB" w:rsidRPr="004E4FBE" w:rsidRDefault="009912FB" w:rsidP="004E4FBE">
      <w:pPr>
        <w:pStyle w:val="Caption"/>
        <w:keepNext/>
        <w:spacing w:line="240" w:lineRule="auto"/>
        <w:jc w:val="center"/>
        <w:rPr>
          <w:rFonts w:ascii="Times New Roman" w:hAnsi="Times New Roman"/>
          <w:color w:val="auto"/>
          <w:sz w:val="24"/>
          <w:szCs w:val="24"/>
        </w:rPr>
      </w:pPr>
      <w:bookmarkStart w:id="25" w:name="_Hlk48298127"/>
      <w:r w:rsidRPr="004E4FBE">
        <w:rPr>
          <w:rFonts w:ascii="Times New Roman" w:hAnsi="Times New Roman"/>
          <w:color w:val="auto"/>
          <w:sz w:val="24"/>
          <w:szCs w:val="24"/>
        </w:rPr>
        <w:t>Valsts atbalsta elektroenerģijas ražotājiem, aizsargātiem lietotājiem un energoietilpīgiem uzņēmumiem</w:t>
      </w:r>
      <w:r w:rsidR="00CF4BB0">
        <w:rPr>
          <w:rFonts w:ascii="Times New Roman" w:hAnsi="Times New Roman"/>
          <w:color w:val="auto"/>
          <w:sz w:val="24"/>
          <w:szCs w:val="24"/>
        </w:rPr>
        <w:t>, VPP</w:t>
      </w:r>
      <w:r w:rsidR="006B1FFF">
        <w:rPr>
          <w:rFonts w:ascii="Times New Roman" w:hAnsi="Times New Roman"/>
          <w:color w:val="auto"/>
          <w:sz w:val="24"/>
          <w:szCs w:val="24"/>
        </w:rPr>
        <w:t xml:space="preserve"> </w:t>
      </w:r>
      <w:r w:rsidR="001D4E5F" w:rsidRPr="006B1FFF">
        <w:rPr>
          <w:rFonts w:ascii="Times New Roman" w:hAnsi="Times New Roman"/>
          <w:color w:val="auto"/>
          <w:sz w:val="24"/>
          <w:szCs w:val="24"/>
        </w:rPr>
        <w:t xml:space="preserve">un NEKP pētniecības daļas </w:t>
      </w:r>
      <w:r w:rsidRPr="004E4FBE">
        <w:rPr>
          <w:rFonts w:ascii="Times New Roman" w:hAnsi="Times New Roman"/>
          <w:color w:val="auto"/>
          <w:sz w:val="24"/>
          <w:szCs w:val="24"/>
        </w:rPr>
        <w:t>īstenošanas izdevumu ietekme uz valsts budžetu pēc Eiropas Nacionālo Kontu Sistēmas (ESA), EUR</w:t>
      </w:r>
    </w:p>
    <w:tbl>
      <w:tblPr>
        <w:tblW w:w="8985" w:type="dxa"/>
        <w:tblLayout w:type="fixed"/>
        <w:tblLook w:val="04A0" w:firstRow="1" w:lastRow="0" w:firstColumn="1" w:lastColumn="0" w:noHBand="0" w:noVBand="1"/>
      </w:tblPr>
      <w:tblGrid>
        <w:gridCol w:w="4680"/>
        <w:gridCol w:w="1519"/>
        <w:gridCol w:w="1393"/>
        <w:gridCol w:w="1393"/>
      </w:tblGrid>
      <w:tr w:rsidR="004E4FBE" w:rsidRPr="0008370F" w14:paraId="50861DBE" w14:textId="77777777" w:rsidTr="0008370F">
        <w:trPr>
          <w:trHeight w:val="270"/>
        </w:trPr>
        <w:tc>
          <w:tcPr>
            <w:tcW w:w="46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bookmarkEnd w:id="25"/>
          <w:p w14:paraId="59337A90" w14:textId="77777777" w:rsidR="00502E1D" w:rsidRPr="0008370F" w:rsidRDefault="00502E1D" w:rsidP="004E4FBE">
            <w:pPr>
              <w:spacing w:after="120"/>
              <w:jc w:val="center"/>
              <w:rPr>
                <w:rFonts w:eastAsia="Times New Roman" w:cs="Times New Roman"/>
                <w:b/>
                <w:bCs/>
                <w:sz w:val="24"/>
                <w:szCs w:val="24"/>
                <w:lang w:eastAsia="lv-LV"/>
              </w:rPr>
            </w:pPr>
            <w:r w:rsidRPr="0008370F">
              <w:rPr>
                <w:rFonts w:eastAsia="Times New Roman" w:cs="Times New Roman"/>
                <w:b/>
                <w:bCs/>
                <w:sz w:val="24"/>
                <w:szCs w:val="24"/>
                <w:lang w:eastAsia="lv-LV"/>
              </w:rPr>
              <w:t> </w:t>
            </w:r>
          </w:p>
        </w:tc>
        <w:tc>
          <w:tcPr>
            <w:tcW w:w="1519" w:type="dxa"/>
            <w:tcBorders>
              <w:top w:val="single" w:sz="8" w:space="0" w:color="auto"/>
              <w:left w:val="single" w:sz="4" w:space="0" w:color="auto"/>
              <w:bottom w:val="nil"/>
              <w:right w:val="single" w:sz="4" w:space="0" w:color="auto"/>
            </w:tcBorders>
            <w:shd w:val="clear" w:color="auto" w:fill="auto"/>
            <w:noWrap/>
            <w:vAlign w:val="center"/>
            <w:hideMark/>
          </w:tcPr>
          <w:p w14:paraId="26F1D55C" w14:textId="77777777" w:rsidR="00502E1D" w:rsidRPr="0008370F" w:rsidRDefault="00502E1D" w:rsidP="004E4FBE">
            <w:pPr>
              <w:spacing w:after="120"/>
              <w:jc w:val="center"/>
              <w:rPr>
                <w:rFonts w:eastAsia="Times New Roman" w:cs="Times New Roman"/>
                <w:b/>
                <w:bCs/>
                <w:sz w:val="24"/>
                <w:szCs w:val="24"/>
                <w:lang w:eastAsia="lv-LV"/>
              </w:rPr>
            </w:pPr>
            <w:r w:rsidRPr="0008370F">
              <w:rPr>
                <w:rFonts w:eastAsia="Times New Roman" w:cs="Times New Roman"/>
                <w:b/>
                <w:bCs/>
                <w:sz w:val="24"/>
                <w:szCs w:val="24"/>
                <w:lang w:eastAsia="lv-LV"/>
              </w:rPr>
              <w:t>2021</w:t>
            </w:r>
          </w:p>
        </w:tc>
        <w:tc>
          <w:tcPr>
            <w:tcW w:w="1393" w:type="dxa"/>
            <w:tcBorders>
              <w:top w:val="single" w:sz="8" w:space="0" w:color="auto"/>
              <w:left w:val="nil"/>
              <w:bottom w:val="nil"/>
              <w:right w:val="single" w:sz="4" w:space="0" w:color="auto"/>
            </w:tcBorders>
            <w:shd w:val="clear" w:color="auto" w:fill="auto"/>
            <w:noWrap/>
            <w:vAlign w:val="center"/>
            <w:hideMark/>
          </w:tcPr>
          <w:p w14:paraId="2692E53E" w14:textId="77777777" w:rsidR="00502E1D" w:rsidRPr="0008370F" w:rsidRDefault="00502E1D" w:rsidP="004E4FBE">
            <w:pPr>
              <w:spacing w:after="120"/>
              <w:jc w:val="center"/>
              <w:rPr>
                <w:rFonts w:eastAsia="Times New Roman" w:cs="Times New Roman"/>
                <w:b/>
                <w:bCs/>
                <w:sz w:val="24"/>
                <w:szCs w:val="24"/>
                <w:lang w:eastAsia="lv-LV"/>
              </w:rPr>
            </w:pPr>
            <w:r w:rsidRPr="0008370F">
              <w:rPr>
                <w:rFonts w:eastAsia="Times New Roman" w:cs="Times New Roman"/>
                <w:b/>
                <w:bCs/>
                <w:sz w:val="24"/>
                <w:szCs w:val="24"/>
                <w:lang w:eastAsia="lv-LV"/>
              </w:rPr>
              <w:t>2022</w:t>
            </w:r>
          </w:p>
        </w:tc>
        <w:tc>
          <w:tcPr>
            <w:tcW w:w="1393" w:type="dxa"/>
            <w:tcBorders>
              <w:top w:val="single" w:sz="8" w:space="0" w:color="auto"/>
              <w:left w:val="nil"/>
              <w:bottom w:val="nil"/>
              <w:right w:val="single" w:sz="8" w:space="0" w:color="auto"/>
            </w:tcBorders>
            <w:shd w:val="clear" w:color="auto" w:fill="auto"/>
            <w:noWrap/>
            <w:vAlign w:val="center"/>
            <w:hideMark/>
          </w:tcPr>
          <w:p w14:paraId="6C71458D" w14:textId="77777777" w:rsidR="00502E1D" w:rsidRPr="0008370F" w:rsidRDefault="00502E1D" w:rsidP="004E4FBE">
            <w:pPr>
              <w:spacing w:after="120"/>
              <w:jc w:val="center"/>
              <w:rPr>
                <w:rFonts w:eastAsia="Times New Roman" w:cs="Times New Roman"/>
                <w:b/>
                <w:bCs/>
                <w:sz w:val="24"/>
                <w:szCs w:val="24"/>
                <w:lang w:eastAsia="lv-LV"/>
              </w:rPr>
            </w:pPr>
            <w:r w:rsidRPr="0008370F">
              <w:rPr>
                <w:rFonts w:eastAsia="Times New Roman" w:cs="Times New Roman"/>
                <w:b/>
                <w:bCs/>
                <w:sz w:val="24"/>
                <w:szCs w:val="24"/>
                <w:lang w:eastAsia="lv-LV"/>
              </w:rPr>
              <w:t>2023</w:t>
            </w:r>
          </w:p>
        </w:tc>
      </w:tr>
      <w:tr w:rsidR="004E4FBE" w:rsidRPr="0008370F" w14:paraId="621A44FA" w14:textId="77777777" w:rsidTr="0008370F">
        <w:trPr>
          <w:trHeight w:val="526"/>
        </w:trPr>
        <w:tc>
          <w:tcPr>
            <w:tcW w:w="4680" w:type="dxa"/>
            <w:tcBorders>
              <w:top w:val="nil"/>
              <w:left w:val="single" w:sz="8" w:space="0" w:color="auto"/>
              <w:bottom w:val="nil"/>
              <w:right w:val="single" w:sz="8" w:space="0" w:color="auto"/>
            </w:tcBorders>
            <w:shd w:val="clear" w:color="auto" w:fill="auto"/>
            <w:noWrap/>
            <w:vAlign w:val="center"/>
            <w:hideMark/>
          </w:tcPr>
          <w:p w14:paraId="442FF50A" w14:textId="77777777" w:rsidR="00502E1D" w:rsidRPr="0008370F" w:rsidRDefault="00502E1D" w:rsidP="004E4FBE">
            <w:pPr>
              <w:spacing w:after="120"/>
              <w:jc w:val="center"/>
              <w:rPr>
                <w:rFonts w:eastAsia="Times New Roman" w:cs="Times New Roman"/>
                <w:b/>
                <w:bCs/>
                <w:sz w:val="24"/>
                <w:szCs w:val="24"/>
                <w:lang w:eastAsia="lv-LV"/>
              </w:rPr>
            </w:pPr>
            <w:r w:rsidRPr="0008370F">
              <w:rPr>
                <w:rFonts w:eastAsia="Times New Roman" w:cs="Times New Roman"/>
                <w:b/>
                <w:bCs/>
                <w:sz w:val="24"/>
                <w:szCs w:val="24"/>
                <w:lang w:eastAsia="lv-LV"/>
              </w:rPr>
              <w:t> </w:t>
            </w:r>
          </w:p>
        </w:tc>
        <w:tc>
          <w:tcPr>
            <w:tcW w:w="151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ED85380" w14:textId="77777777" w:rsidR="00502E1D" w:rsidRPr="00EE70C8" w:rsidRDefault="00502E1D" w:rsidP="004E4FBE">
            <w:pPr>
              <w:spacing w:after="120"/>
              <w:jc w:val="center"/>
              <w:rPr>
                <w:rFonts w:eastAsia="Times New Roman" w:cs="Times New Roman"/>
                <w:b/>
                <w:bCs/>
                <w:sz w:val="24"/>
                <w:szCs w:val="24"/>
                <w:lang w:eastAsia="lv-LV"/>
              </w:rPr>
            </w:pPr>
            <w:r w:rsidRPr="00EE70C8">
              <w:rPr>
                <w:rFonts w:eastAsia="Times New Roman" w:cs="Times New Roman"/>
                <w:b/>
                <w:bCs/>
                <w:sz w:val="24"/>
                <w:szCs w:val="24"/>
                <w:lang w:eastAsia="lv-LV"/>
              </w:rPr>
              <w:t>Prognoze</w:t>
            </w:r>
          </w:p>
        </w:tc>
        <w:tc>
          <w:tcPr>
            <w:tcW w:w="1393" w:type="dxa"/>
            <w:tcBorders>
              <w:top w:val="single" w:sz="8" w:space="0" w:color="auto"/>
              <w:left w:val="nil"/>
              <w:bottom w:val="single" w:sz="8" w:space="0" w:color="auto"/>
              <w:right w:val="single" w:sz="4" w:space="0" w:color="auto"/>
            </w:tcBorders>
            <w:shd w:val="clear" w:color="auto" w:fill="auto"/>
            <w:vAlign w:val="center"/>
            <w:hideMark/>
          </w:tcPr>
          <w:p w14:paraId="4C0851A8" w14:textId="77777777" w:rsidR="00502E1D" w:rsidRPr="00EE70C8" w:rsidRDefault="00502E1D" w:rsidP="004E4FBE">
            <w:pPr>
              <w:spacing w:after="120"/>
              <w:jc w:val="center"/>
              <w:rPr>
                <w:rFonts w:eastAsia="Times New Roman" w:cs="Times New Roman"/>
                <w:b/>
                <w:bCs/>
                <w:sz w:val="24"/>
                <w:szCs w:val="24"/>
                <w:lang w:eastAsia="lv-LV"/>
              </w:rPr>
            </w:pPr>
            <w:r w:rsidRPr="00EE70C8">
              <w:rPr>
                <w:rFonts w:eastAsia="Times New Roman" w:cs="Times New Roman"/>
                <w:b/>
                <w:bCs/>
                <w:sz w:val="24"/>
                <w:szCs w:val="24"/>
                <w:lang w:eastAsia="lv-LV"/>
              </w:rPr>
              <w:t>Prognoze</w:t>
            </w:r>
          </w:p>
        </w:tc>
        <w:tc>
          <w:tcPr>
            <w:tcW w:w="1393" w:type="dxa"/>
            <w:tcBorders>
              <w:top w:val="single" w:sz="8" w:space="0" w:color="auto"/>
              <w:left w:val="nil"/>
              <w:bottom w:val="single" w:sz="8" w:space="0" w:color="auto"/>
              <w:right w:val="single" w:sz="8" w:space="0" w:color="auto"/>
            </w:tcBorders>
            <w:shd w:val="clear" w:color="auto" w:fill="auto"/>
            <w:vAlign w:val="center"/>
            <w:hideMark/>
          </w:tcPr>
          <w:p w14:paraId="7631731E" w14:textId="77777777" w:rsidR="00502E1D" w:rsidRPr="00EE70C8" w:rsidRDefault="00502E1D" w:rsidP="004E4FBE">
            <w:pPr>
              <w:spacing w:after="120"/>
              <w:jc w:val="center"/>
              <w:rPr>
                <w:rFonts w:eastAsia="Times New Roman" w:cs="Times New Roman"/>
                <w:b/>
                <w:bCs/>
                <w:sz w:val="24"/>
                <w:szCs w:val="24"/>
                <w:lang w:eastAsia="lv-LV"/>
              </w:rPr>
            </w:pPr>
            <w:r w:rsidRPr="00EE70C8">
              <w:rPr>
                <w:rFonts w:eastAsia="Times New Roman" w:cs="Times New Roman"/>
                <w:b/>
                <w:bCs/>
                <w:sz w:val="24"/>
                <w:szCs w:val="24"/>
                <w:lang w:eastAsia="lv-LV"/>
              </w:rPr>
              <w:t>Prognoze</w:t>
            </w:r>
          </w:p>
        </w:tc>
      </w:tr>
      <w:tr w:rsidR="006A1040" w:rsidRPr="0008370F" w14:paraId="7CD8077A" w14:textId="77777777" w:rsidTr="006B1FFF">
        <w:trPr>
          <w:trHeight w:val="526"/>
        </w:trPr>
        <w:tc>
          <w:tcPr>
            <w:tcW w:w="4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D5070F" w14:textId="77777777" w:rsidR="006A1040" w:rsidRPr="00317198" w:rsidRDefault="006A1040" w:rsidP="006A1040">
            <w:pPr>
              <w:spacing w:after="120"/>
              <w:jc w:val="center"/>
              <w:rPr>
                <w:rFonts w:eastAsia="Times New Roman" w:cs="Times New Roman"/>
                <w:b/>
                <w:bCs/>
                <w:sz w:val="24"/>
                <w:szCs w:val="24"/>
                <w:lang w:eastAsia="lv-LV"/>
              </w:rPr>
            </w:pPr>
            <w:r w:rsidRPr="00317198">
              <w:rPr>
                <w:rFonts w:eastAsia="Times New Roman" w:cs="Times New Roman"/>
                <w:b/>
                <w:bCs/>
                <w:sz w:val="24"/>
                <w:szCs w:val="24"/>
                <w:lang w:eastAsia="lv-LV"/>
              </w:rPr>
              <w:t>Valsts budžeta izdevumi</w:t>
            </w:r>
          </w:p>
        </w:tc>
        <w:tc>
          <w:tcPr>
            <w:tcW w:w="151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B7C94EE" w14:textId="7153DF00" w:rsidR="006A1040" w:rsidRPr="00317198" w:rsidRDefault="006A1040" w:rsidP="006A1040">
            <w:pPr>
              <w:spacing w:after="120"/>
              <w:jc w:val="center"/>
              <w:rPr>
                <w:rFonts w:eastAsia="Times New Roman" w:cs="Times New Roman"/>
                <w:b/>
                <w:bCs/>
                <w:sz w:val="24"/>
                <w:szCs w:val="24"/>
                <w:lang w:eastAsia="lv-LV"/>
              </w:rPr>
            </w:pPr>
            <w:r w:rsidRPr="00317198">
              <w:rPr>
                <w:rFonts w:cs="Times New Roman"/>
                <w:b/>
                <w:bCs/>
                <w:color w:val="000000"/>
                <w:sz w:val="24"/>
                <w:szCs w:val="24"/>
              </w:rPr>
              <w:t>15 440 167</w:t>
            </w:r>
          </w:p>
        </w:tc>
        <w:tc>
          <w:tcPr>
            <w:tcW w:w="139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56A3712" w14:textId="63F66713" w:rsidR="006A1040" w:rsidRPr="00317198" w:rsidRDefault="006A1040" w:rsidP="006A1040">
            <w:pPr>
              <w:spacing w:after="120"/>
              <w:jc w:val="center"/>
              <w:rPr>
                <w:rFonts w:eastAsia="Times New Roman" w:cs="Times New Roman"/>
                <w:b/>
                <w:bCs/>
                <w:sz w:val="24"/>
                <w:szCs w:val="24"/>
                <w:lang w:eastAsia="lv-LV"/>
              </w:rPr>
            </w:pPr>
            <w:r w:rsidRPr="00317198">
              <w:rPr>
                <w:rFonts w:cs="Times New Roman"/>
                <w:b/>
                <w:bCs/>
                <w:color w:val="000000"/>
                <w:sz w:val="24"/>
                <w:szCs w:val="24"/>
              </w:rPr>
              <w:t>6 091 238</w:t>
            </w:r>
          </w:p>
        </w:tc>
        <w:tc>
          <w:tcPr>
            <w:tcW w:w="1393" w:type="dxa"/>
            <w:tcBorders>
              <w:top w:val="single" w:sz="8" w:space="0" w:color="auto"/>
              <w:left w:val="nil"/>
              <w:bottom w:val="single" w:sz="8" w:space="0" w:color="auto"/>
              <w:right w:val="single" w:sz="8" w:space="0" w:color="auto"/>
            </w:tcBorders>
            <w:shd w:val="clear" w:color="auto" w:fill="auto"/>
            <w:vAlign w:val="center"/>
            <w:hideMark/>
          </w:tcPr>
          <w:p w14:paraId="26CF6164" w14:textId="2DBE5D95" w:rsidR="006A1040" w:rsidRPr="00317198" w:rsidRDefault="006A1040" w:rsidP="006A1040">
            <w:pPr>
              <w:spacing w:after="120"/>
              <w:jc w:val="center"/>
              <w:rPr>
                <w:rFonts w:eastAsia="Times New Roman" w:cs="Times New Roman"/>
                <w:b/>
                <w:bCs/>
                <w:sz w:val="24"/>
                <w:szCs w:val="24"/>
                <w:lang w:eastAsia="lv-LV"/>
              </w:rPr>
            </w:pPr>
            <w:r w:rsidRPr="00317198">
              <w:rPr>
                <w:rFonts w:cs="Times New Roman"/>
                <w:b/>
                <w:bCs/>
                <w:color w:val="000000"/>
                <w:sz w:val="24"/>
                <w:szCs w:val="24"/>
              </w:rPr>
              <w:t>16 575 720</w:t>
            </w:r>
          </w:p>
        </w:tc>
      </w:tr>
      <w:tr w:rsidR="006A1040" w:rsidRPr="0008370F" w14:paraId="79FB22D0" w14:textId="77777777" w:rsidTr="006B1FFF">
        <w:trPr>
          <w:trHeight w:val="255"/>
        </w:trPr>
        <w:tc>
          <w:tcPr>
            <w:tcW w:w="4680" w:type="dxa"/>
            <w:tcBorders>
              <w:top w:val="nil"/>
              <w:left w:val="single" w:sz="8" w:space="0" w:color="auto"/>
              <w:bottom w:val="single" w:sz="4" w:space="0" w:color="auto"/>
              <w:right w:val="single" w:sz="8" w:space="0" w:color="auto"/>
            </w:tcBorders>
            <w:shd w:val="clear" w:color="auto" w:fill="auto"/>
            <w:noWrap/>
            <w:vAlign w:val="center"/>
            <w:hideMark/>
          </w:tcPr>
          <w:p w14:paraId="06A3BE79" w14:textId="74959ADC" w:rsidR="006A1040" w:rsidRPr="00317198" w:rsidRDefault="006A1040" w:rsidP="006A1040">
            <w:pPr>
              <w:spacing w:after="120"/>
              <w:rPr>
                <w:rFonts w:eastAsia="Times New Roman" w:cs="Times New Roman"/>
                <w:sz w:val="24"/>
                <w:szCs w:val="24"/>
                <w:lang w:eastAsia="lv-LV"/>
              </w:rPr>
            </w:pPr>
            <w:r w:rsidRPr="00317198">
              <w:rPr>
                <w:rFonts w:eastAsia="Times New Roman" w:cs="Times New Roman"/>
                <w:sz w:val="24"/>
                <w:szCs w:val="24"/>
                <w:lang w:eastAsia="lv-LV"/>
              </w:rPr>
              <w:t>Valsts atbalsta dotācija elektroenerģijas ražotājiem(Ietekme)</w:t>
            </w:r>
          </w:p>
        </w:tc>
        <w:tc>
          <w:tcPr>
            <w:tcW w:w="1519"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2CED1D7" w14:textId="04C21C8F" w:rsidR="006A1040" w:rsidRPr="00317198" w:rsidRDefault="006A1040" w:rsidP="006A1040">
            <w:pPr>
              <w:spacing w:after="120"/>
              <w:jc w:val="center"/>
              <w:rPr>
                <w:rFonts w:eastAsia="Times New Roman" w:cs="Times New Roman"/>
                <w:sz w:val="24"/>
                <w:szCs w:val="24"/>
                <w:lang w:eastAsia="lv-LV"/>
              </w:rPr>
            </w:pPr>
            <w:r w:rsidRPr="00317198">
              <w:rPr>
                <w:rFonts w:cs="Times New Roman"/>
                <w:sz w:val="24"/>
                <w:szCs w:val="24"/>
              </w:rPr>
              <w:t>-22 511 607</w:t>
            </w:r>
          </w:p>
        </w:tc>
        <w:tc>
          <w:tcPr>
            <w:tcW w:w="1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5138C" w14:textId="04380EC9" w:rsidR="006A1040" w:rsidRPr="00317198" w:rsidRDefault="006A1040" w:rsidP="006A1040">
            <w:pPr>
              <w:spacing w:after="120"/>
              <w:jc w:val="center"/>
              <w:rPr>
                <w:rFonts w:eastAsia="Times New Roman" w:cs="Times New Roman"/>
                <w:sz w:val="24"/>
                <w:szCs w:val="24"/>
                <w:lang w:eastAsia="lv-LV"/>
              </w:rPr>
            </w:pPr>
            <w:r w:rsidRPr="00317198">
              <w:rPr>
                <w:rFonts w:cs="Times New Roman"/>
                <w:sz w:val="24"/>
                <w:szCs w:val="24"/>
              </w:rPr>
              <w:t>-31 912 362</w:t>
            </w:r>
          </w:p>
        </w:tc>
        <w:tc>
          <w:tcPr>
            <w:tcW w:w="1393" w:type="dxa"/>
            <w:tcBorders>
              <w:top w:val="single" w:sz="4" w:space="0" w:color="auto"/>
              <w:left w:val="nil"/>
              <w:bottom w:val="single" w:sz="4" w:space="0" w:color="auto"/>
              <w:right w:val="single" w:sz="8" w:space="0" w:color="auto"/>
            </w:tcBorders>
            <w:shd w:val="clear" w:color="000000" w:fill="FFFFFF"/>
            <w:noWrap/>
            <w:vAlign w:val="center"/>
            <w:hideMark/>
          </w:tcPr>
          <w:p w14:paraId="51DBD805" w14:textId="6D3EBB0B" w:rsidR="006A1040" w:rsidRPr="00317198" w:rsidRDefault="006A1040" w:rsidP="006A1040">
            <w:pPr>
              <w:spacing w:after="120"/>
              <w:jc w:val="center"/>
              <w:rPr>
                <w:rFonts w:eastAsia="Times New Roman" w:cs="Times New Roman"/>
                <w:sz w:val="24"/>
                <w:szCs w:val="24"/>
                <w:lang w:eastAsia="lv-LV"/>
              </w:rPr>
            </w:pPr>
            <w:r w:rsidRPr="00317198">
              <w:rPr>
                <w:rFonts w:cs="Times New Roman"/>
                <w:sz w:val="24"/>
                <w:szCs w:val="24"/>
              </w:rPr>
              <w:t>-21 427 880</w:t>
            </w:r>
          </w:p>
        </w:tc>
      </w:tr>
      <w:tr w:rsidR="006A1040" w:rsidRPr="0008370F" w14:paraId="1AB8D751" w14:textId="77777777" w:rsidTr="006B1FFF">
        <w:trPr>
          <w:trHeight w:val="255"/>
        </w:trPr>
        <w:tc>
          <w:tcPr>
            <w:tcW w:w="4680" w:type="dxa"/>
            <w:tcBorders>
              <w:top w:val="nil"/>
              <w:left w:val="single" w:sz="8" w:space="0" w:color="auto"/>
              <w:bottom w:val="single" w:sz="4" w:space="0" w:color="auto"/>
              <w:right w:val="single" w:sz="8" w:space="0" w:color="auto"/>
            </w:tcBorders>
            <w:shd w:val="clear" w:color="auto" w:fill="auto"/>
            <w:noWrap/>
            <w:vAlign w:val="center"/>
            <w:hideMark/>
          </w:tcPr>
          <w:p w14:paraId="32736E17" w14:textId="2A62E2EF" w:rsidR="006A1040" w:rsidRPr="00317198" w:rsidRDefault="006A1040" w:rsidP="006A1040">
            <w:pPr>
              <w:spacing w:after="120"/>
              <w:rPr>
                <w:rFonts w:eastAsia="Times New Roman" w:cs="Times New Roman"/>
                <w:sz w:val="24"/>
                <w:szCs w:val="24"/>
                <w:lang w:eastAsia="lv-LV"/>
              </w:rPr>
            </w:pPr>
            <w:r w:rsidRPr="00317198">
              <w:rPr>
                <w:rFonts w:eastAsia="Times New Roman" w:cs="Times New Roman"/>
                <w:sz w:val="24"/>
                <w:szCs w:val="24"/>
                <w:lang w:eastAsia="lv-LV"/>
              </w:rPr>
              <w:lastRenderedPageBreak/>
              <w:t>Valsts atbalsta dotācija energoietilpīgo uzņēmumu atbalstam</w:t>
            </w:r>
          </w:p>
        </w:tc>
        <w:tc>
          <w:tcPr>
            <w:tcW w:w="1519" w:type="dxa"/>
            <w:tcBorders>
              <w:top w:val="nil"/>
              <w:left w:val="single" w:sz="8" w:space="0" w:color="auto"/>
              <w:bottom w:val="single" w:sz="4" w:space="0" w:color="auto"/>
              <w:right w:val="single" w:sz="4" w:space="0" w:color="auto"/>
            </w:tcBorders>
            <w:shd w:val="clear" w:color="000000" w:fill="FFFFFF"/>
            <w:vAlign w:val="center"/>
            <w:hideMark/>
          </w:tcPr>
          <w:p w14:paraId="11532AD2" w14:textId="3266F062" w:rsidR="006A1040" w:rsidRPr="00317198" w:rsidRDefault="006A1040" w:rsidP="006A1040">
            <w:pPr>
              <w:spacing w:after="120"/>
              <w:jc w:val="center"/>
              <w:rPr>
                <w:rFonts w:eastAsia="Times New Roman" w:cs="Times New Roman"/>
                <w:sz w:val="24"/>
                <w:szCs w:val="24"/>
                <w:lang w:eastAsia="lv-LV"/>
              </w:rPr>
            </w:pPr>
            <w:r w:rsidRPr="00317198">
              <w:rPr>
                <w:rFonts w:cs="Times New Roman"/>
                <w:sz w:val="24"/>
                <w:szCs w:val="24"/>
              </w:rPr>
              <w:t>0</w:t>
            </w:r>
          </w:p>
        </w:tc>
        <w:tc>
          <w:tcPr>
            <w:tcW w:w="1393" w:type="dxa"/>
            <w:tcBorders>
              <w:top w:val="nil"/>
              <w:left w:val="single" w:sz="4" w:space="0" w:color="auto"/>
              <w:bottom w:val="single" w:sz="4" w:space="0" w:color="auto"/>
              <w:right w:val="single" w:sz="4" w:space="0" w:color="auto"/>
            </w:tcBorders>
            <w:shd w:val="clear" w:color="000000" w:fill="FFFFFF"/>
            <w:vAlign w:val="center"/>
            <w:hideMark/>
          </w:tcPr>
          <w:p w14:paraId="3E9E7230" w14:textId="78A92803" w:rsidR="006A1040" w:rsidRPr="00317198" w:rsidRDefault="006A1040" w:rsidP="006A1040">
            <w:pPr>
              <w:spacing w:after="120"/>
              <w:jc w:val="center"/>
              <w:rPr>
                <w:rFonts w:eastAsia="Times New Roman" w:cs="Times New Roman"/>
                <w:sz w:val="24"/>
                <w:szCs w:val="24"/>
                <w:lang w:eastAsia="lv-LV"/>
              </w:rPr>
            </w:pPr>
            <w:r w:rsidRPr="00317198">
              <w:rPr>
                <w:rFonts w:cs="Times New Roman"/>
                <w:sz w:val="24"/>
                <w:szCs w:val="24"/>
              </w:rPr>
              <w:t>0</w:t>
            </w:r>
          </w:p>
        </w:tc>
        <w:tc>
          <w:tcPr>
            <w:tcW w:w="1393" w:type="dxa"/>
            <w:tcBorders>
              <w:top w:val="nil"/>
              <w:left w:val="nil"/>
              <w:bottom w:val="single" w:sz="4" w:space="0" w:color="auto"/>
              <w:right w:val="single" w:sz="8" w:space="0" w:color="auto"/>
            </w:tcBorders>
            <w:shd w:val="clear" w:color="000000" w:fill="FFFFFF"/>
            <w:noWrap/>
            <w:vAlign w:val="center"/>
            <w:hideMark/>
          </w:tcPr>
          <w:p w14:paraId="5F8F623E" w14:textId="34CBF638" w:rsidR="006A1040" w:rsidRPr="00317198" w:rsidRDefault="006A1040" w:rsidP="006A1040">
            <w:pPr>
              <w:spacing w:after="120"/>
              <w:jc w:val="center"/>
              <w:rPr>
                <w:rFonts w:eastAsia="Times New Roman" w:cs="Times New Roman"/>
                <w:sz w:val="24"/>
                <w:szCs w:val="24"/>
                <w:lang w:eastAsia="lv-LV"/>
              </w:rPr>
            </w:pPr>
            <w:r w:rsidRPr="00317198">
              <w:rPr>
                <w:rFonts w:cs="Times New Roman"/>
                <w:sz w:val="24"/>
                <w:szCs w:val="24"/>
              </w:rPr>
              <w:t>0</w:t>
            </w:r>
          </w:p>
        </w:tc>
      </w:tr>
      <w:tr w:rsidR="006A1040" w:rsidRPr="0008370F" w14:paraId="736E64D1" w14:textId="77777777" w:rsidTr="006B1FFF">
        <w:trPr>
          <w:trHeight w:val="270"/>
        </w:trPr>
        <w:tc>
          <w:tcPr>
            <w:tcW w:w="4680" w:type="dxa"/>
            <w:tcBorders>
              <w:top w:val="nil"/>
              <w:left w:val="single" w:sz="8" w:space="0" w:color="auto"/>
              <w:bottom w:val="single" w:sz="4" w:space="0" w:color="auto"/>
              <w:right w:val="single" w:sz="8" w:space="0" w:color="auto"/>
            </w:tcBorders>
            <w:shd w:val="clear" w:color="auto" w:fill="FFFFFF" w:themeFill="background1"/>
            <w:vAlign w:val="center"/>
            <w:hideMark/>
          </w:tcPr>
          <w:p w14:paraId="4028FC64" w14:textId="77777777" w:rsidR="006A1040" w:rsidRPr="00317198" w:rsidRDefault="006A1040" w:rsidP="006A1040">
            <w:pPr>
              <w:spacing w:after="120"/>
              <w:rPr>
                <w:rFonts w:eastAsia="Times New Roman" w:cs="Times New Roman"/>
                <w:sz w:val="24"/>
                <w:szCs w:val="24"/>
                <w:lang w:eastAsia="lv-LV"/>
              </w:rPr>
            </w:pPr>
            <w:r w:rsidRPr="00317198">
              <w:rPr>
                <w:rFonts w:eastAsia="Times New Roman" w:cs="Times New Roman"/>
                <w:sz w:val="24"/>
                <w:szCs w:val="24"/>
                <w:lang w:eastAsia="lv-LV"/>
              </w:rPr>
              <w:t>Avansa maksājums jaudas maksājuma kompensācijai</w:t>
            </w:r>
          </w:p>
        </w:tc>
        <w:tc>
          <w:tcPr>
            <w:tcW w:w="1519" w:type="dxa"/>
            <w:tcBorders>
              <w:top w:val="nil"/>
              <w:left w:val="single" w:sz="8" w:space="0" w:color="auto"/>
              <w:bottom w:val="single" w:sz="4" w:space="0" w:color="auto"/>
              <w:right w:val="single" w:sz="4" w:space="0" w:color="auto"/>
            </w:tcBorders>
            <w:shd w:val="clear" w:color="000000" w:fill="FFFFFF"/>
            <w:vAlign w:val="center"/>
            <w:hideMark/>
          </w:tcPr>
          <w:p w14:paraId="7F676A7B" w14:textId="2951C4D0" w:rsidR="006A1040" w:rsidRPr="00317198" w:rsidRDefault="006A1040" w:rsidP="006A1040">
            <w:pPr>
              <w:spacing w:after="120"/>
              <w:jc w:val="center"/>
              <w:rPr>
                <w:rFonts w:eastAsia="Times New Roman" w:cs="Times New Roman"/>
                <w:sz w:val="24"/>
                <w:szCs w:val="24"/>
                <w:lang w:eastAsia="lv-LV"/>
              </w:rPr>
            </w:pPr>
            <w:r w:rsidRPr="00317198">
              <w:rPr>
                <w:rFonts w:cs="Times New Roman"/>
                <w:color w:val="000000"/>
                <w:sz w:val="24"/>
                <w:szCs w:val="24"/>
              </w:rPr>
              <w:t>24 003 600</w:t>
            </w:r>
          </w:p>
        </w:tc>
        <w:tc>
          <w:tcPr>
            <w:tcW w:w="1393" w:type="dxa"/>
            <w:tcBorders>
              <w:top w:val="nil"/>
              <w:left w:val="single" w:sz="4" w:space="0" w:color="auto"/>
              <w:bottom w:val="single" w:sz="4" w:space="0" w:color="auto"/>
              <w:right w:val="single" w:sz="4" w:space="0" w:color="auto"/>
            </w:tcBorders>
            <w:shd w:val="clear" w:color="000000" w:fill="FFFFFF"/>
            <w:vAlign w:val="center"/>
            <w:hideMark/>
          </w:tcPr>
          <w:p w14:paraId="3D6CEEF0" w14:textId="663FB429" w:rsidR="006A1040" w:rsidRPr="00317198" w:rsidRDefault="006A1040" w:rsidP="006A1040">
            <w:pPr>
              <w:spacing w:after="120"/>
              <w:jc w:val="center"/>
              <w:rPr>
                <w:rFonts w:eastAsia="Times New Roman" w:cs="Times New Roman"/>
                <w:sz w:val="24"/>
                <w:szCs w:val="24"/>
                <w:lang w:eastAsia="lv-LV"/>
              </w:rPr>
            </w:pPr>
            <w:r w:rsidRPr="00317198">
              <w:rPr>
                <w:rFonts w:cs="Times New Roman"/>
                <w:color w:val="000000"/>
                <w:sz w:val="24"/>
                <w:szCs w:val="24"/>
              </w:rPr>
              <w:t>24 003 600</w:t>
            </w:r>
          </w:p>
        </w:tc>
        <w:tc>
          <w:tcPr>
            <w:tcW w:w="1393" w:type="dxa"/>
            <w:tcBorders>
              <w:top w:val="nil"/>
              <w:left w:val="nil"/>
              <w:bottom w:val="single" w:sz="4" w:space="0" w:color="auto"/>
              <w:right w:val="single" w:sz="8" w:space="0" w:color="auto"/>
            </w:tcBorders>
            <w:shd w:val="clear" w:color="000000" w:fill="FFFFFF"/>
            <w:vAlign w:val="center"/>
            <w:hideMark/>
          </w:tcPr>
          <w:p w14:paraId="17174994" w14:textId="0BBF59D2" w:rsidR="006A1040" w:rsidRPr="00317198" w:rsidRDefault="006A1040" w:rsidP="006A1040">
            <w:pPr>
              <w:spacing w:after="120"/>
              <w:jc w:val="center"/>
              <w:rPr>
                <w:rFonts w:eastAsia="Times New Roman" w:cs="Times New Roman"/>
                <w:sz w:val="24"/>
                <w:szCs w:val="24"/>
                <w:lang w:eastAsia="lv-LV"/>
              </w:rPr>
            </w:pPr>
            <w:r w:rsidRPr="00317198">
              <w:rPr>
                <w:rFonts w:cs="Times New Roman"/>
                <w:color w:val="000000"/>
                <w:sz w:val="24"/>
                <w:szCs w:val="24"/>
              </w:rPr>
              <w:t>24 003 600</w:t>
            </w:r>
          </w:p>
        </w:tc>
      </w:tr>
      <w:tr w:rsidR="006A1040" w:rsidRPr="0008370F" w14:paraId="1BC5E747" w14:textId="77777777" w:rsidTr="006B1FFF">
        <w:trPr>
          <w:trHeight w:val="270"/>
        </w:trPr>
        <w:tc>
          <w:tcPr>
            <w:tcW w:w="4680" w:type="dxa"/>
            <w:tcBorders>
              <w:top w:val="nil"/>
              <w:left w:val="single" w:sz="8" w:space="0" w:color="auto"/>
              <w:bottom w:val="single" w:sz="4" w:space="0" w:color="auto"/>
              <w:right w:val="single" w:sz="8" w:space="0" w:color="auto"/>
            </w:tcBorders>
            <w:shd w:val="clear" w:color="auto" w:fill="auto"/>
            <w:vAlign w:val="center"/>
            <w:hideMark/>
          </w:tcPr>
          <w:p w14:paraId="6D1E8CA6" w14:textId="039A41B2" w:rsidR="006A1040" w:rsidRPr="00317198" w:rsidRDefault="00095298" w:rsidP="006A1040">
            <w:pPr>
              <w:spacing w:after="120"/>
              <w:jc w:val="left"/>
              <w:rPr>
                <w:rFonts w:eastAsia="Times New Roman" w:cs="Times New Roman"/>
                <w:sz w:val="24"/>
                <w:szCs w:val="24"/>
                <w:lang w:eastAsia="lv-LV"/>
              </w:rPr>
            </w:pPr>
            <w:r w:rsidRPr="00317198">
              <w:rPr>
                <w:rFonts w:eastAsia="Times New Roman" w:cs="Times New Roman"/>
                <w:sz w:val="24"/>
                <w:szCs w:val="24"/>
                <w:lang w:eastAsia="lv-LV"/>
              </w:rPr>
              <w:t>Aizsargāto lietotāju atbalsta finansējums</w:t>
            </w:r>
          </w:p>
        </w:tc>
        <w:tc>
          <w:tcPr>
            <w:tcW w:w="1519" w:type="dxa"/>
            <w:tcBorders>
              <w:top w:val="nil"/>
              <w:left w:val="single" w:sz="8" w:space="0" w:color="auto"/>
              <w:bottom w:val="single" w:sz="4" w:space="0" w:color="auto"/>
              <w:right w:val="single" w:sz="4" w:space="0" w:color="auto"/>
            </w:tcBorders>
            <w:shd w:val="clear" w:color="000000" w:fill="FFFFFF"/>
            <w:vAlign w:val="center"/>
            <w:hideMark/>
          </w:tcPr>
          <w:p w14:paraId="4806BDB5" w14:textId="70EAE9F2" w:rsidR="006A1040" w:rsidRPr="00317198" w:rsidRDefault="006A1040" w:rsidP="006A1040">
            <w:pPr>
              <w:spacing w:after="120"/>
              <w:jc w:val="center"/>
              <w:rPr>
                <w:rFonts w:eastAsia="Times New Roman" w:cs="Times New Roman"/>
                <w:sz w:val="24"/>
                <w:szCs w:val="24"/>
                <w:lang w:eastAsia="lv-LV"/>
              </w:rPr>
            </w:pPr>
            <w:r w:rsidRPr="00317198">
              <w:rPr>
                <w:rFonts w:cs="Times New Roman"/>
                <w:sz w:val="24"/>
                <w:szCs w:val="24"/>
              </w:rPr>
              <w:t>12 000 000</w:t>
            </w:r>
          </w:p>
        </w:tc>
        <w:tc>
          <w:tcPr>
            <w:tcW w:w="1393" w:type="dxa"/>
            <w:tcBorders>
              <w:top w:val="nil"/>
              <w:left w:val="single" w:sz="4" w:space="0" w:color="auto"/>
              <w:bottom w:val="single" w:sz="4" w:space="0" w:color="auto"/>
              <w:right w:val="single" w:sz="4" w:space="0" w:color="auto"/>
            </w:tcBorders>
            <w:shd w:val="clear" w:color="000000" w:fill="FFFFFF"/>
            <w:vAlign w:val="center"/>
            <w:hideMark/>
          </w:tcPr>
          <w:p w14:paraId="45A896E7" w14:textId="6473F55D" w:rsidR="006A1040" w:rsidRPr="00317198" w:rsidRDefault="006A1040" w:rsidP="006A1040">
            <w:pPr>
              <w:spacing w:after="120"/>
              <w:jc w:val="center"/>
              <w:rPr>
                <w:rFonts w:eastAsia="Times New Roman" w:cs="Times New Roman"/>
                <w:sz w:val="24"/>
                <w:szCs w:val="24"/>
                <w:lang w:eastAsia="lv-LV"/>
              </w:rPr>
            </w:pPr>
            <w:r w:rsidRPr="00317198">
              <w:rPr>
                <w:rFonts w:cs="Times New Roman"/>
                <w:sz w:val="24"/>
                <w:szCs w:val="24"/>
              </w:rPr>
              <w:t>12 000 000</w:t>
            </w:r>
          </w:p>
        </w:tc>
        <w:tc>
          <w:tcPr>
            <w:tcW w:w="1393" w:type="dxa"/>
            <w:tcBorders>
              <w:top w:val="nil"/>
              <w:left w:val="nil"/>
              <w:bottom w:val="single" w:sz="4" w:space="0" w:color="auto"/>
              <w:right w:val="single" w:sz="8" w:space="0" w:color="auto"/>
            </w:tcBorders>
            <w:shd w:val="clear" w:color="000000" w:fill="FFFFFF"/>
            <w:vAlign w:val="center"/>
            <w:hideMark/>
          </w:tcPr>
          <w:p w14:paraId="6FB20710" w14:textId="506878F3" w:rsidR="006A1040" w:rsidRPr="00317198" w:rsidRDefault="006A1040" w:rsidP="006A1040">
            <w:pPr>
              <w:spacing w:after="120"/>
              <w:jc w:val="center"/>
              <w:rPr>
                <w:rFonts w:eastAsia="Times New Roman" w:cs="Times New Roman"/>
                <w:sz w:val="24"/>
                <w:szCs w:val="24"/>
                <w:lang w:eastAsia="lv-LV"/>
              </w:rPr>
            </w:pPr>
            <w:r w:rsidRPr="00317198">
              <w:rPr>
                <w:rFonts w:cs="Times New Roman"/>
                <w:sz w:val="24"/>
                <w:szCs w:val="24"/>
              </w:rPr>
              <w:t>12 000 000</w:t>
            </w:r>
          </w:p>
        </w:tc>
      </w:tr>
      <w:tr w:rsidR="006A1040" w:rsidRPr="0008370F" w14:paraId="0805E33E" w14:textId="77777777" w:rsidTr="006B1FFF">
        <w:trPr>
          <w:trHeight w:val="285"/>
        </w:trPr>
        <w:tc>
          <w:tcPr>
            <w:tcW w:w="4680" w:type="dxa"/>
            <w:tcBorders>
              <w:top w:val="nil"/>
              <w:left w:val="single" w:sz="8" w:space="0" w:color="auto"/>
              <w:bottom w:val="single" w:sz="4" w:space="0" w:color="auto"/>
              <w:right w:val="single" w:sz="8" w:space="0" w:color="auto"/>
            </w:tcBorders>
            <w:shd w:val="clear" w:color="auto" w:fill="auto"/>
            <w:noWrap/>
            <w:vAlign w:val="center"/>
            <w:hideMark/>
          </w:tcPr>
          <w:p w14:paraId="12464904" w14:textId="19653151" w:rsidR="006A1040" w:rsidRPr="00317198" w:rsidRDefault="006A1040" w:rsidP="006A1040">
            <w:pPr>
              <w:spacing w:after="120"/>
              <w:jc w:val="left"/>
              <w:rPr>
                <w:rFonts w:eastAsia="Times New Roman" w:cs="Times New Roman"/>
                <w:sz w:val="24"/>
                <w:szCs w:val="24"/>
                <w:lang w:eastAsia="lv-LV"/>
              </w:rPr>
            </w:pPr>
            <w:bookmarkStart w:id="26" w:name="_Hlk46841835"/>
            <w:r w:rsidRPr="00317198">
              <w:rPr>
                <w:rFonts w:eastAsia="Times New Roman" w:cs="Times New Roman"/>
                <w:sz w:val="24"/>
                <w:szCs w:val="24"/>
                <w:lang w:eastAsia="lv-LV"/>
              </w:rPr>
              <w:t>NEKP pētniecības daļas īstenošana</w:t>
            </w:r>
            <w:bookmarkEnd w:id="26"/>
            <w:r w:rsidR="00C5381A">
              <w:rPr>
                <w:rFonts w:eastAsia="Times New Roman" w:cs="Times New Roman"/>
                <w:sz w:val="24"/>
                <w:szCs w:val="24"/>
                <w:lang w:eastAsia="lv-LV"/>
              </w:rPr>
              <w:t>, t.sk. administrēšanas vajadzībām</w:t>
            </w:r>
          </w:p>
        </w:tc>
        <w:tc>
          <w:tcPr>
            <w:tcW w:w="1519" w:type="dxa"/>
            <w:tcBorders>
              <w:top w:val="nil"/>
              <w:left w:val="single" w:sz="8" w:space="0" w:color="auto"/>
              <w:bottom w:val="single" w:sz="4" w:space="0" w:color="auto"/>
              <w:right w:val="single" w:sz="4" w:space="0" w:color="auto"/>
            </w:tcBorders>
            <w:shd w:val="clear" w:color="000000" w:fill="FFFFFF"/>
            <w:vAlign w:val="center"/>
            <w:hideMark/>
          </w:tcPr>
          <w:p w14:paraId="2D6BD71A" w14:textId="17D32A5E" w:rsidR="006A1040" w:rsidRPr="00317198" w:rsidRDefault="00FE6AD7" w:rsidP="006A1040">
            <w:pPr>
              <w:spacing w:after="120"/>
              <w:jc w:val="center"/>
              <w:rPr>
                <w:rFonts w:eastAsia="Times New Roman" w:cs="Times New Roman"/>
                <w:b/>
                <w:bCs/>
                <w:sz w:val="24"/>
                <w:szCs w:val="24"/>
                <w:lang w:eastAsia="lv-LV"/>
              </w:rPr>
            </w:pPr>
            <w:r w:rsidRPr="00317198">
              <w:rPr>
                <w:rFonts w:cs="Times New Roman"/>
                <w:sz w:val="24"/>
                <w:szCs w:val="24"/>
              </w:rPr>
              <w:t>1 403 014</w:t>
            </w:r>
          </w:p>
        </w:tc>
        <w:tc>
          <w:tcPr>
            <w:tcW w:w="1393" w:type="dxa"/>
            <w:tcBorders>
              <w:top w:val="nil"/>
              <w:left w:val="single" w:sz="4" w:space="0" w:color="auto"/>
              <w:bottom w:val="single" w:sz="4" w:space="0" w:color="auto"/>
              <w:right w:val="single" w:sz="4" w:space="0" w:color="auto"/>
            </w:tcBorders>
            <w:shd w:val="clear" w:color="000000" w:fill="FFFFFF"/>
            <w:vAlign w:val="center"/>
            <w:hideMark/>
          </w:tcPr>
          <w:p w14:paraId="1D27C036" w14:textId="377661B3" w:rsidR="006A1040" w:rsidRPr="00317198" w:rsidRDefault="006A1040" w:rsidP="006A1040">
            <w:pPr>
              <w:spacing w:after="120"/>
              <w:jc w:val="center"/>
              <w:rPr>
                <w:rFonts w:eastAsia="Times New Roman" w:cs="Times New Roman"/>
                <w:sz w:val="24"/>
                <w:szCs w:val="24"/>
                <w:lang w:eastAsia="lv-LV"/>
              </w:rPr>
            </w:pPr>
            <w:r w:rsidRPr="00317198">
              <w:rPr>
                <w:rFonts w:cs="Times New Roman"/>
                <w:sz w:val="24"/>
                <w:szCs w:val="24"/>
              </w:rPr>
              <w:t>2 000 000</w:t>
            </w:r>
          </w:p>
        </w:tc>
        <w:tc>
          <w:tcPr>
            <w:tcW w:w="1393" w:type="dxa"/>
            <w:tcBorders>
              <w:top w:val="nil"/>
              <w:left w:val="nil"/>
              <w:bottom w:val="single" w:sz="4" w:space="0" w:color="auto"/>
              <w:right w:val="single" w:sz="8" w:space="0" w:color="auto"/>
            </w:tcBorders>
            <w:shd w:val="clear" w:color="000000" w:fill="FFFFFF"/>
            <w:noWrap/>
            <w:vAlign w:val="center"/>
            <w:hideMark/>
          </w:tcPr>
          <w:p w14:paraId="1905A133" w14:textId="4C8A9682" w:rsidR="006A1040" w:rsidRPr="00317198" w:rsidRDefault="006A1040" w:rsidP="006A1040">
            <w:pPr>
              <w:spacing w:after="120"/>
              <w:jc w:val="center"/>
              <w:rPr>
                <w:rFonts w:eastAsia="Times New Roman" w:cs="Times New Roman"/>
                <w:sz w:val="24"/>
                <w:szCs w:val="24"/>
                <w:lang w:eastAsia="lv-LV"/>
              </w:rPr>
            </w:pPr>
            <w:r w:rsidRPr="00317198">
              <w:rPr>
                <w:rFonts w:cs="Times New Roman"/>
                <w:sz w:val="24"/>
                <w:szCs w:val="24"/>
              </w:rPr>
              <w:t>2 000 000</w:t>
            </w:r>
          </w:p>
        </w:tc>
      </w:tr>
      <w:tr w:rsidR="00090CCB" w:rsidRPr="0008370F" w14:paraId="0F6E122D" w14:textId="77777777" w:rsidTr="006B1FFF">
        <w:trPr>
          <w:trHeight w:val="285"/>
        </w:trPr>
        <w:tc>
          <w:tcPr>
            <w:tcW w:w="4680" w:type="dxa"/>
            <w:tcBorders>
              <w:top w:val="nil"/>
              <w:left w:val="single" w:sz="8" w:space="0" w:color="auto"/>
              <w:bottom w:val="single" w:sz="4" w:space="0" w:color="auto"/>
              <w:right w:val="single" w:sz="8" w:space="0" w:color="auto"/>
            </w:tcBorders>
            <w:shd w:val="clear" w:color="auto" w:fill="auto"/>
            <w:noWrap/>
            <w:vAlign w:val="center"/>
          </w:tcPr>
          <w:p w14:paraId="7B2ACA13" w14:textId="7B097B53" w:rsidR="00090CCB" w:rsidRPr="00317198" w:rsidRDefault="00E63077" w:rsidP="006A1040">
            <w:pPr>
              <w:spacing w:after="120"/>
              <w:jc w:val="left"/>
              <w:rPr>
                <w:rFonts w:eastAsia="Times New Roman" w:cs="Times New Roman"/>
                <w:sz w:val="24"/>
                <w:szCs w:val="24"/>
                <w:lang w:eastAsia="lv-LV"/>
              </w:rPr>
            </w:pPr>
            <w:r w:rsidRPr="00317198">
              <w:rPr>
                <w:rFonts w:eastAsia="Times New Roman" w:cs="Times New Roman"/>
                <w:sz w:val="24"/>
                <w:szCs w:val="24"/>
                <w:lang w:eastAsia="lv-LV"/>
              </w:rPr>
              <w:t>VPP īstenošana, t.sk. administrēšanas vajadzībām</w:t>
            </w:r>
          </w:p>
        </w:tc>
        <w:tc>
          <w:tcPr>
            <w:tcW w:w="1519" w:type="dxa"/>
            <w:tcBorders>
              <w:top w:val="nil"/>
              <w:left w:val="single" w:sz="8" w:space="0" w:color="auto"/>
              <w:bottom w:val="single" w:sz="4" w:space="0" w:color="auto"/>
              <w:right w:val="single" w:sz="4" w:space="0" w:color="auto"/>
            </w:tcBorders>
            <w:shd w:val="clear" w:color="000000" w:fill="FFFFFF"/>
            <w:vAlign w:val="center"/>
          </w:tcPr>
          <w:p w14:paraId="33974239" w14:textId="41ABE825" w:rsidR="00090CCB" w:rsidRPr="00317198" w:rsidRDefault="00E63077" w:rsidP="006A1040">
            <w:pPr>
              <w:spacing w:after="120"/>
              <w:jc w:val="center"/>
              <w:rPr>
                <w:rFonts w:cs="Times New Roman"/>
                <w:sz w:val="24"/>
                <w:szCs w:val="24"/>
              </w:rPr>
            </w:pPr>
            <w:r w:rsidRPr="00317198">
              <w:rPr>
                <w:rFonts w:cs="Times New Roman"/>
                <w:sz w:val="24"/>
                <w:szCs w:val="24"/>
              </w:rPr>
              <w:t>545 160</w:t>
            </w:r>
          </w:p>
        </w:tc>
        <w:tc>
          <w:tcPr>
            <w:tcW w:w="1393" w:type="dxa"/>
            <w:tcBorders>
              <w:top w:val="nil"/>
              <w:left w:val="single" w:sz="4" w:space="0" w:color="auto"/>
              <w:bottom w:val="single" w:sz="4" w:space="0" w:color="auto"/>
              <w:right w:val="single" w:sz="4" w:space="0" w:color="auto"/>
            </w:tcBorders>
            <w:shd w:val="clear" w:color="000000" w:fill="FFFFFF"/>
            <w:vAlign w:val="center"/>
          </w:tcPr>
          <w:p w14:paraId="4CD46058" w14:textId="4D50C89D" w:rsidR="00090CCB" w:rsidRPr="00317198" w:rsidRDefault="00FE6AD7" w:rsidP="006A1040">
            <w:pPr>
              <w:spacing w:after="120"/>
              <w:jc w:val="center"/>
              <w:rPr>
                <w:rFonts w:cs="Times New Roman"/>
                <w:sz w:val="24"/>
                <w:szCs w:val="24"/>
              </w:rPr>
            </w:pPr>
            <w:r w:rsidRPr="00317198">
              <w:rPr>
                <w:rFonts w:cs="Times New Roman"/>
                <w:sz w:val="24"/>
                <w:szCs w:val="24"/>
              </w:rPr>
              <w:t>0</w:t>
            </w:r>
          </w:p>
        </w:tc>
        <w:tc>
          <w:tcPr>
            <w:tcW w:w="1393" w:type="dxa"/>
            <w:tcBorders>
              <w:top w:val="nil"/>
              <w:left w:val="nil"/>
              <w:bottom w:val="single" w:sz="4" w:space="0" w:color="auto"/>
              <w:right w:val="single" w:sz="8" w:space="0" w:color="auto"/>
            </w:tcBorders>
            <w:shd w:val="clear" w:color="000000" w:fill="FFFFFF"/>
            <w:noWrap/>
            <w:vAlign w:val="center"/>
          </w:tcPr>
          <w:p w14:paraId="0A80EF6E" w14:textId="2F2D13D1" w:rsidR="00090CCB" w:rsidRPr="00317198" w:rsidRDefault="00FE6AD7" w:rsidP="006A1040">
            <w:pPr>
              <w:spacing w:after="120"/>
              <w:jc w:val="center"/>
              <w:rPr>
                <w:rFonts w:cs="Times New Roman"/>
                <w:sz w:val="24"/>
                <w:szCs w:val="24"/>
              </w:rPr>
            </w:pPr>
            <w:r w:rsidRPr="00317198">
              <w:rPr>
                <w:rFonts w:cs="Times New Roman"/>
                <w:sz w:val="24"/>
                <w:szCs w:val="24"/>
              </w:rPr>
              <w:t>0</w:t>
            </w:r>
          </w:p>
        </w:tc>
      </w:tr>
      <w:tr w:rsidR="006A1040" w:rsidRPr="0008370F" w14:paraId="7A139194" w14:textId="77777777" w:rsidTr="0008370F">
        <w:trPr>
          <w:trHeight w:val="270"/>
        </w:trPr>
        <w:tc>
          <w:tcPr>
            <w:tcW w:w="4680" w:type="dxa"/>
            <w:tcBorders>
              <w:top w:val="single" w:sz="8" w:space="0" w:color="auto"/>
              <w:left w:val="single" w:sz="8" w:space="0" w:color="auto"/>
              <w:bottom w:val="single" w:sz="8" w:space="0" w:color="auto"/>
              <w:right w:val="nil"/>
            </w:tcBorders>
            <w:shd w:val="clear" w:color="auto" w:fill="auto"/>
            <w:noWrap/>
            <w:vAlign w:val="center"/>
            <w:hideMark/>
          </w:tcPr>
          <w:p w14:paraId="006142B2" w14:textId="77777777" w:rsidR="006A1040" w:rsidRPr="0008370F" w:rsidRDefault="006A1040" w:rsidP="006A1040">
            <w:pPr>
              <w:spacing w:after="120"/>
              <w:jc w:val="center"/>
              <w:rPr>
                <w:rFonts w:eastAsia="Times New Roman" w:cs="Times New Roman"/>
                <w:b/>
                <w:bCs/>
                <w:sz w:val="24"/>
                <w:szCs w:val="24"/>
                <w:lang w:eastAsia="lv-LV"/>
              </w:rPr>
            </w:pPr>
            <w:bookmarkStart w:id="27" w:name="_Hlk48298165"/>
            <w:r w:rsidRPr="0008370F">
              <w:rPr>
                <w:rFonts w:eastAsia="Times New Roman" w:cs="Times New Roman"/>
                <w:b/>
                <w:bCs/>
                <w:sz w:val="24"/>
                <w:szCs w:val="24"/>
                <w:lang w:eastAsia="lv-LV"/>
              </w:rPr>
              <w:t>Valsts budžeta ieņēmumi</w:t>
            </w:r>
          </w:p>
        </w:tc>
        <w:tc>
          <w:tcPr>
            <w:tcW w:w="151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E484CE1" w14:textId="16953DDE" w:rsidR="006A1040" w:rsidRPr="00EE70C8" w:rsidRDefault="006A1040" w:rsidP="006A1040">
            <w:pPr>
              <w:spacing w:after="120"/>
              <w:jc w:val="center"/>
              <w:rPr>
                <w:rFonts w:eastAsia="Times New Roman" w:cs="Times New Roman"/>
                <w:b/>
                <w:bCs/>
                <w:color w:val="FF0000"/>
                <w:sz w:val="24"/>
                <w:szCs w:val="24"/>
                <w:lang w:eastAsia="lv-LV"/>
              </w:rPr>
            </w:pPr>
            <w:r w:rsidRPr="00EE70C8">
              <w:rPr>
                <w:rFonts w:cs="Times New Roman"/>
                <w:b/>
                <w:bCs/>
                <w:color w:val="000000"/>
                <w:sz w:val="24"/>
                <w:szCs w:val="24"/>
              </w:rPr>
              <w:t>15 440 167</w:t>
            </w:r>
          </w:p>
        </w:tc>
        <w:tc>
          <w:tcPr>
            <w:tcW w:w="13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6BA1FA5" w14:textId="28FD05DF" w:rsidR="006A1040" w:rsidRPr="006A1040" w:rsidRDefault="006A1040" w:rsidP="006A1040">
            <w:pPr>
              <w:spacing w:after="120"/>
              <w:jc w:val="center"/>
              <w:rPr>
                <w:rFonts w:eastAsia="Times New Roman" w:cs="Times New Roman"/>
                <w:b/>
                <w:bCs/>
                <w:color w:val="FF0000"/>
                <w:sz w:val="24"/>
                <w:szCs w:val="24"/>
                <w:lang w:eastAsia="lv-LV"/>
              </w:rPr>
            </w:pPr>
            <w:r w:rsidRPr="006A1040">
              <w:rPr>
                <w:rFonts w:cs="Times New Roman"/>
                <w:b/>
                <w:bCs/>
                <w:color w:val="000000"/>
                <w:sz w:val="24"/>
                <w:szCs w:val="24"/>
              </w:rPr>
              <w:t>6 091 238</w:t>
            </w:r>
          </w:p>
        </w:tc>
        <w:tc>
          <w:tcPr>
            <w:tcW w:w="13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5CBEE1" w14:textId="2251B46F" w:rsidR="006A1040" w:rsidRPr="00EE70C8" w:rsidRDefault="006A1040" w:rsidP="006A1040">
            <w:pPr>
              <w:spacing w:after="120"/>
              <w:jc w:val="center"/>
              <w:rPr>
                <w:rFonts w:eastAsia="Times New Roman" w:cs="Times New Roman"/>
                <w:b/>
                <w:bCs/>
                <w:color w:val="FF0000"/>
                <w:sz w:val="24"/>
                <w:szCs w:val="24"/>
                <w:lang w:eastAsia="lv-LV"/>
              </w:rPr>
            </w:pPr>
            <w:r w:rsidRPr="00EE70C8">
              <w:rPr>
                <w:rFonts w:cs="Times New Roman"/>
                <w:b/>
                <w:bCs/>
                <w:color w:val="000000"/>
                <w:sz w:val="24"/>
                <w:szCs w:val="24"/>
              </w:rPr>
              <w:t>16 575 720</w:t>
            </w:r>
          </w:p>
        </w:tc>
      </w:tr>
      <w:tr w:rsidR="006A1040" w:rsidRPr="0008370F" w14:paraId="460BB0E9" w14:textId="77777777" w:rsidTr="006B1FFF">
        <w:trPr>
          <w:trHeight w:val="511"/>
        </w:trPr>
        <w:tc>
          <w:tcPr>
            <w:tcW w:w="4680" w:type="dxa"/>
            <w:tcBorders>
              <w:top w:val="single" w:sz="8" w:space="0" w:color="auto"/>
              <w:left w:val="single" w:sz="8" w:space="0" w:color="auto"/>
              <w:bottom w:val="single" w:sz="8" w:space="0" w:color="auto"/>
              <w:right w:val="nil"/>
            </w:tcBorders>
            <w:shd w:val="clear" w:color="auto" w:fill="auto"/>
            <w:vAlign w:val="center"/>
            <w:hideMark/>
          </w:tcPr>
          <w:p w14:paraId="5BC4E4C8" w14:textId="038C9A57" w:rsidR="006A1040" w:rsidRPr="0008370F" w:rsidRDefault="006A1040" w:rsidP="006A1040">
            <w:pPr>
              <w:spacing w:after="120"/>
              <w:rPr>
                <w:rFonts w:eastAsia="Times New Roman" w:cs="Times New Roman"/>
                <w:sz w:val="24"/>
                <w:szCs w:val="24"/>
                <w:lang w:eastAsia="lv-LV"/>
              </w:rPr>
            </w:pPr>
            <w:bookmarkStart w:id="28" w:name="_Hlk48298200"/>
            <w:r>
              <w:rPr>
                <w:rFonts w:eastAsia="Times New Roman" w:cs="Times New Roman"/>
                <w:sz w:val="24"/>
                <w:szCs w:val="24"/>
                <w:lang w:eastAsia="lv-LV"/>
              </w:rPr>
              <w:t>AS "Latvenergo" dividendes</w:t>
            </w:r>
            <w:r w:rsidRPr="004F2333">
              <w:rPr>
                <w:rFonts w:eastAsia="Times New Roman" w:cs="Times New Roman"/>
                <w:color w:val="FF0000"/>
                <w:sz w:val="24"/>
                <w:szCs w:val="24"/>
                <w:lang w:eastAsia="lv-LV"/>
              </w:rPr>
              <w:t xml:space="preserve"> </w:t>
            </w:r>
            <w:r w:rsidRPr="0008370F">
              <w:rPr>
                <w:rFonts w:eastAsia="Times New Roman" w:cs="Times New Roman"/>
                <w:sz w:val="24"/>
                <w:szCs w:val="24"/>
                <w:lang w:eastAsia="lv-LV"/>
              </w:rPr>
              <w:t>elektroenerģijas ražotāju, aizsargāto lietotāju un energoietilpīgo uzņēmumu vajadzībām</w:t>
            </w:r>
            <w:bookmarkEnd w:id="28"/>
          </w:p>
        </w:tc>
        <w:tc>
          <w:tcPr>
            <w:tcW w:w="1519" w:type="dxa"/>
            <w:tcBorders>
              <w:top w:val="nil"/>
              <w:left w:val="single" w:sz="8" w:space="0" w:color="auto"/>
              <w:bottom w:val="single" w:sz="4" w:space="0" w:color="auto"/>
              <w:right w:val="single" w:sz="4" w:space="0" w:color="auto"/>
            </w:tcBorders>
            <w:shd w:val="clear" w:color="auto" w:fill="auto"/>
            <w:vAlign w:val="center"/>
            <w:hideMark/>
          </w:tcPr>
          <w:p w14:paraId="2B89BCFA" w14:textId="62F6D70D" w:rsidR="006A1040" w:rsidRPr="00EE70C8" w:rsidRDefault="006A1040" w:rsidP="006A1040">
            <w:pPr>
              <w:spacing w:after="120"/>
              <w:jc w:val="center"/>
              <w:rPr>
                <w:rFonts w:eastAsia="Times New Roman" w:cs="Times New Roman"/>
                <w:color w:val="FF0000"/>
                <w:sz w:val="24"/>
                <w:szCs w:val="24"/>
                <w:lang w:eastAsia="lv-LV"/>
              </w:rPr>
            </w:pPr>
            <w:r w:rsidRPr="00EE70C8">
              <w:rPr>
                <w:rFonts w:cs="Times New Roman"/>
                <w:color w:val="000000"/>
                <w:sz w:val="24"/>
                <w:szCs w:val="24"/>
              </w:rPr>
              <w:t>15 440 167</w:t>
            </w:r>
          </w:p>
        </w:tc>
        <w:tc>
          <w:tcPr>
            <w:tcW w:w="1393" w:type="dxa"/>
            <w:tcBorders>
              <w:top w:val="nil"/>
              <w:left w:val="single" w:sz="8" w:space="0" w:color="auto"/>
              <w:bottom w:val="single" w:sz="4" w:space="0" w:color="auto"/>
              <w:right w:val="single" w:sz="4" w:space="0" w:color="auto"/>
            </w:tcBorders>
            <w:shd w:val="clear" w:color="auto" w:fill="auto"/>
            <w:vAlign w:val="center"/>
            <w:hideMark/>
          </w:tcPr>
          <w:p w14:paraId="5E238102" w14:textId="0B942A3B" w:rsidR="006A1040" w:rsidRPr="006A1040" w:rsidRDefault="006A1040" w:rsidP="006A1040">
            <w:pPr>
              <w:spacing w:after="120"/>
              <w:jc w:val="center"/>
              <w:rPr>
                <w:rFonts w:eastAsia="Times New Roman" w:cs="Times New Roman"/>
                <w:color w:val="FF0000"/>
                <w:sz w:val="24"/>
                <w:szCs w:val="24"/>
                <w:lang w:eastAsia="lv-LV"/>
              </w:rPr>
            </w:pPr>
            <w:r w:rsidRPr="006A1040">
              <w:rPr>
                <w:rFonts w:cs="Times New Roman"/>
                <w:color w:val="000000"/>
                <w:sz w:val="24"/>
                <w:szCs w:val="24"/>
              </w:rPr>
              <w:t>6 091 238</w:t>
            </w:r>
          </w:p>
        </w:tc>
        <w:tc>
          <w:tcPr>
            <w:tcW w:w="1393" w:type="dxa"/>
            <w:tcBorders>
              <w:top w:val="nil"/>
              <w:left w:val="single" w:sz="8" w:space="0" w:color="auto"/>
              <w:bottom w:val="single" w:sz="4" w:space="0" w:color="auto"/>
              <w:right w:val="single" w:sz="8" w:space="0" w:color="auto"/>
            </w:tcBorders>
            <w:shd w:val="clear" w:color="auto" w:fill="auto"/>
            <w:vAlign w:val="center"/>
            <w:hideMark/>
          </w:tcPr>
          <w:p w14:paraId="131920CA" w14:textId="4CEC88DC" w:rsidR="006A1040" w:rsidRPr="00EE70C8" w:rsidRDefault="006A1040" w:rsidP="006A1040">
            <w:pPr>
              <w:spacing w:after="120"/>
              <w:jc w:val="center"/>
              <w:rPr>
                <w:rFonts w:eastAsia="Times New Roman" w:cs="Times New Roman"/>
                <w:color w:val="FF0000"/>
                <w:sz w:val="24"/>
                <w:szCs w:val="24"/>
                <w:lang w:eastAsia="lv-LV"/>
              </w:rPr>
            </w:pPr>
            <w:r w:rsidRPr="00EE70C8">
              <w:rPr>
                <w:rFonts w:cs="Times New Roman"/>
                <w:color w:val="000000"/>
                <w:sz w:val="24"/>
                <w:szCs w:val="24"/>
              </w:rPr>
              <w:t>16 575 720</w:t>
            </w:r>
          </w:p>
        </w:tc>
      </w:tr>
      <w:bookmarkEnd w:id="27"/>
      <w:tr w:rsidR="006A1040" w:rsidRPr="0008370F" w14:paraId="441C04A6" w14:textId="77777777" w:rsidTr="006B1FFF">
        <w:trPr>
          <w:trHeight w:val="270"/>
        </w:trPr>
        <w:tc>
          <w:tcPr>
            <w:tcW w:w="4680" w:type="dxa"/>
            <w:tcBorders>
              <w:top w:val="single" w:sz="8" w:space="0" w:color="auto"/>
              <w:left w:val="single" w:sz="8" w:space="0" w:color="auto"/>
              <w:bottom w:val="single" w:sz="8" w:space="0" w:color="auto"/>
              <w:right w:val="nil"/>
            </w:tcBorders>
            <w:shd w:val="clear" w:color="auto" w:fill="auto"/>
            <w:noWrap/>
            <w:vAlign w:val="center"/>
            <w:hideMark/>
          </w:tcPr>
          <w:p w14:paraId="498EB814" w14:textId="77777777" w:rsidR="006A1040" w:rsidRPr="0008370F" w:rsidRDefault="006A1040" w:rsidP="006A1040">
            <w:pPr>
              <w:spacing w:after="120"/>
              <w:jc w:val="center"/>
              <w:rPr>
                <w:rFonts w:eastAsia="Times New Roman" w:cs="Times New Roman"/>
                <w:b/>
                <w:bCs/>
                <w:sz w:val="24"/>
                <w:szCs w:val="24"/>
                <w:lang w:eastAsia="lv-LV"/>
              </w:rPr>
            </w:pPr>
            <w:r w:rsidRPr="0008370F">
              <w:rPr>
                <w:rFonts w:eastAsia="Times New Roman" w:cs="Times New Roman"/>
                <w:b/>
                <w:bCs/>
                <w:sz w:val="24"/>
                <w:szCs w:val="24"/>
                <w:lang w:eastAsia="lv-LV"/>
              </w:rPr>
              <w:t>Bilance</w:t>
            </w:r>
          </w:p>
        </w:tc>
        <w:tc>
          <w:tcPr>
            <w:tcW w:w="1519" w:type="dxa"/>
            <w:tcBorders>
              <w:top w:val="nil"/>
              <w:left w:val="single" w:sz="8" w:space="0" w:color="auto"/>
              <w:bottom w:val="single" w:sz="8" w:space="0" w:color="auto"/>
              <w:right w:val="single" w:sz="4" w:space="0" w:color="auto"/>
            </w:tcBorders>
            <w:shd w:val="clear" w:color="auto" w:fill="auto"/>
            <w:vAlign w:val="center"/>
            <w:hideMark/>
          </w:tcPr>
          <w:p w14:paraId="0338C484" w14:textId="48D67E46" w:rsidR="006A1040" w:rsidRPr="00EE70C8" w:rsidRDefault="006A1040" w:rsidP="006A1040">
            <w:pPr>
              <w:spacing w:after="120"/>
              <w:jc w:val="center"/>
              <w:rPr>
                <w:rFonts w:eastAsia="Times New Roman" w:cs="Times New Roman"/>
                <w:b/>
                <w:bCs/>
                <w:sz w:val="24"/>
                <w:szCs w:val="24"/>
                <w:lang w:eastAsia="lv-LV"/>
              </w:rPr>
            </w:pPr>
            <w:r w:rsidRPr="00EE70C8">
              <w:rPr>
                <w:rFonts w:cs="Times New Roman"/>
                <w:b/>
                <w:bCs/>
                <w:color w:val="000000"/>
                <w:sz w:val="24"/>
                <w:szCs w:val="24"/>
              </w:rPr>
              <w:t>0</w:t>
            </w:r>
          </w:p>
        </w:tc>
        <w:tc>
          <w:tcPr>
            <w:tcW w:w="1393" w:type="dxa"/>
            <w:tcBorders>
              <w:top w:val="nil"/>
              <w:left w:val="single" w:sz="8" w:space="0" w:color="auto"/>
              <w:bottom w:val="single" w:sz="8" w:space="0" w:color="auto"/>
              <w:right w:val="single" w:sz="4" w:space="0" w:color="auto"/>
            </w:tcBorders>
            <w:shd w:val="clear" w:color="auto" w:fill="auto"/>
            <w:vAlign w:val="center"/>
            <w:hideMark/>
          </w:tcPr>
          <w:p w14:paraId="33D7A8FC" w14:textId="73E1834E" w:rsidR="006A1040" w:rsidRPr="006A1040" w:rsidRDefault="006A1040" w:rsidP="006A1040">
            <w:pPr>
              <w:spacing w:after="120"/>
              <w:jc w:val="center"/>
              <w:rPr>
                <w:rFonts w:eastAsia="Times New Roman" w:cs="Times New Roman"/>
                <w:b/>
                <w:bCs/>
                <w:sz w:val="24"/>
                <w:szCs w:val="24"/>
                <w:lang w:eastAsia="lv-LV"/>
              </w:rPr>
            </w:pPr>
            <w:r w:rsidRPr="006A1040">
              <w:rPr>
                <w:rFonts w:cs="Times New Roman"/>
                <w:b/>
                <w:bCs/>
                <w:color w:val="000000"/>
                <w:sz w:val="24"/>
                <w:szCs w:val="24"/>
              </w:rPr>
              <w:t>0</w:t>
            </w:r>
          </w:p>
        </w:tc>
        <w:tc>
          <w:tcPr>
            <w:tcW w:w="1393" w:type="dxa"/>
            <w:tcBorders>
              <w:top w:val="nil"/>
              <w:left w:val="single" w:sz="8" w:space="0" w:color="auto"/>
              <w:bottom w:val="single" w:sz="8" w:space="0" w:color="auto"/>
              <w:right w:val="single" w:sz="8" w:space="0" w:color="auto"/>
            </w:tcBorders>
            <w:shd w:val="clear" w:color="auto" w:fill="auto"/>
            <w:vAlign w:val="center"/>
            <w:hideMark/>
          </w:tcPr>
          <w:p w14:paraId="737AABC1" w14:textId="4A9ECD7D" w:rsidR="006A1040" w:rsidRPr="00EE70C8" w:rsidRDefault="006A1040" w:rsidP="006A1040">
            <w:pPr>
              <w:spacing w:after="120"/>
              <w:jc w:val="center"/>
              <w:rPr>
                <w:rFonts w:eastAsia="Times New Roman" w:cs="Times New Roman"/>
                <w:b/>
                <w:bCs/>
                <w:sz w:val="24"/>
                <w:szCs w:val="24"/>
                <w:lang w:eastAsia="lv-LV"/>
              </w:rPr>
            </w:pPr>
            <w:r w:rsidRPr="00EE70C8">
              <w:rPr>
                <w:rFonts w:cs="Times New Roman"/>
                <w:b/>
                <w:bCs/>
                <w:color w:val="000000"/>
                <w:sz w:val="24"/>
                <w:szCs w:val="24"/>
              </w:rPr>
              <w:t>0</w:t>
            </w:r>
          </w:p>
        </w:tc>
      </w:tr>
    </w:tbl>
    <w:p w14:paraId="42F4629A" w14:textId="2A86096A" w:rsidR="009912FB" w:rsidRPr="004E4FBE" w:rsidRDefault="009912FB" w:rsidP="004E4FBE">
      <w:pPr>
        <w:spacing w:after="120"/>
        <w:rPr>
          <w:rFonts w:eastAsia="Times New Roman" w:cs="Times New Roman"/>
          <w:sz w:val="24"/>
          <w:szCs w:val="24"/>
        </w:rPr>
      </w:pPr>
    </w:p>
    <w:p w14:paraId="466E554C" w14:textId="7988EA3A" w:rsidR="009912FB" w:rsidRPr="004E4FBE" w:rsidRDefault="00AA4890"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9</w:t>
      </w:r>
      <w:r w:rsidR="009912FB" w:rsidRPr="004E4FBE">
        <w:rPr>
          <w:rFonts w:ascii="Times New Roman" w:hAnsi="Times New Roman"/>
          <w:color w:val="auto"/>
          <w:sz w:val="24"/>
          <w:szCs w:val="24"/>
        </w:rPr>
        <w:t>. tabula</w:t>
      </w:r>
    </w:p>
    <w:p w14:paraId="091400E8" w14:textId="28D74D9F" w:rsidR="009912FB" w:rsidRPr="004E4FBE" w:rsidRDefault="009912FB"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Valsts budžetā paredzamais finansējums OIK, aizsargāto lietotāju, energoietilpīgo uzņēmumu atbalsta</w:t>
      </w:r>
      <w:r w:rsidR="00CF4BB0">
        <w:rPr>
          <w:rFonts w:ascii="Times New Roman" w:hAnsi="Times New Roman"/>
          <w:color w:val="auto"/>
          <w:sz w:val="24"/>
          <w:szCs w:val="24"/>
        </w:rPr>
        <w:t>, VPP</w:t>
      </w:r>
      <w:r w:rsidR="00A63282" w:rsidRPr="00A63282">
        <w:rPr>
          <w:rFonts w:ascii="Times New Roman" w:hAnsi="Times New Roman"/>
          <w:color w:val="4472C4" w:themeColor="accent1"/>
          <w:sz w:val="24"/>
          <w:szCs w:val="24"/>
        </w:rPr>
        <w:t xml:space="preserve"> </w:t>
      </w:r>
      <w:r w:rsidR="00A63282" w:rsidRPr="006B1FFF">
        <w:rPr>
          <w:rFonts w:ascii="Times New Roman" w:hAnsi="Times New Roman"/>
          <w:color w:val="auto"/>
          <w:sz w:val="24"/>
          <w:szCs w:val="24"/>
        </w:rPr>
        <w:t>un NEKP pētniecības daļas</w:t>
      </w:r>
      <w:r w:rsidRPr="006B1FFF">
        <w:rPr>
          <w:rFonts w:ascii="Times New Roman" w:hAnsi="Times New Roman"/>
          <w:color w:val="auto"/>
          <w:sz w:val="24"/>
          <w:szCs w:val="24"/>
        </w:rPr>
        <w:t xml:space="preserve"> </w:t>
      </w:r>
      <w:r w:rsidRPr="004E4FBE">
        <w:rPr>
          <w:rFonts w:ascii="Times New Roman" w:hAnsi="Times New Roman"/>
          <w:color w:val="auto"/>
          <w:sz w:val="24"/>
          <w:szCs w:val="24"/>
        </w:rPr>
        <w:t>īstenošanas, pēc naudas plūsmas metodes, EUR</w:t>
      </w:r>
    </w:p>
    <w:tbl>
      <w:tblPr>
        <w:tblpPr w:leftFromText="180" w:rightFromText="180" w:vertAnchor="text" w:tblpY="1"/>
        <w:tblOverlap w:val="never"/>
        <w:tblW w:w="9013" w:type="dxa"/>
        <w:tblLook w:val="04A0" w:firstRow="1" w:lastRow="0" w:firstColumn="1" w:lastColumn="0" w:noHBand="0" w:noVBand="1"/>
      </w:tblPr>
      <w:tblGrid>
        <w:gridCol w:w="4591"/>
        <w:gridCol w:w="1474"/>
        <w:gridCol w:w="1474"/>
        <w:gridCol w:w="1474"/>
      </w:tblGrid>
      <w:tr w:rsidR="004E4FBE" w:rsidRPr="004E4FBE" w14:paraId="263EE023" w14:textId="77777777" w:rsidTr="005B0F6F">
        <w:trPr>
          <w:trHeight w:val="300"/>
        </w:trPr>
        <w:tc>
          <w:tcPr>
            <w:tcW w:w="45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08F6B" w14:textId="77777777" w:rsidR="009912FB" w:rsidRPr="004E4FBE" w:rsidRDefault="009912FB" w:rsidP="005B0F6F">
            <w:pPr>
              <w:spacing w:after="120"/>
              <w:jc w:val="left"/>
              <w:rPr>
                <w:rFonts w:eastAsia="Times New Roman" w:cs="Times New Roman"/>
                <w:sz w:val="24"/>
                <w:szCs w:val="24"/>
                <w:lang w:eastAsia="lv-LV"/>
              </w:rPr>
            </w:pPr>
            <w:r w:rsidRPr="004E4FBE">
              <w:rPr>
                <w:rFonts w:eastAsia="Times New Roman" w:cs="Times New Roman"/>
                <w:sz w:val="24"/>
                <w:szCs w:val="24"/>
                <w:lang w:eastAsia="lv-LV"/>
              </w:rPr>
              <w:t> </w:t>
            </w:r>
          </w:p>
        </w:tc>
        <w:tc>
          <w:tcPr>
            <w:tcW w:w="1474" w:type="dxa"/>
            <w:tcBorders>
              <w:top w:val="single" w:sz="8" w:space="0" w:color="auto"/>
              <w:left w:val="nil"/>
              <w:bottom w:val="nil"/>
              <w:right w:val="single" w:sz="4" w:space="0" w:color="auto"/>
            </w:tcBorders>
            <w:shd w:val="clear" w:color="auto" w:fill="auto"/>
            <w:vAlign w:val="center"/>
            <w:hideMark/>
          </w:tcPr>
          <w:p w14:paraId="419AAF46" w14:textId="77777777" w:rsidR="009912FB" w:rsidRPr="004E4FBE" w:rsidRDefault="009912FB" w:rsidP="005B0F6F">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2021</w:t>
            </w:r>
          </w:p>
        </w:tc>
        <w:tc>
          <w:tcPr>
            <w:tcW w:w="1474" w:type="dxa"/>
            <w:tcBorders>
              <w:top w:val="single" w:sz="8" w:space="0" w:color="auto"/>
              <w:left w:val="nil"/>
              <w:bottom w:val="nil"/>
              <w:right w:val="single" w:sz="4" w:space="0" w:color="auto"/>
            </w:tcBorders>
            <w:shd w:val="clear" w:color="auto" w:fill="auto"/>
            <w:vAlign w:val="center"/>
            <w:hideMark/>
          </w:tcPr>
          <w:p w14:paraId="6642DB22" w14:textId="77777777" w:rsidR="009912FB" w:rsidRPr="004E4FBE" w:rsidRDefault="009912FB" w:rsidP="005B0F6F">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2022</w:t>
            </w:r>
          </w:p>
        </w:tc>
        <w:tc>
          <w:tcPr>
            <w:tcW w:w="1474" w:type="dxa"/>
            <w:tcBorders>
              <w:top w:val="single" w:sz="8" w:space="0" w:color="auto"/>
              <w:left w:val="nil"/>
              <w:bottom w:val="nil"/>
              <w:right w:val="single" w:sz="8" w:space="0" w:color="auto"/>
            </w:tcBorders>
            <w:shd w:val="clear" w:color="auto" w:fill="auto"/>
            <w:vAlign w:val="center"/>
            <w:hideMark/>
          </w:tcPr>
          <w:p w14:paraId="2DDD84DD" w14:textId="77777777" w:rsidR="009912FB" w:rsidRPr="004E4FBE" w:rsidRDefault="009912FB" w:rsidP="005B0F6F">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2023</w:t>
            </w:r>
          </w:p>
        </w:tc>
      </w:tr>
      <w:tr w:rsidR="00C2294F" w:rsidRPr="004E4FBE" w14:paraId="58DA3D99" w14:textId="77777777" w:rsidTr="005B0F6F">
        <w:trPr>
          <w:trHeight w:val="283"/>
        </w:trPr>
        <w:tc>
          <w:tcPr>
            <w:tcW w:w="4591" w:type="dxa"/>
            <w:tcBorders>
              <w:top w:val="nil"/>
              <w:left w:val="single" w:sz="8" w:space="0" w:color="auto"/>
              <w:bottom w:val="single" w:sz="4" w:space="0" w:color="auto"/>
              <w:right w:val="single" w:sz="8" w:space="0" w:color="auto"/>
            </w:tcBorders>
            <w:shd w:val="clear" w:color="auto" w:fill="auto"/>
            <w:vAlign w:val="center"/>
            <w:hideMark/>
          </w:tcPr>
          <w:p w14:paraId="55296DFD" w14:textId="35059707" w:rsidR="00C2294F" w:rsidRPr="004E4FBE" w:rsidRDefault="00C2294F" w:rsidP="005B0F6F">
            <w:pPr>
              <w:spacing w:after="120"/>
              <w:jc w:val="left"/>
              <w:rPr>
                <w:rFonts w:eastAsia="Times New Roman" w:cs="Times New Roman"/>
                <w:sz w:val="24"/>
                <w:szCs w:val="24"/>
                <w:lang w:eastAsia="lv-LV"/>
              </w:rPr>
            </w:pPr>
            <w:r w:rsidRPr="004E4FBE">
              <w:rPr>
                <w:rFonts w:eastAsia="Times New Roman" w:cs="Times New Roman"/>
                <w:sz w:val="24"/>
                <w:szCs w:val="24"/>
                <w:lang w:eastAsia="lv-LV"/>
              </w:rPr>
              <w:t>Finansējums OIK apmēra mazināšanai</w:t>
            </w:r>
          </w:p>
        </w:tc>
        <w:tc>
          <w:tcPr>
            <w:tcW w:w="1474" w:type="dxa"/>
            <w:tcBorders>
              <w:top w:val="single" w:sz="8" w:space="0" w:color="auto"/>
              <w:left w:val="nil"/>
              <w:bottom w:val="single" w:sz="4" w:space="0" w:color="auto"/>
              <w:right w:val="single" w:sz="4" w:space="0" w:color="auto"/>
            </w:tcBorders>
            <w:shd w:val="clear" w:color="auto" w:fill="auto"/>
            <w:vAlign w:val="center"/>
            <w:hideMark/>
          </w:tcPr>
          <w:p w14:paraId="316D637E" w14:textId="06936AFF" w:rsidR="00C2294F" w:rsidRPr="00C2294F" w:rsidRDefault="00C2294F" w:rsidP="005B0F6F">
            <w:pPr>
              <w:spacing w:after="120"/>
              <w:jc w:val="center"/>
              <w:rPr>
                <w:rFonts w:eastAsia="Times New Roman" w:cs="Times New Roman"/>
                <w:sz w:val="24"/>
                <w:szCs w:val="24"/>
                <w:lang w:eastAsia="lv-LV"/>
              </w:rPr>
            </w:pPr>
            <w:r w:rsidRPr="00C2294F">
              <w:rPr>
                <w:rFonts w:cs="Times New Roman"/>
                <w:color w:val="000000"/>
                <w:sz w:val="24"/>
                <w:szCs w:val="24"/>
              </w:rPr>
              <w:t>0</w:t>
            </w:r>
          </w:p>
        </w:tc>
        <w:tc>
          <w:tcPr>
            <w:tcW w:w="1474" w:type="dxa"/>
            <w:tcBorders>
              <w:top w:val="single" w:sz="8" w:space="0" w:color="auto"/>
              <w:left w:val="nil"/>
              <w:bottom w:val="single" w:sz="4" w:space="0" w:color="auto"/>
              <w:right w:val="single" w:sz="4" w:space="0" w:color="auto"/>
            </w:tcBorders>
            <w:shd w:val="clear" w:color="auto" w:fill="auto"/>
            <w:vAlign w:val="center"/>
            <w:hideMark/>
          </w:tcPr>
          <w:p w14:paraId="4C8EB7C8" w14:textId="1EA2F959" w:rsidR="00C2294F" w:rsidRPr="00C2294F" w:rsidRDefault="00C2294F" w:rsidP="005B0F6F">
            <w:pPr>
              <w:spacing w:after="120"/>
              <w:jc w:val="center"/>
              <w:rPr>
                <w:rFonts w:eastAsia="Times New Roman" w:cs="Times New Roman"/>
                <w:sz w:val="24"/>
                <w:szCs w:val="24"/>
                <w:lang w:eastAsia="lv-LV"/>
              </w:rPr>
            </w:pPr>
            <w:r w:rsidRPr="00C2294F">
              <w:rPr>
                <w:rFonts w:cs="Times New Roman"/>
                <w:color w:val="000000"/>
                <w:sz w:val="24"/>
                <w:szCs w:val="24"/>
              </w:rPr>
              <w:t>0</w:t>
            </w:r>
          </w:p>
        </w:tc>
        <w:tc>
          <w:tcPr>
            <w:tcW w:w="1474" w:type="dxa"/>
            <w:tcBorders>
              <w:top w:val="single" w:sz="8" w:space="0" w:color="auto"/>
              <w:left w:val="nil"/>
              <w:bottom w:val="single" w:sz="4" w:space="0" w:color="auto"/>
              <w:right w:val="single" w:sz="8" w:space="0" w:color="auto"/>
            </w:tcBorders>
            <w:shd w:val="clear" w:color="auto" w:fill="auto"/>
            <w:vAlign w:val="center"/>
            <w:hideMark/>
          </w:tcPr>
          <w:p w14:paraId="1A2D59C9" w14:textId="7CDAA227" w:rsidR="00C2294F" w:rsidRPr="00C2294F" w:rsidRDefault="00C2294F" w:rsidP="005B0F6F">
            <w:pPr>
              <w:spacing w:after="120"/>
              <w:jc w:val="center"/>
              <w:rPr>
                <w:rFonts w:eastAsia="Times New Roman" w:cs="Times New Roman"/>
                <w:sz w:val="24"/>
                <w:szCs w:val="24"/>
                <w:lang w:eastAsia="lv-LV"/>
              </w:rPr>
            </w:pPr>
            <w:r w:rsidRPr="00C2294F">
              <w:rPr>
                <w:rFonts w:cs="Times New Roman"/>
                <w:color w:val="000000"/>
                <w:sz w:val="24"/>
                <w:szCs w:val="24"/>
              </w:rPr>
              <w:t>0</w:t>
            </w:r>
          </w:p>
        </w:tc>
      </w:tr>
      <w:tr w:rsidR="00C2294F" w:rsidRPr="004E4FBE" w14:paraId="597CE2FA" w14:textId="77777777" w:rsidTr="005B0F6F">
        <w:trPr>
          <w:trHeight w:val="283"/>
        </w:trPr>
        <w:tc>
          <w:tcPr>
            <w:tcW w:w="4591" w:type="dxa"/>
            <w:tcBorders>
              <w:top w:val="nil"/>
              <w:left w:val="single" w:sz="8" w:space="0" w:color="auto"/>
              <w:bottom w:val="single" w:sz="4" w:space="0" w:color="auto"/>
              <w:right w:val="single" w:sz="8" w:space="0" w:color="auto"/>
            </w:tcBorders>
            <w:shd w:val="clear" w:color="auto" w:fill="auto"/>
            <w:vAlign w:val="center"/>
            <w:hideMark/>
          </w:tcPr>
          <w:p w14:paraId="4779FEA8" w14:textId="77777777" w:rsidR="00C2294F" w:rsidRPr="004E4FBE" w:rsidRDefault="00C2294F" w:rsidP="005B0F6F">
            <w:pPr>
              <w:spacing w:after="120"/>
              <w:jc w:val="left"/>
              <w:rPr>
                <w:rFonts w:eastAsia="Times New Roman" w:cs="Times New Roman"/>
                <w:sz w:val="24"/>
                <w:szCs w:val="24"/>
                <w:lang w:eastAsia="lv-LV"/>
              </w:rPr>
            </w:pPr>
            <w:r w:rsidRPr="004E4FBE">
              <w:rPr>
                <w:rFonts w:eastAsia="Times New Roman" w:cs="Times New Roman"/>
                <w:sz w:val="24"/>
                <w:szCs w:val="24"/>
                <w:lang w:eastAsia="lv-LV"/>
              </w:rPr>
              <w:t>Energoietilpīgo uzņēmumu atbalsta finansēšana</w:t>
            </w:r>
          </w:p>
        </w:tc>
        <w:tc>
          <w:tcPr>
            <w:tcW w:w="1474" w:type="dxa"/>
            <w:tcBorders>
              <w:top w:val="nil"/>
              <w:left w:val="nil"/>
              <w:bottom w:val="single" w:sz="4" w:space="0" w:color="auto"/>
              <w:right w:val="single" w:sz="4" w:space="0" w:color="auto"/>
            </w:tcBorders>
            <w:shd w:val="clear" w:color="auto" w:fill="auto"/>
            <w:vAlign w:val="center"/>
            <w:hideMark/>
          </w:tcPr>
          <w:p w14:paraId="2E2B5856" w14:textId="068411DA" w:rsidR="00C2294F" w:rsidRPr="00C2294F" w:rsidRDefault="00E03362" w:rsidP="005B0F6F">
            <w:pPr>
              <w:spacing w:after="120"/>
              <w:jc w:val="center"/>
              <w:rPr>
                <w:rFonts w:eastAsia="Times New Roman" w:cs="Times New Roman"/>
                <w:sz w:val="24"/>
                <w:szCs w:val="24"/>
                <w:lang w:eastAsia="lv-LV"/>
              </w:rPr>
            </w:pPr>
            <w:r>
              <w:rPr>
                <w:rFonts w:cs="Times New Roman"/>
                <w:sz w:val="24"/>
                <w:szCs w:val="24"/>
              </w:rPr>
              <w:t>0</w:t>
            </w:r>
          </w:p>
        </w:tc>
        <w:tc>
          <w:tcPr>
            <w:tcW w:w="1474" w:type="dxa"/>
            <w:tcBorders>
              <w:top w:val="nil"/>
              <w:left w:val="nil"/>
              <w:bottom w:val="single" w:sz="4" w:space="0" w:color="auto"/>
              <w:right w:val="single" w:sz="4" w:space="0" w:color="auto"/>
            </w:tcBorders>
            <w:shd w:val="clear" w:color="auto" w:fill="auto"/>
            <w:vAlign w:val="center"/>
            <w:hideMark/>
          </w:tcPr>
          <w:p w14:paraId="4FE8A4E5" w14:textId="6638700E" w:rsidR="00C2294F" w:rsidRPr="00C2294F" w:rsidRDefault="00C2294F" w:rsidP="005B0F6F">
            <w:pPr>
              <w:spacing w:after="120"/>
              <w:jc w:val="center"/>
              <w:rPr>
                <w:rFonts w:eastAsia="Times New Roman" w:cs="Times New Roman"/>
                <w:sz w:val="24"/>
                <w:szCs w:val="24"/>
                <w:lang w:eastAsia="lv-LV"/>
              </w:rPr>
            </w:pPr>
            <w:r w:rsidRPr="00C2294F">
              <w:rPr>
                <w:rFonts w:cs="Times New Roman"/>
                <w:sz w:val="24"/>
                <w:szCs w:val="24"/>
              </w:rPr>
              <w:t>0</w:t>
            </w:r>
          </w:p>
        </w:tc>
        <w:tc>
          <w:tcPr>
            <w:tcW w:w="1474" w:type="dxa"/>
            <w:tcBorders>
              <w:top w:val="nil"/>
              <w:left w:val="nil"/>
              <w:bottom w:val="single" w:sz="4" w:space="0" w:color="auto"/>
              <w:right w:val="single" w:sz="8" w:space="0" w:color="auto"/>
            </w:tcBorders>
            <w:shd w:val="clear" w:color="auto" w:fill="auto"/>
            <w:vAlign w:val="center"/>
            <w:hideMark/>
          </w:tcPr>
          <w:p w14:paraId="2B0AD43D" w14:textId="269DF7D9" w:rsidR="00C2294F" w:rsidRPr="00C2294F" w:rsidRDefault="00C2294F" w:rsidP="005B0F6F">
            <w:pPr>
              <w:spacing w:after="120"/>
              <w:jc w:val="center"/>
              <w:rPr>
                <w:rFonts w:eastAsia="Times New Roman" w:cs="Times New Roman"/>
                <w:sz w:val="24"/>
                <w:szCs w:val="24"/>
                <w:lang w:eastAsia="lv-LV"/>
              </w:rPr>
            </w:pPr>
            <w:r w:rsidRPr="00C2294F">
              <w:rPr>
                <w:rFonts w:cs="Times New Roman"/>
                <w:sz w:val="24"/>
                <w:szCs w:val="24"/>
              </w:rPr>
              <w:t>0</w:t>
            </w:r>
          </w:p>
        </w:tc>
      </w:tr>
      <w:tr w:rsidR="00C2294F" w:rsidRPr="004E4FBE" w14:paraId="4A2E9BBD" w14:textId="77777777" w:rsidTr="71872EFF">
        <w:trPr>
          <w:trHeight w:val="300"/>
        </w:trPr>
        <w:tc>
          <w:tcPr>
            <w:tcW w:w="4591" w:type="dxa"/>
            <w:tcBorders>
              <w:top w:val="nil"/>
              <w:left w:val="single" w:sz="8" w:space="0" w:color="auto"/>
              <w:bottom w:val="single" w:sz="4" w:space="0" w:color="auto"/>
              <w:right w:val="single" w:sz="8" w:space="0" w:color="auto"/>
            </w:tcBorders>
            <w:shd w:val="clear" w:color="auto" w:fill="auto"/>
            <w:vAlign w:val="center"/>
            <w:hideMark/>
          </w:tcPr>
          <w:p w14:paraId="271C8137" w14:textId="681C036A" w:rsidR="00C2294F" w:rsidRPr="004E4FBE" w:rsidRDefault="006B1FFF" w:rsidP="005B0F6F">
            <w:pPr>
              <w:spacing w:after="120"/>
              <w:jc w:val="left"/>
              <w:rPr>
                <w:rFonts w:eastAsia="Times New Roman" w:cs="Times New Roman"/>
                <w:sz w:val="24"/>
                <w:szCs w:val="24"/>
                <w:lang w:eastAsia="lv-LV"/>
              </w:rPr>
            </w:pPr>
            <w:r w:rsidRPr="004E4FBE">
              <w:rPr>
                <w:rFonts w:eastAsia="Times New Roman" w:cs="Times New Roman"/>
                <w:sz w:val="24"/>
                <w:szCs w:val="24"/>
                <w:lang w:eastAsia="lv-LV"/>
              </w:rPr>
              <w:t>Aizsargāto lietotāju atbalsta finansējums</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0B95E025" w14:textId="6BE187BD" w:rsidR="00C2294F" w:rsidRPr="00C2294F" w:rsidRDefault="00C2294F" w:rsidP="005B0F6F">
            <w:pPr>
              <w:spacing w:after="120"/>
              <w:jc w:val="center"/>
              <w:rPr>
                <w:rFonts w:eastAsia="Times New Roman" w:cs="Times New Roman"/>
                <w:sz w:val="24"/>
                <w:szCs w:val="24"/>
                <w:lang w:eastAsia="lv-LV"/>
              </w:rPr>
            </w:pPr>
            <w:r w:rsidRPr="00C2294F">
              <w:rPr>
                <w:rFonts w:cs="Times New Roman"/>
                <w:sz w:val="24"/>
                <w:szCs w:val="24"/>
              </w:rPr>
              <w:t>12 000 000</w:t>
            </w:r>
          </w:p>
        </w:tc>
        <w:tc>
          <w:tcPr>
            <w:tcW w:w="1474" w:type="dxa"/>
            <w:tcBorders>
              <w:top w:val="nil"/>
              <w:left w:val="nil"/>
              <w:bottom w:val="single" w:sz="4" w:space="0" w:color="auto"/>
              <w:right w:val="single" w:sz="4" w:space="0" w:color="auto"/>
            </w:tcBorders>
            <w:shd w:val="clear" w:color="auto" w:fill="FFFFFF" w:themeFill="background1"/>
            <w:vAlign w:val="center"/>
            <w:hideMark/>
          </w:tcPr>
          <w:p w14:paraId="0FC491A8" w14:textId="0718301C" w:rsidR="00C2294F" w:rsidRPr="00C2294F" w:rsidRDefault="00C2294F" w:rsidP="005B0F6F">
            <w:pPr>
              <w:spacing w:after="120"/>
              <w:jc w:val="center"/>
              <w:rPr>
                <w:rFonts w:eastAsia="Times New Roman" w:cs="Times New Roman"/>
                <w:sz w:val="24"/>
                <w:szCs w:val="24"/>
                <w:lang w:eastAsia="lv-LV"/>
              </w:rPr>
            </w:pPr>
            <w:r w:rsidRPr="00C2294F">
              <w:rPr>
                <w:rFonts w:cs="Times New Roman"/>
                <w:sz w:val="24"/>
                <w:szCs w:val="24"/>
              </w:rPr>
              <w:t>12 000 000</w:t>
            </w:r>
          </w:p>
        </w:tc>
        <w:tc>
          <w:tcPr>
            <w:tcW w:w="1474" w:type="dxa"/>
            <w:tcBorders>
              <w:top w:val="nil"/>
              <w:left w:val="nil"/>
              <w:bottom w:val="single" w:sz="4" w:space="0" w:color="auto"/>
              <w:right w:val="single" w:sz="8" w:space="0" w:color="auto"/>
            </w:tcBorders>
            <w:shd w:val="clear" w:color="auto" w:fill="FFFFFF" w:themeFill="background1"/>
            <w:vAlign w:val="center"/>
            <w:hideMark/>
          </w:tcPr>
          <w:p w14:paraId="0314A5F0" w14:textId="30F3A49F" w:rsidR="00C2294F" w:rsidRPr="00C2294F" w:rsidRDefault="00C2294F" w:rsidP="005B0F6F">
            <w:pPr>
              <w:spacing w:after="120"/>
              <w:jc w:val="center"/>
              <w:rPr>
                <w:rFonts w:eastAsia="Times New Roman" w:cs="Times New Roman"/>
                <w:sz w:val="24"/>
                <w:szCs w:val="24"/>
                <w:lang w:eastAsia="lv-LV"/>
              </w:rPr>
            </w:pPr>
            <w:r w:rsidRPr="00C2294F">
              <w:rPr>
                <w:rFonts w:cs="Times New Roman"/>
                <w:sz w:val="24"/>
                <w:szCs w:val="24"/>
              </w:rPr>
              <w:t>12 000 000</w:t>
            </w:r>
          </w:p>
        </w:tc>
      </w:tr>
      <w:tr w:rsidR="005B0F6F" w:rsidRPr="004E4FBE" w14:paraId="678FC46F" w14:textId="77777777" w:rsidTr="00317198">
        <w:trPr>
          <w:trHeight w:val="283"/>
        </w:trPr>
        <w:tc>
          <w:tcPr>
            <w:tcW w:w="459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9197A4D" w14:textId="63FD5070" w:rsidR="005B0F6F" w:rsidRPr="005B0F6F" w:rsidRDefault="005B0F6F" w:rsidP="005B0F6F">
            <w:pPr>
              <w:spacing w:after="120"/>
              <w:jc w:val="left"/>
              <w:rPr>
                <w:rFonts w:eastAsia="Times New Roman" w:cs="Times New Roman"/>
                <w:sz w:val="24"/>
                <w:szCs w:val="24"/>
                <w:lang w:eastAsia="lv-LV"/>
              </w:rPr>
            </w:pPr>
            <w:r w:rsidRPr="005B0F6F">
              <w:rPr>
                <w:rFonts w:eastAsia="Times New Roman" w:cs="Times New Roman"/>
                <w:sz w:val="24"/>
                <w:szCs w:val="24"/>
                <w:lang w:eastAsia="lv-LV"/>
              </w:rPr>
              <w:t>NEKP pētniecības daļas īstenošana</w:t>
            </w:r>
            <w:r w:rsidR="00C5381A">
              <w:rPr>
                <w:rFonts w:eastAsia="Times New Roman" w:cs="Times New Roman"/>
                <w:sz w:val="24"/>
                <w:szCs w:val="24"/>
                <w:lang w:eastAsia="lv-LV"/>
              </w:rPr>
              <w:t>, t.sk. administrēšanas vajadzībām</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5C83E" w14:textId="327FC7C1" w:rsidR="005B0F6F" w:rsidRPr="005B0F6F" w:rsidRDefault="005B0F6F" w:rsidP="005B0F6F">
            <w:pPr>
              <w:spacing w:after="120"/>
              <w:jc w:val="center"/>
              <w:rPr>
                <w:rFonts w:eastAsia="Times New Roman" w:cs="Times New Roman"/>
                <w:sz w:val="24"/>
                <w:szCs w:val="24"/>
                <w:lang w:eastAsia="lv-LV"/>
              </w:rPr>
            </w:pPr>
            <w:r w:rsidRPr="005B0F6F">
              <w:rPr>
                <w:rFonts w:cs="Times New Roman"/>
                <w:sz w:val="24"/>
                <w:szCs w:val="24"/>
              </w:rPr>
              <w:t>1 403 014</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7E8FDE7E" w14:textId="262908C4" w:rsidR="005B0F6F" w:rsidRPr="005B0F6F" w:rsidRDefault="005B0F6F" w:rsidP="005B0F6F">
            <w:pPr>
              <w:spacing w:after="120"/>
              <w:jc w:val="center"/>
              <w:rPr>
                <w:rFonts w:eastAsia="Times New Roman" w:cs="Times New Roman"/>
                <w:sz w:val="24"/>
                <w:szCs w:val="24"/>
                <w:lang w:eastAsia="lv-LV"/>
              </w:rPr>
            </w:pPr>
            <w:r w:rsidRPr="005B0F6F">
              <w:rPr>
                <w:rFonts w:cs="Times New Roman"/>
                <w:sz w:val="24"/>
                <w:szCs w:val="24"/>
              </w:rPr>
              <w:t>2 000 000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70577E28" w14:textId="4CB6485C" w:rsidR="005B0F6F" w:rsidRPr="005B0F6F" w:rsidRDefault="005B0F6F" w:rsidP="005B0F6F">
            <w:pPr>
              <w:spacing w:after="120"/>
              <w:jc w:val="center"/>
              <w:rPr>
                <w:rFonts w:eastAsia="Times New Roman" w:cs="Times New Roman"/>
                <w:sz w:val="24"/>
                <w:szCs w:val="24"/>
                <w:lang w:eastAsia="lv-LV"/>
              </w:rPr>
            </w:pPr>
            <w:r w:rsidRPr="005B0F6F">
              <w:rPr>
                <w:rFonts w:cs="Times New Roman"/>
                <w:sz w:val="24"/>
                <w:szCs w:val="24"/>
              </w:rPr>
              <w:t>2 000 000</w:t>
            </w:r>
          </w:p>
        </w:tc>
      </w:tr>
      <w:tr w:rsidR="005B0F6F" w:rsidRPr="004E4FBE" w14:paraId="4012D477" w14:textId="77777777" w:rsidTr="00317198">
        <w:trPr>
          <w:trHeight w:val="283"/>
        </w:trPr>
        <w:tc>
          <w:tcPr>
            <w:tcW w:w="4591" w:type="dxa"/>
            <w:tcBorders>
              <w:top w:val="single" w:sz="4" w:space="0" w:color="auto"/>
              <w:left w:val="single" w:sz="8" w:space="0" w:color="auto"/>
              <w:bottom w:val="single" w:sz="8" w:space="0" w:color="auto"/>
              <w:right w:val="single" w:sz="4" w:space="0" w:color="auto"/>
            </w:tcBorders>
            <w:shd w:val="clear" w:color="auto" w:fill="auto"/>
            <w:vAlign w:val="center"/>
          </w:tcPr>
          <w:p w14:paraId="6CCBF048" w14:textId="20581219" w:rsidR="005B0F6F" w:rsidRPr="005B0F6F" w:rsidRDefault="005B0F6F" w:rsidP="005B0F6F">
            <w:pPr>
              <w:spacing w:after="120"/>
              <w:jc w:val="left"/>
              <w:rPr>
                <w:rFonts w:eastAsia="Times New Roman" w:cs="Times New Roman"/>
                <w:sz w:val="24"/>
                <w:szCs w:val="24"/>
                <w:lang w:eastAsia="lv-LV"/>
              </w:rPr>
            </w:pPr>
            <w:r w:rsidRPr="005B0F6F">
              <w:rPr>
                <w:rFonts w:eastAsia="Times New Roman" w:cs="Times New Roman"/>
                <w:sz w:val="24"/>
                <w:szCs w:val="24"/>
                <w:lang w:eastAsia="lv-LV"/>
              </w:rPr>
              <w:t>VPP īstenošana, t.sk. administrēšanas vajadzībām</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6CDFC3B" w14:textId="37547756" w:rsidR="005B0F6F" w:rsidRPr="005B0F6F" w:rsidRDefault="005B0F6F" w:rsidP="005B0F6F">
            <w:pPr>
              <w:spacing w:after="120"/>
              <w:jc w:val="center"/>
              <w:rPr>
                <w:rFonts w:cs="Times New Roman"/>
                <w:sz w:val="24"/>
                <w:szCs w:val="24"/>
              </w:rPr>
            </w:pPr>
            <w:r w:rsidRPr="005B0F6F">
              <w:rPr>
                <w:rFonts w:cs="Times New Roman"/>
                <w:sz w:val="24"/>
                <w:szCs w:val="24"/>
              </w:rPr>
              <w:t>545 160</w:t>
            </w:r>
          </w:p>
        </w:tc>
        <w:tc>
          <w:tcPr>
            <w:tcW w:w="1474" w:type="dxa"/>
            <w:tcBorders>
              <w:top w:val="single" w:sz="4" w:space="0" w:color="auto"/>
              <w:left w:val="nil"/>
              <w:bottom w:val="single" w:sz="4" w:space="0" w:color="auto"/>
              <w:right w:val="single" w:sz="4" w:space="0" w:color="auto"/>
            </w:tcBorders>
            <w:shd w:val="clear" w:color="auto" w:fill="auto"/>
            <w:vAlign w:val="center"/>
          </w:tcPr>
          <w:p w14:paraId="075249DD" w14:textId="3E72F289" w:rsidR="005B0F6F" w:rsidRPr="005B0F6F" w:rsidRDefault="005B0F6F" w:rsidP="005B0F6F">
            <w:pPr>
              <w:spacing w:after="120"/>
              <w:jc w:val="center"/>
              <w:rPr>
                <w:rFonts w:cs="Times New Roman"/>
                <w:sz w:val="24"/>
                <w:szCs w:val="24"/>
              </w:rPr>
            </w:pPr>
            <w:r w:rsidRPr="005B0F6F">
              <w:rPr>
                <w:rFonts w:cs="Times New Roman"/>
                <w:sz w:val="24"/>
                <w:szCs w:val="24"/>
              </w:rPr>
              <w:t>0</w:t>
            </w:r>
          </w:p>
        </w:tc>
        <w:tc>
          <w:tcPr>
            <w:tcW w:w="1474" w:type="dxa"/>
            <w:tcBorders>
              <w:top w:val="single" w:sz="4" w:space="0" w:color="auto"/>
              <w:left w:val="nil"/>
              <w:bottom w:val="single" w:sz="4" w:space="0" w:color="auto"/>
              <w:right w:val="single" w:sz="4" w:space="0" w:color="auto"/>
            </w:tcBorders>
            <w:shd w:val="clear" w:color="auto" w:fill="auto"/>
            <w:vAlign w:val="center"/>
          </w:tcPr>
          <w:p w14:paraId="7AE8625F" w14:textId="18153F61" w:rsidR="005B0F6F" w:rsidRPr="005B0F6F" w:rsidRDefault="005B0F6F" w:rsidP="005B0F6F">
            <w:pPr>
              <w:spacing w:after="120"/>
              <w:jc w:val="center"/>
              <w:rPr>
                <w:rFonts w:cs="Times New Roman"/>
                <w:sz w:val="24"/>
                <w:szCs w:val="24"/>
              </w:rPr>
            </w:pPr>
            <w:r w:rsidRPr="005B0F6F">
              <w:rPr>
                <w:rFonts w:cs="Times New Roman"/>
                <w:sz w:val="24"/>
                <w:szCs w:val="24"/>
              </w:rPr>
              <w:t>0</w:t>
            </w:r>
          </w:p>
        </w:tc>
      </w:tr>
      <w:tr w:rsidR="00C2294F" w:rsidRPr="004E4FBE" w14:paraId="7D8EE697" w14:textId="77777777" w:rsidTr="00317198">
        <w:trPr>
          <w:trHeight w:val="463"/>
        </w:trPr>
        <w:tc>
          <w:tcPr>
            <w:tcW w:w="45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7540E5" w14:textId="77777777" w:rsidR="00C2294F" w:rsidRPr="004E4FBE" w:rsidRDefault="00C2294F" w:rsidP="005B0F6F">
            <w:pPr>
              <w:spacing w:after="120"/>
              <w:jc w:val="left"/>
              <w:rPr>
                <w:rFonts w:eastAsia="Times New Roman" w:cs="Times New Roman"/>
                <w:sz w:val="24"/>
                <w:szCs w:val="24"/>
                <w:lang w:eastAsia="lv-LV"/>
              </w:rPr>
            </w:pPr>
            <w:r w:rsidRPr="004E4FBE">
              <w:rPr>
                <w:rFonts w:eastAsia="Times New Roman" w:cs="Times New Roman"/>
                <w:sz w:val="24"/>
                <w:szCs w:val="24"/>
                <w:lang w:eastAsia="lv-LV"/>
              </w:rPr>
              <w:t>Kopā</w:t>
            </w:r>
          </w:p>
        </w:tc>
        <w:tc>
          <w:tcPr>
            <w:tcW w:w="147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F47784A" w14:textId="4322D043" w:rsidR="00C2294F" w:rsidRPr="00E03362" w:rsidRDefault="00E03362" w:rsidP="005B0F6F">
            <w:pPr>
              <w:jc w:val="center"/>
              <w:rPr>
                <w:rFonts w:ascii="Calibri Light" w:hAnsi="Calibri Light" w:cs="Calibri Light"/>
                <w:b/>
                <w:bCs/>
                <w:color w:val="000000"/>
                <w:sz w:val="20"/>
                <w:szCs w:val="20"/>
              </w:rPr>
            </w:pPr>
            <w:r w:rsidRPr="00E03362">
              <w:rPr>
                <w:rFonts w:cs="Times New Roman"/>
                <w:b/>
                <w:bCs/>
                <w:color w:val="000000"/>
                <w:sz w:val="24"/>
                <w:szCs w:val="24"/>
              </w:rPr>
              <w:t>13 948 174</w:t>
            </w:r>
          </w:p>
        </w:tc>
        <w:tc>
          <w:tcPr>
            <w:tcW w:w="1474" w:type="dxa"/>
            <w:tcBorders>
              <w:top w:val="single" w:sz="4" w:space="0" w:color="auto"/>
              <w:left w:val="nil"/>
              <w:bottom w:val="single" w:sz="8" w:space="0" w:color="auto"/>
              <w:right w:val="single" w:sz="4" w:space="0" w:color="auto"/>
            </w:tcBorders>
            <w:shd w:val="clear" w:color="auto" w:fill="auto"/>
            <w:vAlign w:val="center"/>
            <w:hideMark/>
          </w:tcPr>
          <w:p w14:paraId="73DEACAF" w14:textId="498E6B8A" w:rsidR="00C2294F" w:rsidRPr="00C2294F" w:rsidRDefault="00C2294F" w:rsidP="005B0F6F">
            <w:pPr>
              <w:spacing w:after="120"/>
              <w:jc w:val="center"/>
              <w:rPr>
                <w:rFonts w:eastAsia="Times New Roman" w:cs="Times New Roman"/>
                <w:b/>
                <w:bCs/>
                <w:sz w:val="24"/>
                <w:szCs w:val="24"/>
                <w:lang w:eastAsia="lv-LV"/>
              </w:rPr>
            </w:pPr>
            <w:r w:rsidRPr="00C2294F">
              <w:rPr>
                <w:rFonts w:cs="Times New Roman"/>
                <w:b/>
                <w:bCs/>
                <w:color w:val="000000"/>
                <w:sz w:val="24"/>
                <w:szCs w:val="24"/>
              </w:rPr>
              <w:t>14 000 000</w:t>
            </w:r>
          </w:p>
        </w:tc>
        <w:tc>
          <w:tcPr>
            <w:tcW w:w="1474" w:type="dxa"/>
            <w:tcBorders>
              <w:top w:val="single" w:sz="4" w:space="0" w:color="auto"/>
              <w:left w:val="nil"/>
              <w:bottom w:val="single" w:sz="8" w:space="0" w:color="auto"/>
              <w:right w:val="single" w:sz="8" w:space="0" w:color="auto"/>
            </w:tcBorders>
            <w:shd w:val="clear" w:color="auto" w:fill="auto"/>
            <w:vAlign w:val="center"/>
            <w:hideMark/>
          </w:tcPr>
          <w:p w14:paraId="4093B4E1" w14:textId="2E1DEEE5" w:rsidR="00C2294F" w:rsidRPr="00C2294F" w:rsidRDefault="00C2294F" w:rsidP="005B0F6F">
            <w:pPr>
              <w:spacing w:after="120"/>
              <w:jc w:val="center"/>
              <w:rPr>
                <w:rFonts w:eastAsia="Times New Roman" w:cs="Times New Roman"/>
                <w:b/>
                <w:bCs/>
                <w:sz w:val="24"/>
                <w:szCs w:val="24"/>
                <w:lang w:eastAsia="lv-LV"/>
              </w:rPr>
            </w:pPr>
            <w:r w:rsidRPr="00C2294F">
              <w:rPr>
                <w:rFonts w:cs="Times New Roman"/>
                <w:b/>
                <w:bCs/>
                <w:color w:val="000000"/>
                <w:sz w:val="24"/>
                <w:szCs w:val="24"/>
              </w:rPr>
              <w:t>14 000 000</w:t>
            </w:r>
          </w:p>
        </w:tc>
      </w:tr>
    </w:tbl>
    <w:p w14:paraId="2BDFC0C6" w14:textId="40D652C9" w:rsidR="009912FB" w:rsidRPr="004E4FBE" w:rsidRDefault="005B0F6F" w:rsidP="004E4FBE">
      <w:pPr>
        <w:spacing w:after="120"/>
        <w:rPr>
          <w:rFonts w:eastAsia="Times New Roman" w:cs="Times New Roman"/>
          <w:sz w:val="24"/>
          <w:szCs w:val="24"/>
        </w:rPr>
      </w:pPr>
      <w:r>
        <w:rPr>
          <w:rFonts w:eastAsia="Times New Roman" w:cs="Times New Roman"/>
          <w:sz w:val="24"/>
          <w:szCs w:val="24"/>
        </w:rPr>
        <w:br w:type="textWrapping" w:clear="all"/>
      </w:r>
    </w:p>
    <w:p w14:paraId="7323FE32" w14:textId="3A478A93" w:rsidR="009912FB" w:rsidRPr="004E4FBE" w:rsidRDefault="009912FB" w:rsidP="004E4FBE">
      <w:pPr>
        <w:pStyle w:val="Heading2"/>
        <w:spacing w:before="0" w:after="120" w:line="240" w:lineRule="auto"/>
        <w:rPr>
          <w:rFonts w:ascii="Times New Roman" w:hAnsi="Times New Roman" w:cs="Times New Roman"/>
          <w:b/>
          <w:bCs/>
          <w:color w:val="auto"/>
          <w:sz w:val="24"/>
          <w:szCs w:val="24"/>
        </w:rPr>
      </w:pPr>
      <w:bookmarkStart w:id="29" w:name="_Toc51576939"/>
      <w:r w:rsidRPr="004E4FBE">
        <w:rPr>
          <w:rFonts w:ascii="Times New Roman" w:hAnsi="Times New Roman" w:cs="Times New Roman"/>
          <w:b/>
          <w:bCs/>
          <w:color w:val="auto"/>
          <w:sz w:val="24"/>
          <w:szCs w:val="24"/>
        </w:rPr>
        <w:t>OIK noturēšanas scenārijs līdzšinējā apmērā</w:t>
      </w:r>
      <w:bookmarkEnd w:id="29"/>
    </w:p>
    <w:p w14:paraId="37F34921" w14:textId="35D7730F" w:rsidR="00FD35E7" w:rsidRDefault="009912FB" w:rsidP="004E4FBE">
      <w:pPr>
        <w:spacing w:after="120"/>
        <w:ind w:firstLine="851"/>
        <w:rPr>
          <w:rFonts w:eastAsia="Times New Roman" w:cs="Times New Roman"/>
          <w:sz w:val="24"/>
          <w:szCs w:val="24"/>
        </w:rPr>
      </w:pPr>
      <w:r w:rsidRPr="004E4FBE">
        <w:rPr>
          <w:rFonts w:eastAsia="Times New Roman" w:cs="Times New Roman"/>
          <w:sz w:val="24"/>
          <w:szCs w:val="24"/>
        </w:rPr>
        <w:t xml:space="preserve">Scenārijs paredz saglabāt OIK griestus 22,68 EUR/MWh apmērā </w:t>
      </w:r>
      <w:r w:rsidR="001653C5">
        <w:rPr>
          <w:rFonts w:eastAsia="Times New Roman" w:cs="Times New Roman"/>
          <w:sz w:val="24"/>
          <w:szCs w:val="24"/>
        </w:rPr>
        <w:t xml:space="preserve">2021.gadā </w:t>
      </w:r>
      <w:r w:rsidRPr="004E4FBE">
        <w:rPr>
          <w:rFonts w:eastAsia="Times New Roman" w:cs="Times New Roman"/>
          <w:sz w:val="24"/>
          <w:szCs w:val="24"/>
        </w:rPr>
        <w:t>ar turpmāku pakāpenisku samazinājumu.</w:t>
      </w:r>
      <w:r w:rsidR="00D47A0F" w:rsidRPr="004E4FBE">
        <w:rPr>
          <w:rFonts w:eastAsia="Times New Roman" w:cs="Times New Roman"/>
          <w:sz w:val="24"/>
          <w:szCs w:val="24"/>
        </w:rPr>
        <w:t xml:space="preserve"> Scenārijs paredz saglabāt finansējumu pārējām prioritārajām aktivitātēm (atbalsts aizsargātajiem lietotājiem, atbalsts energointensīvajiem uzņēmumiem un NEKP īstenošanai).</w:t>
      </w:r>
      <w:r w:rsidR="00154CFB">
        <w:rPr>
          <w:rFonts w:eastAsia="Times New Roman" w:cs="Times New Roman"/>
          <w:sz w:val="24"/>
          <w:szCs w:val="24"/>
        </w:rPr>
        <w:t xml:space="preserve"> </w:t>
      </w:r>
    </w:p>
    <w:p w14:paraId="2565E469" w14:textId="63BF08F6" w:rsidR="00154CFB" w:rsidRPr="004E4FBE" w:rsidRDefault="00154CFB" w:rsidP="004E4FBE">
      <w:pPr>
        <w:spacing w:after="120"/>
        <w:ind w:firstLine="851"/>
        <w:rPr>
          <w:rFonts w:eastAsia="Times New Roman" w:cs="Times New Roman"/>
          <w:sz w:val="24"/>
          <w:szCs w:val="24"/>
        </w:rPr>
      </w:pPr>
    </w:p>
    <w:p w14:paraId="1F3C626D" w14:textId="5AC461D0" w:rsidR="009912FB" w:rsidRPr="004E4FBE" w:rsidRDefault="00AA4890"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lastRenderedPageBreak/>
        <w:t>10</w:t>
      </w:r>
      <w:r w:rsidR="009912FB" w:rsidRPr="004E4FBE">
        <w:rPr>
          <w:rFonts w:ascii="Times New Roman" w:hAnsi="Times New Roman"/>
          <w:color w:val="auto"/>
          <w:sz w:val="24"/>
          <w:szCs w:val="24"/>
        </w:rPr>
        <w:t>. tabula</w:t>
      </w:r>
    </w:p>
    <w:p w14:paraId="6A98C3F7" w14:textId="0A44F9AC" w:rsidR="009912FB" w:rsidRPr="004E4FBE" w:rsidRDefault="009912FB"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OIK prognozes</w:t>
      </w:r>
      <w:r w:rsidR="004F2333">
        <w:rPr>
          <w:rFonts w:ascii="Times New Roman" w:hAnsi="Times New Roman"/>
          <w:color w:val="auto"/>
          <w:sz w:val="24"/>
          <w:szCs w:val="24"/>
        </w:rPr>
        <w:t xml:space="preserve"> ar valsts dotāciju</w:t>
      </w:r>
      <w:r w:rsidR="001D4E5F">
        <w:rPr>
          <w:rFonts w:ascii="Times New Roman" w:hAnsi="Times New Roman"/>
          <w:color w:val="auto"/>
          <w:sz w:val="24"/>
          <w:szCs w:val="24"/>
        </w:rPr>
        <w:t xml:space="preserve"> pirmajā gadā</w:t>
      </w:r>
      <w:r w:rsidRPr="004E4FBE">
        <w:rPr>
          <w:rFonts w:ascii="Times New Roman" w:hAnsi="Times New Roman"/>
          <w:color w:val="auto"/>
          <w:sz w:val="24"/>
          <w:szCs w:val="24"/>
        </w:rPr>
        <w:t>, EUR/MWh</w:t>
      </w:r>
    </w:p>
    <w:tbl>
      <w:tblPr>
        <w:tblW w:w="53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20"/>
        <w:gridCol w:w="960"/>
        <w:gridCol w:w="960"/>
        <w:gridCol w:w="960"/>
      </w:tblGrid>
      <w:tr w:rsidR="004E4FBE" w:rsidRPr="004E4FBE" w14:paraId="776B69BB" w14:textId="77777777" w:rsidTr="638B9066">
        <w:trPr>
          <w:trHeight w:val="300"/>
          <w:jc w:val="center"/>
        </w:trPr>
        <w:tc>
          <w:tcPr>
            <w:tcW w:w="2420" w:type="dxa"/>
            <w:tcBorders>
              <w:top w:val="single" w:sz="12" w:space="0" w:color="auto"/>
              <w:bottom w:val="single" w:sz="12" w:space="0" w:color="auto"/>
            </w:tcBorders>
            <w:shd w:val="clear" w:color="auto" w:fill="auto"/>
            <w:noWrap/>
            <w:vAlign w:val="bottom"/>
            <w:hideMark/>
          </w:tcPr>
          <w:p w14:paraId="01A2C8CE" w14:textId="77777777" w:rsidR="009912FB" w:rsidRPr="004E4FBE" w:rsidRDefault="009912FB" w:rsidP="00CA6654">
            <w:pPr>
              <w:spacing w:after="120"/>
              <w:rPr>
                <w:rFonts w:eastAsia="Times New Roman" w:cs="Times New Roman"/>
                <w:sz w:val="24"/>
                <w:szCs w:val="24"/>
                <w:lang w:eastAsia="lv-LV"/>
              </w:rPr>
            </w:pPr>
          </w:p>
        </w:tc>
        <w:tc>
          <w:tcPr>
            <w:tcW w:w="960" w:type="dxa"/>
            <w:tcBorders>
              <w:top w:val="single" w:sz="12" w:space="0" w:color="auto"/>
              <w:bottom w:val="single" w:sz="12" w:space="0" w:color="auto"/>
            </w:tcBorders>
            <w:shd w:val="clear" w:color="auto" w:fill="auto"/>
            <w:noWrap/>
            <w:vAlign w:val="center"/>
            <w:hideMark/>
          </w:tcPr>
          <w:p w14:paraId="5CFE33CB" w14:textId="77777777"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2021</w:t>
            </w:r>
          </w:p>
        </w:tc>
        <w:tc>
          <w:tcPr>
            <w:tcW w:w="960" w:type="dxa"/>
            <w:tcBorders>
              <w:top w:val="single" w:sz="12" w:space="0" w:color="auto"/>
              <w:bottom w:val="single" w:sz="12" w:space="0" w:color="auto"/>
            </w:tcBorders>
            <w:shd w:val="clear" w:color="auto" w:fill="auto"/>
            <w:noWrap/>
            <w:vAlign w:val="center"/>
            <w:hideMark/>
          </w:tcPr>
          <w:p w14:paraId="1F15CBFD" w14:textId="77777777"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2022</w:t>
            </w:r>
          </w:p>
        </w:tc>
        <w:tc>
          <w:tcPr>
            <w:tcW w:w="960" w:type="dxa"/>
            <w:tcBorders>
              <w:top w:val="single" w:sz="12" w:space="0" w:color="auto"/>
              <w:bottom w:val="single" w:sz="12" w:space="0" w:color="auto"/>
            </w:tcBorders>
            <w:vAlign w:val="center"/>
          </w:tcPr>
          <w:p w14:paraId="223F74AA" w14:textId="77777777"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2023</w:t>
            </w:r>
          </w:p>
        </w:tc>
      </w:tr>
      <w:tr w:rsidR="009912FB" w:rsidRPr="004E4FBE" w14:paraId="1A5B4A00" w14:textId="77777777" w:rsidTr="638B9066">
        <w:trPr>
          <w:trHeight w:val="600"/>
          <w:jc w:val="center"/>
        </w:trPr>
        <w:tc>
          <w:tcPr>
            <w:tcW w:w="2420" w:type="dxa"/>
            <w:tcBorders>
              <w:top w:val="single" w:sz="12" w:space="0" w:color="auto"/>
            </w:tcBorders>
            <w:shd w:val="clear" w:color="auto" w:fill="auto"/>
            <w:vAlign w:val="bottom"/>
            <w:hideMark/>
          </w:tcPr>
          <w:p w14:paraId="6EC4322D" w14:textId="69FCB69F"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 xml:space="preserve">OIK </w:t>
            </w:r>
            <w:r w:rsidR="004F2333">
              <w:rPr>
                <w:rFonts w:eastAsia="Times New Roman" w:cs="Times New Roman"/>
                <w:sz w:val="24"/>
                <w:szCs w:val="24"/>
                <w:lang w:eastAsia="lv-LV"/>
              </w:rPr>
              <w:t>ar</w:t>
            </w:r>
            <w:r w:rsidRPr="004E4FBE">
              <w:rPr>
                <w:rFonts w:eastAsia="Times New Roman" w:cs="Times New Roman"/>
                <w:sz w:val="24"/>
                <w:szCs w:val="24"/>
                <w:lang w:eastAsia="lv-LV"/>
              </w:rPr>
              <w:t xml:space="preserve"> dotācij</w:t>
            </w:r>
            <w:r w:rsidR="004F2333">
              <w:rPr>
                <w:rFonts w:eastAsia="Times New Roman" w:cs="Times New Roman"/>
                <w:sz w:val="24"/>
                <w:szCs w:val="24"/>
                <w:lang w:eastAsia="lv-LV"/>
              </w:rPr>
              <w:t>u</w:t>
            </w:r>
            <w:r w:rsidR="005934DF">
              <w:rPr>
                <w:rFonts w:eastAsia="Times New Roman" w:cs="Times New Roman"/>
                <w:sz w:val="24"/>
                <w:szCs w:val="24"/>
                <w:lang w:eastAsia="lv-LV"/>
              </w:rPr>
              <w:t xml:space="preserve"> pirmajā gadā</w:t>
            </w:r>
            <w:r w:rsidRPr="004E4FBE">
              <w:rPr>
                <w:rFonts w:eastAsia="Times New Roman" w:cs="Times New Roman"/>
                <w:sz w:val="24"/>
                <w:szCs w:val="24"/>
                <w:lang w:eastAsia="lv-LV"/>
              </w:rPr>
              <w:t>, EUR/MWh</w:t>
            </w:r>
          </w:p>
        </w:tc>
        <w:tc>
          <w:tcPr>
            <w:tcW w:w="960" w:type="dxa"/>
            <w:tcBorders>
              <w:top w:val="single" w:sz="12" w:space="0" w:color="auto"/>
            </w:tcBorders>
            <w:shd w:val="clear" w:color="auto" w:fill="auto"/>
            <w:noWrap/>
            <w:vAlign w:val="center"/>
            <w:hideMark/>
          </w:tcPr>
          <w:p w14:paraId="77C5E34D" w14:textId="7CDF563B"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22,68</w:t>
            </w:r>
          </w:p>
        </w:tc>
        <w:tc>
          <w:tcPr>
            <w:tcW w:w="960" w:type="dxa"/>
            <w:tcBorders>
              <w:top w:val="single" w:sz="12" w:space="0" w:color="auto"/>
            </w:tcBorders>
            <w:shd w:val="clear" w:color="auto" w:fill="auto"/>
            <w:noWrap/>
            <w:vAlign w:val="center"/>
            <w:hideMark/>
          </w:tcPr>
          <w:p w14:paraId="7DAE0405" w14:textId="470B0FE7"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22,60</w:t>
            </w:r>
          </w:p>
        </w:tc>
        <w:tc>
          <w:tcPr>
            <w:tcW w:w="960" w:type="dxa"/>
            <w:tcBorders>
              <w:top w:val="single" w:sz="12" w:space="0" w:color="auto"/>
            </w:tcBorders>
            <w:vAlign w:val="center"/>
          </w:tcPr>
          <w:p w14:paraId="17DD282F" w14:textId="2CD083C0" w:rsidR="009912FB" w:rsidRPr="004E4FBE" w:rsidRDefault="009912FB"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18,81</w:t>
            </w:r>
          </w:p>
        </w:tc>
      </w:tr>
    </w:tbl>
    <w:p w14:paraId="7343525A" w14:textId="77777777" w:rsidR="00154CFB" w:rsidRDefault="00154CFB" w:rsidP="00154CFB">
      <w:pPr>
        <w:pStyle w:val="Caption"/>
        <w:keepNext/>
        <w:spacing w:line="240" w:lineRule="auto"/>
        <w:rPr>
          <w:rFonts w:ascii="Times New Roman" w:hAnsi="Times New Roman"/>
          <w:b w:val="0"/>
          <w:bCs w:val="0"/>
          <w:color w:val="auto"/>
          <w:sz w:val="24"/>
          <w:szCs w:val="24"/>
        </w:rPr>
      </w:pPr>
      <w:r>
        <w:rPr>
          <w:rFonts w:ascii="Times New Roman" w:hAnsi="Times New Roman"/>
          <w:b w:val="0"/>
          <w:bCs w:val="0"/>
          <w:color w:val="auto"/>
          <w:sz w:val="24"/>
          <w:szCs w:val="24"/>
        </w:rPr>
        <w:tab/>
      </w:r>
    </w:p>
    <w:p w14:paraId="1F6F118E" w14:textId="3AE94446" w:rsidR="009912FB" w:rsidRPr="004E4FBE" w:rsidRDefault="00AA4890"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11</w:t>
      </w:r>
      <w:r w:rsidR="009912FB" w:rsidRPr="004E4FBE">
        <w:rPr>
          <w:rFonts w:ascii="Times New Roman" w:hAnsi="Times New Roman"/>
          <w:color w:val="auto"/>
          <w:sz w:val="24"/>
          <w:szCs w:val="24"/>
        </w:rPr>
        <w:t>. tabula</w:t>
      </w:r>
    </w:p>
    <w:p w14:paraId="5F4255C9" w14:textId="620E4D00" w:rsidR="009912FB" w:rsidRPr="004E4FBE" w:rsidRDefault="009912FB"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Valsts atbalsta elektroenerģijas ražotājiem, aizsargātiem lietotājiem un energoietilpīgiem uzņēmumiem</w:t>
      </w:r>
      <w:r w:rsidR="00CF4BB0">
        <w:rPr>
          <w:rFonts w:ascii="Times New Roman" w:hAnsi="Times New Roman"/>
          <w:color w:val="auto"/>
          <w:sz w:val="24"/>
          <w:szCs w:val="24"/>
        </w:rPr>
        <w:t>, VPP</w:t>
      </w:r>
      <w:r w:rsidRPr="004E4FBE">
        <w:rPr>
          <w:rFonts w:ascii="Times New Roman" w:hAnsi="Times New Roman"/>
          <w:color w:val="auto"/>
          <w:sz w:val="24"/>
          <w:szCs w:val="24"/>
        </w:rPr>
        <w:t xml:space="preserve"> </w:t>
      </w:r>
      <w:r w:rsidR="001D4E5F" w:rsidRPr="006B1FFF">
        <w:rPr>
          <w:rFonts w:ascii="Times New Roman" w:hAnsi="Times New Roman"/>
          <w:color w:val="auto"/>
          <w:sz w:val="24"/>
          <w:szCs w:val="24"/>
        </w:rPr>
        <w:t>un NEKP pētniecības daļas</w:t>
      </w:r>
      <w:r w:rsidRPr="006B1FFF">
        <w:rPr>
          <w:rFonts w:ascii="Times New Roman" w:hAnsi="Times New Roman"/>
          <w:color w:val="auto"/>
          <w:sz w:val="24"/>
          <w:szCs w:val="24"/>
        </w:rPr>
        <w:t xml:space="preserve"> </w:t>
      </w:r>
      <w:r w:rsidRPr="004E4FBE">
        <w:rPr>
          <w:rFonts w:ascii="Times New Roman" w:hAnsi="Times New Roman"/>
          <w:color w:val="auto"/>
          <w:sz w:val="24"/>
          <w:szCs w:val="24"/>
        </w:rPr>
        <w:t>īstenošanas izdevumu ietekme uz valsts budžetu pēc Eiropas Nacionālo Kontu Sistēmas (ESA), EUR</w:t>
      </w:r>
    </w:p>
    <w:tbl>
      <w:tblPr>
        <w:tblW w:w="9048" w:type="dxa"/>
        <w:tblInd w:w="-10" w:type="dxa"/>
        <w:tblLook w:val="04A0" w:firstRow="1" w:lastRow="0" w:firstColumn="1" w:lastColumn="0" w:noHBand="0" w:noVBand="1"/>
      </w:tblPr>
      <w:tblGrid>
        <w:gridCol w:w="4632"/>
        <w:gridCol w:w="1514"/>
        <w:gridCol w:w="1388"/>
        <w:gridCol w:w="1514"/>
      </w:tblGrid>
      <w:tr w:rsidR="009A7F34" w:rsidRPr="004E4FBE" w14:paraId="6B2BF723" w14:textId="77777777" w:rsidTr="71872EFF">
        <w:trPr>
          <w:trHeight w:val="278"/>
        </w:trPr>
        <w:tc>
          <w:tcPr>
            <w:tcW w:w="463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544494" w14:textId="77777777" w:rsidR="009912FB" w:rsidRPr="004E4FBE" w:rsidRDefault="009912FB"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 </w:t>
            </w:r>
          </w:p>
        </w:tc>
        <w:tc>
          <w:tcPr>
            <w:tcW w:w="1514" w:type="dxa"/>
            <w:tcBorders>
              <w:top w:val="single" w:sz="8" w:space="0" w:color="auto"/>
              <w:left w:val="single" w:sz="4" w:space="0" w:color="auto"/>
              <w:bottom w:val="nil"/>
              <w:right w:val="single" w:sz="4" w:space="0" w:color="auto"/>
            </w:tcBorders>
            <w:shd w:val="clear" w:color="auto" w:fill="auto"/>
            <w:noWrap/>
            <w:vAlign w:val="center"/>
            <w:hideMark/>
          </w:tcPr>
          <w:p w14:paraId="4FD7B935" w14:textId="77777777" w:rsidR="009912FB" w:rsidRPr="004E4FBE" w:rsidRDefault="009912FB"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2021</w:t>
            </w:r>
          </w:p>
        </w:tc>
        <w:tc>
          <w:tcPr>
            <w:tcW w:w="1388" w:type="dxa"/>
            <w:tcBorders>
              <w:top w:val="single" w:sz="8" w:space="0" w:color="auto"/>
              <w:left w:val="nil"/>
              <w:bottom w:val="nil"/>
              <w:right w:val="single" w:sz="4" w:space="0" w:color="auto"/>
            </w:tcBorders>
            <w:shd w:val="clear" w:color="auto" w:fill="auto"/>
            <w:noWrap/>
            <w:vAlign w:val="center"/>
            <w:hideMark/>
          </w:tcPr>
          <w:p w14:paraId="21E8FF1F" w14:textId="77777777" w:rsidR="009912FB" w:rsidRPr="004E4FBE" w:rsidRDefault="009912FB"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2022</w:t>
            </w:r>
          </w:p>
        </w:tc>
        <w:tc>
          <w:tcPr>
            <w:tcW w:w="1514" w:type="dxa"/>
            <w:tcBorders>
              <w:top w:val="single" w:sz="8" w:space="0" w:color="auto"/>
              <w:left w:val="nil"/>
              <w:bottom w:val="nil"/>
              <w:right w:val="single" w:sz="8" w:space="0" w:color="auto"/>
            </w:tcBorders>
            <w:shd w:val="clear" w:color="auto" w:fill="auto"/>
            <w:noWrap/>
            <w:vAlign w:val="center"/>
            <w:hideMark/>
          </w:tcPr>
          <w:p w14:paraId="02900C13" w14:textId="77777777" w:rsidR="009912FB" w:rsidRPr="004E4FBE" w:rsidRDefault="009912FB"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2023</w:t>
            </w:r>
          </w:p>
        </w:tc>
      </w:tr>
      <w:tr w:rsidR="009A7F34" w:rsidRPr="004E4FBE" w14:paraId="11CCFDA0" w14:textId="77777777" w:rsidTr="71872EFF">
        <w:trPr>
          <w:trHeight w:val="542"/>
        </w:trPr>
        <w:tc>
          <w:tcPr>
            <w:tcW w:w="4632" w:type="dxa"/>
            <w:tcBorders>
              <w:top w:val="nil"/>
              <w:left w:val="single" w:sz="8" w:space="0" w:color="auto"/>
              <w:bottom w:val="nil"/>
              <w:right w:val="single" w:sz="8" w:space="0" w:color="auto"/>
            </w:tcBorders>
            <w:shd w:val="clear" w:color="auto" w:fill="auto"/>
            <w:noWrap/>
            <w:vAlign w:val="center"/>
            <w:hideMark/>
          </w:tcPr>
          <w:p w14:paraId="10B4E970" w14:textId="77777777" w:rsidR="009912FB" w:rsidRPr="004E4FBE" w:rsidRDefault="009912FB"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 </w:t>
            </w:r>
          </w:p>
        </w:tc>
        <w:tc>
          <w:tcPr>
            <w:tcW w:w="15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76C3180" w14:textId="77777777" w:rsidR="009912FB" w:rsidRPr="004E4FBE" w:rsidRDefault="009912FB"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Prognoze</w:t>
            </w:r>
          </w:p>
        </w:tc>
        <w:tc>
          <w:tcPr>
            <w:tcW w:w="1388" w:type="dxa"/>
            <w:tcBorders>
              <w:top w:val="single" w:sz="8" w:space="0" w:color="auto"/>
              <w:left w:val="nil"/>
              <w:bottom w:val="single" w:sz="8" w:space="0" w:color="auto"/>
              <w:right w:val="single" w:sz="4" w:space="0" w:color="auto"/>
            </w:tcBorders>
            <w:shd w:val="clear" w:color="auto" w:fill="auto"/>
            <w:vAlign w:val="center"/>
            <w:hideMark/>
          </w:tcPr>
          <w:p w14:paraId="5CB3BDBC" w14:textId="77777777" w:rsidR="009912FB" w:rsidRPr="004E4FBE" w:rsidRDefault="009912FB"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Prognoze</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14:paraId="7682C503" w14:textId="77777777" w:rsidR="009912FB" w:rsidRPr="004E4FBE" w:rsidRDefault="009912FB"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Prognoze</w:t>
            </w:r>
          </w:p>
        </w:tc>
      </w:tr>
      <w:tr w:rsidR="00F619FC" w:rsidRPr="004E4FBE" w14:paraId="4125D732" w14:textId="77777777" w:rsidTr="71872EFF">
        <w:trPr>
          <w:trHeight w:val="542"/>
        </w:trPr>
        <w:tc>
          <w:tcPr>
            <w:tcW w:w="46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AAE95" w14:textId="77777777" w:rsidR="00995B77" w:rsidRPr="004E4FBE" w:rsidRDefault="00995B77"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Valsts budžeta izdevumi</w:t>
            </w:r>
          </w:p>
        </w:tc>
        <w:tc>
          <w:tcPr>
            <w:tcW w:w="15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0783A3D" w14:textId="21ED17DC" w:rsidR="00995B77" w:rsidRPr="004E4FBE" w:rsidRDefault="00995B77" w:rsidP="004E4FBE">
            <w:pPr>
              <w:spacing w:after="120"/>
              <w:jc w:val="center"/>
              <w:rPr>
                <w:rFonts w:eastAsia="Times New Roman" w:cs="Times New Roman"/>
                <w:b/>
                <w:bCs/>
                <w:sz w:val="24"/>
                <w:szCs w:val="24"/>
                <w:lang w:eastAsia="lv-LV"/>
              </w:rPr>
            </w:pPr>
            <w:r w:rsidRPr="004E4FBE">
              <w:rPr>
                <w:b/>
                <w:bCs/>
                <w:sz w:val="24"/>
                <w:szCs w:val="24"/>
              </w:rPr>
              <w:t>38 485 714</w:t>
            </w:r>
          </w:p>
        </w:tc>
        <w:tc>
          <w:tcPr>
            <w:tcW w:w="1388" w:type="dxa"/>
            <w:tcBorders>
              <w:top w:val="single" w:sz="8" w:space="0" w:color="auto"/>
              <w:left w:val="nil"/>
              <w:bottom w:val="single" w:sz="8" w:space="0" w:color="auto"/>
              <w:right w:val="single" w:sz="4" w:space="0" w:color="auto"/>
            </w:tcBorders>
            <w:shd w:val="clear" w:color="auto" w:fill="auto"/>
            <w:vAlign w:val="center"/>
            <w:hideMark/>
          </w:tcPr>
          <w:p w14:paraId="1F5EDACE" w14:textId="1FB91204" w:rsidR="00995B77" w:rsidRPr="004E4FBE" w:rsidRDefault="00995B77" w:rsidP="004E4FBE">
            <w:pPr>
              <w:spacing w:after="120"/>
              <w:jc w:val="center"/>
              <w:rPr>
                <w:rFonts w:eastAsia="Times New Roman" w:cs="Times New Roman"/>
                <w:b/>
                <w:bCs/>
                <w:sz w:val="24"/>
                <w:szCs w:val="24"/>
                <w:lang w:eastAsia="lv-LV"/>
              </w:rPr>
            </w:pPr>
            <w:r w:rsidRPr="004E4FBE">
              <w:rPr>
                <w:b/>
                <w:bCs/>
                <w:sz w:val="24"/>
                <w:szCs w:val="24"/>
              </w:rPr>
              <w:t>20 091 238</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14:paraId="14FCCBDF" w14:textId="19F4D4AF" w:rsidR="00995B77" w:rsidRPr="004E4FBE" w:rsidRDefault="00995B77" w:rsidP="004E4FBE">
            <w:pPr>
              <w:spacing w:after="120"/>
              <w:jc w:val="center"/>
              <w:rPr>
                <w:rFonts w:eastAsia="Times New Roman" w:cs="Times New Roman"/>
                <w:b/>
                <w:bCs/>
                <w:sz w:val="24"/>
                <w:szCs w:val="24"/>
                <w:lang w:eastAsia="lv-LV"/>
              </w:rPr>
            </w:pPr>
            <w:r w:rsidRPr="004E4FBE">
              <w:rPr>
                <w:b/>
                <w:bCs/>
                <w:sz w:val="24"/>
                <w:szCs w:val="24"/>
              </w:rPr>
              <w:t>23 575 720</w:t>
            </w:r>
          </w:p>
        </w:tc>
      </w:tr>
      <w:tr w:rsidR="009A7F34" w:rsidRPr="004E4FBE" w14:paraId="0279D997" w14:textId="77777777" w:rsidTr="71872EFF">
        <w:trPr>
          <w:trHeight w:val="262"/>
        </w:trPr>
        <w:tc>
          <w:tcPr>
            <w:tcW w:w="4632" w:type="dxa"/>
            <w:tcBorders>
              <w:top w:val="nil"/>
              <w:left w:val="single" w:sz="8" w:space="0" w:color="auto"/>
              <w:bottom w:val="single" w:sz="4" w:space="0" w:color="auto"/>
              <w:right w:val="single" w:sz="8" w:space="0" w:color="auto"/>
            </w:tcBorders>
            <w:shd w:val="clear" w:color="auto" w:fill="auto"/>
            <w:noWrap/>
            <w:vAlign w:val="center"/>
            <w:hideMark/>
          </w:tcPr>
          <w:p w14:paraId="63BD60F2" w14:textId="6B1EF347" w:rsidR="00995B77" w:rsidRPr="004E4FBE" w:rsidRDefault="00995B77" w:rsidP="004E4FBE">
            <w:pPr>
              <w:spacing w:after="120"/>
              <w:rPr>
                <w:rFonts w:eastAsia="Times New Roman" w:cs="Times New Roman"/>
                <w:sz w:val="24"/>
                <w:szCs w:val="24"/>
                <w:lang w:eastAsia="lv-LV"/>
              </w:rPr>
            </w:pPr>
            <w:r w:rsidRPr="004E4FBE">
              <w:rPr>
                <w:rFonts w:eastAsia="Times New Roman" w:cs="Times New Roman"/>
                <w:sz w:val="24"/>
                <w:szCs w:val="24"/>
                <w:lang w:eastAsia="lv-LV"/>
              </w:rPr>
              <w:t>Valsts atbalsta dotācija elektroenerģijas ražotājiem</w:t>
            </w:r>
            <w:r w:rsidR="002D6C36">
              <w:rPr>
                <w:rFonts w:eastAsia="Times New Roman" w:cs="Times New Roman"/>
                <w:sz w:val="24"/>
                <w:szCs w:val="24"/>
                <w:lang w:eastAsia="lv-LV"/>
              </w:rPr>
              <w:t xml:space="preserve"> </w:t>
            </w:r>
            <w:r w:rsidR="002D6C36" w:rsidRPr="00317198">
              <w:rPr>
                <w:rFonts w:eastAsia="Times New Roman" w:cs="Times New Roman"/>
                <w:sz w:val="24"/>
                <w:szCs w:val="24"/>
                <w:lang w:eastAsia="lv-LV"/>
              </w:rPr>
              <w:t>(Ietekme)</w:t>
            </w:r>
          </w:p>
        </w:tc>
        <w:tc>
          <w:tcPr>
            <w:tcW w:w="1514"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733CFE33" w14:textId="608FFE03" w:rsidR="00995B77" w:rsidRPr="004E4FBE" w:rsidRDefault="00995B77" w:rsidP="004E4FBE">
            <w:pPr>
              <w:spacing w:after="120"/>
              <w:jc w:val="center"/>
              <w:rPr>
                <w:rFonts w:eastAsia="Times New Roman" w:cs="Times New Roman"/>
                <w:sz w:val="24"/>
                <w:szCs w:val="24"/>
                <w:lang w:eastAsia="lv-LV"/>
              </w:rPr>
            </w:pPr>
            <w:r w:rsidRPr="004E4FBE">
              <w:rPr>
                <w:sz w:val="24"/>
                <w:szCs w:val="24"/>
              </w:rPr>
              <w:t>-6 466 060</w:t>
            </w:r>
          </w:p>
        </w:tc>
        <w:tc>
          <w:tcPr>
            <w:tcW w:w="138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F0E603" w14:textId="0F109B06" w:rsidR="00995B77" w:rsidRPr="004E4FBE" w:rsidRDefault="00995B77" w:rsidP="004E4FBE">
            <w:pPr>
              <w:spacing w:after="120"/>
              <w:jc w:val="center"/>
              <w:rPr>
                <w:rFonts w:eastAsia="Times New Roman" w:cs="Times New Roman"/>
                <w:sz w:val="24"/>
                <w:szCs w:val="24"/>
                <w:lang w:eastAsia="lv-LV"/>
              </w:rPr>
            </w:pPr>
            <w:r w:rsidRPr="004E4FBE">
              <w:rPr>
                <w:sz w:val="24"/>
                <w:szCs w:val="24"/>
              </w:rPr>
              <w:t>-24 912 362</w:t>
            </w:r>
          </w:p>
        </w:tc>
        <w:tc>
          <w:tcPr>
            <w:tcW w:w="1514"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05B4C1C2" w14:textId="0B17F82B" w:rsidR="00995B77" w:rsidRPr="004E4FBE" w:rsidRDefault="00995B77" w:rsidP="004E4FBE">
            <w:pPr>
              <w:spacing w:after="120"/>
              <w:jc w:val="center"/>
              <w:rPr>
                <w:rFonts w:eastAsia="Times New Roman" w:cs="Times New Roman"/>
                <w:sz w:val="24"/>
                <w:szCs w:val="24"/>
                <w:lang w:eastAsia="lv-LV"/>
              </w:rPr>
            </w:pPr>
            <w:r w:rsidRPr="004E4FBE">
              <w:rPr>
                <w:sz w:val="24"/>
                <w:szCs w:val="24"/>
              </w:rPr>
              <w:t>-21 427 880</w:t>
            </w:r>
          </w:p>
        </w:tc>
      </w:tr>
      <w:tr w:rsidR="009A7F34" w:rsidRPr="004E4FBE" w14:paraId="45389219" w14:textId="77777777" w:rsidTr="71872EFF">
        <w:trPr>
          <w:trHeight w:val="262"/>
        </w:trPr>
        <w:tc>
          <w:tcPr>
            <w:tcW w:w="4632" w:type="dxa"/>
            <w:tcBorders>
              <w:top w:val="nil"/>
              <w:left w:val="single" w:sz="8" w:space="0" w:color="auto"/>
              <w:bottom w:val="single" w:sz="4" w:space="0" w:color="auto"/>
              <w:right w:val="single" w:sz="8" w:space="0" w:color="auto"/>
            </w:tcBorders>
            <w:shd w:val="clear" w:color="auto" w:fill="auto"/>
            <w:noWrap/>
            <w:vAlign w:val="center"/>
            <w:hideMark/>
          </w:tcPr>
          <w:p w14:paraId="179D2C7B" w14:textId="1D67E587" w:rsidR="00995B77" w:rsidRPr="004E4FBE" w:rsidRDefault="00995B77" w:rsidP="004E4FBE">
            <w:pPr>
              <w:spacing w:after="120"/>
              <w:rPr>
                <w:rFonts w:eastAsia="Times New Roman" w:cs="Times New Roman"/>
                <w:sz w:val="24"/>
                <w:szCs w:val="24"/>
                <w:lang w:eastAsia="lv-LV"/>
              </w:rPr>
            </w:pPr>
            <w:r w:rsidRPr="004E4FBE">
              <w:rPr>
                <w:rFonts w:eastAsia="Times New Roman" w:cs="Times New Roman"/>
                <w:sz w:val="24"/>
                <w:szCs w:val="24"/>
                <w:lang w:eastAsia="lv-LV"/>
              </w:rPr>
              <w:t>Valsts atbalsta dotācija energoietilpīgo uzņēmumu atbalstam</w:t>
            </w:r>
          </w:p>
        </w:tc>
        <w:tc>
          <w:tcPr>
            <w:tcW w:w="1514" w:type="dxa"/>
            <w:tcBorders>
              <w:top w:val="nil"/>
              <w:left w:val="single" w:sz="8" w:space="0" w:color="auto"/>
              <w:bottom w:val="single" w:sz="4" w:space="0" w:color="auto"/>
              <w:right w:val="single" w:sz="4" w:space="0" w:color="auto"/>
            </w:tcBorders>
            <w:shd w:val="clear" w:color="auto" w:fill="FFFFFF" w:themeFill="background1"/>
            <w:vAlign w:val="center"/>
            <w:hideMark/>
          </w:tcPr>
          <w:p w14:paraId="03C02E20" w14:textId="31984BEF" w:rsidR="00995B77" w:rsidRPr="004E4FBE" w:rsidRDefault="00995B77" w:rsidP="004E4FBE">
            <w:pPr>
              <w:spacing w:after="120"/>
              <w:jc w:val="center"/>
              <w:rPr>
                <w:rFonts w:eastAsia="Times New Roman" w:cs="Times New Roman"/>
                <w:sz w:val="24"/>
                <w:szCs w:val="24"/>
                <w:lang w:eastAsia="lv-LV"/>
              </w:rPr>
            </w:pPr>
            <w:r w:rsidRPr="004E4FBE">
              <w:rPr>
                <w:sz w:val="24"/>
                <w:szCs w:val="24"/>
              </w:rPr>
              <w:t>7 000 000</w:t>
            </w:r>
          </w:p>
        </w:tc>
        <w:tc>
          <w:tcPr>
            <w:tcW w:w="1388" w:type="dxa"/>
            <w:tcBorders>
              <w:top w:val="nil"/>
              <w:left w:val="nil"/>
              <w:bottom w:val="single" w:sz="4" w:space="0" w:color="auto"/>
              <w:right w:val="single" w:sz="4" w:space="0" w:color="auto"/>
            </w:tcBorders>
            <w:shd w:val="clear" w:color="auto" w:fill="FFFFFF" w:themeFill="background1"/>
            <w:vAlign w:val="center"/>
            <w:hideMark/>
          </w:tcPr>
          <w:p w14:paraId="7EB63805" w14:textId="3AA5E026" w:rsidR="00995B77" w:rsidRPr="004E4FBE" w:rsidRDefault="00995B77" w:rsidP="004E4FBE">
            <w:pPr>
              <w:spacing w:after="120"/>
              <w:jc w:val="center"/>
              <w:rPr>
                <w:rFonts w:eastAsia="Times New Roman" w:cs="Times New Roman"/>
                <w:sz w:val="24"/>
                <w:szCs w:val="24"/>
                <w:lang w:eastAsia="lv-LV"/>
              </w:rPr>
            </w:pPr>
            <w:r w:rsidRPr="004E4FBE">
              <w:rPr>
                <w:sz w:val="24"/>
                <w:szCs w:val="24"/>
              </w:rPr>
              <w:t>7 000 000</w:t>
            </w:r>
          </w:p>
        </w:tc>
        <w:tc>
          <w:tcPr>
            <w:tcW w:w="1514" w:type="dxa"/>
            <w:tcBorders>
              <w:top w:val="nil"/>
              <w:left w:val="nil"/>
              <w:bottom w:val="single" w:sz="4" w:space="0" w:color="auto"/>
              <w:right w:val="single" w:sz="8" w:space="0" w:color="auto"/>
            </w:tcBorders>
            <w:shd w:val="clear" w:color="auto" w:fill="FFFFFF" w:themeFill="background1"/>
            <w:noWrap/>
            <w:vAlign w:val="center"/>
            <w:hideMark/>
          </w:tcPr>
          <w:p w14:paraId="2F901313" w14:textId="0894E0DC" w:rsidR="00995B77" w:rsidRPr="001D4E5F" w:rsidRDefault="00995B77" w:rsidP="004E4FBE">
            <w:pPr>
              <w:spacing w:after="120"/>
              <w:jc w:val="center"/>
              <w:rPr>
                <w:rFonts w:eastAsia="Times New Roman" w:cs="Times New Roman"/>
                <w:sz w:val="24"/>
                <w:szCs w:val="24"/>
                <w:lang w:eastAsia="lv-LV"/>
              </w:rPr>
            </w:pPr>
            <w:r w:rsidRPr="001D4E5F">
              <w:rPr>
                <w:sz w:val="24"/>
                <w:szCs w:val="24"/>
              </w:rPr>
              <w:t>7 000 000</w:t>
            </w:r>
          </w:p>
        </w:tc>
      </w:tr>
      <w:tr w:rsidR="009A7F34" w:rsidRPr="004E4FBE" w14:paraId="6814E92F" w14:textId="77777777" w:rsidTr="71872EFF">
        <w:trPr>
          <w:trHeight w:val="278"/>
        </w:trPr>
        <w:tc>
          <w:tcPr>
            <w:tcW w:w="4632" w:type="dxa"/>
            <w:tcBorders>
              <w:top w:val="nil"/>
              <w:left w:val="single" w:sz="8" w:space="0" w:color="auto"/>
              <w:bottom w:val="single" w:sz="4" w:space="0" w:color="auto"/>
              <w:right w:val="single" w:sz="8" w:space="0" w:color="auto"/>
            </w:tcBorders>
            <w:shd w:val="clear" w:color="auto" w:fill="FFFFFF" w:themeFill="background1"/>
            <w:vAlign w:val="center"/>
            <w:hideMark/>
          </w:tcPr>
          <w:p w14:paraId="2649ACE3" w14:textId="77777777" w:rsidR="00995B77" w:rsidRPr="004E4FBE" w:rsidRDefault="00995B77" w:rsidP="004E4FBE">
            <w:pPr>
              <w:spacing w:after="120"/>
              <w:rPr>
                <w:rFonts w:eastAsia="Times New Roman" w:cs="Times New Roman"/>
                <w:sz w:val="24"/>
                <w:szCs w:val="24"/>
                <w:lang w:eastAsia="lv-LV"/>
              </w:rPr>
            </w:pPr>
            <w:r w:rsidRPr="004E4FBE">
              <w:rPr>
                <w:rFonts w:eastAsia="Times New Roman" w:cs="Times New Roman"/>
                <w:sz w:val="24"/>
                <w:szCs w:val="24"/>
                <w:lang w:eastAsia="lv-LV"/>
              </w:rPr>
              <w:t>Avansa maksājums jaudas maksājuma kompensācijai</w:t>
            </w:r>
          </w:p>
        </w:tc>
        <w:tc>
          <w:tcPr>
            <w:tcW w:w="1514" w:type="dxa"/>
            <w:tcBorders>
              <w:top w:val="nil"/>
              <w:left w:val="single" w:sz="8" w:space="0" w:color="auto"/>
              <w:bottom w:val="single" w:sz="4" w:space="0" w:color="auto"/>
              <w:right w:val="single" w:sz="4" w:space="0" w:color="auto"/>
            </w:tcBorders>
            <w:shd w:val="clear" w:color="auto" w:fill="FFFFFF" w:themeFill="background1"/>
            <w:vAlign w:val="center"/>
            <w:hideMark/>
          </w:tcPr>
          <w:p w14:paraId="737A5834" w14:textId="5282FD3C" w:rsidR="00995B77" w:rsidRPr="004E4FBE" w:rsidRDefault="00995B77" w:rsidP="004E4FBE">
            <w:pPr>
              <w:spacing w:after="120"/>
              <w:jc w:val="center"/>
              <w:rPr>
                <w:rFonts w:eastAsia="Times New Roman" w:cs="Times New Roman"/>
                <w:sz w:val="24"/>
                <w:szCs w:val="24"/>
                <w:lang w:eastAsia="lv-LV"/>
              </w:rPr>
            </w:pPr>
            <w:r w:rsidRPr="004E4FBE">
              <w:rPr>
                <w:sz w:val="24"/>
                <w:szCs w:val="24"/>
              </w:rPr>
              <w:t>24 003 600</w:t>
            </w:r>
          </w:p>
        </w:tc>
        <w:tc>
          <w:tcPr>
            <w:tcW w:w="1388" w:type="dxa"/>
            <w:tcBorders>
              <w:top w:val="nil"/>
              <w:left w:val="nil"/>
              <w:bottom w:val="single" w:sz="4" w:space="0" w:color="auto"/>
              <w:right w:val="single" w:sz="4" w:space="0" w:color="auto"/>
            </w:tcBorders>
            <w:shd w:val="clear" w:color="auto" w:fill="FFFFFF" w:themeFill="background1"/>
            <w:vAlign w:val="center"/>
            <w:hideMark/>
          </w:tcPr>
          <w:p w14:paraId="3796B7A1" w14:textId="0639D22C" w:rsidR="00995B77" w:rsidRPr="004E4FBE" w:rsidRDefault="00995B77" w:rsidP="004E4FBE">
            <w:pPr>
              <w:spacing w:after="120"/>
              <w:jc w:val="center"/>
              <w:rPr>
                <w:rFonts w:eastAsia="Times New Roman" w:cs="Times New Roman"/>
                <w:sz w:val="24"/>
                <w:szCs w:val="24"/>
                <w:lang w:eastAsia="lv-LV"/>
              </w:rPr>
            </w:pPr>
            <w:r w:rsidRPr="004E4FBE">
              <w:rPr>
                <w:sz w:val="24"/>
                <w:szCs w:val="24"/>
              </w:rPr>
              <w:t>24 003 600</w:t>
            </w:r>
          </w:p>
        </w:tc>
        <w:tc>
          <w:tcPr>
            <w:tcW w:w="1514" w:type="dxa"/>
            <w:tcBorders>
              <w:top w:val="nil"/>
              <w:left w:val="nil"/>
              <w:bottom w:val="single" w:sz="4" w:space="0" w:color="auto"/>
              <w:right w:val="single" w:sz="8" w:space="0" w:color="auto"/>
            </w:tcBorders>
            <w:shd w:val="clear" w:color="auto" w:fill="FFFFFF" w:themeFill="background1"/>
            <w:vAlign w:val="center"/>
            <w:hideMark/>
          </w:tcPr>
          <w:p w14:paraId="2C0F7554" w14:textId="7340A09F" w:rsidR="00995B77" w:rsidRPr="004E4FBE" w:rsidRDefault="00995B77" w:rsidP="004E4FBE">
            <w:pPr>
              <w:spacing w:after="120"/>
              <w:jc w:val="center"/>
              <w:rPr>
                <w:rFonts w:eastAsia="Times New Roman" w:cs="Times New Roman"/>
                <w:sz w:val="24"/>
                <w:szCs w:val="24"/>
                <w:lang w:eastAsia="lv-LV"/>
              </w:rPr>
            </w:pPr>
            <w:r w:rsidRPr="004E4FBE">
              <w:rPr>
                <w:sz w:val="24"/>
                <w:szCs w:val="24"/>
              </w:rPr>
              <w:t>24 003 600</w:t>
            </w:r>
          </w:p>
        </w:tc>
      </w:tr>
      <w:tr w:rsidR="009A7F34" w:rsidRPr="004E4FBE" w14:paraId="6D4DBD72" w14:textId="77777777" w:rsidTr="71872EFF">
        <w:trPr>
          <w:trHeight w:val="278"/>
        </w:trPr>
        <w:tc>
          <w:tcPr>
            <w:tcW w:w="4632" w:type="dxa"/>
            <w:tcBorders>
              <w:top w:val="nil"/>
              <w:left w:val="single" w:sz="8" w:space="0" w:color="auto"/>
              <w:bottom w:val="single" w:sz="4" w:space="0" w:color="auto"/>
              <w:right w:val="single" w:sz="8" w:space="0" w:color="auto"/>
            </w:tcBorders>
            <w:shd w:val="clear" w:color="auto" w:fill="auto"/>
            <w:vAlign w:val="center"/>
            <w:hideMark/>
          </w:tcPr>
          <w:p w14:paraId="0542AFD5" w14:textId="03083ECB" w:rsidR="00995B77" w:rsidRPr="004E4FBE" w:rsidRDefault="00095298" w:rsidP="004E4FBE">
            <w:pPr>
              <w:spacing w:after="120"/>
              <w:jc w:val="left"/>
              <w:rPr>
                <w:rFonts w:eastAsia="Times New Roman" w:cs="Times New Roman"/>
                <w:sz w:val="24"/>
                <w:szCs w:val="24"/>
                <w:lang w:eastAsia="lv-LV"/>
              </w:rPr>
            </w:pPr>
            <w:r w:rsidRPr="004E4FBE">
              <w:rPr>
                <w:rFonts w:eastAsia="Times New Roman" w:cs="Times New Roman"/>
                <w:sz w:val="24"/>
                <w:szCs w:val="24"/>
                <w:lang w:eastAsia="lv-LV"/>
              </w:rPr>
              <w:t>Aizsargāto lietotāju atbalsta finansējums</w:t>
            </w:r>
          </w:p>
        </w:tc>
        <w:tc>
          <w:tcPr>
            <w:tcW w:w="1514" w:type="dxa"/>
            <w:tcBorders>
              <w:top w:val="nil"/>
              <w:left w:val="single" w:sz="8" w:space="0" w:color="auto"/>
              <w:bottom w:val="single" w:sz="4" w:space="0" w:color="auto"/>
              <w:right w:val="single" w:sz="4" w:space="0" w:color="auto"/>
            </w:tcBorders>
            <w:shd w:val="clear" w:color="auto" w:fill="FFFFFF" w:themeFill="background1"/>
            <w:vAlign w:val="center"/>
            <w:hideMark/>
          </w:tcPr>
          <w:p w14:paraId="6A60263D" w14:textId="115EEE46" w:rsidR="00995B77" w:rsidRPr="004E4FBE" w:rsidRDefault="00995B77" w:rsidP="004E4FBE">
            <w:pPr>
              <w:spacing w:after="120"/>
              <w:jc w:val="center"/>
              <w:rPr>
                <w:rFonts w:eastAsia="Times New Roman" w:cs="Times New Roman"/>
                <w:sz w:val="24"/>
                <w:szCs w:val="24"/>
                <w:lang w:eastAsia="lv-LV"/>
              </w:rPr>
            </w:pPr>
            <w:r w:rsidRPr="004E4FBE">
              <w:rPr>
                <w:sz w:val="24"/>
                <w:szCs w:val="24"/>
              </w:rPr>
              <w:t>12 000 000</w:t>
            </w:r>
          </w:p>
        </w:tc>
        <w:tc>
          <w:tcPr>
            <w:tcW w:w="1388" w:type="dxa"/>
            <w:tcBorders>
              <w:top w:val="nil"/>
              <w:left w:val="nil"/>
              <w:bottom w:val="single" w:sz="4" w:space="0" w:color="auto"/>
              <w:right w:val="single" w:sz="4" w:space="0" w:color="auto"/>
            </w:tcBorders>
            <w:shd w:val="clear" w:color="auto" w:fill="FFFFFF" w:themeFill="background1"/>
            <w:vAlign w:val="center"/>
            <w:hideMark/>
          </w:tcPr>
          <w:p w14:paraId="05A7E448" w14:textId="01E7A64F" w:rsidR="00995B77" w:rsidRPr="004E4FBE" w:rsidRDefault="00995B77" w:rsidP="004E4FBE">
            <w:pPr>
              <w:spacing w:after="120"/>
              <w:jc w:val="center"/>
              <w:rPr>
                <w:rFonts w:eastAsia="Times New Roman" w:cs="Times New Roman"/>
                <w:sz w:val="24"/>
                <w:szCs w:val="24"/>
                <w:lang w:eastAsia="lv-LV"/>
              </w:rPr>
            </w:pPr>
            <w:r w:rsidRPr="004E4FBE">
              <w:rPr>
                <w:sz w:val="24"/>
                <w:szCs w:val="24"/>
              </w:rPr>
              <w:t>12 000 000</w:t>
            </w:r>
          </w:p>
        </w:tc>
        <w:tc>
          <w:tcPr>
            <w:tcW w:w="1514" w:type="dxa"/>
            <w:tcBorders>
              <w:top w:val="nil"/>
              <w:left w:val="nil"/>
              <w:bottom w:val="single" w:sz="4" w:space="0" w:color="auto"/>
              <w:right w:val="single" w:sz="8" w:space="0" w:color="auto"/>
            </w:tcBorders>
            <w:shd w:val="clear" w:color="auto" w:fill="FFFFFF" w:themeFill="background1"/>
            <w:vAlign w:val="center"/>
            <w:hideMark/>
          </w:tcPr>
          <w:p w14:paraId="14ED43C6" w14:textId="2EE3E4FD" w:rsidR="00995B77" w:rsidRPr="004E4FBE" w:rsidRDefault="00995B77" w:rsidP="004E4FBE">
            <w:pPr>
              <w:spacing w:after="120"/>
              <w:jc w:val="center"/>
              <w:rPr>
                <w:rFonts w:eastAsia="Times New Roman" w:cs="Times New Roman"/>
                <w:sz w:val="24"/>
                <w:szCs w:val="24"/>
                <w:lang w:eastAsia="lv-LV"/>
              </w:rPr>
            </w:pPr>
            <w:r w:rsidRPr="004E4FBE">
              <w:rPr>
                <w:sz w:val="24"/>
                <w:szCs w:val="24"/>
              </w:rPr>
              <w:t>12 000 000</w:t>
            </w:r>
          </w:p>
        </w:tc>
      </w:tr>
      <w:tr w:rsidR="009A7F34" w:rsidRPr="004E4FBE" w14:paraId="187EC47E" w14:textId="77777777" w:rsidTr="71872EFF">
        <w:trPr>
          <w:trHeight w:val="293"/>
        </w:trPr>
        <w:tc>
          <w:tcPr>
            <w:tcW w:w="4632" w:type="dxa"/>
            <w:tcBorders>
              <w:top w:val="nil"/>
              <w:left w:val="single" w:sz="8" w:space="0" w:color="auto"/>
              <w:bottom w:val="single" w:sz="4" w:space="0" w:color="auto"/>
              <w:right w:val="single" w:sz="8" w:space="0" w:color="auto"/>
            </w:tcBorders>
            <w:shd w:val="clear" w:color="auto" w:fill="auto"/>
            <w:noWrap/>
            <w:vAlign w:val="center"/>
            <w:hideMark/>
          </w:tcPr>
          <w:p w14:paraId="5A69B94C" w14:textId="0803C244" w:rsidR="00995B77" w:rsidRPr="004E4FBE" w:rsidRDefault="00995B77" w:rsidP="004E4FBE">
            <w:pPr>
              <w:spacing w:after="120"/>
              <w:jc w:val="left"/>
              <w:rPr>
                <w:rFonts w:eastAsia="Times New Roman" w:cs="Times New Roman"/>
                <w:sz w:val="24"/>
                <w:szCs w:val="24"/>
                <w:lang w:eastAsia="lv-LV"/>
              </w:rPr>
            </w:pPr>
            <w:r w:rsidRPr="004E4FBE">
              <w:rPr>
                <w:rFonts w:eastAsia="Times New Roman" w:cs="Times New Roman"/>
                <w:sz w:val="24"/>
                <w:szCs w:val="24"/>
                <w:lang w:eastAsia="lv-LV"/>
              </w:rPr>
              <w:t>NEKP pētniecības daļas īstenošana</w:t>
            </w:r>
            <w:r w:rsidR="00C5381A">
              <w:rPr>
                <w:rFonts w:eastAsia="Times New Roman" w:cs="Times New Roman"/>
                <w:sz w:val="24"/>
                <w:szCs w:val="24"/>
                <w:lang w:eastAsia="lv-LV"/>
              </w:rPr>
              <w:t>, t.sk. administrēšanas vajadzībām</w:t>
            </w:r>
          </w:p>
        </w:tc>
        <w:tc>
          <w:tcPr>
            <w:tcW w:w="1514" w:type="dxa"/>
            <w:tcBorders>
              <w:top w:val="nil"/>
              <w:left w:val="single" w:sz="8" w:space="0" w:color="auto"/>
              <w:bottom w:val="single" w:sz="4" w:space="0" w:color="auto"/>
              <w:right w:val="single" w:sz="4" w:space="0" w:color="auto"/>
            </w:tcBorders>
            <w:shd w:val="clear" w:color="auto" w:fill="FFFFFF" w:themeFill="background1"/>
            <w:vAlign w:val="center"/>
            <w:hideMark/>
          </w:tcPr>
          <w:p w14:paraId="24F66E41" w14:textId="35DD33E6" w:rsidR="00995B77" w:rsidRPr="004E4FBE" w:rsidRDefault="00317198" w:rsidP="004E4FBE">
            <w:pPr>
              <w:spacing w:after="120"/>
              <w:jc w:val="center"/>
              <w:rPr>
                <w:rFonts w:eastAsia="Times New Roman" w:cs="Times New Roman"/>
                <w:sz w:val="24"/>
                <w:szCs w:val="24"/>
                <w:lang w:eastAsia="lv-LV"/>
              </w:rPr>
            </w:pPr>
            <w:r w:rsidRPr="005B0F6F">
              <w:rPr>
                <w:rFonts w:cs="Times New Roman"/>
                <w:sz w:val="24"/>
                <w:szCs w:val="24"/>
              </w:rPr>
              <w:t>1 403 014</w:t>
            </w:r>
          </w:p>
        </w:tc>
        <w:tc>
          <w:tcPr>
            <w:tcW w:w="1388" w:type="dxa"/>
            <w:tcBorders>
              <w:top w:val="nil"/>
              <w:left w:val="nil"/>
              <w:bottom w:val="single" w:sz="4" w:space="0" w:color="auto"/>
              <w:right w:val="single" w:sz="4" w:space="0" w:color="auto"/>
            </w:tcBorders>
            <w:shd w:val="clear" w:color="auto" w:fill="FFFFFF" w:themeFill="background1"/>
            <w:vAlign w:val="center"/>
            <w:hideMark/>
          </w:tcPr>
          <w:p w14:paraId="1CF07EB2" w14:textId="30EE5383" w:rsidR="00995B77" w:rsidRPr="004E4FBE" w:rsidRDefault="00995B77" w:rsidP="004E4FBE">
            <w:pPr>
              <w:spacing w:after="120"/>
              <w:jc w:val="center"/>
              <w:rPr>
                <w:rFonts w:eastAsia="Times New Roman" w:cs="Times New Roman"/>
                <w:sz w:val="24"/>
                <w:szCs w:val="24"/>
                <w:lang w:eastAsia="lv-LV"/>
              </w:rPr>
            </w:pPr>
            <w:r w:rsidRPr="004E4FBE">
              <w:rPr>
                <w:sz w:val="24"/>
                <w:szCs w:val="24"/>
              </w:rPr>
              <w:t>2 000 000</w:t>
            </w:r>
          </w:p>
        </w:tc>
        <w:tc>
          <w:tcPr>
            <w:tcW w:w="1514" w:type="dxa"/>
            <w:tcBorders>
              <w:top w:val="nil"/>
              <w:left w:val="nil"/>
              <w:bottom w:val="single" w:sz="4" w:space="0" w:color="auto"/>
              <w:right w:val="single" w:sz="8" w:space="0" w:color="auto"/>
            </w:tcBorders>
            <w:shd w:val="clear" w:color="auto" w:fill="FFFFFF" w:themeFill="background1"/>
            <w:noWrap/>
            <w:vAlign w:val="center"/>
            <w:hideMark/>
          </w:tcPr>
          <w:p w14:paraId="5139264A" w14:textId="4206A786" w:rsidR="00995B77" w:rsidRPr="004E4FBE" w:rsidRDefault="00995B77" w:rsidP="004E4FBE">
            <w:pPr>
              <w:spacing w:after="120"/>
              <w:jc w:val="center"/>
              <w:rPr>
                <w:rFonts w:eastAsia="Times New Roman" w:cs="Times New Roman"/>
                <w:sz w:val="24"/>
                <w:szCs w:val="24"/>
                <w:lang w:eastAsia="lv-LV"/>
              </w:rPr>
            </w:pPr>
            <w:r w:rsidRPr="004E4FBE">
              <w:rPr>
                <w:sz w:val="24"/>
                <w:szCs w:val="24"/>
              </w:rPr>
              <w:t>2 000 000</w:t>
            </w:r>
          </w:p>
        </w:tc>
      </w:tr>
      <w:tr w:rsidR="00F619FC" w:rsidRPr="004E4FBE" w14:paraId="031D0020" w14:textId="77777777" w:rsidTr="71872EFF">
        <w:trPr>
          <w:trHeight w:val="293"/>
        </w:trPr>
        <w:tc>
          <w:tcPr>
            <w:tcW w:w="4632" w:type="dxa"/>
            <w:tcBorders>
              <w:top w:val="nil"/>
              <w:left w:val="single" w:sz="8" w:space="0" w:color="auto"/>
              <w:bottom w:val="single" w:sz="4" w:space="0" w:color="auto"/>
              <w:right w:val="single" w:sz="8" w:space="0" w:color="auto"/>
            </w:tcBorders>
            <w:shd w:val="clear" w:color="auto" w:fill="auto"/>
            <w:noWrap/>
            <w:vAlign w:val="center"/>
          </w:tcPr>
          <w:p w14:paraId="2CB4C4CB" w14:textId="7341618E" w:rsidR="00317198" w:rsidRPr="004E4FBE" w:rsidRDefault="00317198" w:rsidP="00317198">
            <w:pPr>
              <w:spacing w:after="120"/>
              <w:jc w:val="left"/>
              <w:rPr>
                <w:rFonts w:eastAsia="Times New Roman" w:cs="Times New Roman"/>
                <w:sz w:val="24"/>
                <w:szCs w:val="24"/>
                <w:lang w:eastAsia="lv-LV"/>
              </w:rPr>
            </w:pPr>
            <w:r w:rsidRPr="005B0F6F">
              <w:rPr>
                <w:rFonts w:eastAsia="Times New Roman" w:cs="Times New Roman"/>
                <w:sz w:val="24"/>
                <w:szCs w:val="24"/>
                <w:lang w:eastAsia="lv-LV"/>
              </w:rPr>
              <w:t>VPP īstenošana, t.sk. administrēšanas vajadzībām</w:t>
            </w:r>
          </w:p>
        </w:tc>
        <w:tc>
          <w:tcPr>
            <w:tcW w:w="1514" w:type="dxa"/>
            <w:tcBorders>
              <w:top w:val="nil"/>
              <w:left w:val="single" w:sz="8" w:space="0" w:color="auto"/>
              <w:bottom w:val="single" w:sz="4" w:space="0" w:color="auto"/>
              <w:right w:val="single" w:sz="4" w:space="0" w:color="auto"/>
            </w:tcBorders>
            <w:shd w:val="clear" w:color="auto" w:fill="FFFFFF" w:themeFill="background1"/>
            <w:vAlign w:val="center"/>
          </w:tcPr>
          <w:p w14:paraId="2DEE63A2" w14:textId="2E487654" w:rsidR="00317198" w:rsidRPr="004E4FBE" w:rsidRDefault="00317198" w:rsidP="00317198">
            <w:pPr>
              <w:spacing w:after="120"/>
              <w:jc w:val="center"/>
              <w:rPr>
                <w:sz w:val="24"/>
                <w:szCs w:val="24"/>
              </w:rPr>
            </w:pPr>
            <w:r w:rsidRPr="005B0F6F">
              <w:rPr>
                <w:rFonts w:cs="Times New Roman"/>
                <w:sz w:val="24"/>
                <w:szCs w:val="24"/>
              </w:rPr>
              <w:t>545 160</w:t>
            </w:r>
          </w:p>
        </w:tc>
        <w:tc>
          <w:tcPr>
            <w:tcW w:w="1388" w:type="dxa"/>
            <w:tcBorders>
              <w:top w:val="nil"/>
              <w:left w:val="nil"/>
              <w:bottom w:val="single" w:sz="4" w:space="0" w:color="auto"/>
              <w:right w:val="single" w:sz="4" w:space="0" w:color="auto"/>
            </w:tcBorders>
            <w:shd w:val="clear" w:color="auto" w:fill="FFFFFF" w:themeFill="background1"/>
            <w:vAlign w:val="center"/>
          </w:tcPr>
          <w:p w14:paraId="2D71070F" w14:textId="32963511" w:rsidR="00317198" w:rsidRPr="004E4FBE" w:rsidRDefault="00317198" w:rsidP="00317198">
            <w:pPr>
              <w:spacing w:after="120"/>
              <w:jc w:val="center"/>
              <w:rPr>
                <w:sz w:val="24"/>
                <w:szCs w:val="24"/>
              </w:rPr>
            </w:pPr>
            <w:r>
              <w:rPr>
                <w:sz w:val="24"/>
                <w:szCs w:val="24"/>
              </w:rPr>
              <w:t>0</w:t>
            </w:r>
          </w:p>
        </w:tc>
        <w:tc>
          <w:tcPr>
            <w:tcW w:w="1514" w:type="dxa"/>
            <w:tcBorders>
              <w:top w:val="nil"/>
              <w:left w:val="nil"/>
              <w:bottom w:val="single" w:sz="4" w:space="0" w:color="auto"/>
              <w:right w:val="single" w:sz="8" w:space="0" w:color="auto"/>
            </w:tcBorders>
            <w:shd w:val="clear" w:color="auto" w:fill="FFFFFF" w:themeFill="background1"/>
            <w:noWrap/>
            <w:vAlign w:val="center"/>
          </w:tcPr>
          <w:p w14:paraId="64288FAE" w14:textId="477E8A2B" w:rsidR="00317198" w:rsidRPr="004E4FBE" w:rsidRDefault="00317198" w:rsidP="00317198">
            <w:pPr>
              <w:spacing w:after="120"/>
              <w:jc w:val="center"/>
              <w:rPr>
                <w:sz w:val="24"/>
                <w:szCs w:val="24"/>
              </w:rPr>
            </w:pPr>
            <w:r>
              <w:rPr>
                <w:sz w:val="24"/>
                <w:szCs w:val="24"/>
              </w:rPr>
              <w:t>0</w:t>
            </w:r>
          </w:p>
        </w:tc>
      </w:tr>
      <w:tr w:rsidR="00F619FC" w:rsidRPr="004E4FBE" w14:paraId="1830B5BF" w14:textId="77777777" w:rsidTr="71872EFF">
        <w:trPr>
          <w:trHeight w:val="278"/>
        </w:trPr>
        <w:tc>
          <w:tcPr>
            <w:tcW w:w="4632" w:type="dxa"/>
            <w:tcBorders>
              <w:top w:val="single" w:sz="8" w:space="0" w:color="auto"/>
              <w:left w:val="single" w:sz="8" w:space="0" w:color="auto"/>
              <w:bottom w:val="single" w:sz="8" w:space="0" w:color="auto"/>
              <w:right w:val="nil"/>
            </w:tcBorders>
            <w:shd w:val="clear" w:color="auto" w:fill="auto"/>
            <w:noWrap/>
            <w:vAlign w:val="center"/>
            <w:hideMark/>
          </w:tcPr>
          <w:p w14:paraId="1284C435" w14:textId="77777777" w:rsidR="00995B77" w:rsidRPr="004E4FBE" w:rsidRDefault="00995B77"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Valsts budžeta ieņēmumi</w:t>
            </w:r>
          </w:p>
        </w:tc>
        <w:tc>
          <w:tcPr>
            <w:tcW w:w="151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A67ECAA" w14:textId="14559ED7" w:rsidR="00995B77" w:rsidRPr="004E4FBE" w:rsidRDefault="00995B77" w:rsidP="004E4FBE">
            <w:pPr>
              <w:spacing w:after="120"/>
              <w:jc w:val="center"/>
              <w:rPr>
                <w:rFonts w:eastAsia="Times New Roman" w:cs="Times New Roman"/>
                <w:b/>
                <w:bCs/>
                <w:sz w:val="24"/>
                <w:szCs w:val="24"/>
                <w:lang w:eastAsia="lv-LV"/>
              </w:rPr>
            </w:pPr>
            <w:r w:rsidRPr="004E4FBE">
              <w:rPr>
                <w:b/>
                <w:bCs/>
                <w:sz w:val="24"/>
                <w:szCs w:val="24"/>
              </w:rPr>
              <w:t>38 485 714</w:t>
            </w:r>
          </w:p>
        </w:tc>
        <w:tc>
          <w:tcPr>
            <w:tcW w:w="138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EEFB92" w14:textId="33BB6BCF" w:rsidR="00995B77" w:rsidRPr="004E4FBE" w:rsidRDefault="00995B77" w:rsidP="004E4FBE">
            <w:pPr>
              <w:spacing w:after="120"/>
              <w:jc w:val="center"/>
              <w:rPr>
                <w:rFonts w:eastAsia="Times New Roman" w:cs="Times New Roman"/>
                <w:b/>
                <w:bCs/>
                <w:sz w:val="24"/>
                <w:szCs w:val="24"/>
                <w:lang w:eastAsia="lv-LV"/>
              </w:rPr>
            </w:pPr>
            <w:r w:rsidRPr="004E4FBE">
              <w:rPr>
                <w:b/>
                <w:bCs/>
                <w:sz w:val="24"/>
                <w:szCs w:val="24"/>
              </w:rPr>
              <w:t>20 091 238</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35FCD2" w14:textId="3823A58A" w:rsidR="00995B77" w:rsidRPr="004E4FBE" w:rsidRDefault="00995B77" w:rsidP="004E4FBE">
            <w:pPr>
              <w:spacing w:after="120"/>
              <w:jc w:val="center"/>
              <w:rPr>
                <w:rFonts w:eastAsia="Times New Roman" w:cs="Times New Roman"/>
                <w:b/>
                <w:bCs/>
                <w:sz w:val="24"/>
                <w:szCs w:val="24"/>
                <w:lang w:eastAsia="lv-LV"/>
              </w:rPr>
            </w:pPr>
            <w:r w:rsidRPr="004E4FBE">
              <w:rPr>
                <w:b/>
                <w:bCs/>
                <w:sz w:val="24"/>
                <w:szCs w:val="24"/>
              </w:rPr>
              <w:t>23 575 720</w:t>
            </w:r>
          </w:p>
        </w:tc>
      </w:tr>
      <w:tr w:rsidR="00F619FC" w:rsidRPr="004E4FBE" w14:paraId="11D8F6FD" w14:textId="77777777" w:rsidTr="71872EFF">
        <w:trPr>
          <w:trHeight w:val="525"/>
        </w:trPr>
        <w:tc>
          <w:tcPr>
            <w:tcW w:w="4632" w:type="dxa"/>
            <w:tcBorders>
              <w:top w:val="single" w:sz="8" w:space="0" w:color="auto"/>
              <w:left w:val="single" w:sz="8" w:space="0" w:color="auto"/>
              <w:bottom w:val="single" w:sz="8" w:space="0" w:color="auto"/>
              <w:right w:val="nil"/>
            </w:tcBorders>
            <w:shd w:val="clear" w:color="auto" w:fill="auto"/>
            <w:vAlign w:val="center"/>
            <w:hideMark/>
          </w:tcPr>
          <w:p w14:paraId="1FB90F5E" w14:textId="52397094" w:rsidR="00995B77" w:rsidRPr="004E4FBE" w:rsidRDefault="006A1040" w:rsidP="004E4FBE">
            <w:pPr>
              <w:spacing w:after="120"/>
              <w:rPr>
                <w:rFonts w:eastAsia="Times New Roman" w:cs="Times New Roman"/>
                <w:sz w:val="24"/>
                <w:szCs w:val="24"/>
                <w:lang w:eastAsia="lv-LV"/>
              </w:rPr>
            </w:pPr>
            <w:r>
              <w:rPr>
                <w:rFonts w:eastAsia="Times New Roman" w:cs="Times New Roman"/>
                <w:sz w:val="24"/>
                <w:szCs w:val="24"/>
                <w:lang w:eastAsia="lv-LV"/>
              </w:rPr>
              <w:t>AS "Latvenergo" dividendes</w:t>
            </w:r>
            <w:r w:rsidRPr="004F2333">
              <w:rPr>
                <w:rFonts w:eastAsia="Times New Roman" w:cs="Times New Roman"/>
                <w:color w:val="FF0000"/>
                <w:sz w:val="24"/>
                <w:szCs w:val="24"/>
                <w:lang w:eastAsia="lv-LV"/>
              </w:rPr>
              <w:t xml:space="preserve"> </w:t>
            </w:r>
            <w:r w:rsidR="00995B77" w:rsidRPr="004E4FBE">
              <w:rPr>
                <w:rFonts w:eastAsia="Times New Roman" w:cs="Times New Roman"/>
                <w:sz w:val="24"/>
                <w:szCs w:val="24"/>
                <w:lang w:eastAsia="lv-LV"/>
              </w:rPr>
              <w:t>elektroenerģijas ražotāju, aizsargāto lietotāju un energoietilpīgo uzņēmumu vajadzībām</w:t>
            </w:r>
          </w:p>
        </w:tc>
        <w:tc>
          <w:tcPr>
            <w:tcW w:w="151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98F5EB8" w14:textId="6CB6E27A" w:rsidR="00995B77" w:rsidRPr="004E4FBE" w:rsidRDefault="00995B77" w:rsidP="004E4FBE">
            <w:pPr>
              <w:spacing w:after="120"/>
              <w:jc w:val="center"/>
              <w:rPr>
                <w:rFonts w:eastAsia="Times New Roman" w:cs="Times New Roman"/>
                <w:sz w:val="24"/>
                <w:szCs w:val="24"/>
                <w:lang w:eastAsia="lv-LV"/>
              </w:rPr>
            </w:pPr>
            <w:r w:rsidRPr="004E4FBE">
              <w:rPr>
                <w:sz w:val="24"/>
                <w:szCs w:val="24"/>
              </w:rPr>
              <w:t>38 485 714</w:t>
            </w:r>
          </w:p>
        </w:tc>
        <w:tc>
          <w:tcPr>
            <w:tcW w:w="138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C317CF5" w14:textId="3F1B4F7E" w:rsidR="00995B77" w:rsidRPr="004E4FBE" w:rsidRDefault="00995B77" w:rsidP="004E4FBE">
            <w:pPr>
              <w:spacing w:after="120"/>
              <w:jc w:val="center"/>
              <w:rPr>
                <w:rFonts w:eastAsia="Times New Roman" w:cs="Times New Roman"/>
                <w:sz w:val="24"/>
                <w:szCs w:val="24"/>
                <w:lang w:eastAsia="lv-LV"/>
              </w:rPr>
            </w:pPr>
            <w:r w:rsidRPr="004E4FBE">
              <w:rPr>
                <w:sz w:val="24"/>
                <w:szCs w:val="24"/>
              </w:rPr>
              <w:t>20 091 238</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937AC1" w14:textId="15C56147" w:rsidR="00995B77" w:rsidRPr="004E4FBE" w:rsidRDefault="00995B77" w:rsidP="004E4FBE">
            <w:pPr>
              <w:spacing w:after="120"/>
              <w:jc w:val="center"/>
              <w:rPr>
                <w:rFonts w:eastAsia="Times New Roman" w:cs="Times New Roman"/>
                <w:sz w:val="24"/>
                <w:szCs w:val="24"/>
                <w:lang w:eastAsia="lv-LV"/>
              </w:rPr>
            </w:pPr>
            <w:r w:rsidRPr="004E4FBE">
              <w:rPr>
                <w:sz w:val="24"/>
                <w:szCs w:val="24"/>
              </w:rPr>
              <w:t>23 575 720</w:t>
            </w:r>
          </w:p>
        </w:tc>
      </w:tr>
      <w:tr w:rsidR="00F619FC" w:rsidRPr="004E4FBE" w14:paraId="0E689F22" w14:textId="77777777" w:rsidTr="71872EFF">
        <w:trPr>
          <w:trHeight w:val="278"/>
        </w:trPr>
        <w:tc>
          <w:tcPr>
            <w:tcW w:w="4632" w:type="dxa"/>
            <w:tcBorders>
              <w:top w:val="single" w:sz="8" w:space="0" w:color="auto"/>
              <w:left w:val="single" w:sz="8" w:space="0" w:color="auto"/>
              <w:bottom w:val="single" w:sz="8" w:space="0" w:color="auto"/>
              <w:right w:val="nil"/>
            </w:tcBorders>
            <w:shd w:val="clear" w:color="auto" w:fill="auto"/>
            <w:noWrap/>
            <w:vAlign w:val="center"/>
            <w:hideMark/>
          </w:tcPr>
          <w:p w14:paraId="4B87F637" w14:textId="77777777" w:rsidR="00995B77" w:rsidRPr="004E4FBE" w:rsidRDefault="00995B77"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Bilance</w:t>
            </w:r>
          </w:p>
        </w:tc>
        <w:tc>
          <w:tcPr>
            <w:tcW w:w="151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9FD8B10" w14:textId="5031A5BA" w:rsidR="00995B77" w:rsidRPr="004E4FBE" w:rsidRDefault="00995B77" w:rsidP="004E4FBE">
            <w:pPr>
              <w:spacing w:after="120"/>
              <w:jc w:val="center"/>
              <w:rPr>
                <w:rFonts w:eastAsia="Times New Roman" w:cs="Times New Roman"/>
                <w:b/>
                <w:bCs/>
                <w:sz w:val="24"/>
                <w:szCs w:val="24"/>
                <w:lang w:eastAsia="lv-LV"/>
              </w:rPr>
            </w:pPr>
            <w:r w:rsidRPr="004E4FBE">
              <w:rPr>
                <w:b/>
                <w:bCs/>
                <w:sz w:val="24"/>
                <w:szCs w:val="24"/>
              </w:rPr>
              <w:t>0</w:t>
            </w:r>
          </w:p>
        </w:tc>
        <w:tc>
          <w:tcPr>
            <w:tcW w:w="138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ECCB655" w14:textId="1BAFAE9C" w:rsidR="00995B77" w:rsidRPr="004E4FBE" w:rsidRDefault="00995B77" w:rsidP="004E4FBE">
            <w:pPr>
              <w:spacing w:after="120"/>
              <w:jc w:val="center"/>
              <w:rPr>
                <w:rFonts w:eastAsia="Times New Roman" w:cs="Times New Roman"/>
                <w:b/>
                <w:bCs/>
                <w:sz w:val="24"/>
                <w:szCs w:val="24"/>
                <w:lang w:eastAsia="lv-LV"/>
              </w:rPr>
            </w:pPr>
            <w:r w:rsidRPr="004E4FBE">
              <w:rPr>
                <w:b/>
                <w:bCs/>
                <w:sz w:val="24"/>
                <w:szCs w:val="24"/>
              </w:rPr>
              <w:t>0</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7BCCB3" w14:textId="3DCA4893" w:rsidR="00995B77" w:rsidRPr="004E4FBE" w:rsidRDefault="00995B77" w:rsidP="004E4FBE">
            <w:pPr>
              <w:spacing w:after="120"/>
              <w:jc w:val="center"/>
              <w:rPr>
                <w:rFonts w:eastAsia="Times New Roman" w:cs="Times New Roman"/>
                <w:b/>
                <w:bCs/>
                <w:sz w:val="24"/>
                <w:szCs w:val="24"/>
                <w:lang w:eastAsia="lv-LV"/>
              </w:rPr>
            </w:pPr>
            <w:r w:rsidRPr="004E4FBE">
              <w:rPr>
                <w:b/>
                <w:bCs/>
                <w:sz w:val="24"/>
                <w:szCs w:val="24"/>
              </w:rPr>
              <w:t>0</w:t>
            </w:r>
          </w:p>
        </w:tc>
      </w:tr>
    </w:tbl>
    <w:p w14:paraId="5CD2083F" w14:textId="77777777" w:rsidR="006B1FFF" w:rsidRPr="006B1FFF" w:rsidRDefault="006B1FFF" w:rsidP="006B1FFF"/>
    <w:p w14:paraId="4C62DD79" w14:textId="77777777" w:rsidR="00CE5111" w:rsidRPr="00CE5111" w:rsidRDefault="00CE5111" w:rsidP="00CE5111"/>
    <w:p w14:paraId="3F9E40D3" w14:textId="144F0832" w:rsidR="00502E1D" w:rsidRPr="004E4FBE" w:rsidRDefault="00AA4890"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12</w:t>
      </w:r>
      <w:r w:rsidR="00502E1D" w:rsidRPr="004E4FBE">
        <w:rPr>
          <w:rFonts w:ascii="Times New Roman" w:hAnsi="Times New Roman"/>
          <w:color w:val="auto"/>
          <w:sz w:val="24"/>
          <w:szCs w:val="24"/>
        </w:rPr>
        <w:t>. tabula</w:t>
      </w:r>
    </w:p>
    <w:p w14:paraId="24B9FB82" w14:textId="28C2FF90" w:rsidR="00095298" w:rsidRPr="004E4FBE" w:rsidRDefault="00095298" w:rsidP="00095298">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Valsts budžetā paredzamais finansējums OIK, aizsargāto lietotāju, energoietilpīgo uzņēmumu atbalsta</w:t>
      </w:r>
      <w:r w:rsidR="00CF4BB0">
        <w:rPr>
          <w:rFonts w:ascii="Times New Roman" w:hAnsi="Times New Roman"/>
          <w:color w:val="auto"/>
          <w:sz w:val="24"/>
          <w:szCs w:val="24"/>
        </w:rPr>
        <w:t xml:space="preserve">, </w:t>
      </w:r>
      <w:r w:rsidRPr="006B1FFF">
        <w:rPr>
          <w:rFonts w:ascii="Times New Roman" w:hAnsi="Times New Roman"/>
          <w:color w:val="auto"/>
          <w:sz w:val="24"/>
          <w:szCs w:val="24"/>
        </w:rPr>
        <w:t xml:space="preserve"> </w:t>
      </w:r>
      <w:r w:rsidR="00CF4BB0">
        <w:rPr>
          <w:rFonts w:ascii="Times New Roman" w:hAnsi="Times New Roman"/>
          <w:color w:val="auto"/>
          <w:sz w:val="24"/>
          <w:szCs w:val="24"/>
        </w:rPr>
        <w:t xml:space="preserve">VPP un </w:t>
      </w:r>
      <w:r w:rsidRPr="006B1FFF">
        <w:rPr>
          <w:rFonts w:ascii="Times New Roman" w:hAnsi="Times New Roman"/>
          <w:color w:val="auto"/>
          <w:sz w:val="24"/>
          <w:szCs w:val="24"/>
        </w:rPr>
        <w:t xml:space="preserve">NEKP pētniecības daļas </w:t>
      </w:r>
      <w:r w:rsidRPr="004E4FBE">
        <w:rPr>
          <w:rFonts w:ascii="Times New Roman" w:hAnsi="Times New Roman"/>
          <w:color w:val="auto"/>
          <w:sz w:val="24"/>
          <w:szCs w:val="24"/>
        </w:rPr>
        <w:t>īstenošanas, pēc naudas plūsmas metodes, EUR</w:t>
      </w:r>
    </w:p>
    <w:tbl>
      <w:tblPr>
        <w:tblW w:w="9004" w:type="dxa"/>
        <w:tblLook w:val="04A0" w:firstRow="1" w:lastRow="0" w:firstColumn="1" w:lastColumn="0" w:noHBand="0" w:noVBand="1"/>
      </w:tblPr>
      <w:tblGrid>
        <w:gridCol w:w="4465"/>
        <w:gridCol w:w="1513"/>
        <w:gridCol w:w="1513"/>
        <w:gridCol w:w="1513"/>
      </w:tblGrid>
      <w:tr w:rsidR="004E4FBE" w:rsidRPr="004E4FBE" w14:paraId="14DF06EB" w14:textId="77777777" w:rsidTr="0008370F">
        <w:trPr>
          <w:trHeight w:val="254"/>
        </w:trPr>
        <w:tc>
          <w:tcPr>
            <w:tcW w:w="44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613DEE" w14:textId="77777777" w:rsidR="00502E1D" w:rsidRPr="004E4FBE" w:rsidRDefault="00502E1D" w:rsidP="004E4FBE">
            <w:pPr>
              <w:spacing w:after="120"/>
              <w:jc w:val="left"/>
              <w:rPr>
                <w:rFonts w:eastAsia="Times New Roman" w:cs="Times New Roman"/>
                <w:sz w:val="24"/>
                <w:szCs w:val="24"/>
                <w:lang w:eastAsia="lv-LV"/>
              </w:rPr>
            </w:pPr>
            <w:r w:rsidRPr="004E4FBE">
              <w:rPr>
                <w:rFonts w:eastAsia="Times New Roman" w:cs="Times New Roman"/>
                <w:sz w:val="24"/>
                <w:szCs w:val="24"/>
                <w:lang w:eastAsia="lv-LV"/>
              </w:rPr>
              <w:t> </w:t>
            </w:r>
          </w:p>
        </w:tc>
        <w:tc>
          <w:tcPr>
            <w:tcW w:w="1513" w:type="dxa"/>
            <w:tcBorders>
              <w:top w:val="single" w:sz="8" w:space="0" w:color="auto"/>
              <w:left w:val="nil"/>
              <w:bottom w:val="nil"/>
              <w:right w:val="single" w:sz="4" w:space="0" w:color="auto"/>
            </w:tcBorders>
            <w:shd w:val="clear" w:color="auto" w:fill="auto"/>
            <w:vAlign w:val="center"/>
            <w:hideMark/>
          </w:tcPr>
          <w:p w14:paraId="339195EC"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2021</w:t>
            </w:r>
          </w:p>
        </w:tc>
        <w:tc>
          <w:tcPr>
            <w:tcW w:w="1513" w:type="dxa"/>
            <w:tcBorders>
              <w:top w:val="single" w:sz="8" w:space="0" w:color="auto"/>
              <w:left w:val="nil"/>
              <w:bottom w:val="nil"/>
              <w:right w:val="single" w:sz="4" w:space="0" w:color="auto"/>
            </w:tcBorders>
            <w:shd w:val="clear" w:color="auto" w:fill="auto"/>
            <w:vAlign w:val="center"/>
            <w:hideMark/>
          </w:tcPr>
          <w:p w14:paraId="73315CFE"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2022</w:t>
            </w:r>
          </w:p>
        </w:tc>
        <w:tc>
          <w:tcPr>
            <w:tcW w:w="1513" w:type="dxa"/>
            <w:tcBorders>
              <w:top w:val="single" w:sz="8" w:space="0" w:color="auto"/>
              <w:left w:val="nil"/>
              <w:bottom w:val="nil"/>
              <w:right w:val="single" w:sz="8" w:space="0" w:color="auto"/>
            </w:tcBorders>
            <w:shd w:val="clear" w:color="auto" w:fill="auto"/>
            <w:vAlign w:val="center"/>
            <w:hideMark/>
          </w:tcPr>
          <w:p w14:paraId="47C96972"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2023</w:t>
            </w:r>
          </w:p>
        </w:tc>
      </w:tr>
      <w:tr w:rsidR="004E4FBE" w:rsidRPr="004E4FBE" w14:paraId="70D4EBE8" w14:textId="77777777" w:rsidTr="0008370F">
        <w:trPr>
          <w:trHeight w:val="239"/>
        </w:trPr>
        <w:tc>
          <w:tcPr>
            <w:tcW w:w="4465" w:type="dxa"/>
            <w:tcBorders>
              <w:top w:val="nil"/>
              <w:left w:val="single" w:sz="8" w:space="0" w:color="auto"/>
              <w:bottom w:val="single" w:sz="4" w:space="0" w:color="auto"/>
              <w:right w:val="single" w:sz="8" w:space="0" w:color="auto"/>
            </w:tcBorders>
            <w:shd w:val="clear" w:color="auto" w:fill="auto"/>
            <w:vAlign w:val="center"/>
            <w:hideMark/>
          </w:tcPr>
          <w:p w14:paraId="4B192A4E" w14:textId="478E78A6" w:rsidR="0039342D" w:rsidRPr="004E4FBE" w:rsidRDefault="0039342D" w:rsidP="004E4FBE">
            <w:pPr>
              <w:spacing w:after="120"/>
              <w:jc w:val="left"/>
              <w:rPr>
                <w:rFonts w:eastAsia="Times New Roman" w:cs="Times New Roman"/>
                <w:sz w:val="24"/>
                <w:szCs w:val="24"/>
                <w:lang w:eastAsia="lv-LV"/>
              </w:rPr>
            </w:pPr>
            <w:r w:rsidRPr="004E4FBE">
              <w:rPr>
                <w:rFonts w:eastAsia="Times New Roman" w:cs="Times New Roman"/>
                <w:sz w:val="24"/>
                <w:szCs w:val="24"/>
                <w:lang w:eastAsia="lv-LV"/>
              </w:rPr>
              <w:t xml:space="preserve">Finansējums OIK apmēra mazināšanai </w:t>
            </w:r>
          </w:p>
        </w:tc>
        <w:tc>
          <w:tcPr>
            <w:tcW w:w="1513" w:type="dxa"/>
            <w:tcBorders>
              <w:top w:val="single" w:sz="8" w:space="0" w:color="auto"/>
              <w:left w:val="nil"/>
              <w:bottom w:val="single" w:sz="4" w:space="0" w:color="auto"/>
              <w:right w:val="single" w:sz="4" w:space="0" w:color="auto"/>
            </w:tcBorders>
            <w:shd w:val="clear" w:color="auto" w:fill="auto"/>
            <w:vAlign w:val="center"/>
            <w:hideMark/>
          </w:tcPr>
          <w:p w14:paraId="1F78D060" w14:textId="36FA2302" w:rsidR="0039342D" w:rsidRPr="004E4FBE" w:rsidRDefault="0039342D" w:rsidP="004E4FBE">
            <w:pPr>
              <w:spacing w:after="120"/>
              <w:jc w:val="center"/>
              <w:rPr>
                <w:rFonts w:eastAsia="Times New Roman" w:cs="Times New Roman"/>
                <w:sz w:val="24"/>
                <w:szCs w:val="24"/>
                <w:lang w:eastAsia="lv-LV"/>
              </w:rPr>
            </w:pPr>
            <w:r w:rsidRPr="004E4FBE">
              <w:rPr>
                <w:sz w:val="24"/>
                <w:szCs w:val="24"/>
              </w:rPr>
              <w:t>12 576 857</w:t>
            </w:r>
          </w:p>
        </w:tc>
        <w:tc>
          <w:tcPr>
            <w:tcW w:w="1513" w:type="dxa"/>
            <w:tcBorders>
              <w:top w:val="single" w:sz="8" w:space="0" w:color="auto"/>
              <w:left w:val="nil"/>
              <w:bottom w:val="single" w:sz="4" w:space="0" w:color="auto"/>
              <w:right w:val="single" w:sz="4" w:space="0" w:color="auto"/>
            </w:tcBorders>
            <w:shd w:val="clear" w:color="auto" w:fill="auto"/>
            <w:vAlign w:val="center"/>
            <w:hideMark/>
          </w:tcPr>
          <w:p w14:paraId="78DEA4C6" w14:textId="351DCA16" w:rsidR="0039342D" w:rsidRPr="004E4FBE" w:rsidRDefault="0039342D" w:rsidP="004E4FBE">
            <w:pPr>
              <w:spacing w:after="120"/>
              <w:jc w:val="center"/>
              <w:rPr>
                <w:rFonts w:eastAsia="Times New Roman" w:cs="Times New Roman"/>
                <w:sz w:val="24"/>
                <w:szCs w:val="24"/>
                <w:lang w:eastAsia="lv-LV"/>
              </w:rPr>
            </w:pPr>
            <w:r w:rsidRPr="004E4FBE">
              <w:rPr>
                <w:sz w:val="24"/>
                <w:szCs w:val="24"/>
              </w:rPr>
              <w:t>0</w:t>
            </w:r>
          </w:p>
        </w:tc>
        <w:tc>
          <w:tcPr>
            <w:tcW w:w="1513" w:type="dxa"/>
            <w:tcBorders>
              <w:top w:val="single" w:sz="8" w:space="0" w:color="auto"/>
              <w:left w:val="nil"/>
              <w:bottom w:val="single" w:sz="4" w:space="0" w:color="auto"/>
              <w:right w:val="single" w:sz="8" w:space="0" w:color="auto"/>
            </w:tcBorders>
            <w:shd w:val="clear" w:color="auto" w:fill="auto"/>
            <w:vAlign w:val="center"/>
            <w:hideMark/>
          </w:tcPr>
          <w:p w14:paraId="10643F16" w14:textId="52DE76F9" w:rsidR="0039342D" w:rsidRPr="004E4FBE" w:rsidRDefault="0039342D" w:rsidP="004E4FBE">
            <w:pPr>
              <w:spacing w:after="120"/>
              <w:jc w:val="center"/>
              <w:rPr>
                <w:rFonts w:eastAsia="Times New Roman" w:cs="Times New Roman"/>
                <w:sz w:val="24"/>
                <w:szCs w:val="24"/>
                <w:lang w:eastAsia="lv-LV"/>
              </w:rPr>
            </w:pPr>
            <w:r w:rsidRPr="004E4FBE">
              <w:rPr>
                <w:sz w:val="24"/>
                <w:szCs w:val="24"/>
              </w:rPr>
              <w:t>0</w:t>
            </w:r>
          </w:p>
        </w:tc>
      </w:tr>
      <w:tr w:rsidR="004E4FBE" w:rsidRPr="004E4FBE" w14:paraId="30A6AC50" w14:textId="77777777" w:rsidTr="0008370F">
        <w:trPr>
          <w:trHeight w:val="239"/>
        </w:trPr>
        <w:tc>
          <w:tcPr>
            <w:tcW w:w="4465" w:type="dxa"/>
            <w:tcBorders>
              <w:top w:val="nil"/>
              <w:left w:val="single" w:sz="8" w:space="0" w:color="auto"/>
              <w:bottom w:val="single" w:sz="4" w:space="0" w:color="auto"/>
              <w:right w:val="single" w:sz="8" w:space="0" w:color="auto"/>
            </w:tcBorders>
            <w:shd w:val="clear" w:color="auto" w:fill="auto"/>
            <w:vAlign w:val="center"/>
            <w:hideMark/>
          </w:tcPr>
          <w:p w14:paraId="336B16F9" w14:textId="77777777" w:rsidR="0039342D" w:rsidRPr="004E4FBE" w:rsidRDefault="0039342D" w:rsidP="004E4FBE">
            <w:pPr>
              <w:spacing w:after="120"/>
              <w:jc w:val="left"/>
              <w:rPr>
                <w:rFonts w:eastAsia="Times New Roman" w:cs="Times New Roman"/>
                <w:sz w:val="24"/>
                <w:szCs w:val="24"/>
                <w:lang w:eastAsia="lv-LV"/>
              </w:rPr>
            </w:pPr>
            <w:r w:rsidRPr="004E4FBE">
              <w:rPr>
                <w:rFonts w:eastAsia="Times New Roman" w:cs="Times New Roman"/>
                <w:sz w:val="24"/>
                <w:szCs w:val="24"/>
                <w:lang w:eastAsia="lv-LV"/>
              </w:rPr>
              <w:lastRenderedPageBreak/>
              <w:t>Energoietilpīgo uzņēmumu atbalsta finansēšana</w:t>
            </w:r>
          </w:p>
        </w:tc>
        <w:tc>
          <w:tcPr>
            <w:tcW w:w="1513" w:type="dxa"/>
            <w:tcBorders>
              <w:top w:val="nil"/>
              <w:left w:val="nil"/>
              <w:bottom w:val="single" w:sz="4" w:space="0" w:color="auto"/>
              <w:right w:val="single" w:sz="4" w:space="0" w:color="auto"/>
            </w:tcBorders>
            <w:shd w:val="clear" w:color="auto" w:fill="auto"/>
            <w:vAlign w:val="center"/>
            <w:hideMark/>
          </w:tcPr>
          <w:p w14:paraId="2E5D1351" w14:textId="3B870526" w:rsidR="0039342D" w:rsidRPr="004E4FBE" w:rsidRDefault="0039342D" w:rsidP="004E4FBE">
            <w:pPr>
              <w:spacing w:after="120"/>
              <w:jc w:val="center"/>
              <w:rPr>
                <w:rFonts w:eastAsia="Times New Roman" w:cs="Times New Roman"/>
                <w:sz w:val="24"/>
                <w:szCs w:val="24"/>
                <w:lang w:eastAsia="lv-LV"/>
              </w:rPr>
            </w:pPr>
            <w:r w:rsidRPr="004E4FBE">
              <w:rPr>
                <w:sz w:val="24"/>
                <w:szCs w:val="24"/>
              </w:rPr>
              <w:t>7 000 000</w:t>
            </w:r>
          </w:p>
        </w:tc>
        <w:tc>
          <w:tcPr>
            <w:tcW w:w="1513" w:type="dxa"/>
            <w:tcBorders>
              <w:top w:val="nil"/>
              <w:left w:val="nil"/>
              <w:bottom w:val="single" w:sz="4" w:space="0" w:color="auto"/>
              <w:right w:val="single" w:sz="4" w:space="0" w:color="auto"/>
            </w:tcBorders>
            <w:shd w:val="clear" w:color="auto" w:fill="auto"/>
            <w:vAlign w:val="center"/>
            <w:hideMark/>
          </w:tcPr>
          <w:p w14:paraId="43BAE17E" w14:textId="45DD62B6" w:rsidR="0039342D" w:rsidRPr="004E4FBE" w:rsidRDefault="0039342D" w:rsidP="004E4FBE">
            <w:pPr>
              <w:spacing w:after="120"/>
              <w:jc w:val="center"/>
              <w:rPr>
                <w:rFonts w:eastAsia="Times New Roman" w:cs="Times New Roman"/>
                <w:sz w:val="24"/>
                <w:szCs w:val="24"/>
                <w:lang w:eastAsia="lv-LV"/>
              </w:rPr>
            </w:pPr>
            <w:r w:rsidRPr="004E4FBE">
              <w:rPr>
                <w:sz w:val="24"/>
                <w:szCs w:val="24"/>
              </w:rPr>
              <w:t>533 940</w:t>
            </w:r>
          </w:p>
        </w:tc>
        <w:tc>
          <w:tcPr>
            <w:tcW w:w="1513" w:type="dxa"/>
            <w:tcBorders>
              <w:top w:val="nil"/>
              <w:left w:val="nil"/>
              <w:bottom w:val="single" w:sz="4" w:space="0" w:color="auto"/>
              <w:right w:val="single" w:sz="8" w:space="0" w:color="auto"/>
            </w:tcBorders>
            <w:shd w:val="clear" w:color="auto" w:fill="auto"/>
            <w:vAlign w:val="center"/>
            <w:hideMark/>
          </w:tcPr>
          <w:p w14:paraId="73697B28" w14:textId="5920CD23" w:rsidR="0039342D" w:rsidRPr="004E4FBE" w:rsidRDefault="0039342D" w:rsidP="004E4FBE">
            <w:pPr>
              <w:spacing w:after="120"/>
              <w:jc w:val="center"/>
              <w:rPr>
                <w:rFonts w:eastAsia="Times New Roman" w:cs="Times New Roman"/>
                <w:sz w:val="24"/>
                <w:szCs w:val="24"/>
                <w:lang w:eastAsia="lv-LV"/>
              </w:rPr>
            </w:pPr>
            <w:r w:rsidRPr="004E4FBE">
              <w:rPr>
                <w:sz w:val="24"/>
                <w:szCs w:val="24"/>
              </w:rPr>
              <w:t>0</w:t>
            </w:r>
          </w:p>
        </w:tc>
      </w:tr>
      <w:tr w:rsidR="004E4FBE" w:rsidRPr="004E4FBE" w14:paraId="4171E4D4" w14:textId="77777777" w:rsidTr="0008370F">
        <w:trPr>
          <w:trHeight w:val="254"/>
        </w:trPr>
        <w:tc>
          <w:tcPr>
            <w:tcW w:w="4465" w:type="dxa"/>
            <w:tcBorders>
              <w:top w:val="nil"/>
              <w:left w:val="single" w:sz="8" w:space="0" w:color="auto"/>
              <w:bottom w:val="single" w:sz="4" w:space="0" w:color="auto"/>
              <w:right w:val="single" w:sz="8" w:space="0" w:color="auto"/>
            </w:tcBorders>
            <w:shd w:val="clear" w:color="auto" w:fill="auto"/>
            <w:vAlign w:val="center"/>
            <w:hideMark/>
          </w:tcPr>
          <w:p w14:paraId="052D396E" w14:textId="22E62F88" w:rsidR="0039342D" w:rsidRPr="004E4FBE" w:rsidRDefault="00095298" w:rsidP="004E4FBE">
            <w:pPr>
              <w:spacing w:after="120"/>
              <w:jc w:val="left"/>
              <w:rPr>
                <w:rFonts w:eastAsia="Times New Roman" w:cs="Times New Roman"/>
                <w:sz w:val="24"/>
                <w:szCs w:val="24"/>
                <w:lang w:eastAsia="lv-LV"/>
              </w:rPr>
            </w:pPr>
            <w:r w:rsidRPr="004E4FBE">
              <w:rPr>
                <w:rFonts w:eastAsia="Times New Roman" w:cs="Times New Roman"/>
                <w:sz w:val="24"/>
                <w:szCs w:val="24"/>
                <w:lang w:eastAsia="lv-LV"/>
              </w:rPr>
              <w:t>Aizsargāto lietotāju atbalsta finansējums</w:t>
            </w:r>
          </w:p>
        </w:tc>
        <w:tc>
          <w:tcPr>
            <w:tcW w:w="1513" w:type="dxa"/>
            <w:tcBorders>
              <w:top w:val="nil"/>
              <w:left w:val="nil"/>
              <w:bottom w:val="single" w:sz="4" w:space="0" w:color="auto"/>
              <w:right w:val="single" w:sz="4" w:space="0" w:color="auto"/>
            </w:tcBorders>
            <w:shd w:val="clear" w:color="auto" w:fill="auto"/>
            <w:vAlign w:val="center"/>
            <w:hideMark/>
          </w:tcPr>
          <w:p w14:paraId="3300E590" w14:textId="5CB24F96" w:rsidR="0039342D" w:rsidRPr="004E4FBE" w:rsidRDefault="00095298" w:rsidP="004E4FBE">
            <w:pPr>
              <w:spacing w:after="120"/>
              <w:jc w:val="center"/>
              <w:rPr>
                <w:rFonts w:eastAsia="Times New Roman" w:cs="Times New Roman"/>
                <w:sz w:val="24"/>
                <w:szCs w:val="24"/>
                <w:lang w:eastAsia="lv-LV"/>
              </w:rPr>
            </w:pPr>
            <w:r w:rsidRPr="004E4FBE">
              <w:rPr>
                <w:sz w:val="24"/>
                <w:szCs w:val="24"/>
              </w:rPr>
              <w:t>12 000 000</w:t>
            </w:r>
          </w:p>
        </w:tc>
        <w:tc>
          <w:tcPr>
            <w:tcW w:w="1513" w:type="dxa"/>
            <w:tcBorders>
              <w:top w:val="nil"/>
              <w:left w:val="nil"/>
              <w:bottom w:val="single" w:sz="4" w:space="0" w:color="auto"/>
              <w:right w:val="single" w:sz="4" w:space="0" w:color="auto"/>
            </w:tcBorders>
            <w:shd w:val="clear" w:color="auto" w:fill="auto"/>
            <w:vAlign w:val="center"/>
            <w:hideMark/>
          </w:tcPr>
          <w:p w14:paraId="44738C6B" w14:textId="1207E192" w:rsidR="0039342D" w:rsidRPr="004E4FBE" w:rsidRDefault="00095298" w:rsidP="004E4FBE">
            <w:pPr>
              <w:spacing w:after="120"/>
              <w:jc w:val="center"/>
              <w:rPr>
                <w:rFonts w:eastAsia="Times New Roman" w:cs="Times New Roman"/>
                <w:sz w:val="24"/>
                <w:szCs w:val="24"/>
                <w:lang w:eastAsia="lv-LV"/>
              </w:rPr>
            </w:pPr>
            <w:r w:rsidRPr="004E4FBE">
              <w:rPr>
                <w:sz w:val="24"/>
                <w:szCs w:val="24"/>
              </w:rPr>
              <w:t>12 000 000</w:t>
            </w:r>
          </w:p>
        </w:tc>
        <w:tc>
          <w:tcPr>
            <w:tcW w:w="1513" w:type="dxa"/>
            <w:tcBorders>
              <w:top w:val="nil"/>
              <w:left w:val="nil"/>
              <w:bottom w:val="single" w:sz="4" w:space="0" w:color="auto"/>
              <w:right w:val="single" w:sz="8" w:space="0" w:color="auto"/>
            </w:tcBorders>
            <w:shd w:val="clear" w:color="auto" w:fill="auto"/>
            <w:vAlign w:val="center"/>
            <w:hideMark/>
          </w:tcPr>
          <w:p w14:paraId="1FDECD2C" w14:textId="74AF5BB0" w:rsidR="0039342D" w:rsidRPr="004E4FBE" w:rsidRDefault="00095298" w:rsidP="004E4FBE">
            <w:pPr>
              <w:spacing w:after="120"/>
              <w:jc w:val="center"/>
              <w:rPr>
                <w:rFonts w:eastAsia="Times New Roman" w:cs="Times New Roman"/>
                <w:sz w:val="24"/>
                <w:szCs w:val="24"/>
                <w:lang w:eastAsia="lv-LV"/>
              </w:rPr>
            </w:pPr>
            <w:r w:rsidRPr="004E4FBE">
              <w:rPr>
                <w:sz w:val="24"/>
                <w:szCs w:val="24"/>
              </w:rPr>
              <w:t>12 000 000</w:t>
            </w:r>
          </w:p>
        </w:tc>
      </w:tr>
      <w:tr w:rsidR="004E4FBE" w:rsidRPr="004E4FBE" w14:paraId="2ABA65D5" w14:textId="77777777" w:rsidTr="0008370F">
        <w:trPr>
          <w:trHeight w:val="239"/>
        </w:trPr>
        <w:tc>
          <w:tcPr>
            <w:tcW w:w="446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9647CAC" w14:textId="13405B8F" w:rsidR="0039342D" w:rsidRPr="004E4FBE" w:rsidRDefault="00095298" w:rsidP="004E4FBE">
            <w:pPr>
              <w:spacing w:after="120"/>
              <w:jc w:val="left"/>
              <w:rPr>
                <w:rFonts w:eastAsia="Times New Roman" w:cs="Times New Roman"/>
                <w:sz w:val="24"/>
                <w:szCs w:val="24"/>
                <w:lang w:eastAsia="lv-LV"/>
              </w:rPr>
            </w:pPr>
            <w:r w:rsidRPr="0008370F">
              <w:rPr>
                <w:rFonts w:eastAsia="Times New Roman" w:cs="Times New Roman"/>
                <w:sz w:val="24"/>
                <w:szCs w:val="24"/>
                <w:lang w:eastAsia="lv-LV"/>
              </w:rPr>
              <w:t>NEKP pētniecības daļas īstenošana</w:t>
            </w:r>
            <w:r w:rsidR="00C5381A">
              <w:rPr>
                <w:rFonts w:eastAsia="Times New Roman" w:cs="Times New Roman"/>
                <w:sz w:val="24"/>
                <w:szCs w:val="24"/>
                <w:lang w:eastAsia="lv-LV"/>
              </w:rPr>
              <w:t>, t.sk. administrēšanas vajadzībām</w:t>
            </w:r>
          </w:p>
        </w:tc>
        <w:tc>
          <w:tcPr>
            <w:tcW w:w="1513" w:type="dxa"/>
            <w:tcBorders>
              <w:top w:val="single" w:sz="4" w:space="0" w:color="auto"/>
              <w:left w:val="nil"/>
              <w:bottom w:val="single" w:sz="8" w:space="0" w:color="auto"/>
              <w:right w:val="single" w:sz="4" w:space="0" w:color="auto"/>
            </w:tcBorders>
            <w:shd w:val="clear" w:color="auto" w:fill="FFFFFF" w:themeFill="background1"/>
            <w:vAlign w:val="center"/>
            <w:hideMark/>
          </w:tcPr>
          <w:p w14:paraId="2F0F9C4A" w14:textId="3FB75DFC" w:rsidR="0039342D" w:rsidRPr="004E4FBE" w:rsidRDefault="00317198" w:rsidP="004E4FBE">
            <w:pPr>
              <w:spacing w:after="120"/>
              <w:jc w:val="center"/>
              <w:rPr>
                <w:rFonts w:eastAsia="Times New Roman" w:cs="Times New Roman"/>
                <w:sz w:val="24"/>
                <w:szCs w:val="24"/>
                <w:lang w:eastAsia="lv-LV"/>
              </w:rPr>
            </w:pPr>
            <w:r w:rsidRPr="005B0F6F">
              <w:rPr>
                <w:rFonts w:cs="Times New Roman"/>
                <w:sz w:val="24"/>
                <w:szCs w:val="24"/>
              </w:rPr>
              <w:t>1 403 014</w:t>
            </w:r>
          </w:p>
        </w:tc>
        <w:tc>
          <w:tcPr>
            <w:tcW w:w="1513" w:type="dxa"/>
            <w:tcBorders>
              <w:top w:val="nil"/>
              <w:left w:val="nil"/>
              <w:bottom w:val="single" w:sz="4" w:space="0" w:color="auto"/>
              <w:right w:val="single" w:sz="4" w:space="0" w:color="auto"/>
            </w:tcBorders>
            <w:shd w:val="clear" w:color="auto" w:fill="FFFFFF" w:themeFill="background1"/>
            <w:vAlign w:val="center"/>
            <w:hideMark/>
          </w:tcPr>
          <w:p w14:paraId="04EB9981" w14:textId="219920F1" w:rsidR="0039342D" w:rsidRPr="004E4FBE" w:rsidRDefault="0039342D" w:rsidP="004E4FBE">
            <w:pPr>
              <w:spacing w:after="120"/>
              <w:jc w:val="center"/>
              <w:rPr>
                <w:rFonts w:eastAsia="Times New Roman" w:cs="Times New Roman"/>
                <w:sz w:val="24"/>
                <w:szCs w:val="24"/>
                <w:lang w:eastAsia="lv-LV"/>
              </w:rPr>
            </w:pPr>
            <w:r w:rsidRPr="004E4FBE">
              <w:rPr>
                <w:sz w:val="24"/>
                <w:szCs w:val="24"/>
              </w:rPr>
              <w:t>2 000 000</w:t>
            </w:r>
          </w:p>
        </w:tc>
        <w:tc>
          <w:tcPr>
            <w:tcW w:w="1513" w:type="dxa"/>
            <w:tcBorders>
              <w:top w:val="nil"/>
              <w:left w:val="nil"/>
              <w:bottom w:val="single" w:sz="4" w:space="0" w:color="auto"/>
              <w:right w:val="single" w:sz="8" w:space="0" w:color="auto"/>
            </w:tcBorders>
            <w:shd w:val="clear" w:color="auto" w:fill="FFFFFF" w:themeFill="background1"/>
            <w:vAlign w:val="center"/>
            <w:hideMark/>
          </w:tcPr>
          <w:p w14:paraId="5D6C9C70" w14:textId="0A918290" w:rsidR="0039342D" w:rsidRPr="004E4FBE" w:rsidRDefault="0039342D" w:rsidP="004E4FBE">
            <w:pPr>
              <w:spacing w:after="120"/>
              <w:jc w:val="center"/>
              <w:rPr>
                <w:rFonts w:eastAsia="Times New Roman" w:cs="Times New Roman"/>
                <w:sz w:val="24"/>
                <w:szCs w:val="24"/>
                <w:lang w:eastAsia="lv-LV"/>
              </w:rPr>
            </w:pPr>
            <w:r w:rsidRPr="004E4FBE">
              <w:rPr>
                <w:sz w:val="24"/>
                <w:szCs w:val="24"/>
              </w:rPr>
              <w:t>2 000 000</w:t>
            </w:r>
          </w:p>
        </w:tc>
      </w:tr>
      <w:tr w:rsidR="00317198" w:rsidRPr="004E4FBE" w14:paraId="28311FBE" w14:textId="77777777" w:rsidTr="0008370F">
        <w:trPr>
          <w:trHeight w:val="239"/>
        </w:trPr>
        <w:tc>
          <w:tcPr>
            <w:tcW w:w="4465" w:type="dxa"/>
            <w:tcBorders>
              <w:top w:val="single" w:sz="4" w:space="0" w:color="auto"/>
              <w:left w:val="single" w:sz="8" w:space="0" w:color="auto"/>
              <w:bottom w:val="single" w:sz="8" w:space="0" w:color="auto"/>
              <w:right w:val="single" w:sz="8" w:space="0" w:color="auto"/>
            </w:tcBorders>
            <w:shd w:val="clear" w:color="auto" w:fill="auto"/>
            <w:vAlign w:val="center"/>
          </w:tcPr>
          <w:p w14:paraId="30BDBE99" w14:textId="1B75575A" w:rsidR="00317198" w:rsidRPr="0008370F" w:rsidRDefault="00317198" w:rsidP="004E4FBE">
            <w:pPr>
              <w:spacing w:after="120"/>
              <w:jc w:val="left"/>
              <w:rPr>
                <w:rFonts w:eastAsia="Times New Roman" w:cs="Times New Roman"/>
                <w:sz w:val="24"/>
                <w:szCs w:val="24"/>
                <w:lang w:eastAsia="lv-LV"/>
              </w:rPr>
            </w:pPr>
            <w:r w:rsidRPr="005B0F6F">
              <w:rPr>
                <w:rFonts w:eastAsia="Times New Roman" w:cs="Times New Roman"/>
                <w:sz w:val="24"/>
                <w:szCs w:val="24"/>
                <w:lang w:eastAsia="lv-LV"/>
              </w:rPr>
              <w:t>VPP īstenošana, t.sk. administrēšanas vajadzībām</w:t>
            </w:r>
          </w:p>
        </w:tc>
        <w:tc>
          <w:tcPr>
            <w:tcW w:w="1513" w:type="dxa"/>
            <w:tcBorders>
              <w:top w:val="single" w:sz="4" w:space="0" w:color="auto"/>
              <w:left w:val="nil"/>
              <w:bottom w:val="single" w:sz="8" w:space="0" w:color="auto"/>
              <w:right w:val="single" w:sz="4" w:space="0" w:color="auto"/>
            </w:tcBorders>
            <w:shd w:val="clear" w:color="auto" w:fill="FFFFFF" w:themeFill="background1"/>
            <w:vAlign w:val="center"/>
          </w:tcPr>
          <w:p w14:paraId="7A45BC1C" w14:textId="476CB734" w:rsidR="00317198" w:rsidRPr="00C2294F" w:rsidRDefault="00317198" w:rsidP="004E4FBE">
            <w:pPr>
              <w:spacing w:after="120"/>
              <w:jc w:val="center"/>
              <w:rPr>
                <w:rFonts w:cs="Times New Roman"/>
                <w:sz w:val="24"/>
                <w:szCs w:val="24"/>
              </w:rPr>
            </w:pPr>
            <w:r w:rsidRPr="005B0F6F">
              <w:rPr>
                <w:rFonts w:cs="Times New Roman"/>
                <w:sz w:val="24"/>
                <w:szCs w:val="24"/>
              </w:rPr>
              <w:t>545 160</w:t>
            </w:r>
          </w:p>
        </w:tc>
        <w:tc>
          <w:tcPr>
            <w:tcW w:w="1513" w:type="dxa"/>
            <w:tcBorders>
              <w:top w:val="nil"/>
              <w:left w:val="nil"/>
              <w:bottom w:val="single" w:sz="4" w:space="0" w:color="auto"/>
              <w:right w:val="single" w:sz="4" w:space="0" w:color="auto"/>
            </w:tcBorders>
            <w:shd w:val="clear" w:color="auto" w:fill="FFFFFF" w:themeFill="background1"/>
            <w:vAlign w:val="center"/>
          </w:tcPr>
          <w:p w14:paraId="604E77C7" w14:textId="30BD14A4" w:rsidR="00317198" w:rsidRPr="004E4FBE" w:rsidRDefault="00317198" w:rsidP="004E4FBE">
            <w:pPr>
              <w:spacing w:after="120"/>
              <w:jc w:val="center"/>
              <w:rPr>
                <w:sz w:val="24"/>
                <w:szCs w:val="24"/>
              </w:rPr>
            </w:pPr>
            <w:r>
              <w:rPr>
                <w:sz w:val="24"/>
                <w:szCs w:val="24"/>
              </w:rPr>
              <w:t>0</w:t>
            </w:r>
          </w:p>
        </w:tc>
        <w:tc>
          <w:tcPr>
            <w:tcW w:w="1513" w:type="dxa"/>
            <w:tcBorders>
              <w:top w:val="nil"/>
              <w:left w:val="nil"/>
              <w:bottom w:val="single" w:sz="4" w:space="0" w:color="auto"/>
              <w:right w:val="single" w:sz="8" w:space="0" w:color="auto"/>
            </w:tcBorders>
            <w:shd w:val="clear" w:color="auto" w:fill="FFFFFF" w:themeFill="background1"/>
            <w:vAlign w:val="center"/>
          </w:tcPr>
          <w:p w14:paraId="3D560601" w14:textId="60CDADBE" w:rsidR="00317198" w:rsidRPr="004E4FBE" w:rsidRDefault="00317198" w:rsidP="004E4FBE">
            <w:pPr>
              <w:spacing w:after="120"/>
              <w:jc w:val="center"/>
              <w:rPr>
                <w:sz w:val="24"/>
                <w:szCs w:val="24"/>
              </w:rPr>
            </w:pPr>
            <w:r>
              <w:rPr>
                <w:sz w:val="24"/>
                <w:szCs w:val="24"/>
              </w:rPr>
              <w:t>0</w:t>
            </w:r>
          </w:p>
        </w:tc>
      </w:tr>
      <w:tr w:rsidR="00A23938" w:rsidRPr="004E4FBE" w14:paraId="7C2685DB" w14:textId="77777777" w:rsidTr="0008370F">
        <w:trPr>
          <w:trHeight w:val="254"/>
        </w:trPr>
        <w:tc>
          <w:tcPr>
            <w:tcW w:w="44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2AD378" w14:textId="77777777" w:rsidR="00A23938" w:rsidRPr="004E4FBE" w:rsidRDefault="00A23938" w:rsidP="004E4FBE">
            <w:pPr>
              <w:spacing w:after="120"/>
              <w:jc w:val="left"/>
              <w:rPr>
                <w:rFonts w:eastAsia="Times New Roman" w:cs="Times New Roman"/>
                <w:sz w:val="24"/>
                <w:szCs w:val="24"/>
                <w:lang w:eastAsia="lv-LV"/>
              </w:rPr>
            </w:pPr>
            <w:r w:rsidRPr="004E4FBE">
              <w:rPr>
                <w:rFonts w:eastAsia="Times New Roman" w:cs="Times New Roman"/>
                <w:sz w:val="24"/>
                <w:szCs w:val="24"/>
                <w:lang w:eastAsia="lv-LV"/>
              </w:rPr>
              <w:t>Kopā</w:t>
            </w:r>
          </w:p>
        </w:tc>
        <w:tc>
          <w:tcPr>
            <w:tcW w:w="1513" w:type="dxa"/>
            <w:tcBorders>
              <w:top w:val="single" w:sz="8" w:space="0" w:color="auto"/>
              <w:left w:val="nil"/>
              <w:bottom w:val="single" w:sz="8" w:space="0" w:color="auto"/>
              <w:right w:val="single" w:sz="4" w:space="0" w:color="auto"/>
            </w:tcBorders>
            <w:shd w:val="clear" w:color="auto" w:fill="auto"/>
            <w:vAlign w:val="center"/>
            <w:hideMark/>
          </w:tcPr>
          <w:p w14:paraId="6BFF5A90" w14:textId="0A2EF5D2" w:rsidR="00A23938" w:rsidRPr="004E4FBE" w:rsidRDefault="00A23938" w:rsidP="004E4FBE">
            <w:pPr>
              <w:spacing w:after="120"/>
              <w:jc w:val="center"/>
              <w:rPr>
                <w:rFonts w:eastAsia="Times New Roman" w:cs="Times New Roman"/>
                <w:b/>
                <w:bCs/>
                <w:sz w:val="24"/>
                <w:szCs w:val="24"/>
                <w:lang w:eastAsia="lv-LV"/>
              </w:rPr>
            </w:pPr>
            <w:r w:rsidRPr="004E4FBE">
              <w:rPr>
                <w:b/>
                <w:bCs/>
              </w:rPr>
              <w:t>33 525 031</w:t>
            </w:r>
          </w:p>
        </w:tc>
        <w:tc>
          <w:tcPr>
            <w:tcW w:w="1513" w:type="dxa"/>
            <w:tcBorders>
              <w:top w:val="single" w:sz="8" w:space="0" w:color="auto"/>
              <w:left w:val="nil"/>
              <w:bottom w:val="single" w:sz="8" w:space="0" w:color="auto"/>
              <w:right w:val="single" w:sz="4" w:space="0" w:color="auto"/>
            </w:tcBorders>
            <w:shd w:val="clear" w:color="auto" w:fill="auto"/>
            <w:vAlign w:val="center"/>
            <w:hideMark/>
          </w:tcPr>
          <w:p w14:paraId="3E423A74" w14:textId="46993BC0" w:rsidR="00A23938" w:rsidRPr="004E4FBE" w:rsidRDefault="00A23938" w:rsidP="004E4FBE">
            <w:pPr>
              <w:spacing w:after="120"/>
              <w:jc w:val="center"/>
              <w:rPr>
                <w:rFonts w:eastAsia="Times New Roman" w:cs="Times New Roman"/>
                <w:b/>
                <w:bCs/>
                <w:sz w:val="24"/>
                <w:szCs w:val="24"/>
                <w:lang w:eastAsia="lv-LV"/>
              </w:rPr>
            </w:pPr>
            <w:r w:rsidRPr="004E4FBE">
              <w:rPr>
                <w:b/>
                <w:bCs/>
              </w:rPr>
              <w:t>14 533 940</w:t>
            </w:r>
          </w:p>
        </w:tc>
        <w:tc>
          <w:tcPr>
            <w:tcW w:w="1513" w:type="dxa"/>
            <w:tcBorders>
              <w:top w:val="single" w:sz="8" w:space="0" w:color="auto"/>
              <w:left w:val="nil"/>
              <w:bottom w:val="single" w:sz="8" w:space="0" w:color="auto"/>
              <w:right w:val="single" w:sz="8" w:space="0" w:color="auto"/>
            </w:tcBorders>
            <w:shd w:val="clear" w:color="auto" w:fill="auto"/>
            <w:vAlign w:val="center"/>
            <w:hideMark/>
          </w:tcPr>
          <w:p w14:paraId="0DC93C9A" w14:textId="7F961302" w:rsidR="00A23938" w:rsidRPr="004E4FBE" w:rsidRDefault="00A23938" w:rsidP="004E4FBE">
            <w:pPr>
              <w:spacing w:after="120"/>
              <w:jc w:val="center"/>
              <w:rPr>
                <w:rFonts w:eastAsia="Times New Roman" w:cs="Times New Roman"/>
                <w:b/>
                <w:bCs/>
                <w:sz w:val="24"/>
                <w:szCs w:val="24"/>
                <w:lang w:eastAsia="lv-LV"/>
              </w:rPr>
            </w:pPr>
            <w:r w:rsidRPr="004E4FBE">
              <w:rPr>
                <w:b/>
                <w:bCs/>
              </w:rPr>
              <w:t>14 000 000</w:t>
            </w:r>
          </w:p>
        </w:tc>
      </w:tr>
    </w:tbl>
    <w:p w14:paraId="7319588C" w14:textId="00B98F7C" w:rsidR="004B4423" w:rsidRDefault="004B4423" w:rsidP="004E4FBE">
      <w:pPr>
        <w:spacing w:after="120"/>
        <w:rPr>
          <w:rFonts w:eastAsia="Times New Roman" w:cs="Times New Roman"/>
          <w:sz w:val="24"/>
          <w:szCs w:val="24"/>
        </w:rPr>
      </w:pPr>
    </w:p>
    <w:p w14:paraId="69C22FD5" w14:textId="77777777" w:rsidR="00843DFE" w:rsidRPr="004E4FBE" w:rsidRDefault="00843DFE" w:rsidP="004E4FBE">
      <w:pPr>
        <w:spacing w:after="120"/>
        <w:rPr>
          <w:rFonts w:eastAsia="Times New Roman" w:cs="Times New Roman"/>
          <w:sz w:val="24"/>
          <w:szCs w:val="24"/>
        </w:rPr>
      </w:pPr>
    </w:p>
    <w:p w14:paraId="19381E72" w14:textId="38942E36" w:rsidR="00502E1D" w:rsidRPr="004E4FBE" w:rsidRDefault="00D47A0F" w:rsidP="004E4FBE">
      <w:pPr>
        <w:pStyle w:val="Heading2"/>
        <w:spacing w:before="0" w:after="120" w:line="240" w:lineRule="auto"/>
        <w:rPr>
          <w:rFonts w:ascii="Times New Roman" w:hAnsi="Times New Roman" w:cs="Times New Roman"/>
          <w:b/>
          <w:bCs/>
          <w:color w:val="auto"/>
          <w:sz w:val="24"/>
          <w:szCs w:val="24"/>
        </w:rPr>
      </w:pPr>
      <w:bookmarkStart w:id="30" w:name="_Toc47565374"/>
      <w:bookmarkStart w:id="31" w:name="_Toc47606292"/>
      <w:bookmarkStart w:id="32" w:name="_Toc51576940"/>
      <w:bookmarkEnd w:id="30"/>
      <w:bookmarkEnd w:id="31"/>
      <w:r w:rsidRPr="004E4FBE">
        <w:rPr>
          <w:rFonts w:ascii="Times New Roman" w:hAnsi="Times New Roman" w:cs="Times New Roman"/>
          <w:b/>
          <w:bCs/>
          <w:color w:val="auto"/>
          <w:sz w:val="24"/>
          <w:szCs w:val="24"/>
        </w:rPr>
        <w:t>OIK samazināšanas scenārijs</w:t>
      </w:r>
      <w:bookmarkEnd w:id="32"/>
    </w:p>
    <w:p w14:paraId="5EFAD525" w14:textId="7834CA3D" w:rsidR="00762DC5" w:rsidRDefault="00502E1D" w:rsidP="00762DC5">
      <w:pPr>
        <w:ind w:firstLine="709"/>
        <w:rPr>
          <w:rFonts w:eastAsia="Times New Roman" w:cs="Times New Roman"/>
          <w:sz w:val="24"/>
          <w:szCs w:val="24"/>
          <w:lang w:eastAsia="lv-LV"/>
        </w:rPr>
      </w:pPr>
      <w:r w:rsidRPr="2101D4DB">
        <w:rPr>
          <w:rFonts w:eastAsia="Times New Roman" w:cs="Times New Roman"/>
          <w:sz w:val="24"/>
          <w:szCs w:val="24"/>
        </w:rPr>
        <w:t xml:space="preserve">Scenārijs paredz novirzīt </w:t>
      </w:r>
      <w:r w:rsidR="006A1040" w:rsidRPr="2101D4DB">
        <w:rPr>
          <w:rFonts w:eastAsia="Times New Roman" w:cs="Times New Roman"/>
          <w:sz w:val="24"/>
          <w:szCs w:val="24"/>
          <w:lang w:eastAsia="lv-LV"/>
        </w:rPr>
        <w:t>Latvenerg</w:t>
      </w:r>
      <w:r w:rsidR="003A05C3" w:rsidRPr="2101D4DB">
        <w:rPr>
          <w:rFonts w:eastAsia="Times New Roman" w:cs="Times New Roman"/>
          <w:sz w:val="24"/>
          <w:szCs w:val="24"/>
          <w:lang w:eastAsia="lv-LV"/>
        </w:rPr>
        <w:t>o koncerna</w:t>
      </w:r>
      <w:r w:rsidR="006A1040" w:rsidRPr="2101D4DB">
        <w:rPr>
          <w:rFonts w:eastAsia="Times New Roman" w:cs="Times New Roman"/>
          <w:sz w:val="24"/>
          <w:szCs w:val="24"/>
          <w:lang w:eastAsia="lv-LV"/>
        </w:rPr>
        <w:t xml:space="preserve"> dividendes</w:t>
      </w:r>
      <w:r w:rsidR="000F1353" w:rsidRPr="2101D4DB">
        <w:rPr>
          <w:rFonts w:eastAsia="Times New Roman" w:cs="Times New Roman"/>
          <w:sz w:val="24"/>
          <w:szCs w:val="24"/>
          <w:lang w:eastAsia="lv-LV"/>
        </w:rPr>
        <w:t xml:space="preserve"> </w:t>
      </w:r>
      <w:r w:rsidR="003A05C3" w:rsidRPr="2101D4DB">
        <w:rPr>
          <w:rFonts w:eastAsia="Times New Roman" w:cs="Times New Roman"/>
          <w:sz w:val="24"/>
          <w:szCs w:val="24"/>
          <w:lang w:eastAsia="lv-LV"/>
        </w:rPr>
        <w:t>(</w:t>
      </w:r>
      <w:r w:rsidR="000F1353" w:rsidRPr="2101D4DB">
        <w:rPr>
          <w:rFonts w:eastAsia="Times New Roman" w:cs="Times New Roman"/>
          <w:sz w:val="24"/>
          <w:szCs w:val="24"/>
          <w:lang w:eastAsia="lv-LV"/>
        </w:rPr>
        <w:t>un ar to izmaksu saistīto UIN</w:t>
      </w:r>
      <w:r w:rsidR="003A05C3" w:rsidRPr="2101D4DB">
        <w:rPr>
          <w:rFonts w:eastAsia="Times New Roman" w:cs="Times New Roman"/>
          <w:sz w:val="24"/>
          <w:szCs w:val="24"/>
          <w:lang w:eastAsia="lv-LV"/>
        </w:rPr>
        <w:t>)</w:t>
      </w:r>
      <w:r w:rsidR="006A1040" w:rsidRPr="2101D4DB">
        <w:rPr>
          <w:rFonts w:eastAsia="Times New Roman" w:cs="Times New Roman"/>
          <w:color w:val="FF0000"/>
          <w:sz w:val="24"/>
          <w:szCs w:val="24"/>
          <w:lang w:eastAsia="lv-LV"/>
        </w:rPr>
        <w:t xml:space="preserve"> </w:t>
      </w:r>
      <w:r w:rsidRPr="2101D4DB">
        <w:rPr>
          <w:rFonts w:eastAsia="Times New Roman" w:cs="Times New Roman"/>
          <w:sz w:val="24"/>
          <w:szCs w:val="24"/>
        </w:rPr>
        <w:t>OIK mazināšanai</w:t>
      </w:r>
      <w:r w:rsidR="000A6311" w:rsidRPr="2101D4DB">
        <w:rPr>
          <w:rFonts w:eastAsia="Times New Roman" w:cs="Times New Roman"/>
          <w:sz w:val="24"/>
          <w:szCs w:val="24"/>
        </w:rPr>
        <w:t xml:space="preserve"> un </w:t>
      </w:r>
      <w:r w:rsidR="009253B7" w:rsidRPr="2101D4DB">
        <w:rPr>
          <w:rFonts w:eastAsia="Times New Roman" w:cs="Times New Roman"/>
          <w:sz w:val="24"/>
          <w:szCs w:val="24"/>
        </w:rPr>
        <w:t>pārējām valsts budžeta vajadzībām</w:t>
      </w:r>
      <w:r w:rsidRPr="2101D4DB">
        <w:rPr>
          <w:rFonts w:eastAsia="Times New Roman" w:cs="Times New Roman"/>
          <w:sz w:val="24"/>
          <w:szCs w:val="24"/>
        </w:rPr>
        <w:t>.</w:t>
      </w:r>
      <w:r w:rsidR="00D47A0F" w:rsidRPr="2101D4DB">
        <w:rPr>
          <w:rFonts w:eastAsia="Times New Roman" w:cs="Times New Roman"/>
          <w:sz w:val="24"/>
          <w:szCs w:val="24"/>
        </w:rPr>
        <w:t xml:space="preserve"> Scenārijs paredz OIK samazināšanu </w:t>
      </w:r>
      <w:r w:rsidR="0055553D" w:rsidRPr="2101D4DB">
        <w:rPr>
          <w:rFonts w:eastAsia="Times New Roman" w:cs="Times New Roman"/>
          <w:sz w:val="24"/>
          <w:szCs w:val="24"/>
        </w:rPr>
        <w:t xml:space="preserve">no </w:t>
      </w:r>
      <w:r w:rsidR="006F376D" w:rsidRPr="2101D4DB">
        <w:rPr>
          <w:rFonts w:eastAsia="Times New Roman" w:cs="Times New Roman"/>
          <w:sz w:val="24"/>
          <w:szCs w:val="24"/>
        </w:rPr>
        <w:t xml:space="preserve">šobrīd fiksētās </w:t>
      </w:r>
      <w:r w:rsidR="00D47A0F" w:rsidRPr="2101D4DB">
        <w:rPr>
          <w:rFonts w:eastAsia="Times New Roman" w:cs="Times New Roman"/>
          <w:sz w:val="24"/>
          <w:szCs w:val="24"/>
        </w:rPr>
        <w:t>22,68</w:t>
      </w:r>
      <w:r w:rsidR="00CA70FC" w:rsidRPr="2101D4DB">
        <w:rPr>
          <w:rFonts w:eastAsia="Times New Roman" w:cs="Times New Roman"/>
          <w:sz w:val="24"/>
          <w:szCs w:val="24"/>
        </w:rPr>
        <w:t xml:space="preserve"> EUR</w:t>
      </w:r>
      <w:r w:rsidR="00D47A0F" w:rsidRPr="2101D4DB">
        <w:rPr>
          <w:rFonts w:eastAsia="Times New Roman" w:cs="Times New Roman"/>
          <w:sz w:val="24"/>
          <w:szCs w:val="24"/>
        </w:rPr>
        <w:t>/MWh</w:t>
      </w:r>
      <w:r w:rsidR="006F376D" w:rsidRPr="2101D4DB">
        <w:rPr>
          <w:rFonts w:eastAsia="Times New Roman" w:cs="Times New Roman"/>
          <w:sz w:val="24"/>
          <w:szCs w:val="24"/>
        </w:rPr>
        <w:t xml:space="preserve"> likmes</w:t>
      </w:r>
      <w:r w:rsidR="00D47A0F" w:rsidRPr="2101D4DB">
        <w:rPr>
          <w:rFonts w:eastAsia="Times New Roman" w:cs="Times New Roman"/>
          <w:sz w:val="24"/>
          <w:szCs w:val="24"/>
        </w:rPr>
        <w:t xml:space="preserve"> līdz </w:t>
      </w:r>
      <w:r w:rsidR="00E830EC" w:rsidRPr="2101D4DB">
        <w:rPr>
          <w:rFonts w:eastAsia="Times New Roman" w:cs="Times New Roman"/>
          <w:sz w:val="24"/>
          <w:szCs w:val="24"/>
        </w:rPr>
        <w:t>1</w:t>
      </w:r>
      <w:r w:rsidR="00BB4207" w:rsidRPr="2101D4DB">
        <w:rPr>
          <w:rFonts w:eastAsia="Times New Roman" w:cs="Times New Roman"/>
          <w:sz w:val="24"/>
          <w:szCs w:val="24"/>
        </w:rPr>
        <w:t>7</w:t>
      </w:r>
      <w:r w:rsidR="00E830EC" w:rsidRPr="2101D4DB">
        <w:rPr>
          <w:rFonts w:eastAsia="Times New Roman" w:cs="Times New Roman"/>
          <w:sz w:val="24"/>
          <w:szCs w:val="24"/>
        </w:rPr>
        <w:t>,</w:t>
      </w:r>
      <w:r w:rsidR="00BB4207" w:rsidRPr="2101D4DB">
        <w:rPr>
          <w:rFonts w:eastAsia="Times New Roman" w:cs="Times New Roman"/>
          <w:sz w:val="24"/>
          <w:szCs w:val="24"/>
        </w:rPr>
        <w:t>51</w:t>
      </w:r>
      <w:r w:rsidR="00CA70FC" w:rsidRPr="2101D4DB">
        <w:rPr>
          <w:rFonts w:eastAsia="Times New Roman" w:cs="Times New Roman"/>
          <w:sz w:val="24"/>
          <w:szCs w:val="24"/>
        </w:rPr>
        <w:t xml:space="preserve"> EUR</w:t>
      </w:r>
      <w:r w:rsidR="00D47A0F" w:rsidRPr="2101D4DB">
        <w:rPr>
          <w:rFonts w:eastAsia="Times New Roman" w:cs="Times New Roman"/>
          <w:sz w:val="24"/>
          <w:szCs w:val="24"/>
        </w:rPr>
        <w:t>/MWh</w:t>
      </w:r>
      <w:r w:rsidR="008D0B80" w:rsidRPr="2101D4DB">
        <w:rPr>
          <w:rFonts w:eastAsia="Times New Roman" w:cs="Times New Roman"/>
          <w:sz w:val="24"/>
          <w:szCs w:val="24"/>
        </w:rPr>
        <w:t xml:space="preserve"> 2021. gadā</w:t>
      </w:r>
      <w:r w:rsidR="006F376D" w:rsidRPr="2101D4DB">
        <w:rPr>
          <w:rFonts w:eastAsia="Times New Roman" w:cs="Times New Roman"/>
          <w:sz w:val="24"/>
          <w:szCs w:val="24"/>
        </w:rPr>
        <w:t xml:space="preserve"> un turpmāk līdz 13,25 EUR/MWh </w:t>
      </w:r>
      <w:r w:rsidR="00D47A0F" w:rsidRPr="2101D4DB">
        <w:rPr>
          <w:rFonts w:eastAsia="Times New Roman" w:cs="Times New Roman"/>
          <w:sz w:val="24"/>
          <w:szCs w:val="24"/>
        </w:rPr>
        <w:t>2023.</w:t>
      </w:r>
      <w:r w:rsidR="00CA70FC" w:rsidRPr="2101D4DB">
        <w:rPr>
          <w:rFonts w:eastAsia="Times New Roman" w:cs="Times New Roman"/>
          <w:sz w:val="24"/>
          <w:szCs w:val="24"/>
        </w:rPr>
        <w:t> </w:t>
      </w:r>
      <w:r w:rsidR="00D47A0F" w:rsidRPr="2101D4DB">
        <w:rPr>
          <w:rFonts w:eastAsia="Times New Roman" w:cs="Times New Roman"/>
          <w:sz w:val="24"/>
          <w:szCs w:val="24"/>
        </w:rPr>
        <w:t>gadā. Scenārijs paredz saglabāt finansējumu pārējām prioritārajām aktivitātēm (atbalsts aizsargātajiem lietotājiem, atbalsts energointensīvajiem uzņēmumiem</w:t>
      </w:r>
      <w:r w:rsidR="21F88050" w:rsidRPr="2101D4DB">
        <w:rPr>
          <w:rFonts w:eastAsia="Times New Roman" w:cs="Times New Roman"/>
          <w:sz w:val="24"/>
          <w:szCs w:val="24"/>
        </w:rPr>
        <w:t>, VPP</w:t>
      </w:r>
      <w:r w:rsidR="00D47A0F" w:rsidRPr="2101D4DB">
        <w:rPr>
          <w:rFonts w:eastAsia="Times New Roman" w:cs="Times New Roman"/>
          <w:sz w:val="24"/>
          <w:szCs w:val="24"/>
        </w:rPr>
        <w:t xml:space="preserve"> un NEKP īstenošanai).</w:t>
      </w:r>
      <w:r w:rsidR="00154CFB">
        <w:rPr>
          <w:rFonts w:eastAsia="Times New Roman" w:cs="Times New Roman"/>
          <w:sz w:val="24"/>
          <w:szCs w:val="24"/>
        </w:rPr>
        <w:t xml:space="preserve"> Tādējādi salīdzinājumā ar esošo situāciju, mazinot izdevumus par elektroenerģiju, tiktu veicināta komersantu konkurētspēja un </w:t>
      </w:r>
      <w:r w:rsidR="00762DC5">
        <w:rPr>
          <w:rFonts w:eastAsia="Times New Roman" w:cs="Times New Roman"/>
          <w:sz w:val="24"/>
          <w:szCs w:val="24"/>
        </w:rPr>
        <w:t>izdevumu samazinājums mājsaimniecībā</w:t>
      </w:r>
      <w:r w:rsidR="009A138F">
        <w:rPr>
          <w:rFonts w:eastAsia="Times New Roman" w:cs="Times New Roman"/>
          <w:sz w:val="24"/>
          <w:szCs w:val="24"/>
        </w:rPr>
        <w:t>m</w:t>
      </w:r>
      <w:r w:rsidR="00762DC5">
        <w:rPr>
          <w:rFonts w:eastAsia="Times New Roman" w:cs="Times New Roman"/>
          <w:sz w:val="24"/>
          <w:szCs w:val="24"/>
        </w:rPr>
        <w:t xml:space="preserve">. Vienlaikus ar šo risinājumu tiktu nodrošināts, ka daļa </w:t>
      </w:r>
      <w:r w:rsidR="00762DC5" w:rsidRPr="00505992">
        <w:rPr>
          <w:rFonts w:eastAsia="Times New Roman" w:cs="Times New Roman"/>
          <w:sz w:val="24"/>
          <w:szCs w:val="24"/>
          <w:lang w:eastAsia="lv-LV"/>
        </w:rPr>
        <w:t>Latvenergo koncerna dividen</w:t>
      </w:r>
      <w:r w:rsidR="00762DC5">
        <w:rPr>
          <w:rFonts w:eastAsia="Times New Roman" w:cs="Times New Roman"/>
          <w:sz w:val="24"/>
          <w:szCs w:val="24"/>
          <w:lang w:eastAsia="lv-LV"/>
        </w:rPr>
        <w:t>žu būtu</w:t>
      </w:r>
      <w:r w:rsidR="00D95336">
        <w:rPr>
          <w:rFonts w:eastAsia="Times New Roman" w:cs="Times New Roman"/>
          <w:sz w:val="24"/>
          <w:szCs w:val="24"/>
          <w:lang w:eastAsia="lv-LV"/>
        </w:rPr>
        <w:t xml:space="preserve"> </w:t>
      </w:r>
      <w:r w:rsidR="0087754C">
        <w:rPr>
          <w:rFonts w:eastAsia="Times New Roman" w:cs="Times New Roman"/>
          <w:sz w:val="24"/>
          <w:szCs w:val="24"/>
          <w:lang w:eastAsia="lv-LV"/>
        </w:rPr>
        <w:t xml:space="preserve">pieejamas </w:t>
      </w:r>
      <w:r w:rsidR="00762DC5">
        <w:rPr>
          <w:rFonts w:eastAsia="Times New Roman" w:cs="Times New Roman"/>
          <w:sz w:val="24"/>
          <w:szCs w:val="24"/>
          <w:lang w:eastAsia="lv-LV"/>
        </w:rPr>
        <w:t xml:space="preserve">citām budžeta vajadzībām  (20 milj. </w:t>
      </w:r>
      <w:r w:rsidR="00762DC5" w:rsidRPr="00403A18">
        <w:rPr>
          <w:rFonts w:eastAsia="Times New Roman" w:cs="Times New Roman"/>
          <w:i/>
          <w:iCs/>
          <w:sz w:val="24"/>
          <w:szCs w:val="24"/>
          <w:lang w:eastAsia="lv-LV"/>
        </w:rPr>
        <w:t xml:space="preserve">euro </w:t>
      </w:r>
      <w:r w:rsidR="00762DC5">
        <w:rPr>
          <w:rFonts w:eastAsia="Times New Roman" w:cs="Times New Roman"/>
          <w:sz w:val="24"/>
          <w:szCs w:val="24"/>
          <w:lang w:eastAsia="lv-LV"/>
        </w:rPr>
        <w:t xml:space="preserve">2021. gadā un 15 milj. </w:t>
      </w:r>
      <w:r w:rsidR="00762DC5" w:rsidRPr="00403A18">
        <w:rPr>
          <w:rFonts w:eastAsia="Times New Roman" w:cs="Times New Roman"/>
          <w:i/>
          <w:iCs/>
          <w:sz w:val="24"/>
          <w:szCs w:val="24"/>
          <w:lang w:eastAsia="lv-LV"/>
        </w:rPr>
        <w:t>euro</w:t>
      </w:r>
      <w:r w:rsidR="00762DC5">
        <w:rPr>
          <w:rFonts w:eastAsia="Times New Roman" w:cs="Times New Roman"/>
          <w:sz w:val="24"/>
          <w:szCs w:val="24"/>
          <w:lang w:eastAsia="lv-LV"/>
        </w:rPr>
        <w:t xml:space="preserve"> 2022. un 2023.gadā).</w:t>
      </w:r>
    </w:p>
    <w:p w14:paraId="4842067E" w14:textId="74C7170A" w:rsidR="00762DC5" w:rsidRDefault="00762DC5" w:rsidP="00762DC5">
      <w:pPr>
        <w:spacing w:after="120"/>
        <w:ind w:firstLine="851"/>
        <w:rPr>
          <w:rFonts w:eastAsia="Times New Roman" w:cs="Times New Roman"/>
          <w:sz w:val="24"/>
          <w:szCs w:val="24"/>
        </w:rPr>
      </w:pPr>
    </w:p>
    <w:p w14:paraId="1958BB9C" w14:textId="77777777" w:rsidR="00843DFE" w:rsidRPr="00843DFE" w:rsidRDefault="00843DFE" w:rsidP="00843DFE"/>
    <w:p w14:paraId="02B3AAEA" w14:textId="1D4F1987" w:rsidR="00502E1D" w:rsidRPr="004E4FBE" w:rsidRDefault="00634A6C"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13</w:t>
      </w:r>
      <w:r w:rsidR="00502E1D" w:rsidRPr="004E4FBE">
        <w:rPr>
          <w:rFonts w:ascii="Times New Roman" w:hAnsi="Times New Roman"/>
          <w:color w:val="auto"/>
          <w:sz w:val="24"/>
          <w:szCs w:val="24"/>
        </w:rPr>
        <w:t>. tabula</w:t>
      </w:r>
    </w:p>
    <w:p w14:paraId="41B07F71" w14:textId="7C3DA23B" w:rsidR="00502E1D" w:rsidRPr="004E4FBE" w:rsidRDefault="00502E1D"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OIK prognozes</w:t>
      </w:r>
      <w:r w:rsidR="004F2333" w:rsidRPr="004F2333">
        <w:rPr>
          <w:rFonts w:ascii="Times New Roman" w:hAnsi="Times New Roman"/>
          <w:color w:val="auto"/>
          <w:sz w:val="24"/>
          <w:szCs w:val="24"/>
        </w:rPr>
        <w:t xml:space="preserve"> </w:t>
      </w:r>
      <w:r w:rsidR="004F2333">
        <w:rPr>
          <w:rFonts w:ascii="Times New Roman" w:hAnsi="Times New Roman"/>
          <w:color w:val="auto"/>
          <w:sz w:val="24"/>
          <w:szCs w:val="24"/>
        </w:rPr>
        <w:t>ar valsts dotāciju</w:t>
      </w:r>
      <w:r w:rsidRPr="004E4FBE">
        <w:rPr>
          <w:rFonts w:ascii="Times New Roman" w:hAnsi="Times New Roman"/>
          <w:color w:val="auto"/>
          <w:sz w:val="24"/>
          <w:szCs w:val="24"/>
        </w:rPr>
        <w:t>, EUR/MWh</w:t>
      </w:r>
    </w:p>
    <w:tbl>
      <w:tblPr>
        <w:tblW w:w="5300"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2420"/>
        <w:gridCol w:w="960"/>
        <w:gridCol w:w="960"/>
        <w:gridCol w:w="960"/>
      </w:tblGrid>
      <w:tr w:rsidR="004E4FBE" w:rsidRPr="004E4FBE" w14:paraId="13CB2E63" w14:textId="77777777" w:rsidTr="009E2B69">
        <w:trPr>
          <w:trHeight w:val="300"/>
          <w:jc w:val="center"/>
        </w:trPr>
        <w:tc>
          <w:tcPr>
            <w:tcW w:w="2420" w:type="dxa"/>
            <w:shd w:val="clear" w:color="auto" w:fill="auto"/>
            <w:noWrap/>
            <w:vAlign w:val="bottom"/>
            <w:hideMark/>
          </w:tcPr>
          <w:p w14:paraId="2B15E0E1" w14:textId="77777777" w:rsidR="00502E1D" w:rsidRPr="004E4FBE" w:rsidRDefault="00502E1D" w:rsidP="004E4FBE">
            <w:pPr>
              <w:spacing w:after="120"/>
              <w:jc w:val="center"/>
              <w:rPr>
                <w:rFonts w:eastAsia="Times New Roman" w:cs="Times New Roman"/>
                <w:sz w:val="24"/>
                <w:szCs w:val="24"/>
                <w:lang w:eastAsia="lv-LV"/>
              </w:rPr>
            </w:pPr>
          </w:p>
        </w:tc>
        <w:tc>
          <w:tcPr>
            <w:tcW w:w="960" w:type="dxa"/>
            <w:shd w:val="clear" w:color="auto" w:fill="auto"/>
            <w:noWrap/>
            <w:vAlign w:val="center"/>
            <w:hideMark/>
          </w:tcPr>
          <w:p w14:paraId="0160E585" w14:textId="77777777" w:rsidR="00502E1D" w:rsidRPr="004E4FBE" w:rsidRDefault="00502E1D"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2021</w:t>
            </w:r>
          </w:p>
        </w:tc>
        <w:tc>
          <w:tcPr>
            <w:tcW w:w="960" w:type="dxa"/>
            <w:shd w:val="clear" w:color="auto" w:fill="auto"/>
            <w:noWrap/>
            <w:vAlign w:val="center"/>
            <w:hideMark/>
          </w:tcPr>
          <w:p w14:paraId="7D51C141" w14:textId="77777777" w:rsidR="00502E1D" w:rsidRPr="004E4FBE" w:rsidRDefault="00502E1D"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2022</w:t>
            </w:r>
          </w:p>
        </w:tc>
        <w:tc>
          <w:tcPr>
            <w:tcW w:w="960" w:type="dxa"/>
            <w:vAlign w:val="center"/>
          </w:tcPr>
          <w:p w14:paraId="446FE5AE" w14:textId="77777777" w:rsidR="00502E1D" w:rsidRPr="004E4FBE" w:rsidRDefault="00502E1D"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2023</w:t>
            </w:r>
          </w:p>
        </w:tc>
      </w:tr>
      <w:tr w:rsidR="004E4FBE" w:rsidRPr="004E4FBE" w14:paraId="29A9B689" w14:textId="77777777" w:rsidTr="009E2B69">
        <w:trPr>
          <w:trHeight w:val="600"/>
          <w:jc w:val="center"/>
        </w:trPr>
        <w:tc>
          <w:tcPr>
            <w:tcW w:w="2420" w:type="dxa"/>
            <w:shd w:val="clear" w:color="auto" w:fill="auto"/>
            <w:vAlign w:val="bottom"/>
            <w:hideMark/>
          </w:tcPr>
          <w:p w14:paraId="74BF4E33" w14:textId="74FF854A" w:rsidR="005F7E18" w:rsidRPr="004E4FBE" w:rsidRDefault="26848D8C"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 xml:space="preserve">OIK </w:t>
            </w:r>
            <w:r w:rsidR="004F2333">
              <w:rPr>
                <w:rFonts w:eastAsia="Times New Roman" w:cs="Times New Roman"/>
                <w:sz w:val="24"/>
                <w:szCs w:val="24"/>
                <w:lang w:eastAsia="lv-LV"/>
              </w:rPr>
              <w:t>ar dotāciju</w:t>
            </w:r>
            <w:r w:rsidRPr="004E4FBE">
              <w:rPr>
                <w:rFonts w:eastAsia="Times New Roman" w:cs="Times New Roman"/>
                <w:sz w:val="24"/>
                <w:szCs w:val="24"/>
                <w:lang w:eastAsia="lv-LV"/>
              </w:rPr>
              <w:t>, EUR/MWh</w:t>
            </w:r>
          </w:p>
        </w:tc>
        <w:tc>
          <w:tcPr>
            <w:tcW w:w="960" w:type="dxa"/>
            <w:shd w:val="clear" w:color="auto" w:fill="auto"/>
            <w:noWrap/>
            <w:vAlign w:val="center"/>
            <w:hideMark/>
          </w:tcPr>
          <w:p w14:paraId="6A27EA3E" w14:textId="25CC2F2D" w:rsidR="005F7E18" w:rsidRPr="009253B7" w:rsidRDefault="0021194D" w:rsidP="004E4FBE">
            <w:pPr>
              <w:spacing w:after="120"/>
              <w:jc w:val="center"/>
              <w:rPr>
                <w:rFonts w:eastAsia="Times New Roman" w:cs="Times New Roman"/>
                <w:sz w:val="24"/>
                <w:szCs w:val="24"/>
                <w:highlight w:val="yellow"/>
                <w:lang w:eastAsia="lv-LV"/>
              </w:rPr>
            </w:pPr>
            <w:r w:rsidRPr="0021194D">
              <w:rPr>
                <w:rFonts w:eastAsia="Times New Roman" w:cs="Times New Roman"/>
                <w:sz w:val="24"/>
                <w:szCs w:val="24"/>
              </w:rPr>
              <w:t>17</w:t>
            </w:r>
            <w:r>
              <w:rPr>
                <w:rFonts w:eastAsia="Times New Roman" w:cs="Times New Roman"/>
                <w:sz w:val="24"/>
                <w:szCs w:val="24"/>
              </w:rPr>
              <w:t>,</w:t>
            </w:r>
            <w:r w:rsidRPr="0021194D">
              <w:rPr>
                <w:rFonts w:eastAsia="Times New Roman" w:cs="Times New Roman"/>
                <w:sz w:val="24"/>
                <w:szCs w:val="24"/>
              </w:rPr>
              <w:t>51</w:t>
            </w:r>
          </w:p>
        </w:tc>
        <w:tc>
          <w:tcPr>
            <w:tcW w:w="960" w:type="dxa"/>
            <w:shd w:val="clear" w:color="auto" w:fill="auto"/>
            <w:noWrap/>
            <w:vAlign w:val="center"/>
            <w:hideMark/>
          </w:tcPr>
          <w:p w14:paraId="18524623" w14:textId="253A9306" w:rsidR="005F7E18" w:rsidRPr="009253B7" w:rsidRDefault="00BB4207" w:rsidP="004E4FBE">
            <w:pPr>
              <w:spacing w:after="120"/>
              <w:jc w:val="center"/>
              <w:rPr>
                <w:rFonts w:eastAsia="Times New Roman" w:cs="Times New Roman"/>
                <w:sz w:val="24"/>
                <w:szCs w:val="24"/>
                <w:highlight w:val="yellow"/>
                <w:lang w:eastAsia="lv-LV"/>
              </w:rPr>
            </w:pPr>
            <w:r w:rsidRPr="00BB4207">
              <w:rPr>
                <w:rFonts w:eastAsia="Times New Roman" w:cs="Times New Roman"/>
                <w:sz w:val="24"/>
                <w:szCs w:val="24"/>
              </w:rPr>
              <w:t>16</w:t>
            </w:r>
            <w:r>
              <w:rPr>
                <w:rFonts w:eastAsia="Times New Roman" w:cs="Times New Roman"/>
                <w:sz w:val="24"/>
                <w:szCs w:val="24"/>
              </w:rPr>
              <w:t>,</w:t>
            </w:r>
            <w:r w:rsidRPr="00BB4207">
              <w:rPr>
                <w:rFonts w:eastAsia="Times New Roman" w:cs="Times New Roman"/>
                <w:sz w:val="24"/>
                <w:szCs w:val="24"/>
              </w:rPr>
              <w:t>38</w:t>
            </w:r>
          </w:p>
        </w:tc>
        <w:tc>
          <w:tcPr>
            <w:tcW w:w="960" w:type="dxa"/>
            <w:vAlign w:val="center"/>
          </w:tcPr>
          <w:p w14:paraId="275958A0" w14:textId="53271BD1" w:rsidR="005F7E18" w:rsidRPr="009253B7" w:rsidRDefault="00BB4207" w:rsidP="004E4FBE">
            <w:pPr>
              <w:spacing w:after="120"/>
              <w:jc w:val="center"/>
              <w:rPr>
                <w:rFonts w:eastAsia="Times New Roman" w:cs="Times New Roman"/>
                <w:sz w:val="24"/>
                <w:szCs w:val="24"/>
                <w:highlight w:val="yellow"/>
                <w:lang w:eastAsia="lv-LV"/>
              </w:rPr>
            </w:pPr>
            <w:r w:rsidRPr="00BB4207">
              <w:rPr>
                <w:rFonts w:eastAsia="Times New Roman" w:cs="Times New Roman"/>
                <w:sz w:val="24"/>
                <w:szCs w:val="24"/>
              </w:rPr>
              <w:t>13</w:t>
            </w:r>
            <w:r>
              <w:rPr>
                <w:rFonts w:eastAsia="Times New Roman" w:cs="Times New Roman"/>
                <w:sz w:val="24"/>
                <w:szCs w:val="24"/>
              </w:rPr>
              <w:t>,</w:t>
            </w:r>
            <w:r w:rsidRPr="00BB4207">
              <w:rPr>
                <w:rFonts w:eastAsia="Times New Roman" w:cs="Times New Roman"/>
                <w:sz w:val="24"/>
                <w:szCs w:val="24"/>
              </w:rPr>
              <w:t>25</w:t>
            </w:r>
          </w:p>
        </w:tc>
      </w:tr>
    </w:tbl>
    <w:p w14:paraId="686DF27E" w14:textId="77777777" w:rsidR="00657538" w:rsidRDefault="00657538" w:rsidP="00907983">
      <w:pPr>
        <w:pStyle w:val="Caption"/>
        <w:keepNext/>
        <w:spacing w:line="240" w:lineRule="auto"/>
        <w:rPr>
          <w:rFonts w:ascii="Times New Roman" w:hAnsi="Times New Roman"/>
          <w:color w:val="auto"/>
          <w:sz w:val="24"/>
          <w:szCs w:val="24"/>
        </w:rPr>
      </w:pPr>
    </w:p>
    <w:p w14:paraId="66F6A0D7" w14:textId="77777777" w:rsidR="00657538" w:rsidRDefault="00657538" w:rsidP="002B53C6">
      <w:pPr>
        <w:pStyle w:val="Caption"/>
        <w:keepNext/>
        <w:spacing w:line="240" w:lineRule="auto"/>
        <w:jc w:val="right"/>
        <w:rPr>
          <w:rFonts w:ascii="Times New Roman" w:hAnsi="Times New Roman"/>
          <w:color w:val="auto"/>
          <w:sz w:val="24"/>
          <w:szCs w:val="24"/>
        </w:rPr>
      </w:pPr>
    </w:p>
    <w:p w14:paraId="3559C014" w14:textId="19E3877B" w:rsidR="00502E1D" w:rsidRPr="004E4FBE" w:rsidRDefault="00657538" w:rsidP="002B53C6">
      <w:pPr>
        <w:pStyle w:val="Caption"/>
        <w:keepNext/>
        <w:spacing w:line="240" w:lineRule="auto"/>
        <w:jc w:val="right"/>
        <w:rPr>
          <w:rFonts w:ascii="Times New Roman" w:hAnsi="Times New Roman"/>
          <w:color w:val="auto"/>
          <w:sz w:val="24"/>
          <w:szCs w:val="24"/>
        </w:rPr>
      </w:pPr>
      <w:r>
        <w:rPr>
          <w:rFonts w:ascii="Times New Roman" w:hAnsi="Times New Roman"/>
          <w:color w:val="auto"/>
          <w:sz w:val="24"/>
          <w:szCs w:val="24"/>
        </w:rPr>
        <w:br/>
      </w:r>
      <w:r w:rsidR="00634A6C" w:rsidRPr="004E4FBE">
        <w:rPr>
          <w:rFonts w:ascii="Times New Roman" w:hAnsi="Times New Roman"/>
          <w:color w:val="auto"/>
          <w:sz w:val="24"/>
          <w:szCs w:val="24"/>
        </w:rPr>
        <w:t>14</w:t>
      </w:r>
      <w:r w:rsidR="00502E1D" w:rsidRPr="004E4FBE">
        <w:rPr>
          <w:rFonts w:ascii="Times New Roman" w:hAnsi="Times New Roman"/>
          <w:color w:val="auto"/>
          <w:sz w:val="24"/>
          <w:szCs w:val="24"/>
        </w:rPr>
        <w:t>. tabula</w:t>
      </w:r>
    </w:p>
    <w:p w14:paraId="15A6548C" w14:textId="02BE47C3" w:rsidR="00095298" w:rsidRPr="004E4FBE" w:rsidRDefault="00095298" w:rsidP="00095298">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Valsts atbalsta elektroenerģijas ražotājiem, aizsargātiem lietotājiem un energoietilpīgiem uzņēmumiem</w:t>
      </w:r>
      <w:r w:rsidR="00CF4BB0">
        <w:rPr>
          <w:rFonts w:ascii="Times New Roman" w:hAnsi="Times New Roman"/>
          <w:color w:val="auto"/>
          <w:sz w:val="24"/>
          <w:szCs w:val="24"/>
        </w:rPr>
        <w:t>, VPP</w:t>
      </w:r>
      <w:r w:rsidRPr="004E4FBE">
        <w:rPr>
          <w:rFonts w:ascii="Times New Roman" w:hAnsi="Times New Roman"/>
          <w:color w:val="auto"/>
          <w:sz w:val="24"/>
          <w:szCs w:val="24"/>
        </w:rPr>
        <w:t xml:space="preserve"> </w:t>
      </w:r>
      <w:r w:rsidRPr="006B1FFF">
        <w:rPr>
          <w:rFonts w:ascii="Times New Roman" w:hAnsi="Times New Roman"/>
          <w:color w:val="auto"/>
          <w:sz w:val="24"/>
          <w:szCs w:val="24"/>
        </w:rPr>
        <w:t xml:space="preserve">un NEKP pētniecības daļas </w:t>
      </w:r>
      <w:r w:rsidRPr="004E4FBE">
        <w:rPr>
          <w:rFonts w:ascii="Times New Roman" w:hAnsi="Times New Roman"/>
          <w:color w:val="auto"/>
          <w:sz w:val="24"/>
          <w:szCs w:val="24"/>
        </w:rPr>
        <w:t>īstenošanas izdevumu ietekme uz valsts budžetu pēc Eiropas Nacionālo Kontu Sistēmas (ESA), EUR</w:t>
      </w:r>
    </w:p>
    <w:tbl>
      <w:tblPr>
        <w:tblW w:w="9088" w:type="dxa"/>
        <w:tblInd w:w="-10" w:type="dxa"/>
        <w:tblLook w:val="04A0" w:firstRow="1" w:lastRow="0" w:firstColumn="1" w:lastColumn="0" w:noHBand="0" w:noVBand="1"/>
      </w:tblPr>
      <w:tblGrid>
        <w:gridCol w:w="4525"/>
        <w:gridCol w:w="1521"/>
        <w:gridCol w:w="1521"/>
        <w:gridCol w:w="1521"/>
      </w:tblGrid>
      <w:tr w:rsidR="009A7F34" w:rsidRPr="004E4FBE" w14:paraId="3175788A" w14:textId="77777777" w:rsidTr="71872EFF">
        <w:trPr>
          <w:trHeight w:val="264"/>
        </w:trPr>
        <w:tc>
          <w:tcPr>
            <w:tcW w:w="452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1C0C77"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 </w:t>
            </w:r>
          </w:p>
        </w:tc>
        <w:tc>
          <w:tcPr>
            <w:tcW w:w="1521" w:type="dxa"/>
            <w:tcBorders>
              <w:top w:val="single" w:sz="8" w:space="0" w:color="auto"/>
              <w:left w:val="single" w:sz="4" w:space="0" w:color="auto"/>
              <w:bottom w:val="nil"/>
              <w:right w:val="single" w:sz="4" w:space="0" w:color="auto"/>
            </w:tcBorders>
            <w:shd w:val="clear" w:color="auto" w:fill="auto"/>
            <w:noWrap/>
            <w:vAlign w:val="center"/>
            <w:hideMark/>
          </w:tcPr>
          <w:p w14:paraId="1617309D"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2021</w:t>
            </w:r>
          </w:p>
        </w:tc>
        <w:tc>
          <w:tcPr>
            <w:tcW w:w="1521" w:type="dxa"/>
            <w:tcBorders>
              <w:top w:val="single" w:sz="8" w:space="0" w:color="auto"/>
              <w:left w:val="nil"/>
              <w:bottom w:val="nil"/>
              <w:right w:val="single" w:sz="4" w:space="0" w:color="auto"/>
            </w:tcBorders>
            <w:shd w:val="clear" w:color="auto" w:fill="auto"/>
            <w:noWrap/>
            <w:vAlign w:val="center"/>
            <w:hideMark/>
          </w:tcPr>
          <w:p w14:paraId="12B0A26C"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2022</w:t>
            </w:r>
          </w:p>
        </w:tc>
        <w:tc>
          <w:tcPr>
            <w:tcW w:w="1521" w:type="dxa"/>
            <w:tcBorders>
              <w:top w:val="single" w:sz="8" w:space="0" w:color="auto"/>
              <w:left w:val="nil"/>
              <w:bottom w:val="nil"/>
              <w:right w:val="single" w:sz="8" w:space="0" w:color="auto"/>
            </w:tcBorders>
            <w:shd w:val="clear" w:color="auto" w:fill="auto"/>
            <w:noWrap/>
            <w:vAlign w:val="center"/>
            <w:hideMark/>
          </w:tcPr>
          <w:p w14:paraId="1D53C33B"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2023</w:t>
            </w:r>
          </w:p>
        </w:tc>
      </w:tr>
      <w:tr w:rsidR="009A7F34" w:rsidRPr="004E4FBE" w14:paraId="7C61BFC4" w14:textId="77777777" w:rsidTr="71872EFF">
        <w:trPr>
          <w:trHeight w:val="513"/>
        </w:trPr>
        <w:tc>
          <w:tcPr>
            <w:tcW w:w="4525" w:type="dxa"/>
            <w:tcBorders>
              <w:top w:val="nil"/>
              <w:left w:val="single" w:sz="8" w:space="0" w:color="auto"/>
              <w:bottom w:val="nil"/>
              <w:right w:val="single" w:sz="8" w:space="0" w:color="auto"/>
            </w:tcBorders>
            <w:shd w:val="clear" w:color="auto" w:fill="auto"/>
            <w:noWrap/>
            <w:vAlign w:val="center"/>
            <w:hideMark/>
          </w:tcPr>
          <w:p w14:paraId="029E1244"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 </w:t>
            </w:r>
          </w:p>
        </w:tc>
        <w:tc>
          <w:tcPr>
            <w:tcW w:w="152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52F5CCD"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Prognoze</w:t>
            </w:r>
          </w:p>
        </w:tc>
        <w:tc>
          <w:tcPr>
            <w:tcW w:w="1521" w:type="dxa"/>
            <w:tcBorders>
              <w:top w:val="single" w:sz="8" w:space="0" w:color="auto"/>
              <w:left w:val="nil"/>
              <w:bottom w:val="single" w:sz="8" w:space="0" w:color="auto"/>
              <w:right w:val="single" w:sz="4" w:space="0" w:color="auto"/>
            </w:tcBorders>
            <w:shd w:val="clear" w:color="auto" w:fill="auto"/>
            <w:vAlign w:val="center"/>
            <w:hideMark/>
          </w:tcPr>
          <w:p w14:paraId="0507CA65"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Prognoze</w:t>
            </w:r>
          </w:p>
        </w:tc>
        <w:tc>
          <w:tcPr>
            <w:tcW w:w="1521" w:type="dxa"/>
            <w:tcBorders>
              <w:top w:val="single" w:sz="8" w:space="0" w:color="auto"/>
              <w:left w:val="nil"/>
              <w:bottom w:val="single" w:sz="8" w:space="0" w:color="auto"/>
              <w:right w:val="single" w:sz="8" w:space="0" w:color="auto"/>
            </w:tcBorders>
            <w:shd w:val="clear" w:color="auto" w:fill="auto"/>
            <w:vAlign w:val="center"/>
            <w:hideMark/>
          </w:tcPr>
          <w:p w14:paraId="16EC255B"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Prognoze</w:t>
            </w:r>
          </w:p>
        </w:tc>
      </w:tr>
      <w:tr w:rsidR="00F619FC" w:rsidRPr="004E4FBE" w14:paraId="3043E0C8" w14:textId="77777777" w:rsidTr="71872EFF">
        <w:trPr>
          <w:trHeight w:val="513"/>
        </w:trPr>
        <w:tc>
          <w:tcPr>
            <w:tcW w:w="45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6C5DA" w14:textId="77777777" w:rsidR="00E830EC" w:rsidRPr="004E4FBE" w:rsidRDefault="00E830EC" w:rsidP="00E830EC">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Valsts budžeta izdevumi</w:t>
            </w:r>
          </w:p>
        </w:tc>
        <w:tc>
          <w:tcPr>
            <w:tcW w:w="152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7E11B95" w14:textId="1E62FFD3" w:rsidR="00E830EC" w:rsidRPr="00E830EC" w:rsidRDefault="00E32EC5" w:rsidP="00E830EC">
            <w:pPr>
              <w:spacing w:after="120"/>
              <w:jc w:val="center"/>
              <w:rPr>
                <w:rFonts w:eastAsia="Times New Roman" w:cs="Times New Roman"/>
                <w:b/>
                <w:bCs/>
                <w:sz w:val="24"/>
                <w:szCs w:val="24"/>
                <w:lang w:eastAsia="lv-LV"/>
              </w:rPr>
            </w:pPr>
            <w:r w:rsidRPr="00E32EC5">
              <w:rPr>
                <w:rFonts w:cs="Times New Roman"/>
                <w:b/>
                <w:bCs/>
                <w:color w:val="000000"/>
                <w:sz w:val="24"/>
                <w:szCs w:val="24"/>
              </w:rPr>
              <w:t>69 640 000</w:t>
            </w:r>
          </w:p>
        </w:tc>
        <w:tc>
          <w:tcPr>
            <w:tcW w:w="1521" w:type="dxa"/>
            <w:tcBorders>
              <w:top w:val="single" w:sz="8" w:space="0" w:color="auto"/>
              <w:left w:val="nil"/>
              <w:bottom w:val="single" w:sz="8" w:space="0" w:color="auto"/>
              <w:right w:val="single" w:sz="4" w:space="0" w:color="auto"/>
            </w:tcBorders>
            <w:shd w:val="clear" w:color="auto" w:fill="auto"/>
            <w:vAlign w:val="center"/>
            <w:hideMark/>
          </w:tcPr>
          <w:p w14:paraId="31EBDF5F" w14:textId="56FD0A2F" w:rsidR="00E830EC" w:rsidRPr="00D25F50" w:rsidRDefault="00AC0049" w:rsidP="00E830EC">
            <w:pPr>
              <w:spacing w:after="120"/>
              <w:jc w:val="center"/>
              <w:rPr>
                <w:rFonts w:eastAsia="Times New Roman" w:cs="Times New Roman"/>
                <w:b/>
                <w:bCs/>
                <w:sz w:val="24"/>
                <w:szCs w:val="24"/>
                <w:highlight w:val="yellow"/>
                <w:lang w:eastAsia="lv-LV"/>
              </w:rPr>
            </w:pPr>
            <w:r w:rsidRPr="00AC0049">
              <w:rPr>
                <w:rFonts w:cs="Times New Roman"/>
                <w:b/>
                <w:bCs/>
                <w:color w:val="000000"/>
                <w:sz w:val="24"/>
                <w:szCs w:val="24"/>
              </w:rPr>
              <w:t>59 500 000</w:t>
            </w:r>
          </w:p>
        </w:tc>
        <w:tc>
          <w:tcPr>
            <w:tcW w:w="1521" w:type="dxa"/>
            <w:tcBorders>
              <w:top w:val="single" w:sz="8" w:space="0" w:color="auto"/>
              <w:left w:val="nil"/>
              <w:bottom w:val="single" w:sz="8" w:space="0" w:color="auto"/>
              <w:right w:val="single" w:sz="8" w:space="0" w:color="auto"/>
            </w:tcBorders>
            <w:shd w:val="clear" w:color="auto" w:fill="auto"/>
            <w:vAlign w:val="center"/>
            <w:hideMark/>
          </w:tcPr>
          <w:p w14:paraId="40E51AD9" w14:textId="447C8052" w:rsidR="00E830EC" w:rsidRPr="00D25F50" w:rsidRDefault="007E1A22" w:rsidP="00E830EC">
            <w:pPr>
              <w:spacing w:after="120"/>
              <w:jc w:val="center"/>
              <w:rPr>
                <w:rFonts w:eastAsia="Times New Roman" w:cs="Times New Roman"/>
                <w:b/>
                <w:bCs/>
                <w:sz w:val="24"/>
                <w:szCs w:val="24"/>
                <w:highlight w:val="yellow"/>
                <w:lang w:eastAsia="lv-LV"/>
              </w:rPr>
            </w:pPr>
            <w:r w:rsidRPr="007E1A22">
              <w:rPr>
                <w:rFonts w:cs="Times New Roman"/>
                <w:b/>
                <w:bCs/>
                <w:color w:val="000000"/>
                <w:sz w:val="24"/>
                <w:szCs w:val="24"/>
              </w:rPr>
              <w:t>59 500 000</w:t>
            </w:r>
          </w:p>
        </w:tc>
      </w:tr>
      <w:tr w:rsidR="009A7F34" w:rsidRPr="004E4FBE" w14:paraId="282F84FF" w14:textId="77777777" w:rsidTr="71872EFF">
        <w:trPr>
          <w:trHeight w:val="249"/>
        </w:trPr>
        <w:tc>
          <w:tcPr>
            <w:tcW w:w="4525" w:type="dxa"/>
            <w:tcBorders>
              <w:top w:val="nil"/>
              <w:left w:val="single" w:sz="8" w:space="0" w:color="auto"/>
              <w:bottom w:val="single" w:sz="4" w:space="0" w:color="auto"/>
              <w:right w:val="single" w:sz="8" w:space="0" w:color="auto"/>
            </w:tcBorders>
            <w:shd w:val="clear" w:color="auto" w:fill="auto"/>
            <w:noWrap/>
            <w:vAlign w:val="center"/>
            <w:hideMark/>
          </w:tcPr>
          <w:p w14:paraId="37132C5A" w14:textId="5D96D638" w:rsidR="00E830EC" w:rsidRPr="004E4FBE" w:rsidRDefault="00E830EC" w:rsidP="00E830EC">
            <w:pPr>
              <w:spacing w:after="120"/>
              <w:rPr>
                <w:rFonts w:eastAsia="Times New Roman" w:cs="Times New Roman"/>
                <w:sz w:val="24"/>
                <w:szCs w:val="24"/>
                <w:lang w:eastAsia="lv-LV"/>
              </w:rPr>
            </w:pPr>
            <w:r w:rsidRPr="004E4FBE">
              <w:rPr>
                <w:rFonts w:eastAsia="Times New Roman" w:cs="Times New Roman"/>
                <w:sz w:val="24"/>
                <w:szCs w:val="24"/>
                <w:lang w:eastAsia="lv-LV"/>
              </w:rPr>
              <w:t>Valsts atbalsta dotācija elektroenerģijas ražotājiem</w:t>
            </w:r>
            <w:r w:rsidR="0021194D">
              <w:rPr>
                <w:rFonts w:eastAsia="Times New Roman" w:cs="Times New Roman"/>
                <w:sz w:val="24"/>
                <w:szCs w:val="24"/>
                <w:lang w:eastAsia="lv-LV"/>
              </w:rPr>
              <w:t xml:space="preserve"> </w:t>
            </w:r>
            <w:r w:rsidR="0021194D" w:rsidRPr="00317198">
              <w:rPr>
                <w:rFonts w:eastAsia="Times New Roman" w:cs="Times New Roman"/>
                <w:sz w:val="24"/>
                <w:szCs w:val="24"/>
                <w:lang w:eastAsia="lv-LV"/>
              </w:rPr>
              <w:t>(Ietekme)</w:t>
            </w:r>
          </w:p>
        </w:tc>
        <w:tc>
          <w:tcPr>
            <w:tcW w:w="1521"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75994E69" w14:textId="7EA51C66" w:rsidR="00E830EC" w:rsidRPr="00E830EC" w:rsidRDefault="007050F5" w:rsidP="00E830EC">
            <w:pPr>
              <w:spacing w:after="120"/>
              <w:jc w:val="center"/>
              <w:rPr>
                <w:rFonts w:eastAsia="Times New Roman" w:cs="Times New Roman"/>
                <w:sz w:val="24"/>
                <w:szCs w:val="24"/>
                <w:lang w:eastAsia="lv-LV"/>
              </w:rPr>
            </w:pPr>
            <w:r w:rsidRPr="007050F5">
              <w:rPr>
                <w:rFonts w:cs="Times New Roman"/>
                <w:sz w:val="24"/>
                <w:szCs w:val="24"/>
              </w:rPr>
              <w:t>24 688 226</w:t>
            </w:r>
          </w:p>
        </w:tc>
        <w:tc>
          <w:tcPr>
            <w:tcW w:w="15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620A8F" w14:textId="1F3F7123" w:rsidR="00E830EC" w:rsidRPr="00E830EC" w:rsidRDefault="00B32E0B" w:rsidP="00E830EC">
            <w:pPr>
              <w:spacing w:after="120"/>
              <w:jc w:val="center"/>
              <w:rPr>
                <w:rFonts w:eastAsia="Times New Roman" w:cs="Times New Roman"/>
                <w:sz w:val="24"/>
                <w:szCs w:val="24"/>
                <w:lang w:eastAsia="lv-LV"/>
              </w:rPr>
            </w:pPr>
            <w:r w:rsidRPr="00B32E0B">
              <w:rPr>
                <w:rFonts w:cs="Times New Roman"/>
                <w:sz w:val="24"/>
                <w:szCs w:val="24"/>
              </w:rPr>
              <w:t>14 496 400</w:t>
            </w:r>
          </w:p>
        </w:tc>
        <w:tc>
          <w:tcPr>
            <w:tcW w:w="1521"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6D3BBF87" w14:textId="5FE41DC2" w:rsidR="00E830EC" w:rsidRPr="00E830EC" w:rsidRDefault="0037601D" w:rsidP="00E830EC">
            <w:pPr>
              <w:spacing w:after="120"/>
              <w:jc w:val="center"/>
              <w:rPr>
                <w:rFonts w:eastAsia="Times New Roman" w:cs="Times New Roman"/>
                <w:sz w:val="24"/>
                <w:szCs w:val="24"/>
                <w:lang w:eastAsia="lv-LV"/>
              </w:rPr>
            </w:pPr>
            <w:r w:rsidRPr="0037601D">
              <w:rPr>
                <w:rFonts w:cs="Times New Roman"/>
                <w:sz w:val="24"/>
                <w:szCs w:val="24"/>
              </w:rPr>
              <w:t>14 496 400</w:t>
            </w:r>
          </w:p>
        </w:tc>
      </w:tr>
      <w:tr w:rsidR="009A7F34" w:rsidRPr="004E4FBE" w14:paraId="561D5498" w14:textId="77777777" w:rsidTr="71872EFF">
        <w:trPr>
          <w:trHeight w:val="249"/>
        </w:trPr>
        <w:tc>
          <w:tcPr>
            <w:tcW w:w="4525" w:type="dxa"/>
            <w:tcBorders>
              <w:top w:val="nil"/>
              <w:left w:val="single" w:sz="8" w:space="0" w:color="auto"/>
              <w:bottom w:val="single" w:sz="4" w:space="0" w:color="auto"/>
              <w:right w:val="single" w:sz="8" w:space="0" w:color="auto"/>
            </w:tcBorders>
            <w:shd w:val="clear" w:color="auto" w:fill="auto"/>
            <w:noWrap/>
            <w:vAlign w:val="center"/>
            <w:hideMark/>
          </w:tcPr>
          <w:p w14:paraId="420DF44B" w14:textId="4D5697B5" w:rsidR="00E830EC" w:rsidRPr="004E4FBE" w:rsidRDefault="00E830EC" w:rsidP="00E830EC">
            <w:pPr>
              <w:spacing w:after="120"/>
              <w:rPr>
                <w:rFonts w:eastAsia="Times New Roman" w:cs="Times New Roman"/>
                <w:sz w:val="24"/>
                <w:szCs w:val="24"/>
                <w:lang w:eastAsia="lv-LV"/>
              </w:rPr>
            </w:pPr>
            <w:r w:rsidRPr="004E4FBE">
              <w:rPr>
                <w:rFonts w:eastAsia="Times New Roman" w:cs="Times New Roman"/>
                <w:sz w:val="24"/>
                <w:szCs w:val="24"/>
                <w:lang w:eastAsia="lv-LV"/>
              </w:rPr>
              <w:lastRenderedPageBreak/>
              <w:t>Valsts atbalsta dotācija energoietilpīgo uzņēmumu atbalstam</w:t>
            </w:r>
          </w:p>
        </w:tc>
        <w:tc>
          <w:tcPr>
            <w:tcW w:w="1521" w:type="dxa"/>
            <w:tcBorders>
              <w:top w:val="nil"/>
              <w:left w:val="single" w:sz="8" w:space="0" w:color="auto"/>
              <w:bottom w:val="single" w:sz="4" w:space="0" w:color="auto"/>
              <w:right w:val="single" w:sz="4" w:space="0" w:color="auto"/>
            </w:tcBorders>
            <w:shd w:val="clear" w:color="auto" w:fill="FFFFFF" w:themeFill="background1"/>
            <w:vAlign w:val="center"/>
            <w:hideMark/>
          </w:tcPr>
          <w:p w14:paraId="2C61A9EE" w14:textId="71813D0B"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7 000 000</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39C0CA48" w14:textId="265C0286"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7 000 000</w:t>
            </w:r>
          </w:p>
        </w:tc>
        <w:tc>
          <w:tcPr>
            <w:tcW w:w="1521" w:type="dxa"/>
            <w:tcBorders>
              <w:top w:val="nil"/>
              <w:left w:val="nil"/>
              <w:bottom w:val="single" w:sz="4" w:space="0" w:color="auto"/>
              <w:right w:val="single" w:sz="8" w:space="0" w:color="auto"/>
            </w:tcBorders>
            <w:shd w:val="clear" w:color="auto" w:fill="FFFFFF" w:themeFill="background1"/>
            <w:noWrap/>
            <w:vAlign w:val="center"/>
            <w:hideMark/>
          </w:tcPr>
          <w:p w14:paraId="341CF630" w14:textId="606E0727"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7 000 000</w:t>
            </w:r>
          </w:p>
        </w:tc>
      </w:tr>
      <w:tr w:rsidR="009A7F34" w:rsidRPr="004E4FBE" w14:paraId="36E86D8F" w14:textId="77777777" w:rsidTr="71872EFF">
        <w:trPr>
          <w:trHeight w:val="264"/>
        </w:trPr>
        <w:tc>
          <w:tcPr>
            <w:tcW w:w="4525" w:type="dxa"/>
            <w:tcBorders>
              <w:top w:val="nil"/>
              <w:left w:val="single" w:sz="8" w:space="0" w:color="auto"/>
              <w:bottom w:val="single" w:sz="4" w:space="0" w:color="auto"/>
              <w:right w:val="single" w:sz="8" w:space="0" w:color="auto"/>
            </w:tcBorders>
            <w:shd w:val="clear" w:color="auto" w:fill="auto"/>
            <w:vAlign w:val="center"/>
            <w:hideMark/>
          </w:tcPr>
          <w:p w14:paraId="3E433E29" w14:textId="77777777" w:rsidR="00E830EC" w:rsidRPr="004E4FBE" w:rsidRDefault="00E830EC" w:rsidP="00E830EC">
            <w:pPr>
              <w:spacing w:after="120"/>
              <w:rPr>
                <w:rFonts w:eastAsia="Times New Roman" w:cs="Times New Roman"/>
                <w:sz w:val="24"/>
                <w:szCs w:val="24"/>
                <w:lang w:eastAsia="lv-LV"/>
              </w:rPr>
            </w:pPr>
            <w:r w:rsidRPr="004E4FBE">
              <w:rPr>
                <w:rFonts w:eastAsia="Times New Roman" w:cs="Times New Roman"/>
                <w:sz w:val="24"/>
                <w:szCs w:val="24"/>
                <w:lang w:eastAsia="lv-LV"/>
              </w:rPr>
              <w:t>Avansa maksājums jaudas maksājuma kompensācijai</w:t>
            </w:r>
          </w:p>
        </w:tc>
        <w:tc>
          <w:tcPr>
            <w:tcW w:w="1521"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B476CC" w14:textId="66DCED54" w:rsidR="00E830EC" w:rsidRPr="00E830EC" w:rsidRDefault="00E830EC" w:rsidP="00E830EC">
            <w:pPr>
              <w:spacing w:after="120"/>
              <w:jc w:val="center"/>
              <w:rPr>
                <w:rFonts w:eastAsia="Times New Roman" w:cs="Times New Roman"/>
                <w:sz w:val="24"/>
                <w:szCs w:val="24"/>
                <w:lang w:eastAsia="lv-LV"/>
              </w:rPr>
            </w:pPr>
            <w:r w:rsidRPr="00E830EC">
              <w:rPr>
                <w:rFonts w:cs="Times New Roman"/>
                <w:color w:val="000000"/>
                <w:sz w:val="24"/>
                <w:szCs w:val="24"/>
              </w:rPr>
              <w:t>24 003 600</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0A3E4A07" w14:textId="6FC2878D" w:rsidR="00E830EC" w:rsidRPr="00E830EC" w:rsidRDefault="00E830EC" w:rsidP="00E830EC">
            <w:pPr>
              <w:spacing w:after="120"/>
              <w:jc w:val="center"/>
              <w:rPr>
                <w:rFonts w:eastAsia="Times New Roman" w:cs="Times New Roman"/>
                <w:sz w:val="24"/>
                <w:szCs w:val="24"/>
                <w:lang w:eastAsia="lv-LV"/>
              </w:rPr>
            </w:pPr>
            <w:r w:rsidRPr="00E830EC">
              <w:rPr>
                <w:rFonts w:cs="Times New Roman"/>
                <w:color w:val="000000"/>
                <w:sz w:val="24"/>
                <w:szCs w:val="24"/>
              </w:rPr>
              <w:t>24 003 600</w:t>
            </w:r>
          </w:p>
        </w:tc>
        <w:tc>
          <w:tcPr>
            <w:tcW w:w="1521" w:type="dxa"/>
            <w:tcBorders>
              <w:top w:val="nil"/>
              <w:left w:val="nil"/>
              <w:bottom w:val="single" w:sz="4" w:space="0" w:color="auto"/>
              <w:right w:val="single" w:sz="8" w:space="0" w:color="auto"/>
            </w:tcBorders>
            <w:shd w:val="clear" w:color="auto" w:fill="FFFFFF" w:themeFill="background1"/>
            <w:vAlign w:val="center"/>
            <w:hideMark/>
          </w:tcPr>
          <w:p w14:paraId="12AAA0D3" w14:textId="19D69121" w:rsidR="00E830EC" w:rsidRPr="00E830EC" w:rsidRDefault="00E830EC" w:rsidP="00E830EC">
            <w:pPr>
              <w:spacing w:after="120"/>
              <w:jc w:val="center"/>
              <w:rPr>
                <w:rFonts w:eastAsia="Times New Roman" w:cs="Times New Roman"/>
                <w:sz w:val="24"/>
                <w:szCs w:val="24"/>
                <w:lang w:eastAsia="lv-LV"/>
              </w:rPr>
            </w:pPr>
            <w:r w:rsidRPr="00E830EC">
              <w:rPr>
                <w:rFonts w:cs="Times New Roman"/>
                <w:color w:val="000000"/>
                <w:sz w:val="24"/>
                <w:szCs w:val="24"/>
              </w:rPr>
              <w:t>24 003 600</w:t>
            </w:r>
          </w:p>
        </w:tc>
      </w:tr>
      <w:tr w:rsidR="009A7F34" w:rsidRPr="004E4FBE" w14:paraId="196DE844" w14:textId="77777777" w:rsidTr="71872EFF">
        <w:trPr>
          <w:trHeight w:val="264"/>
        </w:trPr>
        <w:tc>
          <w:tcPr>
            <w:tcW w:w="4525" w:type="dxa"/>
            <w:tcBorders>
              <w:top w:val="nil"/>
              <w:left w:val="single" w:sz="8" w:space="0" w:color="auto"/>
              <w:bottom w:val="single" w:sz="4" w:space="0" w:color="auto"/>
              <w:right w:val="single" w:sz="8" w:space="0" w:color="auto"/>
            </w:tcBorders>
            <w:shd w:val="clear" w:color="auto" w:fill="auto"/>
            <w:vAlign w:val="center"/>
            <w:hideMark/>
          </w:tcPr>
          <w:p w14:paraId="0DBFD58D" w14:textId="2A9E8E29" w:rsidR="00E830EC" w:rsidRPr="004E4FBE" w:rsidRDefault="009E2B69" w:rsidP="00E830EC">
            <w:pPr>
              <w:spacing w:after="120"/>
              <w:jc w:val="left"/>
              <w:rPr>
                <w:rFonts w:eastAsia="Times New Roman" w:cs="Times New Roman"/>
                <w:sz w:val="24"/>
                <w:szCs w:val="24"/>
                <w:lang w:eastAsia="lv-LV"/>
              </w:rPr>
            </w:pPr>
            <w:r w:rsidRPr="004E4FBE">
              <w:rPr>
                <w:rFonts w:eastAsia="Times New Roman" w:cs="Times New Roman"/>
                <w:sz w:val="24"/>
                <w:szCs w:val="24"/>
                <w:lang w:eastAsia="lv-LV"/>
              </w:rPr>
              <w:t>Aizsargāto lietotāju atbalsta finansējums</w:t>
            </w:r>
          </w:p>
        </w:tc>
        <w:tc>
          <w:tcPr>
            <w:tcW w:w="1521" w:type="dxa"/>
            <w:tcBorders>
              <w:top w:val="nil"/>
              <w:left w:val="single" w:sz="8" w:space="0" w:color="auto"/>
              <w:bottom w:val="single" w:sz="4" w:space="0" w:color="auto"/>
              <w:right w:val="single" w:sz="4" w:space="0" w:color="auto"/>
            </w:tcBorders>
            <w:shd w:val="clear" w:color="auto" w:fill="FFFFFF" w:themeFill="background1"/>
            <w:vAlign w:val="center"/>
            <w:hideMark/>
          </w:tcPr>
          <w:p w14:paraId="13704A75" w14:textId="71ACC3D6"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12 000 000</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55E521E0" w14:textId="757E748D"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12 000 000</w:t>
            </w:r>
          </w:p>
        </w:tc>
        <w:tc>
          <w:tcPr>
            <w:tcW w:w="1521" w:type="dxa"/>
            <w:tcBorders>
              <w:top w:val="nil"/>
              <w:left w:val="nil"/>
              <w:bottom w:val="single" w:sz="4" w:space="0" w:color="auto"/>
              <w:right w:val="single" w:sz="8" w:space="0" w:color="auto"/>
            </w:tcBorders>
            <w:shd w:val="clear" w:color="auto" w:fill="FFFFFF" w:themeFill="background1"/>
            <w:vAlign w:val="center"/>
            <w:hideMark/>
          </w:tcPr>
          <w:p w14:paraId="52517121" w14:textId="2DC0EAA8"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12 000 000</w:t>
            </w:r>
          </w:p>
        </w:tc>
      </w:tr>
      <w:tr w:rsidR="009A7F34" w:rsidRPr="004E4FBE" w14:paraId="09AB3813" w14:textId="77777777" w:rsidTr="71872EFF">
        <w:trPr>
          <w:trHeight w:val="279"/>
        </w:trPr>
        <w:tc>
          <w:tcPr>
            <w:tcW w:w="4525" w:type="dxa"/>
            <w:tcBorders>
              <w:top w:val="nil"/>
              <w:left w:val="single" w:sz="8" w:space="0" w:color="auto"/>
              <w:bottom w:val="single" w:sz="4" w:space="0" w:color="auto"/>
              <w:right w:val="single" w:sz="8" w:space="0" w:color="auto"/>
            </w:tcBorders>
            <w:shd w:val="clear" w:color="auto" w:fill="auto"/>
            <w:noWrap/>
            <w:vAlign w:val="center"/>
            <w:hideMark/>
          </w:tcPr>
          <w:p w14:paraId="2874340C" w14:textId="270540E9" w:rsidR="00E830EC" w:rsidRPr="004E4FBE" w:rsidRDefault="00E830EC" w:rsidP="00E830EC">
            <w:pPr>
              <w:spacing w:after="120"/>
              <w:jc w:val="left"/>
              <w:rPr>
                <w:rFonts w:eastAsia="Times New Roman" w:cs="Times New Roman"/>
                <w:sz w:val="24"/>
                <w:szCs w:val="24"/>
                <w:lang w:eastAsia="lv-LV"/>
              </w:rPr>
            </w:pPr>
            <w:r w:rsidRPr="004E4FBE">
              <w:rPr>
                <w:rFonts w:eastAsia="Times New Roman" w:cs="Times New Roman"/>
                <w:sz w:val="24"/>
                <w:szCs w:val="24"/>
                <w:lang w:eastAsia="lv-LV"/>
              </w:rPr>
              <w:t>NEKP pētniecības daļas īstenošana</w:t>
            </w:r>
            <w:r w:rsidR="00C5381A">
              <w:rPr>
                <w:rFonts w:eastAsia="Times New Roman" w:cs="Times New Roman"/>
                <w:sz w:val="24"/>
                <w:szCs w:val="24"/>
                <w:lang w:eastAsia="lv-LV"/>
              </w:rPr>
              <w:t>, t.sk. administrēšanas vajadzībām</w:t>
            </w:r>
          </w:p>
        </w:tc>
        <w:tc>
          <w:tcPr>
            <w:tcW w:w="1521" w:type="dxa"/>
            <w:tcBorders>
              <w:top w:val="nil"/>
              <w:left w:val="single" w:sz="8" w:space="0" w:color="auto"/>
              <w:bottom w:val="single" w:sz="4" w:space="0" w:color="auto"/>
              <w:right w:val="single" w:sz="4" w:space="0" w:color="auto"/>
            </w:tcBorders>
            <w:shd w:val="clear" w:color="auto" w:fill="FFFFFF" w:themeFill="background1"/>
            <w:vAlign w:val="center"/>
            <w:hideMark/>
          </w:tcPr>
          <w:p w14:paraId="0CFD84CF" w14:textId="0E06DABE" w:rsidR="00E830EC" w:rsidRPr="00E830EC" w:rsidRDefault="00CF4BB0" w:rsidP="00E830EC">
            <w:pPr>
              <w:spacing w:after="120"/>
              <w:jc w:val="center"/>
              <w:rPr>
                <w:rFonts w:eastAsia="Times New Roman" w:cs="Times New Roman"/>
                <w:sz w:val="24"/>
                <w:szCs w:val="24"/>
                <w:lang w:eastAsia="lv-LV"/>
              </w:rPr>
            </w:pPr>
            <w:r w:rsidRPr="005B0F6F">
              <w:rPr>
                <w:rFonts w:cs="Times New Roman"/>
                <w:sz w:val="24"/>
                <w:szCs w:val="24"/>
              </w:rPr>
              <w:t>1 403 014</w:t>
            </w:r>
          </w:p>
        </w:tc>
        <w:tc>
          <w:tcPr>
            <w:tcW w:w="1521" w:type="dxa"/>
            <w:tcBorders>
              <w:top w:val="nil"/>
              <w:left w:val="nil"/>
              <w:bottom w:val="single" w:sz="4" w:space="0" w:color="auto"/>
              <w:right w:val="single" w:sz="4" w:space="0" w:color="auto"/>
            </w:tcBorders>
            <w:shd w:val="clear" w:color="auto" w:fill="FFFFFF" w:themeFill="background1"/>
            <w:vAlign w:val="center"/>
            <w:hideMark/>
          </w:tcPr>
          <w:p w14:paraId="74DCA182" w14:textId="1A1F1BD9"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2 000 000</w:t>
            </w:r>
          </w:p>
        </w:tc>
        <w:tc>
          <w:tcPr>
            <w:tcW w:w="1521" w:type="dxa"/>
            <w:tcBorders>
              <w:top w:val="nil"/>
              <w:left w:val="nil"/>
              <w:bottom w:val="single" w:sz="4" w:space="0" w:color="auto"/>
              <w:right w:val="single" w:sz="8" w:space="0" w:color="auto"/>
            </w:tcBorders>
            <w:shd w:val="clear" w:color="auto" w:fill="FFFFFF" w:themeFill="background1"/>
            <w:noWrap/>
            <w:vAlign w:val="center"/>
            <w:hideMark/>
          </w:tcPr>
          <w:p w14:paraId="4F2CEDCA" w14:textId="507EA45E"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2 000 000</w:t>
            </w:r>
          </w:p>
        </w:tc>
      </w:tr>
      <w:tr w:rsidR="00F619FC" w:rsidRPr="004E4FBE" w14:paraId="282422F9" w14:textId="77777777" w:rsidTr="71872EFF">
        <w:trPr>
          <w:trHeight w:val="279"/>
        </w:trPr>
        <w:tc>
          <w:tcPr>
            <w:tcW w:w="4525" w:type="dxa"/>
            <w:tcBorders>
              <w:top w:val="nil"/>
              <w:left w:val="single" w:sz="8" w:space="0" w:color="auto"/>
              <w:bottom w:val="single" w:sz="4" w:space="0" w:color="auto"/>
              <w:right w:val="single" w:sz="8" w:space="0" w:color="auto"/>
            </w:tcBorders>
            <w:shd w:val="clear" w:color="auto" w:fill="auto"/>
            <w:noWrap/>
            <w:vAlign w:val="center"/>
          </w:tcPr>
          <w:p w14:paraId="6CB7D10C" w14:textId="4AD86F1E" w:rsidR="00CF4BB0" w:rsidRPr="004E4FBE" w:rsidRDefault="00CF4BB0" w:rsidP="00CF4BB0">
            <w:pPr>
              <w:spacing w:after="120"/>
              <w:jc w:val="left"/>
              <w:rPr>
                <w:rFonts w:eastAsia="Times New Roman" w:cs="Times New Roman"/>
                <w:sz w:val="24"/>
                <w:szCs w:val="24"/>
                <w:lang w:eastAsia="lv-LV"/>
              </w:rPr>
            </w:pPr>
            <w:r w:rsidRPr="005B0F6F">
              <w:rPr>
                <w:rFonts w:eastAsia="Times New Roman" w:cs="Times New Roman"/>
                <w:sz w:val="24"/>
                <w:szCs w:val="24"/>
                <w:lang w:eastAsia="lv-LV"/>
              </w:rPr>
              <w:t>VPP īstenošana, t.sk. administrēšanas vajadzībām</w:t>
            </w:r>
          </w:p>
        </w:tc>
        <w:tc>
          <w:tcPr>
            <w:tcW w:w="1521" w:type="dxa"/>
            <w:tcBorders>
              <w:top w:val="nil"/>
              <w:left w:val="single" w:sz="8" w:space="0" w:color="auto"/>
              <w:bottom w:val="single" w:sz="4" w:space="0" w:color="auto"/>
              <w:right w:val="single" w:sz="4" w:space="0" w:color="auto"/>
            </w:tcBorders>
            <w:shd w:val="clear" w:color="auto" w:fill="FFFFFF" w:themeFill="background1"/>
            <w:vAlign w:val="center"/>
          </w:tcPr>
          <w:p w14:paraId="62DBA34E" w14:textId="6C2BAF2F" w:rsidR="00CF4BB0" w:rsidRPr="00E830EC" w:rsidRDefault="00CF4BB0" w:rsidP="00CF4BB0">
            <w:pPr>
              <w:spacing w:after="120"/>
              <w:jc w:val="center"/>
              <w:rPr>
                <w:rFonts w:cs="Times New Roman"/>
                <w:sz w:val="24"/>
                <w:szCs w:val="24"/>
              </w:rPr>
            </w:pPr>
            <w:r w:rsidRPr="005B0F6F">
              <w:rPr>
                <w:rFonts w:cs="Times New Roman"/>
                <w:sz w:val="24"/>
                <w:szCs w:val="24"/>
              </w:rPr>
              <w:t>545 160</w:t>
            </w:r>
          </w:p>
        </w:tc>
        <w:tc>
          <w:tcPr>
            <w:tcW w:w="1521" w:type="dxa"/>
            <w:tcBorders>
              <w:top w:val="nil"/>
              <w:left w:val="nil"/>
              <w:bottom w:val="single" w:sz="4" w:space="0" w:color="auto"/>
              <w:right w:val="single" w:sz="4" w:space="0" w:color="auto"/>
            </w:tcBorders>
            <w:shd w:val="clear" w:color="auto" w:fill="FFFFFF" w:themeFill="background1"/>
            <w:vAlign w:val="center"/>
          </w:tcPr>
          <w:p w14:paraId="1F14E18C" w14:textId="68B46550" w:rsidR="00CF4BB0" w:rsidRPr="00E830EC" w:rsidRDefault="00CF4BB0" w:rsidP="00CF4BB0">
            <w:pPr>
              <w:spacing w:after="120"/>
              <w:jc w:val="center"/>
              <w:rPr>
                <w:rFonts w:cs="Times New Roman"/>
                <w:sz w:val="24"/>
                <w:szCs w:val="24"/>
              </w:rPr>
            </w:pPr>
            <w:r>
              <w:rPr>
                <w:rFonts w:cs="Times New Roman"/>
                <w:sz w:val="24"/>
                <w:szCs w:val="24"/>
              </w:rPr>
              <w:t>0</w:t>
            </w:r>
          </w:p>
        </w:tc>
        <w:tc>
          <w:tcPr>
            <w:tcW w:w="1521" w:type="dxa"/>
            <w:tcBorders>
              <w:top w:val="nil"/>
              <w:left w:val="nil"/>
              <w:bottom w:val="single" w:sz="4" w:space="0" w:color="auto"/>
              <w:right w:val="single" w:sz="8" w:space="0" w:color="auto"/>
            </w:tcBorders>
            <w:shd w:val="clear" w:color="auto" w:fill="FFFFFF" w:themeFill="background1"/>
            <w:noWrap/>
            <w:vAlign w:val="center"/>
          </w:tcPr>
          <w:p w14:paraId="7F1D7526" w14:textId="6B9F9C6E" w:rsidR="00CF4BB0" w:rsidRPr="00E830EC" w:rsidRDefault="00CF4BB0" w:rsidP="00CF4BB0">
            <w:pPr>
              <w:spacing w:after="120"/>
              <w:jc w:val="center"/>
              <w:rPr>
                <w:rFonts w:cs="Times New Roman"/>
                <w:sz w:val="24"/>
                <w:szCs w:val="24"/>
              </w:rPr>
            </w:pPr>
            <w:r>
              <w:rPr>
                <w:rFonts w:cs="Times New Roman"/>
                <w:sz w:val="24"/>
                <w:szCs w:val="24"/>
              </w:rPr>
              <w:t>0</w:t>
            </w:r>
          </w:p>
        </w:tc>
      </w:tr>
      <w:tr w:rsidR="00F619FC" w:rsidRPr="004E4FBE" w14:paraId="2CACC334" w14:textId="77777777" w:rsidTr="71872EFF">
        <w:trPr>
          <w:trHeight w:val="264"/>
        </w:trPr>
        <w:tc>
          <w:tcPr>
            <w:tcW w:w="4525" w:type="dxa"/>
            <w:tcBorders>
              <w:top w:val="single" w:sz="8" w:space="0" w:color="auto"/>
              <w:left w:val="single" w:sz="8" w:space="0" w:color="auto"/>
              <w:bottom w:val="single" w:sz="8" w:space="0" w:color="auto"/>
              <w:right w:val="nil"/>
            </w:tcBorders>
            <w:shd w:val="clear" w:color="auto" w:fill="auto"/>
            <w:noWrap/>
            <w:vAlign w:val="center"/>
            <w:hideMark/>
          </w:tcPr>
          <w:p w14:paraId="66AD5580" w14:textId="77777777" w:rsidR="00CF4BB0" w:rsidRPr="004E4FBE" w:rsidRDefault="00CF4BB0" w:rsidP="00CF4BB0">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Valsts budžeta ieņēmumi</w:t>
            </w:r>
          </w:p>
        </w:tc>
        <w:tc>
          <w:tcPr>
            <w:tcW w:w="152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2B6073D" w14:textId="38025249" w:rsidR="00CF4BB0" w:rsidRPr="00E830EC" w:rsidRDefault="0007623C" w:rsidP="00CF4BB0">
            <w:pPr>
              <w:spacing w:after="120"/>
              <w:jc w:val="center"/>
              <w:rPr>
                <w:rFonts w:eastAsia="Times New Roman" w:cs="Times New Roman"/>
                <w:b/>
                <w:bCs/>
                <w:sz w:val="24"/>
                <w:szCs w:val="24"/>
                <w:lang w:eastAsia="lv-LV"/>
              </w:rPr>
            </w:pPr>
            <w:r w:rsidRPr="00E32EC5">
              <w:rPr>
                <w:rFonts w:cs="Times New Roman"/>
                <w:b/>
                <w:bCs/>
                <w:color w:val="000000"/>
                <w:sz w:val="24"/>
                <w:szCs w:val="24"/>
              </w:rPr>
              <w:t>69 640 000</w:t>
            </w:r>
          </w:p>
        </w:tc>
        <w:tc>
          <w:tcPr>
            <w:tcW w:w="152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C406CAD" w14:textId="4C1B9B40" w:rsidR="00CF4BB0" w:rsidRPr="00D25F50" w:rsidRDefault="0007623C" w:rsidP="00CF4BB0">
            <w:pPr>
              <w:spacing w:after="120"/>
              <w:jc w:val="center"/>
              <w:rPr>
                <w:rFonts w:eastAsia="Times New Roman" w:cs="Times New Roman"/>
                <w:b/>
                <w:bCs/>
                <w:sz w:val="24"/>
                <w:szCs w:val="24"/>
                <w:highlight w:val="yellow"/>
                <w:lang w:eastAsia="lv-LV"/>
              </w:rPr>
            </w:pPr>
            <w:r w:rsidRPr="00AC0049">
              <w:rPr>
                <w:rFonts w:cs="Times New Roman"/>
                <w:b/>
                <w:bCs/>
                <w:color w:val="000000"/>
                <w:sz w:val="24"/>
                <w:szCs w:val="24"/>
              </w:rPr>
              <w:t>59 500 000</w:t>
            </w:r>
          </w:p>
        </w:tc>
        <w:tc>
          <w:tcPr>
            <w:tcW w:w="15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96078F" w14:textId="5A1FD332" w:rsidR="00CF4BB0" w:rsidRPr="00D25F50" w:rsidRDefault="0007623C" w:rsidP="00CF4BB0">
            <w:pPr>
              <w:spacing w:after="120"/>
              <w:jc w:val="center"/>
              <w:rPr>
                <w:rFonts w:eastAsia="Times New Roman" w:cs="Times New Roman"/>
                <w:b/>
                <w:bCs/>
                <w:sz w:val="24"/>
                <w:szCs w:val="24"/>
                <w:highlight w:val="yellow"/>
                <w:lang w:eastAsia="lv-LV"/>
              </w:rPr>
            </w:pPr>
            <w:r w:rsidRPr="007E1A22">
              <w:rPr>
                <w:rFonts w:cs="Times New Roman"/>
                <w:b/>
                <w:bCs/>
                <w:color w:val="000000"/>
                <w:sz w:val="24"/>
                <w:szCs w:val="24"/>
              </w:rPr>
              <w:t>59 500 000</w:t>
            </w:r>
          </w:p>
        </w:tc>
      </w:tr>
      <w:tr w:rsidR="00842352" w:rsidRPr="004E4FBE" w14:paraId="4EA37F5D" w14:textId="77777777" w:rsidTr="71872EFF">
        <w:trPr>
          <w:trHeight w:val="936"/>
        </w:trPr>
        <w:tc>
          <w:tcPr>
            <w:tcW w:w="4525" w:type="dxa"/>
            <w:tcBorders>
              <w:top w:val="single" w:sz="8" w:space="0" w:color="auto"/>
              <w:left w:val="single" w:sz="8" w:space="0" w:color="auto"/>
              <w:bottom w:val="single" w:sz="8" w:space="0" w:color="auto"/>
              <w:right w:val="nil"/>
            </w:tcBorders>
            <w:shd w:val="clear" w:color="auto" w:fill="auto"/>
            <w:vAlign w:val="center"/>
            <w:hideMark/>
          </w:tcPr>
          <w:p w14:paraId="7AC97BF3" w14:textId="13091711" w:rsidR="00CF4BB0" w:rsidRPr="004E4FBE" w:rsidRDefault="00CF4BB0" w:rsidP="00CF4BB0">
            <w:pPr>
              <w:spacing w:after="120"/>
              <w:rPr>
                <w:rFonts w:eastAsia="Times New Roman" w:cs="Times New Roman"/>
                <w:sz w:val="24"/>
                <w:szCs w:val="24"/>
                <w:lang w:eastAsia="lv-LV"/>
              </w:rPr>
            </w:pPr>
            <w:r>
              <w:rPr>
                <w:rFonts w:eastAsia="Times New Roman" w:cs="Times New Roman"/>
                <w:sz w:val="24"/>
                <w:szCs w:val="24"/>
                <w:lang w:eastAsia="lv-LV"/>
              </w:rPr>
              <w:t>AS "Latvenergo" dividendes</w:t>
            </w:r>
            <w:r w:rsidRPr="004F2333">
              <w:rPr>
                <w:rFonts w:eastAsia="Times New Roman" w:cs="Times New Roman"/>
                <w:color w:val="FF0000"/>
                <w:sz w:val="24"/>
                <w:szCs w:val="24"/>
                <w:lang w:eastAsia="lv-LV"/>
              </w:rPr>
              <w:t xml:space="preserve"> </w:t>
            </w:r>
            <w:r w:rsidRPr="004E4FBE">
              <w:rPr>
                <w:rFonts w:eastAsia="Times New Roman" w:cs="Times New Roman"/>
                <w:sz w:val="24"/>
                <w:szCs w:val="24"/>
                <w:lang w:eastAsia="lv-LV"/>
              </w:rPr>
              <w:t>elektroenerģijas ražotāju, aizsargāto lietotāju un energoietilpīgo uzņēmumu vajadzībām</w:t>
            </w:r>
          </w:p>
        </w:tc>
        <w:tc>
          <w:tcPr>
            <w:tcW w:w="1521" w:type="dxa"/>
            <w:tcBorders>
              <w:top w:val="nil"/>
              <w:left w:val="single" w:sz="8" w:space="0" w:color="auto"/>
              <w:bottom w:val="single" w:sz="4" w:space="0" w:color="auto"/>
              <w:right w:val="single" w:sz="4" w:space="0" w:color="auto"/>
            </w:tcBorders>
            <w:shd w:val="clear" w:color="auto" w:fill="auto"/>
            <w:vAlign w:val="center"/>
            <w:hideMark/>
          </w:tcPr>
          <w:p w14:paraId="1EA52638" w14:textId="25DFD40E" w:rsidR="00CF4BB0" w:rsidRPr="00E830EC" w:rsidRDefault="00D84D63" w:rsidP="00CF4BB0">
            <w:pPr>
              <w:spacing w:after="120"/>
              <w:jc w:val="center"/>
              <w:rPr>
                <w:rFonts w:eastAsia="Times New Roman" w:cs="Times New Roman"/>
                <w:sz w:val="24"/>
                <w:szCs w:val="24"/>
                <w:lang w:eastAsia="lv-LV"/>
              </w:rPr>
            </w:pPr>
            <w:r w:rsidRPr="00D84D63">
              <w:rPr>
                <w:rFonts w:cs="Times New Roman"/>
                <w:color w:val="000000"/>
                <w:sz w:val="24"/>
                <w:szCs w:val="24"/>
              </w:rPr>
              <w:t>69 640 000</w:t>
            </w:r>
          </w:p>
        </w:tc>
        <w:tc>
          <w:tcPr>
            <w:tcW w:w="1521" w:type="dxa"/>
            <w:tcBorders>
              <w:top w:val="nil"/>
              <w:left w:val="single" w:sz="8" w:space="0" w:color="auto"/>
              <w:bottom w:val="single" w:sz="4" w:space="0" w:color="auto"/>
              <w:right w:val="single" w:sz="4" w:space="0" w:color="auto"/>
            </w:tcBorders>
            <w:shd w:val="clear" w:color="auto" w:fill="auto"/>
            <w:vAlign w:val="center"/>
            <w:hideMark/>
          </w:tcPr>
          <w:p w14:paraId="40B7FF72" w14:textId="16D6D7C2" w:rsidR="00CF4BB0" w:rsidRPr="00E830EC" w:rsidRDefault="00D84D63" w:rsidP="00CF4BB0">
            <w:pPr>
              <w:spacing w:after="120"/>
              <w:jc w:val="center"/>
              <w:rPr>
                <w:rFonts w:eastAsia="Times New Roman" w:cs="Times New Roman"/>
                <w:sz w:val="24"/>
                <w:szCs w:val="24"/>
                <w:lang w:eastAsia="lv-LV"/>
              </w:rPr>
            </w:pPr>
            <w:r w:rsidRPr="00D84D63">
              <w:rPr>
                <w:rFonts w:cs="Times New Roman"/>
                <w:color w:val="000000"/>
                <w:sz w:val="24"/>
                <w:szCs w:val="24"/>
              </w:rPr>
              <w:t>59 500 000</w:t>
            </w:r>
          </w:p>
        </w:tc>
        <w:tc>
          <w:tcPr>
            <w:tcW w:w="1521" w:type="dxa"/>
            <w:tcBorders>
              <w:top w:val="nil"/>
              <w:left w:val="single" w:sz="8" w:space="0" w:color="auto"/>
              <w:bottom w:val="single" w:sz="4" w:space="0" w:color="auto"/>
              <w:right w:val="single" w:sz="8" w:space="0" w:color="auto"/>
            </w:tcBorders>
            <w:shd w:val="clear" w:color="auto" w:fill="auto"/>
            <w:vAlign w:val="center"/>
            <w:hideMark/>
          </w:tcPr>
          <w:p w14:paraId="6DCF8EBB" w14:textId="4B1FE992" w:rsidR="00CF4BB0" w:rsidRPr="00E830EC" w:rsidRDefault="00D84D63" w:rsidP="00CF4BB0">
            <w:pPr>
              <w:spacing w:after="120"/>
              <w:jc w:val="center"/>
              <w:rPr>
                <w:rFonts w:eastAsia="Times New Roman" w:cs="Times New Roman"/>
                <w:sz w:val="24"/>
                <w:szCs w:val="24"/>
                <w:lang w:eastAsia="lv-LV"/>
              </w:rPr>
            </w:pPr>
            <w:r w:rsidRPr="00D84D63">
              <w:rPr>
                <w:rFonts w:cs="Times New Roman"/>
                <w:color w:val="000000"/>
                <w:sz w:val="24"/>
                <w:szCs w:val="24"/>
              </w:rPr>
              <w:t>59 500 000</w:t>
            </w:r>
          </w:p>
        </w:tc>
      </w:tr>
      <w:tr w:rsidR="00F619FC" w:rsidRPr="004E4FBE" w14:paraId="1E10847D" w14:textId="77777777" w:rsidTr="71872EFF">
        <w:trPr>
          <w:trHeight w:val="532"/>
        </w:trPr>
        <w:tc>
          <w:tcPr>
            <w:tcW w:w="45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9EE1F" w14:textId="77777777" w:rsidR="00CF4BB0" w:rsidRPr="004E4FBE" w:rsidRDefault="00CF4BB0" w:rsidP="00CF4BB0">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Bilance</w:t>
            </w:r>
          </w:p>
        </w:tc>
        <w:tc>
          <w:tcPr>
            <w:tcW w:w="1521" w:type="dxa"/>
            <w:tcBorders>
              <w:top w:val="nil"/>
              <w:left w:val="single" w:sz="8" w:space="0" w:color="auto"/>
              <w:bottom w:val="single" w:sz="8" w:space="0" w:color="auto"/>
              <w:right w:val="single" w:sz="4" w:space="0" w:color="auto"/>
            </w:tcBorders>
            <w:shd w:val="clear" w:color="auto" w:fill="auto"/>
            <w:vAlign w:val="center"/>
            <w:hideMark/>
          </w:tcPr>
          <w:p w14:paraId="22110536" w14:textId="0F9BC0E1" w:rsidR="00CF4BB0" w:rsidRPr="00E830EC" w:rsidRDefault="00CF4BB0" w:rsidP="00CF4BB0">
            <w:pPr>
              <w:spacing w:after="120"/>
              <w:jc w:val="center"/>
              <w:rPr>
                <w:rFonts w:eastAsia="Times New Roman" w:cs="Times New Roman"/>
                <w:b/>
                <w:bCs/>
                <w:sz w:val="24"/>
                <w:szCs w:val="24"/>
                <w:lang w:eastAsia="lv-LV"/>
              </w:rPr>
            </w:pPr>
            <w:r w:rsidRPr="00E830EC">
              <w:rPr>
                <w:rFonts w:cs="Times New Roman"/>
                <w:b/>
                <w:bCs/>
                <w:color w:val="000000"/>
                <w:sz w:val="24"/>
                <w:szCs w:val="24"/>
              </w:rPr>
              <w:t>0</w:t>
            </w:r>
          </w:p>
        </w:tc>
        <w:tc>
          <w:tcPr>
            <w:tcW w:w="1521" w:type="dxa"/>
            <w:tcBorders>
              <w:top w:val="nil"/>
              <w:left w:val="single" w:sz="8" w:space="0" w:color="auto"/>
              <w:bottom w:val="single" w:sz="8" w:space="0" w:color="auto"/>
              <w:right w:val="single" w:sz="4" w:space="0" w:color="auto"/>
            </w:tcBorders>
            <w:shd w:val="clear" w:color="auto" w:fill="auto"/>
            <w:vAlign w:val="center"/>
            <w:hideMark/>
          </w:tcPr>
          <w:p w14:paraId="0201BC77" w14:textId="5F44D2FA" w:rsidR="00CF4BB0" w:rsidRPr="00E830EC" w:rsidRDefault="00CF4BB0" w:rsidP="00CF4BB0">
            <w:pPr>
              <w:spacing w:after="120"/>
              <w:jc w:val="center"/>
              <w:rPr>
                <w:rFonts w:eastAsia="Times New Roman" w:cs="Times New Roman"/>
                <w:b/>
                <w:bCs/>
                <w:sz w:val="24"/>
                <w:szCs w:val="24"/>
                <w:lang w:eastAsia="lv-LV"/>
              </w:rPr>
            </w:pPr>
            <w:r w:rsidRPr="00E830EC">
              <w:rPr>
                <w:rFonts w:cs="Times New Roman"/>
                <w:b/>
                <w:bCs/>
                <w:color w:val="000000"/>
                <w:sz w:val="24"/>
                <w:szCs w:val="24"/>
              </w:rPr>
              <w:t>0</w:t>
            </w:r>
          </w:p>
        </w:tc>
        <w:tc>
          <w:tcPr>
            <w:tcW w:w="1521" w:type="dxa"/>
            <w:tcBorders>
              <w:top w:val="nil"/>
              <w:left w:val="single" w:sz="8" w:space="0" w:color="auto"/>
              <w:bottom w:val="single" w:sz="8" w:space="0" w:color="auto"/>
              <w:right w:val="single" w:sz="8" w:space="0" w:color="auto"/>
            </w:tcBorders>
            <w:shd w:val="clear" w:color="auto" w:fill="auto"/>
            <w:vAlign w:val="center"/>
            <w:hideMark/>
          </w:tcPr>
          <w:p w14:paraId="17A7DE86" w14:textId="3E601711" w:rsidR="00CF4BB0" w:rsidRPr="00E830EC" w:rsidRDefault="00CF4BB0" w:rsidP="00CF4BB0">
            <w:pPr>
              <w:spacing w:after="120"/>
              <w:jc w:val="center"/>
              <w:rPr>
                <w:rFonts w:eastAsia="Times New Roman" w:cs="Times New Roman"/>
                <w:b/>
                <w:bCs/>
                <w:sz w:val="24"/>
                <w:szCs w:val="24"/>
                <w:lang w:eastAsia="lv-LV"/>
              </w:rPr>
            </w:pPr>
            <w:r w:rsidRPr="00E830EC">
              <w:rPr>
                <w:rFonts w:cs="Times New Roman"/>
                <w:b/>
                <w:bCs/>
                <w:color w:val="000000"/>
                <w:sz w:val="24"/>
                <w:szCs w:val="24"/>
              </w:rPr>
              <w:t>0</w:t>
            </w:r>
          </w:p>
        </w:tc>
      </w:tr>
    </w:tbl>
    <w:p w14:paraId="2457B591" w14:textId="77777777" w:rsidR="001D2113" w:rsidRDefault="001D2113" w:rsidP="004E4FBE">
      <w:pPr>
        <w:pStyle w:val="Caption"/>
        <w:keepNext/>
        <w:spacing w:line="240" w:lineRule="auto"/>
        <w:jc w:val="right"/>
        <w:rPr>
          <w:rFonts w:ascii="Times New Roman" w:hAnsi="Times New Roman"/>
          <w:color w:val="auto"/>
          <w:sz w:val="24"/>
          <w:szCs w:val="24"/>
        </w:rPr>
      </w:pPr>
    </w:p>
    <w:p w14:paraId="225E8FAF" w14:textId="22294563" w:rsidR="00502E1D" w:rsidRPr="004E4FBE" w:rsidRDefault="00634A6C"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15</w:t>
      </w:r>
      <w:r w:rsidR="00502E1D" w:rsidRPr="004E4FBE">
        <w:rPr>
          <w:rFonts w:ascii="Times New Roman" w:hAnsi="Times New Roman"/>
          <w:color w:val="auto"/>
          <w:sz w:val="24"/>
          <w:szCs w:val="24"/>
        </w:rPr>
        <w:t>. tabula</w:t>
      </w:r>
    </w:p>
    <w:p w14:paraId="69F904F7" w14:textId="749EE512" w:rsidR="00095298" w:rsidRPr="004E4FBE" w:rsidRDefault="00095298" w:rsidP="00095298">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Valsts budžetā paredzamais finansējums OIK, aizsargāto lietotāju, energoietilpīgo uzņēmumu atbalsta</w:t>
      </w:r>
      <w:r w:rsidR="0011430F">
        <w:rPr>
          <w:rFonts w:ascii="Times New Roman" w:hAnsi="Times New Roman"/>
          <w:color w:val="auto"/>
          <w:sz w:val="24"/>
          <w:szCs w:val="24"/>
        </w:rPr>
        <w:t>, VPP</w:t>
      </w:r>
      <w:r w:rsidRPr="00A63282">
        <w:rPr>
          <w:rFonts w:ascii="Times New Roman" w:hAnsi="Times New Roman"/>
          <w:color w:val="4472C4" w:themeColor="accent1"/>
          <w:sz w:val="24"/>
          <w:szCs w:val="24"/>
        </w:rPr>
        <w:t xml:space="preserve"> </w:t>
      </w:r>
      <w:r w:rsidRPr="006B1FFF">
        <w:rPr>
          <w:rFonts w:ascii="Times New Roman" w:hAnsi="Times New Roman"/>
          <w:color w:val="auto"/>
          <w:sz w:val="24"/>
          <w:szCs w:val="24"/>
        </w:rPr>
        <w:t xml:space="preserve">un NEKP pētniecības daļas </w:t>
      </w:r>
      <w:r w:rsidRPr="00EA4256">
        <w:rPr>
          <w:rFonts w:ascii="Times New Roman" w:hAnsi="Times New Roman"/>
          <w:color w:val="auto"/>
          <w:sz w:val="24"/>
          <w:szCs w:val="24"/>
        </w:rPr>
        <w:t>īstenošanas, pēc naudas plūsmas metodes, EUR</w:t>
      </w:r>
    </w:p>
    <w:tbl>
      <w:tblPr>
        <w:tblW w:w="9037" w:type="dxa"/>
        <w:tblInd w:w="5" w:type="dxa"/>
        <w:tblLook w:val="04A0" w:firstRow="1" w:lastRow="0" w:firstColumn="1" w:lastColumn="0" w:noHBand="0" w:noVBand="1"/>
      </w:tblPr>
      <w:tblGrid>
        <w:gridCol w:w="4449"/>
        <w:gridCol w:w="1529"/>
        <w:gridCol w:w="1529"/>
        <w:gridCol w:w="1530"/>
      </w:tblGrid>
      <w:tr w:rsidR="004E4FBE" w:rsidRPr="004E4FBE" w14:paraId="5CB09C6B" w14:textId="77777777" w:rsidTr="0008370F">
        <w:trPr>
          <w:trHeight w:val="267"/>
        </w:trPr>
        <w:tc>
          <w:tcPr>
            <w:tcW w:w="44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C973A6" w14:textId="77777777" w:rsidR="00502E1D" w:rsidRPr="004E4FBE" w:rsidRDefault="00502E1D" w:rsidP="004E4FBE">
            <w:pPr>
              <w:spacing w:after="120"/>
              <w:jc w:val="left"/>
              <w:rPr>
                <w:rFonts w:eastAsia="Times New Roman" w:cs="Times New Roman"/>
                <w:sz w:val="24"/>
                <w:szCs w:val="24"/>
                <w:lang w:eastAsia="lv-LV"/>
              </w:rPr>
            </w:pPr>
            <w:r w:rsidRPr="004E4FBE">
              <w:rPr>
                <w:rFonts w:eastAsia="Times New Roman" w:cs="Times New Roman"/>
                <w:sz w:val="24"/>
                <w:szCs w:val="24"/>
                <w:lang w:eastAsia="lv-LV"/>
              </w:rPr>
              <w:t> </w:t>
            </w:r>
          </w:p>
        </w:tc>
        <w:tc>
          <w:tcPr>
            <w:tcW w:w="1529" w:type="dxa"/>
            <w:tcBorders>
              <w:top w:val="single" w:sz="8" w:space="0" w:color="auto"/>
              <w:left w:val="nil"/>
              <w:bottom w:val="nil"/>
              <w:right w:val="single" w:sz="4" w:space="0" w:color="auto"/>
            </w:tcBorders>
            <w:shd w:val="clear" w:color="auto" w:fill="auto"/>
            <w:vAlign w:val="center"/>
            <w:hideMark/>
          </w:tcPr>
          <w:p w14:paraId="67669406"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2021</w:t>
            </w:r>
          </w:p>
        </w:tc>
        <w:tc>
          <w:tcPr>
            <w:tcW w:w="1529" w:type="dxa"/>
            <w:tcBorders>
              <w:top w:val="single" w:sz="8" w:space="0" w:color="auto"/>
              <w:left w:val="nil"/>
              <w:bottom w:val="nil"/>
              <w:right w:val="single" w:sz="4" w:space="0" w:color="auto"/>
            </w:tcBorders>
            <w:shd w:val="clear" w:color="auto" w:fill="auto"/>
            <w:vAlign w:val="center"/>
            <w:hideMark/>
          </w:tcPr>
          <w:p w14:paraId="65499985"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2022</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5393805F" w14:textId="77777777" w:rsidR="00502E1D" w:rsidRPr="004E4FBE" w:rsidRDefault="00502E1D"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2023</w:t>
            </w:r>
          </w:p>
        </w:tc>
      </w:tr>
      <w:tr w:rsidR="00E830EC" w:rsidRPr="004E4FBE" w14:paraId="2B553D88" w14:textId="77777777" w:rsidTr="006B1FFF">
        <w:trPr>
          <w:trHeight w:val="251"/>
        </w:trPr>
        <w:tc>
          <w:tcPr>
            <w:tcW w:w="4449" w:type="dxa"/>
            <w:tcBorders>
              <w:top w:val="nil"/>
              <w:left w:val="single" w:sz="8" w:space="0" w:color="auto"/>
              <w:bottom w:val="single" w:sz="4" w:space="0" w:color="auto"/>
              <w:right w:val="single" w:sz="8" w:space="0" w:color="auto"/>
            </w:tcBorders>
            <w:shd w:val="clear" w:color="auto" w:fill="auto"/>
            <w:vAlign w:val="center"/>
            <w:hideMark/>
          </w:tcPr>
          <w:p w14:paraId="7E6DA1E3" w14:textId="22505371" w:rsidR="00E830EC" w:rsidRPr="004E4FBE" w:rsidRDefault="00E830EC" w:rsidP="00E830EC">
            <w:pPr>
              <w:spacing w:after="120"/>
              <w:jc w:val="left"/>
              <w:rPr>
                <w:rFonts w:eastAsia="Times New Roman" w:cs="Times New Roman"/>
                <w:sz w:val="24"/>
                <w:szCs w:val="24"/>
                <w:lang w:eastAsia="lv-LV"/>
              </w:rPr>
            </w:pPr>
            <w:r w:rsidRPr="004E4FBE">
              <w:rPr>
                <w:rFonts w:eastAsia="Times New Roman" w:cs="Times New Roman"/>
                <w:sz w:val="24"/>
                <w:szCs w:val="24"/>
                <w:lang w:eastAsia="lv-LV"/>
              </w:rPr>
              <w:t>Finansējums OIK apmēra mazināšanai</w:t>
            </w:r>
          </w:p>
        </w:tc>
        <w:tc>
          <w:tcPr>
            <w:tcW w:w="1529" w:type="dxa"/>
            <w:tcBorders>
              <w:top w:val="single" w:sz="8" w:space="0" w:color="auto"/>
              <w:left w:val="nil"/>
              <w:bottom w:val="single" w:sz="4" w:space="0" w:color="auto"/>
              <w:right w:val="single" w:sz="4" w:space="0" w:color="auto"/>
            </w:tcBorders>
            <w:shd w:val="clear" w:color="auto" w:fill="auto"/>
            <w:vAlign w:val="center"/>
            <w:hideMark/>
          </w:tcPr>
          <w:p w14:paraId="4EE88CAE" w14:textId="49F06F51" w:rsidR="00E830EC" w:rsidRPr="00E830EC" w:rsidRDefault="00E830EC" w:rsidP="00E830EC">
            <w:pPr>
              <w:spacing w:after="120"/>
              <w:jc w:val="center"/>
              <w:rPr>
                <w:rFonts w:eastAsia="Times New Roman" w:cs="Times New Roman"/>
                <w:sz w:val="24"/>
                <w:szCs w:val="24"/>
                <w:lang w:eastAsia="lv-LV"/>
              </w:rPr>
            </w:pPr>
            <w:r w:rsidRPr="00866A16">
              <w:rPr>
                <w:rFonts w:cs="Times New Roman"/>
                <w:color w:val="000000"/>
                <w:sz w:val="24"/>
                <w:szCs w:val="24"/>
              </w:rPr>
              <w:t>12 576 857</w:t>
            </w:r>
          </w:p>
        </w:tc>
        <w:tc>
          <w:tcPr>
            <w:tcW w:w="1529" w:type="dxa"/>
            <w:tcBorders>
              <w:top w:val="single" w:sz="8" w:space="0" w:color="auto"/>
              <w:left w:val="nil"/>
              <w:bottom w:val="single" w:sz="4" w:space="0" w:color="auto"/>
              <w:right w:val="single" w:sz="4" w:space="0" w:color="auto"/>
            </w:tcBorders>
            <w:shd w:val="clear" w:color="auto" w:fill="auto"/>
            <w:vAlign w:val="center"/>
            <w:hideMark/>
          </w:tcPr>
          <w:p w14:paraId="4A69DBEE" w14:textId="7E9DE1E0" w:rsidR="00E830EC" w:rsidRPr="00C57314" w:rsidRDefault="00422ECB" w:rsidP="00E830EC">
            <w:pPr>
              <w:spacing w:after="120"/>
              <w:jc w:val="center"/>
              <w:rPr>
                <w:rFonts w:eastAsia="Times New Roman" w:cs="Times New Roman"/>
                <w:sz w:val="24"/>
                <w:szCs w:val="24"/>
                <w:highlight w:val="yellow"/>
                <w:lang w:eastAsia="lv-LV"/>
              </w:rPr>
            </w:pPr>
            <w:r w:rsidRPr="007050F5">
              <w:rPr>
                <w:rFonts w:cs="Times New Roman"/>
                <w:sz w:val="24"/>
                <w:szCs w:val="24"/>
              </w:rPr>
              <w:t>24 688 226</w:t>
            </w:r>
          </w:p>
        </w:tc>
        <w:tc>
          <w:tcPr>
            <w:tcW w:w="1530" w:type="dxa"/>
            <w:tcBorders>
              <w:top w:val="single" w:sz="8" w:space="0" w:color="auto"/>
              <w:left w:val="nil"/>
              <w:bottom w:val="single" w:sz="4" w:space="0" w:color="auto"/>
              <w:right w:val="single" w:sz="4" w:space="0" w:color="auto"/>
            </w:tcBorders>
            <w:shd w:val="clear" w:color="auto" w:fill="auto"/>
            <w:vAlign w:val="center"/>
            <w:hideMark/>
          </w:tcPr>
          <w:p w14:paraId="5A2728CE" w14:textId="09EF47B0" w:rsidR="00E830EC" w:rsidRPr="00C57314" w:rsidRDefault="00422ECB" w:rsidP="00E830EC">
            <w:pPr>
              <w:spacing w:after="120"/>
              <w:jc w:val="center"/>
              <w:rPr>
                <w:rFonts w:eastAsia="Times New Roman" w:cs="Times New Roman"/>
                <w:sz w:val="24"/>
                <w:szCs w:val="24"/>
                <w:highlight w:val="yellow"/>
                <w:lang w:eastAsia="lv-LV"/>
              </w:rPr>
            </w:pPr>
            <w:r w:rsidRPr="00B32E0B">
              <w:rPr>
                <w:rFonts w:cs="Times New Roman"/>
                <w:sz w:val="24"/>
                <w:szCs w:val="24"/>
              </w:rPr>
              <w:t>14 496 400</w:t>
            </w:r>
          </w:p>
        </w:tc>
      </w:tr>
      <w:tr w:rsidR="00E830EC" w:rsidRPr="004E4FBE" w14:paraId="1ABECE44" w14:textId="77777777" w:rsidTr="006B1FFF">
        <w:trPr>
          <w:trHeight w:val="251"/>
        </w:trPr>
        <w:tc>
          <w:tcPr>
            <w:tcW w:w="4449" w:type="dxa"/>
            <w:tcBorders>
              <w:top w:val="nil"/>
              <w:left w:val="single" w:sz="8" w:space="0" w:color="auto"/>
              <w:bottom w:val="single" w:sz="4" w:space="0" w:color="auto"/>
              <w:right w:val="single" w:sz="8" w:space="0" w:color="auto"/>
            </w:tcBorders>
            <w:shd w:val="clear" w:color="auto" w:fill="auto"/>
            <w:vAlign w:val="center"/>
            <w:hideMark/>
          </w:tcPr>
          <w:p w14:paraId="002643F5" w14:textId="77777777" w:rsidR="00E830EC" w:rsidRPr="004E4FBE" w:rsidRDefault="00E830EC" w:rsidP="00E830EC">
            <w:pPr>
              <w:spacing w:after="120"/>
              <w:jc w:val="left"/>
              <w:rPr>
                <w:rFonts w:eastAsia="Times New Roman" w:cs="Times New Roman"/>
                <w:sz w:val="24"/>
                <w:szCs w:val="24"/>
                <w:lang w:eastAsia="lv-LV"/>
              </w:rPr>
            </w:pPr>
            <w:r w:rsidRPr="004E4FBE">
              <w:rPr>
                <w:rFonts w:eastAsia="Times New Roman" w:cs="Times New Roman"/>
                <w:sz w:val="24"/>
                <w:szCs w:val="24"/>
                <w:lang w:eastAsia="lv-LV"/>
              </w:rPr>
              <w:t>Energoietilpīgo uzņēmumu atbalsta finansēšana</w:t>
            </w:r>
          </w:p>
        </w:tc>
        <w:tc>
          <w:tcPr>
            <w:tcW w:w="1529" w:type="dxa"/>
            <w:tcBorders>
              <w:top w:val="nil"/>
              <w:left w:val="nil"/>
              <w:bottom w:val="single" w:sz="4" w:space="0" w:color="auto"/>
              <w:right w:val="single" w:sz="4" w:space="0" w:color="auto"/>
            </w:tcBorders>
            <w:shd w:val="clear" w:color="auto" w:fill="auto"/>
            <w:vAlign w:val="center"/>
            <w:hideMark/>
          </w:tcPr>
          <w:p w14:paraId="5709AE4C" w14:textId="7C28F4E2"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7 000 000</w:t>
            </w:r>
          </w:p>
        </w:tc>
        <w:tc>
          <w:tcPr>
            <w:tcW w:w="1529" w:type="dxa"/>
            <w:tcBorders>
              <w:top w:val="nil"/>
              <w:left w:val="nil"/>
              <w:bottom w:val="single" w:sz="4" w:space="0" w:color="auto"/>
              <w:right w:val="single" w:sz="4" w:space="0" w:color="auto"/>
            </w:tcBorders>
            <w:shd w:val="clear" w:color="auto" w:fill="auto"/>
            <w:vAlign w:val="center"/>
            <w:hideMark/>
          </w:tcPr>
          <w:p w14:paraId="29707E77" w14:textId="3305CB9A"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7 000 000</w:t>
            </w:r>
          </w:p>
        </w:tc>
        <w:tc>
          <w:tcPr>
            <w:tcW w:w="1530" w:type="dxa"/>
            <w:tcBorders>
              <w:top w:val="nil"/>
              <w:left w:val="nil"/>
              <w:bottom w:val="single" w:sz="4" w:space="0" w:color="auto"/>
              <w:right w:val="single" w:sz="4" w:space="0" w:color="auto"/>
            </w:tcBorders>
            <w:shd w:val="clear" w:color="auto" w:fill="auto"/>
            <w:vAlign w:val="center"/>
            <w:hideMark/>
          </w:tcPr>
          <w:p w14:paraId="5BB06FD3" w14:textId="182A88AF"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7 000 000</w:t>
            </w:r>
          </w:p>
        </w:tc>
      </w:tr>
      <w:tr w:rsidR="00E830EC" w:rsidRPr="004E4FBE" w14:paraId="01DD6C11" w14:textId="77777777" w:rsidTr="006B1FFF">
        <w:trPr>
          <w:trHeight w:val="267"/>
        </w:trPr>
        <w:tc>
          <w:tcPr>
            <w:tcW w:w="4449" w:type="dxa"/>
            <w:tcBorders>
              <w:top w:val="nil"/>
              <w:left w:val="single" w:sz="8" w:space="0" w:color="auto"/>
              <w:bottom w:val="single" w:sz="4" w:space="0" w:color="auto"/>
              <w:right w:val="single" w:sz="8" w:space="0" w:color="auto"/>
            </w:tcBorders>
            <w:shd w:val="clear" w:color="auto" w:fill="auto"/>
            <w:vAlign w:val="center"/>
            <w:hideMark/>
          </w:tcPr>
          <w:p w14:paraId="24FBCDAA" w14:textId="35FD912C" w:rsidR="00E830EC" w:rsidRPr="004E4FBE" w:rsidRDefault="009E2B69" w:rsidP="00E830EC">
            <w:pPr>
              <w:spacing w:after="120"/>
              <w:jc w:val="left"/>
              <w:rPr>
                <w:rFonts w:eastAsia="Times New Roman" w:cs="Times New Roman"/>
                <w:sz w:val="24"/>
                <w:szCs w:val="24"/>
                <w:lang w:eastAsia="lv-LV"/>
              </w:rPr>
            </w:pPr>
            <w:r w:rsidRPr="004E4FBE">
              <w:rPr>
                <w:rFonts w:eastAsia="Times New Roman" w:cs="Times New Roman"/>
                <w:sz w:val="24"/>
                <w:szCs w:val="24"/>
                <w:lang w:eastAsia="lv-LV"/>
              </w:rPr>
              <w:t>Aizsargāto lietotāju atbalsta finansējums</w:t>
            </w:r>
          </w:p>
        </w:tc>
        <w:tc>
          <w:tcPr>
            <w:tcW w:w="1529" w:type="dxa"/>
            <w:tcBorders>
              <w:top w:val="nil"/>
              <w:left w:val="nil"/>
              <w:bottom w:val="single" w:sz="4" w:space="0" w:color="auto"/>
              <w:right w:val="single" w:sz="4" w:space="0" w:color="auto"/>
            </w:tcBorders>
            <w:shd w:val="clear" w:color="000000" w:fill="FFFFFF"/>
            <w:vAlign w:val="center"/>
            <w:hideMark/>
          </w:tcPr>
          <w:p w14:paraId="6B0DA6C1" w14:textId="1AF6682F"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12 000 000</w:t>
            </w:r>
          </w:p>
        </w:tc>
        <w:tc>
          <w:tcPr>
            <w:tcW w:w="1529" w:type="dxa"/>
            <w:tcBorders>
              <w:top w:val="nil"/>
              <w:left w:val="nil"/>
              <w:bottom w:val="single" w:sz="4" w:space="0" w:color="auto"/>
              <w:right w:val="single" w:sz="4" w:space="0" w:color="auto"/>
            </w:tcBorders>
            <w:shd w:val="clear" w:color="000000" w:fill="FFFFFF"/>
            <w:vAlign w:val="center"/>
            <w:hideMark/>
          </w:tcPr>
          <w:p w14:paraId="05C33C91" w14:textId="0CFE29B1"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12 000 000</w:t>
            </w:r>
          </w:p>
        </w:tc>
        <w:tc>
          <w:tcPr>
            <w:tcW w:w="1530" w:type="dxa"/>
            <w:tcBorders>
              <w:top w:val="nil"/>
              <w:left w:val="nil"/>
              <w:bottom w:val="single" w:sz="4" w:space="0" w:color="auto"/>
              <w:right w:val="single" w:sz="8" w:space="0" w:color="auto"/>
            </w:tcBorders>
            <w:shd w:val="clear" w:color="000000" w:fill="FFFFFF"/>
            <w:vAlign w:val="center"/>
            <w:hideMark/>
          </w:tcPr>
          <w:p w14:paraId="2DF7434B" w14:textId="3B68764F"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12 000 000</w:t>
            </w:r>
          </w:p>
        </w:tc>
      </w:tr>
      <w:tr w:rsidR="00E830EC" w:rsidRPr="004E4FBE" w14:paraId="38CEF555" w14:textId="77777777" w:rsidTr="002D6C36">
        <w:trPr>
          <w:trHeight w:val="251"/>
        </w:trPr>
        <w:tc>
          <w:tcPr>
            <w:tcW w:w="444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6877728" w14:textId="0F97FAD2" w:rsidR="00E830EC" w:rsidRPr="004E4FBE" w:rsidRDefault="009E2B69" w:rsidP="00E830EC">
            <w:pPr>
              <w:spacing w:after="120"/>
              <w:jc w:val="left"/>
              <w:rPr>
                <w:rFonts w:eastAsia="Times New Roman" w:cs="Times New Roman"/>
                <w:sz w:val="24"/>
                <w:szCs w:val="24"/>
                <w:lang w:eastAsia="lv-LV"/>
              </w:rPr>
            </w:pPr>
            <w:r w:rsidRPr="004E4FBE">
              <w:rPr>
                <w:rFonts w:eastAsia="Times New Roman" w:cs="Times New Roman"/>
                <w:sz w:val="24"/>
                <w:szCs w:val="24"/>
                <w:lang w:eastAsia="lv-LV"/>
              </w:rPr>
              <w:t>NEKP pētniecības daļas īstenošana</w:t>
            </w:r>
            <w:r w:rsidR="00C5381A">
              <w:rPr>
                <w:rFonts w:eastAsia="Times New Roman" w:cs="Times New Roman"/>
                <w:sz w:val="24"/>
                <w:szCs w:val="24"/>
                <w:lang w:eastAsia="lv-LV"/>
              </w:rPr>
              <w:t>, t.sk. administrēšanas vajadzībām</w:t>
            </w:r>
          </w:p>
        </w:tc>
        <w:tc>
          <w:tcPr>
            <w:tcW w:w="1529" w:type="dxa"/>
            <w:tcBorders>
              <w:top w:val="nil"/>
              <w:left w:val="nil"/>
              <w:bottom w:val="single" w:sz="4" w:space="0" w:color="auto"/>
              <w:right w:val="single" w:sz="4" w:space="0" w:color="auto"/>
            </w:tcBorders>
            <w:shd w:val="clear" w:color="000000" w:fill="FFFFFF"/>
            <w:vAlign w:val="center"/>
            <w:hideMark/>
          </w:tcPr>
          <w:p w14:paraId="35F30F1A" w14:textId="3B9DE169" w:rsidR="00E830EC" w:rsidRPr="00E830EC" w:rsidRDefault="00381EB7" w:rsidP="00E830EC">
            <w:pPr>
              <w:spacing w:after="120"/>
              <w:jc w:val="center"/>
              <w:rPr>
                <w:rFonts w:eastAsia="Times New Roman" w:cs="Times New Roman"/>
                <w:sz w:val="24"/>
                <w:szCs w:val="24"/>
                <w:lang w:eastAsia="lv-LV"/>
              </w:rPr>
            </w:pPr>
            <w:r w:rsidRPr="005B0F6F">
              <w:rPr>
                <w:rFonts w:cs="Times New Roman"/>
                <w:sz w:val="24"/>
                <w:szCs w:val="24"/>
              </w:rPr>
              <w:t>1 403 014</w:t>
            </w:r>
          </w:p>
        </w:tc>
        <w:tc>
          <w:tcPr>
            <w:tcW w:w="1529" w:type="dxa"/>
            <w:tcBorders>
              <w:top w:val="nil"/>
              <w:left w:val="nil"/>
              <w:bottom w:val="single" w:sz="4" w:space="0" w:color="auto"/>
              <w:right w:val="single" w:sz="4" w:space="0" w:color="auto"/>
            </w:tcBorders>
            <w:shd w:val="clear" w:color="000000" w:fill="FFFFFF"/>
            <w:vAlign w:val="center"/>
            <w:hideMark/>
          </w:tcPr>
          <w:p w14:paraId="4897338F" w14:textId="2B365104"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2 000 000</w:t>
            </w:r>
          </w:p>
        </w:tc>
        <w:tc>
          <w:tcPr>
            <w:tcW w:w="1530" w:type="dxa"/>
            <w:tcBorders>
              <w:top w:val="nil"/>
              <w:left w:val="nil"/>
              <w:bottom w:val="single" w:sz="4" w:space="0" w:color="auto"/>
              <w:right w:val="single" w:sz="8" w:space="0" w:color="auto"/>
            </w:tcBorders>
            <w:shd w:val="clear" w:color="000000" w:fill="FFFFFF"/>
            <w:vAlign w:val="center"/>
            <w:hideMark/>
          </w:tcPr>
          <w:p w14:paraId="6BA1C9FE" w14:textId="623AC90A"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2 000 000</w:t>
            </w:r>
          </w:p>
        </w:tc>
      </w:tr>
      <w:tr w:rsidR="00381EB7" w:rsidRPr="004E4FBE" w14:paraId="23FAC298" w14:textId="77777777" w:rsidTr="002D6C36">
        <w:trPr>
          <w:trHeight w:val="251"/>
        </w:trPr>
        <w:tc>
          <w:tcPr>
            <w:tcW w:w="4449" w:type="dxa"/>
            <w:tcBorders>
              <w:top w:val="single" w:sz="4" w:space="0" w:color="auto"/>
              <w:left w:val="single" w:sz="8" w:space="0" w:color="auto"/>
              <w:bottom w:val="single" w:sz="8" w:space="0" w:color="auto"/>
              <w:right w:val="single" w:sz="4" w:space="0" w:color="auto"/>
            </w:tcBorders>
            <w:shd w:val="clear" w:color="auto" w:fill="auto"/>
            <w:vAlign w:val="center"/>
          </w:tcPr>
          <w:p w14:paraId="7070B40E" w14:textId="0DC0ACA0" w:rsidR="00381EB7" w:rsidRPr="004E4FBE" w:rsidRDefault="00381EB7" w:rsidP="00381EB7">
            <w:pPr>
              <w:spacing w:after="120"/>
              <w:jc w:val="left"/>
              <w:rPr>
                <w:rFonts w:eastAsia="Times New Roman" w:cs="Times New Roman"/>
                <w:sz w:val="24"/>
                <w:szCs w:val="24"/>
                <w:lang w:eastAsia="lv-LV"/>
              </w:rPr>
            </w:pPr>
            <w:r w:rsidRPr="005B0F6F">
              <w:rPr>
                <w:rFonts w:eastAsia="Times New Roman" w:cs="Times New Roman"/>
                <w:sz w:val="24"/>
                <w:szCs w:val="24"/>
                <w:lang w:eastAsia="lv-LV"/>
              </w:rPr>
              <w:t>VPP īstenošana, t.sk. administrēšanas vajadzībām</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tcPr>
          <w:p w14:paraId="2EB863AA" w14:textId="33AB38F6" w:rsidR="00381EB7" w:rsidRPr="00E830EC" w:rsidRDefault="00381EB7" w:rsidP="00381EB7">
            <w:pPr>
              <w:spacing w:after="120"/>
              <w:jc w:val="center"/>
              <w:rPr>
                <w:rFonts w:cs="Times New Roman"/>
                <w:sz w:val="24"/>
                <w:szCs w:val="24"/>
              </w:rPr>
            </w:pPr>
            <w:r w:rsidRPr="005B0F6F">
              <w:rPr>
                <w:rFonts w:cs="Times New Roman"/>
                <w:sz w:val="24"/>
                <w:szCs w:val="24"/>
              </w:rPr>
              <w:t>545 160</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72D43DDB" w14:textId="12DD7324" w:rsidR="00381EB7" w:rsidRPr="00E830EC" w:rsidRDefault="00381EB7" w:rsidP="00381EB7">
            <w:pPr>
              <w:spacing w:after="120"/>
              <w:jc w:val="center"/>
              <w:rPr>
                <w:rFonts w:cs="Times New Roman"/>
                <w:sz w:val="24"/>
                <w:szCs w:val="24"/>
              </w:rPr>
            </w:pPr>
            <w:r>
              <w:rPr>
                <w:rFonts w:cs="Times New Roman"/>
                <w:sz w:val="24"/>
                <w:szCs w:val="24"/>
              </w:rPr>
              <w:t>0</w:t>
            </w:r>
          </w:p>
        </w:tc>
        <w:tc>
          <w:tcPr>
            <w:tcW w:w="1530" w:type="dxa"/>
            <w:tcBorders>
              <w:top w:val="single" w:sz="4" w:space="0" w:color="auto"/>
              <w:left w:val="nil"/>
              <w:bottom w:val="single" w:sz="4" w:space="0" w:color="auto"/>
              <w:right w:val="single" w:sz="4" w:space="0" w:color="auto"/>
            </w:tcBorders>
            <w:shd w:val="clear" w:color="000000" w:fill="FFFFFF"/>
            <w:vAlign w:val="center"/>
          </w:tcPr>
          <w:p w14:paraId="5355F73D" w14:textId="5496EF5D" w:rsidR="00381EB7" w:rsidRPr="00E830EC" w:rsidRDefault="00381EB7" w:rsidP="00381EB7">
            <w:pPr>
              <w:spacing w:after="120"/>
              <w:jc w:val="center"/>
              <w:rPr>
                <w:rFonts w:cs="Times New Roman"/>
                <w:sz w:val="24"/>
                <w:szCs w:val="24"/>
              </w:rPr>
            </w:pPr>
            <w:r>
              <w:rPr>
                <w:rFonts w:cs="Times New Roman"/>
                <w:sz w:val="24"/>
                <w:szCs w:val="24"/>
              </w:rPr>
              <w:t>0</w:t>
            </w:r>
          </w:p>
        </w:tc>
      </w:tr>
      <w:tr w:rsidR="00381EB7" w:rsidRPr="004E4FBE" w14:paraId="21ABB62D" w14:textId="77777777" w:rsidTr="002D6C36">
        <w:trPr>
          <w:trHeight w:val="267"/>
        </w:trPr>
        <w:tc>
          <w:tcPr>
            <w:tcW w:w="4449" w:type="dxa"/>
            <w:tcBorders>
              <w:top w:val="single" w:sz="8" w:space="0" w:color="auto"/>
              <w:left w:val="single" w:sz="8" w:space="0" w:color="auto"/>
              <w:bottom w:val="single" w:sz="8" w:space="0" w:color="auto"/>
              <w:right w:val="single" w:sz="8" w:space="0" w:color="auto"/>
            </w:tcBorders>
            <w:shd w:val="clear" w:color="auto" w:fill="auto"/>
            <w:vAlign w:val="center"/>
          </w:tcPr>
          <w:p w14:paraId="1DC9AEE1" w14:textId="0592D061" w:rsidR="00381EB7" w:rsidRPr="004E4FBE" w:rsidRDefault="00381EB7" w:rsidP="00381EB7">
            <w:pPr>
              <w:spacing w:after="120"/>
              <w:jc w:val="left"/>
              <w:rPr>
                <w:rFonts w:eastAsia="Times New Roman" w:cs="Times New Roman"/>
                <w:sz w:val="24"/>
                <w:szCs w:val="24"/>
                <w:lang w:eastAsia="lv-LV"/>
              </w:rPr>
            </w:pPr>
            <w:r w:rsidRPr="004E4FBE">
              <w:rPr>
                <w:rFonts w:eastAsia="Times New Roman" w:cs="Times New Roman"/>
                <w:sz w:val="24"/>
                <w:szCs w:val="24"/>
                <w:lang w:eastAsia="lv-LV"/>
              </w:rPr>
              <w:t>Kopā</w:t>
            </w:r>
          </w:p>
        </w:tc>
        <w:tc>
          <w:tcPr>
            <w:tcW w:w="1529" w:type="dxa"/>
            <w:tcBorders>
              <w:top w:val="single" w:sz="4" w:space="0" w:color="auto"/>
              <w:left w:val="single" w:sz="8" w:space="0" w:color="auto"/>
              <w:bottom w:val="single" w:sz="8" w:space="0" w:color="auto"/>
              <w:right w:val="single" w:sz="4" w:space="0" w:color="auto"/>
            </w:tcBorders>
            <w:shd w:val="clear" w:color="auto" w:fill="auto"/>
            <w:vAlign w:val="center"/>
          </w:tcPr>
          <w:p w14:paraId="5D46B78B" w14:textId="32DD5502" w:rsidR="00381EB7" w:rsidRPr="00D752F2" w:rsidRDefault="00237E6C" w:rsidP="00237E6C">
            <w:pPr>
              <w:jc w:val="center"/>
              <w:rPr>
                <w:rFonts w:cs="Times New Roman"/>
                <w:sz w:val="24"/>
                <w:szCs w:val="24"/>
              </w:rPr>
            </w:pPr>
            <w:r w:rsidRPr="00D752F2">
              <w:rPr>
                <w:rFonts w:cs="Times New Roman"/>
                <w:sz w:val="24"/>
                <w:szCs w:val="24"/>
              </w:rPr>
              <w:t>33 525 031</w:t>
            </w:r>
          </w:p>
        </w:tc>
        <w:tc>
          <w:tcPr>
            <w:tcW w:w="1529" w:type="dxa"/>
            <w:tcBorders>
              <w:top w:val="single" w:sz="4" w:space="0" w:color="auto"/>
              <w:left w:val="nil"/>
              <w:bottom w:val="single" w:sz="8" w:space="0" w:color="auto"/>
              <w:right w:val="single" w:sz="4" w:space="0" w:color="auto"/>
            </w:tcBorders>
            <w:shd w:val="clear" w:color="auto" w:fill="auto"/>
            <w:vAlign w:val="center"/>
          </w:tcPr>
          <w:p w14:paraId="7CFC261C" w14:textId="7012FBB9" w:rsidR="00381EB7" w:rsidRPr="00D752F2" w:rsidRDefault="00237E6C" w:rsidP="00237E6C">
            <w:pPr>
              <w:jc w:val="center"/>
              <w:rPr>
                <w:rFonts w:cs="Times New Roman"/>
                <w:sz w:val="24"/>
                <w:szCs w:val="24"/>
              </w:rPr>
            </w:pPr>
            <w:r w:rsidRPr="00D752F2">
              <w:rPr>
                <w:rFonts w:cs="Times New Roman"/>
                <w:sz w:val="24"/>
                <w:szCs w:val="24"/>
              </w:rPr>
              <w:t>45 688 226</w:t>
            </w:r>
          </w:p>
        </w:tc>
        <w:tc>
          <w:tcPr>
            <w:tcW w:w="1530" w:type="dxa"/>
            <w:tcBorders>
              <w:top w:val="single" w:sz="4" w:space="0" w:color="auto"/>
              <w:left w:val="nil"/>
              <w:bottom w:val="single" w:sz="8" w:space="0" w:color="auto"/>
              <w:right w:val="single" w:sz="8" w:space="0" w:color="auto"/>
            </w:tcBorders>
            <w:shd w:val="clear" w:color="auto" w:fill="auto"/>
            <w:vAlign w:val="center"/>
          </w:tcPr>
          <w:p w14:paraId="704EFF79" w14:textId="234FEBC8" w:rsidR="00381EB7" w:rsidRPr="00D752F2" w:rsidRDefault="00D752F2" w:rsidP="00D752F2">
            <w:pPr>
              <w:jc w:val="center"/>
              <w:rPr>
                <w:rFonts w:cs="Times New Roman"/>
                <w:sz w:val="24"/>
                <w:szCs w:val="24"/>
              </w:rPr>
            </w:pPr>
            <w:r w:rsidRPr="00D752F2">
              <w:rPr>
                <w:rFonts w:cs="Times New Roman"/>
                <w:sz w:val="24"/>
                <w:szCs w:val="24"/>
              </w:rPr>
              <w:t>35 496 400</w:t>
            </w:r>
          </w:p>
        </w:tc>
      </w:tr>
    </w:tbl>
    <w:p w14:paraId="3A26EC94" w14:textId="77777777" w:rsidR="00843DFE" w:rsidRPr="00907983" w:rsidRDefault="00843DFE" w:rsidP="004E4FBE">
      <w:pPr>
        <w:spacing w:after="120"/>
        <w:rPr>
          <w:rFonts w:eastAsia="Times New Roman" w:cs="Times New Roman"/>
          <w:b/>
          <w:bCs/>
          <w:sz w:val="24"/>
          <w:szCs w:val="24"/>
        </w:rPr>
      </w:pPr>
    </w:p>
    <w:p w14:paraId="43C119A6" w14:textId="0BD33378" w:rsidR="00502E1D" w:rsidRPr="00946B3F" w:rsidRDefault="00502E1D" w:rsidP="00946B3F">
      <w:pPr>
        <w:pStyle w:val="Heading2"/>
        <w:rPr>
          <w:rFonts w:ascii="Times New Roman" w:hAnsi="Times New Roman" w:cs="Times New Roman"/>
          <w:b/>
          <w:bCs/>
          <w:color w:val="auto"/>
          <w:sz w:val="24"/>
          <w:szCs w:val="24"/>
        </w:rPr>
      </w:pPr>
      <w:bookmarkStart w:id="33" w:name="_Toc51576941"/>
      <w:r w:rsidRPr="00946B3F">
        <w:rPr>
          <w:rFonts w:ascii="Times New Roman" w:hAnsi="Times New Roman" w:cs="Times New Roman"/>
          <w:b/>
          <w:bCs/>
          <w:color w:val="auto"/>
          <w:sz w:val="24"/>
          <w:szCs w:val="24"/>
        </w:rPr>
        <w:t xml:space="preserve">OIK </w:t>
      </w:r>
      <w:r w:rsidR="00D47A0F" w:rsidRPr="00946B3F">
        <w:rPr>
          <w:rFonts w:ascii="Times New Roman" w:hAnsi="Times New Roman" w:cs="Times New Roman"/>
          <w:b/>
          <w:bCs/>
          <w:color w:val="auto"/>
          <w:sz w:val="24"/>
          <w:szCs w:val="24"/>
        </w:rPr>
        <w:t>atcelšanas</w:t>
      </w:r>
      <w:r w:rsidR="582C1AB2" w:rsidRPr="00946B3F">
        <w:rPr>
          <w:rFonts w:ascii="Times New Roman" w:hAnsi="Times New Roman" w:cs="Times New Roman"/>
          <w:b/>
          <w:bCs/>
          <w:color w:val="auto"/>
          <w:sz w:val="24"/>
          <w:szCs w:val="24"/>
        </w:rPr>
        <w:t xml:space="preserve"> no patērētāju rēķiniem</w:t>
      </w:r>
      <w:r w:rsidR="00D47A0F" w:rsidRPr="00946B3F">
        <w:rPr>
          <w:rFonts w:ascii="Times New Roman" w:hAnsi="Times New Roman" w:cs="Times New Roman"/>
          <w:b/>
          <w:bCs/>
          <w:color w:val="auto"/>
          <w:sz w:val="24"/>
          <w:szCs w:val="24"/>
        </w:rPr>
        <w:t xml:space="preserve"> scenārijs</w:t>
      </w:r>
      <w:bookmarkEnd w:id="33"/>
    </w:p>
    <w:p w14:paraId="484B5443" w14:textId="4A7C1E67" w:rsidR="001E510F" w:rsidRPr="00A22550" w:rsidRDefault="00115E14" w:rsidP="001E510F">
      <w:pPr>
        <w:spacing w:after="160" w:line="252" w:lineRule="auto"/>
        <w:rPr>
          <w:color w:val="1F4E79"/>
        </w:rPr>
      </w:pPr>
      <w:r w:rsidRPr="2101D4DB">
        <w:rPr>
          <w:rFonts w:eastAsia="Times New Roman" w:cs="Times New Roman"/>
          <w:sz w:val="24"/>
          <w:szCs w:val="24"/>
          <w:lang w:eastAsia="lv-LV"/>
        </w:rPr>
        <w:t>Scenārijs, atbilstoši 2019.gada 16.jūlija Ministru kabineta protokola Nr.33 88.§ 7.punktam, paredz novirzīt Latvenergo koncerna dividendes OIK mazināšanai, kā arī papildus nepieciešamo finansējumu segt no valsts budžeta. Šāds scenārijs paredz pilnīgu OIK dzēšanu no patērētāju rēķiniem sākot ar 2021. gadu, tādējādi dodot visaptverošu pozitīvu ietekmi gan uz uzņēmējdarbības starptautisko konkurētspēju, gan iedzīvotāju maksātspēju. Ņemot vērā, ka energointensīvajiem uzņēmumiem OIK izmaksas tiek kompensētas ar gada nobīdi, finansējums atbalstam energointensīviem uzņēmumiem nepieciešams vienīgi 2021. gadā. Vienlaikus scenārijs paredz saglabāt finansējumu pārējām prioritārajām aktivitātēm (atbalsts aizsargātajiem lietotājiem, atbalsts energointensīvajiem uzņēmumiem un NEKP īstenošanai).</w:t>
      </w:r>
      <w:r w:rsidR="001E510F" w:rsidRPr="001E510F">
        <w:t xml:space="preserve"> </w:t>
      </w:r>
      <w:r w:rsidR="001E510F" w:rsidRPr="00AA4424">
        <w:rPr>
          <w:sz w:val="24"/>
          <w:szCs w:val="24"/>
        </w:rPr>
        <w:lastRenderedPageBreak/>
        <w:t xml:space="preserve">Risinājuma īstenošanas procesā 4.scenārija priekšlikums pirms tā ieviešanas ir jāsaskaņo ar Eiropas Savienības statistikas biroju </w:t>
      </w:r>
      <w:r w:rsidR="001E510F" w:rsidRPr="00AA4424">
        <w:rPr>
          <w:i/>
          <w:iCs/>
          <w:sz w:val="24"/>
          <w:szCs w:val="24"/>
        </w:rPr>
        <w:t>Eurostat</w:t>
      </w:r>
      <w:r w:rsidR="001E510F" w:rsidRPr="00AA4424">
        <w:rPr>
          <w:sz w:val="24"/>
          <w:szCs w:val="24"/>
        </w:rPr>
        <w:t>.</w:t>
      </w:r>
      <w:r w:rsidR="001E510F" w:rsidRPr="00A22550">
        <w:t xml:space="preserve"> </w:t>
      </w:r>
    </w:p>
    <w:p w14:paraId="1C22C18E" w14:textId="77777777" w:rsidR="002B53C6" w:rsidRPr="00115E14" w:rsidRDefault="002B53C6" w:rsidP="00907983">
      <w:pPr>
        <w:rPr>
          <w:rFonts w:eastAsia="Times New Roman" w:cs="Times New Roman"/>
          <w:sz w:val="24"/>
          <w:szCs w:val="24"/>
          <w:lang w:eastAsia="lv-LV"/>
        </w:rPr>
      </w:pPr>
    </w:p>
    <w:p w14:paraId="09C17FE9" w14:textId="6967B7CF" w:rsidR="00502E1D" w:rsidRPr="004E4FBE" w:rsidRDefault="00634A6C"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16</w:t>
      </w:r>
      <w:r w:rsidR="00502E1D" w:rsidRPr="004E4FBE">
        <w:rPr>
          <w:rFonts w:ascii="Times New Roman" w:hAnsi="Times New Roman"/>
          <w:color w:val="auto"/>
          <w:sz w:val="24"/>
          <w:szCs w:val="24"/>
        </w:rPr>
        <w:t>. tabula</w:t>
      </w:r>
    </w:p>
    <w:p w14:paraId="5F54B1C2" w14:textId="7EC35A61" w:rsidR="00502E1D" w:rsidRPr="004E4FBE" w:rsidRDefault="00502E1D" w:rsidP="004E4FBE">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OIK prognozes</w:t>
      </w:r>
      <w:r w:rsidR="00A63282" w:rsidRPr="00A63282">
        <w:rPr>
          <w:rFonts w:ascii="Times New Roman" w:hAnsi="Times New Roman"/>
          <w:color w:val="auto"/>
          <w:sz w:val="24"/>
          <w:szCs w:val="24"/>
        </w:rPr>
        <w:t xml:space="preserve"> </w:t>
      </w:r>
      <w:r w:rsidR="00A63282">
        <w:rPr>
          <w:rFonts w:ascii="Times New Roman" w:hAnsi="Times New Roman"/>
          <w:color w:val="auto"/>
          <w:sz w:val="24"/>
          <w:szCs w:val="24"/>
        </w:rPr>
        <w:t>ar valsts dotāciju</w:t>
      </w:r>
      <w:r w:rsidRPr="004E4FBE">
        <w:rPr>
          <w:rFonts w:ascii="Times New Roman" w:hAnsi="Times New Roman"/>
          <w:color w:val="auto"/>
          <w:sz w:val="24"/>
          <w:szCs w:val="24"/>
        </w:rPr>
        <w:t>, EUR/MWh</w:t>
      </w:r>
    </w:p>
    <w:tbl>
      <w:tblPr>
        <w:tblW w:w="53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420"/>
        <w:gridCol w:w="960"/>
        <w:gridCol w:w="960"/>
        <w:gridCol w:w="960"/>
      </w:tblGrid>
      <w:tr w:rsidR="004E4FBE" w:rsidRPr="004E4FBE" w14:paraId="04D3EEE3" w14:textId="77777777" w:rsidTr="00095298">
        <w:trPr>
          <w:trHeight w:val="300"/>
          <w:jc w:val="center"/>
        </w:trPr>
        <w:tc>
          <w:tcPr>
            <w:tcW w:w="2420" w:type="dxa"/>
            <w:tcBorders>
              <w:top w:val="single" w:sz="8" w:space="0" w:color="auto"/>
              <w:bottom w:val="single" w:sz="8" w:space="0" w:color="auto"/>
            </w:tcBorders>
            <w:shd w:val="clear" w:color="auto" w:fill="auto"/>
            <w:noWrap/>
            <w:vAlign w:val="bottom"/>
            <w:hideMark/>
          </w:tcPr>
          <w:p w14:paraId="4F344E72" w14:textId="77777777" w:rsidR="00502E1D" w:rsidRPr="004E4FBE" w:rsidRDefault="00502E1D" w:rsidP="004E4FBE">
            <w:pPr>
              <w:spacing w:after="120"/>
              <w:jc w:val="center"/>
              <w:rPr>
                <w:rFonts w:eastAsia="Times New Roman" w:cs="Times New Roman"/>
                <w:sz w:val="24"/>
                <w:szCs w:val="24"/>
                <w:lang w:eastAsia="lv-LV"/>
              </w:rPr>
            </w:pPr>
          </w:p>
        </w:tc>
        <w:tc>
          <w:tcPr>
            <w:tcW w:w="960" w:type="dxa"/>
            <w:tcBorders>
              <w:top w:val="single" w:sz="8" w:space="0" w:color="auto"/>
              <w:bottom w:val="single" w:sz="8" w:space="0" w:color="auto"/>
            </w:tcBorders>
            <w:shd w:val="clear" w:color="auto" w:fill="auto"/>
            <w:noWrap/>
            <w:vAlign w:val="center"/>
            <w:hideMark/>
          </w:tcPr>
          <w:p w14:paraId="24B245A1" w14:textId="77777777" w:rsidR="00502E1D" w:rsidRPr="004E4FBE" w:rsidRDefault="00502E1D"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2021</w:t>
            </w:r>
          </w:p>
        </w:tc>
        <w:tc>
          <w:tcPr>
            <w:tcW w:w="960" w:type="dxa"/>
            <w:tcBorders>
              <w:top w:val="single" w:sz="8" w:space="0" w:color="auto"/>
              <w:bottom w:val="single" w:sz="8" w:space="0" w:color="auto"/>
            </w:tcBorders>
            <w:shd w:val="clear" w:color="auto" w:fill="auto"/>
            <w:noWrap/>
            <w:vAlign w:val="center"/>
            <w:hideMark/>
          </w:tcPr>
          <w:p w14:paraId="6625FFA3" w14:textId="77777777" w:rsidR="00502E1D" w:rsidRPr="004E4FBE" w:rsidRDefault="00502E1D"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2022</w:t>
            </w:r>
          </w:p>
        </w:tc>
        <w:tc>
          <w:tcPr>
            <w:tcW w:w="960" w:type="dxa"/>
            <w:tcBorders>
              <w:top w:val="single" w:sz="8" w:space="0" w:color="auto"/>
              <w:bottom w:val="single" w:sz="8" w:space="0" w:color="auto"/>
            </w:tcBorders>
            <w:vAlign w:val="center"/>
          </w:tcPr>
          <w:p w14:paraId="5ACCFB5C" w14:textId="77777777" w:rsidR="00502E1D" w:rsidRPr="004E4FBE" w:rsidRDefault="00502E1D"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2023</w:t>
            </w:r>
          </w:p>
        </w:tc>
      </w:tr>
      <w:tr w:rsidR="00502E1D" w:rsidRPr="004E4FBE" w14:paraId="5900A74B" w14:textId="77777777" w:rsidTr="00095298">
        <w:trPr>
          <w:trHeight w:val="600"/>
          <w:jc w:val="center"/>
        </w:trPr>
        <w:tc>
          <w:tcPr>
            <w:tcW w:w="2420" w:type="dxa"/>
            <w:tcBorders>
              <w:top w:val="single" w:sz="8" w:space="0" w:color="auto"/>
            </w:tcBorders>
            <w:shd w:val="clear" w:color="auto" w:fill="auto"/>
            <w:vAlign w:val="bottom"/>
            <w:hideMark/>
          </w:tcPr>
          <w:p w14:paraId="5180349C" w14:textId="110588DB" w:rsidR="00502E1D" w:rsidRPr="004E4FBE" w:rsidRDefault="00502E1D" w:rsidP="004E4FBE">
            <w:pPr>
              <w:spacing w:after="120"/>
              <w:jc w:val="center"/>
              <w:rPr>
                <w:rFonts w:eastAsia="Times New Roman" w:cs="Times New Roman"/>
                <w:sz w:val="24"/>
                <w:szCs w:val="24"/>
                <w:lang w:eastAsia="lv-LV"/>
              </w:rPr>
            </w:pPr>
            <w:r w:rsidRPr="004E4FBE">
              <w:rPr>
                <w:rFonts w:eastAsia="Times New Roman" w:cs="Times New Roman"/>
                <w:sz w:val="24"/>
                <w:szCs w:val="24"/>
                <w:lang w:eastAsia="lv-LV"/>
              </w:rPr>
              <w:t xml:space="preserve">OIK </w:t>
            </w:r>
            <w:r w:rsidR="004F2333">
              <w:rPr>
                <w:rFonts w:eastAsia="Times New Roman" w:cs="Times New Roman"/>
                <w:sz w:val="24"/>
                <w:szCs w:val="24"/>
                <w:lang w:eastAsia="lv-LV"/>
              </w:rPr>
              <w:t>ar</w:t>
            </w:r>
            <w:r w:rsidRPr="004E4FBE">
              <w:rPr>
                <w:rFonts w:eastAsia="Times New Roman" w:cs="Times New Roman"/>
                <w:sz w:val="24"/>
                <w:szCs w:val="24"/>
                <w:lang w:eastAsia="lv-LV"/>
              </w:rPr>
              <w:t xml:space="preserve"> dotācij</w:t>
            </w:r>
            <w:r w:rsidR="004F2333">
              <w:rPr>
                <w:rFonts w:eastAsia="Times New Roman" w:cs="Times New Roman"/>
                <w:sz w:val="24"/>
                <w:szCs w:val="24"/>
                <w:lang w:eastAsia="lv-LV"/>
              </w:rPr>
              <w:t>u</w:t>
            </w:r>
            <w:r w:rsidRPr="004E4FBE">
              <w:rPr>
                <w:rFonts w:eastAsia="Times New Roman" w:cs="Times New Roman"/>
                <w:sz w:val="24"/>
                <w:szCs w:val="24"/>
                <w:lang w:eastAsia="lv-LV"/>
              </w:rPr>
              <w:t>, EUR/MWh</w:t>
            </w:r>
          </w:p>
        </w:tc>
        <w:tc>
          <w:tcPr>
            <w:tcW w:w="960" w:type="dxa"/>
            <w:tcBorders>
              <w:top w:val="single" w:sz="8" w:space="0" w:color="auto"/>
            </w:tcBorders>
            <w:shd w:val="clear" w:color="auto" w:fill="auto"/>
            <w:noWrap/>
            <w:vAlign w:val="center"/>
            <w:hideMark/>
          </w:tcPr>
          <w:p w14:paraId="3E6F1CB7" w14:textId="0B711FA0" w:rsidR="00502E1D" w:rsidRPr="004E4FBE" w:rsidRDefault="001E7B16" w:rsidP="004E4FBE">
            <w:pPr>
              <w:spacing w:after="120"/>
              <w:jc w:val="center"/>
              <w:rPr>
                <w:rFonts w:eastAsia="Times New Roman" w:cs="Times New Roman"/>
                <w:sz w:val="24"/>
                <w:szCs w:val="24"/>
                <w:lang w:eastAsia="lv-LV"/>
              </w:rPr>
            </w:pPr>
            <w:r w:rsidRPr="004E4FBE">
              <w:rPr>
                <w:rFonts w:eastAsia="Times New Roman" w:cs="Times New Roman"/>
                <w:sz w:val="24"/>
                <w:szCs w:val="24"/>
              </w:rPr>
              <w:t>0</w:t>
            </w:r>
          </w:p>
        </w:tc>
        <w:tc>
          <w:tcPr>
            <w:tcW w:w="960" w:type="dxa"/>
            <w:tcBorders>
              <w:top w:val="single" w:sz="8" w:space="0" w:color="auto"/>
            </w:tcBorders>
            <w:shd w:val="clear" w:color="auto" w:fill="auto"/>
            <w:noWrap/>
            <w:vAlign w:val="center"/>
            <w:hideMark/>
          </w:tcPr>
          <w:p w14:paraId="47AD5C5E" w14:textId="0BB64027" w:rsidR="00502E1D" w:rsidRPr="004E4FBE" w:rsidRDefault="001E7B16" w:rsidP="004E4FBE">
            <w:pPr>
              <w:spacing w:after="120"/>
              <w:jc w:val="center"/>
              <w:rPr>
                <w:rFonts w:eastAsia="Times New Roman" w:cs="Times New Roman"/>
                <w:sz w:val="24"/>
                <w:szCs w:val="24"/>
                <w:lang w:eastAsia="lv-LV"/>
              </w:rPr>
            </w:pPr>
            <w:r w:rsidRPr="004E4FBE">
              <w:rPr>
                <w:rFonts w:eastAsia="Times New Roman" w:cs="Times New Roman"/>
                <w:sz w:val="24"/>
                <w:szCs w:val="24"/>
              </w:rPr>
              <w:t>0</w:t>
            </w:r>
          </w:p>
        </w:tc>
        <w:tc>
          <w:tcPr>
            <w:tcW w:w="960" w:type="dxa"/>
            <w:tcBorders>
              <w:top w:val="single" w:sz="8" w:space="0" w:color="auto"/>
            </w:tcBorders>
            <w:vAlign w:val="center"/>
          </w:tcPr>
          <w:p w14:paraId="60BD4B5A" w14:textId="31C24045" w:rsidR="00502E1D" w:rsidRPr="004E4FBE" w:rsidRDefault="001E7B16" w:rsidP="004E4FBE">
            <w:pPr>
              <w:spacing w:after="120"/>
              <w:jc w:val="center"/>
              <w:rPr>
                <w:rFonts w:eastAsia="Times New Roman" w:cs="Times New Roman"/>
                <w:sz w:val="24"/>
                <w:szCs w:val="24"/>
                <w:lang w:eastAsia="lv-LV"/>
              </w:rPr>
            </w:pPr>
            <w:r w:rsidRPr="004E4FBE">
              <w:rPr>
                <w:rFonts w:eastAsia="Times New Roman" w:cs="Times New Roman"/>
                <w:sz w:val="24"/>
                <w:szCs w:val="24"/>
              </w:rPr>
              <w:t>0</w:t>
            </w:r>
          </w:p>
        </w:tc>
      </w:tr>
    </w:tbl>
    <w:p w14:paraId="6391D6DD" w14:textId="4B0365A7" w:rsidR="001E7B16" w:rsidRPr="004E4FBE" w:rsidRDefault="00634A6C" w:rsidP="004E4FBE">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t>17</w:t>
      </w:r>
      <w:r w:rsidR="001E7B16" w:rsidRPr="004E4FBE">
        <w:rPr>
          <w:rFonts w:ascii="Times New Roman" w:hAnsi="Times New Roman"/>
          <w:color w:val="auto"/>
          <w:sz w:val="24"/>
          <w:szCs w:val="24"/>
        </w:rPr>
        <w:t>. tabula</w:t>
      </w:r>
    </w:p>
    <w:p w14:paraId="6DCB9EA7" w14:textId="539E7795" w:rsidR="00095298" w:rsidRPr="004E4FBE" w:rsidRDefault="00095298" w:rsidP="00095298">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Valsts atbalsta elektroenerģijas ražotājiem, aizsargātiem lietotājiem un energoietilpīgiem uzņēmumiem</w:t>
      </w:r>
      <w:r w:rsidR="6BE6F7C5" w:rsidRPr="71872EFF">
        <w:rPr>
          <w:rFonts w:ascii="Times New Roman" w:hAnsi="Times New Roman"/>
          <w:color w:val="auto"/>
          <w:sz w:val="24"/>
          <w:szCs w:val="24"/>
        </w:rPr>
        <w:t>, VPP</w:t>
      </w:r>
      <w:r w:rsidRPr="004E4FBE">
        <w:rPr>
          <w:rFonts w:ascii="Times New Roman" w:hAnsi="Times New Roman"/>
          <w:color w:val="auto"/>
          <w:sz w:val="24"/>
          <w:szCs w:val="24"/>
        </w:rPr>
        <w:t xml:space="preserve"> </w:t>
      </w:r>
      <w:r w:rsidRPr="006B1FFF">
        <w:rPr>
          <w:rFonts w:ascii="Times New Roman" w:hAnsi="Times New Roman"/>
          <w:color w:val="auto"/>
          <w:sz w:val="24"/>
          <w:szCs w:val="24"/>
        </w:rPr>
        <w:t xml:space="preserve">un NEKP pētniecības daļas </w:t>
      </w:r>
      <w:r w:rsidRPr="004E4FBE">
        <w:rPr>
          <w:rFonts w:ascii="Times New Roman" w:hAnsi="Times New Roman"/>
          <w:color w:val="auto"/>
          <w:sz w:val="24"/>
          <w:szCs w:val="24"/>
        </w:rPr>
        <w:t>īstenošanas izdevumu ietekme uz valsts budžetu pēc Eiropas Nacionālo Kontu Sistēmas (ESA), EUR</w:t>
      </w:r>
    </w:p>
    <w:tbl>
      <w:tblPr>
        <w:tblW w:w="9044" w:type="dxa"/>
        <w:tblInd w:w="-10" w:type="dxa"/>
        <w:tblLayout w:type="fixed"/>
        <w:tblLook w:val="04A0" w:firstRow="1" w:lastRow="0" w:firstColumn="1" w:lastColumn="0" w:noHBand="0" w:noVBand="1"/>
      </w:tblPr>
      <w:tblGrid>
        <w:gridCol w:w="4582"/>
        <w:gridCol w:w="1487"/>
        <w:gridCol w:w="1487"/>
        <w:gridCol w:w="1488"/>
      </w:tblGrid>
      <w:tr w:rsidR="009A7F34" w:rsidRPr="004E4FBE" w14:paraId="25F5045B" w14:textId="77777777" w:rsidTr="71872EFF">
        <w:trPr>
          <w:trHeight w:val="285"/>
        </w:trPr>
        <w:tc>
          <w:tcPr>
            <w:tcW w:w="45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8466FAD" w14:textId="77777777" w:rsidR="001E7B16" w:rsidRPr="004E4FBE" w:rsidRDefault="001E7B16"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 </w:t>
            </w:r>
          </w:p>
        </w:tc>
        <w:tc>
          <w:tcPr>
            <w:tcW w:w="1487" w:type="dxa"/>
            <w:tcBorders>
              <w:top w:val="single" w:sz="8" w:space="0" w:color="auto"/>
              <w:left w:val="single" w:sz="4" w:space="0" w:color="auto"/>
              <w:bottom w:val="nil"/>
              <w:right w:val="single" w:sz="4" w:space="0" w:color="auto"/>
            </w:tcBorders>
            <w:shd w:val="clear" w:color="auto" w:fill="auto"/>
            <w:noWrap/>
            <w:vAlign w:val="center"/>
            <w:hideMark/>
          </w:tcPr>
          <w:p w14:paraId="41372E71" w14:textId="77777777" w:rsidR="001E7B16" w:rsidRPr="004E4FBE" w:rsidRDefault="001E7B16"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2021</w:t>
            </w:r>
          </w:p>
        </w:tc>
        <w:tc>
          <w:tcPr>
            <w:tcW w:w="1487" w:type="dxa"/>
            <w:tcBorders>
              <w:top w:val="single" w:sz="8" w:space="0" w:color="auto"/>
              <w:left w:val="nil"/>
              <w:bottom w:val="nil"/>
              <w:right w:val="single" w:sz="4" w:space="0" w:color="auto"/>
            </w:tcBorders>
            <w:shd w:val="clear" w:color="auto" w:fill="auto"/>
            <w:noWrap/>
            <w:vAlign w:val="center"/>
            <w:hideMark/>
          </w:tcPr>
          <w:p w14:paraId="7CFD82C8" w14:textId="77777777" w:rsidR="001E7B16" w:rsidRPr="004E4FBE" w:rsidRDefault="001E7B16"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2022</w:t>
            </w:r>
          </w:p>
        </w:tc>
        <w:tc>
          <w:tcPr>
            <w:tcW w:w="1488" w:type="dxa"/>
            <w:tcBorders>
              <w:top w:val="single" w:sz="8" w:space="0" w:color="auto"/>
              <w:left w:val="nil"/>
              <w:bottom w:val="nil"/>
              <w:right w:val="single" w:sz="8" w:space="0" w:color="auto"/>
            </w:tcBorders>
            <w:shd w:val="clear" w:color="auto" w:fill="auto"/>
            <w:noWrap/>
            <w:vAlign w:val="center"/>
            <w:hideMark/>
          </w:tcPr>
          <w:p w14:paraId="248F3BC7" w14:textId="77777777" w:rsidR="001E7B16" w:rsidRPr="004E4FBE" w:rsidRDefault="001E7B16"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2023</w:t>
            </w:r>
          </w:p>
        </w:tc>
      </w:tr>
      <w:tr w:rsidR="009A7F34" w:rsidRPr="004E4FBE" w14:paraId="1ADF97ED" w14:textId="77777777" w:rsidTr="71872EFF">
        <w:trPr>
          <w:trHeight w:val="556"/>
        </w:trPr>
        <w:tc>
          <w:tcPr>
            <w:tcW w:w="4582" w:type="dxa"/>
            <w:tcBorders>
              <w:top w:val="nil"/>
              <w:left w:val="single" w:sz="8" w:space="0" w:color="auto"/>
              <w:bottom w:val="nil"/>
              <w:right w:val="single" w:sz="8" w:space="0" w:color="auto"/>
            </w:tcBorders>
            <w:shd w:val="clear" w:color="auto" w:fill="auto"/>
            <w:noWrap/>
            <w:vAlign w:val="center"/>
            <w:hideMark/>
          </w:tcPr>
          <w:p w14:paraId="43B4E057" w14:textId="77777777" w:rsidR="001E7B16" w:rsidRPr="004E4FBE" w:rsidRDefault="001E7B16"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 </w:t>
            </w:r>
          </w:p>
        </w:tc>
        <w:tc>
          <w:tcPr>
            <w:tcW w:w="148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D0F35D0" w14:textId="77777777" w:rsidR="001E7B16" w:rsidRPr="004E4FBE" w:rsidRDefault="001E7B16"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Prognoze</w:t>
            </w:r>
          </w:p>
        </w:tc>
        <w:tc>
          <w:tcPr>
            <w:tcW w:w="1487" w:type="dxa"/>
            <w:tcBorders>
              <w:top w:val="single" w:sz="8" w:space="0" w:color="auto"/>
              <w:left w:val="nil"/>
              <w:bottom w:val="single" w:sz="8" w:space="0" w:color="auto"/>
              <w:right w:val="single" w:sz="4" w:space="0" w:color="auto"/>
            </w:tcBorders>
            <w:shd w:val="clear" w:color="auto" w:fill="auto"/>
            <w:vAlign w:val="center"/>
            <w:hideMark/>
          </w:tcPr>
          <w:p w14:paraId="1B9015A0" w14:textId="77777777" w:rsidR="001E7B16" w:rsidRPr="004E4FBE" w:rsidRDefault="001E7B16"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Prognoze</w:t>
            </w:r>
          </w:p>
        </w:tc>
        <w:tc>
          <w:tcPr>
            <w:tcW w:w="1488" w:type="dxa"/>
            <w:tcBorders>
              <w:top w:val="single" w:sz="8" w:space="0" w:color="auto"/>
              <w:left w:val="nil"/>
              <w:bottom w:val="single" w:sz="8" w:space="0" w:color="auto"/>
              <w:right w:val="single" w:sz="8" w:space="0" w:color="auto"/>
            </w:tcBorders>
            <w:shd w:val="clear" w:color="auto" w:fill="auto"/>
            <w:vAlign w:val="center"/>
            <w:hideMark/>
          </w:tcPr>
          <w:p w14:paraId="019A6349" w14:textId="77777777" w:rsidR="001E7B16" w:rsidRPr="004E4FBE" w:rsidRDefault="001E7B16"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Prognoze</w:t>
            </w:r>
          </w:p>
        </w:tc>
      </w:tr>
      <w:tr w:rsidR="009A7F34" w:rsidRPr="004E4FBE" w14:paraId="2E6966D9" w14:textId="77777777" w:rsidTr="71872EFF">
        <w:trPr>
          <w:trHeight w:val="556"/>
        </w:trPr>
        <w:tc>
          <w:tcPr>
            <w:tcW w:w="4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41F9E" w14:textId="77777777" w:rsidR="00E830EC" w:rsidRPr="004E4FBE" w:rsidRDefault="00E830EC" w:rsidP="00E830EC">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Valsts budžeta izdevumi</w:t>
            </w:r>
          </w:p>
        </w:tc>
        <w:tc>
          <w:tcPr>
            <w:tcW w:w="1487" w:type="dxa"/>
            <w:tcBorders>
              <w:top w:val="single" w:sz="8" w:space="0" w:color="auto"/>
              <w:left w:val="single" w:sz="4" w:space="0" w:color="auto"/>
              <w:bottom w:val="single" w:sz="8" w:space="0" w:color="auto"/>
              <w:right w:val="nil"/>
            </w:tcBorders>
            <w:shd w:val="clear" w:color="auto" w:fill="auto"/>
            <w:vAlign w:val="center"/>
            <w:hideMark/>
          </w:tcPr>
          <w:p w14:paraId="7ACD9812" w14:textId="7354A2AF" w:rsidR="00E830EC" w:rsidRPr="00E830EC" w:rsidRDefault="00E830EC" w:rsidP="00E830EC">
            <w:pPr>
              <w:spacing w:after="120"/>
              <w:jc w:val="center"/>
              <w:rPr>
                <w:rFonts w:eastAsia="Times New Roman" w:cs="Times New Roman"/>
                <w:b/>
                <w:bCs/>
                <w:sz w:val="24"/>
                <w:szCs w:val="24"/>
                <w:lang w:eastAsia="lv-LV"/>
              </w:rPr>
            </w:pPr>
            <w:r w:rsidRPr="00E830EC">
              <w:rPr>
                <w:rFonts w:cs="Times New Roman"/>
                <w:b/>
                <w:bCs/>
                <w:color w:val="000000"/>
                <w:sz w:val="24"/>
                <w:szCs w:val="24"/>
              </w:rPr>
              <w:t>185 320 767</w:t>
            </w:r>
          </w:p>
        </w:tc>
        <w:tc>
          <w:tcPr>
            <w:tcW w:w="14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4FDE6B" w14:textId="2F75277E" w:rsidR="00E830EC" w:rsidRPr="00E830EC" w:rsidRDefault="00E830EC" w:rsidP="00E830EC">
            <w:pPr>
              <w:spacing w:after="120"/>
              <w:jc w:val="center"/>
              <w:rPr>
                <w:rFonts w:eastAsia="Times New Roman" w:cs="Times New Roman"/>
                <w:b/>
                <w:bCs/>
                <w:sz w:val="24"/>
                <w:szCs w:val="24"/>
                <w:lang w:eastAsia="lv-LV"/>
              </w:rPr>
            </w:pPr>
            <w:r w:rsidRPr="00E830EC">
              <w:rPr>
                <w:rFonts w:cs="Times New Roman"/>
                <w:b/>
                <w:bCs/>
                <w:color w:val="000000"/>
                <w:sz w:val="24"/>
                <w:szCs w:val="24"/>
              </w:rPr>
              <w:t>162 884 274</w:t>
            </w:r>
          </w:p>
        </w:tc>
        <w:tc>
          <w:tcPr>
            <w:tcW w:w="1488" w:type="dxa"/>
            <w:tcBorders>
              <w:top w:val="single" w:sz="8" w:space="0" w:color="auto"/>
              <w:left w:val="nil"/>
              <w:bottom w:val="single" w:sz="8" w:space="0" w:color="auto"/>
              <w:right w:val="single" w:sz="8" w:space="0" w:color="auto"/>
            </w:tcBorders>
            <w:shd w:val="clear" w:color="auto" w:fill="auto"/>
            <w:vAlign w:val="center"/>
            <w:hideMark/>
          </w:tcPr>
          <w:p w14:paraId="5F147215" w14:textId="041193C6" w:rsidR="00E830EC" w:rsidRPr="00E830EC" w:rsidRDefault="00E830EC" w:rsidP="00E830EC">
            <w:pPr>
              <w:spacing w:after="120"/>
              <w:jc w:val="center"/>
              <w:rPr>
                <w:rFonts w:eastAsia="Times New Roman" w:cs="Times New Roman"/>
                <w:b/>
                <w:bCs/>
                <w:sz w:val="24"/>
                <w:szCs w:val="24"/>
                <w:lang w:eastAsia="lv-LV"/>
              </w:rPr>
            </w:pPr>
            <w:r w:rsidRPr="00E830EC">
              <w:rPr>
                <w:rFonts w:cs="Times New Roman"/>
                <w:b/>
                <w:bCs/>
                <w:color w:val="000000"/>
                <w:sz w:val="24"/>
                <w:szCs w:val="24"/>
              </w:rPr>
              <w:t>142 628 283</w:t>
            </w:r>
          </w:p>
        </w:tc>
      </w:tr>
      <w:tr w:rsidR="009A7F34" w:rsidRPr="004E4FBE" w14:paraId="7FFB935F" w14:textId="77777777" w:rsidTr="71872EFF">
        <w:trPr>
          <w:trHeight w:val="270"/>
        </w:trPr>
        <w:tc>
          <w:tcPr>
            <w:tcW w:w="4582" w:type="dxa"/>
            <w:tcBorders>
              <w:top w:val="nil"/>
              <w:left w:val="single" w:sz="8" w:space="0" w:color="auto"/>
              <w:bottom w:val="single" w:sz="4" w:space="0" w:color="auto"/>
              <w:right w:val="single" w:sz="8" w:space="0" w:color="auto"/>
            </w:tcBorders>
            <w:shd w:val="clear" w:color="auto" w:fill="auto"/>
            <w:noWrap/>
            <w:vAlign w:val="center"/>
            <w:hideMark/>
          </w:tcPr>
          <w:p w14:paraId="1C9B56CB" w14:textId="539E15A0" w:rsidR="00E830EC" w:rsidRPr="004E4FBE" w:rsidRDefault="00E830EC" w:rsidP="00E830EC">
            <w:pPr>
              <w:spacing w:after="120"/>
              <w:rPr>
                <w:rFonts w:eastAsia="Times New Roman" w:cs="Times New Roman"/>
                <w:sz w:val="24"/>
                <w:szCs w:val="24"/>
                <w:lang w:eastAsia="lv-LV"/>
              </w:rPr>
            </w:pPr>
            <w:r w:rsidRPr="004E4FBE">
              <w:rPr>
                <w:rFonts w:eastAsia="Times New Roman" w:cs="Times New Roman"/>
                <w:sz w:val="24"/>
                <w:szCs w:val="24"/>
                <w:lang w:eastAsia="lv-LV"/>
              </w:rPr>
              <w:t>Valsts atbalsta dotācija elektroenerģijas ražotājiem</w:t>
            </w:r>
            <w:r w:rsidR="0021194D">
              <w:rPr>
                <w:rFonts w:eastAsia="Times New Roman" w:cs="Times New Roman"/>
                <w:sz w:val="24"/>
                <w:szCs w:val="24"/>
                <w:lang w:eastAsia="lv-LV"/>
              </w:rPr>
              <w:t xml:space="preserve"> </w:t>
            </w:r>
            <w:r w:rsidR="0021194D" w:rsidRPr="00317198">
              <w:rPr>
                <w:rFonts w:eastAsia="Times New Roman" w:cs="Times New Roman"/>
                <w:sz w:val="24"/>
                <w:szCs w:val="24"/>
                <w:lang w:eastAsia="lv-LV"/>
              </w:rPr>
              <w:t>(Ietekme)</w:t>
            </w:r>
          </w:p>
        </w:tc>
        <w:tc>
          <w:tcPr>
            <w:tcW w:w="1487" w:type="dxa"/>
            <w:tcBorders>
              <w:top w:val="single" w:sz="4" w:space="0" w:color="auto"/>
              <w:left w:val="single" w:sz="8" w:space="0" w:color="auto"/>
              <w:bottom w:val="single" w:sz="4" w:space="0" w:color="auto"/>
              <w:right w:val="nil"/>
            </w:tcBorders>
            <w:shd w:val="clear" w:color="auto" w:fill="FFFFFF" w:themeFill="background1"/>
            <w:vAlign w:val="center"/>
            <w:hideMark/>
          </w:tcPr>
          <w:p w14:paraId="0E5D79EC" w14:textId="1AFFC031"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140 368 993</w:t>
            </w:r>
          </w:p>
        </w:tc>
        <w:tc>
          <w:tcPr>
            <w:tcW w:w="1487"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14:paraId="331B13D9" w14:textId="2E025ACE"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124 880 674</w:t>
            </w:r>
          </w:p>
        </w:tc>
        <w:tc>
          <w:tcPr>
            <w:tcW w:w="1488"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30D53FC1" w14:textId="7556520C"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104 624 683</w:t>
            </w:r>
          </w:p>
        </w:tc>
      </w:tr>
      <w:tr w:rsidR="009A7F34" w:rsidRPr="004E4FBE" w14:paraId="75165449" w14:textId="77777777" w:rsidTr="71872EFF">
        <w:trPr>
          <w:trHeight w:val="270"/>
        </w:trPr>
        <w:tc>
          <w:tcPr>
            <w:tcW w:w="4582" w:type="dxa"/>
            <w:tcBorders>
              <w:top w:val="nil"/>
              <w:left w:val="single" w:sz="8" w:space="0" w:color="auto"/>
              <w:bottom w:val="single" w:sz="4" w:space="0" w:color="auto"/>
              <w:right w:val="single" w:sz="8" w:space="0" w:color="auto"/>
            </w:tcBorders>
            <w:shd w:val="clear" w:color="auto" w:fill="auto"/>
            <w:noWrap/>
            <w:vAlign w:val="center"/>
            <w:hideMark/>
          </w:tcPr>
          <w:p w14:paraId="71518F8E" w14:textId="72B06E11" w:rsidR="00E830EC" w:rsidRPr="004E4FBE" w:rsidRDefault="00E830EC" w:rsidP="00E830EC">
            <w:pPr>
              <w:spacing w:after="120"/>
              <w:rPr>
                <w:rFonts w:eastAsia="Times New Roman" w:cs="Times New Roman"/>
                <w:sz w:val="24"/>
                <w:szCs w:val="24"/>
                <w:lang w:eastAsia="lv-LV"/>
              </w:rPr>
            </w:pPr>
            <w:r w:rsidRPr="004E4FBE">
              <w:rPr>
                <w:rFonts w:eastAsia="Times New Roman" w:cs="Times New Roman"/>
                <w:sz w:val="24"/>
                <w:szCs w:val="24"/>
                <w:lang w:eastAsia="lv-LV"/>
              </w:rPr>
              <w:t>Valsts atbalsta dotācija energoietilpīgo uzņēmumu atbalstam</w:t>
            </w:r>
          </w:p>
        </w:tc>
        <w:tc>
          <w:tcPr>
            <w:tcW w:w="1487" w:type="dxa"/>
            <w:tcBorders>
              <w:top w:val="nil"/>
              <w:left w:val="single" w:sz="8" w:space="0" w:color="auto"/>
              <w:bottom w:val="single" w:sz="4" w:space="0" w:color="auto"/>
              <w:right w:val="nil"/>
            </w:tcBorders>
            <w:shd w:val="clear" w:color="auto" w:fill="FFFFFF" w:themeFill="background1"/>
            <w:vAlign w:val="center"/>
            <w:hideMark/>
          </w:tcPr>
          <w:p w14:paraId="60FD3817" w14:textId="2BDB7B79"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7 000 000</w:t>
            </w:r>
          </w:p>
        </w:tc>
        <w:tc>
          <w:tcPr>
            <w:tcW w:w="1487" w:type="dxa"/>
            <w:tcBorders>
              <w:top w:val="nil"/>
              <w:left w:val="single" w:sz="8" w:space="0" w:color="auto"/>
              <w:bottom w:val="single" w:sz="4" w:space="0" w:color="auto"/>
              <w:right w:val="single" w:sz="8" w:space="0" w:color="auto"/>
            </w:tcBorders>
            <w:shd w:val="clear" w:color="auto" w:fill="FFFFFF" w:themeFill="background1"/>
            <w:vAlign w:val="center"/>
            <w:hideMark/>
          </w:tcPr>
          <w:p w14:paraId="6D5DADC8" w14:textId="47F47DC7"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0</w:t>
            </w:r>
          </w:p>
        </w:tc>
        <w:tc>
          <w:tcPr>
            <w:tcW w:w="1488" w:type="dxa"/>
            <w:tcBorders>
              <w:top w:val="nil"/>
              <w:left w:val="nil"/>
              <w:bottom w:val="single" w:sz="4" w:space="0" w:color="auto"/>
              <w:right w:val="single" w:sz="8" w:space="0" w:color="auto"/>
            </w:tcBorders>
            <w:shd w:val="clear" w:color="auto" w:fill="FFFFFF" w:themeFill="background1"/>
            <w:noWrap/>
            <w:vAlign w:val="center"/>
            <w:hideMark/>
          </w:tcPr>
          <w:p w14:paraId="3DE0D348" w14:textId="143C49CA"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0</w:t>
            </w:r>
          </w:p>
        </w:tc>
      </w:tr>
      <w:tr w:rsidR="00F619FC" w:rsidRPr="004E4FBE" w14:paraId="60CC19C6" w14:textId="77777777" w:rsidTr="71872EFF">
        <w:trPr>
          <w:trHeight w:val="285"/>
        </w:trPr>
        <w:tc>
          <w:tcPr>
            <w:tcW w:w="4582" w:type="dxa"/>
            <w:tcBorders>
              <w:top w:val="nil"/>
              <w:left w:val="single" w:sz="8" w:space="0" w:color="auto"/>
              <w:bottom w:val="single" w:sz="4" w:space="0" w:color="auto"/>
              <w:right w:val="single" w:sz="8" w:space="0" w:color="auto"/>
            </w:tcBorders>
            <w:shd w:val="clear" w:color="auto" w:fill="FFFFFF" w:themeFill="background1"/>
            <w:vAlign w:val="center"/>
            <w:hideMark/>
          </w:tcPr>
          <w:p w14:paraId="74AC5A45" w14:textId="77777777" w:rsidR="00E830EC" w:rsidRPr="004E4FBE" w:rsidRDefault="00E830EC" w:rsidP="00E830EC">
            <w:pPr>
              <w:spacing w:after="120"/>
              <w:rPr>
                <w:rFonts w:eastAsia="Times New Roman" w:cs="Times New Roman"/>
                <w:sz w:val="24"/>
                <w:szCs w:val="24"/>
                <w:lang w:eastAsia="lv-LV"/>
              </w:rPr>
            </w:pPr>
            <w:r w:rsidRPr="004E4FBE">
              <w:rPr>
                <w:rFonts w:eastAsia="Times New Roman" w:cs="Times New Roman"/>
                <w:sz w:val="24"/>
                <w:szCs w:val="24"/>
                <w:lang w:eastAsia="lv-LV"/>
              </w:rPr>
              <w:t>Avansa maksājums jaudas maksājuma kompensācijai</w:t>
            </w:r>
          </w:p>
        </w:tc>
        <w:tc>
          <w:tcPr>
            <w:tcW w:w="1487" w:type="dxa"/>
            <w:tcBorders>
              <w:top w:val="nil"/>
              <w:left w:val="single" w:sz="8" w:space="0" w:color="auto"/>
              <w:bottom w:val="single" w:sz="4" w:space="0" w:color="auto"/>
              <w:right w:val="nil"/>
            </w:tcBorders>
            <w:shd w:val="clear" w:color="auto" w:fill="FFFFFF" w:themeFill="background1"/>
            <w:vAlign w:val="center"/>
            <w:hideMark/>
          </w:tcPr>
          <w:p w14:paraId="130FFCAF" w14:textId="3904B960" w:rsidR="00E830EC" w:rsidRPr="00E830EC" w:rsidRDefault="00E830EC" w:rsidP="00E830EC">
            <w:pPr>
              <w:spacing w:after="120"/>
              <w:jc w:val="center"/>
              <w:rPr>
                <w:rFonts w:eastAsia="Times New Roman" w:cs="Times New Roman"/>
                <w:sz w:val="24"/>
                <w:szCs w:val="24"/>
                <w:lang w:eastAsia="lv-LV"/>
              </w:rPr>
            </w:pPr>
            <w:r w:rsidRPr="00E830EC">
              <w:rPr>
                <w:rFonts w:cs="Times New Roman"/>
                <w:color w:val="000000"/>
                <w:sz w:val="24"/>
                <w:szCs w:val="24"/>
              </w:rPr>
              <w:t>24 003 600</w:t>
            </w:r>
          </w:p>
        </w:tc>
        <w:tc>
          <w:tcPr>
            <w:tcW w:w="1487" w:type="dxa"/>
            <w:tcBorders>
              <w:top w:val="nil"/>
              <w:left w:val="single" w:sz="8" w:space="0" w:color="auto"/>
              <w:bottom w:val="single" w:sz="4" w:space="0" w:color="auto"/>
              <w:right w:val="single" w:sz="8" w:space="0" w:color="auto"/>
            </w:tcBorders>
            <w:shd w:val="clear" w:color="auto" w:fill="FFFFFF" w:themeFill="background1"/>
            <w:vAlign w:val="center"/>
            <w:hideMark/>
          </w:tcPr>
          <w:p w14:paraId="675D838A" w14:textId="477BA870" w:rsidR="00E830EC" w:rsidRPr="00E830EC" w:rsidRDefault="00E830EC" w:rsidP="00E830EC">
            <w:pPr>
              <w:spacing w:after="120"/>
              <w:jc w:val="center"/>
              <w:rPr>
                <w:rFonts w:eastAsia="Times New Roman" w:cs="Times New Roman"/>
                <w:sz w:val="24"/>
                <w:szCs w:val="24"/>
                <w:lang w:eastAsia="lv-LV"/>
              </w:rPr>
            </w:pPr>
            <w:r w:rsidRPr="00E830EC">
              <w:rPr>
                <w:rFonts w:cs="Times New Roman"/>
                <w:color w:val="000000"/>
                <w:sz w:val="24"/>
                <w:szCs w:val="24"/>
              </w:rPr>
              <w:t>24 003 600</w:t>
            </w:r>
          </w:p>
        </w:tc>
        <w:tc>
          <w:tcPr>
            <w:tcW w:w="1488" w:type="dxa"/>
            <w:tcBorders>
              <w:top w:val="nil"/>
              <w:left w:val="nil"/>
              <w:bottom w:val="single" w:sz="4" w:space="0" w:color="auto"/>
              <w:right w:val="single" w:sz="8" w:space="0" w:color="auto"/>
            </w:tcBorders>
            <w:shd w:val="clear" w:color="auto" w:fill="FFFFFF" w:themeFill="background1"/>
            <w:vAlign w:val="center"/>
            <w:hideMark/>
          </w:tcPr>
          <w:p w14:paraId="098C274B" w14:textId="1C86006F" w:rsidR="00E830EC" w:rsidRPr="00E830EC" w:rsidRDefault="00E830EC" w:rsidP="00E830EC">
            <w:pPr>
              <w:spacing w:after="120"/>
              <w:jc w:val="center"/>
              <w:rPr>
                <w:rFonts w:eastAsia="Times New Roman" w:cs="Times New Roman"/>
                <w:sz w:val="24"/>
                <w:szCs w:val="24"/>
                <w:lang w:eastAsia="lv-LV"/>
              </w:rPr>
            </w:pPr>
            <w:r w:rsidRPr="00E830EC">
              <w:rPr>
                <w:rFonts w:cs="Times New Roman"/>
                <w:color w:val="000000"/>
                <w:sz w:val="24"/>
                <w:szCs w:val="24"/>
              </w:rPr>
              <w:t>24 003 600</w:t>
            </w:r>
          </w:p>
        </w:tc>
      </w:tr>
      <w:tr w:rsidR="009A7F34" w:rsidRPr="004E4FBE" w14:paraId="5508AFB5" w14:textId="77777777" w:rsidTr="71872EFF">
        <w:trPr>
          <w:trHeight w:val="285"/>
        </w:trPr>
        <w:tc>
          <w:tcPr>
            <w:tcW w:w="4582" w:type="dxa"/>
            <w:tcBorders>
              <w:top w:val="nil"/>
              <w:left w:val="single" w:sz="8" w:space="0" w:color="auto"/>
              <w:bottom w:val="single" w:sz="4" w:space="0" w:color="auto"/>
              <w:right w:val="single" w:sz="8" w:space="0" w:color="auto"/>
            </w:tcBorders>
            <w:shd w:val="clear" w:color="auto" w:fill="auto"/>
            <w:vAlign w:val="center"/>
            <w:hideMark/>
          </w:tcPr>
          <w:p w14:paraId="11059D3F" w14:textId="58368EBA" w:rsidR="009E2B69" w:rsidRPr="004E4FBE" w:rsidRDefault="009E2B69" w:rsidP="009E2B69">
            <w:pPr>
              <w:spacing w:after="120"/>
              <w:jc w:val="left"/>
              <w:rPr>
                <w:rFonts w:eastAsia="Times New Roman" w:cs="Times New Roman"/>
                <w:sz w:val="24"/>
                <w:szCs w:val="24"/>
                <w:lang w:eastAsia="lv-LV"/>
              </w:rPr>
            </w:pPr>
            <w:r w:rsidRPr="004E4FBE">
              <w:rPr>
                <w:rFonts w:eastAsia="Times New Roman" w:cs="Times New Roman"/>
                <w:sz w:val="24"/>
                <w:szCs w:val="24"/>
                <w:lang w:eastAsia="lv-LV"/>
              </w:rPr>
              <w:t>Aizsargāto lietotāju atbalsta finansējums</w:t>
            </w:r>
          </w:p>
        </w:tc>
        <w:tc>
          <w:tcPr>
            <w:tcW w:w="1487" w:type="dxa"/>
            <w:tcBorders>
              <w:top w:val="nil"/>
              <w:left w:val="single" w:sz="8" w:space="0" w:color="auto"/>
              <w:bottom w:val="single" w:sz="4" w:space="0" w:color="auto"/>
              <w:right w:val="nil"/>
            </w:tcBorders>
            <w:shd w:val="clear" w:color="auto" w:fill="FFFFFF" w:themeFill="background1"/>
            <w:vAlign w:val="center"/>
            <w:hideMark/>
          </w:tcPr>
          <w:p w14:paraId="1F6E24F9" w14:textId="26B7FC55" w:rsidR="009E2B69" w:rsidRPr="00E830EC" w:rsidRDefault="009E2B69" w:rsidP="009E2B69">
            <w:pPr>
              <w:spacing w:after="120"/>
              <w:jc w:val="center"/>
              <w:rPr>
                <w:rFonts w:eastAsia="Times New Roman" w:cs="Times New Roman"/>
                <w:sz w:val="24"/>
                <w:szCs w:val="24"/>
                <w:lang w:eastAsia="lv-LV"/>
              </w:rPr>
            </w:pPr>
            <w:r w:rsidRPr="00E830EC">
              <w:rPr>
                <w:rFonts w:cs="Times New Roman"/>
                <w:sz w:val="24"/>
                <w:szCs w:val="24"/>
              </w:rPr>
              <w:t>12 000 000</w:t>
            </w:r>
          </w:p>
        </w:tc>
        <w:tc>
          <w:tcPr>
            <w:tcW w:w="1487" w:type="dxa"/>
            <w:tcBorders>
              <w:top w:val="nil"/>
              <w:left w:val="single" w:sz="8" w:space="0" w:color="auto"/>
              <w:bottom w:val="single" w:sz="4" w:space="0" w:color="auto"/>
              <w:right w:val="single" w:sz="8" w:space="0" w:color="auto"/>
            </w:tcBorders>
            <w:shd w:val="clear" w:color="auto" w:fill="FFFFFF" w:themeFill="background1"/>
            <w:vAlign w:val="center"/>
            <w:hideMark/>
          </w:tcPr>
          <w:p w14:paraId="5F8D28F1" w14:textId="7A0E7A01" w:rsidR="009E2B69" w:rsidRPr="00E830EC" w:rsidRDefault="009E2B69" w:rsidP="009E2B69">
            <w:pPr>
              <w:spacing w:after="120"/>
              <w:jc w:val="center"/>
              <w:rPr>
                <w:rFonts w:eastAsia="Times New Roman" w:cs="Times New Roman"/>
                <w:sz w:val="24"/>
                <w:szCs w:val="24"/>
                <w:lang w:eastAsia="lv-LV"/>
              </w:rPr>
            </w:pPr>
            <w:r w:rsidRPr="00E830EC">
              <w:rPr>
                <w:rFonts w:cs="Times New Roman"/>
                <w:sz w:val="24"/>
                <w:szCs w:val="24"/>
              </w:rPr>
              <w:t>12 000 000</w:t>
            </w:r>
          </w:p>
        </w:tc>
        <w:tc>
          <w:tcPr>
            <w:tcW w:w="1488" w:type="dxa"/>
            <w:tcBorders>
              <w:top w:val="nil"/>
              <w:left w:val="nil"/>
              <w:bottom w:val="single" w:sz="4" w:space="0" w:color="auto"/>
              <w:right w:val="single" w:sz="8" w:space="0" w:color="auto"/>
            </w:tcBorders>
            <w:shd w:val="clear" w:color="auto" w:fill="FFFFFF" w:themeFill="background1"/>
            <w:vAlign w:val="center"/>
            <w:hideMark/>
          </w:tcPr>
          <w:p w14:paraId="45688024" w14:textId="6A934BBC" w:rsidR="009E2B69" w:rsidRPr="00E830EC" w:rsidRDefault="009E2B69" w:rsidP="009E2B69">
            <w:pPr>
              <w:spacing w:after="120"/>
              <w:jc w:val="center"/>
              <w:rPr>
                <w:rFonts w:eastAsia="Times New Roman" w:cs="Times New Roman"/>
                <w:sz w:val="24"/>
                <w:szCs w:val="24"/>
                <w:lang w:eastAsia="lv-LV"/>
              </w:rPr>
            </w:pPr>
            <w:r w:rsidRPr="00E830EC">
              <w:rPr>
                <w:rFonts w:cs="Times New Roman"/>
                <w:sz w:val="24"/>
                <w:szCs w:val="24"/>
              </w:rPr>
              <w:t>12 000 000</w:t>
            </w:r>
          </w:p>
        </w:tc>
      </w:tr>
      <w:tr w:rsidR="009A7F34" w:rsidRPr="004E4FBE" w14:paraId="084C3A8F" w14:textId="77777777" w:rsidTr="71872EFF">
        <w:trPr>
          <w:trHeight w:val="302"/>
        </w:trPr>
        <w:tc>
          <w:tcPr>
            <w:tcW w:w="4582" w:type="dxa"/>
            <w:tcBorders>
              <w:top w:val="nil"/>
              <w:left w:val="single" w:sz="8" w:space="0" w:color="auto"/>
              <w:bottom w:val="single" w:sz="4" w:space="0" w:color="auto"/>
              <w:right w:val="single" w:sz="8" w:space="0" w:color="auto"/>
            </w:tcBorders>
            <w:shd w:val="clear" w:color="auto" w:fill="auto"/>
            <w:noWrap/>
            <w:vAlign w:val="center"/>
            <w:hideMark/>
          </w:tcPr>
          <w:p w14:paraId="4949894C" w14:textId="547E0B67" w:rsidR="009E2B69" w:rsidRPr="004E4FBE" w:rsidRDefault="009E2B69" w:rsidP="009E2B69">
            <w:pPr>
              <w:spacing w:after="120"/>
              <w:jc w:val="left"/>
              <w:rPr>
                <w:rFonts w:eastAsia="Times New Roman" w:cs="Times New Roman"/>
                <w:sz w:val="24"/>
                <w:szCs w:val="24"/>
                <w:lang w:eastAsia="lv-LV"/>
              </w:rPr>
            </w:pPr>
            <w:r w:rsidRPr="004E4FBE">
              <w:rPr>
                <w:rFonts w:eastAsia="Times New Roman" w:cs="Times New Roman"/>
                <w:sz w:val="24"/>
                <w:szCs w:val="24"/>
                <w:lang w:eastAsia="lv-LV"/>
              </w:rPr>
              <w:t>NEKP pētniecības daļas īstenošana</w:t>
            </w:r>
            <w:r w:rsidR="00C5381A">
              <w:rPr>
                <w:rFonts w:eastAsia="Times New Roman" w:cs="Times New Roman"/>
                <w:sz w:val="24"/>
                <w:szCs w:val="24"/>
                <w:lang w:eastAsia="lv-LV"/>
              </w:rPr>
              <w:t>, t.sk. administrēšanas vajadzībām</w:t>
            </w:r>
          </w:p>
        </w:tc>
        <w:tc>
          <w:tcPr>
            <w:tcW w:w="1487" w:type="dxa"/>
            <w:tcBorders>
              <w:top w:val="nil"/>
              <w:left w:val="single" w:sz="8" w:space="0" w:color="auto"/>
              <w:bottom w:val="single" w:sz="4" w:space="0" w:color="auto"/>
              <w:right w:val="nil"/>
            </w:tcBorders>
            <w:shd w:val="clear" w:color="auto" w:fill="FFFFFF" w:themeFill="background1"/>
            <w:vAlign w:val="center"/>
            <w:hideMark/>
          </w:tcPr>
          <w:p w14:paraId="2524FA95" w14:textId="757B854C" w:rsidR="009E2B69" w:rsidRPr="00E830EC" w:rsidRDefault="00B911CD" w:rsidP="009E2B69">
            <w:pPr>
              <w:spacing w:after="120"/>
              <w:jc w:val="center"/>
              <w:rPr>
                <w:rFonts w:eastAsia="Times New Roman" w:cs="Times New Roman"/>
                <w:sz w:val="24"/>
                <w:szCs w:val="24"/>
                <w:lang w:eastAsia="lv-LV"/>
              </w:rPr>
            </w:pPr>
            <w:r w:rsidRPr="005B0F6F">
              <w:rPr>
                <w:rFonts w:cs="Times New Roman"/>
                <w:sz w:val="24"/>
                <w:szCs w:val="24"/>
              </w:rPr>
              <w:t>1 403 014</w:t>
            </w:r>
          </w:p>
        </w:tc>
        <w:tc>
          <w:tcPr>
            <w:tcW w:w="1487" w:type="dxa"/>
            <w:tcBorders>
              <w:top w:val="nil"/>
              <w:left w:val="single" w:sz="8" w:space="0" w:color="auto"/>
              <w:bottom w:val="single" w:sz="4" w:space="0" w:color="auto"/>
              <w:right w:val="single" w:sz="8" w:space="0" w:color="auto"/>
            </w:tcBorders>
            <w:shd w:val="clear" w:color="auto" w:fill="FFFFFF" w:themeFill="background1"/>
            <w:vAlign w:val="center"/>
            <w:hideMark/>
          </w:tcPr>
          <w:p w14:paraId="16ADF508" w14:textId="3624730E" w:rsidR="009E2B69" w:rsidRPr="00E830EC" w:rsidRDefault="009E2B69" w:rsidP="009E2B69">
            <w:pPr>
              <w:spacing w:after="120"/>
              <w:jc w:val="center"/>
              <w:rPr>
                <w:rFonts w:eastAsia="Times New Roman" w:cs="Times New Roman"/>
                <w:sz w:val="24"/>
                <w:szCs w:val="24"/>
                <w:lang w:eastAsia="lv-LV"/>
              </w:rPr>
            </w:pPr>
            <w:r w:rsidRPr="00E830EC">
              <w:rPr>
                <w:rFonts w:cs="Times New Roman"/>
                <w:sz w:val="24"/>
                <w:szCs w:val="24"/>
              </w:rPr>
              <w:t>2 000 000</w:t>
            </w:r>
          </w:p>
        </w:tc>
        <w:tc>
          <w:tcPr>
            <w:tcW w:w="1488" w:type="dxa"/>
            <w:tcBorders>
              <w:top w:val="nil"/>
              <w:left w:val="nil"/>
              <w:bottom w:val="single" w:sz="4" w:space="0" w:color="auto"/>
              <w:right w:val="single" w:sz="8" w:space="0" w:color="auto"/>
            </w:tcBorders>
            <w:shd w:val="clear" w:color="auto" w:fill="FFFFFF" w:themeFill="background1"/>
            <w:noWrap/>
            <w:vAlign w:val="center"/>
            <w:hideMark/>
          </w:tcPr>
          <w:p w14:paraId="2A9DF1A6" w14:textId="5EED37D4" w:rsidR="009E2B69" w:rsidRPr="00E830EC" w:rsidRDefault="009E2B69" w:rsidP="009E2B69">
            <w:pPr>
              <w:spacing w:after="120"/>
              <w:jc w:val="center"/>
              <w:rPr>
                <w:rFonts w:eastAsia="Times New Roman" w:cs="Times New Roman"/>
                <w:sz w:val="24"/>
                <w:szCs w:val="24"/>
                <w:lang w:eastAsia="lv-LV"/>
              </w:rPr>
            </w:pPr>
            <w:r w:rsidRPr="00E830EC">
              <w:rPr>
                <w:rFonts w:cs="Times New Roman"/>
                <w:sz w:val="24"/>
                <w:szCs w:val="24"/>
              </w:rPr>
              <w:t>2 000 000</w:t>
            </w:r>
          </w:p>
        </w:tc>
      </w:tr>
      <w:tr w:rsidR="00F619FC" w:rsidRPr="004E4FBE" w14:paraId="1F9D515D" w14:textId="77777777" w:rsidTr="71872EFF">
        <w:trPr>
          <w:trHeight w:val="302"/>
        </w:trPr>
        <w:tc>
          <w:tcPr>
            <w:tcW w:w="4582" w:type="dxa"/>
            <w:tcBorders>
              <w:top w:val="nil"/>
              <w:left w:val="single" w:sz="8" w:space="0" w:color="auto"/>
              <w:bottom w:val="single" w:sz="4" w:space="0" w:color="auto"/>
              <w:right w:val="single" w:sz="8" w:space="0" w:color="auto"/>
            </w:tcBorders>
            <w:shd w:val="clear" w:color="auto" w:fill="auto"/>
            <w:noWrap/>
            <w:vAlign w:val="center"/>
          </w:tcPr>
          <w:p w14:paraId="3A2F406E" w14:textId="5A9802AE" w:rsidR="00B911CD" w:rsidRPr="004E4FBE" w:rsidRDefault="001265F7" w:rsidP="009E2B69">
            <w:pPr>
              <w:spacing w:after="120"/>
              <w:jc w:val="left"/>
              <w:rPr>
                <w:rFonts w:eastAsia="Times New Roman" w:cs="Times New Roman"/>
                <w:sz w:val="24"/>
                <w:szCs w:val="24"/>
                <w:lang w:eastAsia="lv-LV"/>
              </w:rPr>
            </w:pPr>
            <w:r w:rsidRPr="005B0F6F">
              <w:rPr>
                <w:rFonts w:eastAsia="Times New Roman" w:cs="Times New Roman"/>
                <w:sz w:val="24"/>
                <w:szCs w:val="24"/>
                <w:lang w:eastAsia="lv-LV"/>
              </w:rPr>
              <w:t>VPP īstenošana, t.sk. administrēšanas vajadzībām</w:t>
            </w:r>
          </w:p>
        </w:tc>
        <w:tc>
          <w:tcPr>
            <w:tcW w:w="1487" w:type="dxa"/>
            <w:tcBorders>
              <w:top w:val="nil"/>
              <w:left w:val="single" w:sz="8" w:space="0" w:color="auto"/>
              <w:bottom w:val="single" w:sz="4" w:space="0" w:color="auto"/>
              <w:right w:val="nil"/>
            </w:tcBorders>
            <w:shd w:val="clear" w:color="auto" w:fill="FFFFFF" w:themeFill="background1"/>
            <w:vAlign w:val="center"/>
          </w:tcPr>
          <w:p w14:paraId="41C78458" w14:textId="2B0B8723" w:rsidR="00B911CD" w:rsidRPr="00E830EC" w:rsidRDefault="001265F7" w:rsidP="009E2B69">
            <w:pPr>
              <w:spacing w:after="120"/>
              <w:jc w:val="center"/>
              <w:rPr>
                <w:rFonts w:cs="Times New Roman"/>
                <w:sz w:val="24"/>
                <w:szCs w:val="24"/>
              </w:rPr>
            </w:pPr>
            <w:r w:rsidRPr="005B0F6F">
              <w:rPr>
                <w:rFonts w:cs="Times New Roman"/>
                <w:sz w:val="24"/>
                <w:szCs w:val="24"/>
              </w:rPr>
              <w:t>545 160</w:t>
            </w:r>
          </w:p>
        </w:tc>
        <w:tc>
          <w:tcPr>
            <w:tcW w:w="1487" w:type="dxa"/>
            <w:tcBorders>
              <w:top w:val="nil"/>
              <w:left w:val="single" w:sz="8" w:space="0" w:color="auto"/>
              <w:bottom w:val="single" w:sz="4" w:space="0" w:color="auto"/>
              <w:right w:val="single" w:sz="8" w:space="0" w:color="auto"/>
            </w:tcBorders>
            <w:shd w:val="clear" w:color="auto" w:fill="FFFFFF" w:themeFill="background1"/>
            <w:vAlign w:val="center"/>
          </w:tcPr>
          <w:p w14:paraId="1E2CE948" w14:textId="715BE0F6" w:rsidR="00B911CD" w:rsidRPr="00E830EC" w:rsidRDefault="00B911CD" w:rsidP="009E2B69">
            <w:pPr>
              <w:spacing w:after="120"/>
              <w:jc w:val="center"/>
              <w:rPr>
                <w:rFonts w:cs="Times New Roman"/>
                <w:sz w:val="24"/>
                <w:szCs w:val="24"/>
              </w:rPr>
            </w:pPr>
            <w:r>
              <w:rPr>
                <w:rFonts w:cs="Times New Roman"/>
                <w:sz w:val="24"/>
                <w:szCs w:val="24"/>
              </w:rPr>
              <w:t>0</w:t>
            </w:r>
          </w:p>
        </w:tc>
        <w:tc>
          <w:tcPr>
            <w:tcW w:w="1488" w:type="dxa"/>
            <w:tcBorders>
              <w:top w:val="nil"/>
              <w:left w:val="nil"/>
              <w:bottom w:val="single" w:sz="4" w:space="0" w:color="auto"/>
              <w:right w:val="single" w:sz="8" w:space="0" w:color="auto"/>
            </w:tcBorders>
            <w:shd w:val="clear" w:color="auto" w:fill="FFFFFF" w:themeFill="background1"/>
            <w:noWrap/>
            <w:vAlign w:val="center"/>
          </w:tcPr>
          <w:p w14:paraId="3BFE234F" w14:textId="6CD2267D" w:rsidR="00B911CD" w:rsidRPr="00E830EC" w:rsidRDefault="00B911CD" w:rsidP="009E2B69">
            <w:pPr>
              <w:spacing w:after="120"/>
              <w:jc w:val="center"/>
              <w:rPr>
                <w:rFonts w:cs="Times New Roman"/>
                <w:sz w:val="24"/>
                <w:szCs w:val="24"/>
              </w:rPr>
            </w:pPr>
            <w:r>
              <w:rPr>
                <w:rFonts w:cs="Times New Roman"/>
                <w:sz w:val="24"/>
                <w:szCs w:val="24"/>
              </w:rPr>
              <w:t>0</w:t>
            </w:r>
          </w:p>
        </w:tc>
      </w:tr>
      <w:tr w:rsidR="00F619FC" w:rsidRPr="004E4FBE" w14:paraId="6DC9DBE7" w14:textId="77777777" w:rsidTr="71872EFF">
        <w:trPr>
          <w:trHeight w:val="285"/>
        </w:trPr>
        <w:tc>
          <w:tcPr>
            <w:tcW w:w="4582" w:type="dxa"/>
            <w:tcBorders>
              <w:top w:val="single" w:sz="8" w:space="0" w:color="auto"/>
              <w:left w:val="single" w:sz="8" w:space="0" w:color="auto"/>
              <w:bottom w:val="single" w:sz="8" w:space="0" w:color="auto"/>
              <w:right w:val="nil"/>
            </w:tcBorders>
            <w:shd w:val="clear" w:color="auto" w:fill="auto"/>
            <w:noWrap/>
            <w:vAlign w:val="center"/>
            <w:hideMark/>
          </w:tcPr>
          <w:p w14:paraId="24FB411D" w14:textId="77777777" w:rsidR="009E2B69" w:rsidRPr="004E4FBE" w:rsidRDefault="009E2B69" w:rsidP="009E2B69">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Valsts budžeta ieņēmumi</w:t>
            </w:r>
          </w:p>
        </w:tc>
        <w:tc>
          <w:tcPr>
            <w:tcW w:w="1487" w:type="dxa"/>
            <w:tcBorders>
              <w:top w:val="single" w:sz="8" w:space="0" w:color="auto"/>
              <w:left w:val="single" w:sz="8" w:space="0" w:color="auto"/>
              <w:bottom w:val="single" w:sz="8" w:space="0" w:color="auto"/>
              <w:right w:val="nil"/>
            </w:tcBorders>
            <w:shd w:val="clear" w:color="auto" w:fill="auto"/>
            <w:vAlign w:val="center"/>
            <w:hideMark/>
          </w:tcPr>
          <w:p w14:paraId="55FDCABA" w14:textId="518360C0" w:rsidR="009E2B69" w:rsidRPr="00E830EC" w:rsidRDefault="009E2B69" w:rsidP="009E2B69">
            <w:pPr>
              <w:spacing w:after="120"/>
              <w:jc w:val="center"/>
              <w:rPr>
                <w:rFonts w:eastAsia="Times New Roman" w:cs="Times New Roman"/>
                <w:b/>
                <w:bCs/>
                <w:sz w:val="24"/>
                <w:szCs w:val="24"/>
                <w:lang w:eastAsia="lv-LV"/>
              </w:rPr>
            </w:pPr>
            <w:r w:rsidRPr="00E830EC">
              <w:rPr>
                <w:rFonts w:cs="Times New Roman"/>
                <w:b/>
                <w:bCs/>
                <w:color w:val="000000"/>
                <w:sz w:val="24"/>
                <w:szCs w:val="24"/>
              </w:rPr>
              <w:t>185 320 767</w:t>
            </w:r>
          </w:p>
        </w:tc>
        <w:tc>
          <w:tcPr>
            <w:tcW w:w="14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572F92" w14:textId="4455BBDD" w:rsidR="009E2B69" w:rsidRPr="00E830EC" w:rsidRDefault="009E2B69" w:rsidP="009E2B69">
            <w:pPr>
              <w:spacing w:after="120"/>
              <w:jc w:val="center"/>
              <w:rPr>
                <w:rFonts w:eastAsia="Times New Roman" w:cs="Times New Roman"/>
                <w:b/>
                <w:bCs/>
                <w:sz w:val="24"/>
                <w:szCs w:val="24"/>
                <w:lang w:eastAsia="lv-LV"/>
              </w:rPr>
            </w:pPr>
            <w:r w:rsidRPr="00E830EC">
              <w:rPr>
                <w:rFonts w:cs="Times New Roman"/>
                <w:b/>
                <w:bCs/>
                <w:color w:val="000000"/>
                <w:sz w:val="24"/>
                <w:szCs w:val="24"/>
              </w:rPr>
              <w:t>162 884 274</w:t>
            </w:r>
          </w:p>
        </w:tc>
        <w:tc>
          <w:tcPr>
            <w:tcW w:w="1488" w:type="dxa"/>
            <w:tcBorders>
              <w:top w:val="single" w:sz="8" w:space="0" w:color="auto"/>
              <w:left w:val="nil"/>
              <w:bottom w:val="single" w:sz="8" w:space="0" w:color="auto"/>
              <w:right w:val="single" w:sz="8" w:space="0" w:color="auto"/>
            </w:tcBorders>
            <w:shd w:val="clear" w:color="auto" w:fill="auto"/>
            <w:vAlign w:val="center"/>
            <w:hideMark/>
          </w:tcPr>
          <w:p w14:paraId="1FC89A08" w14:textId="4666579D" w:rsidR="009E2B69" w:rsidRPr="00E830EC" w:rsidRDefault="009E2B69" w:rsidP="009E2B69">
            <w:pPr>
              <w:spacing w:after="120"/>
              <w:jc w:val="center"/>
              <w:rPr>
                <w:rFonts w:eastAsia="Times New Roman" w:cs="Times New Roman"/>
                <w:b/>
                <w:bCs/>
                <w:sz w:val="24"/>
                <w:szCs w:val="24"/>
                <w:lang w:eastAsia="lv-LV"/>
              </w:rPr>
            </w:pPr>
            <w:r w:rsidRPr="00E830EC">
              <w:rPr>
                <w:rFonts w:cs="Times New Roman"/>
                <w:b/>
                <w:bCs/>
                <w:color w:val="000000"/>
                <w:sz w:val="24"/>
                <w:szCs w:val="24"/>
              </w:rPr>
              <w:t>142 628 283</w:t>
            </w:r>
          </w:p>
        </w:tc>
      </w:tr>
      <w:tr w:rsidR="009A7F34" w:rsidRPr="004E4FBE" w14:paraId="6D16426D" w14:textId="77777777" w:rsidTr="71872EFF">
        <w:trPr>
          <w:trHeight w:val="541"/>
        </w:trPr>
        <w:tc>
          <w:tcPr>
            <w:tcW w:w="458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061331" w14:textId="06DF6B0C" w:rsidR="009E2B69" w:rsidRPr="004E4FBE" w:rsidRDefault="009E2B69" w:rsidP="009E2B69">
            <w:pPr>
              <w:spacing w:after="120"/>
              <w:rPr>
                <w:rFonts w:eastAsia="Times New Roman" w:cs="Times New Roman"/>
                <w:sz w:val="24"/>
                <w:szCs w:val="24"/>
                <w:lang w:eastAsia="lv-LV"/>
              </w:rPr>
            </w:pPr>
            <w:r>
              <w:rPr>
                <w:rFonts w:eastAsia="Times New Roman" w:cs="Times New Roman"/>
                <w:sz w:val="24"/>
                <w:szCs w:val="24"/>
                <w:lang w:eastAsia="lv-LV"/>
              </w:rPr>
              <w:t>AS "Latvenergo" dividendes</w:t>
            </w:r>
            <w:r w:rsidRPr="004F2333">
              <w:rPr>
                <w:rFonts w:eastAsia="Times New Roman" w:cs="Times New Roman"/>
                <w:color w:val="FF0000"/>
                <w:sz w:val="24"/>
                <w:szCs w:val="24"/>
                <w:lang w:eastAsia="lv-LV"/>
              </w:rPr>
              <w:t xml:space="preserve"> </w:t>
            </w:r>
            <w:r w:rsidRPr="004E4FBE">
              <w:rPr>
                <w:rFonts w:eastAsia="Times New Roman" w:cs="Times New Roman"/>
                <w:sz w:val="24"/>
                <w:szCs w:val="24"/>
                <w:lang w:eastAsia="lv-LV"/>
              </w:rPr>
              <w:t>elektroenerģijas ražotāju, aizsargāto lietotāju un energoietilpīgo uzņēmumu vajadzībām</w:t>
            </w:r>
          </w:p>
        </w:tc>
        <w:tc>
          <w:tcPr>
            <w:tcW w:w="1487" w:type="dxa"/>
            <w:tcBorders>
              <w:top w:val="nil"/>
              <w:left w:val="single" w:sz="8" w:space="0" w:color="auto"/>
              <w:bottom w:val="single" w:sz="4" w:space="0" w:color="auto"/>
              <w:right w:val="nil"/>
            </w:tcBorders>
            <w:shd w:val="clear" w:color="auto" w:fill="auto"/>
            <w:vAlign w:val="center"/>
            <w:hideMark/>
          </w:tcPr>
          <w:p w14:paraId="281B3CC2" w14:textId="3B2E6996" w:rsidR="009E2B69" w:rsidRPr="00E830EC" w:rsidRDefault="00D21DA7" w:rsidP="009E2B69">
            <w:pPr>
              <w:spacing w:after="120"/>
              <w:jc w:val="center"/>
              <w:rPr>
                <w:rFonts w:eastAsia="Times New Roman" w:cs="Times New Roman"/>
                <w:sz w:val="24"/>
                <w:szCs w:val="24"/>
                <w:lang w:eastAsia="lv-LV"/>
              </w:rPr>
            </w:pPr>
            <w:r>
              <w:rPr>
                <w:rFonts w:cs="Times New Roman"/>
                <w:color w:val="000000"/>
                <w:sz w:val="24"/>
                <w:szCs w:val="24"/>
              </w:rPr>
              <w:t>89</w:t>
            </w:r>
            <w:r w:rsidRPr="00E830EC">
              <w:rPr>
                <w:rFonts w:cs="Times New Roman"/>
                <w:color w:val="000000"/>
                <w:sz w:val="24"/>
                <w:szCs w:val="24"/>
              </w:rPr>
              <w:t xml:space="preserve"> </w:t>
            </w:r>
            <w:r>
              <w:rPr>
                <w:rFonts w:cs="Times New Roman"/>
                <w:color w:val="000000"/>
                <w:sz w:val="24"/>
                <w:szCs w:val="24"/>
              </w:rPr>
              <w:t>64</w:t>
            </w:r>
            <w:r w:rsidR="009E2B69" w:rsidRPr="00E830EC">
              <w:rPr>
                <w:rFonts w:cs="Times New Roman"/>
                <w:color w:val="000000"/>
                <w:sz w:val="24"/>
                <w:szCs w:val="24"/>
              </w:rPr>
              <w:t>0 000</w:t>
            </w:r>
          </w:p>
        </w:tc>
        <w:tc>
          <w:tcPr>
            <w:tcW w:w="1487" w:type="dxa"/>
            <w:tcBorders>
              <w:top w:val="nil"/>
              <w:left w:val="single" w:sz="8" w:space="0" w:color="auto"/>
              <w:bottom w:val="single" w:sz="4" w:space="0" w:color="auto"/>
              <w:right w:val="single" w:sz="8" w:space="0" w:color="auto"/>
            </w:tcBorders>
            <w:shd w:val="clear" w:color="auto" w:fill="auto"/>
            <w:vAlign w:val="center"/>
            <w:hideMark/>
          </w:tcPr>
          <w:p w14:paraId="37F69EFE" w14:textId="05B92490" w:rsidR="009E2B69" w:rsidRPr="00E830EC" w:rsidRDefault="009E2B69" w:rsidP="009E2B69">
            <w:pPr>
              <w:spacing w:after="120"/>
              <w:jc w:val="center"/>
              <w:rPr>
                <w:rFonts w:eastAsia="Times New Roman" w:cs="Times New Roman"/>
                <w:sz w:val="24"/>
                <w:szCs w:val="24"/>
                <w:lang w:eastAsia="lv-LV"/>
              </w:rPr>
            </w:pPr>
            <w:r w:rsidRPr="00E830EC">
              <w:rPr>
                <w:rFonts w:cs="Times New Roman"/>
                <w:color w:val="000000"/>
                <w:sz w:val="24"/>
                <w:szCs w:val="24"/>
              </w:rPr>
              <w:t>74 500 000</w:t>
            </w:r>
          </w:p>
        </w:tc>
        <w:tc>
          <w:tcPr>
            <w:tcW w:w="1488" w:type="dxa"/>
            <w:tcBorders>
              <w:top w:val="nil"/>
              <w:left w:val="nil"/>
              <w:bottom w:val="single" w:sz="4" w:space="0" w:color="auto"/>
              <w:right w:val="single" w:sz="8" w:space="0" w:color="auto"/>
            </w:tcBorders>
            <w:shd w:val="clear" w:color="auto" w:fill="auto"/>
            <w:vAlign w:val="center"/>
            <w:hideMark/>
          </w:tcPr>
          <w:p w14:paraId="0B3E38D0" w14:textId="19E0261D" w:rsidR="009E2B69" w:rsidRPr="00E830EC" w:rsidRDefault="009E2B69" w:rsidP="009E2B69">
            <w:pPr>
              <w:spacing w:after="120"/>
              <w:jc w:val="center"/>
              <w:rPr>
                <w:rFonts w:eastAsia="Times New Roman" w:cs="Times New Roman"/>
                <w:sz w:val="24"/>
                <w:szCs w:val="24"/>
                <w:lang w:eastAsia="lv-LV"/>
              </w:rPr>
            </w:pPr>
            <w:r w:rsidRPr="00E830EC">
              <w:rPr>
                <w:rFonts w:cs="Times New Roman"/>
                <w:color w:val="000000"/>
                <w:sz w:val="24"/>
                <w:szCs w:val="24"/>
              </w:rPr>
              <w:t>74 500 000</w:t>
            </w:r>
          </w:p>
        </w:tc>
      </w:tr>
      <w:tr w:rsidR="009A7F34" w:rsidRPr="004E4FBE" w14:paraId="73D0EB23" w14:textId="77777777" w:rsidTr="71872EFF">
        <w:trPr>
          <w:trHeight w:val="541"/>
        </w:trPr>
        <w:tc>
          <w:tcPr>
            <w:tcW w:w="4582" w:type="dxa"/>
            <w:tcBorders>
              <w:top w:val="single" w:sz="4" w:space="0" w:color="auto"/>
              <w:left w:val="single" w:sz="8" w:space="0" w:color="auto"/>
              <w:bottom w:val="single" w:sz="8" w:space="0" w:color="auto"/>
              <w:right w:val="single" w:sz="8" w:space="0" w:color="auto"/>
            </w:tcBorders>
            <w:shd w:val="clear" w:color="auto" w:fill="auto"/>
            <w:vAlign w:val="center"/>
          </w:tcPr>
          <w:p w14:paraId="4BC4DE9F" w14:textId="744BCE4B" w:rsidR="009E2B69" w:rsidRPr="004E4FBE" w:rsidRDefault="009E2B69" w:rsidP="009E2B69">
            <w:pPr>
              <w:spacing w:after="120"/>
              <w:rPr>
                <w:rFonts w:eastAsia="Times New Roman" w:cs="Times New Roman"/>
                <w:sz w:val="24"/>
                <w:szCs w:val="24"/>
                <w:lang w:eastAsia="lv-LV"/>
              </w:rPr>
            </w:pPr>
            <w:r>
              <w:rPr>
                <w:rFonts w:eastAsia="Times New Roman" w:cs="Times New Roman"/>
                <w:sz w:val="24"/>
                <w:szCs w:val="24"/>
                <w:lang w:eastAsia="lv-LV"/>
              </w:rPr>
              <w:t>Papildus valsts budžeta dotācija</w:t>
            </w:r>
          </w:p>
        </w:tc>
        <w:tc>
          <w:tcPr>
            <w:tcW w:w="1487" w:type="dxa"/>
            <w:tcBorders>
              <w:top w:val="nil"/>
              <w:left w:val="single" w:sz="8" w:space="0" w:color="auto"/>
              <w:bottom w:val="single" w:sz="8" w:space="0" w:color="auto"/>
              <w:right w:val="nil"/>
            </w:tcBorders>
            <w:shd w:val="clear" w:color="auto" w:fill="auto"/>
            <w:vAlign w:val="center"/>
          </w:tcPr>
          <w:p w14:paraId="5A9D46DD" w14:textId="7E957B0D" w:rsidR="009E2B69" w:rsidRPr="00E830EC" w:rsidRDefault="003B05AC" w:rsidP="009E2B69">
            <w:pPr>
              <w:spacing w:after="120"/>
              <w:jc w:val="center"/>
              <w:rPr>
                <w:rFonts w:cs="Times New Roman"/>
                <w:sz w:val="24"/>
                <w:szCs w:val="24"/>
              </w:rPr>
            </w:pPr>
            <w:r>
              <w:rPr>
                <w:rFonts w:cs="Times New Roman"/>
                <w:color w:val="000000"/>
                <w:sz w:val="24"/>
                <w:szCs w:val="24"/>
              </w:rPr>
              <w:t>95 680</w:t>
            </w:r>
            <w:r w:rsidR="009E2B69" w:rsidRPr="00E830EC">
              <w:rPr>
                <w:rFonts w:cs="Times New Roman"/>
                <w:color w:val="000000"/>
                <w:sz w:val="24"/>
                <w:szCs w:val="24"/>
              </w:rPr>
              <w:t xml:space="preserve"> 767</w:t>
            </w:r>
          </w:p>
        </w:tc>
        <w:tc>
          <w:tcPr>
            <w:tcW w:w="1487" w:type="dxa"/>
            <w:tcBorders>
              <w:top w:val="nil"/>
              <w:left w:val="single" w:sz="8" w:space="0" w:color="auto"/>
              <w:bottom w:val="single" w:sz="8" w:space="0" w:color="auto"/>
              <w:right w:val="single" w:sz="8" w:space="0" w:color="auto"/>
            </w:tcBorders>
            <w:shd w:val="clear" w:color="auto" w:fill="auto"/>
            <w:vAlign w:val="center"/>
          </w:tcPr>
          <w:p w14:paraId="5EB4629A" w14:textId="491BD4E7" w:rsidR="009E2B69" w:rsidRPr="00E830EC" w:rsidRDefault="009E2B69" w:rsidP="009E2B69">
            <w:pPr>
              <w:spacing w:after="120"/>
              <w:jc w:val="center"/>
              <w:rPr>
                <w:rFonts w:cs="Times New Roman"/>
                <w:sz w:val="24"/>
                <w:szCs w:val="24"/>
              </w:rPr>
            </w:pPr>
            <w:r w:rsidRPr="00E830EC">
              <w:rPr>
                <w:rFonts w:cs="Times New Roman"/>
                <w:color w:val="000000"/>
                <w:sz w:val="24"/>
                <w:szCs w:val="24"/>
              </w:rPr>
              <w:t>88 384 274</w:t>
            </w:r>
          </w:p>
        </w:tc>
        <w:tc>
          <w:tcPr>
            <w:tcW w:w="1488" w:type="dxa"/>
            <w:tcBorders>
              <w:top w:val="nil"/>
              <w:left w:val="nil"/>
              <w:bottom w:val="single" w:sz="8" w:space="0" w:color="auto"/>
              <w:right w:val="single" w:sz="8" w:space="0" w:color="auto"/>
            </w:tcBorders>
            <w:shd w:val="clear" w:color="auto" w:fill="auto"/>
            <w:vAlign w:val="center"/>
          </w:tcPr>
          <w:p w14:paraId="49379160" w14:textId="26D6EE73" w:rsidR="009E2B69" w:rsidRPr="00E830EC" w:rsidRDefault="009E2B69" w:rsidP="009E2B69">
            <w:pPr>
              <w:spacing w:after="120"/>
              <w:jc w:val="center"/>
              <w:rPr>
                <w:rFonts w:cs="Times New Roman"/>
                <w:sz w:val="24"/>
                <w:szCs w:val="24"/>
              </w:rPr>
            </w:pPr>
            <w:r w:rsidRPr="00E830EC">
              <w:rPr>
                <w:rFonts w:cs="Times New Roman"/>
                <w:color w:val="000000"/>
                <w:sz w:val="24"/>
                <w:szCs w:val="24"/>
              </w:rPr>
              <w:t>68 128 283</w:t>
            </w:r>
          </w:p>
        </w:tc>
      </w:tr>
      <w:tr w:rsidR="00F619FC" w:rsidRPr="004E4FBE" w14:paraId="21749B73" w14:textId="77777777" w:rsidTr="71872EFF">
        <w:trPr>
          <w:trHeight w:val="285"/>
        </w:trPr>
        <w:tc>
          <w:tcPr>
            <w:tcW w:w="4582" w:type="dxa"/>
            <w:tcBorders>
              <w:top w:val="single" w:sz="8" w:space="0" w:color="auto"/>
              <w:left w:val="single" w:sz="8" w:space="0" w:color="auto"/>
              <w:bottom w:val="single" w:sz="8" w:space="0" w:color="auto"/>
              <w:right w:val="nil"/>
            </w:tcBorders>
            <w:shd w:val="clear" w:color="auto" w:fill="auto"/>
            <w:noWrap/>
            <w:vAlign w:val="center"/>
            <w:hideMark/>
          </w:tcPr>
          <w:p w14:paraId="09FF38A7" w14:textId="77777777" w:rsidR="009E2B69" w:rsidRPr="004E4FBE" w:rsidRDefault="009E2B69" w:rsidP="009E2B69">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Bilance</w:t>
            </w:r>
          </w:p>
        </w:tc>
        <w:tc>
          <w:tcPr>
            <w:tcW w:w="1487" w:type="dxa"/>
            <w:tcBorders>
              <w:top w:val="single" w:sz="8" w:space="0" w:color="auto"/>
              <w:left w:val="single" w:sz="8" w:space="0" w:color="auto"/>
              <w:bottom w:val="single" w:sz="8" w:space="0" w:color="auto"/>
              <w:right w:val="nil"/>
            </w:tcBorders>
            <w:shd w:val="clear" w:color="auto" w:fill="auto"/>
            <w:vAlign w:val="center"/>
          </w:tcPr>
          <w:p w14:paraId="1F2D0542" w14:textId="26ECA902" w:rsidR="009E2B69" w:rsidRPr="00E830EC" w:rsidRDefault="009E2B69" w:rsidP="009E2B69">
            <w:pPr>
              <w:spacing w:after="120"/>
              <w:jc w:val="center"/>
              <w:rPr>
                <w:rFonts w:eastAsia="Times New Roman" w:cs="Times New Roman"/>
                <w:b/>
                <w:bCs/>
                <w:sz w:val="24"/>
                <w:szCs w:val="24"/>
                <w:lang w:eastAsia="lv-LV"/>
              </w:rPr>
            </w:pPr>
            <w:r w:rsidRPr="00E830EC">
              <w:rPr>
                <w:rFonts w:cs="Times New Roman"/>
                <w:b/>
                <w:bCs/>
                <w:color w:val="000000"/>
                <w:sz w:val="24"/>
                <w:szCs w:val="24"/>
              </w:rPr>
              <w:t>0</w:t>
            </w:r>
          </w:p>
        </w:tc>
        <w:tc>
          <w:tcPr>
            <w:tcW w:w="1487" w:type="dxa"/>
            <w:tcBorders>
              <w:top w:val="single" w:sz="8" w:space="0" w:color="auto"/>
              <w:left w:val="single" w:sz="8" w:space="0" w:color="auto"/>
              <w:bottom w:val="single" w:sz="8" w:space="0" w:color="auto"/>
              <w:right w:val="single" w:sz="8" w:space="0" w:color="auto"/>
            </w:tcBorders>
            <w:shd w:val="clear" w:color="auto" w:fill="auto"/>
            <w:vAlign w:val="center"/>
          </w:tcPr>
          <w:p w14:paraId="1D2F7D5C" w14:textId="4023625E" w:rsidR="009E2B69" w:rsidRPr="00E830EC" w:rsidRDefault="009E2B69" w:rsidP="009E2B69">
            <w:pPr>
              <w:spacing w:after="120"/>
              <w:jc w:val="center"/>
              <w:rPr>
                <w:rFonts w:eastAsia="Times New Roman" w:cs="Times New Roman"/>
                <w:b/>
                <w:bCs/>
                <w:sz w:val="24"/>
                <w:szCs w:val="24"/>
                <w:lang w:eastAsia="lv-LV"/>
              </w:rPr>
            </w:pPr>
            <w:r w:rsidRPr="00E830EC">
              <w:rPr>
                <w:rFonts w:cs="Times New Roman"/>
                <w:b/>
                <w:bCs/>
                <w:color w:val="000000"/>
                <w:sz w:val="24"/>
                <w:szCs w:val="24"/>
              </w:rPr>
              <w:t>0</w:t>
            </w:r>
          </w:p>
        </w:tc>
        <w:tc>
          <w:tcPr>
            <w:tcW w:w="1488" w:type="dxa"/>
            <w:tcBorders>
              <w:top w:val="single" w:sz="8" w:space="0" w:color="auto"/>
              <w:left w:val="nil"/>
              <w:bottom w:val="single" w:sz="8" w:space="0" w:color="auto"/>
              <w:right w:val="single" w:sz="8" w:space="0" w:color="auto"/>
            </w:tcBorders>
            <w:shd w:val="clear" w:color="auto" w:fill="auto"/>
            <w:vAlign w:val="center"/>
          </w:tcPr>
          <w:p w14:paraId="41E8F7BB" w14:textId="0D387958" w:rsidR="009E2B69" w:rsidRPr="00E830EC" w:rsidRDefault="009E2B69" w:rsidP="009E2B69">
            <w:pPr>
              <w:spacing w:after="120"/>
              <w:jc w:val="center"/>
              <w:rPr>
                <w:rFonts w:eastAsia="Times New Roman" w:cs="Times New Roman"/>
                <w:b/>
                <w:bCs/>
                <w:sz w:val="24"/>
                <w:szCs w:val="24"/>
                <w:lang w:eastAsia="lv-LV"/>
              </w:rPr>
            </w:pPr>
            <w:r w:rsidRPr="00E830EC">
              <w:rPr>
                <w:rFonts w:cs="Times New Roman"/>
                <w:b/>
                <w:bCs/>
                <w:color w:val="000000"/>
                <w:sz w:val="24"/>
                <w:szCs w:val="24"/>
              </w:rPr>
              <w:t>0</w:t>
            </w:r>
          </w:p>
        </w:tc>
      </w:tr>
    </w:tbl>
    <w:p w14:paraId="401CAF60" w14:textId="77777777" w:rsidR="00907983" w:rsidRDefault="00907983" w:rsidP="00657538">
      <w:pPr>
        <w:pStyle w:val="Caption"/>
        <w:keepNext/>
        <w:spacing w:line="240" w:lineRule="auto"/>
        <w:jc w:val="right"/>
        <w:rPr>
          <w:rFonts w:ascii="Times New Roman" w:hAnsi="Times New Roman"/>
          <w:color w:val="auto"/>
          <w:sz w:val="24"/>
          <w:szCs w:val="24"/>
        </w:rPr>
      </w:pPr>
    </w:p>
    <w:p w14:paraId="15739CB9" w14:textId="77777777" w:rsidR="00907983" w:rsidRDefault="00907983">
      <w:pPr>
        <w:ind w:firstLine="720"/>
        <w:jc w:val="left"/>
        <w:rPr>
          <w:rFonts w:eastAsia="Times New Roman" w:cs="Times New Roman"/>
          <w:b/>
          <w:bCs/>
          <w:sz w:val="24"/>
          <w:szCs w:val="24"/>
        </w:rPr>
      </w:pPr>
      <w:r>
        <w:rPr>
          <w:sz w:val="24"/>
          <w:szCs w:val="24"/>
        </w:rPr>
        <w:br w:type="page"/>
      </w:r>
    </w:p>
    <w:p w14:paraId="452AB55A" w14:textId="2780DB8E" w:rsidR="001E7B16" w:rsidRPr="004E4FBE" w:rsidRDefault="00634A6C" w:rsidP="00657538">
      <w:pPr>
        <w:pStyle w:val="Caption"/>
        <w:keepNext/>
        <w:spacing w:line="240" w:lineRule="auto"/>
        <w:jc w:val="right"/>
        <w:rPr>
          <w:rFonts w:ascii="Times New Roman" w:hAnsi="Times New Roman"/>
          <w:color w:val="auto"/>
          <w:sz w:val="24"/>
          <w:szCs w:val="24"/>
        </w:rPr>
      </w:pPr>
      <w:r w:rsidRPr="004E4FBE">
        <w:rPr>
          <w:rFonts w:ascii="Times New Roman" w:hAnsi="Times New Roman"/>
          <w:color w:val="auto"/>
          <w:sz w:val="24"/>
          <w:szCs w:val="24"/>
        </w:rPr>
        <w:lastRenderedPageBreak/>
        <w:t>18</w:t>
      </w:r>
      <w:r w:rsidR="001E7B16" w:rsidRPr="004E4FBE">
        <w:rPr>
          <w:rFonts w:ascii="Times New Roman" w:hAnsi="Times New Roman"/>
          <w:color w:val="auto"/>
          <w:sz w:val="24"/>
          <w:szCs w:val="24"/>
        </w:rPr>
        <w:t>. tabula</w:t>
      </w:r>
    </w:p>
    <w:p w14:paraId="7145DD7E" w14:textId="2DB20EBA" w:rsidR="00095298" w:rsidRPr="004E4FBE" w:rsidRDefault="00095298" w:rsidP="00095298">
      <w:pPr>
        <w:pStyle w:val="Caption"/>
        <w:keepNext/>
        <w:spacing w:line="240" w:lineRule="auto"/>
        <w:jc w:val="center"/>
        <w:rPr>
          <w:rFonts w:ascii="Times New Roman" w:hAnsi="Times New Roman"/>
          <w:color w:val="auto"/>
          <w:sz w:val="24"/>
          <w:szCs w:val="24"/>
        </w:rPr>
      </w:pPr>
      <w:r w:rsidRPr="004E4FBE">
        <w:rPr>
          <w:rFonts w:ascii="Times New Roman" w:hAnsi="Times New Roman"/>
          <w:color w:val="auto"/>
          <w:sz w:val="24"/>
          <w:szCs w:val="24"/>
        </w:rPr>
        <w:t>Valsts budžetā paredzamais finansējums OIK, aizsargāto lietotāju, energoietilpīgo uzņēmumu atbalsta</w:t>
      </w:r>
      <w:r w:rsidR="1C29DE7E" w:rsidRPr="71872EFF">
        <w:rPr>
          <w:rFonts w:ascii="Times New Roman" w:hAnsi="Times New Roman"/>
          <w:color w:val="auto"/>
          <w:sz w:val="24"/>
          <w:szCs w:val="24"/>
        </w:rPr>
        <w:t>, VPP</w:t>
      </w:r>
      <w:r w:rsidRPr="00A63282">
        <w:rPr>
          <w:rFonts w:ascii="Times New Roman" w:hAnsi="Times New Roman"/>
          <w:color w:val="4472C4" w:themeColor="accent1"/>
          <w:sz w:val="24"/>
          <w:szCs w:val="24"/>
        </w:rPr>
        <w:t xml:space="preserve"> </w:t>
      </w:r>
      <w:r w:rsidRPr="006B1FFF">
        <w:rPr>
          <w:rFonts w:ascii="Times New Roman" w:hAnsi="Times New Roman"/>
          <w:color w:val="auto"/>
          <w:sz w:val="24"/>
          <w:szCs w:val="24"/>
        </w:rPr>
        <w:t xml:space="preserve">un NEKP pētniecības daļas </w:t>
      </w:r>
      <w:r w:rsidRPr="004E4FBE">
        <w:rPr>
          <w:rFonts w:ascii="Times New Roman" w:hAnsi="Times New Roman"/>
          <w:color w:val="auto"/>
          <w:sz w:val="24"/>
          <w:szCs w:val="24"/>
        </w:rPr>
        <w:t>īstenošanas, pēc naudas plūsmas metodes, EUR</w:t>
      </w:r>
    </w:p>
    <w:tbl>
      <w:tblPr>
        <w:tblW w:w="9036" w:type="dxa"/>
        <w:tblLook w:val="04A0" w:firstRow="1" w:lastRow="0" w:firstColumn="1" w:lastColumn="0" w:noHBand="0" w:noVBand="1"/>
      </w:tblPr>
      <w:tblGrid>
        <w:gridCol w:w="4278"/>
        <w:gridCol w:w="1586"/>
        <w:gridCol w:w="1586"/>
        <w:gridCol w:w="1586"/>
      </w:tblGrid>
      <w:tr w:rsidR="004E4FBE" w:rsidRPr="004E4FBE" w14:paraId="6F20EC97" w14:textId="77777777" w:rsidTr="0008370F">
        <w:trPr>
          <w:trHeight w:val="282"/>
        </w:trPr>
        <w:tc>
          <w:tcPr>
            <w:tcW w:w="42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6985BD" w14:textId="77777777" w:rsidR="001E7B16" w:rsidRPr="004E4FBE" w:rsidRDefault="001E7B16" w:rsidP="004E4FBE">
            <w:pPr>
              <w:spacing w:after="120"/>
              <w:jc w:val="left"/>
              <w:rPr>
                <w:rFonts w:eastAsia="Times New Roman" w:cs="Times New Roman"/>
                <w:sz w:val="24"/>
                <w:szCs w:val="24"/>
                <w:lang w:eastAsia="lv-LV"/>
              </w:rPr>
            </w:pPr>
            <w:r w:rsidRPr="004E4FBE">
              <w:rPr>
                <w:rFonts w:eastAsia="Times New Roman" w:cs="Times New Roman"/>
                <w:sz w:val="24"/>
                <w:szCs w:val="24"/>
                <w:lang w:eastAsia="lv-LV"/>
              </w:rPr>
              <w:t> </w:t>
            </w:r>
          </w:p>
        </w:tc>
        <w:tc>
          <w:tcPr>
            <w:tcW w:w="1586" w:type="dxa"/>
            <w:tcBorders>
              <w:top w:val="single" w:sz="8" w:space="0" w:color="auto"/>
              <w:left w:val="nil"/>
              <w:bottom w:val="nil"/>
              <w:right w:val="single" w:sz="4" w:space="0" w:color="auto"/>
            </w:tcBorders>
            <w:shd w:val="clear" w:color="auto" w:fill="auto"/>
            <w:vAlign w:val="center"/>
            <w:hideMark/>
          </w:tcPr>
          <w:p w14:paraId="533C64EC" w14:textId="77777777" w:rsidR="001E7B16" w:rsidRPr="004E4FBE" w:rsidRDefault="001E7B16"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2021</w:t>
            </w:r>
          </w:p>
        </w:tc>
        <w:tc>
          <w:tcPr>
            <w:tcW w:w="1586" w:type="dxa"/>
            <w:tcBorders>
              <w:top w:val="single" w:sz="8" w:space="0" w:color="auto"/>
              <w:left w:val="nil"/>
              <w:bottom w:val="nil"/>
              <w:right w:val="single" w:sz="4" w:space="0" w:color="auto"/>
            </w:tcBorders>
            <w:shd w:val="clear" w:color="auto" w:fill="auto"/>
            <w:vAlign w:val="center"/>
            <w:hideMark/>
          </w:tcPr>
          <w:p w14:paraId="4EF89397" w14:textId="77777777" w:rsidR="001E7B16" w:rsidRPr="004E4FBE" w:rsidRDefault="001E7B16"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2022</w:t>
            </w:r>
          </w:p>
        </w:tc>
        <w:tc>
          <w:tcPr>
            <w:tcW w:w="1586" w:type="dxa"/>
            <w:tcBorders>
              <w:top w:val="single" w:sz="8" w:space="0" w:color="auto"/>
              <w:left w:val="nil"/>
              <w:bottom w:val="nil"/>
              <w:right w:val="single" w:sz="8" w:space="0" w:color="auto"/>
            </w:tcBorders>
            <w:shd w:val="clear" w:color="auto" w:fill="auto"/>
            <w:vAlign w:val="center"/>
            <w:hideMark/>
          </w:tcPr>
          <w:p w14:paraId="3142EA3D" w14:textId="77777777" w:rsidR="001E7B16" w:rsidRPr="004E4FBE" w:rsidRDefault="001E7B16" w:rsidP="004E4FBE">
            <w:pPr>
              <w:spacing w:after="120"/>
              <w:jc w:val="center"/>
              <w:rPr>
                <w:rFonts w:eastAsia="Times New Roman" w:cs="Times New Roman"/>
                <w:b/>
                <w:bCs/>
                <w:sz w:val="24"/>
                <w:szCs w:val="24"/>
                <w:lang w:eastAsia="lv-LV"/>
              </w:rPr>
            </w:pPr>
            <w:r w:rsidRPr="004E4FBE">
              <w:rPr>
                <w:rFonts w:eastAsia="Times New Roman" w:cs="Times New Roman"/>
                <w:b/>
                <w:bCs/>
                <w:sz w:val="24"/>
                <w:szCs w:val="24"/>
                <w:lang w:eastAsia="lv-LV"/>
              </w:rPr>
              <w:t>2023</w:t>
            </w:r>
          </w:p>
        </w:tc>
      </w:tr>
      <w:tr w:rsidR="00E830EC" w:rsidRPr="004E4FBE" w14:paraId="3EBF9484" w14:textId="77777777" w:rsidTr="0008370F">
        <w:trPr>
          <w:trHeight w:val="266"/>
        </w:trPr>
        <w:tc>
          <w:tcPr>
            <w:tcW w:w="4278" w:type="dxa"/>
            <w:tcBorders>
              <w:top w:val="nil"/>
              <w:left w:val="single" w:sz="8" w:space="0" w:color="auto"/>
              <w:bottom w:val="single" w:sz="4" w:space="0" w:color="auto"/>
              <w:right w:val="single" w:sz="8" w:space="0" w:color="auto"/>
            </w:tcBorders>
            <w:shd w:val="clear" w:color="auto" w:fill="auto"/>
            <w:vAlign w:val="center"/>
            <w:hideMark/>
          </w:tcPr>
          <w:p w14:paraId="5D21532A" w14:textId="479EA093" w:rsidR="00E830EC" w:rsidRPr="004E4FBE" w:rsidRDefault="00E830EC" w:rsidP="00E830EC">
            <w:pPr>
              <w:spacing w:after="120"/>
              <w:jc w:val="left"/>
              <w:rPr>
                <w:rFonts w:eastAsia="Times New Roman" w:cs="Times New Roman"/>
                <w:sz w:val="24"/>
                <w:szCs w:val="24"/>
                <w:lang w:eastAsia="lv-LV"/>
              </w:rPr>
            </w:pPr>
            <w:r w:rsidRPr="004E4FBE">
              <w:rPr>
                <w:rFonts w:eastAsia="Times New Roman" w:cs="Times New Roman"/>
                <w:sz w:val="24"/>
                <w:szCs w:val="24"/>
                <w:lang w:eastAsia="lv-LV"/>
              </w:rPr>
              <w:t>Finansējums OIK apmēra mazināšanai</w:t>
            </w:r>
          </w:p>
        </w:tc>
        <w:tc>
          <w:tcPr>
            <w:tcW w:w="1586" w:type="dxa"/>
            <w:tcBorders>
              <w:top w:val="single" w:sz="8" w:space="0" w:color="auto"/>
              <w:left w:val="nil"/>
              <w:bottom w:val="single" w:sz="4" w:space="0" w:color="auto"/>
              <w:right w:val="single" w:sz="4" w:space="0" w:color="auto"/>
            </w:tcBorders>
            <w:shd w:val="clear" w:color="auto" w:fill="auto"/>
            <w:vAlign w:val="center"/>
            <w:hideMark/>
          </w:tcPr>
          <w:p w14:paraId="62806B44" w14:textId="3011774A" w:rsidR="00E830EC" w:rsidRPr="00E830EC" w:rsidRDefault="00E830EC" w:rsidP="00E830EC">
            <w:pPr>
              <w:spacing w:after="120"/>
              <w:jc w:val="center"/>
              <w:rPr>
                <w:rFonts w:eastAsia="Times New Roman" w:cs="Times New Roman"/>
                <w:sz w:val="24"/>
                <w:szCs w:val="24"/>
                <w:lang w:eastAsia="lv-LV"/>
              </w:rPr>
            </w:pPr>
            <w:r w:rsidRPr="00E830EC">
              <w:rPr>
                <w:rFonts w:cs="Times New Roman"/>
                <w:color w:val="000000"/>
                <w:sz w:val="24"/>
                <w:szCs w:val="24"/>
              </w:rPr>
              <w:t>92 576 857</w:t>
            </w:r>
          </w:p>
        </w:tc>
        <w:tc>
          <w:tcPr>
            <w:tcW w:w="1586" w:type="dxa"/>
            <w:tcBorders>
              <w:top w:val="single" w:sz="8" w:space="0" w:color="auto"/>
              <w:left w:val="nil"/>
              <w:bottom w:val="single" w:sz="4" w:space="0" w:color="auto"/>
              <w:right w:val="single" w:sz="4" w:space="0" w:color="auto"/>
            </w:tcBorders>
            <w:shd w:val="clear" w:color="auto" w:fill="auto"/>
            <w:vAlign w:val="center"/>
            <w:hideMark/>
          </w:tcPr>
          <w:p w14:paraId="739FF6F4" w14:textId="67AB1C50" w:rsidR="00E830EC" w:rsidRPr="00E830EC" w:rsidRDefault="00E830EC" w:rsidP="00E830EC">
            <w:pPr>
              <w:spacing w:after="120"/>
              <w:jc w:val="center"/>
              <w:rPr>
                <w:rFonts w:eastAsia="Times New Roman" w:cs="Times New Roman"/>
                <w:sz w:val="24"/>
                <w:szCs w:val="24"/>
                <w:lang w:eastAsia="lv-LV"/>
              </w:rPr>
            </w:pPr>
            <w:r w:rsidRPr="00E830EC">
              <w:rPr>
                <w:rFonts w:cs="Times New Roman"/>
                <w:color w:val="000000"/>
                <w:sz w:val="24"/>
                <w:szCs w:val="24"/>
              </w:rPr>
              <w:t>140 368 993</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14:paraId="5AD1D404" w14:textId="45116F22" w:rsidR="00E830EC" w:rsidRPr="00E830EC" w:rsidRDefault="00E830EC" w:rsidP="00E830EC">
            <w:pPr>
              <w:spacing w:after="120"/>
              <w:jc w:val="center"/>
              <w:rPr>
                <w:rFonts w:eastAsia="Times New Roman" w:cs="Times New Roman"/>
                <w:sz w:val="24"/>
                <w:szCs w:val="24"/>
                <w:lang w:eastAsia="lv-LV"/>
              </w:rPr>
            </w:pPr>
            <w:r w:rsidRPr="00E830EC">
              <w:rPr>
                <w:rFonts w:cs="Times New Roman"/>
                <w:color w:val="000000"/>
                <w:sz w:val="24"/>
                <w:szCs w:val="24"/>
              </w:rPr>
              <w:t>124 880 674</w:t>
            </w:r>
          </w:p>
        </w:tc>
      </w:tr>
      <w:tr w:rsidR="00E830EC" w:rsidRPr="004E4FBE" w14:paraId="7C0226B1" w14:textId="77777777" w:rsidTr="0008370F">
        <w:trPr>
          <w:trHeight w:val="266"/>
        </w:trPr>
        <w:tc>
          <w:tcPr>
            <w:tcW w:w="4278" w:type="dxa"/>
            <w:tcBorders>
              <w:top w:val="nil"/>
              <w:left w:val="single" w:sz="8" w:space="0" w:color="auto"/>
              <w:bottom w:val="single" w:sz="4" w:space="0" w:color="auto"/>
              <w:right w:val="single" w:sz="8" w:space="0" w:color="auto"/>
            </w:tcBorders>
            <w:shd w:val="clear" w:color="auto" w:fill="auto"/>
            <w:vAlign w:val="center"/>
            <w:hideMark/>
          </w:tcPr>
          <w:p w14:paraId="56B1577B" w14:textId="77777777" w:rsidR="00E830EC" w:rsidRPr="004E4FBE" w:rsidRDefault="00E830EC" w:rsidP="00E830EC">
            <w:pPr>
              <w:spacing w:after="120"/>
              <w:jc w:val="left"/>
              <w:rPr>
                <w:rFonts w:eastAsia="Times New Roman" w:cs="Times New Roman"/>
                <w:sz w:val="24"/>
                <w:szCs w:val="24"/>
                <w:lang w:eastAsia="lv-LV"/>
              </w:rPr>
            </w:pPr>
            <w:r w:rsidRPr="004E4FBE">
              <w:rPr>
                <w:rFonts w:eastAsia="Times New Roman" w:cs="Times New Roman"/>
                <w:sz w:val="24"/>
                <w:szCs w:val="24"/>
                <w:lang w:eastAsia="lv-LV"/>
              </w:rPr>
              <w:t>Energoietilpīgo uzņēmumu atbalsta finansēšana</w:t>
            </w:r>
          </w:p>
        </w:tc>
        <w:tc>
          <w:tcPr>
            <w:tcW w:w="1586" w:type="dxa"/>
            <w:tcBorders>
              <w:top w:val="nil"/>
              <w:left w:val="nil"/>
              <w:bottom w:val="single" w:sz="4" w:space="0" w:color="auto"/>
              <w:right w:val="single" w:sz="4" w:space="0" w:color="auto"/>
            </w:tcBorders>
            <w:shd w:val="clear" w:color="auto" w:fill="auto"/>
            <w:vAlign w:val="center"/>
            <w:hideMark/>
          </w:tcPr>
          <w:p w14:paraId="6C75E71E" w14:textId="07A65DC4"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7 000 000</w:t>
            </w:r>
          </w:p>
        </w:tc>
        <w:tc>
          <w:tcPr>
            <w:tcW w:w="1586" w:type="dxa"/>
            <w:tcBorders>
              <w:top w:val="nil"/>
              <w:left w:val="nil"/>
              <w:bottom w:val="single" w:sz="4" w:space="0" w:color="auto"/>
              <w:right w:val="single" w:sz="4" w:space="0" w:color="auto"/>
            </w:tcBorders>
            <w:shd w:val="clear" w:color="auto" w:fill="auto"/>
            <w:vAlign w:val="center"/>
            <w:hideMark/>
          </w:tcPr>
          <w:p w14:paraId="02305726" w14:textId="70326A92"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7 000 000</w:t>
            </w:r>
          </w:p>
        </w:tc>
        <w:tc>
          <w:tcPr>
            <w:tcW w:w="1586" w:type="dxa"/>
            <w:tcBorders>
              <w:top w:val="nil"/>
              <w:left w:val="nil"/>
              <w:bottom w:val="single" w:sz="4" w:space="0" w:color="auto"/>
              <w:right w:val="single" w:sz="8" w:space="0" w:color="auto"/>
            </w:tcBorders>
            <w:shd w:val="clear" w:color="auto" w:fill="auto"/>
            <w:vAlign w:val="center"/>
            <w:hideMark/>
          </w:tcPr>
          <w:p w14:paraId="138BF9FD" w14:textId="05B504AD"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0</w:t>
            </w:r>
          </w:p>
        </w:tc>
      </w:tr>
      <w:tr w:rsidR="00E830EC" w:rsidRPr="004E4FBE" w14:paraId="587B3279" w14:textId="77777777" w:rsidTr="00C5381A">
        <w:trPr>
          <w:trHeight w:val="282"/>
        </w:trPr>
        <w:tc>
          <w:tcPr>
            <w:tcW w:w="4278" w:type="dxa"/>
            <w:tcBorders>
              <w:top w:val="nil"/>
              <w:left w:val="single" w:sz="8" w:space="0" w:color="auto"/>
              <w:bottom w:val="single" w:sz="4" w:space="0" w:color="auto"/>
              <w:right w:val="single" w:sz="8" w:space="0" w:color="auto"/>
            </w:tcBorders>
            <w:shd w:val="clear" w:color="auto" w:fill="auto"/>
            <w:vAlign w:val="center"/>
            <w:hideMark/>
          </w:tcPr>
          <w:p w14:paraId="79934597" w14:textId="2FA88F85" w:rsidR="00E830EC" w:rsidRPr="004E4FBE" w:rsidRDefault="00095298" w:rsidP="00E830EC">
            <w:pPr>
              <w:spacing w:after="120"/>
              <w:jc w:val="left"/>
              <w:rPr>
                <w:rFonts w:eastAsia="Times New Roman" w:cs="Times New Roman"/>
                <w:sz w:val="24"/>
                <w:szCs w:val="24"/>
                <w:lang w:eastAsia="lv-LV"/>
              </w:rPr>
            </w:pPr>
            <w:r w:rsidRPr="004E4FBE">
              <w:rPr>
                <w:rFonts w:eastAsia="Times New Roman" w:cs="Times New Roman"/>
                <w:sz w:val="24"/>
                <w:szCs w:val="24"/>
                <w:lang w:eastAsia="lv-LV"/>
              </w:rPr>
              <w:t>Aizsargāto lietotāju atbalsta finansējums</w:t>
            </w:r>
          </w:p>
        </w:tc>
        <w:tc>
          <w:tcPr>
            <w:tcW w:w="1586" w:type="dxa"/>
            <w:tcBorders>
              <w:top w:val="nil"/>
              <w:left w:val="nil"/>
              <w:bottom w:val="single" w:sz="4" w:space="0" w:color="auto"/>
              <w:right w:val="single" w:sz="4" w:space="0" w:color="auto"/>
            </w:tcBorders>
            <w:shd w:val="clear" w:color="auto" w:fill="FFFFFF" w:themeFill="background1"/>
            <w:vAlign w:val="center"/>
            <w:hideMark/>
          </w:tcPr>
          <w:p w14:paraId="21E1A446" w14:textId="5023583F"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12 000 000</w:t>
            </w:r>
          </w:p>
        </w:tc>
        <w:tc>
          <w:tcPr>
            <w:tcW w:w="1586" w:type="dxa"/>
            <w:tcBorders>
              <w:top w:val="nil"/>
              <w:left w:val="nil"/>
              <w:bottom w:val="single" w:sz="4" w:space="0" w:color="auto"/>
              <w:right w:val="single" w:sz="4" w:space="0" w:color="auto"/>
            </w:tcBorders>
            <w:shd w:val="clear" w:color="auto" w:fill="FFFFFF" w:themeFill="background1"/>
            <w:vAlign w:val="center"/>
            <w:hideMark/>
          </w:tcPr>
          <w:p w14:paraId="6867D2FD" w14:textId="6B495E82"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12 000 000</w:t>
            </w:r>
          </w:p>
        </w:tc>
        <w:tc>
          <w:tcPr>
            <w:tcW w:w="1586" w:type="dxa"/>
            <w:tcBorders>
              <w:top w:val="nil"/>
              <w:left w:val="nil"/>
              <w:bottom w:val="single" w:sz="4" w:space="0" w:color="auto"/>
              <w:right w:val="single" w:sz="8" w:space="0" w:color="auto"/>
            </w:tcBorders>
            <w:shd w:val="clear" w:color="auto" w:fill="FFFFFF" w:themeFill="background1"/>
            <w:vAlign w:val="center"/>
            <w:hideMark/>
          </w:tcPr>
          <w:p w14:paraId="721631A3" w14:textId="51270AF7"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12 000 000</w:t>
            </w:r>
          </w:p>
        </w:tc>
      </w:tr>
      <w:tr w:rsidR="00E830EC" w:rsidRPr="004E4FBE" w14:paraId="325AC15A" w14:textId="77777777" w:rsidTr="00C5381A">
        <w:trPr>
          <w:trHeight w:val="266"/>
        </w:trPr>
        <w:tc>
          <w:tcPr>
            <w:tcW w:w="427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4C3A54" w14:textId="02884257" w:rsidR="00E830EC" w:rsidRPr="004E4FBE" w:rsidRDefault="00095298" w:rsidP="00E830EC">
            <w:pPr>
              <w:spacing w:after="120"/>
              <w:jc w:val="left"/>
              <w:rPr>
                <w:rFonts w:eastAsia="Times New Roman" w:cs="Times New Roman"/>
                <w:sz w:val="24"/>
                <w:szCs w:val="24"/>
                <w:lang w:eastAsia="lv-LV"/>
              </w:rPr>
            </w:pPr>
            <w:r w:rsidRPr="004E4FBE">
              <w:rPr>
                <w:rFonts w:eastAsia="Times New Roman" w:cs="Times New Roman"/>
                <w:sz w:val="24"/>
                <w:szCs w:val="24"/>
                <w:lang w:eastAsia="lv-LV"/>
              </w:rPr>
              <w:t>NEKP pētniecības daļas īstenošana</w:t>
            </w:r>
            <w:r w:rsidR="00C5381A">
              <w:rPr>
                <w:rFonts w:eastAsia="Times New Roman" w:cs="Times New Roman"/>
                <w:sz w:val="24"/>
                <w:szCs w:val="24"/>
                <w:lang w:eastAsia="lv-LV"/>
              </w:rPr>
              <w:t>, t.sk. administrēšanas vajadzībām</w:t>
            </w:r>
          </w:p>
        </w:tc>
        <w:tc>
          <w:tcPr>
            <w:tcW w:w="158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667158" w14:textId="2B83152D" w:rsidR="00E830EC" w:rsidRPr="00E830EC" w:rsidRDefault="00B911CD" w:rsidP="00E830EC">
            <w:pPr>
              <w:spacing w:after="120"/>
              <w:jc w:val="center"/>
              <w:rPr>
                <w:rFonts w:eastAsia="Times New Roman" w:cs="Times New Roman"/>
                <w:sz w:val="24"/>
                <w:szCs w:val="24"/>
                <w:lang w:eastAsia="lv-LV"/>
              </w:rPr>
            </w:pPr>
            <w:r w:rsidRPr="005B0F6F">
              <w:rPr>
                <w:rFonts w:cs="Times New Roman"/>
                <w:sz w:val="24"/>
                <w:szCs w:val="24"/>
              </w:rPr>
              <w:t>1 403 014</w:t>
            </w:r>
          </w:p>
        </w:tc>
        <w:tc>
          <w:tcPr>
            <w:tcW w:w="158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172C17" w14:textId="0D81D19A"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2 000 000</w:t>
            </w:r>
          </w:p>
        </w:tc>
        <w:tc>
          <w:tcPr>
            <w:tcW w:w="1586" w:type="dxa"/>
            <w:tcBorders>
              <w:top w:val="single" w:sz="4" w:space="0" w:color="auto"/>
              <w:left w:val="nil"/>
              <w:bottom w:val="single" w:sz="4" w:space="0" w:color="auto"/>
              <w:right w:val="single" w:sz="8" w:space="0" w:color="auto"/>
            </w:tcBorders>
            <w:shd w:val="clear" w:color="auto" w:fill="FFFFFF" w:themeFill="background1"/>
            <w:vAlign w:val="center"/>
            <w:hideMark/>
          </w:tcPr>
          <w:p w14:paraId="41033025" w14:textId="2A8106A5" w:rsidR="00E830EC" w:rsidRPr="00E830EC" w:rsidRDefault="00E830EC" w:rsidP="00E830EC">
            <w:pPr>
              <w:spacing w:after="120"/>
              <w:jc w:val="center"/>
              <w:rPr>
                <w:rFonts w:eastAsia="Times New Roman" w:cs="Times New Roman"/>
                <w:sz w:val="24"/>
                <w:szCs w:val="24"/>
                <w:lang w:eastAsia="lv-LV"/>
              </w:rPr>
            </w:pPr>
            <w:r w:rsidRPr="00E830EC">
              <w:rPr>
                <w:rFonts w:cs="Times New Roman"/>
                <w:sz w:val="24"/>
                <w:szCs w:val="24"/>
              </w:rPr>
              <w:t>2 000 000</w:t>
            </w:r>
          </w:p>
        </w:tc>
      </w:tr>
      <w:tr w:rsidR="001265F7" w:rsidRPr="004E4FBE" w14:paraId="66B62B1D" w14:textId="77777777" w:rsidTr="00C5381A">
        <w:trPr>
          <w:trHeight w:val="266"/>
        </w:trPr>
        <w:tc>
          <w:tcPr>
            <w:tcW w:w="4278" w:type="dxa"/>
            <w:tcBorders>
              <w:top w:val="single" w:sz="4" w:space="0" w:color="auto"/>
              <w:left w:val="single" w:sz="8" w:space="0" w:color="auto"/>
              <w:bottom w:val="single" w:sz="8" w:space="0" w:color="auto"/>
              <w:right w:val="single" w:sz="8" w:space="0" w:color="auto"/>
            </w:tcBorders>
            <w:shd w:val="clear" w:color="auto" w:fill="auto"/>
            <w:vAlign w:val="center"/>
          </w:tcPr>
          <w:p w14:paraId="2A6C0C0F" w14:textId="06C9DA51" w:rsidR="001265F7" w:rsidRPr="004E4FBE" w:rsidRDefault="001265F7" w:rsidP="001265F7">
            <w:pPr>
              <w:spacing w:after="120"/>
              <w:jc w:val="left"/>
              <w:rPr>
                <w:rFonts w:eastAsia="Times New Roman" w:cs="Times New Roman"/>
                <w:sz w:val="24"/>
                <w:szCs w:val="24"/>
                <w:lang w:eastAsia="lv-LV"/>
              </w:rPr>
            </w:pPr>
            <w:r w:rsidRPr="005B0F6F">
              <w:rPr>
                <w:rFonts w:eastAsia="Times New Roman" w:cs="Times New Roman"/>
                <w:sz w:val="24"/>
                <w:szCs w:val="24"/>
                <w:lang w:eastAsia="lv-LV"/>
              </w:rPr>
              <w:t>VPP īstenošana, t.sk. administrēšanas vajadzībām</w:t>
            </w:r>
          </w:p>
        </w:tc>
        <w:tc>
          <w:tcPr>
            <w:tcW w:w="1586" w:type="dxa"/>
            <w:tcBorders>
              <w:top w:val="single" w:sz="4" w:space="0" w:color="auto"/>
              <w:left w:val="nil"/>
              <w:bottom w:val="nil"/>
              <w:right w:val="single" w:sz="4" w:space="0" w:color="auto"/>
            </w:tcBorders>
            <w:shd w:val="clear" w:color="auto" w:fill="FFFFFF" w:themeFill="background1"/>
            <w:vAlign w:val="center"/>
          </w:tcPr>
          <w:p w14:paraId="0E17772A" w14:textId="08C90D2D" w:rsidR="001265F7" w:rsidRPr="00E830EC" w:rsidRDefault="001265F7" w:rsidP="001265F7">
            <w:pPr>
              <w:spacing w:after="120"/>
              <w:jc w:val="center"/>
              <w:rPr>
                <w:rFonts w:cs="Times New Roman"/>
                <w:sz w:val="24"/>
                <w:szCs w:val="24"/>
              </w:rPr>
            </w:pPr>
            <w:r w:rsidRPr="005B0F6F">
              <w:rPr>
                <w:rFonts w:cs="Times New Roman"/>
                <w:sz w:val="24"/>
                <w:szCs w:val="24"/>
              </w:rPr>
              <w:t>545 160</w:t>
            </w:r>
          </w:p>
        </w:tc>
        <w:tc>
          <w:tcPr>
            <w:tcW w:w="1586" w:type="dxa"/>
            <w:tcBorders>
              <w:top w:val="single" w:sz="4" w:space="0" w:color="auto"/>
              <w:left w:val="nil"/>
              <w:bottom w:val="nil"/>
              <w:right w:val="single" w:sz="4" w:space="0" w:color="auto"/>
            </w:tcBorders>
            <w:shd w:val="clear" w:color="auto" w:fill="FFFFFF" w:themeFill="background1"/>
            <w:vAlign w:val="center"/>
          </w:tcPr>
          <w:p w14:paraId="35434653" w14:textId="44314AC3" w:rsidR="001265F7" w:rsidRPr="00E830EC" w:rsidRDefault="001265F7" w:rsidP="001265F7">
            <w:pPr>
              <w:spacing w:after="120"/>
              <w:jc w:val="center"/>
              <w:rPr>
                <w:rFonts w:cs="Times New Roman"/>
                <w:sz w:val="24"/>
                <w:szCs w:val="24"/>
              </w:rPr>
            </w:pPr>
            <w:r>
              <w:rPr>
                <w:rFonts w:cs="Times New Roman"/>
                <w:sz w:val="24"/>
                <w:szCs w:val="24"/>
              </w:rPr>
              <w:t>0</w:t>
            </w:r>
          </w:p>
        </w:tc>
        <w:tc>
          <w:tcPr>
            <w:tcW w:w="1586" w:type="dxa"/>
            <w:tcBorders>
              <w:top w:val="single" w:sz="4" w:space="0" w:color="auto"/>
              <w:left w:val="nil"/>
              <w:bottom w:val="nil"/>
              <w:right w:val="single" w:sz="8" w:space="0" w:color="auto"/>
            </w:tcBorders>
            <w:shd w:val="clear" w:color="auto" w:fill="FFFFFF" w:themeFill="background1"/>
            <w:vAlign w:val="center"/>
          </w:tcPr>
          <w:p w14:paraId="70ED9D3D" w14:textId="320DED56" w:rsidR="001265F7" w:rsidRPr="00E830EC" w:rsidRDefault="001265F7" w:rsidP="001265F7">
            <w:pPr>
              <w:spacing w:after="120"/>
              <w:jc w:val="center"/>
              <w:rPr>
                <w:rFonts w:cs="Times New Roman"/>
                <w:sz w:val="24"/>
                <w:szCs w:val="24"/>
              </w:rPr>
            </w:pPr>
            <w:r>
              <w:rPr>
                <w:rFonts w:cs="Times New Roman"/>
                <w:sz w:val="24"/>
                <w:szCs w:val="24"/>
              </w:rPr>
              <w:t>0</w:t>
            </w:r>
          </w:p>
        </w:tc>
      </w:tr>
      <w:tr w:rsidR="001265F7" w:rsidRPr="004E4FBE" w14:paraId="1BBDA1BD" w14:textId="77777777" w:rsidTr="0008370F">
        <w:trPr>
          <w:trHeight w:val="282"/>
        </w:trPr>
        <w:tc>
          <w:tcPr>
            <w:tcW w:w="42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D4B331" w14:textId="77777777" w:rsidR="001265F7" w:rsidRPr="004E4FBE" w:rsidRDefault="001265F7" w:rsidP="001265F7">
            <w:pPr>
              <w:spacing w:after="120"/>
              <w:jc w:val="left"/>
              <w:rPr>
                <w:rFonts w:eastAsia="Times New Roman" w:cs="Times New Roman"/>
                <w:sz w:val="24"/>
                <w:szCs w:val="24"/>
                <w:lang w:eastAsia="lv-LV"/>
              </w:rPr>
            </w:pPr>
            <w:r w:rsidRPr="004E4FBE">
              <w:rPr>
                <w:rFonts w:eastAsia="Times New Roman" w:cs="Times New Roman"/>
                <w:sz w:val="24"/>
                <w:szCs w:val="24"/>
                <w:lang w:eastAsia="lv-LV"/>
              </w:rPr>
              <w:t>Kopā</w:t>
            </w:r>
          </w:p>
        </w:tc>
        <w:tc>
          <w:tcPr>
            <w:tcW w:w="158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0EB36C5" w14:textId="25847129" w:rsidR="001265F7" w:rsidRPr="00E830EC" w:rsidRDefault="001265F7" w:rsidP="001265F7">
            <w:pPr>
              <w:spacing w:after="120"/>
              <w:jc w:val="center"/>
              <w:rPr>
                <w:rFonts w:eastAsia="Times New Roman" w:cs="Times New Roman"/>
                <w:b/>
                <w:bCs/>
                <w:sz w:val="24"/>
                <w:szCs w:val="24"/>
              </w:rPr>
            </w:pPr>
            <w:r w:rsidRPr="00E830EC">
              <w:rPr>
                <w:rFonts w:cs="Times New Roman"/>
                <w:b/>
                <w:bCs/>
                <w:color w:val="000000"/>
                <w:sz w:val="24"/>
                <w:szCs w:val="24"/>
              </w:rPr>
              <w:t>113 525 031</w:t>
            </w:r>
          </w:p>
        </w:tc>
        <w:tc>
          <w:tcPr>
            <w:tcW w:w="1586" w:type="dxa"/>
            <w:tcBorders>
              <w:top w:val="single" w:sz="8" w:space="0" w:color="auto"/>
              <w:left w:val="nil"/>
              <w:bottom w:val="single" w:sz="8" w:space="0" w:color="auto"/>
              <w:right w:val="single" w:sz="4" w:space="0" w:color="auto"/>
            </w:tcBorders>
            <w:shd w:val="clear" w:color="auto" w:fill="auto"/>
            <w:vAlign w:val="center"/>
            <w:hideMark/>
          </w:tcPr>
          <w:p w14:paraId="4AA0E07C" w14:textId="494D7519" w:rsidR="001265F7" w:rsidRPr="00E830EC" w:rsidRDefault="001265F7" w:rsidP="001265F7">
            <w:pPr>
              <w:spacing w:after="120"/>
              <w:jc w:val="center"/>
              <w:rPr>
                <w:rFonts w:eastAsia="Times New Roman" w:cs="Times New Roman"/>
                <w:b/>
                <w:bCs/>
                <w:sz w:val="24"/>
                <w:szCs w:val="24"/>
              </w:rPr>
            </w:pPr>
            <w:r w:rsidRPr="00E830EC">
              <w:rPr>
                <w:rFonts w:cs="Times New Roman"/>
                <w:b/>
                <w:bCs/>
                <w:color w:val="000000"/>
                <w:sz w:val="24"/>
                <w:szCs w:val="24"/>
              </w:rPr>
              <w:t>161 368 993</w:t>
            </w:r>
          </w:p>
        </w:tc>
        <w:tc>
          <w:tcPr>
            <w:tcW w:w="1586" w:type="dxa"/>
            <w:tcBorders>
              <w:top w:val="single" w:sz="8" w:space="0" w:color="auto"/>
              <w:left w:val="nil"/>
              <w:bottom w:val="single" w:sz="8" w:space="0" w:color="auto"/>
              <w:right w:val="single" w:sz="8" w:space="0" w:color="auto"/>
            </w:tcBorders>
            <w:shd w:val="clear" w:color="auto" w:fill="auto"/>
            <w:vAlign w:val="center"/>
            <w:hideMark/>
          </w:tcPr>
          <w:p w14:paraId="18D0C260" w14:textId="6CBA5E45" w:rsidR="001265F7" w:rsidRPr="00E830EC" w:rsidRDefault="001265F7" w:rsidP="001265F7">
            <w:pPr>
              <w:spacing w:after="120"/>
              <w:jc w:val="center"/>
              <w:rPr>
                <w:rFonts w:eastAsia="Times New Roman" w:cs="Times New Roman"/>
                <w:b/>
                <w:bCs/>
                <w:sz w:val="24"/>
                <w:szCs w:val="24"/>
              </w:rPr>
            </w:pPr>
            <w:r w:rsidRPr="00E830EC">
              <w:rPr>
                <w:rFonts w:cs="Times New Roman"/>
                <w:b/>
                <w:bCs/>
                <w:color w:val="000000"/>
                <w:sz w:val="24"/>
                <w:szCs w:val="24"/>
              </w:rPr>
              <w:t>138 880 674</w:t>
            </w:r>
          </w:p>
        </w:tc>
      </w:tr>
    </w:tbl>
    <w:p w14:paraId="6191ACE4" w14:textId="154B3A30" w:rsidR="001E7B16" w:rsidRDefault="001E7B16" w:rsidP="004E4FBE">
      <w:pPr>
        <w:spacing w:after="120"/>
        <w:rPr>
          <w:rFonts w:eastAsia="Times New Roman" w:cs="Times New Roman"/>
          <w:sz w:val="24"/>
          <w:szCs w:val="24"/>
        </w:rPr>
      </w:pPr>
    </w:p>
    <w:p w14:paraId="00024520" w14:textId="77777777" w:rsidR="007B7ACF" w:rsidRPr="00946B3F" w:rsidRDefault="007B7ACF" w:rsidP="007B7ACF">
      <w:pPr>
        <w:pStyle w:val="Heading2"/>
        <w:rPr>
          <w:rFonts w:ascii="Times New Roman" w:hAnsi="Times New Roman" w:cs="Times New Roman"/>
          <w:b/>
          <w:bCs/>
          <w:color w:val="auto"/>
          <w:sz w:val="14"/>
          <w:szCs w:val="14"/>
          <w:lang w:eastAsia="lv-LV"/>
        </w:rPr>
      </w:pPr>
      <w:bookmarkStart w:id="34" w:name="_Toc51576942"/>
      <w:r w:rsidRPr="00946B3F">
        <w:rPr>
          <w:rFonts w:ascii="Times New Roman" w:hAnsi="Times New Roman" w:cs="Times New Roman"/>
          <w:b/>
          <w:bCs/>
          <w:color w:val="auto"/>
          <w:sz w:val="24"/>
          <w:szCs w:val="24"/>
          <w:lang w:eastAsia="lv-LV"/>
        </w:rPr>
        <w:t>OIK pakāpenisks mazināšanas scenārijs</w:t>
      </w:r>
      <w:bookmarkEnd w:id="34"/>
      <w:r w:rsidRPr="00946B3F">
        <w:rPr>
          <w:rFonts w:ascii="Times New Roman" w:hAnsi="Times New Roman" w:cs="Times New Roman"/>
          <w:b/>
          <w:bCs/>
          <w:color w:val="auto"/>
          <w:sz w:val="24"/>
          <w:szCs w:val="24"/>
          <w:lang w:eastAsia="lv-LV"/>
        </w:rPr>
        <w:t> </w:t>
      </w:r>
    </w:p>
    <w:p w14:paraId="722294E5" w14:textId="77777777" w:rsidR="007B7ACF" w:rsidRPr="002A2F04" w:rsidRDefault="007B7ACF" w:rsidP="007B7ACF">
      <w:pPr>
        <w:ind w:firstLine="720"/>
        <w:textAlignment w:val="baseline"/>
        <w:rPr>
          <w:rFonts w:ascii="Segoe UI" w:eastAsia="Times New Roman" w:hAnsi="Segoe UI" w:cs="Segoe UI"/>
          <w:sz w:val="18"/>
          <w:szCs w:val="18"/>
          <w:lang w:eastAsia="lv-LV"/>
        </w:rPr>
      </w:pPr>
      <w:r w:rsidRPr="002A2F04">
        <w:rPr>
          <w:rFonts w:eastAsia="Times New Roman" w:cs="Times New Roman"/>
          <w:sz w:val="24"/>
          <w:szCs w:val="24"/>
          <w:lang w:eastAsia="lv-LV"/>
        </w:rPr>
        <w:t>Scenārijs paredz novirzīt Latvenergo koncerna dividendes (un ar to izmaksu saistīto UIN) OIK pakāpeniskai mazināšanai turpmākajos gados, kā arī finansējumam  pārējām valsts budžeta vajadzībām. Scenārijs paredz OIK samazināšanu no šobrīd fiksētās 22,68 EUR/MWh likmes līdz 17,51 EUR/MWh 2021. gadā un turpmāku samazināšanu 2023.gadā. Finansējuma apjoms OIK mazināšanai tiek prognozēts apmērā, kas nepieciešams, lai pēc pašreizējām prognozēm par OI izmaksām 2024.gadā nebūtu nepieciešama papildu valsts budžeta dotācija un tiktu nodrošināta turpmāka OIK mazināšanās. </w:t>
      </w:r>
    </w:p>
    <w:p w14:paraId="33B6FED8" w14:textId="1F419AAA" w:rsidR="007B7ACF" w:rsidRPr="002A2F04" w:rsidRDefault="007B7ACF" w:rsidP="007B7ACF">
      <w:pPr>
        <w:ind w:firstLine="840"/>
        <w:textAlignment w:val="baseline"/>
        <w:rPr>
          <w:rFonts w:ascii="Segoe UI" w:eastAsia="Times New Roman" w:hAnsi="Segoe UI" w:cs="Segoe UI"/>
          <w:sz w:val="18"/>
          <w:szCs w:val="18"/>
          <w:lang w:eastAsia="lv-LV"/>
        </w:rPr>
      </w:pPr>
      <w:r w:rsidRPr="002A2F04">
        <w:rPr>
          <w:rFonts w:eastAsia="Times New Roman" w:cs="Times New Roman"/>
          <w:sz w:val="24"/>
          <w:szCs w:val="24"/>
          <w:lang w:eastAsia="lv-LV"/>
        </w:rPr>
        <w:t>Scenārijs paredz saglabāt finansējumu līdz 2023.gadam pārējām prioritārajām aktivitātēm (atbalsts aizsargātajiem lietotājiem, atbalsts energointensīvajiem uzņēmumiem, VPP un NEKP īstenošanai)</w:t>
      </w:r>
      <w:r w:rsidR="00322B1A">
        <w:rPr>
          <w:rFonts w:eastAsia="Times New Roman" w:cs="Times New Roman"/>
          <w:sz w:val="24"/>
          <w:szCs w:val="24"/>
          <w:lang w:eastAsia="lv-LV"/>
        </w:rPr>
        <w:t xml:space="preserve">, </w:t>
      </w:r>
      <w:r w:rsidR="00322B1A" w:rsidRPr="00322B1A">
        <w:rPr>
          <w:rFonts w:eastAsia="Times New Roman" w:cs="Times New Roman"/>
          <w:sz w:val="24"/>
          <w:szCs w:val="24"/>
          <w:lang w:eastAsia="lv-LV"/>
        </w:rPr>
        <w:t xml:space="preserve">ka </w:t>
      </w:r>
      <w:r w:rsidR="00322B1A">
        <w:rPr>
          <w:rFonts w:eastAsia="Times New Roman" w:cs="Times New Roman"/>
          <w:sz w:val="24"/>
          <w:szCs w:val="24"/>
          <w:lang w:eastAsia="lv-LV"/>
        </w:rPr>
        <w:t xml:space="preserve">arī </w:t>
      </w:r>
      <w:r w:rsidR="00322B1A" w:rsidRPr="00322B1A">
        <w:rPr>
          <w:rFonts w:eastAsia="Times New Roman" w:cs="Times New Roman"/>
          <w:sz w:val="24"/>
          <w:szCs w:val="24"/>
          <w:lang w:eastAsia="lv-LV"/>
        </w:rPr>
        <w:t>vidējā termiņa budžeta ietvarā 2023.gadam netiek plānoti ieņēmumi no Latvenergo koncerna dividendēm 16 150 197 euro apmērā</w:t>
      </w:r>
      <w:r w:rsidR="00322B1A">
        <w:rPr>
          <w:rFonts w:eastAsia="Times New Roman" w:cs="Times New Roman"/>
          <w:sz w:val="24"/>
          <w:szCs w:val="24"/>
          <w:lang w:eastAsia="lv-LV"/>
        </w:rPr>
        <w:t>,</w:t>
      </w:r>
      <w:r w:rsidR="00322B1A" w:rsidRPr="00322B1A">
        <w:rPr>
          <w:rFonts w:eastAsia="Times New Roman" w:cs="Times New Roman"/>
          <w:sz w:val="24"/>
          <w:szCs w:val="24"/>
          <w:lang w:eastAsia="lv-LV"/>
        </w:rPr>
        <w:t xml:space="preserve"> un tie tiks iekļauti likumā ”Par valsts budžetu  2023.gadam” atbilstoši Ministru kabinetā pieņemtajam konceptuālajam lēmumam</w:t>
      </w:r>
      <w:r w:rsidR="00322B1A">
        <w:rPr>
          <w:rFonts w:eastAsia="Times New Roman" w:cs="Times New Roman"/>
          <w:sz w:val="24"/>
          <w:szCs w:val="24"/>
          <w:lang w:eastAsia="lv-LV"/>
        </w:rPr>
        <w:t xml:space="preserve"> Ekonomikas ministrijai.</w:t>
      </w:r>
      <w:bookmarkStart w:id="35" w:name="_GoBack"/>
      <w:bookmarkEnd w:id="35"/>
    </w:p>
    <w:p w14:paraId="0E5B6A3B" w14:textId="77777777" w:rsidR="007B7ACF" w:rsidRPr="002A2F04" w:rsidRDefault="007B7ACF" w:rsidP="007B7ACF">
      <w:pPr>
        <w:textAlignment w:val="baseline"/>
        <w:rPr>
          <w:rFonts w:ascii="Segoe UI" w:eastAsia="Times New Roman" w:hAnsi="Segoe UI" w:cs="Segoe UI"/>
          <w:sz w:val="18"/>
          <w:szCs w:val="18"/>
          <w:lang w:eastAsia="lv-LV"/>
        </w:rPr>
      </w:pPr>
      <w:r w:rsidRPr="002A2F04">
        <w:rPr>
          <w:rFonts w:eastAsia="Times New Roman" w:cs="Times New Roman"/>
          <w:szCs w:val="26"/>
          <w:lang w:eastAsia="lv-LV"/>
        </w:rPr>
        <w:t> </w:t>
      </w:r>
    </w:p>
    <w:p w14:paraId="64071107" w14:textId="3C61E515" w:rsidR="007B7ACF" w:rsidRPr="002A2F04" w:rsidRDefault="007B7ACF" w:rsidP="007B7ACF">
      <w:pPr>
        <w:jc w:val="right"/>
        <w:textAlignment w:val="baseline"/>
        <w:rPr>
          <w:rFonts w:ascii="Segoe UI" w:eastAsia="Times New Roman" w:hAnsi="Segoe UI" w:cs="Segoe UI"/>
          <w:b/>
          <w:bCs/>
          <w:color w:val="000000"/>
          <w:sz w:val="18"/>
          <w:szCs w:val="18"/>
          <w:lang w:eastAsia="lv-LV"/>
        </w:rPr>
      </w:pPr>
      <w:r w:rsidRPr="002A2F04">
        <w:rPr>
          <w:rFonts w:ascii="Arial" w:eastAsia="Times New Roman" w:hAnsi="Arial" w:cs="Arial"/>
          <w:b/>
          <w:bCs/>
          <w:color w:val="000000"/>
          <w:sz w:val="14"/>
          <w:szCs w:val="14"/>
          <w:lang w:eastAsia="lv-LV"/>
        </w:rPr>
        <w:t> </w:t>
      </w:r>
      <w:r w:rsidRPr="002A2F04">
        <w:rPr>
          <w:rFonts w:ascii="Arial" w:eastAsia="Times New Roman" w:hAnsi="Arial" w:cs="Arial"/>
          <w:b/>
          <w:bCs/>
          <w:color w:val="000000"/>
          <w:sz w:val="14"/>
          <w:szCs w:val="14"/>
          <w:lang w:eastAsia="lv-LV"/>
        </w:rPr>
        <w:br/>
      </w:r>
      <w:r w:rsidRPr="002A2F04">
        <w:rPr>
          <w:rFonts w:eastAsia="Times New Roman" w:cs="Times New Roman"/>
          <w:b/>
          <w:bCs/>
          <w:sz w:val="24"/>
          <w:szCs w:val="24"/>
          <w:lang w:eastAsia="lv-LV"/>
        </w:rPr>
        <w:t>1</w:t>
      </w:r>
      <w:r>
        <w:rPr>
          <w:rFonts w:eastAsia="Times New Roman" w:cs="Times New Roman"/>
          <w:b/>
          <w:bCs/>
          <w:sz w:val="24"/>
          <w:szCs w:val="24"/>
          <w:lang w:eastAsia="lv-LV"/>
        </w:rPr>
        <w:t>9</w:t>
      </w:r>
      <w:r w:rsidRPr="002A2F04">
        <w:rPr>
          <w:rFonts w:eastAsia="Times New Roman" w:cs="Times New Roman"/>
          <w:b/>
          <w:bCs/>
          <w:sz w:val="24"/>
          <w:szCs w:val="24"/>
          <w:lang w:eastAsia="lv-LV"/>
        </w:rPr>
        <w:t>. tabula </w:t>
      </w:r>
    </w:p>
    <w:p w14:paraId="7E253133" w14:textId="77777777" w:rsidR="007B7ACF" w:rsidRPr="002A2F04" w:rsidRDefault="007B7ACF" w:rsidP="007B7ACF">
      <w:pPr>
        <w:jc w:val="center"/>
        <w:textAlignment w:val="baseline"/>
        <w:rPr>
          <w:rFonts w:ascii="Segoe UI" w:eastAsia="Times New Roman" w:hAnsi="Segoe UI" w:cs="Segoe UI"/>
          <w:b/>
          <w:bCs/>
          <w:color w:val="000000"/>
          <w:sz w:val="18"/>
          <w:szCs w:val="18"/>
          <w:lang w:eastAsia="lv-LV"/>
        </w:rPr>
      </w:pPr>
      <w:r w:rsidRPr="002A2F04">
        <w:rPr>
          <w:rFonts w:eastAsia="Times New Roman" w:cs="Times New Roman"/>
          <w:b/>
          <w:bCs/>
          <w:sz w:val="24"/>
          <w:szCs w:val="24"/>
          <w:lang w:eastAsia="lv-LV"/>
        </w:rPr>
        <w:t>Valsts atbalsta elektroenerģijas ražotājiem, aizsargātiem lietotājiem un energoietilpīgiem uzņēmumiem, VPP un NEKP pētniecības daļas īstenošanas izdevumu ietekme uz valsts budžetu pēc Eiropas Nacionālo Kontu Sistēmas (ESA), EUR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1515"/>
        <w:gridCol w:w="1515"/>
        <w:gridCol w:w="1515"/>
      </w:tblGrid>
      <w:tr w:rsidR="007B7ACF" w:rsidRPr="002A2F04" w14:paraId="6BC94D88" w14:textId="77777777" w:rsidTr="007B7ACF">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DD74CD"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 </w:t>
            </w:r>
            <w:r w:rsidRPr="002A2F04">
              <w:rPr>
                <w:rFonts w:eastAsia="Times New Roman" w:cs="Times New Roman"/>
                <w:sz w:val="24"/>
                <w:szCs w:val="24"/>
                <w:lang w:eastAsia="lv-LV"/>
              </w:rPr>
              <w:t> </w:t>
            </w:r>
          </w:p>
        </w:tc>
        <w:tc>
          <w:tcPr>
            <w:tcW w:w="1515" w:type="dxa"/>
            <w:tcBorders>
              <w:top w:val="single" w:sz="6" w:space="0" w:color="auto"/>
              <w:left w:val="single" w:sz="6" w:space="0" w:color="auto"/>
              <w:bottom w:val="nil"/>
              <w:right w:val="single" w:sz="6" w:space="0" w:color="auto"/>
            </w:tcBorders>
            <w:shd w:val="clear" w:color="auto" w:fill="auto"/>
            <w:vAlign w:val="center"/>
            <w:hideMark/>
          </w:tcPr>
          <w:p w14:paraId="11D6BF4E"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2021</w:t>
            </w:r>
            <w:r w:rsidRPr="002A2F04">
              <w:rPr>
                <w:rFonts w:eastAsia="Times New Roman" w:cs="Times New Roman"/>
                <w:sz w:val="24"/>
                <w:szCs w:val="24"/>
                <w:lang w:eastAsia="lv-LV"/>
              </w:rPr>
              <w:t> </w:t>
            </w:r>
          </w:p>
        </w:tc>
        <w:tc>
          <w:tcPr>
            <w:tcW w:w="1515" w:type="dxa"/>
            <w:tcBorders>
              <w:top w:val="single" w:sz="6" w:space="0" w:color="auto"/>
              <w:left w:val="nil"/>
              <w:bottom w:val="nil"/>
              <w:right w:val="single" w:sz="6" w:space="0" w:color="auto"/>
            </w:tcBorders>
            <w:shd w:val="clear" w:color="auto" w:fill="auto"/>
            <w:vAlign w:val="center"/>
            <w:hideMark/>
          </w:tcPr>
          <w:p w14:paraId="7675DD4A"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2022</w:t>
            </w:r>
            <w:r w:rsidRPr="002A2F04">
              <w:rPr>
                <w:rFonts w:eastAsia="Times New Roman" w:cs="Times New Roman"/>
                <w:sz w:val="24"/>
                <w:szCs w:val="24"/>
                <w:lang w:eastAsia="lv-LV"/>
              </w:rPr>
              <w:t> </w:t>
            </w:r>
          </w:p>
        </w:tc>
        <w:tc>
          <w:tcPr>
            <w:tcW w:w="1515" w:type="dxa"/>
            <w:tcBorders>
              <w:top w:val="single" w:sz="6" w:space="0" w:color="auto"/>
              <w:left w:val="nil"/>
              <w:bottom w:val="nil"/>
              <w:right w:val="single" w:sz="6" w:space="0" w:color="auto"/>
            </w:tcBorders>
            <w:shd w:val="clear" w:color="auto" w:fill="auto"/>
            <w:vAlign w:val="center"/>
            <w:hideMark/>
          </w:tcPr>
          <w:p w14:paraId="22B74470"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2023</w:t>
            </w:r>
            <w:r w:rsidRPr="002A2F04">
              <w:rPr>
                <w:rFonts w:eastAsia="Times New Roman" w:cs="Times New Roman"/>
                <w:sz w:val="24"/>
                <w:szCs w:val="24"/>
                <w:lang w:eastAsia="lv-LV"/>
              </w:rPr>
              <w:t> </w:t>
            </w:r>
          </w:p>
        </w:tc>
      </w:tr>
      <w:tr w:rsidR="007B7ACF" w:rsidRPr="002A2F04" w14:paraId="2FB7779E" w14:textId="77777777" w:rsidTr="007B7ACF">
        <w:trPr>
          <w:trHeight w:val="510"/>
        </w:trPr>
        <w:tc>
          <w:tcPr>
            <w:tcW w:w="4515" w:type="dxa"/>
            <w:tcBorders>
              <w:top w:val="nil"/>
              <w:left w:val="single" w:sz="6" w:space="0" w:color="auto"/>
              <w:bottom w:val="nil"/>
              <w:right w:val="single" w:sz="6" w:space="0" w:color="auto"/>
            </w:tcBorders>
            <w:shd w:val="clear" w:color="auto" w:fill="auto"/>
            <w:vAlign w:val="center"/>
            <w:hideMark/>
          </w:tcPr>
          <w:p w14:paraId="24B05A3C"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 </w:t>
            </w:r>
            <w:r w:rsidRPr="002A2F04">
              <w:rPr>
                <w:rFonts w:eastAsia="Times New Roman" w:cs="Times New Roman"/>
                <w:sz w:val="24"/>
                <w:szCs w:val="24"/>
                <w:lang w:eastAsia="lv-LV"/>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828525"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Prognoze</w:t>
            </w:r>
            <w:r w:rsidRPr="002A2F04">
              <w:rPr>
                <w:rFonts w:eastAsia="Times New Roman" w:cs="Times New Roman"/>
                <w:sz w:val="24"/>
                <w:szCs w:val="24"/>
                <w:lang w:eastAsia="lv-LV"/>
              </w:rPr>
              <w:t> </w:t>
            </w:r>
          </w:p>
        </w:tc>
        <w:tc>
          <w:tcPr>
            <w:tcW w:w="1515" w:type="dxa"/>
            <w:tcBorders>
              <w:top w:val="single" w:sz="6" w:space="0" w:color="auto"/>
              <w:left w:val="nil"/>
              <w:bottom w:val="single" w:sz="6" w:space="0" w:color="auto"/>
              <w:right w:val="single" w:sz="6" w:space="0" w:color="auto"/>
            </w:tcBorders>
            <w:shd w:val="clear" w:color="auto" w:fill="auto"/>
            <w:vAlign w:val="center"/>
            <w:hideMark/>
          </w:tcPr>
          <w:p w14:paraId="563A8BA5"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Prognoze</w:t>
            </w:r>
            <w:r w:rsidRPr="002A2F04">
              <w:rPr>
                <w:rFonts w:eastAsia="Times New Roman" w:cs="Times New Roman"/>
                <w:sz w:val="24"/>
                <w:szCs w:val="24"/>
                <w:lang w:eastAsia="lv-LV"/>
              </w:rPr>
              <w:t> </w:t>
            </w:r>
          </w:p>
        </w:tc>
        <w:tc>
          <w:tcPr>
            <w:tcW w:w="1515" w:type="dxa"/>
            <w:tcBorders>
              <w:top w:val="single" w:sz="6" w:space="0" w:color="auto"/>
              <w:left w:val="nil"/>
              <w:bottom w:val="single" w:sz="6" w:space="0" w:color="auto"/>
              <w:right w:val="single" w:sz="6" w:space="0" w:color="auto"/>
            </w:tcBorders>
            <w:shd w:val="clear" w:color="auto" w:fill="auto"/>
            <w:vAlign w:val="center"/>
            <w:hideMark/>
          </w:tcPr>
          <w:p w14:paraId="1F0C236B"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Prognoze</w:t>
            </w:r>
            <w:r w:rsidRPr="002A2F04">
              <w:rPr>
                <w:rFonts w:eastAsia="Times New Roman" w:cs="Times New Roman"/>
                <w:sz w:val="24"/>
                <w:szCs w:val="24"/>
                <w:lang w:eastAsia="lv-LV"/>
              </w:rPr>
              <w:t> </w:t>
            </w:r>
          </w:p>
        </w:tc>
      </w:tr>
      <w:tr w:rsidR="007B7ACF" w:rsidRPr="002A2F04" w14:paraId="612A0011" w14:textId="77777777" w:rsidTr="007B7ACF">
        <w:trPr>
          <w:trHeight w:val="510"/>
        </w:trPr>
        <w:tc>
          <w:tcPr>
            <w:tcW w:w="4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74C7A2"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Valsts budžeta izdevumi</w:t>
            </w:r>
            <w:r w:rsidRPr="002A2F04">
              <w:rPr>
                <w:rFonts w:eastAsia="Times New Roman" w:cs="Times New Roman"/>
                <w:sz w:val="24"/>
                <w:szCs w:val="24"/>
                <w:lang w:eastAsia="lv-LV"/>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1B6686"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69 640 000</w:t>
            </w:r>
            <w:r w:rsidRPr="002A2F04">
              <w:rPr>
                <w:rFonts w:eastAsia="Times New Roman" w:cs="Times New Roman"/>
                <w:sz w:val="24"/>
                <w:szCs w:val="24"/>
                <w:lang w:eastAsia="lv-LV"/>
              </w:rPr>
              <w:t> </w:t>
            </w:r>
          </w:p>
        </w:tc>
        <w:tc>
          <w:tcPr>
            <w:tcW w:w="1515" w:type="dxa"/>
            <w:tcBorders>
              <w:top w:val="single" w:sz="6" w:space="0" w:color="auto"/>
              <w:left w:val="nil"/>
              <w:bottom w:val="single" w:sz="6" w:space="0" w:color="auto"/>
              <w:right w:val="single" w:sz="6" w:space="0" w:color="auto"/>
            </w:tcBorders>
            <w:shd w:val="clear" w:color="auto" w:fill="auto"/>
            <w:vAlign w:val="center"/>
            <w:hideMark/>
          </w:tcPr>
          <w:p w14:paraId="1138DFE6"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59 500 000</w:t>
            </w:r>
            <w:r w:rsidRPr="002A2F04">
              <w:rPr>
                <w:rFonts w:eastAsia="Times New Roman" w:cs="Times New Roman"/>
                <w:sz w:val="24"/>
                <w:szCs w:val="24"/>
                <w:lang w:eastAsia="lv-LV"/>
              </w:rPr>
              <w:t> </w:t>
            </w:r>
          </w:p>
        </w:tc>
        <w:tc>
          <w:tcPr>
            <w:tcW w:w="1515" w:type="dxa"/>
            <w:tcBorders>
              <w:top w:val="single" w:sz="6" w:space="0" w:color="auto"/>
              <w:left w:val="nil"/>
              <w:bottom w:val="single" w:sz="6" w:space="0" w:color="auto"/>
              <w:right w:val="single" w:sz="6" w:space="0" w:color="auto"/>
            </w:tcBorders>
            <w:shd w:val="clear" w:color="auto" w:fill="auto"/>
            <w:vAlign w:val="center"/>
            <w:hideMark/>
          </w:tcPr>
          <w:p w14:paraId="4DF23D64"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43 349 803</w:t>
            </w:r>
            <w:r w:rsidRPr="002A2F04">
              <w:rPr>
                <w:rFonts w:eastAsia="Times New Roman" w:cs="Times New Roman"/>
                <w:sz w:val="24"/>
                <w:szCs w:val="24"/>
                <w:lang w:eastAsia="lv-LV"/>
              </w:rPr>
              <w:t> </w:t>
            </w:r>
          </w:p>
        </w:tc>
      </w:tr>
      <w:tr w:rsidR="007B7ACF" w:rsidRPr="002A2F04" w14:paraId="67A5E6B0" w14:textId="77777777" w:rsidTr="007B7ACF">
        <w:trPr>
          <w:trHeight w:val="300"/>
        </w:trPr>
        <w:tc>
          <w:tcPr>
            <w:tcW w:w="4515" w:type="dxa"/>
            <w:tcBorders>
              <w:top w:val="nil"/>
              <w:left w:val="single" w:sz="6" w:space="0" w:color="auto"/>
              <w:bottom w:val="single" w:sz="6" w:space="0" w:color="auto"/>
              <w:right w:val="single" w:sz="6" w:space="0" w:color="auto"/>
            </w:tcBorders>
            <w:shd w:val="clear" w:color="auto" w:fill="auto"/>
            <w:vAlign w:val="center"/>
            <w:hideMark/>
          </w:tcPr>
          <w:p w14:paraId="235164BE"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Valsts atbalsta dotācija elektroenerģijas ražotājiem (Ietekme) </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929B54"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24 688 226 </w:t>
            </w:r>
          </w:p>
        </w:tc>
        <w:tc>
          <w:tcPr>
            <w:tcW w:w="1515" w:type="dxa"/>
            <w:tcBorders>
              <w:top w:val="single" w:sz="6" w:space="0" w:color="auto"/>
              <w:left w:val="nil"/>
              <w:bottom w:val="single" w:sz="6" w:space="0" w:color="auto"/>
              <w:right w:val="single" w:sz="6" w:space="0" w:color="auto"/>
            </w:tcBorders>
            <w:shd w:val="clear" w:color="auto" w:fill="FFFFFF"/>
            <w:vAlign w:val="center"/>
            <w:hideMark/>
          </w:tcPr>
          <w:p w14:paraId="075D91E1"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14 496 400 </w:t>
            </w:r>
          </w:p>
        </w:tc>
        <w:tc>
          <w:tcPr>
            <w:tcW w:w="1515" w:type="dxa"/>
            <w:tcBorders>
              <w:top w:val="single" w:sz="6" w:space="0" w:color="auto"/>
              <w:left w:val="nil"/>
              <w:bottom w:val="single" w:sz="6" w:space="0" w:color="auto"/>
              <w:right w:val="single" w:sz="6" w:space="0" w:color="auto"/>
            </w:tcBorders>
            <w:shd w:val="clear" w:color="auto" w:fill="FFFFFF"/>
            <w:vAlign w:val="center"/>
            <w:hideMark/>
          </w:tcPr>
          <w:p w14:paraId="2BB2063C"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-1 653 797 </w:t>
            </w:r>
          </w:p>
        </w:tc>
      </w:tr>
      <w:tr w:rsidR="007B7ACF" w:rsidRPr="002A2F04" w14:paraId="2902F08C" w14:textId="77777777" w:rsidTr="007B7ACF">
        <w:trPr>
          <w:trHeight w:val="300"/>
        </w:trPr>
        <w:tc>
          <w:tcPr>
            <w:tcW w:w="4515" w:type="dxa"/>
            <w:tcBorders>
              <w:top w:val="nil"/>
              <w:left w:val="single" w:sz="6" w:space="0" w:color="auto"/>
              <w:bottom w:val="single" w:sz="6" w:space="0" w:color="auto"/>
              <w:right w:val="single" w:sz="6" w:space="0" w:color="auto"/>
            </w:tcBorders>
            <w:shd w:val="clear" w:color="auto" w:fill="auto"/>
            <w:vAlign w:val="center"/>
            <w:hideMark/>
          </w:tcPr>
          <w:p w14:paraId="628FE54C"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Valsts atbalsta dotācija energoietilpīgo uzņēmumu atbalstam </w:t>
            </w:r>
          </w:p>
        </w:tc>
        <w:tc>
          <w:tcPr>
            <w:tcW w:w="1515" w:type="dxa"/>
            <w:tcBorders>
              <w:top w:val="nil"/>
              <w:left w:val="single" w:sz="6" w:space="0" w:color="auto"/>
              <w:bottom w:val="single" w:sz="6" w:space="0" w:color="auto"/>
              <w:right w:val="single" w:sz="6" w:space="0" w:color="auto"/>
            </w:tcBorders>
            <w:shd w:val="clear" w:color="auto" w:fill="FFFFFF"/>
            <w:vAlign w:val="center"/>
            <w:hideMark/>
          </w:tcPr>
          <w:p w14:paraId="455C7C03"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7 000 000 </w:t>
            </w:r>
          </w:p>
        </w:tc>
        <w:tc>
          <w:tcPr>
            <w:tcW w:w="1515" w:type="dxa"/>
            <w:tcBorders>
              <w:top w:val="nil"/>
              <w:left w:val="nil"/>
              <w:bottom w:val="single" w:sz="6" w:space="0" w:color="auto"/>
              <w:right w:val="single" w:sz="6" w:space="0" w:color="auto"/>
            </w:tcBorders>
            <w:shd w:val="clear" w:color="auto" w:fill="FFFFFF"/>
            <w:vAlign w:val="center"/>
            <w:hideMark/>
          </w:tcPr>
          <w:p w14:paraId="080E4C0C"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7 000 000 </w:t>
            </w:r>
          </w:p>
        </w:tc>
        <w:tc>
          <w:tcPr>
            <w:tcW w:w="1515" w:type="dxa"/>
            <w:tcBorders>
              <w:top w:val="nil"/>
              <w:left w:val="nil"/>
              <w:bottom w:val="single" w:sz="6" w:space="0" w:color="auto"/>
              <w:right w:val="single" w:sz="6" w:space="0" w:color="auto"/>
            </w:tcBorders>
            <w:shd w:val="clear" w:color="auto" w:fill="FFFFFF"/>
            <w:vAlign w:val="center"/>
            <w:hideMark/>
          </w:tcPr>
          <w:p w14:paraId="27880A61"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7 000 000 </w:t>
            </w:r>
          </w:p>
        </w:tc>
      </w:tr>
      <w:tr w:rsidR="007B7ACF" w:rsidRPr="002A2F04" w14:paraId="054D260D" w14:textId="77777777" w:rsidTr="007B7ACF">
        <w:trPr>
          <w:trHeight w:val="300"/>
        </w:trPr>
        <w:tc>
          <w:tcPr>
            <w:tcW w:w="4515" w:type="dxa"/>
            <w:tcBorders>
              <w:top w:val="nil"/>
              <w:left w:val="single" w:sz="6" w:space="0" w:color="auto"/>
              <w:bottom w:val="single" w:sz="6" w:space="0" w:color="auto"/>
              <w:right w:val="single" w:sz="6" w:space="0" w:color="auto"/>
            </w:tcBorders>
            <w:shd w:val="clear" w:color="auto" w:fill="auto"/>
            <w:vAlign w:val="center"/>
            <w:hideMark/>
          </w:tcPr>
          <w:p w14:paraId="70D3055F"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lastRenderedPageBreak/>
              <w:t>Avansa maksājums jaudas maksājuma kompensācijai </w:t>
            </w:r>
          </w:p>
        </w:tc>
        <w:tc>
          <w:tcPr>
            <w:tcW w:w="1515" w:type="dxa"/>
            <w:tcBorders>
              <w:top w:val="nil"/>
              <w:left w:val="single" w:sz="6" w:space="0" w:color="auto"/>
              <w:bottom w:val="single" w:sz="6" w:space="0" w:color="auto"/>
              <w:right w:val="single" w:sz="6" w:space="0" w:color="auto"/>
            </w:tcBorders>
            <w:shd w:val="clear" w:color="auto" w:fill="FFFFFF"/>
            <w:vAlign w:val="center"/>
            <w:hideMark/>
          </w:tcPr>
          <w:p w14:paraId="6A81F788"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24 003 600 </w:t>
            </w:r>
          </w:p>
        </w:tc>
        <w:tc>
          <w:tcPr>
            <w:tcW w:w="1515" w:type="dxa"/>
            <w:tcBorders>
              <w:top w:val="nil"/>
              <w:left w:val="nil"/>
              <w:bottom w:val="single" w:sz="6" w:space="0" w:color="auto"/>
              <w:right w:val="single" w:sz="6" w:space="0" w:color="auto"/>
            </w:tcBorders>
            <w:shd w:val="clear" w:color="auto" w:fill="FFFFFF"/>
            <w:vAlign w:val="center"/>
            <w:hideMark/>
          </w:tcPr>
          <w:p w14:paraId="17021D83"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24 003 600 </w:t>
            </w:r>
          </w:p>
        </w:tc>
        <w:tc>
          <w:tcPr>
            <w:tcW w:w="1515" w:type="dxa"/>
            <w:tcBorders>
              <w:top w:val="nil"/>
              <w:left w:val="nil"/>
              <w:bottom w:val="single" w:sz="6" w:space="0" w:color="auto"/>
              <w:right w:val="single" w:sz="6" w:space="0" w:color="auto"/>
            </w:tcBorders>
            <w:shd w:val="clear" w:color="auto" w:fill="FFFFFF"/>
            <w:vAlign w:val="center"/>
            <w:hideMark/>
          </w:tcPr>
          <w:p w14:paraId="4732DCCB"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24 003 600 </w:t>
            </w:r>
          </w:p>
        </w:tc>
      </w:tr>
      <w:tr w:rsidR="007B7ACF" w:rsidRPr="002A2F04" w14:paraId="20F32F2C" w14:textId="77777777" w:rsidTr="007B7ACF">
        <w:trPr>
          <w:trHeight w:val="300"/>
        </w:trPr>
        <w:tc>
          <w:tcPr>
            <w:tcW w:w="4515" w:type="dxa"/>
            <w:tcBorders>
              <w:top w:val="nil"/>
              <w:left w:val="single" w:sz="6" w:space="0" w:color="auto"/>
              <w:bottom w:val="single" w:sz="6" w:space="0" w:color="auto"/>
              <w:right w:val="single" w:sz="6" w:space="0" w:color="auto"/>
            </w:tcBorders>
            <w:shd w:val="clear" w:color="auto" w:fill="auto"/>
            <w:vAlign w:val="center"/>
            <w:hideMark/>
          </w:tcPr>
          <w:p w14:paraId="7BB96D14"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Aizsargāto lietotāju atbalsta finansējums </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9A867D"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12 000 000 </w:t>
            </w:r>
          </w:p>
        </w:tc>
        <w:tc>
          <w:tcPr>
            <w:tcW w:w="1515" w:type="dxa"/>
            <w:tcBorders>
              <w:top w:val="single" w:sz="6" w:space="0" w:color="auto"/>
              <w:left w:val="nil"/>
              <w:bottom w:val="single" w:sz="6" w:space="0" w:color="auto"/>
              <w:right w:val="single" w:sz="6" w:space="0" w:color="auto"/>
            </w:tcBorders>
            <w:shd w:val="clear" w:color="auto" w:fill="FFFFFF"/>
            <w:vAlign w:val="center"/>
            <w:hideMark/>
          </w:tcPr>
          <w:p w14:paraId="2A262461"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12 000 000 </w:t>
            </w:r>
          </w:p>
        </w:tc>
        <w:tc>
          <w:tcPr>
            <w:tcW w:w="1515" w:type="dxa"/>
            <w:tcBorders>
              <w:top w:val="single" w:sz="6" w:space="0" w:color="auto"/>
              <w:left w:val="nil"/>
              <w:bottom w:val="single" w:sz="6" w:space="0" w:color="auto"/>
              <w:right w:val="single" w:sz="6" w:space="0" w:color="auto"/>
            </w:tcBorders>
            <w:shd w:val="clear" w:color="auto" w:fill="FFFFFF"/>
            <w:vAlign w:val="center"/>
            <w:hideMark/>
          </w:tcPr>
          <w:p w14:paraId="144E7535"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12 000 000 </w:t>
            </w:r>
          </w:p>
        </w:tc>
      </w:tr>
      <w:tr w:rsidR="007B7ACF" w:rsidRPr="002A2F04" w14:paraId="309A256A" w14:textId="77777777" w:rsidTr="007B7ACF">
        <w:trPr>
          <w:trHeight w:val="300"/>
        </w:trPr>
        <w:tc>
          <w:tcPr>
            <w:tcW w:w="4515" w:type="dxa"/>
            <w:tcBorders>
              <w:top w:val="nil"/>
              <w:left w:val="single" w:sz="6" w:space="0" w:color="auto"/>
              <w:bottom w:val="single" w:sz="6" w:space="0" w:color="auto"/>
              <w:right w:val="single" w:sz="6" w:space="0" w:color="auto"/>
            </w:tcBorders>
            <w:shd w:val="clear" w:color="auto" w:fill="auto"/>
            <w:vAlign w:val="center"/>
            <w:hideMark/>
          </w:tcPr>
          <w:p w14:paraId="2C657850"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NEKP pētniecības daļas īstenošana, t.sk. administrēšanas vajadzībām </w:t>
            </w:r>
          </w:p>
        </w:tc>
        <w:tc>
          <w:tcPr>
            <w:tcW w:w="1515" w:type="dxa"/>
            <w:tcBorders>
              <w:top w:val="nil"/>
              <w:left w:val="single" w:sz="6" w:space="0" w:color="auto"/>
              <w:bottom w:val="single" w:sz="6" w:space="0" w:color="auto"/>
              <w:right w:val="single" w:sz="6" w:space="0" w:color="auto"/>
            </w:tcBorders>
            <w:shd w:val="clear" w:color="auto" w:fill="FFFFFF"/>
            <w:vAlign w:val="center"/>
            <w:hideMark/>
          </w:tcPr>
          <w:p w14:paraId="4BC559EC"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1 403 014 </w:t>
            </w:r>
          </w:p>
        </w:tc>
        <w:tc>
          <w:tcPr>
            <w:tcW w:w="1515" w:type="dxa"/>
            <w:tcBorders>
              <w:top w:val="nil"/>
              <w:left w:val="nil"/>
              <w:bottom w:val="single" w:sz="6" w:space="0" w:color="auto"/>
              <w:right w:val="single" w:sz="6" w:space="0" w:color="auto"/>
            </w:tcBorders>
            <w:shd w:val="clear" w:color="auto" w:fill="FFFFFF"/>
            <w:vAlign w:val="center"/>
            <w:hideMark/>
          </w:tcPr>
          <w:p w14:paraId="6D1789CC"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2 000 000 </w:t>
            </w:r>
          </w:p>
        </w:tc>
        <w:tc>
          <w:tcPr>
            <w:tcW w:w="1515" w:type="dxa"/>
            <w:tcBorders>
              <w:top w:val="nil"/>
              <w:left w:val="nil"/>
              <w:bottom w:val="single" w:sz="6" w:space="0" w:color="auto"/>
              <w:right w:val="single" w:sz="6" w:space="0" w:color="auto"/>
            </w:tcBorders>
            <w:shd w:val="clear" w:color="auto" w:fill="FFFFFF"/>
            <w:vAlign w:val="center"/>
            <w:hideMark/>
          </w:tcPr>
          <w:p w14:paraId="3B0E59DC"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2 000 000 </w:t>
            </w:r>
          </w:p>
        </w:tc>
      </w:tr>
      <w:tr w:rsidR="007B7ACF" w:rsidRPr="002A2F04" w14:paraId="54E25737" w14:textId="77777777" w:rsidTr="007B7ACF">
        <w:trPr>
          <w:trHeight w:val="300"/>
        </w:trPr>
        <w:tc>
          <w:tcPr>
            <w:tcW w:w="4515" w:type="dxa"/>
            <w:tcBorders>
              <w:top w:val="nil"/>
              <w:left w:val="single" w:sz="6" w:space="0" w:color="auto"/>
              <w:bottom w:val="single" w:sz="6" w:space="0" w:color="auto"/>
              <w:right w:val="single" w:sz="6" w:space="0" w:color="auto"/>
            </w:tcBorders>
            <w:shd w:val="clear" w:color="auto" w:fill="auto"/>
            <w:vAlign w:val="center"/>
            <w:hideMark/>
          </w:tcPr>
          <w:p w14:paraId="249A1AD7"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VPP īstenošana, t.sk. administrēšanas vajadzībām </w:t>
            </w:r>
          </w:p>
        </w:tc>
        <w:tc>
          <w:tcPr>
            <w:tcW w:w="1515" w:type="dxa"/>
            <w:tcBorders>
              <w:top w:val="nil"/>
              <w:left w:val="single" w:sz="6" w:space="0" w:color="auto"/>
              <w:bottom w:val="single" w:sz="6" w:space="0" w:color="auto"/>
              <w:right w:val="single" w:sz="6" w:space="0" w:color="auto"/>
            </w:tcBorders>
            <w:shd w:val="clear" w:color="auto" w:fill="FFFFFF"/>
            <w:vAlign w:val="center"/>
            <w:hideMark/>
          </w:tcPr>
          <w:p w14:paraId="470480F2"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545 160 </w:t>
            </w:r>
          </w:p>
        </w:tc>
        <w:tc>
          <w:tcPr>
            <w:tcW w:w="1515" w:type="dxa"/>
            <w:tcBorders>
              <w:top w:val="nil"/>
              <w:left w:val="nil"/>
              <w:bottom w:val="single" w:sz="6" w:space="0" w:color="auto"/>
              <w:right w:val="single" w:sz="6" w:space="0" w:color="auto"/>
            </w:tcBorders>
            <w:shd w:val="clear" w:color="auto" w:fill="FFFFFF"/>
            <w:vAlign w:val="center"/>
            <w:hideMark/>
          </w:tcPr>
          <w:p w14:paraId="12D3B1C3"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0 </w:t>
            </w:r>
          </w:p>
        </w:tc>
        <w:tc>
          <w:tcPr>
            <w:tcW w:w="1515" w:type="dxa"/>
            <w:tcBorders>
              <w:top w:val="nil"/>
              <w:left w:val="nil"/>
              <w:bottom w:val="single" w:sz="6" w:space="0" w:color="auto"/>
              <w:right w:val="single" w:sz="6" w:space="0" w:color="auto"/>
            </w:tcBorders>
            <w:shd w:val="clear" w:color="auto" w:fill="FFFFFF"/>
            <w:vAlign w:val="center"/>
            <w:hideMark/>
          </w:tcPr>
          <w:p w14:paraId="5E574441"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0 </w:t>
            </w:r>
          </w:p>
        </w:tc>
      </w:tr>
      <w:tr w:rsidR="007B7ACF" w:rsidRPr="002A2F04" w14:paraId="45D407B5" w14:textId="77777777" w:rsidTr="007B7ACF">
        <w:trPr>
          <w:trHeight w:val="300"/>
        </w:trPr>
        <w:tc>
          <w:tcPr>
            <w:tcW w:w="4515" w:type="dxa"/>
            <w:tcBorders>
              <w:top w:val="single" w:sz="6" w:space="0" w:color="auto"/>
              <w:left w:val="single" w:sz="6" w:space="0" w:color="auto"/>
              <w:bottom w:val="single" w:sz="6" w:space="0" w:color="auto"/>
              <w:right w:val="nil"/>
            </w:tcBorders>
            <w:shd w:val="clear" w:color="auto" w:fill="auto"/>
            <w:vAlign w:val="center"/>
            <w:hideMark/>
          </w:tcPr>
          <w:p w14:paraId="0A38BE83"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Valsts budžeta ieņēmumi</w:t>
            </w:r>
            <w:r w:rsidRPr="002A2F04">
              <w:rPr>
                <w:rFonts w:eastAsia="Times New Roman" w:cs="Times New Roman"/>
                <w:sz w:val="24"/>
                <w:szCs w:val="24"/>
                <w:lang w:eastAsia="lv-LV"/>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F15FC9"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69 640 000</w:t>
            </w:r>
            <w:r w:rsidRPr="002A2F04">
              <w:rPr>
                <w:rFonts w:eastAsia="Times New Roman" w:cs="Times New Roman"/>
                <w:sz w:val="24"/>
                <w:szCs w:val="24"/>
                <w:lang w:eastAsia="lv-LV"/>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484B3"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59 500 000</w:t>
            </w:r>
            <w:r w:rsidRPr="002A2F04">
              <w:rPr>
                <w:rFonts w:eastAsia="Times New Roman" w:cs="Times New Roman"/>
                <w:sz w:val="24"/>
                <w:szCs w:val="24"/>
                <w:lang w:eastAsia="lv-LV"/>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3A956"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43 349 803</w:t>
            </w:r>
            <w:r w:rsidRPr="002A2F04">
              <w:rPr>
                <w:rFonts w:eastAsia="Times New Roman" w:cs="Times New Roman"/>
                <w:sz w:val="24"/>
                <w:szCs w:val="24"/>
                <w:lang w:eastAsia="lv-LV"/>
              </w:rPr>
              <w:t> </w:t>
            </w:r>
          </w:p>
        </w:tc>
      </w:tr>
      <w:tr w:rsidR="007B7ACF" w:rsidRPr="002A2F04" w14:paraId="2CBA3937" w14:textId="77777777" w:rsidTr="007B7ACF">
        <w:trPr>
          <w:trHeight w:val="930"/>
        </w:trPr>
        <w:tc>
          <w:tcPr>
            <w:tcW w:w="4515" w:type="dxa"/>
            <w:tcBorders>
              <w:top w:val="single" w:sz="6" w:space="0" w:color="auto"/>
              <w:left w:val="single" w:sz="6" w:space="0" w:color="auto"/>
              <w:bottom w:val="single" w:sz="6" w:space="0" w:color="auto"/>
              <w:right w:val="nil"/>
            </w:tcBorders>
            <w:shd w:val="clear" w:color="auto" w:fill="auto"/>
            <w:vAlign w:val="center"/>
            <w:hideMark/>
          </w:tcPr>
          <w:p w14:paraId="72387ED2"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AS "Latvenergo" dividendes elektroenerģijas ražotāju, aizsargāto lietotāju un energoietilpīgo uzņēmumu vajadzībām </w:t>
            </w:r>
          </w:p>
        </w:tc>
        <w:tc>
          <w:tcPr>
            <w:tcW w:w="1515" w:type="dxa"/>
            <w:tcBorders>
              <w:top w:val="nil"/>
              <w:left w:val="single" w:sz="6" w:space="0" w:color="auto"/>
              <w:bottom w:val="single" w:sz="6" w:space="0" w:color="auto"/>
              <w:right w:val="single" w:sz="6" w:space="0" w:color="auto"/>
            </w:tcBorders>
            <w:shd w:val="clear" w:color="auto" w:fill="auto"/>
            <w:vAlign w:val="center"/>
            <w:hideMark/>
          </w:tcPr>
          <w:p w14:paraId="7C6636D8"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69 640 000 </w:t>
            </w:r>
          </w:p>
        </w:tc>
        <w:tc>
          <w:tcPr>
            <w:tcW w:w="1515" w:type="dxa"/>
            <w:tcBorders>
              <w:top w:val="nil"/>
              <w:left w:val="single" w:sz="6" w:space="0" w:color="auto"/>
              <w:bottom w:val="single" w:sz="6" w:space="0" w:color="auto"/>
              <w:right w:val="single" w:sz="6" w:space="0" w:color="auto"/>
            </w:tcBorders>
            <w:shd w:val="clear" w:color="auto" w:fill="auto"/>
            <w:vAlign w:val="center"/>
            <w:hideMark/>
          </w:tcPr>
          <w:p w14:paraId="785306B5"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59 500 000 </w:t>
            </w:r>
          </w:p>
        </w:tc>
        <w:tc>
          <w:tcPr>
            <w:tcW w:w="1515" w:type="dxa"/>
            <w:tcBorders>
              <w:top w:val="nil"/>
              <w:left w:val="single" w:sz="6" w:space="0" w:color="auto"/>
              <w:bottom w:val="single" w:sz="6" w:space="0" w:color="auto"/>
              <w:right w:val="single" w:sz="6" w:space="0" w:color="auto"/>
            </w:tcBorders>
            <w:shd w:val="clear" w:color="auto" w:fill="auto"/>
            <w:vAlign w:val="center"/>
            <w:hideMark/>
          </w:tcPr>
          <w:p w14:paraId="243552E7"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43 349 803 </w:t>
            </w:r>
          </w:p>
        </w:tc>
      </w:tr>
      <w:tr w:rsidR="007B7ACF" w:rsidRPr="002A2F04" w14:paraId="32ADEC2A" w14:textId="77777777" w:rsidTr="007B7ACF">
        <w:trPr>
          <w:trHeight w:val="525"/>
        </w:trPr>
        <w:tc>
          <w:tcPr>
            <w:tcW w:w="4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1CFE3"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Bilance</w:t>
            </w:r>
            <w:r w:rsidRPr="002A2F04">
              <w:rPr>
                <w:rFonts w:eastAsia="Times New Roman" w:cs="Times New Roman"/>
                <w:sz w:val="24"/>
                <w:szCs w:val="24"/>
                <w:lang w:eastAsia="lv-LV"/>
              </w:rPr>
              <w:t> </w:t>
            </w:r>
          </w:p>
        </w:tc>
        <w:tc>
          <w:tcPr>
            <w:tcW w:w="1515" w:type="dxa"/>
            <w:tcBorders>
              <w:top w:val="nil"/>
              <w:left w:val="single" w:sz="6" w:space="0" w:color="auto"/>
              <w:bottom w:val="single" w:sz="6" w:space="0" w:color="auto"/>
              <w:right w:val="single" w:sz="6" w:space="0" w:color="auto"/>
            </w:tcBorders>
            <w:shd w:val="clear" w:color="auto" w:fill="auto"/>
            <w:vAlign w:val="center"/>
            <w:hideMark/>
          </w:tcPr>
          <w:p w14:paraId="350140A9"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0</w:t>
            </w:r>
            <w:r w:rsidRPr="002A2F04">
              <w:rPr>
                <w:rFonts w:eastAsia="Times New Roman" w:cs="Times New Roman"/>
                <w:sz w:val="24"/>
                <w:szCs w:val="24"/>
                <w:lang w:eastAsia="lv-LV"/>
              </w:rPr>
              <w:t> </w:t>
            </w:r>
          </w:p>
        </w:tc>
        <w:tc>
          <w:tcPr>
            <w:tcW w:w="1515" w:type="dxa"/>
            <w:tcBorders>
              <w:top w:val="nil"/>
              <w:left w:val="single" w:sz="6" w:space="0" w:color="auto"/>
              <w:bottom w:val="single" w:sz="6" w:space="0" w:color="auto"/>
              <w:right w:val="single" w:sz="6" w:space="0" w:color="auto"/>
            </w:tcBorders>
            <w:shd w:val="clear" w:color="auto" w:fill="auto"/>
            <w:vAlign w:val="center"/>
            <w:hideMark/>
          </w:tcPr>
          <w:p w14:paraId="0C1A5D5A"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0</w:t>
            </w:r>
            <w:r w:rsidRPr="002A2F04">
              <w:rPr>
                <w:rFonts w:eastAsia="Times New Roman" w:cs="Times New Roman"/>
                <w:sz w:val="24"/>
                <w:szCs w:val="24"/>
                <w:lang w:eastAsia="lv-LV"/>
              </w:rPr>
              <w:t> </w:t>
            </w:r>
          </w:p>
        </w:tc>
        <w:tc>
          <w:tcPr>
            <w:tcW w:w="1515" w:type="dxa"/>
            <w:tcBorders>
              <w:top w:val="nil"/>
              <w:left w:val="single" w:sz="6" w:space="0" w:color="auto"/>
              <w:bottom w:val="single" w:sz="6" w:space="0" w:color="auto"/>
              <w:right w:val="single" w:sz="6" w:space="0" w:color="auto"/>
            </w:tcBorders>
            <w:shd w:val="clear" w:color="auto" w:fill="auto"/>
            <w:vAlign w:val="center"/>
            <w:hideMark/>
          </w:tcPr>
          <w:p w14:paraId="6A7C03E2"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0</w:t>
            </w:r>
            <w:r w:rsidRPr="002A2F04">
              <w:rPr>
                <w:rFonts w:eastAsia="Times New Roman" w:cs="Times New Roman"/>
                <w:sz w:val="24"/>
                <w:szCs w:val="24"/>
                <w:lang w:eastAsia="lv-LV"/>
              </w:rPr>
              <w:t> </w:t>
            </w:r>
          </w:p>
        </w:tc>
      </w:tr>
    </w:tbl>
    <w:p w14:paraId="5549D2C9" w14:textId="77777777" w:rsidR="007B7ACF" w:rsidRPr="002A2F04" w:rsidRDefault="007B7ACF" w:rsidP="007B7ACF">
      <w:pPr>
        <w:jc w:val="right"/>
        <w:textAlignment w:val="baseline"/>
        <w:rPr>
          <w:rFonts w:ascii="Segoe UI" w:eastAsia="Times New Roman" w:hAnsi="Segoe UI" w:cs="Segoe UI"/>
          <w:b/>
          <w:bCs/>
          <w:color w:val="000000"/>
          <w:sz w:val="18"/>
          <w:szCs w:val="18"/>
          <w:lang w:eastAsia="lv-LV"/>
        </w:rPr>
      </w:pPr>
      <w:r w:rsidRPr="002A2F04">
        <w:rPr>
          <w:rFonts w:eastAsia="Times New Roman" w:cs="Times New Roman"/>
          <w:b/>
          <w:bCs/>
          <w:sz w:val="24"/>
          <w:szCs w:val="24"/>
          <w:lang w:eastAsia="lv-LV"/>
        </w:rPr>
        <w:t> </w:t>
      </w:r>
    </w:p>
    <w:p w14:paraId="0C284675" w14:textId="129E3843" w:rsidR="007B7ACF" w:rsidRPr="002A2F04" w:rsidRDefault="007B7ACF" w:rsidP="007B7ACF">
      <w:pPr>
        <w:jc w:val="right"/>
        <w:textAlignment w:val="baseline"/>
        <w:rPr>
          <w:rFonts w:ascii="Segoe UI" w:eastAsia="Times New Roman" w:hAnsi="Segoe UI" w:cs="Segoe UI"/>
          <w:b/>
          <w:bCs/>
          <w:color w:val="000000"/>
          <w:sz w:val="18"/>
          <w:szCs w:val="18"/>
          <w:lang w:eastAsia="lv-LV"/>
        </w:rPr>
      </w:pPr>
      <w:r w:rsidRPr="002A2F04">
        <w:rPr>
          <w:rFonts w:eastAsia="Times New Roman" w:cs="Times New Roman"/>
          <w:b/>
          <w:bCs/>
          <w:sz w:val="24"/>
          <w:szCs w:val="24"/>
          <w:lang w:eastAsia="lv-LV"/>
        </w:rPr>
        <w:t>2</w:t>
      </w:r>
      <w:r>
        <w:rPr>
          <w:rFonts w:eastAsia="Times New Roman" w:cs="Times New Roman"/>
          <w:b/>
          <w:bCs/>
          <w:sz w:val="24"/>
          <w:szCs w:val="24"/>
          <w:lang w:eastAsia="lv-LV"/>
        </w:rPr>
        <w:t>0</w:t>
      </w:r>
      <w:r w:rsidRPr="002A2F04">
        <w:rPr>
          <w:rFonts w:eastAsia="Times New Roman" w:cs="Times New Roman"/>
          <w:b/>
          <w:bCs/>
          <w:sz w:val="24"/>
          <w:szCs w:val="24"/>
          <w:lang w:eastAsia="lv-LV"/>
        </w:rPr>
        <w:t>. tabula </w:t>
      </w:r>
    </w:p>
    <w:p w14:paraId="0023BD64" w14:textId="77777777" w:rsidR="007B7ACF" w:rsidRPr="002A2F04" w:rsidRDefault="007B7ACF" w:rsidP="007B7ACF">
      <w:pPr>
        <w:jc w:val="center"/>
        <w:textAlignment w:val="baseline"/>
        <w:rPr>
          <w:rFonts w:ascii="Segoe UI" w:eastAsia="Times New Roman" w:hAnsi="Segoe UI" w:cs="Segoe UI"/>
          <w:b/>
          <w:bCs/>
          <w:color w:val="000000"/>
          <w:sz w:val="18"/>
          <w:szCs w:val="18"/>
          <w:lang w:eastAsia="lv-LV"/>
        </w:rPr>
      </w:pPr>
      <w:r w:rsidRPr="002A2F04">
        <w:rPr>
          <w:rFonts w:eastAsia="Times New Roman" w:cs="Times New Roman"/>
          <w:b/>
          <w:bCs/>
          <w:sz w:val="24"/>
          <w:szCs w:val="24"/>
          <w:lang w:eastAsia="lv-LV"/>
        </w:rPr>
        <w:t>Valsts budžetā paredzamais finansējums OIK, aizsargāto lietotāju, energoietilpīgo uzņēmumu atbalsta, VPP un NEKP pētniecības daļas īstenošanas, pēc naudas plūsmas metodes, EUR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1515"/>
        <w:gridCol w:w="1515"/>
        <w:gridCol w:w="1530"/>
      </w:tblGrid>
      <w:tr w:rsidR="007B7ACF" w:rsidRPr="002A2F04" w14:paraId="6713C226" w14:textId="77777777" w:rsidTr="007B7ACF">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25525B"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  </w:t>
            </w:r>
          </w:p>
        </w:tc>
        <w:tc>
          <w:tcPr>
            <w:tcW w:w="1515" w:type="dxa"/>
            <w:tcBorders>
              <w:top w:val="single" w:sz="6" w:space="0" w:color="auto"/>
              <w:left w:val="nil"/>
              <w:bottom w:val="nil"/>
              <w:right w:val="single" w:sz="6" w:space="0" w:color="auto"/>
            </w:tcBorders>
            <w:shd w:val="clear" w:color="auto" w:fill="auto"/>
            <w:vAlign w:val="center"/>
            <w:hideMark/>
          </w:tcPr>
          <w:p w14:paraId="10D573A2"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2021</w:t>
            </w:r>
            <w:r w:rsidRPr="002A2F04">
              <w:rPr>
                <w:rFonts w:eastAsia="Times New Roman" w:cs="Times New Roman"/>
                <w:sz w:val="24"/>
                <w:szCs w:val="24"/>
                <w:lang w:eastAsia="lv-LV"/>
              </w:rPr>
              <w:t> </w:t>
            </w:r>
          </w:p>
        </w:tc>
        <w:tc>
          <w:tcPr>
            <w:tcW w:w="1515" w:type="dxa"/>
            <w:tcBorders>
              <w:top w:val="single" w:sz="6" w:space="0" w:color="auto"/>
              <w:left w:val="nil"/>
              <w:bottom w:val="nil"/>
              <w:right w:val="single" w:sz="6" w:space="0" w:color="auto"/>
            </w:tcBorders>
            <w:shd w:val="clear" w:color="auto" w:fill="auto"/>
            <w:vAlign w:val="center"/>
            <w:hideMark/>
          </w:tcPr>
          <w:p w14:paraId="67C1D867"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2022</w:t>
            </w:r>
            <w:r w:rsidRPr="002A2F04">
              <w:rPr>
                <w:rFonts w:eastAsia="Times New Roman" w:cs="Times New Roman"/>
                <w:sz w:val="24"/>
                <w:szCs w:val="24"/>
                <w:lang w:eastAsia="lv-LV"/>
              </w:rPr>
              <w:t>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1297DD5C"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2023</w:t>
            </w:r>
            <w:r w:rsidRPr="002A2F04">
              <w:rPr>
                <w:rFonts w:eastAsia="Times New Roman" w:cs="Times New Roman"/>
                <w:sz w:val="24"/>
                <w:szCs w:val="24"/>
                <w:lang w:eastAsia="lv-LV"/>
              </w:rPr>
              <w:t> </w:t>
            </w:r>
          </w:p>
        </w:tc>
      </w:tr>
      <w:tr w:rsidR="007B7ACF" w:rsidRPr="002A2F04" w14:paraId="02A34B61" w14:textId="77777777" w:rsidTr="007B7ACF">
        <w:trPr>
          <w:trHeight w:val="300"/>
        </w:trPr>
        <w:tc>
          <w:tcPr>
            <w:tcW w:w="4440" w:type="dxa"/>
            <w:tcBorders>
              <w:top w:val="nil"/>
              <w:left w:val="single" w:sz="6" w:space="0" w:color="auto"/>
              <w:bottom w:val="single" w:sz="6" w:space="0" w:color="auto"/>
              <w:right w:val="single" w:sz="6" w:space="0" w:color="auto"/>
            </w:tcBorders>
            <w:shd w:val="clear" w:color="auto" w:fill="auto"/>
            <w:vAlign w:val="center"/>
            <w:hideMark/>
          </w:tcPr>
          <w:p w14:paraId="7C0C20B1"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Finansējums OIK apmēra mazināšanai </w:t>
            </w:r>
          </w:p>
        </w:tc>
        <w:tc>
          <w:tcPr>
            <w:tcW w:w="1515" w:type="dxa"/>
            <w:tcBorders>
              <w:top w:val="single" w:sz="6" w:space="0" w:color="auto"/>
              <w:left w:val="nil"/>
              <w:bottom w:val="single" w:sz="6" w:space="0" w:color="auto"/>
              <w:right w:val="single" w:sz="6" w:space="0" w:color="auto"/>
            </w:tcBorders>
            <w:shd w:val="clear" w:color="auto" w:fill="auto"/>
            <w:vAlign w:val="center"/>
            <w:hideMark/>
          </w:tcPr>
          <w:p w14:paraId="784F0DEC"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12 576 857 </w:t>
            </w:r>
          </w:p>
        </w:tc>
        <w:tc>
          <w:tcPr>
            <w:tcW w:w="1515" w:type="dxa"/>
            <w:tcBorders>
              <w:top w:val="single" w:sz="6" w:space="0" w:color="auto"/>
              <w:left w:val="nil"/>
              <w:bottom w:val="single" w:sz="6" w:space="0" w:color="auto"/>
              <w:right w:val="single" w:sz="6" w:space="0" w:color="auto"/>
            </w:tcBorders>
            <w:shd w:val="clear" w:color="auto" w:fill="auto"/>
            <w:vAlign w:val="center"/>
            <w:hideMark/>
          </w:tcPr>
          <w:p w14:paraId="0BD61F08"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24 688 226 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307138F8"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14 496 400 </w:t>
            </w:r>
          </w:p>
        </w:tc>
      </w:tr>
      <w:tr w:rsidR="007B7ACF" w:rsidRPr="002A2F04" w14:paraId="2FB6CF61" w14:textId="77777777" w:rsidTr="007B7ACF">
        <w:trPr>
          <w:trHeight w:val="300"/>
        </w:trPr>
        <w:tc>
          <w:tcPr>
            <w:tcW w:w="4440" w:type="dxa"/>
            <w:tcBorders>
              <w:top w:val="nil"/>
              <w:left w:val="single" w:sz="6" w:space="0" w:color="auto"/>
              <w:bottom w:val="single" w:sz="6" w:space="0" w:color="auto"/>
              <w:right w:val="single" w:sz="6" w:space="0" w:color="auto"/>
            </w:tcBorders>
            <w:shd w:val="clear" w:color="auto" w:fill="auto"/>
            <w:vAlign w:val="center"/>
            <w:hideMark/>
          </w:tcPr>
          <w:p w14:paraId="4D8F6E14"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Energoietilpīgo uzņēmumu atbalsta finansēšana </w:t>
            </w:r>
          </w:p>
        </w:tc>
        <w:tc>
          <w:tcPr>
            <w:tcW w:w="1515" w:type="dxa"/>
            <w:tcBorders>
              <w:top w:val="nil"/>
              <w:left w:val="nil"/>
              <w:bottom w:val="single" w:sz="6" w:space="0" w:color="auto"/>
              <w:right w:val="single" w:sz="6" w:space="0" w:color="auto"/>
            </w:tcBorders>
            <w:shd w:val="clear" w:color="auto" w:fill="auto"/>
            <w:vAlign w:val="center"/>
            <w:hideMark/>
          </w:tcPr>
          <w:p w14:paraId="127EC4B2"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7 000 000 </w:t>
            </w:r>
          </w:p>
        </w:tc>
        <w:tc>
          <w:tcPr>
            <w:tcW w:w="1515" w:type="dxa"/>
            <w:tcBorders>
              <w:top w:val="nil"/>
              <w:left w:val="nil"/>
              <w:bottom w:val="single" w:sz="6" w:space="0" w:color="auto"/>
              <w:right w:val="single" w:sz="6" w:space="0" w:color="auto"/>
            </w:tcBorders>
            <w:shd w:val="clear" w:color="auto" w:fill="auto"/>
            <w:vAlign w:val="center"/>
            <w:hideMark/>
          </w:tcPr>
          <w:p w14:paraId="244C9976"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7 000 000 </w:t>
            </w:r>
          </w:p>
        </w:tc>
        <w:tc>
          <w:tcPr>
            <w:tcW w:w="1530" w:type="dxa"/>
            <w:tcBorders>
              <w:top w:val="nil"/>
              <w:left w:val="nil"/>
              <w:bottom w:val="single" w:sz="6" w:space="0" w:color="auto"/>
              <w:right w:val="single" w:sz="6" w:space="0" w:color="auto"/>
            </w:tcBorders>
            <w:shd w:val="clear" w:color="auto" w:fill="auto"/>
            <w:vAlign w:val="center"/>
            <w:hideMark/>
          </w:tcPr>
          <w:p w14:paraId="29A81192"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7 000 000 </w:t>
            </w:r>
          </w:p>
        </w:tc>
      </w:tr>
      <w:tr w:rsidR="007B7ACF" w:rsidRPr="002A2F04" w14:paraId="1D4865E7" w14:textId="77777777" w:rsidTr="007B7ACF">
        <w:trPr>
          <w:trHeight w:val="300"/>
        </w:trPr>
        <w:tc>
          <w:tcPr>
            <w:tcW w:w="4440" w:type="dxa"/>
            <w:tcBorders>
              <w:top w:val="nil"/>
              <w:left w:val="single" w:sz="6" w:space="0" w:color="auto"/>
              <w:bottom w:val="single" w:sz="6" w:space="0" w:color="auto"/>
              <w:right w:val="single" w:sz="6" w:space="0" w:color="auto"/>
            </w:tcBorders>
            <w:shd w:val="clear" w:color="auto" w:fill="auto"/>
            <w:vAlign w:val="center"/>
            <w:hideMark/>
          </w:tcPr>
          <w:p w14:paraId="133E7EB4"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Aizsargāto lietotāju atbalsta finansējums </w:t>
            </w:r>
          </w:p>
        </w:tc>
        <w:tc>
          <w:tcPr>
            <w:tcW w:w="1515" w:type="dxa"/>
            <w:tcBorders>
              <w:top w:val="nil"/>
              <w:left w:val="nil"/>
              <w:bottom w:val="single" w:sz="6" w:space="0" w:color="auto"/>
              <w:right w:val="single" w:sz="6" w:space="0" w:color="auto"/>
            </w:tcBorders>
            <w:shd w:val="clear" w:color="auto" w:fill="FFFFFF"/>
            <w:vAlign w:val="center"/>
            <w:hideMark/>
          </w:tcPr>
          <w:p w14:paraId="5F8F7749"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12 000 000 </w:t>
            </w:r>
          </w:p>
        </w:tc>
        <w:tc>
          <w:tcPr>
            <w:tcW w:w="1515" w:type="dxa"/>
            <w:tcBorders>
              <w:top w:val="nil"/>
              <w:left w:val="nil"/>
              <w:bottom w:val="single" w:sz="6" w:space="0" w:color="auto"/>
              <w:right w:val="single" w:sz="6" w:space="0" w:color="auto"/>
            </w:tcBorders>
            <w:shd w:val="clear" w:color="auto" w:fill="FFFFFF"/>
            <w:vAlign w:val="center"/>
            <w:hideMark/>
          </w:tcPr>
          <w:p w14:paraId="1DE018B1"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12 000 000 </w:t>
            </w:r>
          </w:p>
        </w:tc>
        <w:tc>
          <w:tcPr>
            <w:tcW w:w="1530" w:type="dxa"/>
            <w:tcBorders>
              <w:top w:val="nil"/>
              <w:left w:val="nil"/>
              <w:bottom w:val="single" w:sz="6" w:space="0" w:color="auto"/>
              <w:right w:val="single" w:sz="6" w:space="0" w:color="auto"/>
            </w:tcBorders>
            <w:shd w:val="clear" w:color="auto" w:fill="FFFFFF"/>
            <w:vAlign w:val="center"/>
            <w:hideMark/>
          </w:tcPr>
          <w:p w14:paraId="39200ABA"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12 000 000 </w:t>
            </w:r>
          </w:p>
        </w:tc>
      </w:tr>
      <w:tr w:rsidR="007B7ACF" w:rsidRPr="002A2F04" w14:paraId="6D0AB201" w14:textId="77777777" w:rsidTr="007B7ACF">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A0AB5"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NEKP pētniecības daļas īstenošana, t.sk. administrēšanas vajadzībām </w:t>
            </w:r>
          </w:p>
        </w:tc>
        <w:tc>
          <w:tcPr>
            <w:tcW w:w="1515" w:type="dxa"/>
            <w:tcBorders>
              <w:top w:val="nil"/>
              <w:left w:val="nil"/>
              <w:bottom w:val="single" w:sz="6" w:space="0" w:color="auto"/>
              <w:right w:val="single" w:sz="6" w:space="0" w:color="auto"/>
            </w:tcBorders>
            <w:shd w:val="clear" w:color="auto" w:fill="FFFFFF"/>
            <w:vAlign w:val="center"/>
            <w:hideMark/>
          </w:tcPr>
          <w:p w14:paraId="4DF9C002"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1 403 014 </w:t>
            </w:r>
          </w:p>
        </w:tc>
        <w:tc>
          <w:tcPr>
            <w:tcW w:w="1515" w:type="dxa"/>
            <w:tcBorders>
              <w:top w:val="nil"/>
              <w:left w:val="nil"/>
              <w:bottom w:val="single" w:sz="6" w:space="0" w:color="auto"/>
              <w:right w:val="single" w:sz="6" w:space="0" w:color="auto"/>
            </w:tcBorders>
            <w:shd w:val="clear" w:color="auto" w:fill="FFFFFF"/>
            <w:vAlign w:val="center"/>
            <w:hideMark/>
          </w:tcPr>
          <w:p w14:paraId="0147E91E"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2 000 000 </w:t>
            </w:r>
          </w:p>
        </w:tc>
        <w:tc>
          <w:tcPr>
            <w:tcW w:w="1530" w:type="dxa"/>
            <w:tcBorders>
              <w:top w:val="nil"/>
              <w:left w:val="nil"/>
              <w:bottom w:val="single" w:sz="6" w:space="0" w:color="auto"/>
              <w:right w:val="single" w:sz="6" w:space="0" w:color="auto"/>
            </w:tcBorders>
            <w:shd w:val="clear" w:color="auto" w:fill="FFFFFF"/>
            <w:vAlign w:val="center"/>
            <w:hideMark/>
          </w:tcPr>
          <w:p w14:paraId="3EC6D5F3"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2 000 000 </w:t>
            </w:r>
          </w:p>
        </w:tc>
      </w:tr>
      <w:tr w:rsidR="007B7ACF" w:rsidRPr="002A2F04" w14:paraId="17FED559" w14:textId="77777777" w:rsidTr="007B7ACF">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5BB6CA"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sz w:val="24"/>
                <w:szCs w:val="24"/>
                <w:lang w:eastAsia="lv-LV"/>
              </w:rPr>
              <w:t>VPP īstenošana, t.sk. administrēšanas vajadzībām </w:t>
            </w:r>
          </w:p>
        </w:tc>
        <w:tc>
          <w:tcPr>
            <w:tcW w:w="15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8048E9"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545 160 </w:t>
            </w:r>
          </w:p>
        </w:tc>
        <w:tc>
          <w:tcPr>
            <w:tcW w:w="1515" w:type="dxa"/>
            <w:tcBorders>
              <w:top w:val="single" w:sz="6" w:space="0" w:color="auto"/>
              <w:left w:val="nil"/>
              <w:bottom w:val="single" w:sz="6" w:space="0" w:color="auto"/>
              <w:right w:val="single" w:sz="6" w:space="0" w:color="auto"/>
            </w:tcBorders>
            <w:shd w:val="clear" w:color="auto" w:fill="FFFFFF"/>
            <w:vAlign w:val="center"/>
            <w:hideMark/>
          </w:tcPr>
          <w:p w14:paraId="6779F134"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0 </w:t>
            </w:r>
          </w:p>
        </w:tc>
        <w:tc>
          <w:tcPr>
            <w:tcW w:w="1530" w:type="dxa"/>
            <w:tcBorders>
              <w:top w:val="single" w:sz="6" w:space="0" w:color="auto"/>
              <w:left w:val="nil"/>
              <w:bottom w:val="single" w:sz="6" w:space="0" w:color="auto"/>
              <w:right w:val="single" w:sz="6" w:space="0" w:color="auto"/>
            </w:tcBorders>
            <w:shd w:val="clear" w:color="auto" w:fill="FFFFFF"/>
            <w:vAlign w:val="center"/>
            <w:hideMark/>
          </w:tcPr>
          <w:p w14:paraId="4C273A92"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sz w:val="24"/>
                <w:szCs w:val="24"/>
                <w:lang w:eastAsia="lv-LV"/>
              </w:rPr>
              <w:t>0 </w:t>
            </w:r>
          </w:p>
        </w:tc>
      </w:tr>
      <w:tr w:rsidR="007B7ACF" w:rsidRPr="002A2F04" w14:paraId="09C665BD" w14:textId="77777777" w:rsidTr="007B7ACF">
        <w:trPr>
          <w:trHeight w:val="300"/>
        </w:trPr>
        <w:tc>
          <w:tcPr>
            <w:tcW w:w="4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B76CC" w14:textId="77777777" w:rsidR="007B7ACF" w:rsidRPr="002A2F04" w:rsidRDefault="007B7ACF" w:rsidP="007B7ACF">
            <w:pPr>
              <w:textAlignment w:val="baseline"/>
              <w:rPr>
                <w:rFonts w:eastAsia="Times New Roman" w:cs="Times New Roman"/>
                <w:sz w:val="24"/>
                <w:szCs w:val="24"/>
                <w:lang w:eastAsia="lv-LV"/>
              </w:rPr>
            </w:pPr>
            <w:r w:rsidRPr="002A2F04">
              <w:rPr>
                <w:rFonts w:eastAsia="Times New Roman" w:cs="Times New Roman"/>
                <w:b/>
                <w:bCs/>
                <w:sz w:val="24"/>
                <w:szCs w:val="24"/>
                <w:lang w:eastAsia="lv-LV"/>
              </w:rPr>
              <w:t>Kopā</w:t>
            </w:r>
            <w:r w:rsidRPr="002A2F04">
              <w:rPr>
                <w:rFonts w:eastAsia="Times New Roman" w:cs="Times New Roman"/>
                <w:sz w:val="24"/>
                <w:szCs w:val="24"/>
                <w:lang w:eastAsia="lv-LV"/>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19442E"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33 525 031</w:t>
            </w:r>
            <w:r w:rsidRPr="002A2F04">
              <w:rPr>
                <w:rFonts w:eastAsia="Times New Roman" w:cs="Times New Roman"/>
                <w:sz w:val="24"/>
                <w:szCs w:val="24"/>
                <w:lang w:eastAsia="lv-LV"/>
              </w:rPr>
              <w:t> </w:t>
            </w:r>
          </w:p>
        </w:tc>
        <w:tc>
          <w:tcPr>
            <w:tcW w:w="1515" w:type="dxa"/>
            <w:tcBorders>
              <w:top w:val="single" w:sz="6" w:space="0" w:color="auto"/>
              <w:left w:val="nil"/>
              <w:bottom w:val="single" w:sz="6" w:space="0" w:color="auto"/>
              <w:right w:val="single" w:sz="6" w:space="0" w:color="auto"/>
            </w:tcBorders>
            <w:shd w:val="clear" w:color="auto" w:fill="auto"/>
            <w:vAlign w:val="center"/>
            <w:hideMark/>
          </w:tcPr>
          <w:p w14:paraId="3C596AE8"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45 688 226</w:t>
            </w:r>
            <w:r w:rsidRPr="002A2F04">
              <w:rPr>
                <w:rFonts w:eastAsia="Times New Roman" w:cs="Times New Roman"/>
                <w:sz w:val="24"/>
                <w:szCs w:val="24"/>
                <w:lang w:eastAsia="lv-LV"/>
              </w:rPr>
              <w:t> </w:t>
            </w:r>
          </w:p>
        </w:tc>
        <w:tc>
          <w:tcPr>
            <w:tcW w:w="1530" w:type="dxa"/>
            <w:tcBorders>
              <w:top w:val="single" w:sz="6" w:space="0" w:color="auto"/>
              <w:left w:val="nil"/>
              <w:bottom w:val="single" w:sz="6" w:space="0" w:color="auto"/>
              <w:right w:val="single" w:sz="6" w:space="0" w:color="auto"/>
            </w:tcBorders>
            <w:shd w:val="clear" w:color="auto" w:fill="auto"/>
            <w:vAlign w:val="center"/>
            <w:hideMark/>
          </w:tcPr>
          <w:p w14:paraId="4D672A16" w14:textId="77777777" w:rsidR="007B7ACF" w:rsidRPr="002A2F04" w:rsidRDefault="007B7ACF" w:rsidP="007B7ACF">
            <w:pPr>
              <w:jc w:val="center"/>
              <w:textAlignment w:val="baseline"/>
              <w:rPr>
                <w:rFonts w:eastAsia="Times New Roman" w:cs="Times New Roman"/>
                <w:sz w:val="24"/>
                <w:szCs w:val="24"/>
                <w:lang w:eastAsia="lv-LV"/>
              </w:rPr>
            </w:pPr>
            <w:r w:rsidRPr="002A2F04">
              <w:rPr>
                <w:rFonts w:eastAsia="Times New Roman" w:cs="Times New Roman"/>
                <w:b/>
                <w:bCs/>
                <w:sz w:val="24"/>
                <w:szCs w:val="24"/>
                <w:lang w:eastAsia="lv-LV"/>
              </w:rPr>
              <w:t>35 496 400</w:t>
            </w:r>
            <w:r w:rsidRPr="002A2F04">
              <w:rPr>
                <w:rFonts w:eastAsia="Times New Roman" w:cs="Times New Roman"/>
                <w:sz w:val="24"/>
                <w:szCs w:val="24"/>
                <w:lang w:eastAsia="lv-LV"/>
              </w:rPr>
              <w:t> </w:t>
            </w:r>
          </w:p>
        </w:tc>
      </w:tr>
    </w:tbl>
    <w:p w14:paraId="0203F678" w14:textId="77777777" w:rsidR="00657538" w:rsidRPr="004E4FBE" w:rsidRDefault="00657538" w:rsidP="004E4FBE">
      <w:pPr>
        <w:spacing w:after="120"/>
        <w:rPr>
          <w:rFonts w:eastAsia="Times New Roman" w:cs="Times New Roman"/>
          <w:sz w:val="24"/>
          <w:szCs w:val="24"/>
        </w:rPr>
      </w:pPr>
    </w:p>
    <w:p w14:paraId="7F76ACA7" w14:textId="303A2F33" w:rsidR="003366CD" w:rsidRPr="004E4FBE" w:rsidRDefault="001E7B16" w:rsidP="004E4FBE">
      <w:pPr>
        <w:pStyle w:val="Heading1"/>
        <w:numPr>
          <w:ilvl w:val="0"/>
          <w:numId w:val="0"/>
        </w:numPr>
        <w:spacing w:before="0" w:after="120"/>
        <w:ind w:left="432"/>
        <w:jc w:val="center"/>
        <w:rPr>
          <w:rFonts w:ascii="Times New Roman" w:hAnsi="Times New Roman" w:cs="Times New Roman"/>
          <w:b/>
          <w:bCs/>
          <w:color w:val="auto"/>
          <w:sz w:val="24"/>
          <w:szCs w:val="24"/>
        </w:rPr>
      </w:pPr>
      <w:bookmarkStart w:id="36" w:name="_Toc51576943"/>
      <w:r w:rsidRPr="004E4FBE">
        <w:rPr>
          <w:rFonts w:ascii="Times New Roman" w:hAnsi="Times New Roman" w:cs="Times New Roman"/>
          <w:b/>
          <w:bCs/>
          <w:color w:val="auto"/>
          <w:sz w:val="24"/>
          <w:szCs w:val="24"/>
        </w:rPr>
        <w:t>Secinājum</w:t>
      </w:r>
      <w:r w:rsidR="00E61569" w:rsidRPr="004E4FBE">
        <w:rPr>
          <w:rFonts w:ascii="Times New Roman" w:hAnsi="Times New Roman" w:cs="Times New Roman"/>
          <w:b/>
          <w:bCs/>
          <w:color w:val="auto"/>
          <w:sz w:val="24"/>
          <w:szCs w:val="24"/>
        </w:rPr>
        <w:t>i</w:t>
      </w:r>
      <w:bookmarkEnd w:id="36"/>
    </w:p>
    <w:p w14:paraId="10B6D3DB" w14:textId="105C1EDA" w:rsidR="00505992" w:rsidRDefault="0055561B" w:rsidP="00505992">
      <w:pPr>
        <w:ind w:firstLine="709"/>
        <w:rPr>
          <w:rFonts w:eastAsia="Times New Roman" w:cs="Times New Roman"/>
          <w:sz w:val="24"/>
          <w:szCs w:val="24"/>
          <w:lang w:eastAsia="lv-LV"/>
        </w:rPr>
      </w:pPr>
      <w:r w:rsidRPr="00505992">
        <w:rPr>
          <w:rFonts w:eastAsia="Times New Roman" w:cs="Times New Roman"/>
          <w:sz w:val="24"/>
          <w:szCs w:val="24"/>
          <w:lang w:eastAsia="lv-LV"/>
        </w:rPr>
        <w:t xml:space="preserve">Elektroenerģijas obligātā iepirkuma samazināšana ir būtiska gan no patērētāju maksātspējas un enerģētiskās nabadzības mazināšanas, gan no uzņēmumu starptautiskās konkurētspējas, tai skaitā eksporta palielināšanas perspektīvas. </w:t>
      </w:r>
      <w:r w:rsidR="00505992" w:rsidRPr="00505992">
        <w:rPr>
          <w:rFonts w:eastAsia="Times New Roman" w:cs="Times New Roman"/>
          <w:sz w:val="24"/>
          <w:szCs w:val="24"/>
          <w:lang w:eastAsia="lv-LV"/>
        </w:rPr>
        <w:t>Ņemot vērā ekonomisko situāciju valstī un no tās izrietošās budžeta ieņēmumu prognozes tuvākajos gados, kā tas, cita starpā ir atspoguļots  2020.gada 18.augustā Ministru kabinetā skatītajā Finanšu ministrijas sagatavotajā informatīvajā ziņojumā „Par makroekonomisko rādītāju, ieņēmumu un vispārējās valdības budžeta bilances prognozēm 2021.-2023.gadā”, Ekonomikas ministrija par optimālu risinājumu saredz OIK mazināšanas scenāriju, izmantojot Latvenergo koncerna dividendes</w:t>
      </w:r>
      <w:r w:rsidR="00283232">
        <w:rPr>
          <w:rFonts w:eastAsia="Times New Roman" w:cs="Times New Roman"/>
          <w:sz w:val="24"/>
          <w:szCs w:val="24"/>
          <w:lang w:eastAsia="lv-LV"/>
        </w:rPr>
        <w:t xml:space="preserve">, tostarp </w:t>
      </w:r>
      <w:r w:rsidR="00540315">
        <w:rPr>
          <w:rFonts w:eastAsia="Times New Roman" w:cs="Times New Roman"/>
          <w:sz w:val="24"/>
          <w:szCs w:val="24"/>
          <w:lang w:eastAsia="lv-LV"/>
        </w:rPr>
        <w:t>20 milj.</w:t>
      </w:r>
      <w:r w:rsidR="00E53E12">
        <w:rPr>
          <w:rFonts w:eastAsia="Times New Roman" w:cs="Times New Roman"/>
          <w:sz w:val="24"/>
          <w:szCs w:val="24"/>
          <w:lang w:eastAsia="lv-LV"/>
        </w:rPr>
        <w:t xml:space="preserve"> </w:t>
      </w:r>
      <w:r w:rsidR="00E53E12" w:rsidRPr="00403A18">
        <w:rPr>
          <w:rFonts w:eastAsia="Times New Roman" w:cs="Times New Roman"/>
          <w:i/>
          <w:iCs/>
          <w:sz w:val="24"/>
          <w:szCs w:val="24"/>
          <w:lang w:eastAsia="lv-LV"/>
        </w:rPr>
        <w:t xml:space="preserve">euro </w:t>
      </w:r>
      <w:r w:rsidR="00E53E12">
        <w:rPr>
          <w:rFonts w:eastAsia="Times New Roman" w:cs="Times New Roman"/>
          <w:sz w:val="24"/>
          <w:szCs w:val="24"/>
          <w:lang w:eastAsia="lv-LV"/>
        </w:rPr>
        <w:t xml:space="preserve">2021. gadā un 15 milj. </w:t>
      </w:r>
      <w:r w:rsidR="00E53E12" w:rsidRPr="00403A18">
        <w:rPr>
          <w:rFonts w:eastAsia="Times New Roman" w:cs="Times New Roman"/>
          <w:i/>
          <w:iCs/>
          <w:sz w:val="24"/>
          <w:szCs w:val="24"/>
          <w:lang w:eastAsia="lv-LV"/>
        </w:rPr>
        <w:t>euro</w:t>
      </w:r>
      <w:r w:rsidR="00E53E12">
        <w:rPr>
          <w:rFonts w:eastAsia="Times New Roman" w:cs="Times New Roman"/>
          <w:sz w:val="24"/>
          <w:szCs w:val="24"/>
          <w:lang w:eastAsia="lv-LV"/>
        </w:rPr>
        <w:t xml:space="preserve"> </w:t>
      </w:r>
      <w:r w:rsidR="00403A18">
        <w:rPr>
          <w:rFonts w:eastAsia="Times New Roman" w:cs="Times New Roman"/>
          <w:sz w:val="24"/>
          <w:szCs w:val="24"/>
          <w:lang w:eastAsia="lv-LV"/>
        </w:rPr>
        <w:t xml:space="preserve">2022. un 2023.gadā no </w:t>
      </w:r>
      <w:r w:rsidR="00403A18" w:rsidRPr="00505992">
        <w:rPr>
          <w:rFonts w:eastAsia="Times New Roman" w:cs="Times New Roman"/>
          <w:sz w:val="24"/>
          <w:szCs w:val="24"/>
          <w:lang w:eastAsia="lv-LV"/>
        </w:rPr>
        <w:t xml:space="preserve">Latvenergo koncerna </w:t>
      </w:r>
      <w:r w:rsidR="00403A18">
        <w:rPr>
          <w:rFonts w:eastAsia="Times New Roman" w:cs="Times New Roman"/>
          <w:sz w:val="24"/>
          <w:szCs w:val="24"/>
          <w:lang w:eastAsia="lv-LV"/>
        </w:rPr>
        <w:t>dividendēm novirzot</w:t>
      </w:r>
      <w:r w:rsidR="00E53E12">
        <w:rPr>
          <w:rFonts w:eastAsia="Times New Roman" w:cs="Times New Roman"/>
          <w:sz w:val="24"/>
          <w:szCs w:val="24"/>
          <w:lang w:eastAsia="lv-LV"/>
        </w:rPr>
        <w:t xml:space="preserve"> </w:t>
      </w:r>
      <w:r w:rsidR="00283232">
        <w:rPr>
          <w:rFonts w:eastAsia="Times New Roman" w:cs="Times New Roman"/>
          <w:sz w:val="24"/>
          <w:szCs w:val="24"/>
          <w:lang w:eastAsia="lv-LV"/>
        </w:rPr>
        <w:t>citām budžeta vajadzībām</w:t>
      </w:r>
      <w:r w:rsidR="00505992" w:rsidRPr="00505992">
        <w:rPr>
          <w:rFonts w:eastAsia="Times New Roman" w:cs="Times New Roman"/>
          <w:sz w:val="24"/>
          <w:szCs w:val="24"/>
          <w:lang w:eastAsia="lv-LV"/>
        </w:rPr>
        <w:t xml:space="preserve">. </w:t>
      </w:r>
    </w:p>
    <w:p w14:paraId="54AA595B" w14:textId="6BE4BAB3" w:rsidR="005C2A81" w:rsidRPr="00505992" w:rsidRDefault="005C2A81" w:rsidP="00C93335">
      <w:pPr>
        <w:tabs>
          <w:tab w:val="left" w:pos="1134"/>
        </w:tabs>
        <w:rPr>
          <w:rFonts w:ascii="Calibri" w:eastAsia="Times New Roman" w:hAnsi="Calibri" w:cs="Calibri"/>
          <w:sz w:val="22"/>
          <w:lang w:eastAsia="lv-LV"/>
        </w:rPr>
      </w:pPr>
      <w:r>
        <w:rPr>
          <w:rFonts w:eastAsia="Times New Roman" w:cs="Times New Roman"/>
          <w:sz w:val="24"/>
          <w:szCs w:val="24"/>
          <w:lang w:eastAsia="lv-LV"/>
        </w:rPr>
        <w:tab/>
      </w:r>
    </w:p>
    <w:p w14:paraId="641BE332" w14:textId="77777777" w:rsidR="00505992" w:rsidRDefault="00505992" w:rsidP="004E4FBE">
      <w:pPr>
        <w:spacing w:after="120"/>
        <w:ind w:firstLine="709"/>
        <w:rPr>
          <w:rFonts w:eastAsia="Times New Roman" w:cs="Times New Roman"/>
          <w:sz w:val="24"/>
          <w:szCs w:val="24"/>
        </w:rPr>
      </w:pPr>
    </w:p>
    <w:p w14:paraId="51A86F1E" w14:textId="77777777" w:rsidR="003408B0" w:rsidRPr="007D6A96" w:rsidRDefault="003408B0" w:rsidP="004E4FBE">
      <w:pPr>
        <w:spacing w:after="120"/>
        <w:ind w:firstLine="709"/>
        <w:rPr>
          <w:rFonts w:eastAsia="Times New Roman" w:cs="Times New Roman"/>
          <w:sz w:val="24"/>
          <w:szCs w:val="24"/>
        </w:rPr>
      </w:pPr>
    </w:p>
    <w:p w14:paraId="7A0DC24B" w14:textId="1114AA29" w:rsidR="007D6A96" w:rsidRPr="007D6A96" w:rsidRDefault="007D6A96" w:rsidP="007D6A96">
      <w:pPr>
        <w:tabs>
          <w:tab w:val="right" w:pos="9072"/>
        </w:tabs>
        <w:spacing w:after="120"/>
        <w:rPr>
          <w:sz w:val="24"/>
          <w:szCs w:val="24"/>
        </w:rPr>
      </w:pPr>
      <w:r w:rsidRPr="007D6A96">
        <w:rPr>
          <w:sz w:val="24"/>
          <w:szCs w:val="24"/>
        </w:rPr>
        <w:t>Ekonomikas ministrs</w:t>
      </w:r>
      <w:r w:rsidRPr="007D6A96">
        <w:rPr>
          <w:sz w:val="24"/>
          <w:szCs w:val="24"/>
        </w:rPr>
        <w:tab/>
        <w:t>J. Vitenbergs</w:t>
      </w:r>
    </w:p>
    <w:p w14:paraId="60D0AE60" w14:textId="4F43C54C" w:rsidR="007D6A96" w:rsidRDefault="007D6A96" w:rsidP="007D6A96">
      <w:pPr>
        <w:tabs>
          <w:tab w:val="right" w:pos="9072"/>
        </w:tabs>
        <w:spacing w:after="120"/>
        <w:rPr>
          <w:sz w:val="24"/>
          <w:szCs w:val="24"/>
        </w:rPr>
      </w:pPr>
    </w:p>
    <w:p w14:paraId="75F4C36E" w14:textId="77777777" w:rsidR="00115E14" w:rsidRPr="007D6A96" w:rsidRDefault="00115E14" w:rsidP="007D6A96">
      <w:pPr>
        <w:tabs>
          <w:tab w:val="right" w:pos="9072"/>
        </w:tabs>
        <w:spacing w:after="120"/>
        <w:rPr>
          <w:sz w:val="24"/>
          <w:szCs w:val="24"/>
        </w:rPr>
      </w:pPr>
    </w:p>
    <w:p w14:paraId="61E858F5" w14:textId="307CD46C" w:rsidR="007D6A96" w:rsidRPr="007D6A96" w:rsidRDefault="007D6A96" w:rsidP="008B7118">
      <w:pPr>
        <w:tabs>
          <w:tab w:val="right" w:pos="9072"/>
        </w:tabs>
        <w:rPr>
          <w:sz w:val="24"/>
          <w:szCs w:val="24"/>
        </w:rPr>
      </w:pPr>
      <w:r w:rsidRPr="007D6A96">
        <w:rPr>
          <w:sz w:val="24"/>
          <w:szCs w:val="24"/>
        </w:rPr>
        <w:lastRenderedPageBreak/>
        <w:t>Valsts sekretārs</w:t>
      </w:r>
      <w:r w:rsidRPr="007D6A96">
        <w:rPr>
          <w:sz w:val="24"/>
          <w:szCs w:val="24"/>
        </w:rPr>
        <w:tab/>
      </w:r>
      <w:r w:rsidR="008B7118">
        <w:rPr>
          <w:sz w:val="24"/>
          <w:szCs w:val="24"/>
        </w:rPr>
        <w:t>E</w:t>
      </w:r>
      <w:r w:rsidRPr="007D6A96">
        <w:rPr>
          <w:sz w:val="24"/>
          <w:szCs w:val="24"/>
        </w:rPr>
        <w:t xml:space="preserve">. </w:t>
      </w:r>
      <w:r w:rsidR="008B7118">
        <w:rPr>
          <w:sz w:val="24"/>
          <w:szCs w:val="24"/>
        </w:rPr>
        <w:t>Valantis</w:t>
      </w:r>
    </w:p>
    <w:p w14:paraId="04204238" w14:textId="77777777" w:rsidR="007D6A96" w:rsidRPr="004E4FBE" w:rsidRDefault="007D6A96" w:rsidP="004E4FBE">
      <w:pPr>
        <w:spacing w:after="120"/>
        <w:ind w:firstLine="709"/>
        <w:rPr>
          <w:rFonts w:eastAsia="Times New Roman" w:cs="Times New Roman"/>
          <w:sz w:val="24"/>
          <w:szCs w:val="24"/>
        </w:rPr>
      </w:pPr>
    </w:p>
    <w:sectPr w:rsidR="007D6A96" w:rsidRPr="004E4FBE" w:rsidSect="0008370F">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CE461BB" w16cex:dateUtc="2020-08-28T14:20:00Z"/>
  <w16cex:commentExtensible w16cex:durableId="1D7B24F2" w16cex:dateUtc="2020-09-01T07:01:00Z"/>
  <w16cex:commentExtensible w16cex:durableId="0224E496" w16cex:dateUtc="2020-08-28T14: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27BF7" w14:textId="77777777" w:rsidR="00B50F75" w:rsidRDefault="00B50F75" w:rsidP="00FD35E7">
      <w:r>
        <w:separator/>
      </w:r>
    </w:p>
  </w:endnote>
  <w:endnote w:type="continuationSeparator" w:id="0">
    <w:p w14:paraId="5DC39900" w14:textId="77777777" w:rsidR="00B50F75" w:rsidRDefault="00B50F75" w:rsidP="00FD35E7">
      <w:r>
        <w:continuationSeparator/>
      </w:r>
    </w:p>
  </w:endnote>
  <w:endnote w:type="continuationNotice" w:id="1">
    <w:p w14:paraId="05427806" w14:textId="77777777" w:rsidR="00B50F75" w:rsidRDefault="00B50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2"/>
      <w:gridCol w:w="3212"/>
      <w:gridCol w:w="3212"/>
    </w:tblGrid>
    <w:tr w:rsidR="007B7ACF" w14:paraId="21708C50" w14:textId="77777777" w:rsidTr="7DB12C65">
      <w:tc>
        <w:tcPr>
          <w:tcW w:w="3212" w:type="dxa"/>
        </w:tcPr>
        <w:p w14:paraId="053B2342" w14:textId="040C5C41" w:rsidR="007B7ACF" w:rsidRDefault="007B7ACF" w:rsidP="7DB12C65">
          <w:pPr>
            <w:pStyle w:val="Header"/>
            <w:ind w:left="-115"/>
            <w:jc w:val="left"/>
          </w:pPr>
        </w:p>
      </w:tc>
      <w:tc>
        <w:tcPr>
          <w:tcW w:w="3212" w:type="dxa"/>
        </w:tcPr>
        <w:p w14:paraId="6CF45995" w14:textId="33BDF039" w:rsidR="007B7ACF" w:rsidRDefault="007B7ACF" w:rsidP="7DB12C65">
          <w:pPr>
            <w:pStyle w:val="Header"/>
            <w:jc w:val="center"/>
          </w:pPr>
          <w:r>
            <w:fldChar w:fldCharType="begin"/>
          </w:r>
          <w:r>
            <w:instrText>PAGE</w:instrText>
          </w:r>
          <w:r>
            <w:fldChar w:fldCharType="separate"/>
          </w:r>
          <w:r>
            <w:rPr>
              <w:noProof/>
            </w:rPr>
            <w:t>14</w:t>
          </w:r>
          <w:r>
            <w:fldChar w:fldCharType="end"/>
          </w:r>
        </w:p>
      </w:tc>
      <w:tc>
        <w:tcPr>
          <w:tcW w:w="3212" w:type="dxa"/>
        </w:tcPr>
        <w:p w14:paraId="640D5537" w14:textId="53960E10" w:rsidR="007B7ACF" w:rsidRDefault="007B7ACF" w:rsidP="7DB12C65">
          <w:pPr>
            <w:pStyle w:val="Header"/>
            <w:ind w:right="-115"/>
            <w:jc w:val="right"/>
          </w:pPr>
        </w:p>
      </w:tc>
    </w:tr>
  </w:tbl>
  <w:p w14:paraId="6CA5B9AB" w14:textId="14CBDCA3" w:rsidR="007B7ACF" w:rsidRPr="00657538" w:rsidRDefault="007B7ACF" w:rsidP="00816EBB">
    <w:pPr>
      <w:rPr>
        <w:rFonts w:eastAsia="Times New Roman" w:cs="Times New Roman"/>
        <w:sz w:val="20"/>
        <w:szCs w:val="20"/>
      </w:rPr>
    </w:pPr>
    <w:r w:rsidRPr="00657538">
      <w:rPr>
        <w:rFonts w:eastAsia="Times New Roman" w:cs="Times New Roman"/>
        <w:sz w:val="20"/>
        <w:szCs w:val="20"/>
      </w:rPr>
      <w:t>EMkonc_</w:t>
    </w:r>
    <w:r>
      <w:rPr>
        <w:rFonts w:eastAsia="Times New Roman" w:cs="Times New Roman"/>
        <w:sz w:val="20"/>
        <w:szCs w:val="20"/>
      </w:rPr>
      <w:t>21</w:t>
    </w:r>
    <w:r w:rsidRPr="00657538">
      <w:rPr>
        <w:rFonts w:eastAsia="Times New Roman" w:cs="Times New Roman"/>
        <w:sz w:val="20"/>
        <w:szCs w:val="20"/>
      </w:rPr>
      <w:t>0920_OIK; Konceptuāls ziņojums “</w:t>
    </w:r>
    <w:r w:rsidRPr="00657538">
      <w:rPr>
        <w:rFonts w:cs="Times New Roman"/>
        <w:sz w:val="20"/>
        <w:szCs w:val="20"/>
      </w:rPr>
      <w:t>Kompleksi pasākumi obligātā iepirkuma komponentes problemātikas risināšanai un elektroenerģijas tirgus attīstībai</w:t>
    </w:r>
    <w:r w:rsidRPr="00657538">
      <w:rPr>
        <w:rFonts w:eastAsia="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2"/>
      <w:gridCol w:w="3212"/>
      <w:gridCol w:w="3212"/>
    </w:tblGrid>
    <w:tr w:rsidR="007B7ACF" w14:paraId="10849071" w14:textId="77777777" w:rsidTr="7DB12C65">
      <w:tc>
        <w:tcPr>
          <w:tcW w:w="3212" w:type="dxa"/>
        </w:tcPr>
        <w:p w14:paraId="0E2ACD32" w14:textId="00476F3E" w:rsidR="007B7ACF" w:rsidRDefault="007B7ACF" w:rsidP="7DB12C65">
          <w:pPr>
            <w:pStyle w:val="Header"/>
            <w:ind w:left="-115"/>
            <w:jc w:val="left"/>
          </w:pPr>
        </w:p>
      </w:tc>
      <w:tc>
        <w:tcPr>
          <w:tcW w:w="3212" w:type="dxa"/>
        </w:tcPr>
        <w:p w14:paraId="5DE93804" w14:textId="3B982274" w:rsidR="007B7ACF" w:rsidRDefault="007B7ACF" w:rsidP="7DB12C65">
          <w:pPr>
            <w:pStyle w:val="Header"/>
            <w:jc w:val="center"/>
          </w:pPr>
        </w:p>
      </w:tc>
      <w:tc>
        <w:tcPr>
          <w:tcW w:w="3212" w:type="dxa"/>
        </w:tcPr>
        <w:p w14:paraId="7437E2B6" w14:textId="1B09E4F8" w:rsidR="007B7ACF" w:rsidRDefault="007B7ACF" w:rsidP="7DB12C65">
          <w:pPr>
            <w:pStyle w:val="Header"/>
            <w:ind w:right="-115"/>
            <w:jc w:val="right"/>
          </w:pPr>
        </w:p>
      </w:tc>
    </w:tr>
  </w:tbl>
  <w:p w14:paraId="4D8E7298" w14:textId="6BDC1262" w:rsidR="007B7ACF" w:rsidRPr="008F0360" w:rsidRDefault="007B7ACF" w:rsidP="008F0360">
    <w:pPr>
      <w:rPr>
        <w:rFonts w:eastAsia="Times New Roman" w:cs="Times New Roman"/>
        <w:sz w:val="24"/>
        <w:szCs w:val="24"/>
      </w:rPr>
    </w:pPr>
    <w:r w:rsidRPr="7DB12C65">
      <w:rPr>
        <w:rFonts w:eastAsia="Times New Roman" w:cs="Times New Roman"/>
        <w:sz w:val="24"/>
        <w:szCs w:val="24"/>
      </w:rPr>
      <w:t>EMkonc_</w:t>
    </w:r>
    <w:r w:rsidR="0058152C">
      <w:rPr>
        <w:rFonts w:eastAsia="Times New Roman" w:cs="Times New Roman"/>
        <w:sz w:val="24"/>
        <w:szCs w:val="24"/>
      </w:rPr>
      <w:t>21</w:t>
    </w:r>
    <w:r>
      <w:rPr>
        <w:rFonts w:eastAsia="Times New Roman" w:cs="Times New Roman"/>
        <w:sz w:val="24"/>
        <w:szCs w:val="24"/>
      </w:rPr>
      <w:t>09</w:t>
    </w:r>
    <w:r w:rsidRPr="7DB12C65">
      <w:rPr>
        <w:rFonts w:eastAsia="Times New Roman" w:cs="Times New Roman"/>
        <w:sz w:val="24"/>
        <w:szCs w:val="24"/>
      </w:rPr>
      <w:t>20_OIK; Konceptuāls ziņojums “</w:t>
    </w:r>
    <w:r w:rsidRPr="7DB12C65">
      <w:rPr>
        <w:rFonts w:cs="Times New Roman"/>
        <w:sz w:val="24"/>
        <w:szCs w:val="24"/>
      </w:rPr>
      <w:t>Kompleksi pasākumi obligātā iepirkuma komponentes problemātikas risināšanai un elektroenerģijas tirgus attīstībai</w:t>
    </w:r>
    <w:r w:rsidRPr="7DB12C65">
      <w:rPr>
        <w:rFonts w:eastAsia="Times New Roman" w:cs="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B7E3" w14:textId="77777777" w:rsidR="00B50F75" w:rsidRDefault="00B50F75" w:rsidP="00FD35E7">
      <w:r>
        <w:separator/>
      </w:r>
    </w:p>
  </w:footnote>
  <w:footnote w:type="continuationSeparator" w:id="0">
    <w:p w14:paraId="56DF219D" w14:textId="77777777" w:rsidR="00B50F75" w:rsidRDefault="00B50F75" w:rsidP="00FD35E7">
      <w:r>
        <w:continuationSeparator/>
      </w:r>
    </w:p>
  </w:footnote>
  <w:footnote w:type="continuationNotice" w:id="1">
    <w:p w14:paraId="6C08397F" w14:textId="77777777" w:rsidR="00B50F75" w:rsidRDefault="00B50F75"/>
  </w:footnote>
  <w:footnote w:id="2">
    <w:p w14:paraId="2E1DC736" w14:textId="45F8CEEF" w:rsidR="007B7ACF" w:rsidRDefault="007B7ACF" w:rsidP="004A1478">
      <w:pPr>
        <w:pStyle w:val="FootnoteText"/>
        <w:jc w:val="left"/>
      </w:pPr>
      <w:r>
        <w:rPr>
          <w:rStyle w:val="FootnoteReference"/>
        </w:rPr>
        <w:footnoteRef/>
      </w:r>
      <w:r>
        <w:t xml:space="preserve"> Skatīt Eiropas Komisijas lēmumu SA.</w:t>
      </w:r>
      <w:r w:rsidRPr="004A1478">
        <w:t xml:space="preserve"> 43140</w:t>
      </w:r>
      <w:r>
        <w:t xml:space="preserve">:  </w:t>
      </w:r>
      <w:hyperlink r:id="rId1" w:history="1">
        <w:r>
          <w:rPr>
            <w:rStyle w:val="Hyperlink"/>
          </w:rPr>
          <w:t>https://ec.europa.eu/competition/elojade/isef/case_details.cfm?proc_code=3_SA_43140</w:t>
        </w:r>
      </w:hyperlink>
    </w:p>
  </w:footnote>
  <w:footnote w:id="3">
    <w:p w14:paraId="761F672D" w14:textId="77777777" w:rsidR="007B7ACF" w:rsidRDefault="007B7ACF" w:rsidP="00937DA3">
      <w:pPr>
        <w:pStyle w:val="FootnoteText"/>
      </w:pPr>
      <w:r>
        <w:rPr>
          <w:rStyle w:val="FootnoteReference"/>
        </w:rPr>
        <w:footnoteRef/>
      </w:r>
      <w:r>
        <w:t xml:space="preserve"> Saskaņā ar </w:t>
      </w:r>
      <w:r w:rsidRPr="00F87DCB">
        <w:t>22.09.2017. Konceptuāls ziņojums "Kompleksi pasākumi elektroenerģijas tirgus attīstībai"</w:t>
      </w:r>
    </w:p>
  </w:footnote>
  <w:footnote w:id="4">
    <w:p w14:paraId="60A335ED" w14:textId="50DD2D29" w:rsidR="007B7ACF" w:rsidRDefault="007B7ACF" w:rsidP="00DC30AC">
      <w:pPr>
        <w:pStyle w:val="FootnoteText"/>
        <w:jc w:val="left"/>
      </w:pPr>
      <w:r>
        <w:rPr>
          <w:rStyle w:val="FootnoteReference"/>
        </w:rPr>
        <w:footnoteRef/>
      </w:r>
      <w:r>
        <w:t xml:space="preserve"> Skatīt EK lēmumu SA.</w:t>
      </w:r>
      <w:r w:rsidRPr="00DC30AC">
        <w:t xml:space="preserve"> 42854</w:t>
      </w:r>
      <w:r>
        <w:t xml:space="preserve">:  </w:t>
      </w:r>
      <w:hyperlink r:id="rId2" w:history="1">
        <w:r>
          <w:rPr>
            <w:rStyle w:val="Hyperlink"/>
          </w:rPr>
          <w:t>https://ec.europa.eu/competition/elojade/isef/case_details.cfm?proc_code=3_SA_42854</w:t>
        </w:r>
      </w:hyperlink>
    </w:p>
  </w:footnote>
  <w:footnote w:id="5">
    <w:p w14:paraId="66753A0A" w14:textId="056ACFC5" w:rsidR="007B7ACF" w:rsidRDefault="007B7ACF" w:rsidP="638B9066">
      <w:pPr>
        <w:rPr>
          <w:rFonts w:ascii="Calibri" w:eastAsia="Calibri" w:hAnsi="Calibri" w:cs="Calibri"/>
          <w:sz w:val="22"/>
        </w:rPr>
      </w:pPr>
      <w:r w:rsidRPr="00FF3C50">
        <w:rPr>
          <w:vertAlign w:val="superscript"/>
        </w:rPr>
        <w:footnoteRef/>
      </w:r>
      <w:r>
        <w:t xml:space="preserve"> </w:t>
      </w:r>
      <w:r w:rsidRPr="00CA6654">
        <w:rPr>
          <w:rFonts w:eastAsia="Calibri" w:cs="Times New Roman"/>
          <w:sz w:val="20"/>
          <w:szCs w:val="20"/>
        </w:rPr>
        <w:t>Daudzbērnu ģimene pakalpojumu saņems,  piemērojot vienai no personām, kurai pašai vai kopā ar laulāto ir trīs vai vairāk bērni vecumā līdz 18 gadiem (arī aizbildnībā esoši vai audžuģimenē ievietoti bērni) vai bērni līdz 24 gadu vecumam, kuri iegūst vispārējo, profesionālo vai augstāko izglītību, maksājuma samazinājumu rēķina summai par elektroenerģiju, sistēmas pakalpojumiem un obligātā iepirkuma komponentēm, neiekļaujot pievienotās vērtības nodokli.</w:t>
      </w:r>
    </w:p>
  </w:footnote>
  <w:footnote w:id="6">
    <w:p w14:paraId="2B004144" w14:textId="77777777" w:rsidR="007B7ACF" w:rsidRPr="00F022D1" w:rsidRDefault="007B7ACF" w:rsidP="00CA6654">
      <w:pPr>
        <w:pStyle w:val="Heading3"/>
        <w:numPr>
          <w:ilvl w:val="0"/>
          <w:numId w:val="0"/>
        </w:numPr>
        <w:shd w:val="clear" w:color="auto" w:fill="FFFFFF"/>
        <w:spacing w:before="0"/>
        <w:rPr>
          <w:rFonts w:ascii="Times New Roman" w:hAnsi="Times New Roman" w:cs="Times New Roman"/>
          <w:color w:val="auto"/>
          <w:sz w:val="20"/>
          <w:szCs w:val="20"/>
        </w:rPr>
      </w:pPr>
      <w:r w:rsidRPr="00F022D1">
        <w:rPr>
          <w:rStyle w:val="FootnoteReference"/>
          <w:rFonts w:ascii="Times New Roman" w:hAnsi="Times New Roman" w:cs="Times New Roman"/>
          <w:color w:val="auto"/>
          <w:sz w:val="20"/>
          <w:szCs w:val="20"/>
        </w:rPr>
        <w:footnoteRef/>
      </w:r>
      <w:r w:rsidRPr="00F022D1">
        <w:rPr>
          <w:rFonts w:ascii="Times New Roman" w:hAnsi="Times New Roman" w:cs="Times New Roman"/>
          <w:color w:val="auto"/>
          <w:sz w:val="20"/>
          <w:szCs w:val="20"/>
        </w:rPr>
        <w:t xml:space="preserve"> Ministru kabineta 2018. gada 26. septembra rīkojums Nr. 462 “</w:t>
      </w:r>
      <w:r w:rsidRPr="00F022D1">
        <w:rPr>
          <w:rFonts w:ascii="Times New Roman" w:hAnsi="Times New Roman" w:cs="Times New Roman"/>
          <w:color w:val="auto"/>
          <w:sz w:val="20"/>
          <w:szCs w:val="20"/>
          <w:lang w:eastAsia="lv-LV"/>
        </w:rPr>
        <w:t>Par valsts pētījumu programmu “Enerģētika”</w:t>
      </w:r>
      <w:r w:rsidRPr="00F022D1">
        <w:rPr>
          <w:rFonts w:ascii="Times New Roman" w:hAnsi="Times New Roman" w:cs="Times New Roman"/>
          <w:color w:val="auto"/>
          <w:sz w:val="20"/>
          <w:szCs w:val="20"/>
        </w:rPr>
        <w:t xml:space="preserve">”, Ministru kabinets, 26.09.2018., Publicēts: Latvijas Vēstnesis Nr.192, 28.09.2018.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855"/>
      <w:gridCol w:w="2570"/>
      <w:gridCol w:w="3212"/>
    </w:tblGrid>
    <w:tr w:rsidR="007B7ACF" w14:paraId="09412816" w14:textId="77777777" w:rsidTr="7DB12C65">
      <w:tc>
        <w:tcPr>
          <w:tcW w:w="3855" w:type="dxa"/>
        </w:tcPr>
        <w:p w14:paraId="51A87B97" w14:textId="7FF0004E" w:rsidR="007B7ACF" w:rsidRDefault="007B7ACF" w:rsidP="7DB12C65">
          <w:pPr>
            <w:pStyle w:val="Header"/>
            <w:ind w:left="-115"/>
            <w:jc w:val="left"/>
          </w:pPr>
        </w:p>
      </w:tc>
      <w:tc>
        <w:tcPr>
          <w:tcW w:w="2570" w:type="dxa"/>
        </w:tcPr>
        <w:p w14:paraId="00EDB468" w14:textId="718BD70E" w:rsidR="007B7ACF" w:rsidRDefault="007B7ACF" w:rsidP="7DB12C65">
          <w:pPr>
            <w:pStyle w:val="Header"/>
            <w:jc w:val="center"/>
          </w:pPr>
        </w:p>
      </w:tc>
      <w:tc>
        <w:tcPr>
          <w:tcW w:w="3212" w:type="dxa"/>
        </w:tcPr>
        <w:p w14:paraId="72154DC9" w14:textId="060AE766" w:rsidR="007B7ACF" w:rsidRDefault="007B7ACF" w:rsidP="7DB12C65">
          <w:pPr>
            <w:pStyle w:val="Header"/>
            <w:ind w:right="-115"/>
            <w:jc w:val="right"/>
          </w:pPr>
        </w:p>
      </w:tc>
    </w:tr>
  </w:tbl>
  <w:p w14:paraId="12537443" w14:textId="5ABCD70B" w:rsidR="007B7ACF" w:rsidRDefault="007B7ACF" w:rsidP="7DB12C65">
    <w:pPr>
      <w:rPr>
        <w:rFonts w:eastAsia="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4BA"/>
    <w:multiLevelType w:val="hybridMultilevel"/>
    <w:tmpl w:val="2698F352"/>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B77515"/>
    <w:multiLevelType w:val="hybridMultilevel"/>
    <w:tmpl w:val="FFFFFFFF"/>
    <w:lvl w:ilvl="0" w:tplc="FEEA155A">
      <w:start w:val="1"/>
      <w:numFmt w:val="decimal"/>
      <w:lvlText w:val="%1.."/>
      <w:lvlJc w:val="left"/>
      <w:pPr>
        <w:ind w:left="720" w:hanging="360"/>
      </w:pPr>
    </w:lvl>
    <w:lvl w:ilvl="1" w:tplc="A4EECD36">
      <w:start w:val="1"/>
      <w:numFmt w:val="lowerLetter"/>
      <w:lvlText w:val="%2."/>
      <w:lvlJc w:val="left"/>
      <w:pPr>
        <w:ind w:left="1440" w:hanging="360"/>
      </w:pPr>
    </w:lvl>
    <w:lvl w:ilvl="2" w:tplc="45DA3FB4">
      <w:start w:val="1"/>
      <w:numFmt w:val="lowerRoman"/>
      <w:lvlText w:val="%3."/>
      <w:lvlJc w:val="right"/>
      <w:pPr>
        <w:ind w:left="2160" w:hanging="180"/>
      </w:pPr>
    </w:lvl>
    <w:lvl w:ilvl="3" w:tplc="5F3018A4">
      <w:start w:val="1"/>
      <w:numFmt w:val="decimal"/>
      <w:lvlText w:val="%4."/>
      <w:lvlJc w:val="left"/>
      <w:pPr>
        <w:ind w:left="2880" w:hanging="360"/>
      </w:pPr>
    </w:lvl>
    <w:lvl w:ilvl="4" w:tplc="A67A310C">
      <w:start w:val="1"/>
      <w:numFmt w:val="lowerLetter"/>
      <w:lvlText w:val="%5."/>
      <w:lvlJc w:val="left"/>
      <w:pPr>
        <w:ind w:left="3600" w:hanging="360"/>
      </w:pPr>
    </w:lvl>
    <w:lvl w:ilvl="5" w:tplc="02327054">
      <w:start w:val="1"/>
      <w:numFmt w:val="lowerRoman"/>
      <w:lvlText w:val="%6."/>
      <w:lvlJc w:val="right"/>
      <w:pPr>
        <w:ind w:left="4320" w:hanging="180"/>
      </w:pPr>
    </w:lvl>
    <w:lvl w:ilvl="6" w:tplc="9F5AD90A">
      <w:start w:val="1"/>
      <w:numFmt w:val="decimal"/>
      <w:lvlText w:val="%7."/>
      <w:lvlJc w:val="left"/>
      <w:pPr>
        <w:ind w:left="5040" w:hanging="360"/>
      </w:pPr>
    </w:lvl>
    <w:lvl w:ilvl="7" w:tplc="CFC43AB8">
      <w:start w:val="1"/>
      <w:numFmt w:val="lowerLetter"/>
      <w:lvlText w:val="%8."/>
      <w:lvlJc w:val="left"/>
      <w:pPr>
        <w:ind w:left="5760" w:hanging="360"/>
      </w:pPr>
    </w:lvl>
    <w:lvl w:ilvl="8" w:tplc="02CC835A">
      <w:start w:val="1"/>
      <w:numFmt w:val="lowerRoman"/>
      <w:lvlText w:val="%9."/>
      <w:lvlJc w:val="right"/>
      <w:pPr>
        <w:ind w:left="6480" w:hanging="180"/>
      </w:pPr>
    </w:lvl>
  </w:abstractNum>
  <w:abstractNum w:abstractNumId="2" w15:restartNumberingAfterBreak="0">
    <w:nsid w:val="186A5D04"/>
    <w:multiLevelType w:val="hybridMultilevel"/>
    <w:tmpl w:val="567C27F0"/>
    <w:lvl w:ilvl="0" w:tplc="7DF6A246">
      <w:start w:val="1"/>
      <w:numFmt w:val="bullet"/>
      <w:lvlText w:val=""/>
      <w:lvlJc w:val="left"/>
      <w:pPr>
        <w:ind w:left="720" w:hanging="360"/>
      </w:pPr>
      <w:rPr>
        <w:rFonts w:ascii="Symbol" w:hAnsi="Symbol" w:hint="default"/>
      </w:rPr>
    </w:lvl>
    <w:lvl w:ilvl="1" w:tplc="DB3C2E30">
      <w:start w:val="1"/>
      <w:numFmt w:val="bullet"/>
      <w:lvlText w:val="o"/>
      <w:lvlJc w:val="left"/>
      <w:pPr>
        <w:ind w:left="1440" w:hanging="360"/>
      </w:pPr>
      <w:rPr>
        <w:rFonts w:ascii="Courier New" w:hAnsi="Courier New" w:hint="default"/>
      </w:rPr>
    </w:lvl>
    <w:lvl w:ilvl="2" w:tplc="2CE0ED9A">
      <w:start w:val="1"/>
      <w:numFmt w:val="bullet"/>
      <w:lvlText w:val=""/>
      <w:lvlJc w:val="left"/>
      <w:pPr>
        <w:ind w:left="2160" w:hanging="360"/>
      </w:pPr>
      <w:rPr>
        <w:rFonts w:ascii="Wingdings" w:hAnsi="Wingdings" w:hint="default"/>
      </w:rPr>
    </w:lvl>
    <w:lvl w:ilvl="3" w:tplc="B28C4508">
      <w:start w:val="1"/>
      <w:numFmt w:val="bullet"/>
      <w:lvlText w:val=""/>
      <w:lvlJc w:val="left"/>
      <w:pPr>
        <w:ind w:left="2880" w:hanging="360"/>
      </w:pPr>
      <w:rPr>
        <w:rFonts w:ascii="Symbol" w:hAnsi="Symbol" w:hint="default"/>
      </w:rPr>
    </w:lvl>
    <w:lvl w:ilvl="4" w:tplc="B3706456">
      <w:start w:val="1"/>
      <w:numFmt w:val="bullet"/>
      <w:lvlText w:val="o"/>
      <w:lvlJc w:val="left"/>
      <w:pPr>
        <w:ind w:left="3600" w:hanging="360"/>
      </w:pPr>
      <w:rPr>
        <w:rFonts w:ascii="Courier New" w:hAnsi="Courier New" w:hint="default"/>
      </w:rPr>
    </w:lvl>
    <w:lvl w:ilvl="5" w:tplc="BF605D92">
      <w:start w:val="1"/>
      <w:numFmt w:val="bullet"/>
      <w:lvlText w:val=""/>
      <w:lvlJc w:val="left"/>
      <w:pPr>
        <w:ind w:left="4320" w:hanging="360"/>
      </w:pPr>
      <w:rPr>
        <w:rFonts w:ascii="Wingdings" w:hAnsi="Wingdings" w:hint="default"/>
      </w:rPr>
    </w:lvl>
    <w:lvl w:ilvl="6" w:tplc="0D863A20">
      <w:start w:val="1"/>
      <w:numFmt w:val="bullet"/>
      <w:lvlText w:val=""/>
      <w:lvlJc w:val="left"/>
      <w:pPr>
        <w:ind w:left="5040" w:hanging="360"/>
      </w:pPr>
      <w:rPr>
        <w:rFonts w:ascii="Symbol" w:hAnsi="Symbol" w:hint="default"/>
      </w:rPr>
    </w:lvl>
    <w:lvl w:ilvl="7" w:tplc="5D422AD4">
      <w:start w:val="1"/>
      <w:numFmt w:val="bullet"/>
      <w:lvlText w:val="o"/>
      <w:lvlJc w:val="left"/>
      <w:pPr>
        <w:ind w:left="5760" w:hanging="360"/>
      </w:pPr>
      <w:rPr>
        <w:rFonts w:ascii="Courier New" w:hAnsi="Courier New" w:hint="default"/>
      </w:rPr>
    </w:lvl>
    <w:lvl w:ilvl="8" w:tplc="67C2F5C0">
      <w:start w:val="1"/>
      <w:numFmt w:val="bullet"/>
      <w:lvlText w:val=""/>
      <w:lvlJc w:val="left"/>
      <w:pPr>
        <w:ind w:left="6480" w:hanging="360"/>
      </w:pPr>
      <w:rPr>
        <w:rFonts w:ascii="Wingdings" w:hAnsi="Wingdings" w:hint="default"/>
      </w:rPr>
    </w:lvl>
  </w:abstractNum>
  <w:abstractNum w:abstractNumId="3" w15:restartNumberingAfterBreak="0">
    <w:nsid w:val="1E914836"/>
    <w:multiLevelType w:val="hybridMultilevel"/>
    <w:tmpl w:val="FFF881FE"/>
    <w:lvl w:ilvl="0" w:tplc="6C6CDFEC">
      <w:start w:val="1"/>
      <w:numFmt w:val="bullet"/>
      <w:lvlText w:val="•"/>
      <w:lvlJc w:val="left"/>
      <w:pPr>
        <w:tabs>
          <w:tab w:val="num" w:pos="720"/>
        </w:tabs>
        <w:ind w:left="720" w:hanging="360"/>
      </w:pPr>
      <w:rPr>
        <w:rFonts w:ascii="Arial" w:hAnsi="Arial" w:hint="default"/>
      </w:rPr>
    </w:lvl>
    <w:lvl w:ilvl="1" w:tplc="02245ECE" w:tentative="1">
      <w:start w:val="1"/>
      <w:numFmt w:val="bullet"/>
      <w:lvlText w:val="•"/>
      <w:lvlJc w:val="left"/>
      <w:pPr>
        <w:tabs>
          <w:tab w:val="num" w:pos="1440"/>
        </w:tabs>
        <w:ind w:left="1440" w:hanging="360"/>
      </w:pPr>
      <w:rPr>
        <w:rFonts w:ascii="Arial" w:hAnsi="Arial" w:hint="default"/>
      </w:rPr>
    </w:lvl>
    <w:lvl w:ilvl="2" w:tplc="7C36B72C" w:tentative="1">
      <w:start w:val="1"/>
      <w:numFmt w:val="bullet"/>
      <w:lvlText w:val="•"/>
      <w:lvlJc w:val="left"/>
      <w:pPr>
        <w:tabs>
          <w:tab w:val="num" w:pos="2160"/>
        </w:tabs>
        <w:ind w:left="2160" w:hanging="360"/>
      </w:pPr>
      <w:rPr>
        <w:rFonts w:ascii="Arial" w:hAnsi="Arial" w:hint="default"/>
      </w:rPr>
    </w:lvl>
    <w:lvl w:ilvl="3" w:tplc="9500AC62" w:tentative="1">
      <w:start w:val="1"/>
      <w:numFmt w:val="bullet"/>
      <w:lvlText w:val="•"/>
      <w:lvlJc w:val="left"/>
      <w:pPr>
        <w:tabs>
          <w:tab w:val="num" w:pos="2880"/>
        </w:tabs>
        <w:ind w:left="2880" w:hanging="360"/>
      </w:pPr>
      <w:rPr>
        <w:rFonts w:ascii="Arial" w:hAnsi="Arial" w:hint="default"/>
      </w:rPr>
    </w:lvl>
    <w:lvl w:ilvl="4" w:tplc="DA5C9F82" w:tentative="1">
      <w:start w:val="1"/>
      <w:numFmt w:val="bullet"/>
      <w:lvlText w:val="•"/>
      <w:lvlJc w:val="left"/>
      <w:pPr>
        <w:tabs>
          <w:tab w:val="num" w:pos="3600"/>
        </w:tabs>
        <w:ind w:left="3600" w:hanging="360"/>
      </w:pPr>
      <w:rPr>
        <w:rFonts w:ascii="Arial" w:hAnsi="Arial" w:hint="default"/>
      </w:rPr>
    </w:lvl>
    <w:lvl w:ilvl="5" w:tplc="C06C9F40" w:tentative="1">
      <w:start w:val="1"/>
      <w:numFmt w:val="bullet"/>
      <w:lvlText w:val="•"/>
      <w:lvlJc w:val="left"/>
      <w:pPr>
        <w:tabs>
          <w:tab w:val="num" w:pos="4320"/>
        </w:tabs>
        <w:ind w:left="4320" w:hanging="360"/>
      </w:pPr>
      <w:rPr>
        <w:rFonts w:ascii="Arial" w:hAnsi="Arial" w:hint="default"/>
      </w:rPr>
    </w:lvl>
    <w:lvl w:ilvl="6" w:tplc="FDBCB484" w:tentative="1">
      <w:start w:val="1"/>
      <w:numFmt w:val="bullet"/>
      <w:lvlText w:val="•"/>
      <w:lvlJc w:val="left"/>
      <w:pPr>
        <w:tabs>
          <w:tab w:val="num" w:pos="5040"/>
        </w:tabs>
        <w:ind w:left="5040" w:hanging="360"/>
      </w:pPr>
      <w:rPr>
        <w:rFonts w:ascii="Arial" w:hAnsi="Arial" w:hint="default"/>
      </w:rPr>
    </w:lvl>
    <w:lvl w:ilvl="7" w:tplc="B57E5330" w:tentative="1">
      <w:start w:val="1"/>
      <w:numFmt w:val="bullet"/>
      <w:lvlText w:val="•"/>
      <w:lvlJc w:val="left"/>
      <w:pPr>
        <w:tabs>
          <w:tab w:val="num" w:pos="5760"/>
        </w:tabs>
        <w:ind w:left="5760" w:hanging="360"/>
      </w:pPr>
      <w:rPr>
        <w:rFonts w:ascii="Arial" w:hAnsi="Arial" w:hint="default"/>
      </w:rPr>
    </w:lvl>
    <w:lvl w:ilvl="8" w:tplc="ED0096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93401A"/>
    <w:multiLevelType w:val="multilevel"/>
    <w:tmpl w:val="DB92FE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AA67816"/>
    <w:multiLevelType w:val="hybridMultilevel"/>
    <w:tmpl w:val="5D1094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080B7D"/>
    <w:multiLevelType w:val="hybridMultilevel"/>
    <w:tmpl w:val="D30E6276"/>
    <w:lvl w:ilvl="0" w:tplc="790E786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2932E4"/>
    <w:multiLevelType w:val="hybridMultilevel"/>
    <w:tmpl w:val="FFB2E6EA"/>
    <w:lvl w:ilvl="0" w:tplc="397E17E6">
      <w:start w:val="1"/>
      <w:numFmt w:val="bullet"/>
      <w:lvlText w:val="•"/>
      <w:lvlJc w:val="left"/>
      <w:pPr>
        <w:tabs>
          <w:tab w:val="num" w:pos="720"/>
        </w:tabs>
        <w:ind w:left="720" w:hanging="360"/>
      </w:pPr>
      <w:rPr>
        <w:rFonts w:ascii="Arial" w:hAnsi="Arial" w:hint="default"/>
      </w:rPr>
    </w:lvl>
    <w:lvl w:ilvl="1" w:tplc="1138FC28">
      <w:start w:val="1"/>
      <w:numFmt w:val="bullet"/>
      <w:lvlText w:val="•"/>
      <w:lvlJc w:val="left"/>
      <w:pPr>
        <w:tabs>
          <w:tab w:val="num" w:pos="1440"/>
        </w:tabs>
        <w:ind w:left="1440" w:hanging="360"/>
      </w:pPr>
      <w:rPr>
        <w:rFonts w:ascii="Arial" w:hAnsi="Arial" w:hint="default"/>
      </w:rPr>
    </w:lvl>
    <w:lvl w:ilvl="2" w:tplc="290E6BAE" w:tentative="1">
      <w:start w:val="1"/>
      <w:numFmt w:val="bullet"/>
      <w:lvlText w:val="•"/>
      <w:lvlJc w:val="left"/>
      <w:pPr>
        <w:tabs>
          <w:tab w:val="num" w:pos="2160"/>
        </w:tabs>
        <w:ind w:left="2160" w:hanging="360"/>
      </w:pPr>
      <w:rPr>
        <w:rFonts w:ascii="Arial" w:hAnsi="Arial" w:hint="default"/>
      </w:rPr>
    </w:lvl>
    <w:lvl w:ilvl="3" w:tplc="7BA251D4" w:tentative="1">
      <w:start w:val="1"/>
      <w:numFmt w:val="bullet"/>
      <w:lvlText w:val="•"/>
      <w:lvlJc w:val="left"/>
      <w:pPr>
        <w:tabs>
          <w:tab w:val="num" w:pos="2880"/>
        </w:tabs>
        <w:ind w:left="2880" w:hanging="360"/>
      </w:pPr>
      <w:rPr>
        <w:rFonts w:ascii="Arial" w:hAnsi="Arial" w:hint="default"/>
      </w:rPr>
    </w:lvl>
    <w:lvl w:ilvl="4" w:tplc="C002A384" w:tentative="1">
      <w:start w:val="1"/>
      <w:numFmt w:val="bullet"/>
      <w:lvlText w:val="•"/>
      <w:lvlJc w:val="left"/>
      <w:pPr>
        <w:tabs>
          <w:tab w:val="num" w:pos="3600"/>
        </w:tabs>
        <w:ind w:left="3600" w:hanging="360"/>
      </w:pPr>
      <w:rPr>
        <w:rFonts w:ascii="Arial" w:hAnsi="Arial" w:hint="default"/>
      </w:rPr>
    </w:lvl>
    <w:lvl w:ilvl="5" w:tplc="7772E2AA" w:tentative="1">
      <w:start w:val="1"/>
      <w:numFmt w:val="bullet"/>
      <w:lvlText w:val="•"/>
      <w:lvlJc w:val="left"/>
      <w:pPr>
        <w:tabs>
          <w:tab w:val="num" w:pos="4320"/>
        </w:tabs>
        <w:ind w:left="4320" w:hanging="360"/>
      </w:pPr>
      <w:rPr>
        <w:rFonts w:ascii="Arial" w:hAnsi="Arial" w:hint="default"/>
      </w:rPr>
    </w:lvl>
    <w:lvl w:ilvl="6" w:tplc="48F40C96" w:tentative="1">
      <w:start w:val="1"/>
      <w:numFmt w:val="bullet"/>
      <w:lvlText w:val="•"/>
      <w:lvlJc w:val="left"/>
      <w:pPr>
        <w:tabs>
          <w:tab w:val="num" w:pos="5040"/>
        </w:tabs>
        <w:ind w:left="5040" w:hanging="360"/>
      </w:pPr>
      <w:rPr>
        <w:rFonts w:ascii="Arial" w:hAnsi="Arial" w:hint="default"/>
      </w:rPr>
    </w:lvl>
    <w:lvl w:ilvl="7" w:tplc="4BDC8AC0" w:tentative="1">
      <w:start w:val="1"/>
      <w:numFmt w:val="bullet"/>
      <w:lvlText w:val="•"/>
      <w:lvlJc w:val="left"/>
      <w:pPr>
        <w:tabs>
          <w:tab w:val="num" w:pos="5760"/>
        </w:tabs>
        <w:ind w:left="5760" w:hanging="360"/>
      </w:pPr>
      <w:rPr>
        <w:rFonts w:ascii="Arial" w:hAnsi="Arial" w:hint="default"/>
      </w:rPr>
    </w:lvl>
    <w:lvl w:ilvl="8" w:tplc="676C0D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BC2FFB"/>
    <w:multiLevelType w:val="hybridMultilevel"/>
    <w:tmpl w:val="1F94DDA8"/>
    <w:lvl w:ilvl="0" w:tplc="74A8C0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63E678A"/>
    <w:multiLevelType w:val="multilevel"/>
    <w:tmpl w:val="22DE0BAA"/>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816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DE5E1A"/>
    <w:multiLevelType w:val="hybridMultilevel"/>
    <w:tmpl w:val="2698F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3"/>
  </w:num>
  <w:num w:numId="6">
    <w:abstractNumId w:val="9"/>
  </w:num>
  <w:num w:numId="7">
    <w:abstractNumId w:val="0"/>
  </w:num>
  <w:num w:numId="8">
    <w:abstractNumId w:val="1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6"/>
  </w:num>
  <w:num w:numId="19">
    <w:abstractNumId w:val="4"/>
  </w:num>
  <w:num w:numId="20">
    <w:abstractNumId w:val="4"/>
  </w:num>
  <w:num w:numId="21">
    <w:abstractNumId w:val="4"/>
  </w:num>
  <w:num w:numId="22">
    <w:abstractNumId w:val="4"/>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94"/>
    <w:rsid w:val="0001457A"/>
    <w:rsid w:val="00024CCF"/>
    <w:rsid w:val="00026014"/>
    <w:rsid w:val="00037870"/>
    <w:rsid w:val="000416A6"/>
    <w:rsid w:val="00044DE6"/>
    <w:rsid w:val="000601F7"/>
    <w:rsid w:val="00062260"/>
    <w:rsid w:val="0007133C"/>
    <w:rsid w:val="0007430B"/>
    <w:rsid w:val="0007623C"/>
    <w:rsid w:val="00081AFC"/>
    <w:rsid w:val="0008370F"/>
    <w:rsid w:val="00090CCB"/>
    <w:rsid w:val="00091E5E"/>
    <w:rsid w:val="00095298"/>
    <w:rsid w:val="000A27AA"/>
    <w:rsid w:val="000A3B0A"/>
    <w:rsid w:val="000A542D"/>
    <w:rsid w:val="000A575D"/>
    <w:rsid w:val="000A6311"/>
    <w:rsid w:val="000A65C0"/>
    <w:rsid w:val="000A7883"/>
    <w:rsid w:val="000B3352"/>
    <w:rsid w:val="000B45D8"/>
    <w:rsid w:val="000B6772"/>
    <w:rsid w:val="000D3AF9"/>
    <w:rsid w:val="000D797D"/>
    <w:rsid w:val="000F1353"/>
    <w:rsid w:val="000F6589"/>
    <w:rsid w:val="000F7FD2"/>
    <w:rsid w:val="001046C9"/>
    <w:rsid w:val="00106D53"/>
    <w:rsid w:val="001110D6"/>
    <w:rsid w:val="0011430F"/>
    <w:rsid w:val="00115E14"/>
    <w:rsid w:val="0011659E"/>
    <w:rsid w:val="001230E4"/>
    <w:rsid w:val="001265F7"/>
    <w:rsid w:val="00135444"/>
    <w:rsid w:val="00141028"/>
    <w:rsid w:val="00152DC3"/>
    <w:rsid w:val="00154CFB"/>
    <w:rsid w:val="00161EC6"/>
    <w:rsid w:val="00163A56"/>
    <w:rsid w:val="001653C5"/>
    <w:rsid w:val="0018122A"/>
    <w:rsid w:val="00194FE8"/>
    <w:rsid w:val="00195E84"/>
    <w:rsid w:val="001C2262"/>
    <w:rsid w:val="001C7DD1"/>
    <w:rsid w:val="001D2113"/>
    <w:rsid w:val="001D4E5F"/>
    <w:rsid w:val="001E510F"/>
    <w:rsid w:val="001E561A"/>
    <w:rsid w:val="001E7B16"/>
    <w:rsid w:val="001F016D"/>
    <w:rsid w:val="00210A6D"/>
    <w:rsid w:val="0021194D"/>
    <w:rsid w:val="00220F36"/>
    <w:rsid w:val="002240C8"/>
    <w:rsid w:val="002242B0"/>
    <w:rsid w:val="002273A6"/>
    <w:rsid w:val="00237526"/>
    <w:rsid w:val="00237E6C"/>
    <w:rsid w:val="002403A0"/>
    <w:rsid w:val="0024182A"/>
    <w:rsid w:val="002420F4"/>
    <w:rsid w:val="00242A37"/>
    <w:rsid w:val="002454DF"/>
    <w:rsid w:val="00255D36"/>
    <w:rsid w:val="002568E1"/>
    <w:rsid w:val="002602DF"/>
    <w:rsid w:val="00260959"/>
    <w:rsid w:val="00262342"/>
    <w:rsid w:val="00271C3E"/>
    <w:rsid w:val="00283232"/>
    <w:rsid w:val="00287FA6"/>
    <w:rsid w:val="00292DAF"/>
    <w:rsid w:val="002A48E7"/>
    <w:rsid w:val="002B0614"/>
    <w:rsid w:val="002B301E"/>
    <w:rsid w:val="002B53C6"/>
    <w:rsid w:val="002C3965"/>
    <w:rsid w:val="002D6C36"/>
    <w:rsid w:val="002E6585"/>
    <w:rsid w:val="002FF005"/>
    <w:rsid w:val="003005AD"/>
    <w:rsid w:val="00317198"/>
    <w:rsid w:val="00322B1A"/>
    <w:rsid w:val="00323773"/>
    <w:rsid w:val="003366CD"/>
    <w:rsid w:val="003408B0"/>
    <w:rsid w:val="00340C5E"/>
    <w:rsid w:val="00343612"/>
    <w:rsid w:val="003660F0"/>
    <w:rsid w:val="003714B8"/>
    <w:rsid w:val="00373D80"/>
    <w:rsid w:val="00373F7C"/>
    <w:rsid w:val="00375AF7"/>
    <w:rsid w:val="0037601D"/>
    <w:rsid w:val="00376BC3"/>
    <w:rsid w:val="00381EB7"/>
    <w:rsid w:val="003823A4"/>
    <w:rsid w:val="003836FB"/>
    <w:rsid w:val="00383E83"/>
    <w:rsid w:val="003864EE"/>
    <w:rsid w:val="003867B8"/>
    <w:rsid w:val="003878B9"/>
    <w:rsid w:val="00392858"/>
    <w:rsid w:val="0039342D"/>
    <w:rsid w:val="003A05C3"/>
    <w:rsid w:val="003A18C5"/>
    <w:rsid w:val="003B05AC"/>
    <w:rsid w:val="003B0B7D"/>
    <w:rsid w:val="003B5973"/>
    <w:rsid w:val="003C3EC5"/>
    <w:rsid w:val="003D0E47"/>
    <w:rsid w:val="003D1FE5"/>
    <w:rsid w:val="003D5F28"/>
    <w:rsid w:val="003E2BEF"/>
    <w:rsid w:val="003E5106"/>
    <w:rsid w:val="003F4CB2"/>
    <w:rsid w:val="003F52AD"/>
    <w:rsid w:val="003F57A6"/>
    <w:rsid w:val="003F7984"/>
    <w:rsid w:val="00401AD9"/>
    <w:rsid w:val="00403A18"/>
    <w:rsid w:val="00412F39"/>
    <w:rsid w:val="004132D9"/>
    <w:rsid w:val="00422ECB"/>
    <w:rsid w:val="0042395D"/>
    <w:rsid w:val="00427F2B"/>
    <w:rsid w:val="00451374"/>
    <w:rsid w:val="00463F36"/>
    <w:rsid w:val="00472665"/>
    <w:rsid w:val="0048486F"/>
    <w:rsid w:val="004A1478"/>
    <w:rsid w:val="004B1AD1"/>
    <w:rsid w:val="004B4423"/>
    <w:rsid w:val="004B45F3"/>
    <w:rsid w:val="004D18F8"/>
    <w:rsid w:val="004D34BB"/>
    <w:rsid w:val="004D642C"/>
    <w:rsid w:val="004E4FBE"/>
    <w:rsid w:val="004E65CC"/>
    <w:rsid w:val="004F0EA9"/>
    <w:rsid w:val="004F2127"/>
    <w:rsid w:val="004F2333"/>
    <w:rsid w:val="00502E1D"/>
    <w:rsid w:val="00504C98"/>
    <w:rsid w:val="00505992"/>
    <w:rsid w:val="00540315"/>
    <w:rsid w:val="00552CAD"/>
    <w:rsid w:val="0055553D"/>
    <w:rsid w:val="0055561B"/>
    <w:rsid w:val="005563BE"/>
    <w:rsid w:val="00565BF8"/>
    <w:rsid w:val="005675DD"/>
    <w:rsid w:val="00570672"/>
    <w:rsid w:val="005709BB"/>
    <w:rsid w:val="0057585B"/>
    <w:rsid w:val="00576EE3"/>
    <w:rsid w:val="0058084C"/>
    <w:rsid w:val="0058152C"/>
    <w:rsid w:val="005901C2"/>
    <w:rsid w:val="00591429"/>
    <w:rsid w:val="005934DF"/>
    <w:rsid w:val="00596CA1"/>
    <w:rsid w:val="005A1F3E"/>
    <w:rsid w:val="005A27D0"/>
    <w:rsid w:val="005B0F6F"/>
    <w:rsid w:val="005B28F4"/>
    <w:rsid w:val="005B4362"/>
    <w:rsid w:val="005C1B40"/>
    <w:rsid w:val="005C28EE"/>
    <w:rsid w:val="005C2A81"/>
    <w:rsid w:val="005C3260"/>
    <w:rsid w:val="005D15DE"/>
    <w:rsid w:val="005D55C0"/>
    <w:rsid w:val="005E502F"/>
    <w:rsid w:val="005F7E18"/>
    <w:rsid w:val="006009DA"/>
    <w:rsid w:val="00603A76"/>
    <w:rsid w:val="006134F8"/>
    <w:rsid w:val="00614473"/>
    <w:rsid w:val="00615E3C"/>
    <w:rsid w:val="00620015"/>
    <w:rsid w:val="00620450"/>
    <w:rsid w:val="0062360F"/>
    <w:rsid w:val="00634A6C"/>
    <w:rsid w:val="006359AA"/>
    <w:rsid w:val="006442EC"/>
    <w:rsid w:val="006505AD"/>
    <w:rsid w:val="00657538"/>
    <w:rsid w:val="00657635"/>
    <w:rsid w:val="006611CF"/>
    <w:rsid w:val="00662944"/>
    <w:rsid w:val="006748F9"/>
    <w:rsid w:val="00674A61"/>
    <w:rsid w:val="00675F1C"/>
    <w:rsid w:val="006A1040"/>
    <w:rsid w:val="006A4314"/>
    <w:rsid w:val="006A67A6"/>
    <w:rsid w:val="006A6DED"/>
    <w:rsid w:val="006B08CD"/>
    <w:rsid w:val="006B1FFF"/>
    <w:rsid w:val="006C369D"/>
    <w:rsid w:val="006C7907"/>
    <w:rsid w:val="006D6C02"/>
    <w:rsid w:val="006F376D"/>
    <w:rsid w:val="00702C5F"/>
    <w:rsid w:val="00703091"/>
    <w:rsid w:val="007050F5"/>
    <w:rsid w:val="00706DB8"/>
    <w:rsid w:val="00710015"/>
    <w:rsid w:val="007123D2"/>
    <w:rsid w:val="00715A8D"/>
    <w:rsid w:val="00716C30"/>
    <w:rsid w:val="00720A50"/>
    <w:rsid w:val="00727EEF"/>
    <w:rsid w:val="00741996"/>
    <w:rsid w:val="0075491E"/>
    <w:rsid w:val="00762DC5"/>
    <w:rsid w:val="00770222"/>
    <w:rsid w:val="00770932"/>
    <w:rsid w:val="00771AAC"/>
    <w:rsid w:val="007733EB"/>
    <w:rsid w:val="00777B3C"/>
    <w:rsid w:val="007B26B4"/>
    <w:rsid w:val="007B7ACF"/>
    <w:rsid w:val="007C5154"/>
    <w:rsid w:val="007D0BC5"/>
    <w:rsid w:val="007D3692"/>
    <w:rsid w:val="007D6A96"/>
    <w:rsid w:val="007E1A22"/>
    <w:rsid w:val="007E61FC"/>
    <w:rsid w:val="007F01A7"/>
    <w:rsid w:val="007F2835"/>
    <w:rsid w:val="007F4604"/>
    <w:rsid w:val="0080608F"/>
    <w:rsid w:val="0081327F"/>
    <w:rsid w:val="0081512E"/>
    <w:rsid w:val="00816EBB"/>
    <w:rsid w:val="00820C36"/>
    <w:rsid w:val="00820DC4"/>
    <w:rsid w:val="008226FE"/>
    <w:rsid w:val="00842352"/>
    <w:rsid w:val="00843DFE"/>
    <w:rsid w:val="00843E79"/>
    <w:rsid w:val="008452F4"/>
    <w:rsid w:val="00865506"/>
    <w:rsid w:val="00866A16"/>
    <w:rsid w:val="0087106A"/>
    <w:rsid w:val="0087754C"/>
    <w:rsid w:val="0089503B"/>
    <w:rsid w:val="00897C3C"/>
    <w:rsid w:val="008A4230"/>
    <w:rsid w:val="008B1EC5"/>
    <w:rsid w:val="008B33DB"/>
    <w:rsid w:val="008B6836"/>
    <w:rsid w:val="008B7118"/>
    <w:rsid w:val="008C7E44"/>
    <w:rsid w:val="008D06EC"/>
    <w:rsid w:val="008D0B80"/>
    <w:rsid w:val="008F0360"/>
    <w:rsid w:val="008F1468"/>
    <w:rsid w:val="009078D5"/>
    <w:rsid w:val="00907983"/>
    <w:rsid w:val="00914EB3"/>
    <w:rsid w:val="00915C41"/>
    <w:rsid w:val="00917096"/>
    <w:rsid w:val="009233CE"/>
    <w:rsid w:val="009253B7"/>
    <w:rsid w:val="00932623"/>
    <w:rsid w:val="00934B4E"/>
    <w:rsid w:val="00935BB9"/>
    <w:rsid w:val="00937DA3"/>
    <w:rsid w:val="009458AB"/>
    <w:rsid w:val="00946B3F"/>
    <w:rsid w:val="009576EC"/>
    <w:rsid w:val="00961B5A"/>
    <w:rsid w:val="0096400F"/>
    <w:rsid w:val="009702B1"/>
    <w:rsid w:val="00971030"/>
    <w:rsid w:val="009836BC"/>
    <w:rsid w:val="009906CE"/>
    <w:rsid w:val="009912FB"/>
    <w:rsid w:val="00995B77"/>
    <w:rsid w:val="00995F14"/>
    <w:rsid w:val="00996183"/>
    <w:rsid w:val="009A138F"/>
    <w:rsid w:val="009A7F34"/>
    <w:rsid w:val="009B01A7"/>
    <w:rsid w:val="009B2B30"/>
    <w:rsid w:val="009C2543"/>
    <w:rsid w:val="009C4333"/>
    <w:rsid w:val="009D1F45"/>
    <w:rsid w:val="009E2B69"/>
    <w:rsid w:val="009E358F"/>
    <w:rsid w:val="009E6626"/>
    <w:rsid w:val="009F5AA8"/>
    <w:rsid w:val="009F5E53"/>
    <w:rsid w:val="00A00997"/>
    <w:rsid w:val="00A0548E"/>
    <w:rsid w:val="00A073E2"/>
    <w:rsid w:val="00A1206C"/>
    <w:rsid w:val="00A170E1"/>
    <w:rsid w:val="00A20B37"/>
    <w:rsid w:val="00A23938"/>
    <w:rsid w:val="00A25880"/>
    <w:rsid w:val="00A275CB"/>
    <w:rsid w:val="00A31CE0"/>
    <w:rsid w:val="00A3738A"/>
    <w:rsid w:val="00A512B8"/>
    <w:rsid w:val="00A56FBF"/>
    <w:rsid w:val="00A607C6"/>
    <w:rsid w:val="00A63282"/>
    <w:rsid w:val="00A7300E"/>
    <w:rsid w:val="00A75F60"/>
    <w:rsid w:val="00A9170F"/>
    <w:rsid w:val="00A9342B"/>
    <w:rsid w:val="00AA4424"/>
    <w:rsid w:val="00AA4890"/>
    <w:rsid w:val="00AB48E9"/>
    <w:rsid w:val="00AB62C6"/>
    <w:rsid w:val="00AB6D42"/>
    <w:rsid w:val="00AC0049"/>
    <w:rsid w:val="00AD6965"/>
    <w:rsid w:val="00AE5FD6"/>
    <w:rsid w:val="00AE7F98"/>
    <w:rsid w:val="00AF2480"/>
    <w:rsid w:val="00B10019"/>
    <w:rsid w:val="00B3167B"/>
    <w:rsid w:val="00B32E0B"/>
    <w:rsid w:val="00B50F75"/>
    <w:rsid w:val="00B5335D"/>
    <w:rsid w:val="00B542E3"/>
    <w:rsid w:val="00B552E4"/>
    <w:rsid w:val="00B61883"/>
    <w:rsid w:val="00B61E1E"/>
    <w:rsid w:val="00B65DD2"/>
    <w:rsid w:val="00B6743D"/>
    <w:rsid w:val="00B75E1B"/>
    <w:rsid w:val="00B8027F"/>
    <w:rsid w:val="00B85441"/>
    <w:rsid w:val="00B876D5"/>
    <w:rsid w:val="00B90BAF"/>
    <w:rsid w:val="00B911CD"/>
    <w:rsid w:val="00BB4207"/>
    <w:rsid w:val="00BC104C"/>
    <w:rsid w:val="00BC6A29"/>
    <w:rsid w:val="00BE0917"/>
    <w:rsid w:val="00BE6A30"/>
    <w:rsid w:val="00BE77A3"/>
    <w:rsid w:val="00BF7497"/>
    <w:rsid w:val="00C01767"/>
    <w:rsid w:val="00C0333D"/>
    <w:rsid w:val="00C15E33"/>
    <w:rsid w:val="00C17707"/>
    <w:rsid w:val="00C2294F"/>
    <w:rsid w:val="00C23077"/>
    <w:rsid w:val="00C24BD5"/>
    <w:rsid w:val="00C25735"/>
    <w:rsid w:val="00C26065"/>
    <w:rsid w:val="00C52F78"/>
    <w:rsid w:val="00C5381A"/>
    <w:rsid w:val="00C55ED2"/>
    <w:rsid w:val="00C56E9D"/>
    <w:rsid w:val="00C57314"/>
    <w:rsid w:val="00C637D8"/>
    <w:rsid w:val="00C75193"/>
    <w:rsid w:val="00C8189A"/>
    <w:rsid w:val="00C82F61"/>
    <w:rsid w:val="00C8557F"/>
    <w:rsid w:val="00C93335"/>
    <w:rsid w:val="00CA5403"/>
    <w:rsid w:val="00CA6654"/>
    <w:rsid w:val="00CA70FC"/>
    <w:rsid w:val="00CB0CE7"/>
    <w:rsid w:val="00CB471C"/>
    <w:rsid w:val="00CB7C5A"/>
    <w:rsid w:val="00CE06A9"/>
    <w:rsid w:val="00CE160D"/>
    <w:rsid w:val="00CE3E29"/>
    <w:rsid w:val="00CE5111"/>
    <w:rsid w:val="00CF07AB"/>
    <w:rsid w:val="00CF4559"/>
    <w:rsid w:val="00CF4BB0"/>
    <w:rsid w:val="00D06847"/>
    <w:rsid w:val="00D21DA7"/>
    <w:rsid w:val="00D22F55"/>
    <w:rsid w:val="00D25F50"/>
    <w:rsid w:val="00D34F5E"/>
    <w:rsid w:val="00D43232"/>
    <w:rsid w:val="00D47A0F"/>
    <w:rsid w:val="00D57740"/>
    <w:rsid w:val="00D64680"/>
    <w:rsid w:val="00D662FF"/>
    <w:rsid w:val="00D752F2"/>
    <w:rsid w:val="00D84C94"/>
    <w:rsid w:val="00D84D63"/>
    <w:rsid w:val="00D95336"/>
    <w:rsid w:val="00DA15D9"/>
    <w:rsid w:val="00DA184A"/>
    <w:rsid w:val="00DA7D57"/>
    <w:rsid w:val="00DB06E2"/>
    <w:rsid w:val="00DB45E2"/>
    <w:rsid w:val="00DC02B9"/>
    <w:rsid w:val="00DC30AC"/>
    <w:rsid w:val="00DC4CA7"/>
    <w:rsid w:val="00DC59C5"/>
    <w:rsid w:val="00DD0209"/>
    <w:rsid w:val="00DD6D33"/>
    <w:rsid w:val="00DE234E"/>
    <w:rsid w:val="00DE3AC5"/>
    <w:rsid w:val="00DE3FC0"/>
    <w:rsid w:val="00DE4A50"/>
    <w:rsid w:val="00DF3FE0"/>
    <w:rsid w:val="00DF4D50"/>
    <w:rsid w:val="00E017EF"/>
    <w:rsid w:val="00E03362"/>
    <w:rsid w:val="00E133D5"/>
    <w:rsid w:val="00E1653F"/>
    <w:rsid w:val="00E20196"/>
    <w:rsid w:val="00E27CAF"/>
    <w:rsid w:val="00E310E0"/>
    <w:rsid w:val="00E32EC5"/>
    <w:rsid w:val="00E53047"/>
    <w:rsid w:val="00E53E12"/>
    <w:rsid w:val="00E56D04"/>
    <w:rsid w:val="00E61569"/>
    <w:rsid w:val="00E63077"/>
    <w:rsid w:val="00E65233"/>
    <w:rsid w:val="00E715FB"/>
    <w:rsid w:val="00E76C1A"/>
    <w:rsid w:val="00E81C5C"/>
    <w:rsid w:val="00E830EC"/>
    <w:rsid w:val="00E8500D"/>
    <w:rsid w:val="00EA28E5"/>
    <w:rsid w:val="00EA4256"/>
    <w:rsid w:val="00EA5AC1"/>
    <w:rsid w:val="00EA72ED"/>
    <w:rsid w:val="00EA79A9"/>
    <w:rsid w:val="00EB3F4C"/>
    <w:rsid w:val="00EC5528"/>
    <w:rsid w:val="00ED6BBC"/>
    <w:rsid w:val="00EE70C8"/>
    <w:rsid w:val="00EF4546"/>
    <w:rsid w:val="00F20340"/>
    <w:rsid w:val="00F22E15"/>
    <w:rsid w:val="00F32886"/>
    <w:rsid w:val="00F33175"/>
    <w:rsid w:val="00F37440"/>
    <w:rsid w:val="00F439DB"/>
    <w:rsid w:val="00F5009C"/>
    <w:rsid w:val="00F619FC"/>
    <w:rsid w:val="00F6698B"/>
    <w:rsid w:val="00F76A99"/>
    <w:rsid w:val="00F82B42"/>
    <w:rsid w:val="00F8315D"/>
    <w:rsid w:val="00F90E2A"/>
    <w:rsid w:val="00F915ED"/>
    <w:rsid w:val="00F93B80"/>
    <w:rsid w:val="00F94DB4"/>
    <w:rsid w:val="00FA068A"/>
    <w:rsid w:val="00FA6EEA"/>
    <w:rsid w:val="00FB1B92"/>
    <w:rsid w:val="00FB3DBC"/>
    <w:rsid w:val="00FB7F39"/>
    <w:rsid w:val="00FC5968"/>
    <w:rsid w:val="00FD35E7"/>
    <w:rsid w:val="00FD7C29"/>
    <w:rsid w:val="00FE6AD7"/>
    <w:rsid w:val="00FF3C50"/>
    <w:rsid w:val="013C5203"/>
    <w:rsid w:val="0198C250"/>
    <w:rsid w:val="01ADF594"/>
    <w:rsid w:val="01CB881B"/>
    <w:rsid w:val="01E78EE7"/>
    <w:rsid w:val="031E0B3E"/>
    <w:rsid w:val="0355D662"/>
    <w:rsid w:val="03792325"/>
    <w:rsid w:val="0397AA40"/>
    <w:rsid w:val="03A3FA97"/>
    <w:rsid w:val="03C6AC58"/>
    <w:rsid w:val="03FD53F8"/>
    <w:rsid w:val="0402D880"/>
    <w:rsid w:val="048E97E4"/>
    <w:rsid w:val="0546FD70"/>
    <w:rsid w:val="056E9088"/>
    <w:rsid w:val="0589A68B"/>
    <w:rsid w:val="058B3282"/>
    <w:rsid w:val="05A07491"/>
    <w:rsid w:val="05AF3873"/>
    <w:rsid w:val="05DF6C34"/>
    <w:rsid w:val="063FD07A"/>
    <w:rsid w:val="070079C2"/>
    <w:rsid w:val="07350D77"/>
    <w:rsid w:val="073CD8E1"/>
    <w:rsid w:val="07A43370"/>
    <w:rsid w:val="07AF72FE"/>
    <w:rsid w:val="088B83AC"/>
    <w:rsid w:val="08CAC70C"/>
    <w:rsid w:val="08DC734C"/>
    <w:rsid w:val="08FE3716"/>
    <w:rsid w:val="092DAD5F"/>
    <w:rsid w:val="0939315C"/>
    <w:rsid w:val="0941CE71"/>
    <w:rsid w:val="09C45F7F"/>
    <w:rsid w:val="0A463D7F"/>
    <w:rsid w:val="0A5E6CE7"/>
    <w:rsid w:val="0AAA54F4"/>
    <w:rsid w:val="0AAD4A33"/>
    <w:rsid w:val="0B25436A"/>
    <w:rsid w:val="0B4C6920"/>
    <w:rsid w:val="0B600D2E"/>
    <w:rsid w:val="0B757ABA"/>
    <w:rsid w:val="0B92BF02"/>
    <w:rsid w:val="0C859FE5"/>
    <w:rsid w:val="0C8CA640"/>
    <w:rsid w:val="0CF9CB27"/>
    <w:rsid w:val="0D031B70"/>
    <w:rsid w:val="0D2B9369"/>
    <w:rsid w:val="0D37BC6A"/>
    <w:rsid w:val="0D6BBD78"/>
    <w:rsid w:val="0DD5FA18"/>
    <w:rsid w:val="0DF8537B"/>
    <w:rsid w:val="0DFF15B3"/>
    <w:rsid w:val="0E31F5AD"/>
    <w:rsid w:val="0E38E3A0"/>
    <w:rsid w:val="0E676CF6"/>
    <w:rsid w:val="0EB3C674"/>
    <w:rsid w:val="0EED7A89"/>
    <w:rsid w:val="0F043479"/>
    <w:rsid w:val="0F0721BC"/>
    <w:rsid w:val="0F3BB9C2"/>
    <w:rsid w:val="0F7422BB"/>
    <w:rsid w:val="0F80D0E2"/>
    <w:rsid w:val="0F8FE916"/>
    <w:rsid w:val="103CF7A1"/>
    <w:rsid w:val="10726F12"/>
    <w:rsid w:val="10A7493D"/>
    <w:rsid w:val="10D4985D"/>
    <w:rsid w:val="11E3322E"/>
    <w:rsid w:val="12572FA3"/>
    <w:rsid w:val="127FA9ED"/>
    <w:rsid w:val="12D59ADD"/>
    <w:rsid w:val="1349BA31"/>
    <w:rsid w:val="13A35D86"/>
    <w:rsid w:val="14BD3D03"/>
    <w:rsid w:val="14F7A9A0"/>
    <w:rsid w:val="15060520"/>
    <w:rsid w:val="152408A9"/>
    <w:rsid w:val="157E829C"/>
    <w:rsid w:val="15A2AAE5"/>
    <w:rsid w:val="16021845"/>
    <w:rsid w:val="161C60A9"/>
    <w:rsid w:val="16AC3142"/>
    <w:rsid w:val="178FB072"/>
    <w:rsid w:val="17D33E44"/>
    <w:rsid w:val="17E822DF"/>
    <w:rsid w:val="17EDB943"/>
    <w:rsid w:val="181873E5"/>
    <w:rsid w:val="186293D3"/>
    <w:rsid w:val="189F4D60"/>
    <w:rsid w:val="18FFAB7D"/>
    <w:rsid w:val="19011C34"/>
    <w:rsid w:val="19823650"/>
    <w:rsid w:val="1A0D0BD0"/>
    <w:rsid w:val="1A5A49AE"/>
    <w:rsid w:val="1B0813B6"/>
    <w:rsid w:val="1B51B7BC"/>
    <w:rsid w:val="1BFF2279"/>
    <w:rsid w:val="1C29DE7E"/>
    <w:rsid w:val="1C649BB3"/>
    <w:rsid w:val="1CD34347"/>
    <w:rsid w:val="1CFA7EA1"/>
    <w:rsid w:val="1D44CA2B"/>
    <w:rsid w:val="1D6946C7"/>
    <w:rsid w:val="1D9A49AC"/>
    <w:rsid w:val="1DAFE2CC"/>
    <w:rsid w:val="1DDAE526"/>
    <w:rsid w:val="1E2B32A8"/>
    <w:rsid w:val="1E680A63"/>
    <w:rsid w:val="1ED7A6C7"/>
    <w:rsid w:val="1EE79EC5"/>
    <w:rsid w:val="1EFF8A9D"/>
    <w:rsid w:val="1FE2D774"/>
    <w:rsid w:val="201A1355"/>
    <w:rsid w:val="201FF519"/>
    <w:rsid w:val="2101D4DB"/>
    <w:rsid w:val="2117132F"/>
    <w:rsid w:val="216C8066"/>
    <w:rsid w:val="21880CDA"/>
    <w:rsid w:val="218ED594"/>
    <w:rsid w:val="21A325E7"/>
    <w:rsid w:val="21F88050"/>
    <w:rsid w:val="2217BC1C"/>
    <w:rsid w:val="224D0FE8"/>
    <w:rsid w:val="22986319"/>
    <w:rsid w:val="232CB8E1"/>
    <w:rsid w:val="23F33D4E"/>
    <w:rsid w:val="24815C46"/>
    <w:rsid w:val="24ADEF9C"/>
    <w:rsid w:val="25F37A00"/>
    <w:rsid w:val="261728AA"/>
    <w:rsid w:val="2650B63B"/>
    <w:rsid w:val="26848D8C"/>
    <w:rsid w:val="2697D725"/>
    <w:rsid w:val="269960F8"/>
    <w:rsid w:val="27251101"/>
    <w:rsid w:val="2734E310"/>
    <w:rsid w:val="28A2FAFA"/>
    <w:rsid w:val="28E90C73"/>
    <w:rsid w:val="28F50272"/>
    <w:rsid w:val="294FD3E5"/>
    <w:rsid w:val="29645ABD"/>
    <w:rsid w:val="298AF6DA"/>
    <w:rsid w:val="2A3F5B06"/>
    <w:rsid w:val="2A6BB0F3"/>
    <w:rsid w:val="2AB474E6"/>
    <w:rsid w:val="2B0E894E"/>
    <w:rsid w:val="2B229CBE"/>
    <w:rsid w:val="2B608F8C"/>
    <w:rsid w:val="2C23C54A"/>
    <w:rsid w:val="2C54AE0D"/>
    <w:rsid w:val="2CC9DD91"/>
    <w:rsid w:val="2D010F8E"/>
    <w:rsid w:val="2D793063"/>
    <w:rsid w:val="2E0E5DA0"/>
    <w:rsid w:val="2E64D6F7"/>
    <w:rsid w:val="2F1815A6"/>
    <w:rsid w:val="2F57274F"/>
    <w:rsid w:val="2F7DF14D"/>
    <w:rsid w:val="2FDB7834"/>
    <w:rsid w:val="3020C5D6"/>
    <w:rsid w:val="30539081"/>
    <w:rsid w:val="30AFF7C3"/>
    <w:rsid w:val="30F2872B"/>
    <w:rsid w:val="313F9578"/>
    <w:rsid w:val="31E1464E"/>
    <w:rsid w:val="326ED059"/>
    <w:rsid w:val="32B10ED2"/>
    <w:rsid w:val="3308C7FB"/>
    <w:rsid w:val="3380633A"/>
    <w:rsid w:val="3386DC84"/>
    <w:rsid w:val="33D30B7A"/>
    <w:rsid w:val="340CC84A"/>
    <w:rsid w:val="34551AA8"/>
    <w:rsid w:val="34CE911A"/>
    <w:rsid w:val="3506FCB5"/>
    <w:rsid w:val="356F49AD"/>
    <w:rsid w:val="357C11D9"/>
    <w:rsid w:val="3699AD22"/>
    <w:rsid w:val="36F4EEBD"/>
    <w:rsid w:val="37D599B4"/>
    <w:rsid w:val="385542F8"/>
    <w:rsid w:val="38EC41A1"/>
    <w:rsid w:val="39CC8887"/>
    <w:rsid w:val="39E8970A"/>
    <w:rsid w:val="3B2FDF7B"/>
    <w:rsid w:val="3BF7CBA0"/>
    <w:rsid w:val="3C7BFAB9"/>
    <w:rsid w:val="3C905643"/>
    <w:rsid w:val="3CACD113"/>
    <w:rsid w:val="3CAD3763"/>
    <w:rsid w:val="3D775F4E"/>
    <w:rsid w:val="3DA73D32"/>
    <w:rsid w:val="3E056278"/>
    <w:rsid w:val="3EAF84B4"/>
    <w:rsid w:val="3F16D8B4"/>
    <w:rsid w:val="3F357EA9"/>
    <w:rsid w:val="3F5F7326"/>
    <w:rsid w:val="3F841D7A"/>
    <w:rsid w:val="3FD599C4"/>
    <w:rsid w:val="412336F5"/>
    <w:rsid w:val="41B773BB"/>
    <w:rsid w:val="4211A7AE"/>
    <w:rsid w:val="42C57EE1"/>
    <w:rsid w:val="42D5E950"/>
    <w:rsid w:val="433E914C"/>
    <w:rsid w:val="434302F0"/>
    <w:rsid w:val="4344D04B"/>
    <w:rsid w:val="437DC6F9"/>
    <w:rsid w:val="43C850FD"/>
    <w:rsid w:val="441A991F"/>
    <w:rsid w:val="44775350"/>
    <w:rsid w:val="44B4684C"/>
    <w:rsid w:val="44B64066"/>
    <w:rsid w:val="44E8CFA9"/>
    <w:rsid w:val="4534DBCC"/>
    <w:rsid w:val="45D9EC5F"/>
    <w:rsid w:val="4731588D"/>
    <w:rsid w:val="4735FED0"/>
    <w:rsid w:val="473CCD6F"/>
    <w:rsid w:val="487AD7E3"/>
    <w:rsid w:val="4967CDB5"/>
    <w:rsid w:val="49EE00DE"/>
    <w:rsid w:val="49F13D86"/>
    <w:rsid w:val="4A390770"/>
    <w:rsid w:val="4A8E8F00"/>
    <w:rsid w:val="4AD8A2A4"/>
    <w:rsid w:val="4AD8A5EC"/>
    <w:rsid w:val="4B5DD4E7"/>
    <w:rsid w:val="4C0A85AC"/>
    <w:rsid w:val="4C12E714"/>
    <w:rsid w:val="4C9E1912"/>
    <w:rsid w:val="4D7EFBA2"/>
    <w:rsid w:val="4DBFC06C"/>
    <w:rsid w:val="4E8EC941"/>
    <w:rsid w:val="4EC2768B"/>
    <w:rsid w:val="4EC9EF5E"/>
    <w:rsid w:val="4F25727C"/>
    <w:rsid w:val="4F54D9B5"/>
    <w:rsid w:val="4F7F1FF5"/>
    <w:rsid w:val="4FA2E568"/>
    <w:rsid w:val="4FEB0B1B"/>
    <w:rsid w:val="502E8177"/>
    <w:rsid w:val="50A3529E"/>
    <w:rsid w:val="50E7E7A1"/>
    <w:rsid w:val="50FA59CB"/>
    <w:rsid w:val="510BAD4E"/>
    <w:rsid w:val="5165CE61"/>
    <w:rsid w:val="51DEDC69"/>
    <w:rsid w:val="52510727"/>
    <w:rsid w:val="525C0DAA"/>
    <w:rsid w:val="52B9224C"/>
    <w:rsid w:val="52EEEFC5"/>
    <w:rsid w:val="52F27846"/>
    <w:rsid w:val="534F80E4"/>
    <w:rsid w:val="5385684D"/>
    <w:rsid w:val="545CE152"/>
    <w:rsid w:val="54B31B10"/>
    <w:rsid w:val="5583BC8A"/>
    <w:rsid w:val="55A9F092"/>
    <w:rsid w:val="5696B08E"/>
    <w:rsid w:val="56F2EEFD"/>
    <w:rsid w:val="56FA375D"/>
    <w:rsid w:val="572298A4"/>
    <w:rsid w:val="572AD874"/>
    <w:rsid w:val="5755BA36"/>
    <w:rsid w:val="57851E33"/>
    <w:rsid w:val="57B0E720"/>
    <w:rsid w:val="57F39EFC"/>
    <w:rsid w:val="582C1AB2"/>
    <w:rsid w:val="5832B930"/>
    <w:rsid w:val="583CAB47"/>
    <w:rsid w:val="58D60E5A"/>
    <w:rsid w:val="59241C3D"/>
    <w:rsid w:val="59CCA18F"/>
    <w:rsid w:val="59D24C50"/>
    <w:rsid w:val="5A513C87"/>
    <w:rsid w:val="5AC88789"/>
    <w:rsid w:val="5AE10A2D"/>
    <w:rsid w:val="5B0C1D79"/>
    <w:rsid w:val="5B20C4F9"/>
    <w:rsid w:val="5B37D39D"/>
    <w:rsid w:val="5B65C166"/>
    <w:rsid w:val="5B802098"/>
    <w:rsid w:val="5B99EE8C"/>
    <w:rsid w:val="5C0EFFD7"/>
    <w:rsid w:val="5CCC873C"/>
    <w:rsid w:val="5CE4D3E1"/>
    <w:rsid w:val="5E602946"/>
    <w:rsid w:val="5E7C3260"/>
    <w:rsid w:val="5E808151"/>
    <w:rsid w:val="5EA1F650"/>
    <w:rsid w:val="5F0C0D9E"/>
    <w:rsid w:val="5F29A053"/>
    <w:rsid w:val="5F3F283E"/>
    <w:rsid w:val="5F404571"/>
    <w:rsid w:val="5F69360A"/>
    <w:rsid w:val="5F6D45DA"/>
    <w:rsid w:val="5F7D7FCC"/>
    <w:rsid w:val="5FBE24D7"/>
    <w:rsid w:val="5FC5E12E"/>
    <w:rsid w:val="5FD5F5C4"/>
    <w:rsid w:val="5FE65DC1"/>
    <w:rsid w:val="5FFEA49E"/>
    <w:rsid w:val="6008C25D"/>
    <w:rsid w:val="607D725E"/>
    <w:rsid w:val="60B02289"/>
    <w:rsid w:val="60F1872D"/>
    <w:rsid w:val="610AF3ED"/>
    <w:rsid w:val="616A2049"/>
    <w:rsid w:val="618C1E22"/>
    <w:rsid w:val="624DDFB3"/>
    <w:rsid w:val="62B29ABD"/>
    <w:rsid w:val="62DAF1F6"/>
    <w:rsid w:val="6333AB23"/>
    <w:rsid w:val="63369FE9"/>
    <w:rsid w:val="633E4F9D"/>
    <w:rsid w:val="637D5282"/>
    <w:rsid w:val="638B9066"/>
    <w:rsid w:val="63C40244"/>
    <w:rsid w:val="63EF0D3B"/>
    <w:rsid w:val="6410F582"/>
    <w:rsid w:val="642A79F0"/>
    <w:rsid w:val="646FFF07"/>
    <w:rsid w:val="64BF757D"/>
    <w:rsid w:val="64EDC50C"/>
    <w:rsid w:val="65114D65"/>
    <w:rsid w:val="65451DE3"/>
    <w:rsid w:val="6588AC3B"/>
    <w:rsid w:val="65914CE4"/>
    <w:rsid w:val="6598E855"/>
    <w:rsid w:val="65A99C5B"/>
    <w:rsid w:val="663692D4"/>
    <w:rsid w:val="666C3777"/>
    <w:rsid w:val="6697CD5C"/>
    <w:rsid w:val="66C39BB1"/>
    <w:rsid w:val="6721D219"/>
    <w:rsid w:val="67D17E1B"/>
    <w:rsid w:val="686AEE59"/>
    <w:rsid w:val="68A5FE84"/>
    <w:rsid w:val="691DAFBF"/>
    <w:rsid w:val="697C203A"/>
    <w:rsid w:val="698DDFB9"/>
    <w:rsid w:val="69BCCEFE"/>
    <w:rsid w:val="6A1260B6"/>
    <w:rsid w:val="6A6B5047"/>
    <w:rsid w:val="6B36C705"/>
    <w:rsid w:val="6B81A785"/>
    <w:rsid w:val="6BA533AA"/>
    <w:rsid w:val="6BE6F7C5"/>
    <w:rsid w:val="6C000427"/>
    <w:rsid w:val="6C1F9F3C"/>
    <w:rsid w:val="6CB42DBA"/>
    <w:rsid w:val="6CC11273"/>
    <w:rsid w:val="6CDB7224"/>
    <w:rsid w:val="6CE1BBFE"/>
    <w:rsid w:val="6D1A4C63"/>
    <w:rsid w:val="6E23CDA8"/>
    <w:rsid w:val="6EE840CC"/>
    <w:rsid w:val="6F4656B9"/>
    <w:rsid w:val="6FAB9411"/>
    <w:rsid w:val="6FB7CF54"/>
    <w:rsid w:val="70116E95"/>
    <w:rsid w:val="703C706E"/>
    <w:rsid w:val="7059A9F8"/>
    <w:rsid w:val="70B9512C"/>
    <w:rsid w:val="710B0ED5"/>
    <w:rsid w:val="71872EFF"/>
    <w:rsid w:val="718EE03C"/>
    <w:rsid w:val="71A337EC"/>
    <w:rsid w:val="71E726CD"/>
    <w:rsid w:val="72235D5F"/>
    <w:rsid w:val="7272D200"/>
    <w:rsid w:val="72821894"/>
    <w:rsid w:val="72A0C8C7"/>
    <w:rsid w:val="734F9448"/>
    <w:rsid w:val="73C09381"/>
    <w:rsid w:val="746DB6D8"/>
    <w:rsid w:val="74EAD835"/>
    <w:rsid w:val="75826D80"/>
    <w:rsid w:val="762E5E59"/>
    <w:rsid w:val="767ACF04"/>
    <w:rsid w:val="767DB512"/>
    <w:rsid w:val="76F1D0E5"/>
    <w:rsid w:val="770DE04D"/>
    <w:rsid w:val="777A8328"/>
    <w:rsid w:val="77B97C8D"/>
    <w:rsid w:val="784C2B38"/>
    <w:rsid w:val="78BC8EF6"/>
    <w:rsid w:val="78C739C1"/>
    <w:rsid w:val="78DA3D02"/>
    <w:rsid w:val="7954FAC2"/>
    <w:rsid w:val="7998E21C"/>
    <w:rsid w:val="7A3F6FC0"/>
    <w:rsid w:val="7A6CC96C"/>
    <w:rsid w:val="7C898AF1"/>
    <w:rsid w:val="7DB12C65"/>
    <w:rsid w:val="7E76A93D"/>
    <w:rsid w:val="7E7C7134"/>
    <w:rsid w:val="7E88BB46"/>
    <w:rsid w:val="7EBCE717"/>
    <w:rsid w:val="7ECE9217"/>
    <w:rsid w:val="7F0A3488"/>
    <w:rsid w:val="7F0C9991"/>
    <w:rsid w:val="7F99FD8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7D6BE"/>
  <w15:chartTrackingRefBased/>
  <w15:docId w15:val="{147025AF-276B-470F-BF94-52B1B378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6CD"/>
    <w:pPr>
      <w:ind w:firstLine="0"/>
      <w:jc w:val="both"/>
    </w:pPr>
    <w:rPr>
      <w:rFonts w:ascii="Times New Roman" w:hAnsi="Times New Roman"/>
      <w:sz w:val="26"/>
    </w:rPr>
  </w:style>
  <w:style w:type="paragraph" w:styleId="Heading1">
    <w:name w:val="heading 1"/>
    <w:basedOn w:val="Normal"/>
    <w:next w:val="Normal"/>
    <w:link w:val="Heading1Char"/>
    <w:uiPriority w:val="9"/>
    <w:qFormat/>
    <w:rsid w:val="00FD35E7"/>
    <w:pPr>
      <w:keepNext/>
      <w:keepLines/>
      <w:numPr>
        <w:numId w:val="9"/>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35E7"/>
    <w:pPr>
      <w:keepNext/>
      <w:keepLines/>
      <w:numPr>
        <w:ilvl w:val="1"/>
        <w:numId w:val="9"/>
      </w:numPr>
      <w:spacing w:before="40" w:line="360" w:lineRule="auto"/>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3836FB"/>
    <w:pPr>
      <w:keepNext/>
      <w:keepLines/>
      <w:numPr>
        <w:ilvl w:val="2"/>
        <w:numId w:val="9"/>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836FB"/>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36FB"/>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36FB"/>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36FB"/>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36FB"/>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36FB"/>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6CD"/>
    <w:pPr>
      <w:spacing w:after="160" w:line="259" w:lineRule="auto"/>
      <w:ind w:left="720"/>
      <w:contextualSpacing/>
      <w:jc w:val="left"/>
    </w:pPr>
    <w:rPr>
      <w:rFonts w:asciiTheme="minorHAnsi" w:hAnsiTheme="minorHAnsi"/>
      <w:sz w:val="22"/>
    </w:rPr>
  </w:style>
  <w:style w:type="paragraph" w:styleId="BalloonText">
    <w:name w:val="Balloon Text"/>
    <w:basedOn w:val="Normal"/>
    <w:link w:val="BalloonTextChar"/>
    <w:uiPriority w:val="99"/>
    <w:semiHidden/>
    <w:unhideWhenUsed/>
    <w:rsid w:val="00CE0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A9"/>
    <w:rPr>
      <w:rFonts w:ascii="Segoe UI" w:hAnsi="Segoe UI" w:cs="Segoe UI"/>
      <w:sz w:val="18"/>
      <w:szCs w:val="18"/>
    </w:rPr>
  </w:style>
  <w:style w:type="character" w:customStyle="1" w:styleId="Heading2Char">
    <w:name w:val="Heading 2 Char"/>
    <w:basedOn w:val="DefaultParagraphFont"/>
    <w:link w:val="Heading2"/>
    <w:uiPriority w:val="9"/>
    <w:rsid w:val="00FD35E7"/>
    <w:rPr>
      <w:rFonts w:asciiTheme="majorHAnsi" w:eastAsiaTheme="majorEastAsia" w:hAnsiTheme="majorHAnsi" w:cstheme="majorBidi"/>
      <w:color w:val="2F5496" w:themeColor="accent1" w:themeShade="BF"/>
      <w:sz w:val="26"/>
      <w:szCs w:val="26"/>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unhideWhenUsed/>
    <w:rsid w:val="00FD35E7"/>
    <w:rPr>
      <w:rFonts w:eastAsiaTheme="minorEastAsia"/>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FD35E7"/>
    <w:rPr>
      <w:rFonts w:ascii="Times New Roman" w:eastAsiaTheme="minorEastAsia" w:hAnsi="Times New Roman"/>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FD35E7"/>
    <w:rPr>
      <w:vertAlign w:val="superscript"/>
    </w:rPr>
  </w:style>
  <w:style w:type="character" w:styleId="CommentReference">
    <w:name w:val="annotation reference"/>
    <w:basedOn w:val="DefaultParagraphFont"/>
    <w:uiPriority w:val="99"/>
    <w:semiHidden/>
    <w:unhideWhenUsed/>
    <w:rsid w:val="00FD35E7"/>
    <w:rPr>
      <w:sz w:val="16"/>
      <w:szCs w:val="16"/>
    </w:rPr>
  </w:style>
  <w:style w:type="paragraph" w:styleId="CommentText">
    <w:name w:val="annotation text"/>
    <w:basedOn w:val="Normal"/>
    <w:link w:val="CommentTextChar"/>
    <w:uiPriority w:val="99"/>
    <w:unhideWhenUsed/>
    <w:rsid w:val="00FD35E7"/>
    <w:pPr>
      <w:spacing w:after="160"/>
    </w:pPr>
    <w:rPr>
      <w:rFonts w:eastAsiaTheme="minorEastAsia"/>
      <w:sz w:val="20"/>
      <w:szCs w:val="20"/>
    </w:rPr>
  </w:style>
  <w:style w:type="character" w:customStyle="1" w:styleId="CommentTextChar">
    <w:name w:val="Comment Text Char"/>
    <w:basedOn w:val="DefaultParagraphFont"/>
    <w:link w:val="CommentText"/>
    <w:uiPriority w:val="99"/>
    <w:rsid w:val="00FD35E7"/>
    <w:rPr>
      <w:rFonts w:ascii="Times New Roman" w:eastAsiaTheme="minorEastAsia" w:hAnsi="Times New Roman"/>
      <w:sz w:val="20"/>
      <w:szCs w:val="20"/>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FD35E7"/>
    <w:pPr>
      <w:spacing w:after="160" w:line="240" w:lineRule="exact"/>
      <w:textAlignment w:val="baseline"/>
    </w:pPr>
    <w:rPr>
      <w:rFonts w:asciiTheme="minorHAnsi" w:hAnsiTheme="minorHAnsi"/>
      <w:sz w:val="22"/>
      <w:vertAlign w:val="superscript"/>
    </w:rPr>
  </w:style>
  <w:style w:type="paragraph" w:styleId="BodyText">
    <w:name w:val="Body Text"/>
    <w:basedOn w:val="Normal"/>
    <w:link w:val="BodyTextChar"/>
    <w:semiHidden/>
    <w:rsid w:val="00FD35E7"/>
    <w:pPr>
      <w:jc w:val="left"/>
    </w:pPr>
    <w:rPr>
      <w:rFonts w:eastAsia="Times New Roman" w:cs="Times New Roman"/>
      <w:i/>
      <w:sz w:val="24"/>
      <w:szCs w:val="20"/>
      <w:lang w:eastAsia="lv-LV"/>
    </w:rPr>
  </w:style>
  <w:style w:type="character" w:customStyle="1" w:styleId="BodyTextChar">
    <w:name w:val="Body Text Char"/>
    <w:basedOn w:val="DefaultParagraphFont"/>
    <w:link w:val="BodyText"/>
    <w:semiHidden/>
    <w:rsid w:val="00FD35E7"/>
    <w:rPr>
      <w:rFonts w:ascii="Times New Roman" w:eastAsia="Times New Roman" w:hAnsi="Times New Roman" w:cs="Times New Roman"/>
      <w:i/>
      <w:sz w:val="24"/>
      <w:szCs w:val="20"/>
      <w:lang w:eastAsia="lv-LV"/>
    </w:rPr>
  </w:style>
  <w:style w:type="paragraph" w:styleId="BodyText2">
    <w:name w:val="Body Text 2"/>
    <w:basedOn w:val="Normal"/>
    <w:link w:val="BodyText2Char"/>
    <w:semiHidden/>
    <w:rsid w:val="00FD35E7"/>
    <w:rPr>
      <w:rFonts w:eastAsia="Times New Roman" w:cs="Times New Roman"/>
      <w:sz w:val="24"/>
      <w:szCs w:val="20"/>
      <w:lang w:eastAsia="lv-LV"/>
    </w:rPr>
  </w:style>
  <w:style w:type="character" w:customStyle="1" w:styleId="BodyText2Char">
    <w:name w:val="Body Text 2 Char"/>
    <w:basedOn w:val="DefaultParagraphFont"/>
    <w:link w:val="BodyText2"/>
    <w:semiHidden/>
    <w:rsid w:val="00FD35E7"/>
    <w:rPr>
      <w:rFonts w:ascii="Times New Roman" w:eastAsia="Times New Roman" w:hAnsi="Times New Roman" w:cs="Times New Roman"/>
      <w:sz w:val="24"/>
      <w:szCs w:val="20"/>
      <w:lang w:eastAsia="lv-LV"/>
    </w:rPr>
  </w:style>
  <w:style w:type="paragraph" w:styleId="Caption">
    <w:name w:val="caption"/>
    <w:basedOn w:val="Normal"/>
    <w:next w:val="Normal"/>
    <w:link w:val="CaptionChar"/>
    <w:unhideWhenUsed/>
    <w:rsid w:val="00FD35E7"/>
    <w:pPr>
      <w:widowControl w:val="0"/>
      <w:adjustRightInd w:val="0"/>
      <w:spacing w:after="120" w:line="0" w:lineRule="atLeast"/>
      <w:textAlignment w:val="baseline"/>
    </w:pPr>
    <w:rPr>
      <w:rFonts w:ascii="Arial" w:eastAsia="Times New Roman" w:hAnsi="Arial" w:cs="Times New Roman"/>
      <w:b/>
      <w:bCs/>
      <w:color w:val="000000"/>
      <w:sz w:val="14"/>
      <w:szCs w:val="18"/>
    </w:rPr>
  </w:style>
  <w:style w:type="character" w:customStyle="1" w:styleId="CaptionChar">
    <w:name w:val="Caption Char"/>
    <w:link w:val="Caption"/>
    <w:rsid w:val="00FD35E7"/>
    <w:rPr>
      <w:rFonts w:ascii="Arial" w:eastAsia="Times New Roman" w:hAnsi="Arial" w:cs="Times New Roman"/>
      <w:b/>
      <w:bCs/>
      <w:color w:val="000000"/>
      <w:sz w:val="14"/>
      <w:szCs w:val="18"/>
    </w:rPr>
  </w:style>
  <w:style w:type="table" w:styleId="TableGrid">
    <w:name w:val="Table Grid"/>
    <w:basedOn w:val="TableNormal"/>
    <w:uiPriority w:val="59"/>
    <w:rsid w:val="00FD35E7"/>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35E7"/>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836FB"/>
    <w:pPr>
      <w:spacing w:after="0"/>
    </w:pPr>
    <w:rPr>
      <w:rFonts w:eastAsiaTheme="minorHAnsi"/>
      <w:b/>
      <w:bCs/>
    </w:rPr>
  </w:style>
  <w:style w:type="character" w:customStyle="1" w:styleId="CommentSubjectChar">
    <w:name w:val="Comment Subject Char"/>
    <w:basedOn w:val="CommentTextChar"/>
    <w:link w:val="CommentSubject"/>
    <w:uiPriority w:val="99"/>
    <w:semiHidden/>
    <w:rsid w:val="003836FB"/>
    <w:rPr>
      <w:rFonts w:ascii="Times New Roman" w:eastAsiaTheme="minorEastAsia" w:hAnsi="Times New Roman"/>
      <w:b/>
      <w:bCs/>
      <w:sz w:val="20"/>
      <w:szCs w:val="20"/>
    </w:rPr>
  </w:style>
  <w:style w:type="character" w:customStyle="1" w:styleId="Heading3Char">
    <w:name w:val="Heading 3 Char"/>
    <w:basedOn w:val="DefaultParagraphFont"/>
    <w:link w:val="Heading3"/>
    <w:uiPriority w:val="9"/>
    <w:rsid w:val="003836F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836FB"/>
    <w:rPr>
      <w:rFonts w:asciiTheme="majorHAnsi" w:eastAsiaTheme="majorEastAsia" w:hAnsiTheme="majorHAnsi" w:cstheme="majorBidi"/>
      <w:i/>
      <w:iCs/>
      <w:color w:val="2F5496" w:themeColor="accent1" w:themeShade="BF"/>
      <w:sz w:val="26"/>
    </w:rPr>
  </w:style>
  <w:style w:type="character" w:customStyle="1" w:styleId="Heading5Char">
    <w:name w:val="Heading 5 Char"/>
    <w:basedOn w:val="DefaultParagraphFont"/>
    <w:link w:val="Heading5"/>
    <w:uiPriority w:val="9"/>
    <w:semiHidden/>
    <w:rsid w:val="003836FB"/>
    <w:rPr>
      <w:rFonts w:asciiTheme="majorHAnsi" w:eastAsiaTheme="majorEastAsia" w:hAnsiTheme="majorHAnsi" w:cstheme="majorBidi"/>
      <w:color w:val="2F5496" w:themeColor="accent1" w:themeShade="BF"/>
      <w:sz w:val="26"/>
    </w:rPr>
  </w:style>
  <w:style w:type="character" w:customStyle="1" w:styleId="Heading6Char">
    <w:name w:val="Heading 6 Char"/>
    <w:basedOn w:val="DefaultParagraphFont"/>
    <w:link w:val="Heading6"/>
    <w:uiPriority w:val="9"/>
    <w:semiHidden/>
    <w:rsid w:val="003836FB"/>
    <w:rPr>
      <w:rFonts w:asciiTheme="majorHAnsi" w:eastAsiaTheme="majorEastAsia" w:hAnsiTheme="majorHAnsi" w:cstheme="majorBidi"/>
      <w:color w:val="1F3763" w:themeColor="accent1" w:themeShade="7F"/>
      <w:sz w:val="26"/>
    </w:rPr>
  </w:style>
  <w:style w:type="character" w:customStyle="1" w:styleId="Heading7Char">
    <w:name w:val="Heading 7 Char"/>
    <w:basedOn w:val="DefaultParagraphFont"/>
    <w:link w:val="Heading7"/>
    <w:uiPriority w:val="9"/>
    <w:semiHidden/>
    <w:rsid w:val="003836FB"/>
    <w:rPr>
      <w:rFonts w:asciiTheme="majorHAnsi" w:eastAsiaTheme="majorEastAsia" w:hAnsiTheme="majorHAnsi" w:cstheme="majorBidi"/>
      <w:i/>
      <w:iCs/>
      <w:color w:val="1F3763" w:themeColor="accent1" w:themeShade="7F"/>
      <w:sz w:val="26"/>
    </w:rPr>
  </w:style>
  <w:style w:type="character" w:customStyle="1" w:styleId="Heading8Char">
    <w:name w:val="Heading 8 Char"/>
    <w:basedOn w:val="DefaultParagraphFont"/>
    <w:link w:val="Heading8"/>
    <w:uiPriority w:val="9"/>
    <w:semiHidden/>
    <w:rsid w:val="003836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36FB"/>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Emphasis">
    <w:name w:val="Emphasis"/>
    <w:basedOn w:val="DefaultParagraphFont"/>
    <w:uiPriority w:val="20"/>
    <w:qFormat/>
    <w:rsid w:val="00614473"/>
    <w:rPr>
      <w:i/>
      <w:iCs/>
    </w:rPr>
  </w:style>
  <w:style w:type="paragraph" w:styleId="Revision">
    <w:name w:val="Revision"/>
    <w:hidden/>
    <w:uiPriority w:val="99"/>
    <w:semiHidden/>
    <w:rsid w:val="00340C5E"/>
    <w:pPr>
      <w:ind w:firstLine="0"/>
    </w:pPr>
    <w:rPr>
      <w:rFonts w:ascii="Times New Roman" w:hAnsi="Times New Roman"/>
      <w:sz w:val="26"/>
    </w:rPr>
  </w:style>
  <w:style w:type="paragraph" w:styleId="TOCHeading">
    <w:name w:val="TOC Heading"/>
    <w:basedOn w:val="Heading1"/>
    <w:next w:val="Normal"/>
    <w:uiPriority w:val="39"/>
    <w:unhideWhenUsed/>
    <w:qFormat/>
    <w:rsid w:val="00472665"/>
    <w:pPr>
      <w:numPr>
        <w:numId w:val="0"/>
      </w:numPr>
      <w:spacing w:line="259" w:lineRule="auto"/>
      <w:jc w:val="left"/>
      <w:outlineLvl w:val="9"/>
    </w:pPr>
    <w:rPr>
      <w:lang w:val="en-US"/>
    </w:rPr>
  </w:style>
  <w:style w:type="paragraph" w:styleId="TOC1">
    <w:name w:val="toc 1"/>
    <w:basedOn w:val="Normal"/>
    <w:next w:val="Normal"/>
    <w:autoRedefine/>
    <w:uiPriority w:val="39"/>
    <w:unhideWhenUsed/>
    <w:rsid w:val="00472665"/>
    <w:pPr>
      <w:spacing w:after="100"/>
    </w:pPr>
  </w:style>
  <w:style w:type="paragraph" w:styleId="TOC2">
    <w:name w:val="toc 2"/>
    <w:basedOn w:val="Normal"/>
    <w:next w:val="Normal"/>
    <w:autoRedefine/>
    <w:uiPriority w:val="39"/>
    <w:unhideWhenUsed/>
    <w:rsid w:val="00472665"/>
    <w:pPr>
      <w:spacing w:after="100"/>
      <w:ind w:left="260"/>
    </w:pPr>
  </w:style>
  <w:style w:type="character" w:styleId="Hyperlink">
    <w:name w:val="Hyperlink"/>
    <w:basedOn w:val="DefaultParagraphFont"/>
    <w:uiPriority w:val="99"/>
    <w:unhideWhenUsed/>
    <w:rsid w:val="00472665"/>
    <w:rPr>
      <w:color w:val="0563C1" w:themeColor="hyperlink"/>
      <w:u w:val="single"/>
    </w:rPr>
  </w:style>
  <w:style w:type="paragraph" w:customStyle="1" w:styleId="naisc">
    <w:name w:val="naisc"/>
    <w:basedOn w:val="Normal"/>
    <w:rsid w:val="003F57A6"/>
    <w:pPr>
      <w:spacing w:before="75" w:after="75"/>
      <w:jc w:val="center"/>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259">
      <w:bodyDiv w:val="1"/>
      <w:marLeft w:val="0"/>
      <w:marRight w:val="0"/>
      <w:marTop w:val="0"/>
      <w:marBottom w:val="0"/>
      <w:divBdr>
        <w:top w:val="none" w:sz="0" w:space="0" w:color="auto"/>
        <w:left w:val="none" w:sz="0" w:space="0" w:color="auto"/>
        <w:bottom w:val="none" w:sz="0" w:space="0" w:color="auto"/>
        <w:right w:val="none" w:sz="0" w:space="0" w:color="auto"/>
      </w:divBdr>
    </w:div>
    <w:div w:id="40446375">
      <w:bodyDiv w:val="1"/>
      <w:marLeft w:val="0"/>
      <w:marRight w:val="0"/>
      <w:marTop w:val="0"/>
      <w:marBottom w:val="0"/>
      <w:divBdr>
        <w:top w:val="none" w:sz="0" w:space="0" w:color="auto"/>
        <w:left w:val="none" w:sz="0" w:space="0" w:color="auto"/>
        <w:bottom w:val="none" w:sz="0" w:space="0" w:color="auto"/>
        <w:right w:val="none" w:sz="0" w:space="0" w:color="auto"/>
      </w:divBdr>
    </w:div>
    <w:div w:id="61828730">
      <w:bodyDiv w:val="1"/>
      <w:marLeft w:val="0"/>
      <w:marRight w:val="0"/>
      <w:marTop w:val="0"/>
      <w:marBottom w:val="0"/>
      <w:divBdr>
        <w:top w:val="none" w:sz="0" w:space="0" w:color="auto"/>
        <w:left w:val="none" w:sz="0" w:space="0" w:color="auto"/>
        <w:bottom w:val="none" w:sz="0" w:space="0" w:color="auto"/>
        <w:right w:val="none" w:sz="0" w:space="0" w:color="auto"/>
      </w:divBdr>
    </w:div>
    <w:div w:id="83108275">
      <w:bodyDiv w:val="1"/>
      <w:marLeft w:val="0"/>
      <w:marRight w:val="0"/>
      <w:marTop w:val="0"/>
      <w:marBottom w:val="0"/>
      <w:divBdr>
        <w:top w:val="none" w:sz="0" w:space="0" w:color="auto"/>
        <w:left w:val="none" w:sz="0" w:space="0" w:color="auto"/>
        <w:bottom w:val="none" w:sz="0" w:space="0" w:color="auto"/>
        <w:right w:val="none" w:sz="0" w:space="0" w:color="auto"/>
      </w:divBdr>
    </w:div>
    <w:div w:id="97215923">
      <w:bodyDiv w:val="1"/>
      <w:marLeft w:val="0"/>
      <w:marRight w:val="0"/>
      <w:marTop w:val="0"/>
      <w:marBottom w:val="0"/>
      <w:divBdr>
        <w:top w:val="none" w:sz="0" w:space="0" w:color="auto"/>
        <w:left w:val="none" w:sz="0" w:space="0" w:color="auto"/>
        <w:bottom w:val="none" w:sz="0" w:space="0" w:color="auto"/>
        <w:right w:val="none" w:sz="0" w:space="0" w:color="auto"/>
      </w:divBdr>
    </w:div>
    <w:div w:id="192157291">
      <w:bodyDiv w:val="1"/>
      <w:marLeft w:val="0"/>
      <w:marRight w:val="0"/>
      <w:marTop w:val="0"/>
      <w:marBottom w:val="0"/>
      <w:divBdr>
        <w:top w:val="none" w:sz="0" w:space="0" w:color="auto"/>
        <w:left w:val="none" w:sz="0" w:space="0" w:color="auto"/>
        <w:bottom w:val="none" w:sz="0" w:space="0" w:color="auto"/>
        <w:right w:val="none" w:sz="0" w:space="0" w:color="auto"/>
      </w:divBdr>
    </w:div>
    <w:div w:id="336621022">
      <w:bodyDiv w:val="1"/>
      <w:marLeft w:val="0"/>
      <w:marRight w:val="0"/>
      <w:marTop w:val="0"/>
      <w:marBottom w:val="0"/>
      <w:divBdr>
        <w:top w:val="none" w:sz="0" w:space="0" w:color="auto"/>
        <w:left w:val="none" w:sz="0" w:space="0" w:color="auto"/>
        <w:bottom w:val="none" w:sz="0" w:space="0" w:color="auto"/>
        <w:right w:val="none" w:sz="0" w:space="0" w:color="auto"/>
      </w:divBdr>
    </w:div>
    <w:div w:id="337003376">
      <w:bodyDiv w:val="1"/>
      <w:marLeft w:val="0"/>
      <w:marRight w:val="0"/>
      <w:marTop w:val="0"/>
      <w:marBottom w:val="0"/>
      <w:divBdr>
        <w:top w:val="none" w:sz="0" w:space="0" w:color="auto"/>
        <w:left w:val="none" w:sz="0" w:space="0" w:color="auto"/>
        <w:bottom w:val="none" w:sz="0" w:space="0" w:color="auto"/>
        <w:right w:val="none" w:sz="0" w:space="0" w:color="auto"/>
      </w:divBdr>
      <w:divsChild>
        <w:div w:id="1059943032">
          <w:marLeft w:val="0"/>
          <w:marRight w:val="0"/>
          <w:marTop w:val="0"/>
          <w:marBottom w:val="0"/>
          <w:divBdr>
            <w:top w:val="none" w:sz="0" w:space="0" w:color="auto"/>
            <w:left w:val="none" w:sz="0" w:space="0" w:color="auto"/>
            <w:bottom w:val="none" w:sz="0" w:space="0" w:color="auto"/>
            <w:right w:val="none" w:sz="0" w:space="0" w:color="auto"/>
          </w:divBdr>
        </w:div>
      </w:divsChild>
    </w:div>
    <w:div w:id="365448068">
      <w:bodyDiv w:val="1"/>
      <w:marLeft w:val="0"/>
      <w:marRight w:val="0"/>
      <w:marTop w:val="0"/>
      <w:marBottom w:val="0"/>
      <w:divBdr>
        <w:top w:val="none" w:sz="0" w:space="0" w:color="auto"/>
        <w:left w:val="none" w:sz="0" w:space="0" w:color="auto"/>
        <w:bottom w:val="none" w:sz="0" w:space="0" w:color="auto"/>
        <w:right w:val="none" w:sz="0" w:space="0" w:color="auto"/>
      </w:divBdr>
    </w:div>
    <w:div w:id="383993845">
      <w:bodyDiv w:val="1"/>
      <w:marLeft w:val="0"/>
      <w:marRight w:val="0"/>
      <w:marTop w:val="0"/>
      <w:marBottom w:val="0"/>
      <w:divBdr>
        <w:top w:val="none" w:sz="0" w:space="0" w:color="auto"/>
        <w:left w:val="none" w:sz="0" w:space="0" w:color="auto"/>
        <w:bottom w:val="none" w:sz="0" w:space="0" w:color="auto"/>
        <w:right w:val="none" w:sz="0" w:space="0" w:color="auto"/>
      </w:divBdr>
    </w:div>
    <w:div w:id="468135214">
      <w:bodyDiv w:val="1"/>
      <w:marLeft w:val="0"/>
      <w:marRight w:val="0"/>
      <w:marTop w:val="0"/>
      <w:marBottom w:val="0"/>
      <w:divBdr>
        <w:top w:val="none" w:sz="0" w:space="0" w:color="auto"/>
        <w:left w:val="none" w:sz="0" w:space="0" w:color="auto"/>
        <w:bottom w:val="none" w:sz="0" w:space="0" w:color="auto"/>
        <w:right w:val="none" w:sz="0" w:space="0" w:color="auto"/>
      </w:divBdr>
    </w:div>
    <w:div w:id="510490445">
      <w:bodyDiv w:val="1"/>
      <w:marLeft w:val="0"/>
      <w:marRight w:val="0"/>
      <w:marTop w:val="0"/>
      <w:marBottom w:val="0"/>
      <w:divBdr>
        <w:top w:val="none" w:sz="0" w:space="0" w:color="auto"/>
        <w:left w:val="none" w:sz="0" w:space="0" w:color="auto"/>
        <w:bottom w:val="none" w:sz="0" w:space="0" w:color="auto"/>
        <w:right w:val="none" w:sz="0" w:space="0" w:color="auto"/>
      </w:divBdr>
    </w:div>
    <w:div w:id="606501435">
      <w:bodyDiv w:val="1"/>
      <w:marLeft w:val="0"/>
      <w:marRight w:val="0"/>
      <w:marTop w:val="0"/>
      <w:marBottom w:val="0"/>
      <w:divBdr>
        <w:top w:val="none" w:sz="0" w:space="0" w:color="auto"/>
        <w:left w:val="none" w:sz="0" w:space="0" w:color="auto"/>
        <w:bottom w:val="none" w:sz="0" w:space="0" w:color="auto"/>
        <w:right w:val="none" w:sz="0" w:space="0" w:color="auto"/>
      </w:divBdr>
      <w:divsChild>
        <w:div w:id="680665882">
          <w:marLeft w:val="360"/>
          <w:marRight w:val="0"/>
          <w:marTop w:val="200"/>
          <w:marBottom w:val="0"/>
          <w:divBdr>
            <w:top w:val="none" w:sz="0" w:space="0" w:color="auto"/>
            <w:left w:val="none" w:sz="0" w:space="0" w:color="auto"/>
            <w:bottom w:val="none" w:sz="0" w:space="0" w:color="auto"/>
            <w:right w:val="none" w:sz="0" w:space="0" w:color="auto"/>
          </w:divBdr>
        </w:div>
        <w:div w:id="1437867869">
          <w:marLeft w:val="360"/>
          <w:marRight w:val="0"/>
          <w:marTop w:val="200"/>
          <w:marBottom w:val="0"/>
          <w:divBdr>
            <w:top w:val="none" w:sz="0" w:space="0" w:color="auto"/>
            <w:left w:val="none" w:sz="0" w:space="0" w:color="auto"/>
            <w:bottom w:val="none" w:sz="0" w:space="0" w:color="auto"/>
            <w:right w:val="none" w:sz="0" w:space="0" w:color="auto"/>
          </w:divBdr>
        </w:div>
        <w:div w:id="1477144263">
          <w:marLeft w:val="360"/>
          <w:marRight w:val="0"/>
          <w:marTop w:val="200"/>
          <w:marBottom w:val="0"/>
          <w:divBdr>
            <w:top w:val="none" w:sz="0" w:space="0" w:color="auto"/>
            <w:left w:val="none" w:sz="0" w:space="0" w:color="auto"/>
            <w:bottom w:val="none" w:sz="0" w:space="0" w:color="auto"/>
            <w:right w:val="none" w:sz="0" w:space="0" w:color="auto"/>
          </w:divBdr>
        </w:div>
        <w:div w:id="1879976857">
          <w:marLeft w:val="360"/>
          <w:marRight w:val="0"/>
          <w:marTop w:val="200"/>
          <w:marBottom w:val="0"/>
          <w:divBdr>
            <w:top w:val="none" w:sz="0" w:space="0" w:color="auto"/>
            <w:left w:val="none" w:sz="0" w:space="0" w:color="auto"/>
            <w:bottom w:val="none" w:sz="0" w:space="0" w:color="auto"/>
            <w:right w:val="none" w:sz="0" w:space="0" w:color="auto"/>
          </w:divBdr>
        </w:div>
        <w:div w:id="1970158983">
          <w:marLeft w:val="360"/>
          <w:marRight w:val="0"/>
          <w:marTop w:val="200"/>
          <w:marBottom w:val="0"/>
          <w:divBdr>
            <w:top w:val="none" w:sz="0" w:space="0" w:color="auto"/>
            <w:left w:val="none" w:sz="0" w:space="0" w:color="auto"/>
            <w:bottom w:val="none" w:sz="0" w:space="0" w:color="auto"/>
            <w:right w:val="none" w:sz="0" w:space="0" w:color="auto"/>
          </w:divBdr>
        </w:div>
      </w:divsChild>
    </w:div>
    <w:div w:id="636451538">
      <w:bodyDiv w:val="1"/>
      <w:marLeft w:val="0"/>
      <w:marRight w:val="0"/>
      <w:marTop w:val="0"/>
      <w:marBottom w:val="0"/>
      <w:divBdr>
        <w:top w:val="none" w:sz="0" w:space="0" w:color="auto"/>
        <w:left w:val="none" w:sz="0" w:space="0" w:color="auto"/>
        <w:bottom w:val="none" w:sz="0" w:space="0" w:color="auto"/>
        <w:right w:val="none" w:sz="0" w:space="0" w:color="auto"/>
      </w:divBdr>
    </w:div>
    <w:div w:id="702554761">
      <w:bodyDiv w:val="1"/>
      <w:marLeft w:val="0"/>
      <w:marRight w:val="0"/>
      <w:marTop w:val="0"/>
      <w:marBottom w:val="0"/>
      <w:divBdr>
        <w:top w:val="none" w:sz="0" w:space="0" w:color="auto"/>
        <w:left w:val="none" w:sz="0" w:space="0" w:color="auto"/>
        <w:bottom w:val="none" w:sz="0" w:space="0" w:color="auto"/>
        <w:right w:val="none" w:sz="0" w:space="0" w:color="auto"/>
      </w:divBdr>
    </w:div>
    <w:div w:id="756026012">
      <w:bodyDiv w:val="1"/>
      <w:marLeft w:val="0"/>
      <w:marRight w:val="0"/>
      <w:marTop w:val="0"/>
      <w:marBottom w:val="0"/>
      <w:divBdr>
        <w:top w:val="none" w:sz="0" w:space="0" w:color="auto"/>
        <w:left w:val="none" w:sz="0" w:space="0" w:color="auto"/>
        <w:bottom w:val="none" w:sz="0" w:space="0" w:color="auto"/>
        <w:right w:val="none" w:sz="0" w:space="0" w:color="auto"/>
      </w:divBdr>
    </w:div>
    <w:div w:id="761024306">
      <w:bodyDiv w:val="1"/>
      <w:marLeft w:val="0"/>
      <w:marRight w:val="0"/>
      <w:marTop w:val="0"/>
      <w:marBottom w:val="0"/>
      <w:divBdr>
        <w:top w:val="none" w:sz="0" w:space="0" w:color="auto"/>
        <w:left w:val="none" w:sz="0" w:space="0" w:color="auto"/>
        <w:bottom w:val="none" w:sz="0" w:space="0" w:color="auto"/>
        <w:right w:val="none" w:sz="0" w:space="0" w:color="auto"/>
      </w:divBdr>
    </w:div>
    <w:div w:id="762187423">
      <w:bodyDiv w:val="1"/>
      <w:marLeft w:val="0"/>
      <w:marRight w:val="0"/>
      <w:marTop w:val="0"/>
      <w:marBottom w:val="0"/>
      <w:divBdr>
        <w:top w:val="none" w:sz="0" w:space="0" w:color="auto"/>
        <w:left w:val="none" w:sz="0" w:space="0" w:color="auto"/>
        <w:bottom w:val="none" w:sz="0" w:space="0" w:color="auto"/>
        <w:right w:val="none" w:sz="0" w:space="0" w:color="auto"/>
      </w:divBdr>
    </w:div>
    <w:div w:id="789010199">
      <w:bodyDiv w:val="1"/>
      <w:marLeft w:val="0"/>
      <w:marRight w:val="0"/>
      <w:marTop w:val="0"/>
      <w:marBottom w:val="0"/>
      <w:divBdr>
        <w:top w:val="none" w:sz="0" w:space="0" w:color="auto"/>
        <w:left w:val="none" w:sz="0" w:space="0" w:color="auto"/>
        <w:bottom w:val="none" w:sz="0" w:space="0" w:color="auto"/>
        <w:right w:val="none" w:sz="0" w:space="0" w:color="auto"/>
      </w:divBdr>
    </w:div>
    <w:div w:id="808133779">
      <w:bodyDiv w:val="1"/>
      <w:marLeft w:val="0"/>
      <w:marRight w:val="0"/>
      <w:marTop w:val="0"/>
      <w:marBottom w:val="0"/>
      <w:divBdr>
        <w:top w:val="none" w:sz="0" w:space="0" w:color="auto"/>
        <w:left w:val="none" w:sz="0" w:space="0" w:color="auto"/>
        <w:bottom w:val="none" w:sz="0" w:space="0" w:color="auto"/>
        <w:right w:val="none" w:sz="0" w:space="0" w:color="auto"/>
      </w:divBdr>
    </w:div>
    <w:div w:id="873618243">
      <w:bodyDiv w:val="1"/>
      <w:marLeft w:val="0"/>
      <w:marRight w:val="0"/>
      <w:marTop w:val="0"/>
      <w:marBottom w:val="0"/>
      <w:divBdr>
        <w:top w:val="none" w:sz="0" w:space="0" w:color="auto"/>
        <w:left w:val="none" w:sz="0" w:space="0" w:color="auto"/>
        <w:bottom w:val="none" w:sz="0" w:space="0" w:color="auto"/>
        <w:right w:val="none" w:sz="0" w:space="0" w:color="auto"/>
      </w:divBdr>
    </w:div>
    <w:div w:id="1056469088">
      <w:bodyDiv w:val="1"/>
      <w:marLeft w:val="0"/>
      <w:marRight w:val="0"/>
      <w:marTop w:val="0"/>
      <w:marBottom w:val="0"/>
      <w:divBdr>
        <w:top w:val="none" w:sz="0" w:space="0" w:color="auto"/>
        <w:left w:val="none" w:sz="0" w:space="0" w:color="auto"/>
        <w:bottom w:val="none" w:sz="0" w:space="0" w:color="auto"/>
        <w:right w:val="none" w:sz="0" w:space="0" w:color="auto"/>
      </w:divBdr>
    </w:div>
    <w:div w:id="1065179487">
      <w:bodyDiv w:val="1"/>
      <w:marLeft w:val="0"/>
      <w:marRight w:val="0"/>
      <w:marTop w:val="0"/>
      <w:marBottom w:val="0"/>
      <w:divBdr>
        <w:top w:val="none" w:sz="0" w:space="0" w:color="auto"/>
        <w:left w:val="none" w:sz="0" w:space="0" w:color="auto"/>
        <w:bottom w:val="none" w:sz="0" w:space="0" w:color="auto"/>
        <w:right w:val="none" w:sz="0" w:space="0" w:color="auto"/>
      </w:divBdr>
      <w:divsChild>
        <w:div w:id="628516324">
          <w:marLeft w:val="360"/>
          <w:marRight w:val="0"/>
          <w:marTop w:val="200"/>
          <w:marBottom w:val="0"/>
          <w:divBdr>
            <w:top w:val="none" w:sz="0" w:space="0" w:color="auto"/>
            <w:left w:val="none" w:sz="0" w:space="0" w:color="auto"/>
            <w:bottom w:val="none" w:sz="0" w:space="0" w:color="auto"/>
            <w:right w:val="none" w:sz="0" w:space="0" w:color="auto"/>
          </w:divBdr>
        </w:div>
        <w:div w:id="1347439496">
          <w:marLeft w:val="360"/>
          <w:marRight w:val="0"/>
          <w:marTop w:val="200"/>
          <w:marBottom w:val="0"/>
          <w:divBdr>
            <w:top w:val="none" w:sz="0" w:space="0" w:color="auto"/>
            <w:left w:val="none" w:sz="0" w:space="0" w:color="auto"/>
            <w:bottom w:val="none" w:sz="0" w:space="0" w:color="auto"/>
            <w:right w:val="none" w:sz="0" w:space="0" w:color="auto"/>
          </w:divBdr>
        </w:div>
      </w:divsChild>
    </w:div>
    <w:div w:id="1295792672">
      <w:bodyDiv w:val="1"/>
      <w:marLeft w:val="0"/>
      <w:marRight w:val="0"/>
      <w:marTop w:val="0"/>
      <w:marBottom w:val="0"/>
      <w:divBdr>
        <w:top w:val="none" w:sz="0" w:space="0" w:color="auto"/>
        <w:left w:val="none" w:sz="0" w:space="0" w:color="auto"/>
        <w:bottom w:val="none" w:sz="0" w:space="0" w:color="auto"/>
        <w:right w:val="none" w:sz="0" w:space="0" w:color="auto"/>
      </w:divBdr>
    </w:div>
    <w:div w:id="1297177863">
      <w:bodyDiv w:val="1"/>
      <w:marLeft w:val="0"/>
      <w:marRight w:val="0"/>
      <w:marTop w:val="0"/>
      <w:marBottom w:val="0"/>
      <w:divBdr>
        <w:top w:val="none" w:sz="0" w:space="0" w:color="auto"/>
        <w:left w:val="none" w:sz="0" w:space="0" w:color="auto"/>
        <w:bottom w:val="none" w:sz="0" w:space="0" w:color="auto"/>
        <w:right w:val="none" w:sz="0" w:space="0" w:color="auto"/>
      </w:divBdr>
    </w:div>
    <w:div w:id="1320764199">
      <w:bodyDiv w:val="1"/>
      <w:marLeft w:val="0"/>
      <w:marRight w:val="0"/>
      <w:marTop w:val="0"/>
      <w:marBottom w:val="0"/>
      <w:divBdr>
        <w:top w:val="none" w:sz="0" w:space="0" w:color="auto"/>
        <w:left w:val="none" w:sz="0" w:space="0" w:color="auto"/>
        <w:bottom w:val="none" w:sz="0" w:space="0" w:color="auto"/>
        <w:right w:val="none" w:sz="0" w:space="0" w:color="auto"/>
      </w:divBdr>
    </w:div>
    <w:div w:id="1396585284">
      <w:bodyDiv w:val="1"/>
      <w:marLeft w:val="0"/>
      <w:marRight w:val="0"/>
      <w:marTop w:val="0"/>
      <w:marBottom w:val="0"/>
      <w:divBdr>
        <w:top w:val="none" w:sz="0" w:space="0" w:color="auto"/>
        <w:left w:val="none" w:sz="0" w:space="0" w:color="auto"/>
        <w:bottom w:val="none" w:sz="0" w:space="0" w:color="auto"/>
        <w:right w:val="none" w:sz="0" w:space="0" w:color="auto"/>
      </w:divBdr>
      <w:divsChild>
        <w:div w:id="44450537">
          <w:marLeft w:val="360"/>
          <w:marRight w:val="0"/>
          <w:marTop w:val="200"/>
          <w:marBottom w:val="0"/>
          <w:divBdr>
            <w:top w:val="none" w:sz="0" w:space="0" w:color="auto"/>
            <w:left w:val="none" w:sz="0" w:space="0" w:color="auto"/>
            <w:bottom w:val="none" w:sz="0" w:space="0" w:color="auto"/>
            <w:right w:val="none" w:sz="0" w:space="0" w:color="auto"/>
          </w:divBdr>
        </w:div>
        <w:div w:id="1223297005">
          <w:marLeft w:val="360"/>
          <w:marRight w:val="0"/>
          <w:marTop w:val="200"/>
          <w:marBottom w:val="0"/>
          <w:divBdr>
            <w:top w:val="none" w:sz="0" w:space="0" w:color="auto"/>
            <w:left w:val="none" w:sz="0" w:space="0" w:color="auto"/>
            <w:bottom w:val="none" w:sz="0" w:space="0" w:color="auto"/>
            <w:right w:val="none" w:sz="0" w:space="0" w:color="auto"/>
          </w:divBdr>
        </w:div>
        <w:div w:id="1287346738">
          <w:marLeft w:val="360"/>
          <w:marRight w:val="0"/>
          <w:marTop w:val="200"/>
          <w:marBottom w:val="0"/>
          <w:divBdr>
            <w:top w:val="none" w:sz="0" w:space="0" w:color="auto"/>
            <w:left w:val="none" w:sz="0" w:space="0" w:color="auto"/>
            <w:bottom w:val="none" w:sz="0" w:space="0" w:color="auto"/>
            <w:right w:val="none" w:sz="0" w:space="0" w:color="auto"/>
          </w:divBdr>
        </w:div>
      </w:divsChild>
    </w:div>
    <w:div w:id="1406106944">
      <w:bodyDiv w:val="1"/>
      <w:marLeft w:val="0"/>
      <w:marRight w:val="0"/>
      <w:marTop w:val="0"/>
      <w:marBottom w:val="0"/>
      <w:divBdr>
        <w:top w:val="none" w:sz="0" w:space="0" w:color="auto"/>
        <w:left w:val="none" w:sz="0" w:space="0" w:color="auto"/>
        <w:bottom w:val="none" w:sz="0" w:space="0" w:color="auto"/>
        <w:right w:val="none" w:sz="0" w:space="0" w:color="auto"/>
      </w:divBdr>
    </w:div>
    <w:div w:id="1463501602">
      <w:bodyDiv w:val="1"/>
      <w:marLeft w:val="0"/>
      <w:marRight w:val="0"/>
      <w:marTop w:val="0"/>
      <w:marBottom w:val="0"/>
      <w:divBdr>
        <w:top w:val="none" w:sz="0" w:space="0" w:color="auto"/>
        <w:left w:val="none" w:sz="0" w:space="0" w:color="auto"/>
        <w:bottom w:val="none" w:sz="0" w:space="0" w:color="auto"/>
        <w:right w:val="none" w:sz="0" w:space="0" w:color="auto"/>
      </w:divBdr>
    </w:div>
    <w:div w:id="1667897204">
      <w:bodyDiv w:val="1"/>
      <w:marLeft w:val="0"/>
      <w:marRight w:val="0"/>
      <w:marTop w:val="0"/>
      <w:marBottom w:val="0"/>
      <w:divBdr>
        <w:top w:val="none" w:sz="0" w:space="0" w:color="auto"/>
        <w:left w:val="none" w:sz="0" w:space="0" w:color="auto"/>
        <w:bottom w:val="none" w:sz="0" w:space="0" w:color="auto"/>
        <w:right w:val="none" w:sz="0" w:space="0" w:color="auto"/>
      </w:divBdr>
    </w:div>
    <w:div w:id="1708066677">
      <w:bodyDiv w:val="1"/>
      <w:marLeft w:val="0"/>
      <w:marRight w:val="0"/>
      <w:marTop w:val="0"/>
      <w:marBottom w:val="0"/>
      <w:divBdr>
        <w:top w:val="none" w:sz="0" w:space="0" w:color="auto"/>
        <w:left w:val="none" w:sz="0" w:space="0" w:color="auto"/>
        <w:bottom w:val="none" w:sz="0" w:space="0" w:color="auto"/>
        <w:right w:val="none" w:sz="0" w:space="0" w:color="auto"/>
      </w:divBdr>
    </w:div>
    <w:div w:id="1721244679">
      <w:bodyDiv w:val="1"/>
      <w:marLeft w:val="0"/>
      <w:marRight w:val="0"/>
      <w:marTop w:val="0"/>
      <w:marBottom w:val="0"/>
      <w:divBdr>
        <w:top w:val="none" w:sz="0" w:space="0" w:color="auto"/>
        <w:left w:val="none" w:sz="0" w:space="0" w:color="auto"/>
        <w:bottom w:val="none" w:sz="0" w:space="0" w:color="auto"/>
        <w:right w:val="none" w:sz="0" w:space="0" w:color="auto"/>
      </w:divBdr>
    </w:div>
    <w:div w:id="1749426272">
      <w:bodyDiv w:val="1"/>
      <w:marLeft w:val="0"/>
      <w:marRight w:val="0"/>
      <w:marTop w:val="0"/>
      <w:marBottom w:val="0"/>
      <w:divBdr>
        <w:top w:val="none" w:sz="0" w:space="0" w:color="auto"/>
        <w:left w:val="none" w:sz="0" w:space="0" w:color="auto"/>
        <w:bottom w:val="none" w:sz="0" w:space="0" w:color="auto"/>
        <w:right w:val="none" w:sz="0" w:space="0" w:color="auto"/>
      </w:divBdr>
    </w:div>
    <w:div w:id="1757895248">
      <w:bodyDiv w:val="1"/>
      <w:marLeft w:val="0"/>
      <w:marRight w:val="0"/>
      <w:marTop w:val="0"/>
      <w:marBottom w:val="0"/>
      <w:divBdr>
        <w:top w:val="none" w:sz="0" w:space="0" w:color="auto"/>
        <w:left w:val="none" w:sz="0" w:space="0" w:color="auto"/>
        <w:bottom w:val="none" w:sz="0" w:space="0" w:color="auto"/>
        <w:right w:val="none" w:sz="0" w:space="0" w:color="auto"/>
      </w:divBdr>
    </w:div>
    <w:div w:id="1767379426">
      <w:bodyDiv w:val="1"/>
      <w:marLeft w:val="0"/>
      <w:marRight w:val="0"/>
      <w:marTop w:val="0"/>
      <w:marBottom w:val="0"/>
      <w:divBdr>
        <w:top w:val="none" w:sz="0" w:space="0" w:color="auto"/>
        <w:left w:val="none" w:sz="0" w:space="0" w:color="auto"/>
        <w:bottom w:val="none" w:sz="0" w:space="0" w:color="auto"/>
        <w:right w:val="none" w:sz="0" w:space="0" w:color="auto"/>
      </w:divBdr>
    </w:div>
    <w:div w:id="1842043114">
      <w:bodyDiv w:val="1"/>
      <w:marLeft w:val="0"/>
      <w:marRight w:val="0"/>
      <w:marTop w:val="0"/>
      <w:marBottom w:val="0"/>
      <w:divBdr>
        <w:top w:val="none" w:sz="0" w:space="0" w:color="auto"/>
        <w:left w:val="none" w:sz="0" w:space="0" w:color="auto"/>
        <w:bottom w:val="none" w:sz="0" w:space="0" w:color="auto"/>
        <w:right w:val="none" w:sz="0" w:space="0" w:color="auto"/>
      </w:divBdr>
    </w:div>
    <w:div w:id="1842500503">
      <w:bodyDiv w:val="1"/>
      <w:marLeft w:val="0"/>
      <w:marRight w:val="0"/>
      <w:marTop w:val="0"/>
      <w:marBottom w:val="0"/>
      <w:divBdr>
        <w:top w:val="none" w:sz="0" w:space="0" w:color="auto"/>
        <w:left w:val="none" w:sz="0" w:space="0" w:color="auto"/>
        <w:bottom w:val="none" w:sz="0" w:space="0" w:color="auto"/>
        <w:right w:val="none" w:sz="0" w:space="0" w:color="auto"/>
      </w:divBdr>
    </w:div>
    <w:div w:id="1900707474">
      <w:bodyDiv w:val="1"/>
      <w:marLeft w:val="0"/>
      <w:marRight w:val="0"/>
      <w:marTop w:val="0"/>
      <w:marBottom w:val="0"/>
      <w:divBdr>
        <w:top w:val="none" w:sz="0" w:space="0" w:color="auto"/>
        <w:left w:val="none" w:sz="0" w:space="0" w:color="auto"/>
        <w:bottom w:val="none" w:sz="0" w:space="0" w:color="auto"/>
        <w:right w:val="none" w:sz="0" w:space="0" w:color="auto"/>
      </w:divBdr>
    </w:div>
    <w:div w:id="1999459249">
      <w:bodyDiv w:val="1"/>
      <w:marLeft w:val="0"/>
      <w:marRight w:val="0"/>
      <w:marTop w:val="0"/>
      <w:marBottom w:val="0"/>
      <w:divBdr>
        <w:top w:val="none" w:sz="0" w:space="0" w:color="auto"/>
        <w:left w:val="none" w:sz="0" w:space="0" w:color="auto"/>
        <w:bottom w:val="none" w:sz="0" w:space="0" w:color="auto"/>
        <w:right w:val="none" w:sz="0" w:space="0" w:color="auto"/>
      </w:divBdr>
      <w:divsChild>
        <w:div w:id="12369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petition/elojade/isef/case_details.cfm?proc_code=3_SA_42854" TargetMode="External"/><Relationship Id="rId1" Type="http://schemas.openxmlformats.org/officeDocument/2006/relationships/hyperlink" Target="https://ec.europa.eu/competition/elojade/isef/case_details.cfm?proc_code=3_SA_43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1" ma:contentTypeDescription="Create a new document." ma:contentTypeScope="" ma:versionID="3d4c82f3e5358b4896337e63c9450142">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b665a88ace6102841f906754d1dd951"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4096-2492-4F5F-84CF-DC59F83916F4}">
  <ds:schemaRefs>
    <ds:schemaRef ds:uri="http://schemas.microsoft.com/sharepoint/v3/contenttype/forms"/>
  </ds:schemaRefs>
</ds:datastoreItem>
</file>

<file path=customXml/itemProps2.xml><?xml version="1.0" encoding="utf-8"?>
<ds:datastoreItem xmlns:ds="http://schemas.openxmlformats.org/officeDocument/2006/customXml" ds:itemID="{A3AF7C7B-D994-47CC-9133-161543CA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ECEAC-432C-437E-B8F1-5DF2AAE451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DEE90F-E1AF-469B-8114-BD3B3E43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23674</Words>
  <Characters>13495</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Kompleksi pasākumi obligātā iepirkuma komponentes problemātikas risināšanai un elektroenerģijas tirgus attīstībai</vt:lpstr>
    </vt:vector>
  </TitlesOfParts>
  <Company>Ekonomikas ministrija</Company>
  <LinksUpToDate>false</LinksUpToDate>
  <CharactersWithSpaces>37095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Kompleksi pasākumi obligātā iepirkuma komponentes problemātikas risināšanai un elektroenerģijas tirgus attīstībai</dc:title>
  <dc:subject>Konceptuāls ziņojums</dc:subject>
  <dc:creator>Līga Mičule</dc:creator>
  <cp:keywords/>
  <dc:description>67013030, Liga.Micule@em.gov.lv</dc:description>
  <cp:lastModifiedBy>Edmunds Valantis</cp:lastModifiedBy>
  <cp:revision>7</cp:revision>
  <cp:lastPrinted>2020-08-17T11:46:00Z</cp:lastPrinted>
  <dcterms:created xsi:type="dcterms:W3CDTF">2020-09-21T07:16:00Z</dcterms:created>
  <dcterms:modified xsi:type="dcterms:W3CDTF">2020-09-21T11:19:00Z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