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626A" w14:textId="77777777" w:rsidR="002A580A" w:rsidRDefault="008E55F7">
      <w:pPr>
        <w:shd w:val="clear" w:color="auto" w:fill="FFFFFF"/>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5.pielikums</w:t>
      </w:r>
      <w:r>
        <w:rPr>
          <w:rFonts w:ascii="Times New Roman" w:eastAsia="Times New Roman" w:hAnsi="Times New Roman"/>
          <w:sz w:val="24"/>
          <w:szCs w:val="24"/>
          <w:lang w:eastAsia="lv-LV"/>
        </w:rPr>
        <w:br/>
        <w:t>Ministru kabineta</w:t>
      </w:r>
      <w:r>
        <w:rPr>
          <w:rFonts w:ascii="Times New Roman" w:eastAsia="Times New Roman" w:hAnsi="Times New Roman"/>
          <w:sz w:val="24"/>
          <w:szCs w:val="24"/>
          <w:lang w:eastAsia="lv-LV"/>
        </w:rPr>
        <w:br/>
        <w:t>2020.gada ___.septembra noteikumiem Nr.</w:t>
      </w:r>
      <w:bookmarkStart w:id="0" w:name="piel-275510"/>
      <w:bookmarkEnd w:id="0"/>
      <w:r>
        <w:rPr>
          <w:rFonts w:ascii="Times New Roman" w:eastAsia="Times New Roman" w:hAnsi="Times New Roman"/>
          <w:sz w:val="24"/>
          <w:szCs w:val="24"/>
          <w:lang w:eastAsia="lv-LV"/>
        </w:rPr>
        <w:t>_____</w:t>
      </w:r>
    </w:p>
    <w:p w14:paraId="52EA4F61" w14:textId="77777777" w:rsidR="002A580A" w:rsidRDefault="002A580A">
      <w:pPr>
        <w:shd w:val="clear" w:color="auto" w:fill="FFFFFF"/>
        <w:spacing w:after="0" w:line="240" w:lineRule="auto"/>
        <w:jc w:val="center"/>
        <w:rPr>
          <w:rFonts w:ascii="Times New Roman" w:eastAsia="Times New Roman" w:hAnsi="Times New Roman"/>
          <w:b/>
          <w:bCs/>
          <w:sz w:val="24"/>
          <w:szCs w:val="24"/>
          <w:shd w:val="clear" w:color="auto" w:fill="FFFF00"/>
          <w:lang w:eastAsia="lv-LV"/>
        </w:rPr>
      </w:pPr>
    </w:p>
    <w:p w14:paraId="01F41209" w14:textId="77777777" w:rsidR="002A580A" w:rsidRDefault="008E55F7">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Kvalitātes vērtēšanas kritēriji</w:t>
      </w:r>
    </w:p>
    <w:p w14:paraId="0B6495ED" w14:textId="77777777" w:rsidR="002A580A" w:rsidRDefault="002A580A">
      <w:pPr>
        <w:shd w:val="clear" w:color="auto" w:fill="FFFFFF"/>
        <w:spacing w:after="0" w:line="240" w:lineRule="auto"/>
        <w:jc w:val="center"/>
      </w:pPr>
    </w:p>
    <w:tbl>
      <w:tblPr>
        <w:tblW w:w="5000" w:type="pct"/>
        <w:tblCellMar>
          <w:left w:w="10" w:type="dxa"/>
          <w:right w:w="10" w:type="dxa"/>
        </w:tblCellMar>
        <w:tblLook w:val="0000" w:firstRow="0" w:lastRow="0" w:firstColumn="0" w:lastColumn="0" w:noHBand="0" w:noVBand="0"/>
      </w:tblPr>
      <w:tblGrid>
        <w:gridCol w:w="746"/>
        <w:gridCol w:w="6300"/>
        <w:gridCol w:w="1244"/>
      </w:tblGrid>
      <w:tr w:rsidR="002A580A" w14:paraId="37810F6C" w14:textId="77777777">
        <w:trPr>
          <w:trHeight w:val="607"/>
        </w:trPr>
        <w:tc>
          <w:tcPr>
            <w:tcW w:w="7046" w:type="dxa"/>
            <w:gridSpan w:val="2"/>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vAlign w:val="center"/>
          </w:tcPr>
          <w:p w14:paraId="2CD8507C" w14:textId="77777777" w:rsidR="002A580A" w:rsidRDefault="008E55F7">
            <w:pPr>
              <w:spacing w:after="0" w:line="240" w:lineRule="auto"/>
              <w:jc w:val="center"/>
            </w:pPr>
            <w:r>
              <w:rPr>
                <w:rFonts w:ascii="Times New Roman" w:eastAsia="Times New Roman" w:hAnsi="Times New Roman"/>
                <w:sz w:val="24"/>
                <w:szCs w:val="24"/>
                <w:lang w:eastAsia="lv-LV"/>
              </w:rPr>
              <w:t>Vērtēšanas kritēriji</w:t>
            </w:r>
          </w:p>
        </w:tc>
        <w:tc>
          <w:tcPr>
            <w:tcW w:w="1244" w:type="dxa"/>
            <w:tcBorders>
              <w:top w:val="outset" w:sz="6" w:space="0" w:color="414142"/>
              <w:left w:val="outset" w:sz="6" w:space="0" w:color="414142"/>
              <w:right w:val="outset" w:sz="6" w:space="0" w:color="414142"/>
            </w:tcBorders>
            <w:shd w:val="clear" w:color="auto" w:fill="auto"/>
            <w:tcMar>
              <w:top w:w="20" w:type="dxa"/>
              <w:left w:w="20" w:type="dxa"/>
              <w:bottom w:w="20" w:type="dxa"/>
              <w:right w:w="20" w:type="dxa"/>
            </w:tcMar>
          </w:tcPr>
          <w:p w14:paraId="0194760A" w14:textId="77777777" w:rsidR="002A580A" w:rsidRDefault="008E55F7">
            <w:pPr>
              <w:spacing w:after="0" w:line="240" w:lineRule="auto"/>
              <w:jc w:val="center"/>
            </w:pPr>
            <w:r>
              <w:rPr>
                <w:rFonts w:ascii="Times New Roman" w:eastAsia="Times New Roman" w:hAnsi="Times New Roman"/>
                <w:sz w:val="24"/>
                <w:szCs w:val="24"/>
                <w:lang w:eastAsia="lv-LV"/>
              </w:rPr>
              <w:t>Atzīme par atbilstību</w:t>
            </w:r>
          </w:p>
        </w:tc>
      </w:tr>
      <w:tr w:rsidR="002A580A" w14:paraId="3A2B1AF9" w14:textId="77777777">
        <w:tc>
          <w:tcPr>
            <w:tcW w:w="746"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6D3983C1" w14:textId="408ADC6B" w:rsidR="002A580A" w:rsidRDefault="00D817A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8E55F7">
              <w:rPr>
                <w:rFonts w:ascii="Times New Roman" w:eastAsia="Times New Roman" w:hAnsi="Times New Roman"/>
                <w:sz w:val="24"/>
                <w:szCs w:val="24"/>
                <w:lang w:eastAsia="lv-LV"/>
              </w:rPr>
              <w:t>.</w:t>
            </w: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528064D2" w14:textId="095AC64B" w:rsidR="002A580A" w:rsidRDefault="008E55F7">
            <w:pPr>
              <w:spacing w:after="0" w:line="240" w:lineRule="auto"/>
            </w:pPr>
            <w:r>
              <w:rPr>
                <w:rFonts w:ascii="Times New Roman" w:eastAsia="Times New Roman" w:hAnsi="Times New Roman"/>
                <w:sz w:val="24"/>
                <w:szCs w:val="24"/>
                <w:lang w:eastAsia="lv-LV"/>
              </w:rPr>
              <w:t xml:space="preserve">Elektroenerģija tiek ražota koģenerācijas procesā un vismaz 50 % no saražotā siltumenerģijas daudzuma, kas paliek pāri no tā izmantošanas elektrostacijas pašas vajadzībām, tiek izmantoti lietderīgi. Par siltumenerģijas lietderīgu izlietojumu komersants kopā ar iesniegumu iesniedzis siltumenerģijas pārdošanas līguma vai nodomu protokola par siltumenerģijas pārdošanu apliecinātu kopiju. </w:t>
            </w:r>
            <w:r w:rsidR="00B243BA">
              <w:rPr>
                <w:rFonts w:ascii="Times New Roman" w:eastAsia="Times New Roman" w:hAnsi="Times New Roman"/>
                <w:sz w:val="24"/>
                <w:szCs w:val="24"/>
                <w:lang w:eastAsia="lv-LV"/>
              </w:rPr>
              <w:t>K</w:t>
            </w:r>
            <w:r>
              <w:rPr>
                <w:rFonts w:ascii="Times New Roman" w:eastAsia="Times New Roman" w:hAnsi="Times New Roman"/>
                <w:sz w:val="24"/>
                <w:szCs w:val="24"/>
                <w:lang w:eastAsia="lv-LV"/>
              </w:rPr>
              <w:t>oģenerācijas elektrostacijas tehnoloģiskais pašpatēriņš nedrīkst pārsniegt 30 % no koģenerācijas elektrostacijā saražotās siltumenerģijas</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22A8A0BC"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3C292C4B" w14:textId="77777777">
        <w:tc>
          <w:tcPr>
            <w:tcW w:w="746"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22B691A9" w14:textId="13BBECC2" w:rsidR="002A580A" w:rsidRDefault="00D817A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8E55F7">
              <w:rPr>
                <w:rFonts w:ascii="Times New Roman" w:eastAsia="Times New Roman" w:hAnsi="Times New Roman"/>
                <w:sz w:val="24"/>
                <w:szCs w:val="24"/>
                <w:lang w:eastAsia="lv-LV"/>
              </w:rPr>
              <w:t>.</w:t>
            </w: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50FEB3A5" w14:textId="77777777" w:rsidR="002A580A" w:rsidRDefault="008E55F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Komersants kopā ar iesniegumu ir iesniedzis dokumentus, kas apliecina enerģijas ražošanai nepieciešamo izejvielu esību vai piegādi, un izejvielu piegādes attālums nepārsniedz 50 km</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563EA412"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3C7488A3" w14:textId="77777777">
        <w:tc>
          <w:tcPr>
            <w:tcW w:w="746" w:type="dxa"/>
            <w:vMerge w:val="restart"/>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1295065A" w14:textId="7D21F6C6" w:rsidR="002A580A" w:rsidRDefault="00D817A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w:t>
            </w: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7A215AA5" w14:textId="65CE5F98" w:rsidR="002A580A" w:rsidRDefault="008E55F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Komersants </w:t>
            </w:r>
            <w:r w:rsidR="00B243BA">
              <w:rPr>
                <w:rFonts w:ascii="Times New Roman" w:eastAsia="Times New Roman" w:hAnsi="Times New Roman"/>
                <w:sz w:val="24"/>
                <w:szCs w:val="24"/>
                <w:lang w:eastAsia="lv-LV"/>
              </w:rPr>
              <w:t xml:space="preserve">kopā ar iesniegumu iesniedzamajā elektrostacijas aprakstā norādījis, ka </w:t>
            </w:r>
            <w:r>
              <w:rPr>
                <w:rFonts w:ascii="Times New Roman" w:eastAsia="Times New Roman" w:hAnsi="Times New Roman"/>
                <w:sz w:val="24"/>
                <w:szCs w:val="24"/>
                <w:lang w:eastAsia="lv-LV"/>
              </w:rPr>
              <w:t xml:space="preserve">biogāzes ražošanas iekārtā kā izejvielu biogāzes ražošanai </w:t>
            </w:r>
            <w:r w:rsidR="00B243BA">
              <w:rPr>
                <w:rFonts w:ascii="Times New Roman" w:eastAsia="Times New Roman" w:hAnsi="Times New Roman"/>
                <w:sz w:val="24"/>
                <w:szCs w:val="24"/>
                <w:lang w:eastAsia="lv-LV"/>
              </w:rPr>
              <w:t xml:space="preserve">lietos </w:t>
            </w:r>
            <w:r>
              <w:rPr>
                <w:rFonts w:ascii="Times New Roman" w:eastAsia="Times New Roman" w:hAnsi="Times New Roman"/>
                <w:sz w:val="24"/>
                <w:szCs w:val="24"/>
                <w:lang w:eastAsia="lv-LV"/>
              </w:rPr>
              <w:t>šādus materiālus:</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6C9F75BB" w14:textId="77777777" w:rsidR="002A580A" w:rsidRDefault="002A580A">
            <w:pPr>
              <w:spacing w:after="0" w:line="240" w:lineRule="auto"/>
              <w:rPr>
                <w:rFonts w:ascii="Times New Roman" w:eastAsia="Times New Roman" w:hAnsi="Times New Roman"/>
                <w:sz w:val="24"/>
                <w:szCs w:val="24"/>
                <w:lang w:eastAsia="lv-LV"/>
              </w:rPr>
            </w:pPr>
          </w:p>
        </w:tc>
      </w:tr>
      <w:tr w:rsidR="002A580A" w14:paraId="2392DAEF"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5DAA98E0"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74B7A409" w14:textId="4F0025C6" w:rsidR="002A580A" w:rsidRDefault="00F9623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.1. pārtikas atkritumu un citu organiskas izcelsmes atkritumu un ražošanas atlikumproduktus:</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441CE53B" w14:textId="77777777" w:rsidR="002A580A" w:rsidRDefault="002A580A">
            <w:pPr>
              <w:spacing w:after="0" w:line="240" w:lineRule="auto"/>
              <w:rPr>
                <w:rFonts w:ascii="Times New Roman" w:eastAsia="Times New Roman" w:hAnsi="Times New Roman"/>
                <w:sz w:val="24"/>
                <w:szCs w:val="24"/>
                <w:lang w:eastAsia="lv-LV"/>
              </w:rPr>
            </w:pPr>
          </w:p>
        </w:tc>
      </w:tr>
      <w:tr w:rsidR="002A580A" w14:paraId="3676C1B0"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53E5B5C6"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2E7B5A8D" w14:textId="0541C6D5" w:rsidR="002A580A" w:rsidRDefault="00F9623E">
            <w:pPr>
              <w:spacing w:after="0" w:line="240" w:lineRule="auto"/>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.1.1. 1–20 % apmērā no kopējās pielietojamās izejvielas (tonnās vai m</w:t>
            </w:r>
            <w:r w:rsidR="008E55F7">
              <w:rPr>
                <w:rFonts w:ascii="Times New Roman" w:eastAsia="Times New Roman" w:hAnsi="Times New Roman"/>
                <w:sz w:val="24"/>
                <w:szCs w:val="24"/>
                <w:vertAlign w:val="superscript"/>
                <w:lang w:eastAsia="lv-LV"/>
              </w:rPr>
              <w:t>3</w:t>
            </w:r>
            <w:r w:rsidR="008E55F7">
              <w:rPr>
                <w:rFonts w:ascii="Times New Roman" w:eastAsia="Times New Roman" w:hAnsi="Times New Roman"/>
                <w:sz w:val="24"/>
                <w:szCs w:val="24"/>
                <w:lang w:eastAsia="lv-LV"/>
              </w:rPr>
              <w:t>)</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4D4DA319"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0D1C2A44"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04F13AFB"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357071F2" w14:textId="015959E0" w:rsidR="002A580A" w:rsidRDefault="00F9623E">
            <w:pPr>
              <w:spacing w:after="0" w:line="240" w:lineRule="auto"/>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.1.2. 21–40 % apmērā no kopējās pielietojamās izejvielas (tonnās vai m</w:t>
            </w:r>
            <w:r w:rsidR="008E55F7">
              <w:rPr>
                <w:rFonts w:ascii="Times New Roman" w:eastAsia="Times New Roman" w:hAnsi="Times New Roman"/>
                <w:sz w:val="24"/>
                <w:szCs w:val="24"/>
                <w:vertAlign w:val="superscript"/>
                <w:lang w:eastAsia="lv-LV"/>
              </w:rPr>
              <w:t>3</w:t>
            </w:r>
            <w:r w:rsidR="008E55F7">
              <w:rPr>
                <w:rFonts w:ascii="Times New Roman" w:eastAsia="Times New Roman" w:hAnsi="Times New Roman"/>
                <w:sz w:val="24"/>
                <w:szCs w:val="24"/>
                <w:lang w:eastAsia="lv-LV"/>
              </w:rPr>
              <w:t>)</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35D024AF"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364C1A42"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0C8E1A45"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429278F2" w14:textId="7D985199" w:rsidR="002A580A" w:rsidRDefault="00F9623E">
            <w:pPr>
              <w:spacing w:after="0" w:line="240" w:lineRule="auto"/>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.1.3. 41–60 % apmērā no kopējās pielietojamās izejvielas (tonnās vai m</w:t>
            </w:r>
            <w:r w:rsidR="008E55F7">
              <w:rPr>
                <w:rFonts w:ascii="Times New Roman" w:eastAsia="Times New Roman" w:hAnsi="Times New Roman"/>
                <w:sz w:val="24"/>
                <w:szCs w:val="24"/>
                <w:vertAlign w:val="superscript"/>
                <w:lang w:eastAsia="lv-LV"/>
              </w:rPr>
              <w:t>3</w:t>
            </w:r>
            <w:r w:rsidR="008E55F7">
              <w:rPr>
                <w:rFonts w:ascii="Times New Roman" w:eastAsia="Times New Roman" w:hAnsi="Times New Roman"/>
                <w:sz w:val="24"/>
                <w:szCs w:val="24"/>
                <w:lang w:eastAsia="lv-LV"/>
              </w:rPr>
              <w:t>)</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0836B861"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15A51A69"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20983896"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0ABF8778" w14:textId="486689D3" w:rsidR="002A580A" w:rsidRDefault="00F9623E">
            <w:pPr>
              <w:spacing w:after="0" w:line="240" w:lineRule="auto"/>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.1.4. 61–80 % apmērā no kopējās pielietojamās izejvielas (tonnās vai m</w:t>
            </w:r>
            <w:r w:rsidR="008E55F7">
              <w:rPr>
                <w:rFonts w:ascii="Times New Roman" w:eastAsia="Times New Roman" w:hAnsi="Times New Roman"/>
                <w:sz w:val="24"/>
                <w:szCs w:val="24"/>
                <w:vertAlign w:val="superscript"/>
                <w:lang w:eastAsia="lv-LV"/>
              </w:rPr>
              <w:t>3</w:t>
            </w:r>
            <w:r w:rsidR="008E55F7">
              <w:rPr>
                <w:rFonts w:ascii="Times New Roman" w:eastAsia="Times New Roman" w:hAnsi="Times New Roman"/>
                <w:sz w:val="24"/>
                <w:szCs w:val="24"/>
                <w:lang w:eastAsia="lv-LV"/>
              </w:rPr>
              <w:t>)</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70BCCA2D"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3023F0D5"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79F2DD92"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752B296A" w14:textId="587D6845" w:rsidR="002A580A" w:rsidRDefault="00F9623E">
            <w:pPr>
              <w:spacing w:after="0" w:line="240" w:lineRule="auto"/>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.1.5. 81–100 % apmērā no kopējās pielietojamās izejvielas (tonnās vai m</w:t>
            </w:r>
            <w:r w:rsidR="008E55F7">
              <w:rPr>
                <w:rFonts w:ascii="Times New Roman" w:eastAsia="Times New Roman" w:hAnsi="Times New Roman"/>
                <w:sz w:val="24"/>
                <w:szCs w:val="24"/>
                <w:vertAlign w:val="superscript"/>
                <w:lang w:eastAsia="lv-LV"/>
              </w:rPr>
              <w:t>3</w:t>
            </w:r>
            <w:r w:rsidR="008E55F7">
              <w:rPr>
                <w:rFonts w:ascii="Times New Roman" w:eastAsia="Times New Roman" w:hAnsi="Times New Roman"/>
                <w:sz w:val="24"/>
                <w:szCs w:val="24"/>
                <w:lang w:eastAsia="lv-LV"/>
              </w:rPr>
              <w:t>)</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13E0BF9F"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4651FDD8"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6DDAEC73"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02ADE627" w14:textId="408A86B6" w:rsidR="002A580A" w:rsidRDefault="00F9623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.2. lopkopības un putnkopības atlikumproduktus (mēslus), kā arī pārtikas rūpniecības uzņēmumu notekūdeņus un ražošanas atlikumproduktus (masas procenti pret kopējo lietoto izejvielu daudzumu):</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646308B5" w14:textId="77777777" w:rsidR="002A580A" w:rsidRDefault="002A580A">
            <w:pPr>
              <w:spacing w:after="0" w:line="240" w:lineRule="auto"/>
              <w:rPr>
                <w:rFonts w:ascii="Times New Roman" w:eastAsia="Times New Roman" w:hAnsi="Times New Roman"/>
                <w:sz w:val="24"/>
                <w:szCs w:val="24"/>
                <w:lang w:eastAsia="lv-LV"/>
              </w:rPr>
            </w:pPr>
          </w:p>
        </w:tc>
      </w:tr>
      <w:tr w:rsidR="002A580A" w14:paraId="7152FC26"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52841C23"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31384E4C" w14:textId="0EA9AF0C" w:rsidR="002A580A" w:rsidRDefault="00F9623E">
            <w:pPr>
              <w:spacing w:after="0" w:line="240" w:lineRule="auto"/>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.2.1.  1–20 % apmērā no kopējās pielietojamās izejvielas (tonnās vai m</w:t>
            </w:r>
            <w:r w:rsidR="008E55F7">
              <w:rPr>
                <w:rFonts w:ascii="Times New Roman" w:eastAsia="Times New Roman" w:hAnsi="Times New Roman"/>
                <w:sz w:val="24"/>
                <w:szCs w:val="24"/>
                <w:vertAlign w:val="superscript"/>
                <w:lang w:eastAsia="lv-LV"/>
              </w:rPr>
              <w:t>3</w:t>
            </w:r>
            <w:r w:rsidR="008E55F7">
              <w:rPr>
                <w:rFonts w:ascii="Times New Roman" w:eastAsia="Times New Roman" w:hAnsi="Times New Roman"/>
                <w:sz w:val="24"/>
                <w:szCs w:val="24"/>
                <w:lang w:eastAsia="lv-LV"/>
              </w:rPr>
              <w:t>)</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58207C72"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54E1821F"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17A03CBC"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7946C6BE" w14:textId="72873897" w:rsidR="002A580A" w:rsidRDefault="00F9623E">
            <w:pPr>
              <w:spacing w:after="0" w:line="240" w:lineRule="auto"/>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.2.2.  21–40 % apmērā no kopējās pielietojamās izejvielas (tonnās vai m</w:t>
            </w:r>
            <w:r w:rsidR="008E55F7">
              <w:rPr>
                <w:rFonts w:ascii="Times New Roman" w:eastAsia="Times New Roman" w:hAnsi="Times New Roman"/>
                <w:sz w:val="24"/>
                <w:szCs w:val="24"/>
                <w:vertAlign w:val="superscript"/>
                <w:lang w:eastAsia="lv-LV"/>
              </w:rPr>
              <w:t>3</w:t>
            </w:r>
            <w:r w:rsidR="008E55F7">
              <w:rPr>
                <w:rFonts w:ascii="Times New Roman" w:eastAsia="Times New Roman" w:hAnsi="Times New Roman"/>
                <w:sz w:val="24"/>
                <w:szCs w:val="24"/>
                <w:lang w:eastAsia="lv-LV"/>
              </w:rPr>
              <w:t>)</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2B436E0C"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179894ED"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6A49CF34"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2C9EE5F8" w14:textId="47A63A93" w:rsidR="002A580A" w:rsidRDefault="00F9623E">
            <w:pPr>
              <w:spacing w:after="0" w:line="240" w:lineRule="auto"/>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.2.3. 41–60 % apmērā no kopējās pielietojamās izejvielas (tonnās vai m</w:t>
            </w:r>
            <w:r w:rsidR="008E55F7">
              <w:rPr>
                <w:rFonts w:ascii="Times New Roman" w:eastAsia="Times New Roman" w:hAnsi="Times New Roman"/>
                <w:sz w:val="24"/>
                <w:szCs w:val="24"/>
                <w:vertAlign w:val="superscript"/>
                <w:lang w:eastAsia="lv-LV"/>
              </w:rPr>
              <w:t>3</w:t>
            </w:r>
            <w:r w:rsidR="008E55F7">
              <w:rPr>
                <w:rFonts w:ascii="Times New Roman" w:eastAsia="Times New Roman" w:hAnsi="Times New Roman"/>
                <w:sz w:val="24"/>
                <w:szCs w:val="24"/>
                <w:lang w:eastAsia="lv-LV"/>
              </w:rPr>
              <w:t>)</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66E91A08"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082BA6DC"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539610C7"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3F0E837A" w14:textId="65BC74D7" w:rsidR="002A580A" w:rsidRDefault="00F9623E">
            <w:pPr>
              <w:spacing w:after="0" w:line="240" w:lineRule="auto"/>
            </w:pPr>
            <w:r>
              <w:rPr>
                <w:rFonts w:ascii="Times New Roman" w:eastAsia="Times New Roman" w:hAnsi="Times New Roman"/>
                <w:sz w:val="24"/>
                <w:szCs w:val="24"/>
                <w:lang w:eastAsia="lv-LV"/>
              </w:rPr>
              <w:t>3</w:t>
            </w:r>
            <w:r w:rsidR="008E55F7">
              <w:rPr>
                <w:rFonts w:ascii="Times New Roman" w:eastAsia="Times New Roman" w:hAnsi="Times New Roman"/>
                <w:sz w:val="24"/>
                <w:szCs w:val="24"/>
                <w:lang w:eastAsia="lv-LV"/>
              </w:rPr>
              <w:t>.2.4. 61–80 % apmērā no kopējās pielietojamās izejvielas (tonnās vai m</w:t>
            </w:r>
            <w:r w:rsidR="008E55F7">
              <w:rPr>
                <w:rFonts w:ascii="Times New Roman" w:eastAsia="Times New Roman" w:hAnsi="Times New Roman"/>
                <w:sz w:val="24"/>
                <w:szCs w:val="24"/>
                <w:vertAlign w:val="superscript"/>
                <w:lang w:eastAsia="lv-LV"/>
              </w:rPr>
              <w:t>3</w:t>
            </w:r>
            <w:r w:rsidR="008E55F7">
              <w:rPr>
                <w:rFonts w:ascii="Times New Roman" w:eastAsia="Times New Roman" w:hAnsi="Times New Roman"/>
                <w:sz w:val="24"/>
                <w:szCs w:val="24"/>
                <w:lang w:eastAsia="lv-LV"/>
              </w:rPr>
              <w:t>);</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2AD6A95A" w14:textId="77777777" w:rsidR="002A580A" w:rsidRDefault="002A580A">
            <w:pPr>
              <w:spacing w:after="0" w:line="240" w:lineRule="auto"/>
              <w:jc w:val="center"/>
              <w:rPr>
                <w:rFonts w:ascii="Times New Roman" w:eastAsia="Times New Roman" w:hAnsi="Times New Roman"/>
                <w:sz w:val="24"/>
                <w:szCs w:val="24"/>
                <w:lang w:eastAsia="lv-LV"/>
              </w:rPr>
            </w:pPr>
          </w:p>
        </w:tc>
      </w:tr>
      <w:tr w:rsidR="002A580A" w14:paraId="4CB456B4" w14:textId="77777777">
        <w:tc>
          <w:tcPr>
            <w:tcW w:w="746" w:type="dxa"/>
            <w:vMerge/>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0DACEC24" w14:textId="77777777" w:rsidR="002A580A" w:rsidRDefault="002A580A">
            <w:pPr>
              <w:spacing w:after="0" w:line="240" w:lineRule="auto"/>
              <w:rPr>
                <w:rFonts w:ascii="Times New Roman" w:eastAsia="Times New Roman" w:hAnsi="Times New Roman"/>
                <w:sz w:val="24"/>
                <w:szCs w:val="24"/>
                <w:lang w:eastAsia="lv-LV"/>
              </w:rPr>
            </w:pPr>
          </w:p>
        </w:tc>
        <w:tc>
          <w:tcPr>
            <w:tcW w:w="6300"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3DEBC69E" w14:textId="3A103252" w:rsidR="002A580A" w:rsidRDefault="00F9623E">
            <w:pPr>
              <w:spacing w:after="0" w:line="240" w:lineRule="auto"/>
            </w:pPr>
            <w:r>
              <w:rPr>
                <w:rFonts w:ascii="Times New Roman" w:eastAsia="Times New Roman" w:hAnsi="Times New Roman"/>
                <w:sz w:val="24"/>
                <w:szCs w:val="24"/>
                <w:lang w:eastAsia="lv-LV"/>
              </w:rPr>
              <w:t>3</w:t>
            </w:r>
            <w:bookmarkStart w:id="1" w:name="_GoBack"/>
            <w:bookmarkEnd w:id="1"/>
            <w:r w:rsidR="008E55F7">
              <w:rPr>
                <w:rFonts w:ascii="Times New Roman" w:eastAsia="Times New Roman" w:hAnsi="Times New Roman"/>
                <w:sz w:val="24"/>
                <w:szCs w:val="24"/>
                <w:lang w:eastAsia="lv-LV"/>
              </w:rPr>
              <w:t>.2.5. 81–100 % apmērā no kopējās pielietojamās izejvielas (tonnās vai m</w:t>
            </w:r>
            <w:r w:rsidR="008E55F7">
              <w:rPr>
                <w:rFonts w:ascii="Times New Roman" w:eastAsia="Times New Roman" w:hAnsi="Times New Roman"/>
                <w:sz w:val="24"/>
                <w:szCs w:val="24"/>
                <w:vertAlign w:val="superscript"/>
                <w:lang w:eastAsia="lv-LV"/>
              </w:rPr>
              <w:t>3</w:t>
            </w:r>
            <w:r w:rsidR="008E55F7">
              <w:rPr>
                <w:rFonts w:ascii="Times New Roman" w:eastAsia="Times New Roman" w:hAnsi="Times New Roman"/>
                <w:sz w:val="24"/>
                <w:szCs w:val="24"/>
                <w:lang w:eastAsia="lv-LV"/>
              </w:rPr>
              <w:t>)</w:t>
            </w:r>
          </w:p>
        </w:tc>
        <w:tc>
          <w:tcPr>
            <w:tcW w:w="1244" w:type="dxa"/>
            <w:tcBorders>
              <w:top w:val="outset" w:sz="6" w:space="0" w:color="414142"/>
              <w:left w:val="outset" w:sz="6" w:space="0" w:color="414142"/>
              <w:bottom w:val="outset" w:sz="6" w:space="0" w:color="414142"/>
              <w:right w:val="outset" w:sz="6" w:space="0" w:color="414142"/>
            </w:tcBorders>
            <w:shd w:val="clear" w:color="auto" w:fill="auto"/>
            <w:tcMar>
              <w:top w:w="20" w:type="dxa"/>
              <w:left w:w="20" w:type="dxa"/>
              <w:bottom w:w="20" w:type="dxa"/>
              <w:right w:w="20" w:type="dxa"/>
            </w:tcMar>
          </w:tcPr>
          <w:p w14:paraId="192F7551" w14:textId="77777777" w:rsidR="002A580A" w:rsidRDefault="002A580A">
            <w:pPr>
              <w:spacing w:after="0" w:line="240" w:lineRule="auto"/>
              <w:jc w:val="center"/>
              <w:rPr>
                <w:rFonts w:ascii="Times New Roman" w:eastAsia="Times New Roman" w:hAnsi="Times New Roman"/>
                <w:sz w:val="24"/>
                <w:szCs w:val="24"/>
                <w:lang w:eastAsia="lv-LV"/>
              </w:rPr>
            </w:pPr>
          </w:p>
        </w:tc>
      </w:tr>
    </w:tbl>
    <w:p w14:paraId="307CCB5C" w14:textId="77777777" w:rsidR="002A580A" w:rsidRDefault="002A580A">
      <w:pPr>
        <w:shd w:val="clear" w:color="auto" w:fill="FFFFFF"/>
        <w:spacing w:after="0" w:line="240" w:lineRule="auto"/>
        <w:jc w:val="right"/>
        <w:rPr>
          <w:rFonts w:ascii="Times New Roman" w:eastAsia="Times New Roman" w:hAnsi="Times New Roman"/>
          <w:sz w:val="24"/>
          <w:szCs w:val="24"/>
          <w:lang w:eastAsia="lv-LV"/>
        </w:rPr>
      </w:pPr>
    </w:p>
    <w:p w14:paraId="3E924B7C" w14:textId="77777777" w:rsidR="002A580A" w:rsidRDefault="002A580A">
      <w:pPr>
        <w:shd w:val="clear" w:color="auto" w:fill="FFFFFF"/>
        <w:spacing w:after="0" w:line="240" w:lineRule="auto"/>
        <w:jc w:val="right"/>
        <w:rPr>
          <w:rFonts w:ascii="Times New Roman" w:eastAsia="Times New Roman" w:hAnsi="Times New Roman"/>
          <w:sz w:val="24"/>
          <w:szCs w:val="24"/>
          <w:lang w:eastAsia="lv-LV"/>
        </w:rPr>
      </w:pPr>
    </w:p>
    <w:p w14:paraId="0D669D55" w14:textId="77777777" w:rsidR="002A580A" w:rsidRDefault="008E55F7">
      <w:pPr>
        <w:tabs>
          <w:tab w:val="right" w:pos="9071"/>
        </w:tabs>
        <w:spacing w:after="0" w:line="240" w:lineRule="auto"/>
      </w:pPr>
      <w:r>
        <w:rPr>
          <w:rFonts w:ascii="Times New Roman" w:eastAsia="Times New Roman" w:hAnsi="Times New Roman"/>
          <w:sz w:val="24"/>
          <w:szCs w:val="24"/>
          <w:lang w:eastAsia="lv-LV"/>
        </w:rPr>
        <w:t>Ministru prezidents                                                                                      A. K.Kariņš</w:t>
      </w:r>
      <w:r>
        <w:rPr>
          <w:rFonts w:ascii="Times New Roman" w:eastAsia="Times New Roman" w:hAnsi="Times New Roman"/>
          <w:sz w:val="24"/>
          <w:szCs w:val="24"/>
          <w:lang w:eastAsia="lv-LV"/>
        </w:rPr>
        <w:br/>
      </w:r>
      <w:r>
        <w:rPr>
          <w:rFonts w:ascii="Times New Roman" w:eastAsia="Times New Roman" w:hAnsi="Times New Roman"/>
          <w:sz w:val="24"/>
          <w:szCs w:val="24"/>
          <w:lang w:eastAsia="lv-LV"/>
        </w:rPr>
        <w:br/>
      </w:r>
    </w:p>
    <w:p w14:paraId="34AE6BB8" w14:textId="77777777" w:rsidR="002A580A" w:rsidRDefault="008E55F7">
      <w:pPr>
        <w:tabs>
          <w:tab w:val="right" w:pos="9071"/>
        </w:tabs>
        <w:spacing w:after="0" w:line="240" w:lineRule="auto"/>
        <w:rPr>
          <w:rFonts w:ascii="Times New Roman" w:hAnsi="Times New Roman"/>
          <w:sz w:val="24"/>
          <w:szCs w:val="24"/>
        </w:rPr>
      </w:pPr>
      <w:r>
        <w:rPr>
          <w:rFonts w:ascii="Times New Roman" w:hAnsi="Times New Roman"/>
          <w:sz w:val="24"/>
          <w:szCs w:val="24"/>
        </w:rPr>
        <w:t xml:space="preserve">Ekonomikas ministrs </w:t>
      </w:r>
      <w:r>
        <w:rPr>
          <w:rFonts w:ascii="Times New Roman" w:hAnsi="Times New Roman"/>
          <w:sz w:val="24"/>
          <w:szCs w:val="24"/>
        </w:rPr>
        <w:tab/>
        <w:t>J. Vitenbergs</w:t>
      </w:r>
    </w:p>
    <w:p w14:paraId="22674145" w14:textId="77777777" w:rsidR="002A580A" w:rsidRDefault="002A580A">
      <w:pPr>
        <w:tabs>
          <w:tab w:val="left" w:pos="7938"/>
        </w:tabs>
        <w:spacing w:after="0" w:line="240" w:lineRule="auto"/>
        <w:rPr>
          <w:rFonts w:ascii="Times New Roman" w:hAnsi="Times New Roman"/>
          <w:sz w:val="24"/>
          <w:szCs w:val="24"/>
        </w:rPr>
      </w:pPr>
    </w:p>
    <w:p w14:paraId="6E3FBC38" w14:textId="77777777" w:rsidR="002A580A" w:rsidRDefault="002A580A">
      <w:pPr>
        <w:tabs>
          <w:tab w:val="left" w:pos="7938"/>
        </w:tabs>
        <w:spacing w:after="0" w:line="240" w:lineRule="auto"/>
        <w:rPr>
          <w:rFonts w:ascii="Times New Roman" w:hAnsi="Times New Roman"/>
          <w:sz w:val="24"/>
          <w:szCs w:val="24"/>
        </w:rPr>
      </w:pPr>
    </w:p>
    <w:p w14:paraId="1E24AD7A" w14:textId="77777777" w:rsidR="002A580A" w:rsidRDefault="002A580A">
      <w:pPr>
        <w:tabs>
          <w:tab w:val="left" w:pos="7938"/>
        </w:tabs>
        <w:spacing w:after="0" w:line="240" w:lineRule="auto"/>
        <w:rPr>
          <w:rFonts w:ascii="Times New Roman" w:hAnsi="Times New Roman"/>
          <w:sz w:val="24"/>
          <w:szCs w:val="24"/>
        </w:rPr>
      </w:pPr>
    </w:p>
    <w:p w14:paraId="001FE1FD" w14:textId="77777777" w:rsidR="002A580A" w:rsidRDefault="008E55F7">
      <w:pPr>
        <w:tabs>
          <w:tab w:val="left" w:pos="7938"/>
        </w:tabs>
        <w:spacing w:after="0" w:line="240" w:lineRule="auto"/>
        <w:rPr>
          <w:rFonts w:ascii="Times New Roman" w:hAnsi="Times New Roman"/>
          <w:sz w:val="24"/>
          <w:szCs w:val="24"/>
        </w:rPr>
      </w:pPr>
      <w:bookmarkStart w:id="2" w:name="_Hlk46229986"/>
      <w:r>
        <w:rPr>
          <w:rFonts w:ascii="Times New Roman" w:hAnsi="Times New Roman"/>
          <w:sz w:val="24"/>
          <w:szCs w:val="24"/>
        </w:rPr>
        <w:t>Vīza:</w:t>
      </w:r>
    </w:p>
    <w:p w14:paraId="622D5105" w14:textId="77777777" w:rsidR="002A580A" w:rsidRDefault="008E55F7">
      <w:pPr>
        <w:tabs>
          <w:tab w:val="left" w:pos="7938"/>
        </w:tabs>
        <w:spacing w:after="0" w:line="240" w:lineRule="auto"/>
        <w:rPr>
          <w:rFonts w:ascii="Times New Roman" w:hAnsi="Times New Roman"/>
          <w:sz w:val="24"/>
          <w:szCs w:val="24"/>
        </w:rPr>
      </w:pPr>
      <w:r>
        <w:rPr>
          <w:rFonts w:ascii="Times New Roman" w:hAnsi="Times New Roman"/>
          <w:sz w:val="24"/>
          <w:szCs w:val="24"/>
        </w:rPr>
        <w:t>Valsts sekretārs                                                                                                E.Valantis</w:t>
      </w:r>
      <w:bookmarkEnd w:id="2"/>
    </w:p>
    <w:p w14:paraId="7F8A09CD" w14:textId="77777777" w:rsidR="002A580A" w:rsidRDefault="002A580A">
      <w:pPr>
        <w:tabs>
          <w:tab w:val="left" w:pos="6237"/>
        </w:tabs>
        <w:spacing w:after="0" w:line="240" w:lineRule="auto"/>
        <w:rPr>
          <w:rFonts w:ascii="Times New Roman" w:hAnsi="Times New Roman"/>
          <w:sz w:val="24"/>
          <w:szCs w:val="24"/>
        </w:rPr>
      </w:pPr>
    </w:p>
    <w:p w14:paraId="6DA6F5A8" w14:textId="77777777" w:rsidR="002A580A" w:rsidRDefault="002A580A">
      <w:pPr>
        <w:tabs>
          <w:tab w:val="left" w:pos="6237"/>
        </w:tabs>
        <w:spacing w:after="0" w:line="240" w:lineRule="auto"/>
        <w:rPr>
          <w:rFonts w:ascii="Times New Roman" w:hAnsi="Times New Roman"/>
          <w:sz w:val="24"/>
          <w:szCs w:val="24"/>
        </w:rPr>
      </w:pPr>
    </w:p>
    <w:p w14:paraId="392B155C" w14:textId="77777777" w:rsidR="002A580A" w:rsidRDefault="002A580A">
      <w:pPr>
        <w:tabs>
          <w:tab w:val="left" w:pos="6237"/>
        </w:tabs>
        <w:spacing w:after="0" w:line="240" w:lineRule="auto"/>
        <w:rPr>
          <w:rFonts w:ascii="Times New Roman" w:hAnsi="Times New Roman"/>
        </w:rPr>
      </w:pPr>
    </w:p>
    <w:p w14:paraId="44DF307B" w14:textId="77777777" w:rsidR="002A580A" w:rsidRDefault="002A580A">
      <w:pPr>
        <w:tabs>
          <w:tab w:val="left" w:pos="6237"/>
        </w:tabs>
        <w:spacing w:after="0" w:line="240" w:lineRule="auto"/>
        <w:rPr>
          <w:rFonts w:ascii="Times New Roman" w:hAnsi="Times New Roman"/>
          <w:sz w:val="20"/>
          <w:szCs w:val="20"/>
        </w:rPr>
      </w:pPr>
    </w:p>
    <w:p w14:paraId="4153B227" w14:textId="77777777" w:rsidR="002A580A" w:rsidRDefault="008E55F7">
      <w:pPr>
        <w:tabs>
          <w:tab w:val="left" w:pos="6237"/>
        </w:tabs>
        <w:spacing w:after="0" w:line="240" w:lineRule="auto"/>
        <w:rPr>
          <w:rFonts w:ascii="Times New Roman" w:hAnsi="Times New Roman"/>
          <w:sz w:val="20"/>
          <w:szCs w:val="20"/>
        </w:rPr>
      </w:pPr>
      <w:r>
        <w:rPr>
          <w:rFonts w:ascii="Times New Roman" w:hAnsi="Times New Roman"/>
          <w:sz w:val="20"/>
          <w:szCs w:val="20"/>
        </w:rPr>
        <w:t>A. Neimanis, 67013249</w:t>
      </w:r>
    </w:p>
    <w:p w14:paraId="42E66958" w14:textId="77777777" w:rsidR="002A580A" w:rsidRDefault="008E55F7">
      <w:pPr>
        <w:tabs>
          <w:tab w:val="left" w:pos="6237"/>
        </w:tabs>
        <w:spacing w:after="0" w:line="240" w:lineRule="auto"/>
      </w:pPr>
      <w:r>
        <w:rPr>
          <w:rFonts w:ascii="Times New Roman" w:hAnsi="Times New Roman"/>
          <w:sz w:val="20"/>
          <w:szCs w:val="20"/>
        </w:rPr>
        <w:t xml:space="preserve">Aivars </w:t>
      </w:r>
      <w:hyperlink r:id="rId6" w:history="1">
        <w:r>
          <w:rPr>
            <w:rStyle w:val="Hyperlink"/>
            <w:rFonts w:ascii="Times New Roman" w:hAnsi="Times New Roman"/>
            <w:sz w:val="20"/>
            <w:szCs w:val="20"/>
          </w:rPr>
          <w:t>Neimanis@em.gov.lv</w:t>
        </w:r>
      </w:hyperlink>
    </w:p>
    <w:p w14:paraId="1C643362" w14:textId="77777777" w:rsidR="002A580A" w:rsidRDefault="002A580A">
      <w:pPr>
        <w:tabs>
          <w:tab w:val="left" w:pos="6237"/>
        </w:tabs>
        <w:spacing w:after="0" w:line="240" w:lineRule="auto"/>
        <w:rPr>
          <w:rFonts w:ascii="Times New Roman" w:hAnsi="Times New Roman"/>
          <w:sz w:val="20"/>
          <w:szCs w:val="20"/>
        </w:rPr>
      </w:pPr>
    </w:p>
    <w:p w14:paraId="4B13E4FB" w14:textId="77777777" w:rsidR="002A580A" w:rsidRDefault="008E55F7">
      <w:pPr>
        <w:tabs>
          <w:tab w:val="left" w:pos="6237"/>
        </w:tabs>
        <w:spacing w:after="0" w:line="240" w:lineRule="auto"/>
        <w:rPr>
          <w:rFonts w:ascii="Times New Roman" w:hAnsi="Times New Roman"/>
          <w:sz w:val="20"/>
          <w:szCs w:val="20"/>
        </w:rPr>
      </w:pPr>
      <w:r>
        <w:rPr>
          <w:rFonts w:ascii="Times New Roman" w:hAnsi="Times New Roman"/>
          <w:sz w:val="20"/>
          <w:szCs w:val="20"/>
        </w:rPr>
        <w:t>A.Strīķeris, 67013043</w:t>
      </w:r>
    </w:p>
    <w:p w14:paraId="55445BBB" w14:textId="77777777" w:rsidR="002A580A" w:rsidRDefault="008E55F7">
      <w:pPr>
        <w:tabs>
          <w:tab w:val="right" w:pos="9071"/>
        </w:tabs>
        <w:spacing w:after="0" w:line="240" w:lineRule="auto"/>
      </w:pPr>
      <w:r>
        <w:rPr>
          <w:rFonts w:ascii="Times New Roman" w:hAnsi="Times New Roman"/>
          <w:sz w:val="20"/>
          <w:szCs w:val="20"/>
        </w:rPr>
        <w:t>Alvils.Strikeris@em.gov.lv</w:t>
      </w:r>
    </w:p>
    <w:p w14:paraId="3A7FFA03" w14:textId="77777777" w:rsidR="002A580A" w:rsidRDefault="002A580A">
      <w:pPr>
        <w:tabs>
          <w:tab w:val="left" w:pos="6237"/>
        </w:tabs>
        <w:spacing w:after="0" w:line="240" w:lineRule="auto"/>
        <w:rPr>
          <w:rFonts w:ascii="Times New Roman" w:hAnsi="Times New Roman"/>
          <w:sz w:val="24"/>
          <w:szCs w:val="24"/>
        </w:rPr>
      </w:pPr>
    </w:p>
    <w:p w14:paraId="5AA72034" w14:textId="77777777" w:rsidR="002A580A" w:rsidRDefault="002A580A">
      <w:pPr>
        <w:shd w:val="clear" w:color="auto" w:fill="FFFFFF"/>
        <w:spacing w:after="0" w:line="240" w:lineRule="auto"/>
        <w:jc w:val="right"/>
      </w:pPr>
    </w:p>
    <w:sectPr w:rsidR="002A580A" w:rsidSect="00ED7FA3">
      <w:headerReference w:type="default" r:id="rId7"/>
      <w:footerReference w:type="default" r:id="rId8"/>
      <w:footerReference w:type="first" r:id="rId9"/>
      <w:pgSz w:w="11906" w:h="16838"/>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B09F" w14:textId="77777777" w:rsidR="0042734F" w:rsidRDefault="008E55F7">
      <w:pPr>
        <w:spacing w:after="0" w:line="240" w:lineRule="auto"/>
      </w:pPr>
      <w:r>
        <w:separator/>
      </w:r>
    </w:p>
  </w:endnote>
  <w:endnote w:type="continuationSeparator" w:id="0">
    <w:p w14:paraId="7087F4D2" w14:textId="77777777" w:rsidR="0042734F" w:rsidRDefault="008E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3B3D" w14:textId="19A8A05D" w:rsidR="00822ACA" w:rsidRDefault="00822ACA">
    <w:pPr>
      <w:pStyle w:val="Footer"/>
    </w:pPr>
    <w:r>
      <w:rPr>
        <w:rFonts w:ascii="Times New Roman" w:hAnsi="Times New Roman"/>
        <w:noProof/>
        <w:sz w:val="20"/>
        <w:szCs w:val="20"/>
      </w:rPr>
      <w:t>EMnot_280820_atjaun_P5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238F" w14:textId="16CC1927" w:rsidR="00ED7FA3" w:rsidRDefault="00ED7FA3">
    <w:pPr>
      <w:pStyle w:val="Footer"/>
    </w:pPr>
    <w:r>
      <w:rPr>
        <w:rFonts w:ascii="Times New Roman" w:hAnsi="Times New Roman"/>
        <w:noProof/>
        <w:sz w:val="20"/>
        <w:szCs w:val="20"/>
      </w:rPr>
      <w:t>EMnot_280820_atjaun_P5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3FEF" w14:textId="77777777" w:rsidR="0042734F" w:rsidRDefault="008E55F7">
      <w:pPr>
        <w:spacing w:after="0" w:line="240" w:lineRule="auto"/>
      </w:pPr>
      <w:r>
        <w:rPr>
          <w:color w:val="000000"/>
        </w:rPr>
        <w:separator/>
      </w:r>
    </w:p>
  </w:footnote>
  <w:footnote w:type="continuationSeparator" w:id="0">
    <w:p w14:paraId="09D619B3" w14:textId="77777777" w:rsidR="0042734F" w:rsidRDefault="008E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420572"/>
      <w:docPartObj>
        <w:docPartGallery w:val="Page Numbers (Top of Page)"/>
        <w:docPartUnique/>
      </w:docPartObj>
    </w:sdtPr>
    <w:sdtEndPr>
      <w:rPr>
        <w:rFonts w:ascii="Times New Roman" w:hAnsi="Times New Roman"/>
        <w:noProof/>
      </w:rPr>
    </w:sdtEndPr>
    <w:sdtContent>
      <w:p w14:paraId="320B30EA" w14:textId="735C6197" w:rsidR="00ED7FA3" w:rsidRPr="00ED7FA3" w:rsidRDefault="00ED7FA3">
        <w:pPr>
          <w:pStyle w:val="Header"/>
          <w:jc w:val="center"/>
          <w:rPr>
            <w:rFonts w:ascii="Times New Roman" w:hAnsi="Times New Roman"/>
          </w:rPr>
        </w:pPr>
        <w:r w:rsidRPr="00ED7FA3">
          <w:rPr>
            <w:rFonts w:ascii="Times New Roman" w:hAnsi="Times New Roman"/>
          </w:rPr>
          <w:fldChar w:fldCharType="begin"/>
        </w:r>
        <w:r w:rsidRPr="00ED7FA3">
          <w:rPr>
            <w:rFonts w:ascii="Times New Roman" w:hAnsi="Times New Roman"/>
          </w:rPr>
          <w:instrText xml:space="preserve"> PAGE   \* MERGEFORMAT </w:instrText>
        </w:r>
        <w:r w:rsidRPr="00ED7FA3">
          <w:rPr>
            <w:rFonts w:ascii="Times New Roman" w:hAnsi="Times New Roman"/>
          </w:rPr>
          <w:fldChar w:fldCharType="separate"/>
        </w:r>
        <w:r w:rsidRPr="00ED7FA3">
          <w:rPr>
            <w:rFonts w:ascii="Times New Roman" w:hAnsi="Times New Roman"/>
            <w:noProof/>
          </w:rPr>
          <w:t>2</w:t>
        </w:r>
        <w:r w:rsidRPr="00ED7FA3">
          <w:rPr>
            <w:rFonts w:ascii="Times New Roman" w:hAnsi="Times New Roman"/>
            <w:noProof/>
          </w:rPr>
          <w:fldChar w:fldCharType="end"/>
        </w:r>
      </w:p>
    </w:sdtContent>
  </w:sdt>
  <w:p w14:paraId="11EECBEE" w14:textId="77777777" w:rsidR="00ED7FA3" w:rsidRPr="00ED7FA3" w:rsidRDefault="00ED7FA3">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0A"/>
    <w:rsid w:val="002A580A"/>
    <w:rsid w:val="0042734F"/>
    <w:rsid w:val="00822ACA"/>
    <w:rsid w:val="008E55F7"/>
    <w:rsid w:val="00B243BA"/>
    <w:rsid w:val="00D817A0"/>
    <w:rsid w:val="00ED7FA3"/>
    <w:rsid w:val="00F962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D2F5"/>
  <w15:docId w15:val="{66FF53BA-9AD6-43DB-9780-4290DDC6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822A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2ACA"/>
  </w:style>
  <w:style w:type="paragraph" w:styleId="Footer">
    <w:name w:val="footer"/>
    <w:basedOn w:val="Normal"/>
    <w:link w:val="FooterChar"/>
    <w:uiPriority w:val="99"/>
    <w:unhideWhenUsed/>
    <w:rsid w:val="00822A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manis@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1620</Words>
  <Characters>924</Characters>
  <Application>Microsoft Office Word</Application>
  <DocSecurity>0</DocSecurity>
  <Lines>7</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dc:description/>
  <cp:lastModifiedBy>Alvils Strīķeris</cp:lastModifiedBy>
  <cp:revision>7</cp:revision>
  <dcterms:created xsi:type="dcterms:W3CDTF">2020-07-31T07:35:00Z</dcterms:created>
  <dcterms:modified xsi:type="dcterms:W3CDTF">2020-08-31T08:30:00Z</dcterms:modified>
</cp:coreProperties>
</file>