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0" w:type="dxa"/>
        <w:tblCellMar>
          <w:left w:w="0" w:type="dxa"/>
          <w:right w:w="0" w:type="dxa"/>
        </w:tblCellMar>
        <w:tblLook w:val="04A0" w:firstRow="1" w:lastRow="0" w:firstColumn="1" w:lastColumn="0" w:noHBand="0" w:noVBand="1"/>
      </w:tblPr>
      <w:tblGrid>
        <w:gridCol w:w="1379"/>
        <w:gridCol w:w="143"/>
        <w:gridCol w:w="77"/>
        <w:gridCol w:w="66"/>
        <w:gridCol w:w="220"/>
        <w:gridCol w:w="2017"/>
        <w:gridCol w:w="286"/>
        <w:gridCol w:w="730"/>
        <w:gridCol w:w="60"/>
        <w:gridCol w:w="284"/>
        <w:gridCol w:w="60"/>
        <w:gridCol w:w="283"/>
        <w:gridCol w:w="936"/>
        <w:gridCol w:w="143"/>
        <w:gridCol w:w="2436"/>
      </w:tblGrid>
      <w:tr w:rsidR="00AA2393" w:rsidRPr="00DF0321" w14:paraId="64EBBEFF" w14:textId="77777777" w:rsidTr="006A2C25">
        <w:tc>
          <w:tcPr>
            <w:tcW w:w="1379" w:type="dxa"/>
          </w:tcPr>
          <w:p w14:paraId="043E4678"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Atbildīgais</w:t>
            </w:r>
          </w:p>
        </w:tc>
        <w:tc>
          <w:tcPr>
            <w:tcW w:w="2523" w:type="dxa"/>
            <w:gridSpan w:val="5"/>
            <w:tcBorders>
              <w:top w:val="nil"/>
              <w:left w:val="nil"/>
              <w:bottom w:val="single" w:sz="4" w:space="0" w:color="auto"/>
              <w:right w:val="nil"/>
            </w:tcBorders>
          </w:tcPr>
          <w:p w14:paraId="642223BC" w14:textId="77777777" w:rsidR="00AA2393" w:rsidRPr="00DF0321" w:rsidRDefault="00160E24" w:rsidP="006A2C25">
            <w:pPr>
              <w:pStyle w:val="naiskr"/>
              <w:spacing w:before="0" w:beforeAutospacing="0" w:after="0" w:afterAutospacing="0"/>
              <w:rPr>
                <w:color w:val="000000"/>
                <w:spacing w:val="4"/>
              </w:rPr>
            </w:pPr>
            <w:r w:rsidRPr="00DF0321">
              <w:rPr>
                <w:color w:val="000000"/>
                <w:spacing w:val="4"/>
              </w:rPr>
              <w:t xml:space="preserve"> ministr</w:t>
            </w:r>
            <w:r w:rsidR="00610D9D" w:rsidRPr="00DF0321">
              <w:rPr>
                <w:color w:val="000000"/>
                <w:spacing w:val="4"/>
              </w:rPr>
              <w:t>s</w:t>
            </w:r>
          </w:p>
        </w:tc>
        <w:tc>
          <w:tcPr>
            <w:tcW w:w="1076" w:type="dxa"/>
            <w:gridSpan w:val="3"/>
          </w:tcPr>
          <w:p w14:paraId="0CC1E1B4" w14:textId="77777777" w:rsidR="00AA2393" w:rsidRPr="00DF0321" w:rsidRDefault="00AA2393" w:rsidP="006A2C25">
            <w:pPr>
              <w:pStyle w:val="naiskr"/>
              <w:spacing w:before="0" w:beforeAutospacing="0" w:after="0" w:afterAutospacing="0"/>
              <w:rPr>
                <w:color w:val="000000"/>
                <w:spacing w:val="4"/>
              </w:rPr>
            </w:pPr>
          </w:p>
        </w:tc>
        <w:tc>
          <w:tcPr>
            <w:tcW w:w="4142" w:type="dxa"/>
            <w:gridSpan w:val="6"/>
            <w:tcBorders>
              <w:top w:val="nil"/>
              <w:left w:val="nil"/>
              <w:bottom w:val="single" w:sz="4" w:space="0" w:color="auto"/>
              <w:right w:val="nil"/>
            </w:tcBorders>
          </w:tcPr>
          <w:p w14:paraId="04FC7A48" w14:textId="77777777" w:rsidR="00AA2393" w:rsidRPr="00DF0321" w:rsidRDefault="00AA2393" w:rsidP="00610D9D">
            <w:pPr>
              <w:pStyle w:val="naiskr"/>
              <w:spacing w:before="0" w:beforeAutospacing="0" w:after="0" w:afterAutospacing="0"/>
              <w:rPr>
                <w:color w:val="000000"/>
                <w:spacing w:val="4"/>
              </w:rPr>
            </w:pPr>
            <w:r w:rsidRPr="00DF0321">
              <w:rPr>
                <w:color w:val="000000"/>
                <w:spacing w:val="4"/>
              </w:rPr>
              <w:t xml:space="preserve">      </w:t>
            </w:r>
            <w:r w:rsidR="00610D9D" w:rsidRPr="00DF0321">
              <w:rPr>
                <w:color w:val="000000"/>
                <w:spacing w:val="4"/>
              </w:rPr>
              <w:t>Jānis Reirs</w:t>
            </w:r>
          </w:p>
        </w:tc>
      </w:tr>
      <w:tr w:rsidR="00AA2393" w:rsidRPr="00DF0321" w14:paraId="719420C0" w14:textId="77777777" w:rsidTr="006A2C25">
        <w:tc>
          <w:tcPr>
            <w:tcW w:w="1599" w:type="dxa"/>
            <w:gridSpan w:val="3"/>
          </w:tcPr>
          <w:p w14:paraId="430B283C"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w:t>
            </w:r>
          </w:p>
        </w:tc>
        <w:tc>
          <w:tcPr>
            <w:tcW w:w="2303" w:type="dxa"/>
            <w:gridSpan w:val="3"/>
          </w:tcPr>
          <w:p w14:paraId="1E135958"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w:t>
            </w:r>
          </w:p>
        </w:tc>
        <w:tc>
          <w:tcPr>
            <w:tcW w:w="1420" w:type="dxa"/>
            <w:gridSpan w:val="5"/>
          </w:tcPr>
          <w:p w14:paraId="67574CBF" w14:textId="77777777" w:rsidR="00AA2393" w:rsidRPr="00DF0321" w:rsidRDefault="00AA2393" w:rsidP="006A2C25">
            <w:pPr>
              <w:pStyle w:val="naisc"/>
              <w:spacing w:before="0" w:beforeAutospacing="0" w:after="0" w:afterAutospacing="0"/>
              <w:rPr>
                <w:color w:val="000000"/>
                <w:spacing w:val="4"/>
              </w:rPr>
            </w:pPr>
            <w:r w:rsidRPr="00DF0321">
              <w:rPr>
                <w:color w:val="000000"/>
                <w:spacing w:val="4"/>
              </w:rPr>
              <w:t>  </w:t>
            </w:r>
          </w:p>
        </w:tc>
        <w:tc>
          <w:tcPr>
            <w:tcW w:w="3798" w:type="dxa"/>
            <w:gridSpan w:val="4"/>
          </w:tcPr>
          <w:p w14:paraId="1B283C0B" w14:textId="77777777" w:rsidR="00AA2393" w:rsidRPr="00DF0321" w:rsidRDefault="00AA2393" w:rsidP="006A2C25">
            <w:pPr>
              <w:pStyle w:val="naisc"/>
              <w:spacing w:before="0" w:beforeAutospacing="0" w:after="0" w:afterAutospacing="0"/>
              <w:rPr>
                <w:color w:val="000000"/>
                <w:spacing w:val="4"/>
              </w:rPr>
            </w:pPr>
            <w:r w:rsidRPr="00DF0321">
              <w:rPr>
                <w:color w:val="000000"/>
                <w:spacing w:val="4"/>
              </w:rPr>
              <w:t> (vārds, uzvārds)</w:t>
            </w:r>
          </w:p>
        </w:tc>
      </w:tr>
      <w:tr w:rsidR="00AA2393" w:rsidRPr="00DF0321" w14:paraId="4FB24C15" w14:textId="77777777" w:rsidTr="006A2C25">
        <w:tc>
          <w:tcPr>
            <w:tcW w:w="1379" w:type="dxa"/>
          </w:tcPr>
          <w:p w14:paraId="5AB94CC6"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Datums</w:t>
            </w:r>
          </w:p>
        </w:tc>
        <w:tc>
          <w:tcPr>
            <w:tcW w:w="3539" w:type="dxa"/>
            <w:gridSpan w:val="7"/>
            <w:tcBorders>
              <w:top w:val="nil"/>
              <w:left w:val="nil"/>
              <w:bottom w:val="single" w:sz="4" w:space="0" w:color="auto"/>
              <w:right w:val="nil"/>
            </w:tcBorders>
          </w:tcPr>
          <w:p w14:paraId="11C33ED8" w14:textId="18FAA223" w:rsidR="00AA2393" w:rsidRPr="00DF0321" w:rsidRDefault="00996549" w:rsidP="00DF51E3">
            <w:pPr>
              <w:pStyle w:val="naiskr"/>
              <w:spacing w:before="0" w:beforeAutospacing="0" w:after="0" w:afterAutospacing="0"/>
              <w:rPr>
                <w:color w:val="000000"/>
                <w:spacing w:val="4"/>
              </w:rPr>
            </w:pPr>
            <w:r w:rsidRPr="00DF0321">
              <w:rPr>
                <w:color w:val="000000"/>
                <w:spacing w:val="4"/>
              </w:rPr>
              <w:t xml:space="preserve">       </w:t>
            </w:r>
            <w:r w:rsidR="007770D1" w:rsidRPr="00DF0321">
              <w:rPr>
                <w:color w:val="000000"/>
                <w:spacing w:val="4"/>
              </w:rPr>
              <w:t>.</w:t>
            </w:r>
            <w:r w:rsidR="00DF51E3">
              <w:rPr>
                <w:color w:val="000000"/>
                <w:spacing w:val="4"/>
              </w:rPr>
              <w:t>09</w:t>
            </w:r>
            <w:r w:rsidR="00FA7D1B" w:rsidRPr="00DF0321">
              <w:rPr>
                <w:color w:val="000000"/>
                <w:spacing w:val="4"/>
              </w:rPr>
              <w:t>.</w:t>
            </w:r>
            <w:r w:rsidR="00A02C77" w:rsidRPr="00DF0321">
              <w:rPr>
                <w:color w:val="000000"/>
                <w:spacing w:val="4"/>
              </w:rPr>
              <w:t>2020</w:t>
            </w:r>
            <w:r w:rsidR="00200614" w:rsidRPr="00DF0321">
              <w:rPr>
                <w:color w:val="000000"/>
                <w:spacing w:val="4"/>
              </w:rPr>
              <w:t>.</w:t>
            </w:r>
          </w:p>
        </w:tc>
        <w:tc>
          <w:tcPr>
            <w:tcW w:w="0" w:type="auto"/>
            <w:gridSpan w:val="2"/>
            <w:vAlign w:val="center"/>
          </w:tcPr>
          <w:p w14:paraId="0A4EA210"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w:t>
            </w:r>
          </w:p>
        </w:tc>
        <w:tc>
          <w:tcPr>
            <w:tcW w:w="0" w:type="auto"/>
            <w:gridSpan w:val="2"/>
            <w:vAlign w:val="center"/>
          </w:tcPr>
          <w:p w14:paraId="05ABFF21" w14:textId="77777777" w:rsidR="00AA2393" w:rsidRPr="00DF0321" w:rsidRDefault="00AA2393" w:rsidP="006A2C25">
            <w:pPr>
              <w:rPr>
                <w:color w:val="000000"/>
                <w:spacing w:val="4"/>
              </w:rPr>
            </w:pPr>
          </w:p>
        </w:tc>
        <w:tc>
          <w:tcPr>
            <w:tcW w:w="0" w:type="auto"/>
            <w:gridSpan w:val="2"/>
            <w:vAlign w:val="center"/>
          </w:tcPr>
          <w:p w14:paraId="32675B1F" w14:textId="77777777" w:rsidR="00AA2393" w:rsidRPr="00DF0321" w:rsidRDefault="00AA2393" w:rsidP="006A2C25">
            <w:pPr>
              <w:rPr>
                <w:color w:val="000000"/>
                <w:spacing w:val="4"/>
              </w:rPr>
            </w:pPr>
          </w:p>
        </w:tc>
        <w:tc>
          <w:tcPr>
            <w:tcW w:w="2436" w:type="dxa"/>
            <w:vAlign w:val="center"/>
          </w:tcPr>
          <w:p w14:paraId="421F8EB3" w14:textId="77777777" w:rsidR="00AA2393" w:rsidRPr="00DF0321" w:rsidRDefault="00AA2393" w:rsidP="006A2C25">
            <w:pPr>
              <w:rPr>
                <w:color w:val="000000"/>
                <w:spacing w:val="4"/>
              </w:rPr>
            </w:pPr>
          </w:p>
        </w:tc>
      </w:tr>
      <w:tr w:rsidR="00AA2393" w:rsidRPr="00DF0321" w14:paraId="33CBB254" w14:textId="77777777" w:rsidTr="006A2C25">
        <w:tc>
          <w:tcPr>
            <w:tcW w:w="1379" w:type="dxa"/>
          </w:tcPr>
          <w:p w14:paraId="061DA06B"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Autors</w:t>
            </w:r>
          </w:p>
        </w:tc>
        <w:tc>
          <w:tcPr>
            <w:tcW w:w="5162" w:type="dxa"/>
            <w:gridSpan w:val="12"/>
            <w:tcBorders>
              <w:top w:val="nil"/>
              <w:left w:val="nil"/>
              <w:bottom w:val="single" w:sz="4" w:space="0" w:color="auto"/>
              <w:right w:val="nil"/>
            </w:tcBorders>
          </w:tcPr>
          <w:p w14:paraId="399FD3BB" w14:textId="77777777" w:rsidR="00AA2393" w:rsidRPr="00DF0321" w:rsidRDefault="005D6C0F" w:rsidP="005D6C0F">
            <w:pPr>
              <w:pStyle w:val="naiskr"/>
              <w:spacing w:before="0" w:beforeAutospacing="0" w:after="0" w:afterAutospacing="0"/>
              <w:jc w:val="both"/>
              <w:rPr>
                <w:color w:val="000000"/>
                <w:spacing w:val="4"/>
              </w:rPr>
            </w:pPr>
            <w:r w:rsidRPr="00DF0321">
              <w:rPr>
                <w:color w:val="000000"/>
              </w:rPr>
              <w:t>Finanšu ministrija</w:t>
            </w:r>
          </w:p>
        </w:tc>
        <w:tc>
          <w:tcPr>
            <w:tcW w:w="2579" w:type="dxa"/>
            <w:gridSpan w:val="2"/>
          </w:tcPr>
          <w:p w14:paraId="438A82E0" w14:textId="77777777" w:rsidR="00AA2393" w:rsidRPr="00DF0321" w:rsidRDefault="00AA2393" w:rsidP="006A2C25">
            <w:pPr>
              <w:pStyle w:val="naiskr"/>
              <w:spacing w:before="0" w:beforeAutospacing="0" w:after="0" w:afterAutospacing="0"/>
              <w:rPr>
                <w:color w:val="000000"/>
                <w:spacing w:val="4"/>
              </w:rPr>
            </w:pPr>
          </w:p>
        </w:tc>
      </w:tr>
      <w:tr w:rsidR="00AA2393" w:rsidRPr="00DF0321" w14:paraId="1E038056" w14:textId="77777777" w:rsidTr="006A2C25">
        <w:tc>
          <w:tcPr>
            <w:tcW w:w="1379" w:type="dxa"/>
            <w:vAlign w:val="center"/>
          </w:tcPr>
          <w:p w14:paraId="28850A06"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w:t>
            </w:r>
          </w:p>
        </w:tc>
        <w:tc>
          <w:tcPr>
            <w:tcW w:w="143" w:type="dxa"/>
            <w:vAlign w:val="center"/>
          </w:tcPr>
          <w:p w14:paraId="12DE42ED" w14:textId="77777777" w:rsidR="00AA2393" w:rsidRPr="00DF0321" w:rsidRDefault="00AA2393" w:rsidP="006A2C25">
            <w:pPr>
              <w:rPr>
                <w:rFonts w:eastAsia="Arial Unicode MS"/>
                <w:color w:val="000000"/>
                <w:spacing w:val="4"/>
              </w:rPr>
            </w:pPr>
          </w:p>
        </w:tc>
        <w:tc>
          <w:tcPr>
            <w:tcW w:w="143" w:type="dxa"/>
            <w:gridSpan w:val="2"/>
            <w:vAlign w:val="center"/>
          </w:tcPr>
          <w:p w14:paraId="73BA4128" w14:textId="77777777" w:rsidR="00AA2393" w:rsidRPr="00DF0321" w:rsidRDefault="00AA2393" w:rsidP="006A2C25">
            <w:pPr>
              <w:rPr>
                <w:rFonts w:eastAsia="Arial Unicode MS"/>
                <w:color w:val="000000"/>
                <w:spacing w:val="4"/>
              </w:rPr>
            </w:pPr>
          </w:p>
        </w:tc>
        <w:tc>
          <w:tcPr>
            <w:tcW w:w="220" w:type="dxa"/>
            <w:vAlign w:val="center"/>
          </w:tcPr>
          <w:p w14:paraId="4B628B2D" w14:textId="77777777" w:rsidR="00AA2393" w:rsidRPr="00DF0321" w:rsidRDefault="00AA2393" w:rsidP="006A2C25">
            <w:pPr>
              <w:rPr>
                <w:rFonts w:eastAsia="Arial Unicode MS"/>
                <w:color w:val="000000"/>
                <w:spacing w:val="4"/>
              </w:rPr>
            </w:pPr>
          </w:p>
        </w:tc>
        <w:tc>
          <w:tcPr>
            <w:tcW w:w="2303" w:type="dxa"/>
            <w:gridSpan w:val="2"/>
            <w:vAlign w:val="center"/>
          </w:tcPr>
          <w:p w14:paraId="1E8209B4" w14:textId="77777777" w:rsidR="00AA2393" w:rsidRPr="00DF0321" w:rsidRDefault="00AA2393" w:rsidP="006A2C25">
            <w:pPr>
              <w:rPr>
                <w:rFonts w:eastAsia="Arial Unicode MS"/>
                <w:color w:val="000000"/>
                <w:spacing w:val="4"/>
              </w:rPr>
            </w:pPr>
          </w:p>
        </w:tc>
        <w:tc>
          <w:tcPr>
            <w:tcW w:w="730" w:type="dxa"/>
            <w:vAlign w:val="center"/>
          </w:tcPr>
          <w:p w14:paraId="7DBAF562" w14:textId="77777777" w:rsidR="00AA2393" w:rsidRPr="00DF0321" w:rsidRDefault="00AA2393" w:rsidP="006A2C25">
            <w:pPr>
              <w:rPr>
                <w:rFonts w:eastAsia="Arial Unicode MS"/>
                <w:color w:val="000000"/>
                <w:spacing w:val="4"/>
              </w:rPr>
            </w:pPr>
          </w:p>
        </w:tc>
        <w:tc>
          <w:tcPr>
            <w:tcW w:w="344" w:type="dxa"/>
            <w:gridSpan w:val="2"/>
            <w:vAlign w:val="center"/>
          </w:tcPr>
          <w:p w14:paraId="0864BD3F" w14:textId="77777777" w:rsidR="00AA2393" w:rsidRPr="00DF0321" w:rsidRDefault="00AA2393" w:rsidP="006A2C25">
            <w:pPr>
              <w:rPr>
                <w:rFonts w:eastAsia="Arial Unicode MS"/>
                <w:color w:val="000000"/>
                <w:spacing w:val="4"/>
              </w:rPr>
            </w:pPr>
          </w:p>
        </w:tc>
        <w:tc>
          <w:tcPr>
            <w:tcW w:w="343" w:type="dxa"/>
            <w:gridSpan w:val="2"/>
            <w:vAlign w:val="center"/>
          </w:tcPr>
          <w:p w14:paraId="1BBCCB1E" w14:textId="77777777" w:rsidR="00AA2393" w:rsidRPr="00DF0321" w:rsidRDefault="00AA2393" w:rsidP="006A2C25">
            <w:pPr>
              <w:rPr>
                <w:rFonts w:eastAsia="Arial Unicode MS"/>
                <w:color w:val="000000"/>
                <w:spacing w:val="4"/>
              </w:rPr>
            </w:pPr>
          </w:p>
        </w:tc>
        <w:tc>
          <w:tcPr>
            <w:tcW w:w="1079" w:type="dxa"/>
            <w:gridSpan w:val="2"/>
            <w:vAlign w:val="center"/>
          </w:tcPr>
          <w:p w14:paraId="34C8FE56" w14:textId="77777777" w:rsidR="00AA2393" w:rsidRPr="00DF0321" w:rsidRDefault="00AA2393" w:rsidP="006A2C25">
            <w:pPr>
              <w:rPr>
                <w:rFonts w:eastAsia="Arial Unicode MS"/>
                <w:color w:val="000000"/>
                <w:spacing w:val="4"/>
              </w:rPr>
            </w:pPr>
          </w:p>
        </w:tc>
        <w:tc>
          <w:tcPr>
            <w:tcW w:w="2436" w:type="dxa"/>
            <w:vAlign w:val="center"/>
          </w:tcPr>
          <w:p w14:paraId="1DD20B2D" w14:textId="77777777" w:rsidR="00AA2393" w:rsidRPr="00DF0321" w:rsidRDefault="00AA2393" w:rsidP="006A2C25">
            <w:pPr>
              <w:rPr>
                <w:rFonts w:eastAsia="Arial Unicode MS"/>
                <w:color w:val="000000"/>
                <w:spacing w:val="4"/>
              </w:rPr>
            </w:pPr>
          </w:p>
        </w:tc>
      </w:tr>
    </w:tbl>
    <w:p w14:paraId="075F258F" w14:textId="77777777" w:rsidR="00AA2393" w:rsidRPr="00DF0321" w:rsidRDefault="00AA2393" w:rsidP="00AA2393">
      <w:pPr>
        <w:rPr>
          <w:vanish/>
          <w:color w:val="000000"/>
          <w:spacing w:val="4"/>
        </w:rPr>
      </w:pPr>
    </w:p>
    <w:tbl>
      <w:tblPr>
        <w:tblW w:w="0" w:type="auto"/>
        <w:tblLook w:val="0000" w:firstRow="0" w:lastRow="0" w:firstColumn="0" w:lastColumn="0" w:noHBand="0" w:noVBand="0"/>
      </w:tblPr>
      <w:tblGrid>
        <w:gridCol w:w="2006"/>
        <w:gridCol w:w="1858"/>
        <w:gridCol w:w="5208"/>
      </w:tblGrid>
      <w:tr w:rsidR="00AA2393" w:rsidRPr="00DF0321" w14:paraId="780B4158" w14:textId="77777777" w:rsidTr="006A2C25">
        <w:trPr>
          <w:cantSplit/>
          <w:trHeight w:val="180"/>
        </w:trPr>
        <w:tc>
          <w:tcPr>
            <w:tcW w:w="3948" w:type="dxa"/>
            <w:gridSpan w:val="2"/>
          </w:tcPr>
          <w:p w14:paraId="683088E8" w14:textId="77777777" w:rsidR="005D6C0F" w:rsidRPr="00DF0321" w:rsidRDefault="00AA2393" w:rsidP="006A2C25">
            <w:pPr>
              <w:pStyle w:val="Header"/>
              <w:rPr>
                <w:color w:val="000000"/>
                <w:lang w:val="lv-LV" w:eastAsia="en-US"/>
              </w:rPr>
            </w:pPr>
            <w:r w:rsidRPr="00DF0321">
              <w:rPr>
                <w:color w:val="000000"/>
                <w:lang w:val="lv-LV" w:eastAsia="en-US"/>
              </w:rPr>
              <w:t xml:space="preserve">Sagatavotājs, </w:t>
            </w:r>
          </w:p>
          <w:p w14:paraId="290121B2" w14:textId="77777777" w:rsidR="005D6C0F" w:rsidRPr="00DF0321" w:rsidRDefault="005D6C0F" w:rsidP="006A2C25">
            <w:pPr>
              <w:pStyle w:val="Header"/>
              <w:rPr>
                <w:color w:val="000000"/>
                <w:lang w:val="lv-LV" w:eastAsia="en-US"/>
              </w:rPr>
            </w:pPr>
          </w:p>
          <w:p w14:paraId="2B767558" w14:textId="77777777" w:rsidR="005D6C0F" w:rsidRPr="00DF0321" w:rsidRDefault="005D6C0F" w:rsidP="006A2C25">
            <w:pPr>
              <w:pStyle w:val="Header"/>
              <w:rPr>
                <w:color w:val="000000"/>
                <w:lang w:val="lv-LV" w:eastAsia="en-US"/>
              </w:rPr>
            </w:pPr>
          </w:p>
          <w:p w14:paraId="7A8075F9" w14:textId="77777777" w:rsidR="00996549" w:rsidRPr="00DF0321" w:rsidRDefault="00996549" w:rsidP="006A2C25">
            <w:pPr>
              <w:pStyle w:val="Header"/>
              <w:rPr>
                <w:color w:val="000000"/>
                <w:lang w:val="lv-LV" w:eastAsia="en-US"/>
              </w:rPr>
            </w:pPr>
          </w:p>
          <w:p w14:paraId="2D3ADCD3" w14:textId="77777777" w:rsidR="00996549" w:rsidRPr="00DF0321" w:rsidRDefault="00996549" w:rsidP="006A2C25">
            <w:pPr>
              <w:pStyle w:val="Header"/>
              <w:rPr>
                <w:color w:val="000000"/>
                <w:lang w:val="lv-LV" w:eastAsia="en-US"/>
              </w:rPr>
            </w:pPr>
          </w:p>
          <w:p w14:paraId="46365ECC" w14:textId="77777777" w:rsidR="00AA2393" w:rsidRPr="00DF0321" w:rsidRDefault="00AA2393" w:rsidP="006A2C25">
            <w:pPr>
              <w:pStyle w:val="Header"/>
              <w:rPr>
                <w:color w:val="000000"/>
                <w:lang w:val="lv-LV" w:eastAsia="en-US"/>
              </w:rPr>
            </w:pPr>
            <w:r w:rsidRPr="00DF0321">
              <w:rPr>
                <w:color w:val="000000"/>
                <w:lang w:val="lv-LV" w:eastAsia="en-US"/>
              </w:rPr>
              <w:t xml:space="preserve">Eiropas Savienības (ES) </w:t>
            </w:r>
          </w:p>
        </w:tc>
        <w:tc>
          <w:tcPr>
            <w:tcW w:w="5339" w:type="dxa"/>
            <w:vMerge w:val="restart"/>
          </w:tcPr>
          <w:p w14:paraId="2EDF9147" w14:textId="77777777" w:rsidR="00AA2393" w:rsidRPr="00DF0321" w:rsidRDefault="00AA2393" w:rsidP="005D6C0F">
            <w:pPr>
              <w:jc w:val="both"/>
            </w:pPr>
            <w:r w:rsidRPr="00DF0321">
              <w:t xml:space="preserve">Finanšu ministrijas </w:t>
            </w:r>
            <w:r w:rsidR="00F3610F" w:rsidRPr="00DF0321">
              <w:t xml:space="preserve">Nodokļu administrēšanas un </w:t>
            </w:r>
            <w:r w:rsidR="00A02C77" w:rsidRPr="00DF0321">
              <w:t>sabiedrības interešu politiku</w:t>
            </w:r>
            <w:r w:rsidR="00F3610F" w:rsidRPr="00DF0321">
              <w:t xml:space="preserve"> departamenta Nodokļu administrēšanas politikas nodaļas vadītāja vietnieks Roberts Auziņš</w:t>
            </w:r>
          </w:p>
          <w:p w14:paraId="51D50A1D" w14:textId="77777777" w:rsidR="00996549" w:rsidRPr="00DF0321" w:rsidRDefault="00996549" w:rsidP="005D6C0F">
            <w:pPr>
              <w:jc w:val="both"/>
            </w:pPr>
          </w:p>
          <w:p w14:paraId="74F1D2A6" w14:textId="77777777" w:rsidR="00C84573" w:rsidRPr="00DF0321" w:rsidRDefault="00C84573" w:rsidP="005D6C0F">
            <w:pPr>
              <w:jc w:val="both"/>
            </w:pPr>
            <w:r w:rsidRPr="00DF0321">
              <w:t xml:space="preserve">Finanšu ministrijas Fiskālās politikas departamenta </w:t>
            </w:r>
          </w:p>
          <w:p w14:paraId="7C2B1B85" w14:textId="77777777" w:rsidR="00C84573" w:rsidRPr="00DF0321" w:rsidRDefault="00C84573" w:rsidP="005D6C0F">
            <w:pPr>
              <w:jc w:val="both"/>
              <w:rPr>
                <w:lang w:eastAsia="lv-LV"/>
              </w:rPr>
            </w:pPr>
            <w:r w:rsidRPr="00DF0321">
              <w:rPr>
                <w:lang w:eastAsia="lv-LV"/>
              </w:rPr>
              <w:t>Starptautisko ekonomisko un finanšu lietu nodaļas</w:t>
            </w:r>
          </w:p>
          <w:p w14:paraId="1CCBA8D7" w14:textId="77777777" w:rsidR="00C84573" w:rsidRPr="00DF0321" w:rsidRDefault="00DB23D8" w:rsidP="005D6C0F">
            <w:pPr>
              <w:jc w:val="both"/>
              <w:rPr>
                <w:bCs/>
                <w:lang w:eastAsia="lv-LV"/>
              </w:rPr>
            </w:pPr>
            <w:r w:rsidRPr="00DF0321">
              <w:rPr>
                <w:lang w:eastAsia="lv-LV"/>
              </w:rPr>
              <w:t>vadītāja vietniece</w:t>
            </w:r>
          </w:p>
          <w:p w14:paraId="4C190CC2" w14:textId="77777777" w:rsidR="00C84573" w:rsidRPr="00DF0321" w:rsidRDefault="000F668F" w:rsidP="003D4734">
            <w:pPr>
              <w:jc w:val="both"/>
            </w:pPr>
            <w:r w:rsidRPr="00DF0321">
              <w:rPr>
                <w:bCs/>
                <w:lang w:eastAsia="lv-LV"/>
              </w:rPr>
              <w:t xml:space="preserve">Guna </w:t>
            </w:r>
            <w:r w:rsidR="003D4734" w:rsidRPr="00DF0321">
              <w:rPr>
                <w:bCs/>
                <w:lang w:eastAsia="lv-LV"/>
              </w:rPr>
              <w:t>Jakovele</w:t>
            </w:r>
          </w:p>
        </w:tc>
      </w:tr>
      <w:tr w:rsidR="00AA2393" w:rsidRPr="00DF0321" w14:paraId="7C1B1C66" w14:textId="77777777" w:rsidTr="006A2C25">
        <w:trPr>
          <w:cantSplit/>
          <w:trHeight w:val="375"/>
        </w:trPr>
        <w:tc>
          <w:tcPr>
            <w:tcW w:w="2028" w:type="dxa"/>
          </w:tcPr>
          <w:p w14:paraId="62D6C920" w14:textId="77777777" w:rsidR="00AA2393" w:rsidRPr="00DF0321" w:rsidRDefault="00AA2393" w:rsidP="006A2C25">
            <w:pPr>
              <w:pStyle w:val="Header"/>
              <w:rPr>
                <w:color w:val="000000"/>
                <w:lang w:val="lv-LV" w:eastAsia="en-US"/>
              </w:rPr>
            </w:pPr>
            <w:r w:rsidRPr="00DF0321">
              <w:rPr>
                <w:color w:val="000000"/>
                <w:lang w:val="lv-LV" w:eastAsia="en-US"/>
              </w:rPr>
              <w:t>lietu koordinators</w:t>
            </w:r>
          </w:p>
        </w:tc>
        <w:tc>
          <w:tcPr>
            <w:tcW w:w="1920" w:type="dxa"/>
            <w:tcBorders>
              <w:bottom w:val="single" w:sz="4" w:space="0" w:color="auto"/>
            </w:tcBorders>
          </w:tcPr>
          <w:p w14:paraId="64EEA9B6" w14:textId="77777777" w:rsidR="00AA2393" w:rsidRPr="00DF0321" w:rsidRDefault="00AA2393" w:rsidP="006A2C25">
            <w:pPr>
              <w:pStyle w:val="Header"/>
              <w:rPr>
                <w:color w:val="000000"/>
                <w:lang w:val="lv-LV" w:eastAsia="en-US"/>
              </w:rPr>
            </w:pPr>
          </w:p>
        </w:tc>
        <w:tc>
          <w:tcPr>
            <w:tcW w:w="5339" w:type="dxa"/>
            <w:vMerge/>
            <w:tcBorders>
              <w:bottom w:val="single" w:sz="4" w:space="0" w:color="auto"/>
            </w:tcBorders>
          </w:tcPr>
          <w:p w14:paraId="32F1AA32" w14:textId="77777777" w:rsidR="00AA2393" w:rsidRPr="00DF0321" w:rsidRDefault="00AA2393" w:rsidP="006A2C25">
            <w:pPr>
              <w:pStyle w:val="Header"/>
              <w:rPr>
                <w:color w:val="000000"/>
                <w:lang w:val="lv-LV" w:eastAsia="en-US"/>
              </w:rPr>
            </w:pPr>
          </w:p>
        </w:tc>
      </w:tr>
      <w:tr w:rsidR="00AA2393" w:rsidRPr="00DF0321" w14:paraId="53684BD9" w14:textId="77777777" w:rsidTr="006A2C25">
        <w:trPr>
          <w:cantSplit/>
          <w:trHeight w:val="371"/>
        </w:trPr>
        <w:tc>
          <w:tcPr>
            <w:tcW w:w="2028" w:type="dxa"/>
          </w:tcPr>
          <w:p w14:paraId="371D65E6" w14:textId="77777777" w:rsidR="00AA2393" w:rsidRPr="00DF0321" w:rsidRDefault="00AA2393" w:rsidP="006A2C25">
            <w:pPr>
              <w:rPr>
                <w:color w:val="000000"/>
              </w:rPr>
            </w:pPr>
          </w:p>
        </w:tc>
        <w:tc>
          <w:tcPr>
            <w:tcW w:w="7259" w:type="dxa"/>
            <w:gridSpan w:val="2"/>
            <w:tcBorders>
              <w:top w:val="single" w:sz="4" w:space="0" w:color="auto"/>
            </w:tcBorders>
          </w:tcPr>
          <w:p w14:paraId="7DDAF14E" w14:textId="77777777" w:rsidR="00AA2393" w:rsidRPr="00DF0321" w:rsidRDefault="00AA2393" w:rsidP="006A2C25">
            <w:pPr>
              <w:jc w:val="center"/>
              <w:rPr>
                <w:color w:val="000000"/>
              </w:rPr>
            </w:pPr>
            <w:r w:rsidRPr="00DF0321">
              <w:rPr>
                <w:color w:val="000000"/>
              </w:rPr>
              <w:t>(amats, vārds, uzvārds)</w:t>
            </w:r>
          </w:p>
        </w:tc>
      </w:tr>
    </w:tbl>
    <w:p w14:paraId="6332B040" w14:textId="77777777" w:rsidR="00AA2393" w:rsidRPr="00DF0321" w:rsidRDefault="00AA2393" w:rsidP="00AA2393">
      <w:pPr>
        <w:rPr>
          <w:vanish/>
          <w:color w:val="000000"/>
          <w:spacing w:val="4"/>
        </w:rPr>
      </w:pPr>
    </w:p>
    <w:tbl>
      <w:tblPr>
        <w:tblW w:w="9531" w:type="dxa"/>
        <w:tblCellMar>
          <w:left w:w="0" w:type="dxa"/>
          <w:right w:w="0" w:type="dxa"/>
        </w:tblCellMar>
        <w:tblLook w:val="04A0" w:firstRow="1" w:lastRow="0" w:firstColumn="1" w:lastColumn="0" w:noHBand="0" w:noVBand="1"/>
      </w:tblPr>
      <w:tblGrid>
        <w:gridCol w:w="2268"/>
        <w:gridCol w:w="4111"/>
        <w:gridCol w:w="2691"/>
        <w:gridCol w:w="461"/>
      </w:tblGrid>
      <w:tr w:rsidR="00AA2393" w:rsidRPr="00DF0321" w14:paraId="58FB0E09" w14:textId="77777777" w:rsidTr="007770D1">
        <w:tc>
          <w:tcPr>
            <w:tcW w:w="2268" w:type="dxa"/>
          </w:tcPr>
          <w:p w14:paraId="2AA08116"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E-pasta adrese</w:t>
            </w:r>
          </w:p>
        </w:tc>
        <w:tc>
          <w:tcPr>
            <w:tcW w:w="4111" w:type="dxa"/>
            <w:tcBorders>
              <w:top w:val="nil"/>
              <w:left w:val="nil"/>
              <w:bottom w:val="single" w:sz="4" w:space="0" w:color="auto"/>
              <w:right w:val="nil"/>
            </w:tcBorders>
          </w:tcPr>
          <w:p w14:paraId="6A84E9CE" w14:textId="77777777" w:rsidR="00571509" w:rsidRPr="00DF0321" w:rsidRDefault="00C5678F" w:rsidP="00571509">
            <w:pPr>
              <w:pStyle w:val="naiskr"/>
              <w:spacing w:before="0" w:beforeAutospacing="0" w:after="0" w:afterAutospacing="0"/>
              <w:ind w:left="261" w:hanging="261"/>
            </w:pPr>
            <w:hyperlink r:id="rId8" w:history="1">
              <w:r w:rsidR="00B62C88" w:rsidRPr="00DF0321">
                <w:rPr>
                  <w:rStyle w:val="Hyperlink"/>
                </w:rPr>
                <w:t>Roberts.Auzins@fm.gov.lv</w:t>
              </w:r>
            </w:hyperlink>
            <w:r w:rsidR="009C200E" w:rsidRPr="00DF0321">
              <w:t>;</w:t>
            </w:r>
          </w:p>
          <w:p w14:paraId="080A6240" w14:textId="77777777" w:rsidR="00AA2393" w:rsidRPr="00DF0321" w:rsidRDefault="00C5678F" w:rsidP="003D4734">
            <w:pPr>
              <w:pStyle w:val="naiskr"/>
              <w:spacing w:before="0" w:beforeAutospacing="0" w:after="0" w:afterAutospacing="0"/>
              <w:ind w:left="261" w:hanging="261"/>
              <w:rPr>
                <w:rFonts w:eastAsia="Times New Roman"/>
                <w:color w:val="000000"/>
              </w:rPr>
            </w:pPr>
            <w:hyperlink r:id="rId9" w:history="1">
              <w:r w:rsidR="005D6C0F" w:rsidRPr="00DF0321">
                <w:rPr>
                  <w:rStyle w:val="Hyperlink"/>
                </w:rPr>
                <w:t>ESlietas@fm.gov.lv</w:t>
              </w:r>
            </w:hyperlink>
            <w:r w:rsidR="009C200E" w:rsidRPr="00DF0321">
              <w:t>.</w:t>
            </w:r>
          </w:p>
        </w:tc>
        <w:tc>
          <w:tcPr>
            <w:tcW w:w="3152" w:type="dxa"/>
            <w:gridSpan w:val="2"/>
          </w:tcPr>
          <w:p w14:paraId="1167DFA2" w14:textId="77777777" w:rsidR="00AA2393" w:rsidRPr="00DF0321" w:rsidRDefault="00AA2393" w:rsidP="006A2C25">
            <w:pPr>
              <w:pStyle w:val="naiskr"/>
              <w:spacing w:before="0" w:beforeAutospacing="0" w:after="0" w:afterAutospacing="0"/>
              <w:rPr>
                <w:rFonts w:eastAsia="Times New Roman"/>
                <w:color w:val="000000"/>
              </w:rPr>
            </w:pPr>
            <w:r w:rsidRPr="00DF0321">
              <w:rPr>
                <w:rFonts w:eastAsia="Times New Roman"/>
                <w:color w:val="000000"/>
              </w:rPr>
              <w:t>  </w:t>
            </w:r>
          </w:p>
        </w:tc>
      </w:tr>
      <w:tr w:rsidR="00DB23D8" w:rsidRPr="00DF0321" w14:paraId="23EE73E9" w14:textId="77777777" w:rsidTr="007770D1">
        <w:tc>
          <w:tcPr>
            <w:tcW w:w="2268" w:type="dxa"/>
          </w:tcPr>
          <w:p w14:paraId="32565459"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Tālruņa numurs</w:t>
            </w:r>
          </w:p>
        </w:tc>
        <w:tc>
          <w:tcPr>
            <w:tcW w:w="4111" w:type="dxa"/>
            <w:tcBorders>
              <w:top w:val="nil"/>
              <w:left w:val="nil"/>
              <w:bottom w:val="single" w:sz="4" w:space="0" w:color="auto"/>
              <w:right w:val="nil"/>
            </w:tcBorders>
          </w:tcPr>
          <w:p w14:paraId="34EEB572" w14:textId="77777777" w:rsidR="00AA2393" w:rsidRPr="00DF0321" w:rsidRDefault="00571509" w:rsidP="003D4734">
            <w:pPr>
              <w:pStyle w:val="naiskr"/>
              <w:spacing w:before="0" w:beforeAutospacing="0" w:after="0" w:afterAutospacing="0"/>
              <w:rPr>
                <w:color w:val="000000"/>
                <w:spacing w:val="4"/>
              </w:rPr>
            </w:pPr>
            <w:r w:rsidRPr="00DF0321">
              <w:rPr>
                <w:color w:val="000000"/>
              </w:rPr>
              <w:t>670</w:t>
            </w:r>
            <w:r w:rsidR="00B62C88" w:rsidRPr="00DF0321">
              <w:rPr>
                <w:color w:val="000000"/>
              </w:rPr>
              <w:t>83919</w:t>
            </w:r>
          </w:p>
        </w:tc>
        <w:tc>
          <w:tcPr>
            <w:tcW w:w="2691" w:type="dxa"/>
          </w:tcPr>
          <w:p w14:paraId="44B3AB75"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w:t>
            </w:r>
          </w:p>
        </w:tc>
        <w:tc>
          <w:tcPr>
            <w:tcW w:w="461" w:type="dxa"/>
            <w:vAlign w:val="center"/>
          </w:tcPr>
          <w:p w14:paraId="3BC58790" w14:textId="77777777" w:rsidR="00AA2393" w:rsidRPr="00DF0321" w:rsidRDefault="00AA2393" w:rsidP="006A2C25">
            <w:pPr>
              <w:pStyle w:val="naiskr"/>
              <w:spacing w:before="0" w:beforeAutospacing="0" w:after="0" w:afterAutospacing="0"/>
              <w:rPr>
                <w:color w:val="000000"/>
                <w:spacing w:val="4"/>
              </w:rPr>
            </w:pPr>
            <w:r w:rsidRPr="00DF0321">
              <w:rPr>
                <w:color w:val="000000"/>
                <w:spacing w:val="4"/>
              </w:rPr>
              <w:t>  </w:t>
            </w:r>
          </w:p>
        </w:tc>
      </w:tr>
    </w:tbl>
    <w:p w14:paraId="0DE167E5" w14:textId="77777777" w:rsidR="00AA2393" w:rsidRPr="00DF0321" w:rsidRDefault="00AA2393" w:rsidP="00AA2393">
      <w:pPr>
        <w:pStyle w:val="Heading4"/>
        <w:rPr>
          <w:rFonts w:ascii="Times New Roman" w:hAnsi="Times New Roman"/>
          <w:bCs w:val="0"/>
          <w:color w:val="000000"/>
          <w:sz w:val="24"/>
          <w:szCs w:val="24"/>
          <w:lang w:val="lv-LV"/>
        </w:rPr>
      </w:pPr>
    </w:p>
    <w:p w14:paraId="1B5B8327" w14:textId="77777777" w:rsidR="005D6C0F" w:rsidRPr="00DF0321" w:rsidRDefault="005D6C0F" w:rsidP="005D6C0F">
      <w:pPr>
        <w:jc w:val="center"/>
        <w:rPr>
          <w:b/>
        </w:rPr>
      </w:pPr>
      <w:r w:rsidRPr="00DF0321">
        <w:rPr>
          <w:b/>
        </w:rPr>
        <w:t>Pozīcija Nr.1</w:t>
      </w:r>
    </w:p>
    <w:p w14:paraId="20C3232C" w14:textId="77777777" w:rsidR="005D6C0F" w:rsidRPr="00DF0321" w:rsidRDefault="005D6C0F" w:rsidP="005D6C0F">
      <w:pPr>
        <w:widowControl w:val="0"/>
        <w:autoSpaceDE w:val="0"/>
        <w:autoSpaceDN w:val="0"/>
        <w:adjustRightInd w:val="0"/>
        <w:jc w:val="center"/>
      </w:pPr>
    </w:p>
    <w:p w14:paraId="792904B4" w14:textId="77777777" w:rsidR="007770D1" w:rsidRPr="00DF0321" w:rsidRDefault="008D6C4B" w:rsidP="007770D1">
      <w:pPr>
        <w:jc w:val="center"/>
        <w:rPr>
          <w:rFonts w:ascii="TimesNewRoman,Bold" w:eastAsia="Calibri" w:hAnsi="TimesNewRoman,Bold" w:cs="TimesNewRoman,Bold"/>
          <w:b/>
          <w:bCs/>
          <w:lang w:eastAsia="lv-LV"/>
        </w:rPr>
      </w:pPr>
      <w:bookmarkStart w:id="0" w:name="OLE_LINK7"/>
      <w:bookmarkStart w:id="1" w:name="OLE_LINK8"/>
      <w:r w:rsidRPr="00DF0321">
        <w:rPr>
          <w:rFonts w:ascii="TimesNewRoman,Bold" w:eastAsia="Calibri" w:hAnsi="TimesNewRoman,Bold" w:cs="TimesNewRoman,Bold"/>
          <w:b/>
          <w:bCs/>
          <w:lang w:eastAsia="lv-LV"/>
        </w:rPr>
        <w:t xml:space="preserve">Par </w:t>
      </w:r>
      <w:bookmarkEnd w:id="0"/>
      <w:bookmarkEnd w:id="1"/>
      <w:r w:rsidR="007770D1" w:rsidRPr="00DF0321">
        <w:rPr>
          <w:rFonts w:ascii="TimesNewRoman,Bold" w:eastAsia="Calibri" w:hAnsi="TimesNewRoman,Bold" w:cs="TimesNewRoman,Bold"/>
          <w:b/>
          <w:bCs/>
          <w:lang w:eastAsia="lv-LV"/>
        </w:rPr>
        <w:t>Priekšlikumu Padomes Direktīvai</w:t>
      </w:r>
      <w:r w:rsidR="007C5022" w:rsidRPr="00DF0321">
        <w:rPr>
          <w:rFonts w:ascii="TimesNewRoman,Bold" w:eastAsia="Calibri" w:hAnsi="TimesNewRoman,Bold" w:cs="TimesNewRoman,Bold"/>
          <w:b/>
          <w:bCs/>
          <w:lang w:eastAsia="lv-LV"/>
        </w:rPr>
        <w:t>,</w:t>
      </w:r>
      <w:r w:rsidR="00FB50EA" w:rsidRPr="00DF0321">
        <w:rPr>
          <w:rFonts w:ascii="TimesNewRoman,Bold" w:eastAsia="Calibri" w:hAnsi="TimesNewRoman,Bold" w:cs="TimesNewRoman,Bold"/>
          <w:b/>
          <w:bCs/>
          <w:lang w:eastAsia="lv-LV"/>
        </w:rPr>
        <w:t xml:space="preserve"> </w:t>
      </w:r>
      <w:r w:rsidR="00C25C9F" w:rsidRPr="00DF0321">
        <w:rPr>
          <w:rFonts w:ascii="TimesNewRoman,Bold" w:eastAsia="Calibri" w:hAnsi="TimesNewRoman,Bold" w:cs="TimesNewRoman,Bold"/>
          <w:b/>
          <w:bCs/>
          <w:lang w:eastAsia="lv-LV"/>
        </w:rPr>
        <w:t>ar ko groza Padomes Direktīvu 2011/16/ES par administratīvu sadarbību nodokļu jomā</w:t>
      </w:r>
    </w:p>
    <w:p w14:paraId="35A676A9" w14:textId="77777777" w:rsidR="008D6C4B" w:rsidRPr="00DF0321" w:rsidRDefault="008D6C4B" w:rsidP="008D6C4B">
      <w:pPr>
        <w:jc w:val="center"/>
        <w:rPr>
          <w:b/>
          <w:sz w:val="26"/>
          <w:szCs w:val="26"/>
        </w:rPr>
      </w:pPr>
    </w:p>
    <w:p w14:paraId="4E23023E" w14:textId="77777777" w:rsidR="008D6C4B" w:rsidRPr="00DF0321" w:rsidRDefault="007770D1" w:rsidP="005E06E2">
      <w:pPr>
        <w:pStyle w:val="FootnoteText"/>
        <w:pBdr>
          <w:bottom w:val="single" w:sz="4" w:space="1" w:color="auto"/>
        </w:pBdr>
        <w:tabs>
          <w:tab w:val="left" w:pos="1785"/>
          <w:tab w:val="center" w:pos="4535"/>
        </w:tabs>
        <w:jc w:val="center"/>
        <w:rPr>
          <w:rFonts w:eastAsia="Calibri"/>
          <w:i/>
          <w:sz w:val="24"/>
          <w:szCs w:val="24"/>
        </w:rPr>
      </w:pPr>
      <w:r w:rsidRPr="00DF0321">
        <w:rPr>
          <w:i/>
          <w:sz w:val="24"/>
          <w:szCs w:val="24"/>
        </w:rPr>
        <w:t xml:space="preserve">Proposal for a Council Directive </w:t>
      </w:r>
      <w:r w:rsidR="00C25C9F" w:rsidRPr="00DF0321">
        <w:rPr>
          <w:i/>
          <w:sz w:val="24"/>
          <w:szCs w:val="24"/>
        </w:rPr>
        <w:t>amending Directive 2011/16/EU on administrative cooperation in the field of taxation</w:t>
      </w:r>
    </w:p>
    <w:p w14:paraId="3019DDFD" w14:textId="77777777" w:rsidR="005D6C0F" w:rsidRPr="00DF0321" w:rsidRDefault="008D6C4B" w:rsidP="005D6C0F">
      <w:pPr>
        <w:jc w:val="center"/>
        <w:rPr>
          <w:sz w:val="20"/>
        </w:rPr>
      </w:pPr>
      <w:r w:rsidRPr="00DF0321">
        <w:rPr>
          <w:sz w:val="18"/>
          <w:szCs w:val="18"/>
        </w:rPr>
        <w:t xml:space="preserve"> </w:t>
      </w:r>
      <w:r w:rsidR="005D6C0F" w:rsidRPr="00DF0321">
        <w:rPr>
          <w:sz w:val="18"/>
          <w:szCs w:val="18"/>
        </w:rPr>
        <w:t>(ES tiesību akta projekta nosaukums/izskatāmais jautājums (latviešu un angļu valodā))</w:t>
      </w:r>
    </w:p>
    <w:p w14:paraId="6B66081A" w14:textId="77777777" w:rsidR="005D6C0F" w:rsidRPr="00DF0321" w:rsidRDefault="005D6C0F" w:rsidP="00AA2393">
      <w:pPr>
        <w:pStyle w:val="Heading4"/>
        <w:spacing w:after="120"/>
        <w:rPr>
          <w:rFonts w:ascii="Times New Roman" w:hAnsi="Times New Roman"/>
          <w:bCs w:val="0"/>
          <w:color w:val="000000"/>
          <w:sz w:val="24"/>
          <w:szCs w:val="24"/>
          <w:lang w:val="lv-LV"/>
        </w:rPr>
      </w:pPr>
    </w:p>
    <w:tbl>
      <w:tblPr>
        <w:tblW w:w="9532" w:type="dxa"/>
        <w:tblInd w:w="-426" w:type="dxa"/>
        <w:tblLayout w:type="fixed"/>
        <w:tblLook w:val="0000" w:firstRow="0" w:lastRow="0" w:firstColumn="0" w:lastColumn="0" w:noHBand="0" w:noVBand="0"/>
      </w:tblPr>
      <w:tblGrid>
        <w:gridCol w:w="1072"/>
        <w:gridCol w:w="1163"/>
        <w:gridCol w:w="1113"/>
        <w:gridCol w:w="3600"/>
        <w:gridCol w:w="2232"/>
        <w:gridCol w:w="318"/>
        <w:gridCol w:w="34"/>
      </w:tblGrid>
      <w:tr w:rsidR="005D6C0F" w:rsidRPr="00DF0321" w14:paraId="5EE60EC7" w14:textId="77777777" w:rsidTr="00CC52E5">
        <w:trPr>
          <w:gridAfter w:val="2"/>
          <w:wAfter w:w="352" w:type="dxa"/>
        </w:trPr>
        <w:tc>
          <w:tcPr>
            <w:tcW w:w="1072" w:type="dxa"/>
          </w:tcPr>
          <w:p w14:paraId="4451BB71" w14:textId="77777777" w:rsidR="005D6C0F" w:rsidRPr="00DF0321" w:rsidRDefault="005D6C0F" w:rsidP="006A2C25">
            <w:pPr>
              <w:jc w:val="both"/>
            </w:pPr>
            <w:r w:rsidRPr="00DF0321">
              <w:t>Stadija</w:t>
            </w:r>
          </w:p>
        </w:tc>
        <w:tc>
          <w:tcPr>
            <w:tcW w:w="8108" w:type="dxa"/>
            <w:gridSpan w:val="4"/>
            <w:tcBorders>
              <w:top w:val="nil"/>
              <w:left w:val="nil"/>
              <w:bottom w:val="single" w:sz="4" w:space="0" w:color="auto"/>
              <w:right w:val="nil"/>
            </w:tcBorders>
          </w:tcPr>
          <w:p w14:paraId="0E90AA68" w14:textId="77777777" w:rsidR="005D6C0F" w:rsidRPr="00DF0321" w:rsidRDefault="00040E1E" w:rsidP="007C5022">
            <w:pPr>
              <w:jc w:val="both"/>
            </w:pPr>
            <w:r w:rsidRPr="00DF0321">
              <w:t>2020.gada 15. jūlijā Eiropas Komisija nāca klajā ar priekšlikumu Padomes Direktīvai</w:t>
            </w:r>
            <w:r w:rsidR="007C5022" w:rsidRPr="00DF0321">
              <w:t>,</w:t>
            </w:r>
            <w:r w:rsidRPr="00DF0321">
              <w:t xml:space="preserve"> ar ko groza Padomes Direktīvu 2011/16/ES par administratīvu sadarbību nodokļu jomā (DAC7). 2020.gada 23.jūlijā notika pirmā ekspertu darba grupa, kurā tika prezentēts DAC7 priekšlikums</w:t>
            </w:r>
            <w:r w:rsidR="007C5022" w:rsidRPr="00DF0321">
              <w:t xml:space="preserve"> un</w:t>
            </w:r>
            <w:r w:rsidRPr="00DF0321">
              <w:t xml:space="preserve"> kur</w:t>
            </w:r>
            <w:r w:rsidR="007C5022" w:rsidRPr="00DF0321">
              <w:t>ā</w:t>
            </w:r>
            <w:r w:rsidRPr="00DF0321">
              <w:t xml:space="preserve"> dalībvalstīm bija iespēja paust sākotnējo viedokli par priekšlikumu.</w:t>
            </w:r>
          </w:p>
        </w:tc>
      </w:tr>
      <w:tr w:rsidR="005D6C0F" w:rsidRPr="00DF0321" w14:paraId="197297ED" w14:textId="77777777" w:rsidTr="00CC52E5">
        <w:trPr>
          <w:gridAfter w:val="2"/>
          <w:wAfter w:w="352" w:type="dxa"/>
        </w:trPr>
        <w:tc>
          <w:tcPr>
            <w:tcW w:w="3348" w:type="dxa"/>
            <w:gridSpan w:val="3"/>
          </w:tcPr>
          <w:p w14:paraId="3AD1CE92" w14:textId="77777777" w:rsidR="005D6C0F" w:rsidRPr="00DF0321" w:rsidRDefault="005D6C0F" w:rsidP="006A2C25">
            <w:pPr>
              <w:jc w:val="both"/>
            </w:pPr>
            <w:r w:rsidRPr="00DF0321">
              <w:t>Atsauces uz ES dokumentiem</w:t>
            </w:r>
          </w:p>
        </w:tc>
        <w:tc>
          <w:tcPr>
            <w:tcW w:w="5832" w:type="dxa"/>
            <w:gridSpan w:val="2"/>
            <w:tcBorders>
              <w:top w:val="nil"/>
              <w:left w:val="nil"/>
              <w:bottom w:val="single" w:sz="4" w:space="0" w:color="auto"/>
              <w:right w:val="nil"/>
            </w:tcBorders>
          </w:tcPr>
          <w:p w14:paraId="1DEE8E8F" w14:textId="77777777" w:rsidR="00C25C9F" w:rsidRPr="00DF0321" w:rsidRDefault="000928D1" w:rsidP="00C25C9F">
            <w:pPr>
              <w:jc w:val="both"/>
              <w:rPr>
                <w:rFonts w:eastAsia="Calibri"/>
                <w:i/>
              </w:rPr>
            </w:pPr>
            <w:r w:rsidRPr="00DF0321">
              <w:t xml:space="preserve">(doc. </w:t>
            </w:r>
            <w:r w:rsidR="00C25C9F" w:rsidRPr="00DF0321">
              <w:rPr>
                <w:rFonts w:eastAsia="Calibri"/>
                <w:i/>
              </w:rPr>
              <w:t>{SEC(2020) 271 final} - {SWD(2020) 129 final} - {SWD(2020) 130 final} -</w:t>
            </w:r>
          </w:p>
          <w:p w14:paraId="63DFBD6B" w14:textId="77777777" w:rsidR="00F6156D" w:rsidRPr="00DF0321" w:rsidRDefault="00C25C9F" w:rsidP="00C25C9F">
            <w:pPr>
              <w:jc w:val="both"/>
            </w:pPr>
            <w:r w:rsidRPr="00DF0321">
              <w:rPr>
                <w:rFonts w:eastAsia="Calibri"/>
                <w:i/>
              </w:rPr>
              <w:t>{SWD(2020) 131 final}</w:t>
            </w:r>
            <w:r w:rsidR="005E06E2" w:rsidRPr="00DF0321">
              <w:t>)</w:t>
            </w:r>
          </w:p>
        </w:tc>
      </w:tr>
      <w:tr w:rsidR="00AA2393" w:rsidRPr="00DF0321" w14:paraId="1B293735" w14:textId="77777777" w:rsidTr="00CC52E5">
        <w:trPr>
          <w:gridAfter w:val="1"/>
          <w:wAfter w:w="34" w:type="dxa"/>
        </w:trPr>
        <w:tc>
          <w:tcPr>
            <w:tcW w:w="2235" w:type="dxa"/>
            <w:gridSpan w:val="2"/>
            <w:tcBorders>
              <w:top w:val="single" w:sz="4" w:space="0" w:color="auto"/>
            </w:tcBorders>
          </w:tcPr>
          <w:p w14:paraId="5C3B21B5" w14:textId="77777777" w:rsidR="00AA2393" w:rsidRPr="00DF0321" w:rsidRDefault="00AA2393" w:rsidP="006A2C25">
            <w:pPr>
              <w:jc w:val="both"/>
              <w:rPr>
                <w:color w:val="000000"/>
              </w:rPr>
            </w:pPr>
          </w:p>
        </w:tc>
        <w:tc>
          <w:tcPr>
            <w:tcW w:w="7263" w:type="dxa"/>
            <w:gridSpan w:val="4"/>
            <w:tcBorders>
              <w:top w:val="single" w:sz="4" w:space="0" w:color="auto"/>
              <w:bottom w:val="single" w:sz="4" w:space="0" w:color="auto"/>
            </w:tcBorders>
          </w:tcPr>
          <w:p w14:paraId="638908F3" w14:textId="77777777" w:rsidR="00AA2393" w:rsidRPr="00DF0321" w:rsidRDefault="00AA2393" w:rsidP="006A2C25">
            <w:pPr>
              <w:spacing w:before="120"/>
              <w:ind w:right="34"/>
              <w:jc w:val="both"/>
              <w:rPr>
                <w:i/>
                <w:spacing w:val="4"/>
              </w:rPr>
            </w:pPr>
          </w:p>
        </w:tc>
      </w:tr>
      <w:tr w:rsidR="00AA2393" w:rsidRPr="00DF0321" w14:paraId="4FD18E3F"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tcPr>
          <w:p w14:paraId="1737B96F" w14:textId="77777777" w:rsidR="00AA2393" w:rsidRPr="00DF0321" w:rsidRDefault="00AA2393" w:rsidP="006A2C25">
            <w:pPr>
              <w:spacing w:before="60" w:after="60"/>
              <w:jc w:val="center"/>
              <w:rPr>
                <w:b/>
                <w:color w:val="000000"/>
              </w:rPr>
            </w:pPr>
            <w:r w:rsidRPr="00DF0321">
              <w:rPr>
                <w:b/>
                <w:color w:val="000000"/>
              </w:rPr>
              <w:t>1. ES tiesību akta projekta/izskatāmā jautājuma īss apraksts</w:t>
            </w:r>
          </w:p>
        </w:tc>
      </w:tr>
      <w:tr w:rsidR="00AA2393" w:rsidRPr="00DF0321" w14:paraId="3F7AAFE8"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9532" w:type="dxa"/>
            <w:gridSpan w:val="7"/>
          </w:tcPr>
          <w:p w14:paraId="354AE632" w14:textId="77777777" w:rsidR="007770D1" w:rsidRPr="00DF0321" w:rsidRDefault="007770D1" w:rsidP="00A43F09">
            <w:pPr>
              <w:pStyle w:val="ManualHeading2"/>
              <w:keepNext w:val="0"/>
              <w:ind w:left="0" w:firstLine="0"/>
              <w:rPr>
                <w:noProof/>
              </w:rPr>
            </w:pPr>
            <w:r w:rsidRPr="00DF0321">
              <w:rPr>
                <w:noProof/>
              </w:rPr>
              <w:t>Priekšlikuma pamatojums un mērķi</w:t>
            </w:r>
          </w:p>
          <w:p w14:paraId="156DE7CE" w14:textId="645A0F78" w:rsidR="00FF79D4" w:rsidRPr="00DF0321" w:rsidRDefault="00FF79D4" w:rsidP="00FF79D4">
            <w:pPr>
              <w:autoSpaceDE w:val="0"/>
              <w:autoSpaceDN w:val="0"/>
              <w:adjustRightInd w:val="0"/>
              <w:jc w:val="both"/>
              <w:rPr>
                <w:rFonts w:eastAsia="Calibri"/>
                <w:noProof/>
                <w:szCs w:val="22"/>
              </w:rPr>
            </w:pPr>
            <w:r w:rsidRPr="00DF0321">
              <w:rPr>
                <w:noProof/>
              </w:rPr>
              <w:t>DAC7 priekšlikums ir daļa no Eiropas Komisijas sagatavotās tiesību aktu paketes taisnīgai un vienkāršai nodokļu politikai</w:t>
            </w:r>
            <w:r w:rsidRPr="00DF0321">
              <w:rPr>
                <w:rFonts w:eastAsia="Calibri"/>
                <w:noProof/>
                <w:szCs w:val="22"/>
              </w:rPr>
              <w:t xml:space="preserve">, kurā ietverts Paziņojums par rīcības plānu taisnīgas un vienkāršas nodokļu sistēmas izveidei, </w:t>
            </w:r>
            <w:r w:rsidR="00C63568" w:rsidRPr="00DF0321">
              <w:rPr>
                <w:rFonts w:eastAsia="Calibri"/>
                <w:noProof/>
                <w:szCs w:val="22"/>
              </w:rPr>
              <w:t>veicinot</w:t>
            </w:r>
            <w:r w:rsidRPr="00DF0321">
              <w:rPr>
                <w:rFonts w:eastAsia="Calibri"/>
                <w:noProof/>
                <w:szCs w:val="22"/>
              </w:rPr>
              <w:t xml:space="preserve"> ekonomikas </w:t>
            </w:r>
            <w:r w:rsidR="003D4734" w:rsidRPr="00DF0321">
              <w:rPr>
                <w:rFonts w:eastAsia="Calibri"/>
                <w:noProof/>
                <w:szCs w:val="22"/>
              </w:rPr>
              <w:t>atgūšan</w:t>
            </w:r>
            <w:r w:rsidR="00B45E10">
              <w:rPr>
                <w:rFonts w:eastAsia="Calibri"/>
                <w:noProof/>
                <w:szCs w:val="22"/>
              </w:rPr>
              <w:t>ā</w:t>
            </w:r>
            <w:r w:rsidR="003D4734" w:rsidRPr="00DF0321">
              <w:rPr>
                <w:rFonts w:eastAsia="Calibri"/>
                <w:noProof/>
                <w:szCs w:val="22"/>
              </w:rPr>
              <w:t xml:space="preserve">s </w:t>
            </w:r>
            <w:r w:rsidRPr="00DF0321">
              <w:rPr>
                <w:rFonts w:eastAsia="Calibri"/>
                <w:noProof/>
                <w:szCs w:val="22"/>
              </w:rPr>
              <w:t>stratēģiju</w:t>
            </w:r>
            <w:r w:rsidRPr="00DF0321">
              <w:rPr>
                <w:rFonts w:eastAsia="Calibri"/>
                <w:noProof/>
                <w:szCs w:val="22"/>
                <w:vertAlign w:val="superscript"/>
              </w:rPr>
              <w:footnoteReference w:id="1"/>
            </w:r>
            <w:r w:rsidR="00C63568" w:rsidRPr="00DF0321">
              <w:rPr>
                <w:rFonts w:eastAsia="Calibri"/>
                <w:noProof/>
                <w:szCs w:val="22"/>
              </w:rPr>
              <w:t>.</w:t>
            </w:r>
          </w:p>
          <w:p w14:paraId="346282EF" w14:textId="75F0B6AA" w:rsidR="00FF79D4" w:rsidRPr="00DF0321" w:rsidRDefault="00FF79D4" w:rsidP="00FF79D4">
            <w:pPr>
              <w:autoSpaceDE w:val="0"/>
              <w:autoSpaceDN w:val="0"/>
              <w:adjustRightInd w:val="0"/>
              <w:jc w:val="both"/>
              <w:rPr>
                <w:rFonts w:eastAsia="Calibri"/>
                <w:noProof/>
                <w:szCs w:val="22"/>
              </w:rPr>
            </w:pPr>
            <w:r w:rsidRPr="00DF0321">
              <w:rPr>
                <w:rFonts w:eastAsia="Calibri"/>
                <w:noProof/>
                <w:szCs w:val="22"/>
              </w:rPr>
              <w:t xml:space="preserve">Ar taisnīgu nodokļu politiku šajā gadījumā tiek domāta nepieciešamība </w:t>
            </w:r>
            <w:r w:rsidR="00C17565" w:rsidRPr="00DF0321">
              <w:rPr>
                <w:rFonts w:eastAsia="Calibri"/>
                <w:noProof/>
                <w:szCs w:val="22"/>
              </w:rPr>
              <w:t xml:space="preserve">nodrošināt </w:t>
            </w:r>
            <w:r w:rsidR="007C5022" w:rsidRPr="00DF0321">
              <w:rPr>
                <w:rFonts w:eastAsia="Calibri"/>
                <w:noProof/>
                <w:szCs w:val="22"/>
              </w:rPr>
              <w:t>tādu</w:t>
            </w:r>
            <w:r w:rsidRPr="00DF0321">
              <w:rPr>
                <w:rFonts w:eastAsia="Calibri"/>
                <w:noProof/>
                <w:szCs w:val="22"/>
              </w:rPr>
              <w:t xml:space="preserve"> ekonomiku, kas darbojas cilvēku labā, veicina sociālo taisnīgumu un vienlīdzīgus konkurences apstā</w:t>
            </w:r>
            <w:r w:rsidR="007C5022" w:rsidRPr="00DF0321">
              <w:rPr>
                <w:rFonts w:eastAsia="Calibri"/>
                <w:noProof/>
                <w:szCs w:val="22"/>
              </w:rPr>
              <w:t>k</w:t>
            </w:r>
            <w:r w:rsidRPr="00DF0321">
              <w:rPr>
                <w:rFonts w:eastAsia="Calibri"/>
                <w:noProof/>
                <w:szCs w:val="22"/>
              </w:rPr>
              <w:t>ļus Eiropas Savienībā</w:t>
            </w:r>
            <w:r w:rsidR="00B45E10">
              <w:rPr>
                <w:rFonts w:eastAsia="Calibri"/>
                <w:noProof/>
                <w:szCs w:val="22"/>
              </w:rPr>
              <w:t xml:space="preserve"> (turpmāk – ES)</w:t>
            </w:r>
            <w:r w:rsidRPr="00DF0321">
              <w:rPr>
                <w:rFonts w:eastAsia="Calibri"/>
                <w:noProof/>
                <w:szCs w:val="22"/>
              </w:rPr>
              <w:t xml:space="preserve">. </w:t>
            </w:r>
            <w:r w:rsidR="00960B05" w:rsidRPr="00DF0321">
              <w:rPr>
                <w:rFonts w:eastAsia="Calibri"/>
                <w:noProof/>
                <w:szCs w:val="22"/>
              </w:rPr>
              <w:t xml:space="preserve">Šādas </w:t>
            </w:r>
            <w:r w:rsidRPr="00DF0321">
              <w:rPr>
                <w:rFonts w:eastAsia="Calibri"/>
                <w:noProof/>
                <w:szCs w:val="22"/>
              </w:rPr>
              <w:t xml:space="preserve">nodokļu politikas ietvaros vajadzētu </w:t>
            </w:r>
            <w:r w:rsidR="00C17565" w:rsidRPr="00DF0321">
              <w:rPr>
                <w:rFonts w:eastAsia="Calibri"/>
                <w:noProof/>
                <w:szCs w:val="22"/>
              </w:rPr>
              <w:t>veidot</w:t>
            </w:r>
            <w:r w:rsidR="00960B05" w:rsidRPr="00DF0321">
              <w:rPr>
                <w:rFonts w:eastAsia="Calibri"/>
                <w:noProof/>
                <w:szCs w:val="22"/>
              </w:rPr>
              <w:t xml:space="preserve"> </w:t>
            </w:r>
            <w:r w:rsidRPr="00DF0321">
              <w:rPr>
                <w:rFonts w:eastAsia="Calibri"/>
                <w:noProof/>
                <w:szCs w:val="22"/>
              </w:rPr>
              <w:t xml:space="preserve">tādu nodokļu regulējumu, kas nodrošina, ka ikviens </w:t>
            </w:r>
            <w:r w:rsidR="00496F33" w:rsidRPr="00DF0321">
              <w:rPr>
                <w:rFonts w:eastAsia="Calibri"/>
                <w:noProof/>
                <w:szCs w:val="22"/>
              </w:rPr>
              <w:t xml:space="preserve">attiecīgi </w:t>
            </w:r>
            <w:r w:rsidRPr="00DF0321">
              <w:rPr>
                <w:rFonts w:eastAsia="Calibri"/>
                <w:noProof/>
                <w:szCs w:val="22"/>
              </w:rPr>
              <w:t xml:space="preserve">maksā </w:t>
            </w:r>
            <w:r w:rsidR="00C17565" w:rsidRPr="00DF0321">
              <w:rPr>
                <w:rFonts w:eastAsia="Calibri"/>
                <w:noProof/>
                <w:szCs w:val="22"/>
              </w:rPr>
              <w:t xml:space="preserve">uz viņu godīgi noteikto nodokļa </w:t>
            </w:r>
            <w:r w:rsidRPr="00DF0321">
              <w:rPr>
                <w:rFonts w:eastAsia="Calibri"/>
                <w:noProof/>
                <w:szCs w:val="22"/>
              </w:rPr>
              <w:t>daļu, vienlaikus atvieglojot nodokļu maksātājiem – gan uzņēmumiem, gan iedzīvotājiem – regulējuma ievērošanu.</w:t>
            </w:r>
          </w:p>
          <w:p w14:paraId="4245CE09" w14:textId="77777777" w:rsidR="00874E31" w:rsidRPr="00DF0321" w:rsidRDefault="00FF79D4" w:rsidP="00FF79D4">
            <w:pPr>
              <w:autoSpaceDE w:val="0"/>
              <w:autoSpaceDN w:val="0"/>
              <w:adjustRightInd w:val="0"/>
              <w:jc w:val="both"/>
              <w:rPr>
                <w:rFonts w:eastAsia="Calibri"/>
                <w:noProof/>
                <w:szCs w:val="22"/>
              </w:rPr>
            </w:pPr>
            <w:r w:rsidRPr="00DF0321">
              <w:rPr>
                <w:rFonts w:eastAsia="Calibri"/>
                <w:noProof/>
                <w:szCs w:val="22"/>
              </w:rPr>
              <w:t>Nozīmīga loma taisnīgas nodokļu politikas nodrošināšanai ir starptautiskai administratīvai sadarbībai. Tā ir efektīvs instruments</w:t>
            </w:r>
            <w:r w:rsidR="007C5022" w:rsidRPr="00DF0321">
              <w:rPr>
                <w:rFonts w:eastAsia="Calibri"/>
                <w:noProof/>
                <w:szCs w:val="22"/>
              </w:rPr>
              <w:t>, kā mazināt</w:t>
            </w:r>
            <w:r w:rsidRPr="00DF0321">
              <w:rPr>
                <w:rFonts w:eastAsia="Calibri"/>
                <w:noProof/>
                <w:szCs w:val="22"/>
              </w:rPr>
              <w:t xml:space="preserve"> krāpšan</w:t>
            </w:r>
            <w:r w:rsidR="007C5022" w:rsidRPr="00DF0321">
              <w:rPr>
                <w:rFonts w:eastAsia="Calibri"/>
                <w:noProof/>
                <w:szCs w:val="22"/>
              </w:rPr>
              <w:t>o</w:t>
            </w:r>
            <w:r w:rsidRPr="00DF0321">
              <w:rPr>
                <w:rFonts w:eastAsia="Calibri"/>
                <w:noProof/>
                <w:szCs w:val="22"/>
              </w:rPr>
              <w:t>s nodokļu jomā, izvairīšan</w:t>
            </w:r>
            <w:r w:rsidR="007C5022" w:rsidRPr="00DF0321">
              <w:rPr>
                <w:rFonts w:eastAsia="Calibri"/>
                <w:noProof/>
                <w:szCs w:val="22"/>
              </w:rPr>
              <w:t>o</w:t>
            </w:r>
            <w:r w:rsidRPr="00DF0321">
              <w:rPr>
                <w:rFonts w:eastAsia="Calibri"/>
                <w:noProof/>
                <w:szCs w:val="22"/>
              </w:rPr>
              <w:t>s no nodokļu  maksāšanas un nodokļu apiešan</w:t>
            </w:r>
            <w:r w:rsidR="007C5022" w:rsidRPr="00DF0321">
              <w:rPr>
                <w:rFonts w:eastAsia="Calibri"/>
                <w:noProof/>
                <w:szCs w:val="22"/>
              </w:rPr>
              <w:t>u</w:t>
            </w:r>
            <w:r w:rsidRPr="00DF0321">
              <w:rPr>
                <w:rFonts w:eastAsia="Calibri"/>
                <w:noProof/>
                <w:szCs w:val="22"/>
              </w:rPr>
              <w:t>.</w:t>
            </w:r>
          </w:p>
          <w:p w14:paraId="0AFE067D" w14:textId="77777777" w:rsidR="00874E31" w:rsidRPr="00DF0321" w:rsidRDefault="00FF79D4" w:rsidP="00FF79D4">
            <w:pPr>
              <w:autoSpaceDE w:val="0"/>
              <w:autoSpaceDN w:val="0"/>
              <w:adjustRightInd w:val="0"/>
              <w:jc w:val="both"/>
              <w:rPr>
                <w:rFonts w:eastAsia="Calibri"/>
                <w:noProof/>
                <w:szCs w:val="22"/>
              </w:rPr>
            </w:pPr>
            <w:r w:rsidRPr="00DF0321">
              <w:rPr>
                <w:rFonts w:eastAsia="Calibri"/>
                <w:noProof/>
                <w:szCs w:val="22"/>
              </w:rPr>
              <w:t>Jau šobrīd Latvija</w:t>
            </w:r>
            <w:r w:rsidR="00874E31" w:rsidRPr="00DF0321">
              <w:rPr>
                <w:rFonts w:eastAsia="Calibri"/>
                <w:noProof/>
                <w:szCs w:val="22"/>
              </w:rPr>
              <w:t xml:space="preserve"> izmanto daudzus starptautiskās administratīvās sadarbības rīkus nodokļu nomaksas kontrolei, tajā skaitā, apmainoties automātiski (bez pieprasījuma) ar dažāda veida informāciju, tajā skaitā, </w:t>
            </w:r>
            <w:r w:rsidR="007C5022" w:rsidRPr="00DF0321">
              <w:rPr>
                <w:rFonts w:eastAsia="Calibri"/>
                <w:noProof/>
                <w:szCs w:val="22"/>
              </w:rPr>
              <w:t xml:space="preserve">ar </w:t>
            </w:r>
            <w:r w:rsidR="00874E31" w:rsidRPr="00DF0321">
              <w:rPr>
                <w:rFonts w:eastAsia="Calibri"/>
                <w:noProof/>
                <w:szCs w:val="22"/>
              </w:rPr>
              <w:t>informāciju par finanšu kontiem, starptautiskās uzņēmumu grupas ziņojumiem par katru valsti, ziņojamām pārrobežu shēmām, apmainoties ar informāciju uz pieprasījuma pamata, veicot nodokļu kopīgā</w:t>
            </w:r>
            <w:r w:rsidR="007C5022" w:rsidRPr="00DF0321">
              <w:rPr>
                <w:rFonts w:eastAsia="Calibri"/>
                <w:noProof/>
                <w:szCs w:val="22"/>
              </w:rPr>
              <w:t>s</w:t>
            </w:r>
            <w:r w:rsidR="00874E31" w:rsidRPr="00DF0321">
              <w:rPr>
                <w:rFonts w:eastAsia="Calibri"/>
                <w:noProof/>
                <w:szCs w:val="22"/>
              </w:rPr>
              <w:t xml:space="preserve"> starpvalstu pārbaudes u.c.</w:t>
            </w:r>
          </w:p>
          <w:p w14:paraId="4E4BAD5F" w14:textId="77777777" w:rsidR="00874E31" w:rsidRPr="00DF0321" w:rsidRDefault="00874E31" w:rsidP="00FF79D4">
            <w:pPr>
              <w:autoSpaceDE w:val="0"/>
              <w:autoSpaceDN w:val="0"/>
              <w:adjustRightInd w:val="0"/>
              <w:jc w:val="both"/>
              <w:rPr>
                <w:rFonts w:eastAsia="Calibri"/>
                <w:noProof/>
                <w:szCs w:val="22"/>
              </w:rPr>
            </w:pPr>
            <w:r w:rsidRPr="00DF0321">
              <w:rPr>
                <w:rFonts w:eastAsia="Calibri"/>
                <w:noProof/>
                <w:szCs w:val="22"/>
              </w:rPr>
              <w:t>Taču, ņemot vērā mainīgo saimnieciskās darbības vidi, it īpaši, ņemot vērā ekonomikas digitalizāciju, rodas nepieciešamība attīstīt arī starptautiskās administratīvās sadarbības regulējumu, lai t</w:t>
            </w:r>
            <w:r w:rsidR="007C5022" w:rsidRPr="00DF0321">
              <w:rPr>
                <w:rFonts w:eastAsia="Calibri"/>
                <w:noProof/>
                <w:szCs w:val="22"/>
              </w:rPr>
              <w:t>ādējādi</w:t>
            </w:r>
            <w:r w:rsidRPr="00DF0321">
              <w:rPr>
                <w:rFonts w:eastAsia="Calibri"/>
                <w:noProof/>
                <w:szCs w:val="22"/>
              </w:rPr>
              <w:t xml:space="preserve"> varētu nodrošināt tam izvirzīto mērķi</w:t>
            </w:r>
            <w:r w:rsidR="00C17565" w:rsidRPr="00DF0321">
              <w:rPr>
                <w:rFonts w:eastAsia="Calibri"/>
                <w:noProof/>
                <w:szCs w:val="22"/>
              </w:rPr>
              <w:t>,</w:t>
            </w:r>
            <w:r w:rsidRPr="00DF0321">
              <w:rPr>
                <w:rFonts w:eastAsia="Calibri"/>
                <w:noProof/>
                <w:szCs w:val="22"/>
              </w:rPr>
              <w:t xml:space="preserve"> arī ņemot vērā notiek</w:t>
            </w:r>
            <w:r w:rsidR="007C5022" w:rsidRPr="00DF0321">
              <w:rPr>
                <w:rFonts w:eastAsia="Calibri"/>
                <w:noProof/>
                <w:szCs w:val="22"/>
              </w:rPr>
              <w:t>o</w:t>
            </w:r>
            <w:r w:rsidRPr="00DF0321">
              <w:rPr>
                <w:rFonts w:eastAsia="Calibri"/>
                <w:noProof/>
                <w:szCs w:val="22"/>
              </w:rPr>
              <w:t>šās izmaiņas saimnieciskās darbības vidē.</w:t>
            </w:r>
          </w:p>
          <w:p w14:paraId="4846E5AF" w14:textId="77777777" w:rsidR="00815E9E" w:rsidRPr="00DF0321" w:rsidRDefault="00815E9E" w:rsidP="00FF79D4">
            <w:pPr>
              <w:autoSpaceDE w:val="0"/>
              <w:autoSpaceDN w:val="0"/>
              <w:adjustRightInd w:val="0"/>
              <w:jc w:val="both"/>
              <w:rPr>
                <w:rFonts w:eastAsia="Calibri"/>
                <w:noProof/>
                <w:szCs w:val="22"/>
              </w:rPr>
            </w:pPr>
            <w:r w:rsidRPr="00DF0321">
              <w:rPr>
                <w:rFonts w:eastAsia="Calibri"/>
                <w:noProof/>
                <w:szCs w:val="22"/>
              </w:rPr>
              <w:t>Tā, piemēram, šobrīd strauji attīstās digitālo platformu ekonomika, un tās īpatnību dēļ nodokļu administrācijām, tajā skaitā, Valsts ieņēmumu dienestam, ir ļoti grūti kontrolēt nodokļu nomaksu, kas saistīta ar saimniecisko darbību, kas tiek veikta, izmantojot digitālās platformas. Problēma jo īpaši saasinās, ja saimnieciskā darbība tiek veikta, izmantojot dititālo platformu operatorus, kas atrodas citās valstīs. Tā rezultātā bieži rodas situācijas, kad netiek ziņots par ienākumiem, ko pārdevēji gūst, sniedzot pakalpojumus vai pārdodot preces digitālajās platformās, līdz ar ko samazinās dalībvalstu nodokļu ieņēmumu apmērs. Tas sniedz arī priekšrocības pārdevējiem salīdzinājumā ar tiem, kuri nedarbojas digitālajās platformās. Ja šis regulējuma trūkums netiek novērsts, nevar nodrošināt mērķa – taisnīgas nodokļu politikas – sasniegšanu.</w:t>
            </w:r>
          </w:p>
          <w:p w14:paraId="62E6520C" w14:textId="201B4D19" w:rsidR="00E324CD" w:rsidRPr="00DF0321" w:rsidRDefault="00E324CD" w:rsidP="00FF79D4">
            <w:pPr>
              <w:autoSpaceDE w:val="0"/>
              <w:autoSpaceDN w:val="0"/>
              <w:adjustRightInd w:val="0"/>
              <w:jc w:val="both"/>
              <w:rPr>
                <w:rFonts w:eastAsia="Calibri"/>
                <w:noProof/>
                <w:szCs w:val="22"/>
              </w:rPr>
            </w:pPr>
            <w:r w:rsidRPr="00DF0321">
              <w:rPr>
                <w:rFonts w:eastAsia="Calibri"/>
                <w:noProof/>
                <w:szCs w:val="22"/>
              </w:rPr>
              <w:t xml:space="preserve">Turklāt š.g. </w:t>
            </w:r>
            <w:r w:rsidR="00012710" w:rsidRPr="00DF0321">
              <w:rPr>
                <w:rFonts w:eastAsia="Calibri"/>
                <w:noProof/>
                <w:szCs w:val="22"/>
              </w:rPr>
              <w:t>3</w:t>
            </w:r>
            <w:r w:rsidRPr="00DF0321">
              <w:rPr>
                <w:rFonts w:eastAsia="Calibri"/>
                <w:noProof/>
                <w:szCs w:val="22"/>
              </w:rPr>
              <w:t>.</w:t>
            </w:r>
            <w:r w:rsidR="00012710" w:rsidRPr="00DF0321">
              <w:rPr>
                <w:rFonts w:eastAsia="Calibri"/>
                <w:noProof/>
                <w:szCs w:val="22"/>
              </w:rPr>
              <w:t>jūlijā</w:t>
            </w:r>
            <w:r w:rsidRPr="00DF0321">
              <w:rPr>
                <w:rFonts w:eastAsia="Calibri"/>
                <w:noProof/>
                <w:szCs w:val="22"/>
              </w:rPr>
              <w:t xml:space="preserve"> </w:t>
            </w:r>
            <w:r w:rsidR="00B45E10">
              <w:rPr>
                <w:rFonts w:eastAsia="Calibri"/>
                <w:noProof/>
                <w:szCs w:val="22"/>
              </w:rPr>
              <w:t xml:space="preserve">Ekonomiskās sadarbības un attīstības irganizācija (turpmāk – </w:t>
            </w:r>
            <w:r w:rsidRPr="00DF0321">
              <w:rPr>
                <w:rFonts w:eastAsia="Calibri"/>
                <w:noProof/>
                <w:szCs w:val="22"/>
              </w:rPr>
              <w:t>OECD</w:t>
            </w:r>
            <w:r w:rsidR="00B45E10">
              <w:rPr>
                <w:rFonts w:eastAsia="Calibri"/>
                <w:noProof/>
                <w:szCs w:val="22"/>
              </w:rPr>
              <w:t xml:space="preserve">) </w:t>
            </w:r>
            <w:r w:rsidRPr="00DF0321">
              <w:rPr>
                <w:rFonts w:eastAsia="Calibri"/>
                <w:noProof/>
                <w:szCs w:val="22"/>
              </w:rPr>
              <w:t xml:space="preserve"> </w:t>
            </w:r>
            <w:r w:rsidR="00012710" w:rsidRPr="00DF0321">
              <w:rPr>
                <w:rFonts w:eastAsia="Calibri"/>
                <w:noProof/>
                <w:szCs w:val="22"/>
              </w:rPr>
              <w:t>publicēja parau</w:t>
            </w:r>
            <w:r w:rsidR="00924638" w:rsidRPr="00DF0321">
              <w:rPr>
                <w:rFonts w:eastAsia="Calibri"/>
                <w:noProof/>
                <w:szCs w:val="22"/>
              </w:rPr>
              <w:t>g</w:t>
            </w:r>
            <w:r w:rsidR="00012710" w:rsidRPr="00DF0321">
              <w:rPr>
                <w:rFonts w:eastAsia="Calibri"/>
                <w:noProof/>
                <w:szCs w:val="22"/>
              </w:rPr>
              <w:t>noteikumus automātiskai informācijas apmaiņai par</w:t>
            </w:r>
            <w:r w:rsidR="0089062D" w:rsidRPr="00DF0321">
              <w:rPr>
                <w:rFonts w:eastAsia="Calibri"/>
                <w:noProof/>
                <w:szCs w:val="22"/>
              </w:rPr>
              <w:t xml:space="preserve"> platformu rīcībā esošu informāciju par personām, kuras veic saimniecisko darbību, izmantojot platformas</w:t>
            </w:r>
            <w:r w:rsidR="005142A5" w:rsidRPr="00DF0321">
              <w:rPr>
                <w:rStyle w:val="FootnoteReference"/>
                <w:rFonts w:eastAsia="Calibri"/>
                <w:noProof/>
                <w:szCs w:val="22"/>
              </w:rPr>
              <w:footnoteReference w:id="2"/>
            </w:r>
            <w:r w:rsidR="005142A5" w:rsidRPr="00DF0321">
              <w:rPr>
                <w:rFonts w:eastAsia="Calibri"/>
                <w:noProof/>
                <w:szCs w:val="22"/>
              </w:rPr>
              <w:t xml:space="preserve"> (turpmāk – OECD paraugnoteikumi)</w:t>
            </w:r>
            <w:r w:rsidR="0089062D" w:rsidRPr="00DF0321">
              <w:rPr>
                <w:rFonts w:eastAsia="Calibri"/>
                <w:noProof/>
                <w:szCs w:val="22"/>
              </w:rPr>
              <w:t>.</w:t>
            </w:r>
            <w:r w:rsidR="005142A5" w:rsidRPr="00DF0321">
              <w:rPr>
                <w:rFonts w:eastAsia="Calibri"/>
                <w:noProof/>
                <w:szCs w:val="22"/>
              </w:rPr>
              <w:t xml:space="preserve"> Līdz ar to</w:t>
            </w:r>
            <w:r w:rsidR="00FC3FE8" w:rsidRPr="00DF0321">
              <w:rPr>
                <w:rFonts w:eastAsia="Calibri"/>
                <w:noProof/>
                <w:szCs w:val="22"/>
              </w:rPr>
              <w:t>,</w:t>
            </w:r>
            <w:r w:rsidR="005142A5" w:rsidRPr="00DF0321">
              <w:rPr>
                <w:rFonts w:eastAsia="Calibri"/>
                <w:noProof/>
                <w:szCs w:val="22"/>
              </w:rPr>
              <w:t xml:space="preserve"> šajā jomā paredzot regulējumu ES, pastāv iespēja nodrošināt arī informācijas apmaiņu ar trešajām valstīm.</w:t>
            </w:r>
          </w:p>
          <w:p w14:paraId="38E690A5" w14:textId="77777777" w:rsidR="00815E9E" w:rsidRPr="00DF0321" w:rsidRDefault="00815E9E" w:rsidP="00FF79D4">
            <w:pPr>
              <w:autoSpaceDE w:val="0"/>
              <w:autoSpaceDN w:val="0"/>
              <w:adjustRightInd w:val="0"/>
              <w:jc w:val="both"/>
              <w:rPr>
                <w:rFonts w:eastAsia="Calibri"/>
                <w:noProof/>
                <w:szCs w:val="22"/>
              </w:rPr>
            </w:pPr>
            <w:r w:rsidRPr="00DF0321">
              <w:rPr>
                <w:rFonts w:eastAsia="Calibri"/>
                <w:noProof/>
                <w:szCs w:val="22"/>
              </w:rPr>
              <w:t>Papildus minētajam pastāv nepieciešamība uzlabot arī šobrīd darbojošos starptautiskās administratīvās sadarbības instrumentus, tajā skaitā, regulējumu informācijas apmai</w:t>
            </w:r>
            <w:r w:rsidR="009976A3" w:rsidRPr="00DF0321">
              <w:rPr>
                <w:rFonts w:eastAsia="Calibri"/>
                <w:noProof/>
                <w:szCs w:val="22"/>
              </w:rPr>
              <w:t>ņai</w:t>
            </w:r>
            <w:r w:rsidRPr="00DF0321">
              <w:rPr>
                <w:rFonts w:eastAsia="Calibri"/>
                <w:noProof/>
                <w:szCs w:val="22"/>
              </w:rPr>
              <w:t xml:space="preserve"> pēc pieprasījuma, </w:t>
            </w:r>
            <w:r w:rsidR="009976A3" w:rsidRPr="00DF0321">
              <w:rPr>
                <w:rFonts w:eastAsia="Calibri"/>
                <w:noProof/>
                <w:szCs w:val="22"/>
              </w:rPr>
              <w:t>vienlaicīgām pārbaudēm un dalībvalsts ierēdņu klātbūtnes</w:t>
            </w:r>
            <w:r w:rsidR="00C63568" w:rsidRPr="00DF0321">
              <w:rPr>
                <w:rFonts w:eastAsia="Calibri"/>
                <w:noProof/>
                <w:szCs w:val="22"/>
              </w:rPr>
              <w:t xml:space="preserve"> </w:t>
            </w:r>
            <w:r w:rsidR="00924638" w:rsidRPr="00DF0321">
              <w:rPr>
                <w:rFonts w:eastAsia="Calibri"/>
                <w:noProof/>
                <w:szCs w:val="22"/>
              </w:rPr>
              <w:t xml:space="preserve">atļaušanai </w:t>
            </w:r>
            <w:r w:rsidR="00C63568" w:rsidRPr="00DF0321">
              <w:rPr>
                <w:rFonts w:eastAsia="Calibri"/>
                <w:noProof/>
                <w:szCs w:val="22"/>
              </w:rPr>
              <w:t>citas dalībvalsts nodokļu kontroles pasākumos</w:t>
            </w:r>
            <w:r w:rsidR="00DF2BC1" w:rsidRPr="00DF0321">
              <w:rPr>
                <w:rFonts w:eastAsia="Calibri"/>
                <w:noProof/>
                <w:szCs w:val="22"/>
              </w:rPr>
              <w:t>, kā arī paredzēt automātisko informācijas apmaiņu par autoratlīdzībām</w:t>
            </w:r>
            <w:r w:rsidR="009976A3" w:rsidRPr="00DF0321">
              <w:rPr>
                <w:rFonts w:eastAsia="Calibri"/>
                <w:noProof/>
                <w:szCs w:val="22"/>
              </w:rPr>
              <w:t>.</w:t>
            </w:r>
          </w:p>
          <w:p w14:paraId="0047CE35" w14:textId="77777777" w:rsidR="00874E31" w:rsidRPr="00DF0321" w:rsidRDefault="009976A3" w:rsidP="00FF79D4">
            <w:pPr>
              <w:autoSpaceDE w:val="0"/>
              <w:autoSpaceDN w:val="0"/>
              <w:adjustRightInd w:val="0"/>
              <w:jc w:val="both"/>
              <w:rPr>
                <w:rFonts w:eastAsia="Calibri"/>
                <w:noProof/>
                <w:szCs w:val="22"/>
              </w:rPr>
            </w:pPr>
            <w:r w:rsidRPr="00DF0321">
              <w:rPr>
                <w:rFonts w:eastAsia="Calibri"/>
                <w:noProof/>
                <w:szCs w:val="22"/>
              </w:rPr>
              <w:t>Ņemot vērā min</w:t>
            </w:r>
            <w:r w:rsidR="00B67A02" w:rsidRPr="00DF0321">
              <w:rPr>
                <w:rFonts w:eastAsia="Calibri"/>
                <w:noProof/>
                <w:szCs w:val="22"/>
              </w:rPr>
              <w:t>ē</w:t>
            </w:r>
            <w:r w:rsidRPr="00DF0321">
              <w:rPr>
                <w:rFonts w:eastAsia="Calibri"/>
                <w:noProof/>
                <w:szCs w:val="22"/>
              </w:rPr>
              <w:t>to, DAC7 paredz:</w:t>
            </w:r>
          </w:p>
          <w:p w14:paraId="5DBE6693" w14:textId="77777777" w:rsidR="009976A3" w:rsidRPr="00DF0321" w:rsidRDefault="00210AE2" w:rsidP="002902E4">
            <w:pPr>
              <w:pStyle w:val="ListParagraph"/>
              <w:numPr>
                <w:ilvl w:val="0"/>
                <w:numId w:val="26"/>
              </w:numPr>
              <w:autoSpaceDE w:val="0"/>
              <w:adjustRightInd w:val="0"/>
              <w:rPr>
                <w:rFonts w:eastAsia="Calibri"/>
                <w:noProof/>
                <w:szCs w:val="22"/>
              </w:rPr>
            </w:pPr>
            <w:r w:rsidRPr="00DF0321">
              <w:rPr>
                <w:rFonts w:eastAsia="Calibri"/>
                <w:noProof/>
                <w:szCs w:val="22"/>
                <w:lang w:val="lv-LV"/>
              </w:rPr>
              <w:t xml:space="preserve">ieviest automātisku informācijas apmaiņu starp ES dalībvalstu nodokļu administrācijām par to </w:t>
            </w:r>
            <w:r w:rsidR="00AA04A7" w:rsidRPr="00DF0321">
              <w:rPr>
                <w:rFonts w:eastAsia="Calibri"/>
                <w:noProof/>
                <w:szCs w:val="22"/>
                <w:lang w:val="lv-LV"/>
              </w:rPr>
              <w:t>pakalpojumu sniedzēju</w:t>
            </w:r>
            <w:r w:rsidRPr="00DF0321">
              <w:rPr>
                <w:rFonts w:eastAsia="Calibri"/>
                <w:noProof/>
                <w:szCs w:val="22"/>
                <w:lang w:val="lv-LV"/>
              </w:rPr>
              <w:t xml:space="preserve"> gūtajiem ienākumiem, kuri darbojas digitālajās platformās. Šī informācija palīdzēs nodokļu administrācijām pārbaudīt, vai personas, kas gūst ienākumus digitālajās platformās, veic nodoļu nomaksu normatīvajos aktos noteiktajā kārtībā;</w:t>
            </w:r>
          </w:p>
          <w:p w14:paraId="6C71EC65" w14:textId="77777777" w:rsidR="00EE2492" w:rsidRPr="00DF0321" w:rsidRDefault="00210AE2" w:rsidP="002902E4">
            <w:pPr>
              <w:pStyle w:val="ListParagraph"/>
              <w:numPr>
                <w:ilvl w:val="0"/>
                <w:numId w:val="26"/>
              </w:numPr>
              <w:autoSpaceDE w:val="0"/>
              <w:adjustRightInd w:val="0"/>
              <w:rPr>
                <w:rFonts w:eastAsia="Calibri"/>
                <w:noProof/>
                <w:szCs w:val="22"/>
              </w:rPr>
            </w:pPr>
            <w:r w:rsidRPr="00DF0321">
              <w:rPr>
                <w:rFonts w:eastAsia="Calibri"/>
                <w:noProof/>
                <w:szCs w:val="22"/>
                <w:lang w:val="lv-LV"/>
              </w:rPr>
              <w:t xml:space="preserve">stiprināt </w:t>
            </w:r>
            <w:r w:rsidR="00EE2492" w:rsidRPr="00DF0321">
              <w:rPr>
                <w:rFonts w:eastAsia="Calibri"/>
                <w:noProof/>
                <w:szCs w:val="22"/>
                <w:lang w:val="lv-LV"/>
              </w:rPr>
              <w:t xml:space="preserve">citus starptautiskās </w:t>
            </w:r>
            <w:r w:rsidRPr="00DF0321">
              <w:rPr>
                <w:rFonts w:eastAsia="Calibri"/>
                <w:noProof/>
                <w:szCs w:val="22"/>
                <w:lang w:val="lv-LV"/>
              </w:rPr>
              <w:t>administratīv</w:t>
            </w:r>
            <w:r w:rsidR="00EE2492" w:rsidRPr="00DF0321">
              <w:rPr>
                <w:rFonts w:eastAsia="Calibri"/>
                <w:noProof/>
                <w:szCs w:val="22"/>
                <w:lang w:val="lv-LV"/>
              </w:rPr>
              <w:t>ās</w:t>
            </w:r>
            <w:r w:rsidRPr="00DF0321">
              <w:rPr>
                <w:rFonts w:eastAsia="Calibri"/>
                <w:noProof/>
                <w:szCs w:val="22"/>
                <w:lang w:val="lv-LV"/>
              </w:rPr>
              <w:t xml:space="preserve"> sadarbīb</w:t>
            </w:r>
            <w:r w:rsidR="00EE2492" w:rsidRPr="00DF0321">
              <w:rPr>
                <w:rFonts w:eastAsia="Calibri"/>
                <w:noProof/>
                <w:szCs w:val="22"/>
                <w:lang w:val="lv-LV"/>
              </w:rPr>
              <w:t>as jautājumus:</w:t>
            </w:r>
          </w:p>
          <w:p w14:paraId="6986C27E" w14:textId="77777777" w:rsidR="00EE2492" w:rsidRPr="00DF0321" w:rsidRDefault="00EE2492" w:rsidP="00DF0321">
            <w:pPr>
              <w:pStyle w:val="ListParagraph"/>
              <w:numPr>
                <w:ilvl w:val="1"/>
                <w:numId w:val="26"/>
              </w:numPr>
              <w:autoSpaceDE w:val="0"/>
              <w:adjustRightInd w:val="0"/>
              <w:rPr>
                <w:rFonts w:eastAsia="Calibri"/>
                <w:noProof/>
                <w:szCs w:val="22"/>
              </w:rPr>
            </w:pPr>
            <w:r w:rsidRPr="00DF0321">
              <w:rPr>
                <w:rFonts w:eastAsia="Calibri"/>
                <w:noProof/>
                <w:szCs w:val="22"/>
                <w:lang w:val="lv-LV"/>
              </w:rPr>
              <w:t xml:space="preserve">paplašināt esošo informācijas apmaiņu par ienākumiem (šobrīd ir paredzēta </w:t>
            </w:r>
            <w:r w:rsidR="00644FF9" w:rsidRPr="00DF0321">
              <w:rPr>
                <w:rFonts w:eastAsia="Calibri"/>
                <w:noProof/>
                <w:szCs w:val="22"/>
                <w:lang w:val="lv-LV"/>
              </w:rPr>
              <w:t xml:space="preserve">informācijas </w:t>
            </w:r>
            <w:r w:rsidRPr="00DF0321">
              <w:rPr>
                <w:rFonts w:eastAsia="Calibri"/>
                <w:noProof/>
                <w:szCs w:val="22"/>
                <w:lang w:val="lv-LV"/>
              </w:rPr>
              <w:t>apmaiņa par piecām ienākum</w:t>
            </w:r>
            <w:r w:rsidR="00FC3FE8" w:rsidRPr="00DF0321">
              <w:rPr>
                <w:rFonts w:eastAsia="Calibri"/>
                <w:noProof/>
                <w:szCs w:val="22"/>
                <w:lang w:val="lv-LV"/>
              </w:rPr>
              <w:t>u</w:t>
            </w:r>
            <w:r w:rsidRPr="00DF0321">
              <w:rPr>
                <w:rFonts w:eastAsia="Calibri"/>
                <w:noProof/>
                <w:szCs w:val="22"/>
                <w:lang w:val="lv-LV"/>
              </w:rPr>
              <w:t xml:space="preserve"> kategorijām) ar jaunu informācijas veidu – ienākums no autoratlīdzībām;</w:t>
            </w:r>
          </w:p>
          <w:p w14:paraId="71E059E0" w14:textId="7E85F547" w:rsidR="00452FC5" w:rsidRPr="00DF0321" w:rsidRDefault="00644FF9" w:rsidP="00DF0321">
            <w:pPr>
              <w:pStyle w:val="ListParagraph"/>
              <w:numPr>
                <w:ilvl w:val="1"/>
                <w:numId w:val="26"/>
              </w:numPr>
              <w:autoSpaceDE w:val="0"/>
              <w:adjustRightInd w:val="0"/>
              <w:rPr>
                <w:rFonts w:eastAsia="Calibri"/>
                <w:noProof/>
                <w:szCs w:val="22"/>
              </w:rPr>
            </w:pPr>
            <w:r w:rsidRPr="00DF0321">
              <w:rPr>
                <w:rFonts w:eastAsia="Calibri"/>
                <w:noProof/>
                <w:szCs w:val="22"/>
                <w:lang w:val="lv-LV"/>
              </w:rPr>
              <w:t>noteikt definīciju terminam “paredzams svarīgums”, tādējādi padarot skaidrākus noteikumus attiecībā uz pienākumu sniegt informāciju uz pieprasījuma pamata, kā arī nosakot, kad</w:t>
            </w:r>
            <w:r w:rsidR="00FC3FE8" w:rsidRPr="00DF0321">
              <w:rPr>
                <w:rFonts w:eastAsia="Calibri"/>
                <w:noProof/>
                <w:szCs w:val="22"/>
                <w:lang w:val="lv-LV"/>
              </w:rPr>
              <w:t>,</w:t>
            </w:r>
            <w:r w:rsidRPr="00DF0321">
              <w:rPr>
                <w:rFonts w:eastAsia="Calibri"/>
                <w:noProof/>
                <w:szCs w:val="22"/>
                <w:lang w:val="lv-LV"/>
              </w:rPr>
              <w:t xml:space="preserve"> sniedzot informāciju otras val</w:t>
            </w:r>
            <w:r w:rsidR="00FC3FE8" w:rsidRPr="00DF0321">
              <w:rPr>
                <w:rFonts w:eastAsia="Calibri"/>
                <w:noProof/>
                <w:szCs w:val="22"/>
                <w:lang w:val="lv-LV"/>
              </w:rPr>
              <w:t>s</w:t>
            </w:r>
            <w:r w:rsidRPr="00DF0321">
              <w:rPr>
                <w:rFonts w:eastAsia="Calibri"/>
                <w:noProof/>
                <w:szCs w:val="22"/>
                <w:lang w:val="lv-LV"/>
              </w:rPr>
              <w:t>ts kompetentai iestādei, nav nepieciešams</w:t>
            </w:r>
            <w:r w:rsidR="002E4459">
              <w:rPr>
                <w:rFonts w:eastAsia="Calibri"/>
                <w:noProof/>
                <w:szCs w:val="22"/>
                <w:lang w:val="lv-LV"/>
              </w:rPr>
              <w:t xml:space="preserve"> pamatot</w:t>
            </w:r>
            <w:r w:rsidRPr="00DF0321">
              <w:rPr>
                <w:rFonts w:eastAsia="Calibri"/>
                <w:noProof/>
                <w:szCs w:val="22"/>
                <w:lang w:val="lv-LV"/>
              </w:rPr>
              <w:t>, vai attiecīgā informā</w:t>
            </w:r>
            <w:r w:rsidR="00FC3FE8" w:rsidRPr="00DF0321">
              <w:rPr>
                <w:rFonts w:eastAsia="Calibri"/>
                <w:noProof/>
                <w:szCs w:val="22"/>
                <w:lang w:val="lv-LV"/>
              </w:rPr>
              <w:t>ci</w:t>
            </w:r>
            <w:r w:rsidRPr="00DF0321">
              <w:rPr>
                <w:rFonts w:eastAsia="Calibri"/>
                <w:noProof/>
                <w:szCs w:val="22"/>
                <w:lang w:val="lv-LV"/>
              </w:rPr>
              <w:t>ja ir paredzami svarīga;</w:t>
            </w:r>
          </w:p>
          <w:p w14:paraId="46E4DB1D" w14:textId="77777777" w:rsidR="00644FF9" w:rsidRPr="00DF0321" w:rsidRDefault="00644FF9" w:rsidP="00DF0321">
            <w:pPr>
              <w:pStyle w:val="ListParagraph"/>
              <w:numPr>
                <w:ilvl w:val="1"/>
                <w:numId w:val="26"/>
              </w:numPr>
              <w:autoSpaceDE w:val="0"/>
              <w:adjustRightInd w:val="0"/>
              <w:rPr>
                <w:rFonts w:eastAsia="Calibri"/>
                <w:noProof/>
                <w:szCs w:val="22"/>
              </w:rPr>
            </w:pPr>
            <w:r w:rsidRPr="00DF0321">
              <w:rPr>
                <w:rFonts w:eastAsia="Calibri"/>
                <w:noProof/>
                <w:szCs w:val="22"/>
                <w:lang w:val="lv-LV"/>
              </w:rPr>
              <w:t>noteikt definīciju terminam “</w:t>
            </w:r>
            <w:r w:rsidR="00E90A71" w:rsidRPr="00DF0321">
              <w:rPr>
                <w:rFonts w:eastAsia="Calibri"/>
                <w:noProof/>
                <w:szCs w:val="22"/>
                <w:lang w:val="lv-LV"/>
              </w:rPr>
              <w:t>grupas pieprasījums”, tādējādi skaidri nosakot, ja nevar identificēt konkrētu personu, informācija par kuru ir nepieciešama, var pieprasīt informāciju</w:t>
            </w:r>
            <w:r w:rsidR="00FC3FE8" w:rsidRPr="00DF0321">
              <w:rPr>
                <w:rFonts w:eastAsia="Calibri"/>
                <w:noProof/>
                <w:szCs w:val="22"/>
                <w:lang w:val="lv-LV"/>
              </w:rPr>
              <w:t>,</w:t>
            </w:r>
            <w:r w:rsidR="00E90A71" w:rsidRPr="00DF0321">
              <w:rPr>
                <w:rFonts w:eastAsia="Calibri"/>
                <w:noProof/>
                <w:szCs w:val="22"/>
                <w:lang w:val="lv-LV"/>
              </w:rPr>
              <w:t xml:space="preserve"> arī pamajototies uz pazīmēm, kas zināmas nodokļu administrācijai;</w:t>
            </w:r>
          </w:p>
          <w:p w14:paraId="54B6C160" w14:textId="77777777" w:rsidR="00E90A71" w:rsidRPr="00DF0321" w:rsidRDefault="00E90A71" w:rsidP="00DF0321">
            <w:pPr>
              <w:pStyle w:val="ListParagraph"/>
              <w:numPr>
                <w:ilvl w:val="1"/>
                <w:numId w:val="26"/>
              </w:numPr>
              <w:autoSpaceDE w:val="0"/>
              <w:adjustRightInd w:val="0"/>
              <w:rPr>
                <w:rFonts w:eastAsia="Calibri"/>
                <w:noProof/>
                <w:szCs w:val="22"/>
              </w:rPr>
            </w:pPr>
            <w:r w:rsidRPr="00DF0321">
              <w:rPr>
                <w:rFonts w:eastAsia="Calibri"/>
                <w:noProof/>
                <w:szCs w:val="22"/>
                <w:lang w:val="lv-LV"/>
              </w:rPr>
              <w:t xml:space="preserve">noteikt </w:t>
            </w:r>
            <w:r w:rsidR="00ED342A" w:rsidRPr="00DF0321">
              <w:rPr>
                <w:rFonts w:eastAsia="Calibri"/>
                <w:noProof/>
                <w:szCs w:val="22"/>
                <w:lang w:val="lv-LV"/>
              </w:rPr>
              <w:t xml:space="preserve">30 dienu </w:t>
            </w:r>
            <w:r w:rsidRPr="00DF0321">
              <w:rPr>
                <w:rFonts w:eastAsia="Calibri"/>
                <w:noProof/>
                <w:szCs w:val="22"/>
                <w:lang w:val="lv-LV"/>
              </w:rPr>
              <w:t xml:space="preserve">termiņu, </w:t>
            </w:r>
            <w:r w:rsidR="00ED342A" w:rsidRPr="00DF0321">
              <w:rPr>
                <w:rFonts w:eastAsia="Calibri"/>
                <w:noProof/>
                <w:szCs w:val="22"/>
                <w:lang w:val="lv-LV"/>
              </w:rPr>
              <w:t>kura laikā</w:t>
            </w:r>
            <w:r w:rsidRPr="00DF0321">
              <w:rPr>
                <w:rFonts w:eastAsia="Calibri"/>
                <w:noProof/>
                <w:szCs w:val="22"/>
                <w:lang w:val="lv-LV"/>
              </w:rPr>
              <w:t xml:space="preserve"> ir jāsniedz atbilde par otras dalībvalsts nodokļu administrācijas amatpersonu iespēju piedalīties nodokļu kontroles pasākumā, kā arī noteikt, ka dalību iespējams nodrošināt arī attālināti</w:t>
            </w:r>
            <w:r w:rsidR="00ED342A" w:rsidRPr="00DF0321">
              <w:rPr>
                <w:rFonts w:eastAsia="Calibri"/>
                <w:noProof/>
                <w:szCs w:val="22"/>
                <w:lang w:val="lv-LV"/>
              </w:rPr>
              <w:t>;</w:t>
            </w:r>
          </w:p>
          <w:p w14:paraId="0225518D" w14:textId="77777777" w:rsidR="00ED342A" w:rsidRPr="00DF0321" w:rsidRDefault="00ED342A" w:rsidP="00DF0321">
            <w:pPr>
              <w:pStyle w:val="ListParagraph"/>
              <w:numPr>
                <w:ilvl w:val="1"/>
                <w:numId w:val="26"/>
              </w:numPr>
              <w:autoSpaceDE w:val="0"/>
              <w:adjustRightInd w:val="0"/>
              <w:rPr>
                <w:rFonts w:eastAsia="Calibri"/>
                <w:noProof/>
                <w:szCs w:val="22"/>
              </w:rPr>
            </w:pPr>
            <w:r w:rsidRPr="00DF0321">
              <w:rPr>
                <w:rFonts w:eastAsia="Calibri"/>
                <w:noProof/>
                <w:szCs w:val="22"/>
                <w:lang w:val="lv-LV"/>
              </w:rPr>
              <w:t>noteikt 30 dienu termiņu, kura laikā nodokļu administrācijai ir pienākums sniegt atbildi otras valsts nodokļu administrācijai par iespēju veikt vienlaicīgu pārbaudi;</w:t>
            </w:r>
          </w:p>
          <w:p w14:paraId="6CB6413F" w14:textId="77777777" w:rsidR="00ED342A" w:rsidRPr="00DF0321" w:rsidRDefault="00ED342A" w:rsidP="00DF0321">
            <w:pPr>
              <w:pStyle w:val="ListParagraph"/>
              <w:numPr>
                <w:ilvl w:val="1"/>
                <w:numId w:val="26"/>
              </w:numPr>
              <w:autoSpaceDE w:val="0"/>
              <w:adjustRightInd w:val="0"/>
              <w:rPr>
                <w:rFonts w:eastAsia="Calibri"/>
                <w:noProof/>
                <w:szCs w:val="22"/>
              </w:rPr>
            </w:pPr>
            <w:r w:rsidRPr="00DF0321">
              <w:rPr>
                <w:rFonts w:eastAsia="Calibri"/>
                <w:noProof/>
                <w:szCs w:val="22"/>
                <w:lang w:val="lv-LV"/>
              </w:rPr>
              <w:t xml:space="preserve">noteikt </w:t>
            </w:r>
            <w:r w:rsidR="00E544E0" w:rsidRPr="00DF0321">
              <w:rPr>
                <w:rFonts w:eastAsia="Calibri"/>
                <w:noProof/>
                <w:szCs w:val="22"/>
                <w:lang w:val="lv-LV"/>
              </w:rPr>
              <w:t xml:space="preserve">regulējumu </w:t>
            </w:r>
            <w:r w:rsidRPr="00DF0321">
              <w:rPr>
                <w:rFonts w:eastAsia="Calibri"/>
                <w:noProof/>
                <w:szCs w:val="22"/>
                <w:lang w:val="lv-LV"/>
              </w:rPr>
              <w:t>kopīga</w:t>
            </w:r>
            <w:r w:rsidR="00E544E0" w:rsidRPr="00DF0321">
              <w:rPr>
                <w:rFonts w:eastAsia="Calibri"/>
                <w:noProof/>
                <w:szCs w:val="22"/>
                <w:lang w:val="lv-LV"/>
              </w:rPr>
              <w:t>s nodokļu revīzijas (</w:t>
            </w:r>
            <w:r w:rsidRPr="00DF0321">
              <w:rPr>
                <w:rFonts w:eastAsia="Calibri"/>
                <w:noProof/>
                <w:szCs w:val="22"/>
                <w:lang w:val="lv-LV"/>
              </w:rPr>
              <w:t>audita</w:t>
            </w:r>
            <w:r w:rsidR="00E544E0" w:rsidRPr="00DF0321">
              <w:rPr>
                <w:rFonts w:eastAsia="Calibri"/>
                <w:noProof/>
                <w:szCs w:val="22"/>
                <w:lang w:val="lv-LV"/>
              </w:rPr>
              <w:t>) veikšanai</w:t>
            </w:r>
            <w:r w:rsidRPr="00DF0321">
              <w:rPr>
                <w:rFonts w:eastAsia="Calibri"/>
                <w:noProof/>
                <w:szCs w:val="22"/>
                <w:lang w:val="lv-LV"/>
              </w:rPr>
              <w:t>, kura ietvaros, vairāku valstu nodoklu administrācijas kopā veic nodokļu revīziju (auditu) starptautiskai uzņēmumu grupai;</w:t>
            </w:r>
          </w:p>
          <w:p w14:paraId="26F2027B" w14:textId="77777777" w:rsidR="00ED342A" w:rsidRPr="00DF0321" w:rsidRDefault="00ED342A" w:rsidP="00DF0321">
            <w:pPr>
              <w:pStyle w:val="ListParagraph"/>
              <w:numPr>
                <w:ilvl w:val="1"/>
                <w:numId w:val="26"/>
              </w:numPr>
              <w:autoSpaceDE w:val="0"/>
              <w:adjustRightInd w:val="0"/>
              <w:rPr>
                <w:rFonts w:eastAsia="Calibri"/>
                <w:noProof/>
                <w:szCs w:val="22"/>
              </w:rPr>
            </w:pPr>
            <w:r w:rsidRPr="00DF0321">
              <w:rPr>
                <w:rFonts w:eastAsia="Calibri"/>
                <w:noProof/>
                <w:szCs w:val="22"/>
                <w:lang w:val="lv-LV"/>
              </w:rPr>
              <w:t xml:space="preserve">paredzēt iespēju dalībvalstīm lūgt Eiropas Komisijai apturēt </w:t>
            </w:r>
            <w:r w:rsidR="00395C51" w:rsidRPr="00DF0321">
              <w:rPr>
                <w:rFonts w:eastAsia="Calibri"/>
                <w:noProof/>
                <w:szCs w:val="22"/>
                <w:lang w:val="lv-LV"/>
              </w:rPr>
              <w:t>informācijas apmaiņu ar kādu no dalībvalstīm, ja pastāv pamatots datu noplūdes risks.</w:t>
            </w:r>
          </w:p>
          <w:p w14:paraId="2D55E527" w14:textId="77777777" w:rsidR="00991FFC" w:rsidRPr="00DF0321" w:rsidRDefault="00991FFC" w:rsidP="00FC3E24">
            <w:pPr>
              <w:pStyle w:val="BodyText2"/>
              <w:jc w:val="both"/>
              <w:rPr>
                <w:noProof/>
                <w:lang w:val="lv-LV"/>
              </w:rPr>
            </w:pPr>
          </w:p>
          <w:p w14:paraId="5344D30C" w14:textId="77777777" w:rsidR="00991FFC" w:rsidRPr="00DF0321" w:rsidRDefault="002B558D" w:rsidP="00FC3E24">
            <w:pPr>
              <w:pStyle w:val="BodyText2"/>
              <w:jc w:val="both"/>
              <w:rPr>
                <w:b/>
                <w:lang w:val="lv-LV"/>
              </w:rPr>
            </w:pPr>
            <w:r w:rsidRPr="00DF0321">
              <w:rPr>
                <w:b/>
                <w:lang w:val="lv-LV"/>
              </w:rPr>
              <w:t>Priekšlikuma virzība</w:t>
            </w:r>
          </w:p>
          <w:p w14:paraId="126150F3" w14:textId="77777777" w:rsidR="00E023AA" w:rsidRPr="00DF0321" w:rsidRDefault="002B558D" w:rsidP="00FC3E24">
            <w:pPr>
              <w:pStyle w:val="BodyText2"/>
              <w:jc w:val="both"/>
              <w:rPr>
                <w:lang w:val="lv-LV"/>
              </w:rPr>
            </w:pPr>
            <w:r w:rsidRPr="00DF0321">
              <w:rPr>
                <w:lang w:val="lv-LV"/>
              </w:rPr>
              <w:t xml:space="preserve">Priekšlikums izskatīts </w:t>
            </w:r>
            <w:r w:rsidR="005B249B" w:rsidRPr="00DF0321">
              <w:rPr>
                <w:lang w:val="lv-LV"/>
              </w:rPr>
              <w:t>Padomes Nodokļu jautājumu (tiešie nodokļi) darba grupas sanāksmē</w:t>
            </w:r>
            <w:r w:rsidRPr="00DF0321">
              <w:rPr>
                <w:lang w:val="lv-LV"/>
              </w:rPr>
              <w:t xml:space="preserve"> š.g. </w:t>
            </w:r>
            <w:r w:rsidR="00E023AA" w:rsidRPr="00DF0321">
              <w:rPr>
                <w:lang w:val="lv-LV"/>
              </w:rPr>
              <w:t xml:space="preserve">23.jūlijā, kurā par to sniedza prezentāciju Eiropas Komisija. Paredzams, ka detalizēti </w:t>
            </w:r>
            <w:r w:rsidR="00B67A02" w:rsidRPr="00DF0321">
              <w:rPr>
                <w:lang w:val="lv-LV"/>
              </w:rPr>
              <w:t>priekšlikumu</w:t>
            </w:r>
            <w:r w:rsidR="00E023AA" w:rsidRPr="00DF0321">
              <w:rPr>
                <w:lang w:val="lv-LV"/>
              </w:rPr>
              <w:t xml:space="preserve"> sāks skatīt š.g. 3. un 24.septembrī.</w:t>
            </w:r>
            <w:r w:rsidR="00222F65" w:rsidRPr="00DF0321">
              <w:rPr>
                <w:lang w:val="lv-LV"/>
              </w:rPr>
              <w:t xml:space="preserve"> Vācijas Prezidentūra DAC7 priekšlikumu atzina par prioritāru un cer panākt vienošanos par to līdz 2020.gada beigām.</w:t>
            </w:r>
          </w:p>
          <w:p w14:paraId="3A6B28BC" w14:textId="77777777" w:rsidR="005D342B" w:rsidRPr="00DF0321" w:rsidRDefault="005D342B" w:rsidP="00FC3E24">
            <w:pPr>
              <w:pStyle w:val="BodyText2"/>
              <w:jc w:val="both"/>
              <w:rPr>
                <w:lang w:val="lv-LV"/>
              </w:rPr>
            </w:pPr>
          </w:p>
          <w:p w14:paraId="3C067F73" w14:textId="77777777" w:rsidR="005D342B" w:rsidRPr="00DF0321" w:rsidRDefault="005D342B" w:rsidP="00FC3E24">
            <w:pPr>
              <w:pStyle w:val="BodyText2"/>
              <w:jc w:val="both"/>
              <w:rPr>
                <w:noProof/>
                <w:lang w:val="lv-LV"/>
              </w:rPr>
            </w:pPr>
          </w:p>
          <w:p w14:paraId="60543FBC" w14:textId="77777777" w:rsidR="005D342B" w:rsidRPr="00DF0321" w:rsidRDefault="005C36F3" w:rsidP="00FC3E24">
            <w:pPr>
              <w:pStyle w:val="BodyText2"/>
              <w:jc w:val="both"/>
              <w:rPr>
                <w:b/>
                <w:lang w:val="lv-LV"/>
              </w:rPr>
            </w:pPr>
            <w:r w:rsidRPr="00DF0321">
              <w:rPr>
                <w:b/>
                <w:lang w:val="lv-LV"/>
              </w:rPr>
              <w:t>Atvērtie jautājumi</w:t>
            </w:r>
          </w:p>
          <w:p w14:paraId="1B1DEAC9" w14:textId="77777777" w:rsidR="007950F1" w:rsidRPr="00DF0321" w:rsidRDefault="007950F1" w:rsidP="00FC3E24">
            <w:pPr>
              <w:pStyle w:val="BodyText2"/>
              <w:jc w:val="both"/>
              <w:rPr>
                <w:lang w:val="lv-LV"/>
              </w:rPr>
            </w:pPr>
          </w:p>
          <w:p w14:paraId="65C4F28A" w14:textId="77777777" w:rsidR="00E023AA" w:rsidRPr="00DF0321" w:rsidRDefault="00E023AA" w:rsidP="00FC3E24">
            <w:pPr>
              <w:pStyle w:val="BodyText2"/>
              <w:jc w:val="both"/>
              <w:rPr>
                <w:lang w:val="lv-LV"/>
              </w:rPr>
            </w:pPr>
            <w:r w:rsidRPr="00DF0321">
              <w:rPr>
                <w:lang w:val="lv-LV"/>
              </w:rPr>
              <w:t>Tā kā DAC7 priekšlikumu detaļās vēl tikai sāks skatīt, tad visus jautājums šobrīd var uzskatīt par atvērtajiem.</w:t>
            </w:r>
            <w:r w:rsidR="003023BB" w:rsidRPr="00DF0321">
              <w:rPr>
                <w:lang w:val="lv-LV"/>
              </w:rPr>
              <w:t xml:space="preserve"> Būtiskākie no tiem ir:</w:t>
            </w:r>
          </w:p>
          <w:p w14:paraId="4F9989F3" w14:textId="77777777" w:rsidR="003023BB" w:rsidRPr="00DF0321" w:rsidRDefault="003023BB" w:rsidP="00FC3E24">
            <w:pPr>
              <w:pStyle w:val="BodyText2"/>
              <w:jc w:val="both"/>
              <w:rPr>
                <w:lang w:val="lv-LV"/>
              </w:rPr>
            </w:pPr>
          </w:p>
          <w:p w14:paraId="504E05BE" w14:textId="77777777" w:rsidR="007C18BB" w:rsidRPr="00DF0321" w:rsidRDefault="007C18BB" w:rsidP="002902E4">
            <w:pPr>
              <w:pStyle w:val="BodyText2"/>
              <w:numPr>
                <w:ilvl w:val="0"/>
                <w:numId w:val="27"/>
              </w:numPr>
              <w:jc w:val="both"/>
              <w:rPr>
                <w:u w:val="single"/>
                <w:lang w:val="lv-LV"/>
              </w:rPr>
            </w:pPr>
            <w:r w:rsidRPr="00DF0321">
              <w:rPr>
                <w:u w:val="single"/>
                <w:lang w:val="lv-LV"/>
              </w:rPr>
              <w:t>Konceptuāls jautājums par DAC7 priekšlikuma atšķirībām no OECD par</w:t>
            </w:r>
            <w:r w:rsidR="007D3BA7" w:rsidRPr="00DF0321">
              <w:rPr>
                <w:u w:val="single"/>
                <w:lang w:val="lv-LV"/>
              </w:rPr>
              <w:t>aug</w:t>
            </w:r>
            <w:r w:rsidRPr="00DF0321">
              <w:rPr>
                <w:u w:val="single"/>
                <w:lang w:val="lv-LV"/>
              </w:rPr>
              <w:t>noteikumiem</w:t>
            </w:r>
          </w:p>
          <w:p w14:paraId="5C3F3B63" w14:textId="77777777" w:rsidR="007C18BB" w:rsidRPr="00DF0321" w:rsidRDefault="007C18BB" w:rsidP="007C18BB">
            <w:pPr>
              <w:pStyle w:val="BodyText2"/>
              <w:jc w:val="both"/>
              <w:rPr>
                <w:lang w:val="lv-LV"/>
              </w:rPr>
            </w:pPr>
          </w:p>
          <w:p w14:paraId="00D63E5A" w14:textId="77777777" w:rsidR="007C18BB" w:rsidRPr="00DF0321" w:rsidRDefault="007C18BB" w:rsidP="007C18BB">
            <w:pPr>
              <w:pStyle w:val="BodyText2"/>
              <w:jc w:val="both"/>
              <w:rPr>
                <w:lang w:val="lv-LV"/>
              </w:rPr>
            </w:pPr>
            <w:r w:rsidRPr="00DF0321">
              <w:rPr>
                <w:lang w:val="lv-LV"/>
              </w:rPr>
              <w:t xml:space="preserve">Šobrīd DAC7 priekšlikums satur plašāku regulējumu, nekā OECD paraugnoteikumi, to pamatojot gan ar apstākli, ka OECD paraugnoteikumi nav saistošs dokuments, </w:t>
            </w:r>
            <w:r w:rsidR="004B16E3" w:rsidRPr="00DF0321">
              <w:rPr>
                <w:lang w:val="lv-LV"/>
              </w:rPr>
              <w:t>gan ar</w:t>
            </w:r>
            <w:r w:rsidRPr="00DF0321">
              <w:rPr>
                <w:lang w:val="lv-LV"/>
              </w:rPr>
              <w:t xml:space="preserve"> to, ka tas neaptver daudzus saimnieciskās darbības veidus un platformas, k</w:t>
            </w:r>
            <w:r w:rsidR="004B16E3" w:rsidRPr="00DF0321">
              <w:rPr>
                <w:lang w:val="lv-LV"/>
              </w:rPr>
              <w:t>urām</w:t>
            </w:r>
            <w:r w:rsidRPr="00DF0321">
              <w:rPr>
                <w:lang w:val="lv-LV"/>
              </w:rPr>
              <w:t xml:space="preserve"> pastāv augsts nodokļu nenomaksas risks</w:t>
            </w:r>
            <w:r w:rsidR="008C43A3" w:rsidRPr="00DF0321">
              <w:rPr>
                <w:lang w:val="lv-LV"/>
              </w:rPr>
              <w:t>. Ņemot vērā minēto, notiks diskusija</w:t>
            </w:r>
            <w:r w:rsidR="007D3BA7" w:rsidRPr="00DF0321">
              <w:rPr>
                <w:lang w:val="lv-LV"/>
              </w:rPr>
              <w:t xml:space="preserve"> –</w:t>
            </w:r>
            <w:r w:rsidR="008C43A3" w:rsidRPr="00DF0321">
              <w:rPr>
                <w:lang w:val="lv-LV"/>
              </w:rPr>
              <w:t xml:space="preserve"> DAC7 priekšlikuma tekstu tuvināt OECD paraugnoteikumu tekstam</w:t>
            </w:r>
            <w:r w:rsidR="004B16E3" w:rsidRPr="00DF0321">
              <w:rPr>
                <w:lang w:val="lv-LV"/>
              </w:rPr>
              <w:t xml:space="preserve"> (regulējumā aptverot mazāk subjektu)</w:t>
            </w:r>
            <w:r w:rsidR="008C43A3" w:rsidRPr="00DF0321">
              <w:rPr>
                <w:lang w:val="lv-LV"/>
              </w:rPr>
              <w:t xml:space="preserve">, vai arī </w:t>
            </w:r>
            <w:r w:rsidR="007D3BA7" w:rsidRPr="00DF0321">
              <w:rPr>
                <w:lang w:val="lv-LV"/>
              </w:rPr>
              <w:t>noteikt</w:t>
            </w:r>
            <w:r w:rsidR="008C43A3" w:rsidRPr="00DF0321">
              <w:rPr>
                <w:lang w:val="lv-LV"/>
              </w:rPr>
              <w:t xml:space="preserve"> “reģionālo” </w:t>
            </w:r>
            <w:r w:rsidR="007D3BA7" w:rsidRPr="00DF0321">
              <w:rPr>
                <w:lang w:val="lv-LV"/>
              </w:rPr>
              <w:t xml:space="preserve">(ES) </w:t>
            </w:r>
            <w:r w:rsidR="008C43A3" w:rsidRPr="00DF0321">
              <w:rPr>
                <w:lang w:val="lv-LV"/>
              </w:rPr>
              <w:t>standartu</w:t>
            </w:r>
            <w:r w:rsidR="004B16E3" w:rsidRPr="00DF0321">
              <w:rPr>
                <w:lang w:val="lv-LV"/>
              </w:rPr>
              <w:t xml:space="preserve"> (attieksies arī uz ne ES platformām, ja tās piedāvās preces vai pakalpojumus ES)</w:t>
            </w:r>
            <w:r w:rsidR="008C43A3" w:rsidRPr="00DF0321">
              <w:rPr>
                <w:lang w:val="lv-LV"/>
              </w:rPr>
              <w:t>, kas noteiks plašāku ziņošanas pienākumu</w:t>
            </w:r>
            <w:r w:rsidR="004B16E3" w:rsidRPr="00DF0321">
              <w:rPr>
                <w:lang w:val="lv-LV"/>
              </w:rPr>
              <w:t xml:space="preserve"> (ietverot plašāku subjektu loku)</w:t>
            </w:r>
            <w:r w:rsidR="008C43A3" w:rsidRPr="00DF0321">
              <w:rPr>
                <w:lang w:val="lv-LV"/>
              </w:rPr>
              <w:t>.</w:t>
            </w:r>
          </w:p>
          <w:p w14:paraId="3622C010" w14:textId="77777777" w:rsidR="007C18BB" w:rsidRPr="00DF0321" w:rsidRDefault="007C18BB" w:rsidP="007C18BB">
            <w:pPr>
              <w:pStyle w:val="BodyText2"/>
              <w:jc w:val="both"/>
              <w:rPr>
                <w:lang w:val="lv-LV"/>
              </w:rPr>
            </w:pPr>
          </w:p>
          <w:p w14:paraId="6E2EF695" w14:textId="77777777" w:rsidR="003023BB" w:rsidRPr="00DF0321" w:rsidRDefault="00E324CD" w:rsidP="002902E4">
            <w:pPr>
              <w:pStyle w:val="BodyText2"/>
              <w:numPr>
                <w:ilvl w:val="0"/>
                <w:numId w:val="27"/>
              </w:numPr>
              <w:jc w:val="both"/>
              <w:rPr>
                <w:u w:val="single"/>
                <w:lang w:val="lv-LV"/>
              </w:rPr>
            </w:pPr>
            <w:r w:rsidRPr="00DF0321">
              <w:rPr>
                <w:u w:val="single"/>
                <w:lang w:val="lv-LV"/>
              </w:rPr>
              <w:t>Tvērums saimnieciskai darbībai, uz kuru attiecināt automātisko informācijas apmaiņu par platformu rīcībā esošo informāciju</w:t>
            </w:r>
          </w:p>
          <w:p w14:paraId="1AB6B674" w14:textId="77777777" w:rsidR="00E023AA" w:rsidRPr="00DF0321" w:rsidRDefault="00E023AA" w:rsidP="00FC3E24">
            <w:pPr>
              <w:pStyle w:val="BodyText2"/>
              <w:jc w:val="both"/>
              <w:rPr>
                <w:lang w:val="lv-LV"/>
              </w:rPr>
            </w:pPr>
          </w:p>
          <w:p w14:paraId="6E825196" w14:textId="77777777" w:rsidR="00E324CD" w:rsidRPr="00DF0321" w:rsidRDefault="00E324CD" w:rsidP="00FC3E24">
            <w:pPr>
              <w:pStyle w:val="BodyText2"/>
              <w:jc w:val="both"/>
              <w:rPr>
                <w:lang w:val="lv-LV"/>
              </w:rPr>
            </w:pPr>
            <w:r w:rsidRPr="00DF0321">
              <w:rPr>
                <w:lang w:val="lv-LV"/>
              </w:rPr>
              <w:t xml:space="preserve">Šobrīd DAC7 priekšlikuma tvērums ir iespējami plašs un </w:t>
            </w:r>
            <w:r w:rsidR="005142A5" w:rsidRPr="00DF0321">
              <w:rPr>
                <w:lang w:val="lv-LV"/>
              </w:rPr>
              <w:t xml:space="preserve">paredz aptvert visus saimnieciskās darbības veidus, kas </w:t>
            </w:r>
            <w:r w:rsidR="007D3BA7" w:rsidRPr="00DF0321">
              <w:rPr>
                <w:lang w:val="lv-LV"/>
              </w:rPr>
              <w:t xml:space="preserve">atrunāti </w:t>
            </w:r>
            <w:r w:rsidR="005142A5" w:rsidRPr="00DF0321">
              <w:rPr>
                <w:lang w:val="lv-LV"/>
              </w:rPr>
              <w:t>OECD parau</w:t>
            </w:r>
            <w:r w:rsidR="00E544E0" w:rsidRPr="00DF0321">
              <w:rPr>
                <w:lang w:val="lv-LV"/>
              </w:rPr>
              <w:t>g</w:t>
            </w:r>
            <w:r w:rsidR="005142A5" w:rsidRPr="00DF0321">
              <w:rPr>
                <w:lang w:val="lv-LV"/>
              </w:rPr>
              <w:t xml:space="preserve">noteikumos (caur platformām personīgi sniegtie pakalpojumi, tajā skaitā, transporta un piegādes pakalpojumi un nekustamā īpašuma izīrēšana), gan arī veidus, kas nav </w:t>
            </w:r>
            <w:r w:rsidR="00E544E0" w:rsidRPr="00DF0321">
              <w:rPr>
                <w:lang w:val="lv-LV"/>
              </w:rPr>
              <w:t xml:space="preserve">atrunāti </w:t>
            </w:r>
            <w:r w:rsidR="005142A5" w:rsidRPr="00DF0321">
              <w:rPr>
                <w:lang w:val="lv-LV"/>
              </w:rPr>
              <w:t xml:space="preserve">OECD paraugnoteikumos </w:t>
            </w:r>
            <w:r w:rsidR="00E544E0" w:rsidRPr="00DF0321">
              <w:rPr>
                <w:lang w:val="lv-LV"/>
              </w:rPr>
              <w:t>(</w:t>
            </w:r>
            <w:r w:rsidR="005142A5" w:rsidRPr="00DF0321">
              <w:rPr>
                <w:lang w:val="lv-LV"/>
              </w:rPr>
              <w:t>jebkura transportlīdzekļa noma, preču pārdošana, kā arī investīciju un aizdevumu platformas).</w:t>
            </w:r>
            <w:r w:rsidR="00C63568" w:rsidRPr="00DF0321">
              <w:rPr>
                <w:lang w:val="lv-LV"/>
              </w:rPr>
              <w:t xml:space="preserve"> Paredzams, ka s</w:t>
            </w:r>
            <w:r w:rsidR="005142A5" w:rsidRPr="00DF0321">
              <w:rPr>
                <w:lang w:val="lv-LV"/>
              </w:rPr>
              <w:t>anāksmēs tiks diskutēts</w:t>
            </w:r>
            <w:r w:rsidR="00835173" w:rsidRPr="00DF0321">
              <w:rPr>
                <w:lang w:val="lv-LV"/>
              </w:rPr>
              <w:t>, vai piedāvātais apjoms ir atbilstošs, vai arī tam būtu jābūt plašākam vai šaurākam.</w:t>
            </w:r>
          </w:p>
          <w:p w14:paraId="1880D258" w14:textId="77777777" w:rsidR="003A47D3" w:rsidRPr="00DF0321" w:rsidRDefault="003A47D3" w:rsidP="00FC3E24">
            <w:pPr>
              <w:pStyle w:val="BodyText2"/>
              <w:jc w:val="both"/>
              <w:rPr>
                <w:lang w:val="lv-LV"/>
              </w:rPr>
            </w:pPr>
          </w:p>
          <w:p w14:paraId="21122E59" w14:textId="77777777" w:rsidR="003A47D3" w:rsidRPr="00DF0321" w:rsidRDefault="00835173" w:rsidP="002902E4">
            <w:pPr>
              <w:pStyle w:val="BodyText2"/>
              <w:numPr>
                <w:ilvl w:val="0"/>
                <w:numId w:val="27"/>
              </w:numPr>
              <w:jc w:val="both"/>
              <w:rPr>
                <w:u w:val="single"/>
                <w:lang w:val="lv-LV"/>
              </w:rPr>
            </w:pPr>
            <w:r w:rsidRPr="00DF0321">
              <w:rPr>
                <w:u w:val="single"/>
                <w:lang w:val="lv-LV"/>
              </w:rPr>
              <w:t>Izņēmumi no ziņošanas</w:t>
            </w:r>
          </w:p>
          <w:p w14:paraId="5188BE89" w14:textId="77777777" w:rsidR="007C18BB" w:rsidRPr="00DF0321" w:rsidRDefault="007C18BB" w:rsidP="00835173">
            <w:pPr>
              <w:pStyle w:val="BodyText2"/>
              <w:jc w:val="both"/>
              <w:rPr>
                <w:lang w:val="lv-LV"/>
              </w:rPr>
            </w:pPr>
          </w:p>
          <w:p w14:paraId="06025C13" w14:textId="77777777" w:rsidR="00835173" w:rsidRPr="00DF0321" w:rsidRDefault="00835173" w:rsidP="00835173">
            <w:pPr>
              <w:pStyle w:val="BodyText2"/>
              <w:jc w:val="both"/>
              <w:rPr>
                <w:lang w:val="lv-LV"/>
              </w:rPr>
            </w:pPr>
            <w:r w:rsidRPr="00DF0321">
              <w:rPr>
                <w:lang w:val="lv-LV"/>
              </w:rPr>
              <w:t xml:space="preserve">DAC7 priekšlikums neparedz atbrīvojumus no ziņošanas, piemēram, ņemot vērā saimnieciskās darbības apjomu vai platformas apgrozījumu, to pamatojot ar to, ka pretējā gadījumā pastāvētu </w:t>
            </w:r>
            <w:r w:rsidR="00B67A02" w:rsidRPr="00DF0321">
              <w:rPr>
                <w:lang w:val="lv-LV"/>
              </w:rPr>
              <w:t xml:space="preserve">risks </w:t>
            </w:r>
            <w:r w:rsidRPr="00DF0321">
              <w:rPr>
                <w:lang w:val="lv-LV"/>
              </w:rPr>
              <w:t>izvair</w:t>
            </w:r>
            <w:r w:rsidR="00B67A02" w:rsidRPr="00DF0321">
              <w:rPr>
                <w:lang w:val="lv-LV"/>
              </w:rPr>
              <w:t>īties</w:t>
            </w:r>
            <w:r w:rsidRPr="00DF0321">
              <w:rPr>
                <w:lang w:val="lv-LV"/>
              </w:rPr>
              <w:t xml:space="preserve"> no ziņošanas. Izņēmums atkarībā no platformas lieluma ir paredzēts OECD paraugnoteikumos un sagaidāms, ka šis jautājums tiks diskutēts.</w:t>
            </w:r>
          </w:p>
          <w:p w14:paraId="2392F143" w14:textId="77777777" w:rsidR="00835173" w:rsidRPr="00DF0321" w:rsidRDefault="00835173" w:rsidP="00835173">
            <w:pPr>
              <w:pStyle w:val="BodyText2"/>
              <w:jc w:val="both"/>
              <w:rPr>
                <w:lang w:val="lv-LV"/>
              </w:rPr>
            </w:pPr>
          </w:p>
          <w:p w14:paraId="573E5F32" w14:textId="77777777" w:rsidR="00835173" w:rsidRPr="00DF0321" w:rsidRDefault="00835173" w:rsidP="002902E4">
            <w:pPr>
              <w:pStyle w:val="BodyText2"/>
              <w:numPr>
                <w:ilvl w:val="0"/>
                <w:numId w:val="27"/>
              </w:numPr>
              <w:jc w:val="both"/>
              <w:rPr>
                <w:u w:val="single"/>
                <w:lang w:val="lv-LV"/>
              </w:rPr>
            </w:pPr>
            <w:r w:rsidRPr="00DF0321">
              <w:rPr>
                <w:u w:val="single"/>
                <w:lang w:val="lv-LV"/>
              </w:rPr>
              <w:t>Efektīvas ieviešanas nodrošināšana</w:t>
            </w:r>
          </w:p>
          <w:p w14:paraId="0ED6E26D" w14:textId="77777777" w:rsidR="007C18BB" w:rsidRPr="00DF0321" w:rsidRDefault="007C18BB" w:rsidP="00835173">
            <w:pPr>
              <w:pStyle w:val="BodyText2"/>
              <w:jc w:val="both"/>
              <w:rPr>
                <w:lang w:val="lv-LV"/>
              </w:rPr>
            </w:pPr>
          </w:p>
          <w:p w14:paraId="64B91A3B" w14:textId="77777777" w:rsidR="00835173" w:rsidRPr="00DF0321" w:rsidRDefault="00835173" w:rsidP="00835173">
            <w:pPr>
              <w:pStyle w:val="BodyText2"/>
              <w:jc w:val="both"/>
              <w:rPr>
                <w:lang w:val="lv-LV"/>
              </w:rPr>
            </w:pPr>
            <w:r w:rsidRPr="00DF0321">
              <w:rPr>
                <w:lang w:val="lv-LV"/>
              </w:rPr>
              <w:t>DAC7 priekšlikumā ietverts projekts salīdzinoši detalizētam regulējumam attiecībā uz to, kādā veidā nodrošināt direktīvas efektīvu ieviešanu, tajā skaitā, paredzot sankcijas</w:t>
            </w:r>
            <w:r w:rsidR="00F96EBC" w:rsidRPr="00DF0321">
              <w:rPr>
                <w:lang w:val="lv-LV"/>
              </w:rPr>
              <w:t xml:space="preserve"> par ziņošanas pienākuma nepildīšanu, kā arī paredzot citus mehānismus regulējuma efektivitātes nodrošināšanai</w:t>
            </w:r>
            <w:r w:rsidRPr="00DF0321">
              <w:rPr>
                <w:lang w:val="lv-LV"/>
              </w:rPr>
              <w:t>. Līdz šim līdzīgos gadījumos direktīvās regulējums ir bijis paredzēts vispārīgāks, ņem</w:t>
            </w:r>
            <w:r w:rsidR="00B67A02" w:rsidRPr="00DF0321">
              <w:rPr>
                <w:lang w:val="lv-LV"/>
              </w:rPr>
              <w:t>o</w:t>
            </w:r>
            <w:r w:rsidRPr="00DF0321">
              <w:rPr>
                <w:lang w:val="lv-LV"/>
              </w:rPr>
              <w:t xml:space="preserve">t vērā, ka uzraudzības un sankciju jautājumi vairāk attiecas uz dalībvalstu kompetenci. Ņemot vērā prakses maiņu, sagaidāms, ka </w:t>
            </w:r>
            <w:r w:rsidR="007C18BB" w:rsidRPr="00DF0321">
              <w:rPr>
                <w:lang w:val="lv-LV"/>
              </w:rPr>
              <w:t>par šo jautājumu var izvērsties diskusija.</w:t>
            </w:r>
          </w:p>
          <w:p w14:paraId="2C3030D6" w14:textId="77777777" w:rsidR="007C18BB" w:rsidRPr="00DF0321" w:rsidRDefault="007C18BB" w:rsidP="00835173">
            <w:pPr>
              <w:pStyle w:val="BodyText2"/>
              <w:jc w:val="both"/>
              <w:rPr>
                <w:lang w:val="lv-LV"/>
              </w:rPr>
            </w:pPr>
          </w:p>
          <w:p w14:paraId="4FCE4EB1" w14:textId="77777777" w:rsidR="007C18BB" w:rsidRPr="00DF0321" w:rsidRDefault="007C18BB" w:rsidP="002902E4">
            <w:pPr>
              <w:pStyle w:val="BodyText2"/>
              <w:numPr>
                <w:ilvl w:val="0"/>
                <w:numId w:val="27"/>
              </w:numPr>
              <w:jc w:val="both"/>
              <w:rPr>
                <w:u w:val="single"/>
                <w:lang w:val="lv-LV"/>
              </w:rPr>
            </w:pPr>
            <w:r w:rsidRPr="00DF0321">
              <w:rPr>
                <w:u w:val="single"/>
                <w:lang w:val="lv-LV"/>
              </w:rPr>
              <w:t>Regulējuma daļēj</w:t>
            </w:r>
            <w:r w:rsidR="00B67A02" w:rsidRPr="00DF0321">
              <w:rPr>
                <w:u w:val="single"/>
                <w:lang w:val="lv-LV"/>
              </w:rPr>
              <w:t>a</w:t>
            </w:r>
            <w:r w:rsidRPr="00DF0321">
              <w:rPr>
                <w:u w:val="single"/>
                <w:lang w:val="lv-LV"/>
              </w:rPr>
              <w:t xml:space="preserve"> pārklāšanās </w:t>
            </w:r>
            <w:r w:rsidR="00B67A02" w:rsidRPr="00DF0321">
              <w:rPr>
                <w:u w:val="single"/>
                <w:lang w:val="lv-LV"/>
              </w:rPr>
              <w:t xml:space="preserve">attiecībā uz </w:t>
            </w:r>
            <w:r w:rsidRPr="00DF0321">
              <w:rPr>
                <w:u w:val="single"/>
                <w:lang w:val="lv-LV"/>
              </w:rPr>
              <w:t>informāciju, ko nodokļu administrācijas saņem atbilstoši pievienotās vērtības nodokļa regulējumam</w:t>
            </w:r>
          </w:p>
          <w:p w14:paraId="38ADCB0C" w14:textId="77777777" w:rsidR="007C18BB" w:rsidRPr="00DF0321" w:rsidRDefault="007C18BB" w:rsidP="007C18BB">
            <w:pPr>
              <w:pStyle w:val="BodyText2"/>
              <w:jc w:val="both"/>
              <w:rPr>
                <w:lang w:val="lv-LV"/>
              </w:rPr>
            </w:pPr>
          </w:p>
          <w:p w14:paraId="7E5350AA" w14:textId="77777777" w:rsidR="007C18BB" w:rsidRPr="00DF0321" w:rsidRDefault="007C18BB" w:rsidP="007C18BB">
            <w:pPr>
              <w:pStyle w:val="BodyText2"/>
              <w:jc w:val="both"/>
              <w:rPr>
                <w:lang w:val="lv-LV"/>
              </w:rPr>
            </w:pPr>
            <w:r w:rsidRPr="00DF0321">
              <w:rPr>
                <w:lang w:val="lv-LV"/>
              </w:rPr>
              <w:t xml:space="preserve">Ņemot vērā, ka pakalpojuma sniegšanas vieta pievienotās vērtības nodokļa vajadzībām distances tirdzniecības gadījumā bieži vien ir valsts, uz kuru prece tiek piegādāta, </w:t>
            </w:r>
            <w:r w:rsidR="00AE1579" w:rsidRPr="00DF0321">
              <w:rPr>
                <w:lang w:val="lv-LV"/>
              </w:rPr>
              <w:t>atbilstoši pievi</w:t>
            </w:r>
            <w:r w:rsidR="00E544E0" w:rsidRPr="00DF0321">
              <w:rPr>
                <w:lang w:val="lv-LV"/>
              </w:rPr>
              <w:t>e</w:t>
            </w:r>
            <w:r w:rsidR="00AE1579" w:rsidRPr="00DF0321">
              <w:rPr>
                <w:lang w:val="lv-LV"/>
              </w:rPr>
              <w:t>notās vērtības nodokli regulējošajiem normatīvajiem aktiem</w:t>
            </w:r>
            <w:r w:rsidR="00AE1579" w:rsidRPr="00DF0321">
              <w:rPr>
                <w:rStyle w:val="FootnoteReference"/>
                <w:lang w:val="lv-LV"/>
              </w:rPr>
              <w:footnoteReference w:id="3"/>
            </w:r>
            <w:r w:rsidR="00AE1579" w:rsidRPr="00DF0321">
              <w:rPr>
                <w:lang w:val="lv-LV"/>
              </w:rPr>
              <w:t xml:space="preserve"> </w:t>
            </w:r>
            <w:r w:rsidRPr="00DF0321">
              <w:rPr>
                <w:lang w:val="lv-LV"/>
              </w:rPr>
              <w:t xml:space="preserve">dalībvalstu rīcībā nonāk informācija saistībā ar pievienotās vērtības nodokļa saistībām, kas izriet no distances tirdzniecības, izmantojot platformas. Ņemot vērā, ka </w:t>
            </w:r>
            <w:r w:rsidR="00E544E0" w:rsidRPr="00DF0321">
              <w:rPr>
                <w:lang w:val="lv-LV"/>
              </w:rPr>
              <w:t xml:space="preserve">š.g. </w:t>
            </w:r>
            <w:r w:rsidRPr="00DF0321">
              <w:rPr>
                <w:lang w:val="lv-LV"/>
              </w:rPr>
              <w:t>23.jūlija sanāksmē radās jautājums par regulējuma iespējamu daļēju pārklāšanos, šis jautājums tiks skatīts nākamajās sanāksmēs. Turklāt informāciju, ko valsts saņems atbilstoši DAC7 priekšlikumam, noteiktajos gadījumos varēs izmantot arī pievienotās vērtības nodokļa nomaksas kontrolei.</w:t>
            </w:r>
          </w:p>
          <w:p w14:paraId="5D4A8AA2" w14:textId="77777777" w:rsidR="008C43A3" w:rsidRPr="00DF0321" w:rsidRDefault="008C43A3" w:rsidP="007C18BB">
            <w:pPr>
              <w:pStyle w:val="BodyText2"/>
              <w:jc w:val="both"/>
              <w:rPr>
                <w:lang w:val="lv-LV"/>
              </w:rPr>
            </w:pPr>
          </w:p>
          <w:p w14:paraId="0FB552E1" w14:textId="77777777" w:rsidR="008C43A3" w:rsidRPr="00DF0321" w:rsidRDefault="008C43A3" w:rsidP="002902E4">
            <w:pPr>
              <w:pStyle w:val="BodyText2"/>
              <w:numPr>
                <w:ilvl w:val="0"/>
                <w:numId w:val="27"/>
              </w:numPr>
              <w:jc w:val="both"/>
              <w:rPr>
                <w:u w:val="single"/>
                <w:lang w:val="lv-LV"/>
              </w:rPr>
            </w:pPr>
            <w:r w:rsidRPr="00DF0321">
              <w:rPr>
                <w:u w:val="single"/>
                <w:lang w:val="lv-LV"/>
              </w:rPr>
              <w:t>Esošā regulējuma uzlabošana: “paredzamā svarīguma” definīcija, “grupas pieprasījumi” (group requests), kopīg</w:t>
            </w:r>
            <w:r w:rsidR="00E544E0" w:rsidRPr="00DF0321">
              <w:rPr>
                <w:u w:val="single"/>
                <w:lang w:val="lv-LV"/>
              </w:rPr>
              <w:t>ās nodokļu revīzijas (</w:t>
            </w:r>
            <w:r w:rsidRPr="00DF0321">
              <w:rPr>
                <w:u w:val="single"/>
                <w:lang w:val="lv-LV"/>
              </w:rPr>
              <w:t>auditi</w:t>
            </w:r>
            <w:r w:rsidR="00E544E0" w:rsidRPr="00DF0321">
              <w:rPr>
                <w:u w:val="single"/>
                <w:lang w:val="lv-LV"/>
              </w:rPr>
              <w:t>)</w:t>
            </w:r>
            <w:r w:rsidR="00AE1579" w:rsidRPr="00DF0321">
              <w:rPr>
                <w:u w:val="single"/>
                <w:lang w:val="lv-LV"/>
              </w:rPr>
              <w:t xml:space="preserve"> u.c.</w:t>
            </w:r>
          </w:p>
          <w:p w14:paraId="3A39360A" w14:textId="77777777" w:rsidR="008C43A3" w:rsidRPr="00DF0321" w:rsidRDefault="008C43A3" w:rsidP="008C43A3">
            <w:pPr>
              <w:pStyle w:val="BodyText2"/>
              <w:jc w:val="both"/>
              <w:rPr>
                <w:lang w:val="lv-LV"/>
              </w:rPr>
            </w:pPr>
          </w:p>
          <w:p w14:paraId="3FDAEF3B" w14:textId="77777777" w:rsidR="008C43A3" w:rsidRPr="00DF0321" w:rsidRDefault="008C43A3" w:rsidP="008C43A3">
            <w:pPr>
              <w:pStyle w:val="BodyText2"/>
              <w:jc w:val="both"/>
              <w:rPr>
                <w:lang w:val="lv-LV"/>
              </w:rPr>
            </w:pPr>
            <w:r w:rsidRPr="00DF0321">
              <w:rPr>
                <w:lang w:val="lv-LV"/>
              </w:rPr>
              <w:t>Priekšlikuma mērķis pamatā ir padarīt skaidrāku esošo regulējumu, ņemot vērā interpretācijas atšķirības, kas dažkārt bija radušās dalībvalstīm. Kā jauninājums būtu pieminama</w:t>
            </w:r>
            <w:r w:rsidR="00B67A02" w:rsidRPr="00DF0321">
              <w:rPr>
                <w:lang w:val="lv-LV"/>
              </w:rPr>
              <w:t>s</w:t>
            </w:r>
            <w:r w:rsidRPr="00DF0321">
              <w:rPr>
                <w:lang w:val="lv-LV"/>
              </w:rPr>
              <w:t xml:space="preserve"> nodokļu maksātāja tiesība</w:t>
            </w:r>
            <w:r w:rsidR="00B67A02" w:rsidRPr="00DF0321">
              <w:rPr>
                <w:lang w:val="lv-LV"/>
              </w:rPr>
              <w:t>s</w:t>
            </w:r>
            <w:r w:rsidRPr="00DF0321">
              <w:rPr>
                <w:lang w:val="lv-LV"/>
              </w:rPr>
              <w:t xml:space="preserve"> lūgt veikt vienlaicīgu </w:t>
            </w:r>
            <w:r w:rsidR="00E544E0" w:rsidRPr="00DF0321">
              <w:rPr>
                <w:lang w:val="lv-LV"/>
              </w:rPr>
              <w:t>nodokļu revīziju (</w:t>
            </w:r>
            <w:r w:rsidRPr="00DF0321">
              <w:rPr>
                <w:lang w:val="lv-LV"/>
              </w:rPr>
              <w:t>auditu</w:t>
            </w:r>
            <w:r w:rsidR="00E544E0" w:rsidRPr="00DF0321">
              <w:rPr>
                <w:lang w:val="lv-LV"/>
              </w:rPr>
              <w:t>)</w:t>
            </w:r>
            <w:r w:rsidRPr="00DF0321">
              <w:rPr>
                <w:lang w:val="lv-LV"/>
              </w:rPr>
              <w:t xml:space="preserve"> (vairāku valstu nodokļu administrāciju kopīgi veikto auditu), ja </w:t>
            </w:r>
            <w:r w:rsidR="00E544E0" w:rsidRPr="00DF0321">
              <w:rPr>
                <w:lang w:val="lv-LV"/>
              </w:rPr>
              <w:t>nodokļu revīziju (</w:t>
            </w:r>
            <w:r w:rsidRPr="00DF0321">
              <w:rPr>
                <w:lang w:val="lv-LV"/>
              </w:rPr>
              <w:t>auditu</w:t>
            </w:r>
            <w:r w:rsidR="00E544E0" w:rsidRPr="00DF0321">
              <w:rPr>
                <w:lang w:val="lv-LV"/>
              </w:rPr>
              <w:t>)</w:t>
            </w:r>
            <w:r w:rsidRPr="00DF0321">
              <w:rPr>
                <w:lang w:val="lv-LV"/>
              </w:rPr>
              <w:t xml:space="preserve"> </w:t>
            </w:r>
            <w:r w:rsidR="00E544E0" w:rsidRPr="00DF0321">
              <w:rPr>
                <w:lang w:val="lv-LV"/>
              </w:rPr>
              <w:t xml:space="preserve">ir </w:t>
            </w:r>
            <w:r w:rsidRPr="00DF0321">
              <w:rPr>
                <w:lang w:val="lv-LV"/>
              </w:rPr>
              <w:t>uzsāk</w:t>
            </w:r>
            <w:r w:rsidR="00E544E0" w:rsidRPr="00DF0321">
              <w:rPr>
                <w:lang w:val="lv-LV"/>
              </w:rPr>
              <w:t>usi</w:t>
            </w:r>
            <w:r w:rsidRPr="00DF0321">
              <w:rPr>
                <w:lang w:val="lv-LV"/>
              </w:rPr>
              <w:t xml:space="preserve"> veikt vienas ES dalībvalsts nodokļu administrācija</w:t>
            </w:r>
            <w:r w:rsidR="00AE1579" w:rsidRPr="00DF0321">
              <w:rPr>
                <w:lang w:val="lv-LV"/>
              </w:rPr>
              <w:t>, kā arī automātiskās informācijas apmaiņas par ienākumiem paplašināšana ar jaunu informācijas veidu – ienākums no autoratlīdzībām</w:t>
            </w:r>
            <w:r w:rsidRPr="00DF0321">
              <w:rPr>
                <w:lang w:val="lv-LV"/>
              </w:rPr>
              <w:t>.</w:t>
            </w:r>
          </w:p>
          <w:p w14:paraId="4D187CDB" w14:textId="77777777" w:rsidR="00521C9C" w:rsidRPr="00DF0321" w:rsidRDefault="00521C9C" w:rsidP="002902E4">
            <w:pPr>
              <w:pStyle w:val="BodyText2"/>
              <w:jc w:val="both"/>
              <w:rPr>
                <w:noProof/>
                <w:lang w:val="lv-LV"/>
              </w:rPr>
            </w:pPr>
          </w:p>
        </w:tc>
      </w:tr>
      <w:tr w:rsidR="00AA2393" w:rsidRPr="00DF0321" w14:paraId="062D7CE6"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vAlign w:val="center"/>
          </w:tcPr>
          <w:p w14:paraId="60BB22A8" w14:textId="77777777" w:rsidR="00AA2393" w:rsidRPr="00DF0321" w:rsidRDefault="00CC52E5" w:rsidP="00F52CED">
            <w:pPr>
              <w:spacing w:before="120" w:after="120"/>
              <w:rPr>
                <w:b/>
                <w:color w:val="000000"/>
              </w:rPr>
            </w:pPr>
            <w:r w:rsidRPr="00DF0321">
              <w:t>Balsošanas kārtība. ES tiesību akta izdošanas/jautājuma izskatīšanas juridiskais pamatojums</w:t>
            </w:r>
          </w:p>
        </w:tc>
      </w:tr>
      <w:tr w:rsidR="00AA2393" w:rsidRPr="00DF0321" w14:paraId="6C39F212"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vAlign w:val="center"/>
          </w:tcPr>
          <w:p w14:paraId="1A1D2C51" w14:textId="77777777" w:rsidR="00AA2393" w:rsidRPr="00DF0321" w:rsidRDefault="00CC52E5" w:rsidP="00F52CED">
            <w:pPr>
              <w:pStyle w:val="naiskr"/>
              <w:widowControl w:val="0"/>
              <w:spacing w:before="120" w:beforeAutospacing="0" w:after="120" w:afterAutospacing="0"/>
              <w:jc w:val="both"/>
            </w:pPr>
            <w:r w:rsidRPr="00DF0321">
              <w:t>V</w:t>
            </w:r>
            <w:r w:rsidR="00AA2393" w:rsidRPr="00DF0321">
              <w:t>ienbalsība</w:t>
            </w:r>
            <w:r w:rsidR="002970BE" w:rsidRPr="00DF0321">
              <w:t xml:space="preserve"> LESD </w:t>
            </w:r>
            <w:r w:rsidR="00AE1579" w:rsidRPr="00DF0321">
              <w:t xml:space="preserve">113. un </w:t>
            </w:r>
            <w:r w:rsidR="002970BE" w:rsidRPr="00DF0321">
              <w:t>115.pants</w:t>
            </w:r>
            <w:r w:rsidR="00AE1579" w:rsidRPr="00DF0321">
              <w:t>.</w:t>
            </w:r>
          </w:p>
        </w:tc>
      </w:tr>
      <w:tr w:rsidR="00AA2393" w:rsidRPr="00DF0321" w14:paraId="0FB4C1EA"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vAlign w:val="center"/>
          </w:tcPr>
          <w:p w14:paraId="060883CB" w14:textId="77777777" w:rsidR="00AA2393" w:rsidRPr="00DF0321" w:rsidRDefault="00AA2393" w:rsidP="00F52CED">
            <w:pPr>
              <w:spacing w:before="120" w:after="120"/>
              <w:jc w:val="center"/>
              <w:rPr>
                <w:b/>
                <w:color w:val="000000"/>
              </w:rPr>
            </w:pPr>
            <w:r w:rsidRPr="00DF0321">
              <w:rPr>
                <w:b/>
                <w:color w:val="000000"/>
              </w:rPr>
              <w:t>2. Situācija Latvijā</w:t>
            </w:r>
          </w:p>
        </w:tc>
      </w:tr>
      <w:tr w:rsidR="00AA2393" w:rsidRPr="00DF0321" w14:paraId="6DD13FCB"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rPr>
        <w:tc>
          <w:tcPr>
            <w:tcW w:w="9532" w:type="dxa"/>
            <w:gridSpan w:val="7"/>
          </w:tcPr>
          <w:p w14:paraId="247FE635" w14:textId="77777777" w:rsidR="004450DD" w:rsidRPr="00DF0321" w:rsidRDefault="00F96D68" w:rsidP="00F52CED">
            <w:pPr>
              <w:spacing w:before="120" w:after="120"/>
              <w:jc w:val="both"/>
              <w:rPr>
                <w:b/>
              </w:rPr>
            </w:pPr>
            <w:r w:rsidRPr="00DF0321">
              <w:rPr>
                <w:b/>
              </w:rPr>
              <w:t>Informācijas saņemšana no digitālajām platformām</w:t>
            </w:r>
          </w:p>
          <w:p w14:paraId="59AF3B92" w14:textId="5B2584B0" w:rsidR="00415DDB" w:rsidRPr="00DF0321" w:rsidRDefault="00F96D68" w:rsidP="007A0180">
            <w:pPr>
              <w:spacing w:before="120" w:after="120"/>
              <w:jc w:val="both"/>
            </w:pPr>
            <w:r w:rsidRPr="00DF0321">
              <w:t>Latvijā, tāpat kā virknē citu valstu, pastāv nacionālais regulējums attiecībā uz platformu pienākumu sniegt informāciju nodokļu administrācijām, piemēram, likuma “Par nodokļiem un nodevām”</w:t>
            </w:r>
            <w:r w:rsidR="00B45E10">
              <w:t xml:space="preserve"> </w:t>
            </w:r>
            <w:bookmarkStart w:id="2" w:name="_GoBack"/>
            <w:bookmarkEnd w:id="2"/>
            <w:r w:rsidRPr="00DF0321">
              <w:t>15.panta sestā daļa (interneta sludinājumu ievietošanas pakalpojumu sniedzēji), septītā daļa (</w:t>
            </w:r>
            <w:r w:rsidR="00085C31" w:rsidRPr="00DF0321">
              <w:t xml:space="preserve">maksājumu pakalpojumu sniedzēji, maksājumu karšu darījumu apstrādes pakalpojumu sniedzēji un elektroniskās naudas iestādes), septiņi prim daļa (kredītiestāde – par ar elektronisko komerciju saistītiem darījumiem), astotā daļa (mobilās lietotnes pakalpojumu sniedzēji un interneta tiešsaistes tirdzniecības vietas pakalpojumu sniedzēji), Ministru kabineta 2019.gada </w:t>
            </w:r>
            <w:r w:rsidR="007A0180" w:rsidRPr="00DF0321">
              <w:t xml:space="preserve">19.novembra noteikumu Nr.541 “Noteikumi par tīmekļvietņu vai mobilo lietotņu pakalpojuma sniedzējiem pasažieru komercpārvadājumos ar taksometru un vieglo automobili” IV nodaļa (taksometru pakalpojumu sniedzēji). Taču nacionālā regulējuma trūkums ir ierobežota iespēja ietekmēt tās platformas, kuras, lai gan nodrošina pakalpojumu sniegšanu Latvijā, faktiski atrodas citā valstī. Līdz ar to Valsts ieņēmumu dienesta iespējas kontrolēt </w:t>
            </w:r>
            <w:r w:rsidR="00CE679A" w:rsidRPr="00DF0321">
              <w:t xml:space="preserve">šāda veida </w:t>
            </w:r>
            <w:r w:rsidR="007A0180" w:rsidRPr="00DF0321">
              <w:t>elektronisko komerciju šobrīd ir ierobežotas.</w:t>
            </w:r>
          </w:p>
          <w:p w14:paraId="328D3259" w14:textId="77777777" w:rsidR="007A0180" w:rsidRPr="00DF0321" w:rsidRDefault="000A2712" w:rsidP="004E78E7">
            <w:pPr>
              <w:spacing w:before="120" w:after="120"/>
              <w:jc w:val="both"/>
            </w:pPr>
            <w:r w:rsidRPr="00DF0321">
              <w:t xml:space="preserve">Par </w:t>
            </w:r>
            <w:r w:rsidR="007A0180" w:rsidRPr="00DF0321">
              <w:t>DAC7 priekšlikuma</w:t>
            </w:r>
            <w:r w:rsidR="00502F43" w:rsidRPr="00DF0321">
              <w:t>, kurš vēr</w:t>
            </w:r>
            <w:r w:rsidRPr="00DF0321">
              <w:t>s</w:t>
            </w:r>
            <w:r w:rsidR="00502F43" w:rsidRPr="00DF0321">
              <w:t>ts uz cīņu pret ienākumu nedeklarēšanu,</w:t>
            </w:r>
            <w:r w:rsidR="007A0180" w:rsidRPr="00DF0321">
              <w:t xml:space="preserve"> svarīgumu Latvijai </w:t>
            </w:r>
            <w:r w:rsidR="00502F43" w:rsidRPr="00DF0321">
              <w:t>liecina</w:t>
            </w:r>
            <w:r w:rsidR="007A0180" w:rsidRPr="00DF0321">
              <w:t xml:space="preserve"> arī fakts, ka </w:t>
            </w:r>
            <w:r w:rsidR="003D4734" w:rsidRPr="00DF0321">
              <w:t xml:space="preserve">būtisku </w:t>
            </w:r>
            <w:r w:rsidR="007A0180" w:rsidRPr="00DF0321">
              <w:t xml:space="preserve">ēnu ekonomikas daļu Latvijas Republikā veido </w:t>
            </w:r>
            <w:r w:rsidR="007A0180" w:rsidRPr="00DF0321">
              <w:rPr>
                <w:bCs/>
              </w:rPr>
              <w:t>ienākumu neuzrādīšana</w:t>
            </w:r>
            <w:r w:rsidR="007A0180" w:rsidRPr="00DF0321">
              <w:t xml:space="preserve"> jeb izvairīšanās no nodokļu maksāšanas, kas sasniedz</w:t>
            </w:r>
            <w:r w:rsidR="003D4734" w:rsidRPr="00DF0321">
              <w:t>a</w:t>
            </w:r>
            <w:r w:rsidR="007A0180" w:rsidRPr="00DF0321">
              <w:t xml:space="preserve"> </w:t>
            </w:r>
            <w:r w:rsidR="003D4734" w:rsidRPr="00DF0321">
              <w:t>32</w:t>
            </w:r>
            <w:r w:rsidR="007A0180" w:rsidRPr="00DF0321">
              <w:t>% no visas Latvijas ēnu ekonomikas</w:t>
            </w:r>
            <w:r w:rsidR="003D4734" w:rsidRPr="00DF0321">
              <w:t xml:space="preserve"> 2019.gadā</w:t>
            </w:r>
            <w:r w:rsidR="004E78E7" w:rsidRPr="00DF0321">
              <w:t xml:space="preserve"> (kas bija 23,9%)</w:t>
            </w:r>
            <w:r w:rsidR="007A0180" w:rsidRPr="00DF0321">
              <w:t xml:space="preserve">. Turklāt pētījuma dati liecina, ka nereģistrētie uzņēmumi veido aptuveni </w:t>
            </w:r>
            <w:r w:rsidR="003D4734" w:rsidRPr="00DF0321">
              <w:t>6,7</w:t>
            </w:r>
            <w:r w:rsidR="007A0180" w:rsidRPr="00DF0321">
              <w:t>%-</w:t>
            </w:r>
            <w:r w:rsidR="003D4734" w:rsidRPr="00DF0321">
              <w:t>9,2</w:t>
            </w:r>
            <w:r w:rsidR="007A0180" w:rsidRPr="00DF0321">
              <w:t xml:space="preserve">% no visiem uzņēmumiem Latvijā </w:t>
            </w:r>
            <w:r w:rsidR="007A0180" w:rsidRPr="00DF0321">
              <w:rPr>
                <w:i/>
                <w:iCs/>
              </w:rPr>
              <w:t xml:space="preserve">(skat. Rīgas Ekonomikas augstskolas ikgadējā Baltijas valstu ēnu ekonomikas pētījums </w:t>
            </w:r>
            <w:hyperlink r:id="rId10" w:history="1">
              <w:r w:rsidR="003D4734" w:rsidRPr="00DF0321">
                <w:rPr>
                  <w:rStyle w:val="Hyperlink"/>
                </w:rPr>
                <w:t>https://issuu.com/sse_riga/docs/bro__ra_latviski_2020</w:t>
              </w:r>
            </w:hyperlink>
            <w:r w:rsidR="003D4734" w:rsidRPr="00DF0321">
              <w:rPr>
                <w:i/>
                <w:iCs/>
              </w:rPr>
              <w:t>)</w:t>
            </w:r>
            <w:r w:rsidR="007A0180" w:rsidRPr="00DF0321">
              <w:rPr>
                <w:iCs/>
              </w:rPr>
              <w:t>.</w:t>
            </w:r>
          </w:p>
        </w:tc>
      </w:tr>
      <w:tr w:rsidR="00AA2393" w:rsidRPr="00DF0321" w14:paraId="20C93C0F"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vAlign w:val="center"/>
          </w:tcPr>
          <w:p w14:paraId="0F89492F" w14:textId="77777777" w:rsidR="00AA2393" w:rsidRPr="00DF0321" w:rsidRDefault="00AA2393" w:rsidP="006A2C25">
            <w:pPr>
              <w:keepNext/>
              <w:spacing w:before="60" w:after="60"/>
              <w:jc w:val="both"/>
              <w:rPr>
                <w:color w:val="000000"/>
              </w:rPr>
            </w:pPr>
            <w:r w:rsidRPr="00DF0321">
              <w:rPr>
                <w:color w:val="000000"/>
              </w:rPr>
              <w:t>Ietekme uz budžetu</w:t>
            </w:r>
          </w:p>
        </w:tc>
      </w:tr>
      <w:tr w:rsidR="00AA2393" w:rsidRPr="00DF0321" w14:paraId="3E6B5284"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tcBorders>
              <w:bottom w:val="single" w:sz="4" w:space="0" w:color="auto"/>
            </w:tcBorders>
          </w:tcPr>
          <w:p w14:paraId="6311D6D3" w14:textId="77777777" w:rsidR="00AA2393" w:rsidRPr="00DF0321" w:rsidRDefault="000A2712" w:rsidP="000A2712">
            <w:pPr>
              <w:spacing w:before="120" w:after="120"/>
              <w:jc w:val="both"/>
              <w:rPr>
                <w:color w:val="000000"/>
              </w:rPr>
            </w:pPr>
            <w:r w:rsidRPr="00DF0321">
              <w:rPr>
                <w:color w:val="000000"/>
              </w:rPr>
              <w:t>Ietekme uz budžetu n</w:t>
            </w:r>
            <w:r w:rsidR="00502F43" w:rsidRPr="00DF0321">
              <w:rPr>
                <w:color w:val="000000"/>
              </w:rPr>
              <w:t>av precīzi nosakām</w:t>
            </w:r>
            <w:r w:rsidRPr="00DF0321">
              <w:rPr>
                <w:color w:val="000000"/>
              </w:rPr>
              <w:t>a</w:t>
            </w:r>
            <w:r w:rsidR="00502F43" w:rsidRPr="00DF0321">
              <w:rPr>
                <w:color w:val="000000"/>
              </w:rPr>
              <w:t xml:space="preserve">, taču sagaidāms, ka </w:t>
            </w:r>
            <w:r w:rsidRPr="00DF0321">
              <w:rPr>
                <w:color w:val="000000"/>
              </w:rPr>
              <w:t xml:space="preserve">tā </w:t>
            </w:r>
            <w:r w:rsidR="00502F43" w:rsidRPr="00DF0321">
              <w:rPr>
                <w:color w:val="000000"/>
              </w:rPr>
              <w:t>būs pozitīva.</w:t>
            </w:r>
            <w:r w:rsidR="00CE3293" w:rsidRPr="00DF0321">
              <w:rPr>
                <w:color w:val="000000"/>
              </w:rPr>
              <w:t xml:space="preserve"> Atbilstoši Eiropas Komisijas aprēķiniem</w:t>
            </w:r>
            <w:r w:rsidR="00CE3293" w:rsidRPr="00DF0321">
              <w:rPr>
                <w:rStyle w:val="FootnoteReference"/>
                <w:color w:val="000000"/>
              </w:rPr>
              <w:footnoteReference w:id="4"/>
            </w:r>
            <w:r w:rsidR="00CE3293" w:rsidRPr="00DF0321">
              <w:rPr>
                <w:color w:val="000000"/>
              </w:rPr>
              <w:t xml:space="preserve"> 27 ES dalībvalstu kopējie nodokļu ieņēmumi varētu palielināties par summu no 1,1 līdz 7,1 miljardam </w:t>
            </w:r>
            <w:r w:rsidR="00CE3293" w:rsidRPr="00C50661">
              <w:rPr>
                <w:i/>
                <w:color w:val="000000"/>
              </w:rPr>
              <w:t>euro</w:t>
            </w:r>
            <w:r w:rsidR="00CE3293" w:rsidRPr="00DF0321">
              <w:rPr>
                <w:color w:val="000000"/>
              </w:rPr>
              <w:t>, atkarībā no DAC7 tvēruma, par kādu vienosies dalībvalstis.</w:t>
            </w:r>
          </w:p>
        </w:tc>
      </w:tr>
      <w:tr w:rsidR="00AA2393" w:rsidRPr="00DF0321" w14:paraId="381E0EEA"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vAlign w:val="bottom"/>
          </w:tcPr>
          <w:p w14:paraId="36496114" w14:textId="77777777" w:rsidR="00AA2393" w:rsidRPr="00DF0321" w:rsidRDefault="00AA2393" w:rsidP="006A2C25">
            <w:pPr>
              <w:keepNext/>
              <w:spacing w:before="60" w:after="60"/>
              <w:jc w:val="center"/>
              <w:rPr>
                <w:b/>
                <w:color w:val="000000"/>
              </w:rPr>
            </w:pPr>
            <w:r w:rsidRPr="00DF0321">
              <w:rPr>
                <w:b/>
                <w:color w:val="000000"/>
              </w:rPr>
              <w:t>3. Latvijas Republikas pozīcija</w:t>
            </w:r>
          </w:p>
        </w:tc>
      </w:tr>
      <w:tr w:rsidR="00AA2393" w:rsidRPr="00DF0321" w14:paraId="767E83E2"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shd w:val="clear" w:color="auto" w:fill="auto"/>
          </w:tcPr>
          <w:p w14:paraId="742EE7E5" w14:textId="77777777" w:rsidR="00CB6BDA" w:rsidRPr="00DF0321" w:rsidRDefault="00CB6BDA" w:rsidP="00F52CED">
            <w:pPr>
              <w:spacing w:before="120" w:after="120"/>
              <w:jc w:val="both"/>
              <w:rPr>
                <w:u w:val="single"/>
                <w:lang w:eastAsia="lv-LV"/>
              </w:rPr>
            </w:pPr>
            <w:r w:rsidRPr="00DF0321">
              <w:rPr>
                <w:u w:val="single"/>
                <w:lang w:eastAsia="lv-LV"/>
              </w:rPr>
              <w:t>Latvijas vispārējā nostāja</w:t>
            </w:r>
          </w:p>
          <w:p w14:paraId="46832192" w14:textId="77777777" w:rsidR="00D803D1" w:rsidRPr="00DF0321" w:rsidRDefault="00D23FB6" w:rsidP="00F52CED">
            <w:pPr>
              <w:spacing w:before="120" w:after="120"/>
              <w:jc w:val="both"/>
              <w:rPr>
                <w:lang w:eastAsia="lv-LV"/>
              </w:rPr>
            </w:pPr>
            <w:r w:rsidRPr="00DF0321">
              <w:rPr>
                <w:b/>
                <w:lang w:eastAsia="lv-LV"/>
              </w:rPr>
              <w:t xml:space="preserve">Latvija pilnībā atbalsta </w:t>
            </w:r>
            <w:r w:rsidR="00BB7443" w:rsidRPr="00DF0321">
              <w:rPr>
                <w:lang w:eastAsia="lv-LV"/>
              </w:rPr>
              <w:t xml:space="preserve">centienus </w:t>
            </w:r>
            <w:r w:rsidR="00C63568" w:rsidRPr="00DF0321">
              <w:rPr>
                <w:lang w:eastAsia="lv-LV"/>
              </w:rPr>
              <w:t xml:space="preserve">panākt </w:t>
            </w:r>
            <w:r w:rsidR="00137C55" w:rsidRPr="00DF0321">
              <w:rPr>
                <w:lang w:eastAsia="lv-LV"/>
              </w:rPr>
              <w:t xml:space="preserve">taisnīgāku </w:t>
            </w:r>
            <w:r w:rsidR="00BB7443" w:rsidRPr="00DF0321">
              <w:rPr>
                <w:lang w:eastAsia="lv-LV"/>
              </w:rPr>
              <w:t>nodokļu sistēmu</w:t>
            </w:r>
            <w:r w:rsidR="00D10307" w:rsidRPr="00DF0321">
              <w:rPr>
                <w:lang w:eastAsia="lv-LV"/>
              </w:rPr>
              <w:t>,</w:t>
            </w:r>
            <w:r w:rsidR="00E44AE8" w:rsidRPr="00DF0321">
              <w:rPr>
                <w:lang w:eastAsia="lv-LV"/>
              </w:rPr>
              <w:t xml:space="preserve"> </w:t>
            </w:r>
            <w:r w:rsidR="00D10307" w:rsidRPr="00DF0321">
              <w:rPr>
                <w:lang w:eastAsia="lv-LV"/>
              </w:rPr>
              <w:t>nodrošinot</w:t>
            </w:r>
            <w:r w:rsidR="00D803D1" w:rsidRPr="00DF0321">
              <w:rPr>
                <w:lang w:eastAsia="lv-LV"/>
              </w:rPr>
              <w:t>, lai personas, kas</w:t>
            </w:r>
            <w:r w:rsidR="00D10307" w:rsidRPr="00DF0321">
              <w:rPr>
                <w:lang w:eastAsia="lv-LV"/>
              </w:rPr>
              <w:t xml:space="preserve"> </w:t>
            </w:r>
            <w:r w:rsidR="00D803D1" w:rsidRPr="00DF0321">
              <w:rPr>
                <w:lang w:eastAsia="lv-LV"/>
              </w:rPr>
              <w:t>sniedz pakalpojumus</w:t>
            </w:r>
            <w:r w:rsidR="00C63568" w:rsidRPr="00DF0321">
              <w:rPr>
                <w:lang w:eastAsia="lv-LV"/>
              </w:rPr>
              <w:t xml:space="preserve"> vai veic tirdzniecību</w:t>
            </w:r>
            <w:r w:rsidR="00D803D1" w:rsidRPr="00DF0321">
              <w:rPr>
                <w:lang w:eastAsia="lv-LV"/>
              </w:rPr>
              <w:t>, izmantojot platformas, pienācīgi pildītu nodokļu saistības, tādējādi neveidojot konkurences izkropļojumu</w:t>
            </w:r>
            <w:r w:rsidR="00415846" w:rsidRPr="00DF0321">
              <w:rPr>
                <w:lang w:eastAsia="lv-LV"/>
              </w:rPr>
              <w:t>, un veicinot taisnīgu nodokļu sistēmu</w:t>
            </w:r>
            <w:r w:rsidR="00D803D1" w:rsidRPr="00DF0321">
              <w:rPr>
                <w:lang w:eastAsia="lv-LV"/>
              </w:rPr>
              <w:t xml:space="preserve">. Tāpat Latvija atbalsta esošā administratīvās sadarbības regulējuma uzlabošanu, padarot to </w:t>
            </w:r>
            <w:r w:rsidR="00761FFE" w:rsidRPr="00DF0321">
              <w:rPr>
                <w:lang w:eastAsia="lv-LV"/>
              </w:rPr>
              <w:t xml:space="preserve"> </w:t>
            </w:r>
            <w:r w:rsidR="00D803D1" w:rsidRPr="00DF0321">
              <w:rPr>
                <w:lang w:eastAsia="lv-LV"/>
              </w:rPr>
              <w:t>skaidrāku un efektīvāku.</w:t>
            </w:r>
          </w:p>
          <w:p w14:paraId="2FABAEBD" w14:textId="77777777" w:rsidR="00BB7443" w:rsidRPr="00DF0321" w:rsidRDefault="00BB7443" w:rsidP="00F52CED">
            <w:pPr>
              <w:spacing w:before="120" w:after="120"/>
              <w:jc w:val="both"/>
              <w:rPr>
                <w:lang w:eastAsia="lv-LV"/>
              </w:rPr>
            </w:pPr>
          </w:p>
          <w:p w14:paraId="685B5430" w14:textId="77777777" w:rsidR="00594B09" w:rsidRPr="00DF0321" w:rsidRDefault="00594B09" w:rsidP="00F52CED">
            <w:pPr>
              <w:spacing w:before="120" w:after="120"/>
              <w:jc w:val="both"/>
              <w:rPr>
                <w:lang w:eastAsia="lv-LV"/>
              </w:rPr>
            </w:pPr>
            <w:r w:rsidRPr="00DF0321">
              <w:rPr>
                <w:b/>
                <w:lang w:eastAsia="lv-LV"/>
              </w:rPr>
              <w:t>Attiecībā uz atvērtajiem</w:t>
            </w:r>
            <w:r w:rsidRPr="00DF0321">
              <w:rPr>
                <w:lang w:eastAsia="lv-LV"/>
              </w:rPr>
              <w:t xml:space="preserve"> jautājumiem esam </w:t>
            </w:r>
            <w:r w:rsidR="00C63568" w:rsidRPr="00DF0321">
              <w:rPr>
                <w:lang w:eastAsia="lv-LV"/>
              </w:rPr>
              <w:t>gatavi meklēt kompromisus</w:t>
            </w:r>
            <w:r w:rsidRPr="00DF0321">
              <w:rPr>
                <w:lang w:eastAsia="lv-LV"/>
              </w:rPr>
              <w:t xml:space="preserve">, </w:t>
            </w:r>
            <w:r w:rsidR="00761FFE" w:rsidRPr="00DF0321">
              <w:rPr>
                <w:lang w:eastAsia="lv-LV"/>
              </w:rPr>
              <w:t xml:space="preserve">ka </w:t>
            </w:r>
            <w:r w:rsidR="00D803D1" w:rsidRPr="00DF0321">
              <w:rPr>
                <w:lang w:eastAsia="lv-LV"/>
              </w:rPr>
              <w:t>DAC7 priekšlikums pēc iespējas plaši aptvertu tādus saimnieciskās darbības veidus, kur pastāv nodokļu nemaksāšanas risks Latvijā.</w:t>
            </w:r>
          </w:p>
          <w:p w14:paraId="12B992E0" w14:textId="77777777" w:rsidR="00D803D1" w:rsidRPr="00DF0321" w:rsidRDefault="00D803D1" w:rsidP="00F52CED">
            <w:pPr>
              <w:spacing w:before="120" w:after="120"/>
              <w:jc w:val="both"/>
              <w:rPr>
                <w:lang w:eastAsia="lv-LV"/>
              </w:rPr>
            </w:pPr>
          </w:p>
          <w:p w14:paraId="74446241" w14:textId="77777777" w:rsidR="000156FA" w:rsidRPr="00DF0321" w:rsidRDefault="000156FA" w:rsidP="00C336B9">
            <w:pPr>
              <w:pStyle w:val="BodyText2"/>
              <w:ind w:left="720" w:right="216"/>
              <w:jc w:val="both"/>
              <w:rPr>
                <w:i/>
                <w:lang w:val="lv-LV"/>
              </w:rPr>
            </w:pPr>
            <w:r w:rsidRPr="00DF0321">
              <w:rPr>
                <w:i/>
                <w:lang w:val="lv-LV"/>
              </w:rPr>
              <w:t>Nostājas pamatojums atvērtajos jautājumos</w:t>
            </w:r>
          </w:p>
          <w:p w14:paraId="7E7A515E" w14:textId="77777777" w:rsidR="00D803D1" w:rsidRPr="00DF0321" w:rsidRDefault="00D803D1" w:rsidP="00C336B9">
            <w:pPr>
              <w:pStyle w:val="BodyText2"/>
              <w:ind w:left="720" w:right="216"/>
              <w:jc w:val="both"/>
              <w:rPr>
                <w:i/>
                <w:lang w:val="lv-LV"/>
              </w:rPr>
            </w:pPr>
          </w:p>
          <w:p w14:paraId="359089CC" w14:textId="77777777" w:rsidR="00D803D1" w:rsidRPr="00DF0321" w:rsidRDefault="00D803D1" w:rsidP="002902E4">
            <w:pPr>
              <w:pStyle w:val="BodyText2"/>
              <w:numPr>
                <w:ilvl w:val="0"/>
                <w:numId w:val="28"/>
              </w:numPr>
              <w:jc w:val="both"/>
              <w:rPr>
                <w:u w:val="single"/>
                <w:lang w:val="lv-LV"/>
              </w:rPr>
            </w:pPr>
            <w:r w:rsidRPr="00DF0321">
              <w:rPr>
                <w:u w:val="single"/>
                <w:lang w:val="lv-LV"/>
              </w:rPr>
              <w:t>Konceptuāls jautājums par DAC7 priekšlikuma atšķirībām no OECD par</w:t>
            </w:r>
            <w:r w:rsidR="00761FFE" w:rsidRPr="00DF0321">
              <w:rPr>
                <w:u w:val="single"/>
                <w:lang w:val="lv-LV"/>
              </w:rPr>
              <w:t>aug</w:t>
            </w:r>
            <w:r w:rsidRPr="00DF0321">
              <w:rPr>
                <w:u w:val="single"/>
                <w:lang w:val="lv-LV"/>
              </w:rPr>
              <w:t>noteikumiem</w:t>
            </w:r>
          </w:p>
          <w:p w14:paraId="05031A53" w14:textId="77777777" w:rsidR="00D803D1" w:rsidRPr="00DF0321" w:rsidRDefault="00D803D1" w:rsidP="00D803D1">
            <w:pPr>
              <w:pStyle w:val="BodyText2"/>
              <w:jc w:val="both"/>
              <w:rPr>
                <w:lang w:val="lv-LV"/>
              </w:rPr>
            </w:pPr>
          </w:p>
          <w:p w14:paraId="63159301" w14:textId="77777777" w:rsidR="00D803D1" w:rsidRPr="00DF0321" w:rsidRDefault="00D803D1" w:rsidP="00D803D1">
            <w:pPr>
              <w:pStyle w:val="BodyText2"/>
              <w:jc w:val="both"/>
              <w:rPr>
                <w:lang w:val="lv-LV"/>
              </w:rPr>
            </w:pPr>
            <w:r w:rsidRPr="00DF0321">
              <w:rPr>
                <w:lang w:val="lv-LV"/>
              </w:rPr>
              <w:t xml:space="preserve">Latvijai svarīgi nodrošināt, lai DAC7 priekšlikums aptver tos saimnieciskās darbības veidus, kas rada nodokļu </w:t>
            </w:r>
            <w:r w:rsidR="00415846" w:rsidRPr="00DF0321">
              <w:rPr>
                <w:lang w:val="lv-LV"/>
              </w:rPr>
              <w:t>neno</w:t>
            </w:r>
            <w:r w:rsidRPr="00DF0321">
              <w:rPr>
                <w:lang w:val="lv-LV"/>
              </w:rPr>
              <w:t xml:space="preserve">maksas riskus Latvijā, vienlaikus nodrošinot regulējuma efektivitāti. Būtu vēlams nodrošināt, ka informācijas apmaiņā piedalās pēc iespējas </w:t>
            </w:r>
            <w:r w:rsidR="00761FFE" w:rsidRPr="00DF0321">
              <w:rPr>
                <w:lang w:val="lv-LV"/>
              </w:rPr>
              <w:t xml:space="preserve">vairāk </w:t>
            </w:r>
            <w:r w:rsidRPr="00DF0321">
              <w:rPr>
                <w:lang w:val="lv-LV"/>
              </w:rPr>
              <w:t>valstu, taču, ja tas var kavēt DAC7</w:t>
            </w:r>
            <w:r w:rsidR="0081424E" w:rsidRPr="00DF0321">
              <w:rPr>
                <w:lang w:val="lv-LV"/>
              </w:rPr>
              <w:t xml:space="preserve"> priekšlikuma</w:t>
            </w:r>
            <w:r w:rsidRPr="00DF0321">
              <w:rPr>
                <w:lang w:val="lv-LV"/>
              </w:rPr>
              <w:t xml:space="preserve"> mērķa sasniegšanu</w:t>
            </w:r>
            <w:r w:rsidR="0081424E" w:rsidRPr="00DF0321">
              <w:rPr>
                <w:lang w:val="lv-LV"/>
              </w:rPr>
              <w:t>, būtu pieļaujams vienoties arī par regulējumu, kas</w:t>
            </w:r>
            <w:r w:rsidR="00761FFE" w:rsidRPr="00DF0321">
              <w:rPr>
                <w:lang w:val="lv-LV"/>
              </w:rPr>
              <w:t xml:space="preserve"> </w:t>
            </w:r>
            <w:r w:rsidR="0081424E" w:rsidRPr="00DF0321">
              <w:rPr>
                <w:lang w:val="lv-LV"/>
              </w:rPr>
              <w:t>darbosies tikai ES.</w:t>
            </w:r>
          </w:p>
          <w:p w14:paraId="4DB577B0" w14:textId="77777777" w:rsidR="00D803D1" w:rsidRPr="00DF0321" w:rsidRDefault="00D803D1" w:rsidP="00D803D1">
            <w:pPr>
              <w:pStyle w:val="BodyText2"/>
              <w:jc w:val="both"/>
              <w:rPr>
                <w:lang w:val="lv-LV"/>
              </w:rPr>
            </w:pPr>
          </w:p>
          <w:p w14:paraId="45BD6B1C" w14:textId="77777777" w:rsidR="00D803D1" w:rsidRPr="00DF0321" w:rsidRDefault="00D803D1" w:rsidP="002902E4">
            <w:pPr>
              <w:pStyle w:val="BodyText2"/>
              <w:numPr>
                <w:ilvl w:val="0"/>
                <w:numId w:val="28"/>
              </w:numPr>
              <w:jc w:val="both"/>
              <w:rPr>
                <w:u w:val="single"/>
                <w:lang w:val="lv-LV"/>
              </w:rPr>
            </w:pPr>
            <w:r w:rsidRPr="00DF0321">
              <w:rPr>
                <w:u w:val="single"/>
                <w:lang w:val="lv-LV"/>
              </w:rPr>
              <w:t>Tvērums saimnieciskai darbībai, uz kuru attiecināt automātisko informācijas apmaiņu par platformu rīcībā esošo informāciju</w:t>
            </w:r>
          </w:p>
          <w:p w14:paraId="0EC2F8A7" w14:textId="77777777" w:rsidR="00D803D1" w:rsidRPr="00DF0321" w:rsidRDefault="00D803D1" w:rsidP="00D803D1">
            <w:pPr>
              <w:pStyle w:val="BodyText2"/>
              <w:jc w:val="both"/>
              <w:rPr>
                <w:lang w:val="lv-LV"/>
              </w:rPr>
            </w:pPr>
          </w:p>
          <w:p w14:paraId="68C9CC39" w14:textId="77777777" w:rsidR="00D803D1" w:rsidRPr="00DF0321" w:rsidRDefault="0081424E" w:rsidP="00D803D1">
            <w:pPr>
              <w:pStyle w:val="BodyText2"/>
              <w:jc w:val="both"/>
              <w:rPr>
                <w:lang w:val="lv-LV"/>
              </w:rPr>
            </w:pPr>
            <w:r w:rsidRPr="00DF0321">
              <w:rPr>
                <w:lang w:val="lv-LV"/>
              </w:rPr>
              <w:t xml:space="preserve">Latvijai svarīgi nodrošināt, </w:t>
            </w:r>
            <w:r w:rsidR="00761FFE" w:rsidRPr="00DF0321">
              <w:rPr>
                <w:lang w:val="lv-LV"/>
              </w:rPr>
              <w:t xml:space="preserve">ka </w:t>
            </w:r>
            <w:r w:rsidRPr="00DF0321">
              <w:rPr>
                <w:lang w:val="lv-LV"/>
              </w:rPr>
              <w:t xml:space="preserve">DAC7 priekšlikums aptver tos saimnieciskās darbības veidus, kas rada nodokļu </w:t>
            </w:r>
            <w:r w:rsidR="00F16364" w:rsidRPr="00DF0321">
              <w:rPr>
                <w:lang w:val="lv-LV"/>
              </w:rPr>
              <w:t>neno</w:t>
            </w:r>
            <w:r w:rsidRPr="00DF0321">
              <w:rPr>
                <w:lang w:val="lv-LV"/>
              </w:rPr>
              <w:t>maksas riskus Latvijā.</w:t>
            </w:r>
          </w:p>
          <w:p w14:paraId="20AC9155" w14:textId="77777777" w:rsidR="00D803D1" w:rsidRPr="00DF0321" w:rsidRDefault="00D803D1" w:rsidP="00D803D1">
            <w:pPr>
              <w:pStyle w:val="BodyText2"/>
              <w:jc w:val="both"/>
              <w:rPr>
                <w:lang w:val="lv-LV"/>
              </w:rPr>
            </w:pPr>
          </w:p>
          <w:p w14:paraId="17502F91" w14:textId="77777777" w:rsidR="00D803D1" w:rsidRPr="00DF0321" w:rsidRDefault="00D803D1" w:rsidP="002902E4">
            <w:pPr>
              <w:pStyle w:val="BodyText2"/>
              <w:numPr>
                <w:ilvl w:val="0"/>
                <w:numId w:val="28"/>
              </w:numPr>
              <w:jc w:val="both"/>
              <w:rPr>
                <w:u w:val="single"/>
                <w:lang w:val="lv-LV"/>
              </w:rPr>
            </w:pPr>
            <w:r w:rsidRPr="00DF0321">
              <w:rPr>
                <w:u w:val="single"/>
                <w:lang w:val="lv-LV"/>
              </w:rPr>
              <w:t>Izņēmumi no ziņošanas</w:t>
            </w:r>
          </w:p>
          <w:p w14:paraId="7A3D7E4D" w14:textId="77777777" w:rsidR="00D803D1" w:rsidRPr="00DF0321" w:rsidRDefault="00D803D1" w:rsidP="00D803D1">
            <w:pPr>
              <w:pStyle w:val="BodyText2"/>
              <w:jc w:val="both"/>
              <w:rPr>
                <w:lang w:val="lv-LV"/>
              </w:rPr>
            </w:pPr>
          </w:p>
          <w:p w14:paraId="24234BC2" w14:textId="77777777" w:rsidR="00D803D1" w:rsidRPr="00DF0321" w:rsidRDefault="0081424E" w:rsidP="00D803D1">
            <w:pPr>
              <w:pStyle w:val="BodyText2"/>
              <w:jc w:val="both"/>
              <w:rPr>
                <w:lang w:val="lv-LV"/>
              </w:rPr>
            </w:pPr>
            <w:r w:rsidRPr="00DF0321">
              <w:rPr>
                <w:lang w:val="lv-LV"/>
              </w:rPr>
              <w:t xml:space="preserve">Svarīgi nodrošināt, ka platformām un tirgotājiem tiek apgrūtināta iespēja izvairīties no ziņošanas pienākuma. Ja to ir iespējams panākt, paredzot </w:t>
            </w:r>
            <w:r w:rsidR="00D06C72" w:rsidRPr="00DF0321">
              <w:rPr>
                <w:lang w:val="lv-LV"/>
              </w:rPr>
              <w:t xml:space="preserve">saprātīgus </w:t>
            </w:r>
            <w:r w:rsidRPr="00DF0321">
              <w:rPr>
                <w:lang w:val="lv-LV"/>
              </w:rPr>
              <w:t xml:space="preserve">ziņošanas izņēmumus, piemēram, </w:t>
            </w:r>
            <w:r w:rsidR="00D06C72" w:rsidRPr="00DF0321">
              <w:rPr>
                <w:lang w:val="lv-LV"/>
              </w:rPr>
              <w:t xml:space="preserve">atkarībā </w:t>
            </w:r>
            <w:r w:rsidRPr="00DF0321">
              <w:rPr>
                <w:lang w:val="lv-LV"/>
              </w:rPr>
              <w:t>no platformu lieluma vai tirdzniecības apjoma, šādi izņēmumi būtu pieļaujami.</w:t>
            </w:r>
            <w:r w:rsidR="00F16364" w:rsidRPr="00DF0321">
              <w:rPr>
                <w:lang w:val="lv-LV"/>
              </w:rPr>
              <w:t xml:space="preserve"> </w:t>
            </w:r>
            <w:r w:rsidR="00C6169A" w:rsidRPr="00DF0321">
              <w:rPr>
                <w:lang w:val="lv-LV"/>
              </w:rPr>
              <w:t xml:space="preserve">Tādējādi būtu pieļaujami izņēmumi, kas </w:t>
            </w:r>
            <w:r w:rsidR="004E78E7" w:rsidRPr="00DF0321">
              <w:rPr>
                <w:lang w:val="lv-LV"/>
              </w:rPr>
              <w:t>neparedz izslēgt tādas platformas, kam ir liels apgrozījums un nozīmīgs lietotāju skaits</w:t>
            </w:r>
            <w:r w:rsidR="00C6169A" w:rsidRPr="00DF0321">
              <w:rPr>
                <w:lang w:val="lv-LV"/>
              </w:rPr>
              <w:t xml:space="preserve">, </w:t>
            </w:r>
            <w:r w:rsidR="004E78E7" w:rsidRPr="00DF0321">
              <w:rPr>
                <w:lang w:val="lv-LV"/>
              </w:rPr>
              <w:t xml:space="preserve">vai arī citā veidā </w:t>
            </w:r>
            <w:r w:rsidR="00C6169A" w:rsidRPr="00DF0321">
              <w:rPr>
                <w:lang w:val="lv-LV"/>
              </w:rPr>
              <w:t xml:space="preserve"> nodrošin</w:t>
            </w:r>
            <w:r w:rsidR="004E78E7" w:rsidRPr="00DF0321">
              <w:rPr>
                <w:lang w:val="lv-LV"/>
              </w:rPr>
              <w:t>ot</w:t>
            </w:r>
            <w:r w:rsidR="00C6169A" w:rsidRPr="00DF0321">
              <w:rPr>
                <w:lang w:val="lv-LV"/>
              </w:rPr>
              <w:t xml:space="preserve"> mehānism</w:t>
            </w:r>
            <w:r w:rsidR="004E78E7" w:rsidRPr="00DF0321">
              <w:rPr>
                <w:lang w:val="lv-LV"/>
              </w:rPr>
              <w:t>u</w:t>
            </w:r>
            <w:r w:rsidR="00C6169A" w:rsidRPr="00DF0321">
              <w:rPr>
                <w:lang w:val="lv-LV"/>
              </w:rPr>
              <w:t xml:space="preserve"> pret izvairīšanos no ziņošanas pienākuma.</w:t>
            </w:r>
          </w:p>
          <w:p w14:paraId="791E07A6" w14:textId="77777777" w:rsidR="00D803D1" w:rsidRPr="00DF0321" w:rsidRDefault="00D803D1" w:rsidP="00D803D1">
            <w:pPr>
              <w:pStyle w:val="BodyText2"/>
              <w:jc w:val="both"/>
              <w:rPr>
                <w:lang w:val="lv-LV"/>
              </w:rPr>
            </w:pPr>
          </w:p>
          <w:p w14:paraId="101851A9" w14:textId="77777777" w:rsidR="00D803D1" w:rsidRPr="00DF0321" w:rsidRDefault="00D803D1" w:rsidP="002902E4">
            <w:pPr>
              <w:pStyle w:val="BodyText2"/>
              <w:numPr>
                <w:ilvl w:val="0"/>
                <w:numId w:val="28"/>
              </w:numPr>
              <w:jc w:val="both"/>
              <w:rPr>
                <w:u w:val="single"/>
                <w:lang w:val="lv-LV"/>
              </w:rPr>
            </w:pPr>
            <w:r w:rsidRPr="00DF0321">
              <w:rPr>
                <w:u w:val="single"/>
                <w:lang w:val="lv-LV"/>
              </w:rPr>
              <w:t>Efektīvas ieviešanas nodrošināšana</w:t>
            </w:r>
          </w:p>
          <w:p w14:paraId="100178AB" w14:textId="77777777" w:rsidR="00D803D1" w:rsidRPr="00DF0321" w:rsidRDefault="00D803D1" w:rsidP="00D803D1">
            <w:pPr>
              <w:pStyle w:val="BodyText2"/>
              <w:jc w:val="both"/>
              <w:rPr>
                <w:lang w:val="lv-LV"/>
              </w:rPr>
            </w:pPr>
          </w:p>
          <w:p w14:paraId="237EFB69" w14:textId="77777777" w:rsidR="00D803D1" w:rsidRPr="00DF0321" w:rsidRDefault="0081424E" w:rsidP="00D803D1">
            <w:pPr>
              <w:pStyle w:val="BodyText2"/>
              <w:jc w:val="both"/>
              <w:rPr>
                <w:lang w:val="lv-LV"/>
              </w:rPr>
            </w:pPr>
            <w:r w:rsidRPr="00DF0321">
              <w:rPr>
                <w:lang w:val="lv-LV"/>
              </w:rPr>
              <w:t>Esam ieinteresēti vienoties par regulējumu, kas nodrošinās efektīvu DAC7 regulējuma darbību, vienlaikus neuzliekot nesamērīgu administratīvo slogu Valsts ieņēmumu dienestam un nodokļu maksātāj</w:t>
            </w:r>
            <w:r w:rsidR="000A2712" w:rsidRPr="00DF0321">
              <w:rPr>
                <w:lang w:val="lv-LV"/>
              </w:rPr>
              <w:t>ie</w:t>
            </w:r>
            <w:r w:rsidRPr="00DF0321">
              <w:rPr>
                <w:lang w:val="lv-LV"/>
              </w:rPr>
              <w:t>m.</w:t>
            </w:r>
          </w:p>
          <w:p w14:paraId="597FA2F7" w14:textId="77777777" w:rsidR="00D803D1" w:rsidRPr="00DF0321" w:rsidRDefault="00D803D1" w:rsidP="00D803D1">
            <w:pPr>
              <w:pStyle w:val="BodyText2"/>
              <w:jc w:val="both"/>
              <w:rPr>
                <w:lang w:val="lv-LV"/>
              </w:rPr>
            </w:pPr>
          </w:p>
          <w:p w14:paraId="109BC3F0" w14:textId="77777777" w:rsidR="00D803D1" w:rsidRPr="00DF0321" w:rsidRDefault="00D803D1" w:rsidP="002902E4">
            <w:pPr>
              <w:pStyle w:val="BodyText2"/>
              <w:numPr>
                <w:ilvl w:val="0"/>
                <w:numId w:val="28"/>
              </w:numPr>
              <w:jc w:val="both"/>
              <w:rPr>
                <w:u w:val="single"/>
                <w:lang w:val="lv-LV"/>
              </w:rPr>
            </w:pPr>
            <w:r w:rsidRPr="00DF0321">
              <w:rPr>
                <w:u w:val="single"/>
                <w:lang w:val="lv-LV"/>
              </w:rPr>
              <w:t xml:space="preserve">Regulējuma daļējā pārklāšanās </w:t>
            </w:r>
            <w:r w:rsidR="000A2712" w:rsidRPr="00DF0321">
              <w:rPr>
                <w:u w:val="single"/>
                <w:lang w:val="lv-LV"/>
              </w:rPr>
              <w:t xml:space="preserve">attiecībā uz </w:t>
            </w:r>
            <w:r w:rsidRPr="00DF0321">
              <w:rPr>
                <w:u w:val="single"/>
                <w:lang w:val="lv-LV"/>
              </w:rPr>
              <w:t>informāciju, ko nodokļu administrācijas saņem atbilstoši pievienotās vērtības nodokļa regulējumam</w:t>
            </w:r>
          </w:p>
          <w:p w14:paraId="42B8785F" w14:textId="77777777" w:rsidR="00D803D1" w:rsidRPr="00DF0321" w:rsidRDefault="00D803D1" w:rsidP="00D803D1">
            <w:pPr>
              <w:pStyle w:val="BodyText2"/>
              <w:jc w:val="both"/>
              <w:rPr>
                <w:lang w:val="lv-LV"/>
              </w:rPr>
            </w:pPr>
          </w:p>
          <w:p w14:paraId="39EEB877" w14:textId="77777777" w:rsidR="00D803D1" w:rsidRPr="00DF0321" w:rsidRDefault="0081424E" w:rsidP="00D803D1">
            <w:pPr>
              <w:pStyle w:val="BodyText2"/>
              <w:jc w:val="both"/>
              <w:rPr>
                <w:lang w:val="lv-LV"/>
              </w:rPr>
            </w:pPr>
            <w:r w:rsidRPr="00DF0321">
              <w:rPr>
                <w:lang w:val="lv-LV"/>
              </w:rPr>
              <w:t>Uzskatām, ka nebūtiska informācijas pārklāšanās nerada lielu administratīvo slogu nodokļu maksātājiem, ja informācijas apjoms, kas tiek prasīts no platformām, nav plašāks par tādu, kas ir nepieciešams DAC7 priekšlikuma mērķu sasniegšanai.</w:t>
            </w:r>
          </w:p>
          <w:p w14:paraId="162792E9" w14:textId="77777777" w:rsidR="00D803D1" w:rsidRPr="00DF0321" w:rsidRDefault="00D803D1" w:rsidP="00D803D1">
            <w:pPr>
              <w:pStyle w:val="BodyText2"/>
              <w:jc w:val="both"/>
              <w:rPr>
                <w:lang w:val="lv-LV"/>
              </w:rPr>
            </w:pPr>
          </w:p>
          <w:p w14:paraId="073BBAC8" w14:textId="77777777" w:rsidR="00D803D1" w:rsidRPr="00DF0321" w:rsidRDefault="00D803D1" w:rsidP="002902E4">
            <w:pPr>
              <w:pStyle w:val="BodyText2"/>
              <w:numPr>
                <w:ilvl w:val="0"/>
                <w:numId w:val="28"/>
              </w:numPr>
              <w:jc w:val="both"/>
              <w:rPr>
                <w:u w:val="single"/>
                <w:lang w:val="lv-LV"/>
              </w:rPr>
            </w:pPr>
            <w:r w:rsidRPr="00DF0321">
              <w:rPr>
                <w:u w:val="single"/>
                <w:lang w:val="lv-LV"/>
              </w:rPr>
              <w:t>Esošā regulējuma uzlabošana: “paredzamā svarīguma” definīcija, “grupas pieprasījumi” (group requests), kopīg</w:t>
            </w:r>
            <w:r w:rsidR="004E78E7" w:rsidRPr="00DF0321">
              <w:rPr>
                <w:u w:val="single"/>
                <w:lang w:val="lv-LV"/>
              </w:rPr>
              <w:t>ās nodokļu revīzijas (</w:t>
            </w:r>
            <w:r w:rsidRPr="00DF0321">
              <w:rPr>
                <w:u w:val="single"/>
                <w:lang w:val="lv-LV"/>
              </w:rPr>
              <w:t>auditi</w:t>
            </w:r>
            <w:r w:rsidR="004E78E7" w:rsidRPr="00DF0321">
              <w:rPr>
                <w:u w:val="single"/>
                <w:lang w:val="lv-LV"/>
              </w:rPr>
              <w:t>)</w:t>
            </w:r>
            <w:r w:rsidRPr="00DF0321">
              <w:rPr>
                <w:u w:val="single"/>
                <w:lang w:val="lv-LV"/>
              </w:rPr>
              <w:t>.</w:t>
            </w:r>
          </w:p>
          <w:p w14:paraId="19793EBC" w14:textId="77777777" w:rsidR="00D803D1" w:rsidRPr="00DF0321" w:rsidRDefault="00D803D1" w:rsidP="00D803D1">
            <w:pPr>
              <w:pStyle w:val="BodyText2"/>
              <w:jc w:val="both"/>
              <w:rPr>
                <w:lang w:val="lv-LV"/>
              </w:rPr>
            </w:pPr>
          </w:p>
          <w:p w14:paraId="5B686EFD" w14:textId="77777777" w:rsidR="0081424E" w:rsidRPr="00DF0321" w:rsidRDefault="0081424E" w:rsidP="002902E4">
            <w:pPr>
              <w:pStyle w:val="BodyText2"/>
              <w:ind w:right="216"/>
              <w:jc w:val="both"/>
              <w:rPr>
                <w:lang w:val="lv-LV"/>
              </w:rPr>
            </w:pPr>
            <w:r w:rsidRPr="00DF0321">
              <w:rPr>
                <w:lang w:val="lv-LV"/>
              </w:rPr>
              <w:t>Atbalstām priekšlikumu padarīt regulējumu skaidrāku un efektīvāku.</w:t>
            </w:r>
          </w:p>
          <w:p w14:paraId="5076BEB2" w14:textId="77777777" w:rsidR="00AA2393" w:rsidRPr="00DF0321" w:rsidRDefault="00AA2393" w:rsidP="002902E4">
            <w:pPr>
              <w:pStyle w:val="BodyText2"/>
              <w:jc w:val="both"/>
              <w:rPr>
                <w:b/>
                <w:u w:val="single"/>
                <w:lang w:val="lv-LV"/>
              </w:rPr>
            </w:pPr>
          </w:p>
        </w:tc>
      </w:tr>
      <w:tr w:rsidR="00AA2393" w:rsidRPr="00DF0321" w14:paraId="1C8989CF"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tcPr>
          <w:p w14:paraId="6E967168" w14:textId="77777777" w:rsidR="00AA2393" w:rsidRPr="00DF0321" w:rsidRDefault="00AA2393" w:rsidP="00CC52E5">
            <w:pPr>
              <w:pStyle w:val="CommentText"/>
              <w:spacing w:before="120" w:after="120"/>
              <w:rPr>
                <w:b/>
                <w:color w:val="000000"/>
                <w:sz w:val="24"/>
                <w:szCs w:val="24"/>
                <w:lang w:val="lv-LV" w:eastAsia="en-US"/>
              </w:rPr>
            </w:pPr>
            <w:r w:rsidRPr="00DF0321">
              <w:rPr>
                <w:b/>
                <w:color w:val="000000"/>
                <w:sz w:val="24"/>
                <w:szCs w:val="24"/>
                <w:lang w:val="lv-LV" w:eastAsia="en-US"/>
              </w:rPr>
              <w:t>Īpašas Latvijas Republikas intereses</w:t>
            </w:r>
          </w:p>
        </w:tc>
      </w:tr>
      <w:tr w:rsidR="00AA2393" w:rsidRPr="00DF0321" w14:paraId="24D57558"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vAlign w:val="center"/>
          </w:tcPr>
          <w:p w14:paraId="63789ABF" w14:textId="77777777" w:rsidR="00E078A6" w:rsidRPr="00DF0321" w:rsidRDefault="00E078A6" w:rsidP="00CB6BDA">
            <w:pPr>
              <w:pStyle w:val="ListParagraph"/>
              <w:ind w:left="0"/>
              <w:rPr>
                <w:lang w:val="lv-LV"/>
              </w:rPr>
            </w:pPr>
          </w:p>
        </w:tc>
      </w:tr>
      <w:tr w:rsidR="00AA2393" w:rsidRPr="00DF0321" w14:paraId="1AF766A8"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9532" w:type="dxa"/>
            <w:gridSpan w:val="7"/>
          </w:tcPr>
          <w:p w14:paraId="2C037049" w14:textId="77777777" w:rsidR="00AA2393" w:rsidRPr="00DF0321" w:rsidRDefault="00AA2393" w:rsidP="006A2C25">
            <w:pPr>
              <w:keepNext/>
              <w:keepLines/>
              <w:spacing w:before="60" w:after="60"/>
              <w:jc w:val="center"/>
              <w:rPr>
                <w:b/>
                <w:color w:val="000000"/>
              </w:rPr>
            </w:pPr>
            <w:r w:rsidRPr="00DF0321">
              <w:rPr>
                <w:b/>
                <w:color w:val="000000"/>
              </w:rPr>
              <w:t>4. Citu ES dalībvalstu viedokļi un Eiropas Komisijas viedokļi</w:t>
            </w:r>
          </w:p>
        </w:tc>
      </w:tr>
      <w:tr w:rsidR="00AA2393" w:rsidRPr="00DF0321" w14:paraId="03C6C1DE"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9532" w:type="dxa"/>
            <w:gridSpan w:val="7"/>
          </w:tcPr>
          <w:p w14:paraId="2029EF1C" w14:textId="77777777" w:rsidR="00AA2393" w:rsidRPr="00DF0321" w:rsidRDefault="00CF2E2F" w:rsidP="00CF2E2F">
            <w:pPr>
              <w:pStyle w:val="BodyText2"/>
              <w:spacing w:before="120" w:after="120"/>
              <w:jc w:val="both"/>
              <w:rPr>
                <w:color w:val="000000"/>
                <w:lang w:val="lv-LV" w:eastAsia="lv-LV"/>
              </w:rPr>
            </w:pPr>
            <w:r w:rsidRPr="00DF0321">
              <w:rPr>
                <w:bCs/>
                <w:color w:val="000000"/>
                <w:lang w:val="lv-LV" w:eastAsia="lv-LV"/>
              </w:rPr>
              <w:t>Šobrīd viedokļi vēl nav zināmi, jo priekšlikums detaļās tiks diskutēts nākamajās sanāksmēs.</w:t>
            </w:r>
          </w:p>
        </w:tc>
      </w:tr>
      <w:tr w:rsidR="00AA2393" w:rsidRPr="00DF0321" w14:paraId="00DCF5C4"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tcPr>
          <w:p w14:paraId="7B081A11" w14:textId="77777777" w:rsidR="00AA2393" w:rsidRPr="00DF0321" w:rsidRDefault="00AA2393" w:rsidP="006A2C25">
            <w:pPr>
              <w:keepNext/>
              <w:spacing w:before="60" w:after="60"/>
              <w:jc w:val="center"/>
              <w:rPr>
                <w:b/>
                <w:color w:val="000000"/>
              </w:rPr>
            </w:pPr>
            <w:r w:rsidRPr="00DF0321">
              <w:rPr>
                <w:b/>
                <w:color w:val="000000"/>
              </w:rPr>
              <w:t>5. ES institūciju viedokļi</w:t>
            </w:r>
          </w:p>
        </w:tc>
      </w:tr>
      <w:tr w:rsidR="00AA2393" w:rsidRPr="00DF0321" w14:paraId="50E3529C"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9532" w:type="dxa"/>
            <w:gridSpan w:val="7"/>
          </w:tcPr>
          <w:p w14:paraId="37CD0FC9" w14:textId="77777777" w:rsidR="00167B30" w:rsidRPr="00DF0321" w:rsidRDefault="00CF2E2F" w:rsidP="00D72EC0">
            <w:pPr>
              <w:pStyle w:val="Point123"/>
              <w:numPr>
                <w:ilvl w:val="0"/>
                <w:numId w:val="0"/>
              </w:numPr>
              <w:spacing w:line="240" w:lineRule="auto"/>
              <w:jc w:val="both"/>
              <w:rPr>
                <w:rFonts w:eastAsia="Calibri"/>
                <w:sz w:val="23"/>
                <w:szCs w:val="23"/>
                <w:lang w:val="lv-LV"/>
              </w:rPr>
            </w:pPr>
            <w:r w:rsidRPr="00DF0321">
              <w:rPr>
                <w:bCs/>
                <w:color w:val="000000"/>
                <w:lang w:val="lv-LV" w:eastAsia="lv-LV"/>
              </w:rPr>
              <w:t>Šobrīd viedokļi vēl nav zināmi, jo priekšlikums detaļās tiks diskutēts nākamajās sanāksmēs.</w:t>
            </w:r>
          </w:p>
        </w:tc>
      </w:tr>
      <w:tr w:rsidR="00AA2393" w:rsidRPr="00DF0321" w14:paraId="5B300FAB"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tcPr>
          <w:p w14:paraId="3BE4FFA4" w14:textId="77777777" w:rsidR="00AA2393" w:rsidRPr="00DF0321" w:rsidRDefault="00AA2393" w:rsidP="006A2C25">
            <w:pPr>
              <w:keepNext/>
              <w:jc w:val="center"/>
              <w:rPr>
                <w:b/>
                <w:color w:val="000000"/>
              </w:rPr>
            </w:pPr>
            <w:r w:rsidRPr="00DF0321">
              <w:rPr>
                <w:b/>
                <w:color w:val="000000"/>
              </w:rPr>
              <w:t>6. Saskaņošana</w:t>
            </w:r>
          </w:p>
        </w:tc>
      </w:tr>
      <w:tr w:rsidR="00AA2393" w:rsidRPr="00DF0321" w14:paraId="72C54CFA"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9532" w:type="dxa"/>
            <w:gridSpan w:val="7"/>
          </w:tcPr>
          <w:p w14:paraId="5DD5EBD6" w14:textId="77777777" w:rsidR="00AA2393" w:rsidRPr="00DF0321" w:rsidRDefault="007E3351" w:rsidP="00CF2E2F">
            <w:pPr>
              <w:spacing w:before="120" w:after="120"/>
              <w:jc w:val="both"/>
            </w:pPr>
            <w:r w:rsidRPr="00DF0321">
              <w:t>Pozīcija saskaņota ar</w:t>
            </w:r>
            <w:r w:rsidR="00AA04A7" w:rsidRPr="00DF0321">
              <w:t xml:space="preserve"> Ārlietu ministriju un</w:t>
            </w:r>
            <w:r w:rsidR="00CF2E2F" w:rsidRPr="00DF0321">
              <w:t xml:space="preserve"> Vides aizsardzības un reģionālās attīstības ministriju.</w:t>
            </w:r>
          </w:p>
        </w:tc>
      </w:tr>
      <w:tr w:rsidR="00AA2393" w:rsidRPr="00DF0321" w14:paraId="71C45983"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9532" w:type="dxa"/>
            <w:gridSpan w:val="7"/>
          </w:tcPr>
          <w:p w14:paraId="162703AA" w14:textId="77777777" w:rsidR="00AA2393" w:rsidRPr="00DF0321" w:rsidRDefault="00AA2393" w:rsidP="006A2C25">
            <w:pPr>
              <w:pStyle w:val="CommentText"/>
              <w:rPr>
                <w:color w:val="000000"/>
                <w:sz w:val="24"/>
                <w:szCs w:val="24"/>
                <w:lang w:val="lv-LV" w:eastAsia="en-US"/>
              </w:rPr>
            </w:pPr>
            <w:r w:rsidRPr="00DF0321">
              <w:rPr>
                <w:color w:val="000000"/>
                <w:sz w:val="24"/>
                <w:szCs w:val="24"/>
                <w:lang w:val="lv-LV" w:eastAsia="en-US"/>
              </w:rPr>
              <w:t>Atšķirīgie viedokļi</w:t>
            </w:r>
          </w:p>
        </w:tc>
      </w:tr>
      <w:tr w:rsidR="00AA2393" w:rsidRPr="00DF0321" w14:paraId="7A2FE514"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9532" w:type="dxa"/>
            <w:gridSpan w:val="7"/>
          </w:tcPr>
          <w:p w14:paraId="14AADEBE" w14:textId="77777777" w:rsidR="00AA2393" w:rsidRPr="00DF0321" w:rsidRDefault="00AA2393" w:rsidP="006A2C25">
            <w:pPr>
              <w:jc w:val="both"/>
              <w:rPr>
                <w:color w:val="000000"/>
              </w:rPr>
            </w:pPr>
          </w:p>
        </w:tc>
      </w:tr>
      <w:tr w:rsidR="00AA2393" w:rsidRPr="00DF0321" w14:paraId="757FE868"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9532" w:type="dxa"/>
            <w:gridSpan w:val="7"/>
          </w:tcPr>
          <w:p w14:paraId="1A742A1A" w14:textId="77777777" w:rsidR="00AA2393" w:rsidRPr="00DF0321" w:rsidRDefault="00AA2393" w:rsidP="006A2C25">
            <w:pPr>
              <w:keepNext/>
              <w:spacing w:before="60" w:after="60"/>
              <w:jc w:val="center"/>
              <w:rPr>
                <w:b/>
                <w:color w:val="000000"/>
              </w:rPr>
            </w:pPr>
            <w:r w:rsidRPr="00DF0321">
              <w:rPr>
                <w:b/>
                <w:color w:val="000000"/>
              </w:rPr>
              <w:t>7. Saskaņošana ar Saeimas Eiropas lietu komisiju</w:t>
            </w:r>
          </w:p>
        </w:tc>
      </w:tr>
      <w:tr w:rsidR="00AA2393" w:rsidRPr="00DF0321" w14:paraId="776E20A3"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9532" w:type="dxa"/>
            <w:gridSpan w:val="7"/>
          </w:tcPr>
          <w:p w14:paraId="4703CA21" w14:textId="77777777" w:rsidR="00AA2393" w:rsidRPr="00DF0321" w:rsidRDefault="002902E4" w:rsidP="002902E4">
            <w:pPr>
              <w:spacing w:before="120" w:after="120"/>
              <w:rPr>
                <w:color w:val="000000"/>
              </w:rPr>
            </w:pPr>
            <w:r w:rsidRPr="00DF0321">
              <w:rPr>
                <w:color w:val="000000"/>
              </w:rPr>
              <w:t>2020</w:t>
            </w:r>
            <w:r w:rsidR="005456CC" w:rsidRPr="00DF0321">
              <w:rPr>
                <w:color w:val="000000"/>
              </w:rPr>
              <w:t xml:space="preserve">.gada </w:t>
            </w:r>
            <w:r w:rsidR="00245E5E" w:rsidRPr="00DF0321">
              <w:rPr>
                <w:color w:val="000000"/>
              </w:rPr>
              <w:t>…</w:t>
            </w:r>
          </w:p>
        </w:tc>
      </w:tr>
      <w:tr w:rsidR="00AA2393" w:rsidRPr="00DF0321" w14:paraId="77EF3FB8"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32" w:type="dxa"/>
            <w:gridSpan w:val="7"/>
          </w:tcPr>
          <w:p w14:paraId="56E70673" w14:textId="77777777" w:rsidR="00AA2393" w:rsidRPr="00DF0321" w:rsidRDefault="00AA2393" w:rsidP="006A2C25">
            <w:pPr>
              <w:jc w:val="center"/>
              <w:rPr>
                <w:b/>
                <w:color w:val="000000"/>
              </w:rPr>
            </w:pPr>
            <w:r w:rsidRPr="00DF0321">
              <w:rPr>
                <w:b/>
                <w:color w:val="000000"/>
              </w:rPr>
              <w:t>8. Konsultācijas ar biedrībām un nodibinājumiem, pašvaldību un sociālo partneru organizācijām</w:t>
            </w:r>
          </w:p>
        </w:tc>
      </w:tr>
      <w:tr w:rsidR="00AA2393" w:rsidRPr="00DF0321" w14:paraId="4830C7C4" w14:textId="77777777" w:rsidTr="00CC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9532" w:type="dxa"/>
            <w:gridSpan w:val="7"/>
          </w:tcPr>
          <w:p w14:paraId="306C5CCC" w14:textId="77777777" w:rsidR="00AA2393" w:rsidRPr="00DF0321" w:rsidRDefault="00CB6BDA" w:rsidP="006A2C25">
            <w:pPr>
              <w:jc w:val="both"/>
              <w:rPr>
                <w:color w:val="000000"/>
              </w:rPr>
            </w:pPr>
            <w:r w:rsidRPr="00DF0321">
              <w:rPr>
                <w:color w:val="000000"/>
              </w:rPr>
              <w:t>Konsultācijas nav notikušas.</w:t>
            </w:r>
          </w:p>
        </w:tc>
      </w:tr>
      <w:tr w:rsidR="00AA2393" w:rsidRPr="00DF0321" w14:paraId="00BC9F8E" w14:textId="77777777" w:rsidTr="00CC52E5">
        <w:trPr>
          <w:gridAfter w:val="1"/>
          <w:wAfter w:w="34" w:type="dxa"/>
        </w:trPr>
        <w:tc>
          <w:tcPr>
            <w:tcW w:w="6948" w:type="dxa"/>
            <w:gridSpan w:val="4"/>
          </w:tcPr>
          <w:p w14:paraId="126C72E3" w14:textId="77777777" w:rsidR="00AA2393" w:rsidRPr="00DF0321" w:rsidRDefault="00AA2393" w:rsidP="006A2C25">
            <w:pPr>
              <w:pStyle w:val="Header"/>
              <w:tabs>
                <w:tab w:val="clear" w:pos="4153"/>
                <w:tab w:val="clear" w:pos="8306"/>
              </w:tabs>
              <w:spacing w:before="120" w:after="120"/>
              <w:rPr>
                <w:color w:val="000000"/>
                <w:lang w:val="lv-LV" w:eastAsia="en-US"/>
              </w:rPr>
            </w:pPr>
            <w:r w:rsidRPr="00DF0321">
              <w:rPr>
                <w:color w:val="000000"/>
                <w:lang w:val="lv-LV" w:eastAsia="en-US"/>
              </w:rPr>
              <w:t>Latvijas Republikas nacionālās pozīcijas arhīva numurs Ārlietu ministrijā</w:t>
            </w:r>
          </w:p>
        </w:tc>
        <w:tc>
          <w:tcPr>
            <w:tcW w:w="2550" w:type="dxa"/>
            <w:gridSpan w:val="2"/>
            <w:tcBorders>
              <w:bottom w:val="single" w:sz="4" w:space="0" w:color="auto"/>
            </w:tcBorders>
          </w:tcPr>
          <w:p w14:paraId="65802948" w14:textId="77777777" w:rsidR="00AA2393" w:rsidRPr="00DF0321" w:rsidRDefault="00AA2393" w:rsidP="006A2C25">
            <w:pPr>
              <w:spacing w:after="120"/>
              <w:jc w:val="both"/>
              <w:rPr>
                <w:color w:val="000000"/>
              </w:rPr>
            </w:pPr>
          </w:p>
        </w:tc>
      </w:tr>
    </w:tbl>
    <w:p w14:paraId="5F41A961" w14:textId="77777777" w:rsidR="00822702" w:rsidRPr="00DF0321" w:rsidRDefault="00822702" w:rsidP="00822702">
      <w:pPr>
        <w:jc w:val="both"/>
        <w:rPr>
          <w:sz w:val="26"/>
          <w:szCs w:val="26"/>
        </w:rPr>
      </w:pPr>
    </w:p>
    <w:p w14:paraId="750BE12D" w14:textId="77777777" w:rsidR="00822702" w:rsidRPr="00DF0321" w:rsidRDefault="00822702" w:rsidP="00822702">
      <w:pPr>
        <w:jc w:val="both"/>
      </w:pPr>
      <w:r w:rsidRPr="00DF0321">
        <w:t xml:space="preserve">Finanšu </w:t>
      </w:r>
      <w:r w:rsidR="009A6F07" w:rsidRPr="00DF0321">
        <w:t>ministrs</w:t>
      </w:r>
      <w:r w:rsidR="00FA5F26" w:rsidRPr="00DF0321">
        <w:tab/>
      </w:r>
      <w:r w:rsidRPr="00DF0321">
        <w:t xml:space="preserve"> </w:t>
      </w:r>
      <w:r w:rsidRPr="00DF0321">
        <w:tab/>
        <w:t xml:space="preserve">  </w:t>
      </w:r>
      <w:r w:rsidRPr="00DF0321">
        <w:tab/>
        <w:t xml:space="preserve">                                                </w:t>
      </w:r>
      <w:r w:rsidR="009A6F07" w:rsidRPr="00DF0321">
        <w:t>J.Reirs</w:t>
      </w:r>
    </w:p>
    <w:p w14:paraId="63CA7913" w14:textId="77777777" w:rsidR="00CC52E5" w:rsidRPr="00DF0321" w:rsidRDefault="00CC52E5" w:rsidP="00CC52E5">
      <w:pPr>
        <w:jc w:val="both"/>
      </w:pPr>
    </w:p>
    <w:p w14:paraId="6993C64F" w14:textId="77777777" w:rsidR="00CC52E5" w:rsidRPr="00DF0321" w:rsidRDefault="00CC52E5" w:rsidP="00CC52E5">
      <w:pPr>
        <w:jc w:val="both"/>
      </w:pPr>
    </w:p>
    <w:p w14:paraId="652BC0EE" w14:textId="00E36F0A" w:rsidR="004A3B3C" w:rsidRDefault="004A3B3C" w:rsidP="004A3B3C">
      <w:pPr>
        <w:jc w:val="both"/>
        <w:rPr>
          <w:sz w:val="20"/>
          <w:szCs w:val="20"/>
          <w:lang w:eastAsia="lv-LV"/>
        </w:rPr>
      </w:pPr>
    </w:p>
    <w:p w14:paraId="30278895" w14:textId="788ABE4F" w:rsidR="004968CE" w:rsidRDefault="004968CE" w:rsidP="004A3B3C">
      <w:pPr>
        <w:jc w:val="both"/>
        <w:rPr>
          <w:sz w:val="20"/>
          <w:szCs w:val="20"/>
          <w:lang w:eastAsia="lv-LV"/>
        </w:rPr>
      </w:pPr>
    </w:p>
    <w:p w14:paraId="236D4E36" w14:textId="70714842" w:rsidR="004968CE" w:rsidRDefault="004968CE" w:rsidP="004A3B3C">
      <w:pPr>
        <w:jc w:val="both"/>
        <w:rPr>
          <w:sz w:val="20"/>
          <w:szCs w:val="20"/>
          <w:lang w:eastAsia="lv-LV"/>
        </w:rPr>
      </w:pPr>
    </w:p>
    <w:p w14:paraId="44EDFE05" w14:textId="77777777" w:rsidR="004968CE" w:rsidRPr="00DF0321" w:rsidRDefault="004968CE" w:rsidP="004A3B3C">
      <w:pPr>
        <w:jc w:val="both"/>
        <w:rPr>
          <w:sz w:val="20"/>
          <w:szCs w:val="20"/>
          <w:lang w:eastAsia="lv-LV"/>
        </w:rPr>
      </w:pPr>
    </w:p>
    <w:p w14:paraId="080AE941" w14:textId="77777777" w:rsidR="00EA149E" w:rsidRDefault="00EA149E" w:rsidP="004A3B3C">
      <w:pPr>
        <w:jc w:val="both"/>
        <w:rPr>
          <w:sz w:val="20"/>
          <w:szCs w:val="20"/>
          <w:lang w:eastAsia="lv-LV"/>
        </w:rPr>
      </w:pPr>
    </w:p>
    <w:p w14:paraId="7174F15D" w14:textId="185ECDD3" w:rsidR="00377EA6" w:rsidRPr="00DF0321" w:rsidRDefault="003F39EF" w:rsidP="004A3B3C">
      <w:pPr>
        <w:jc w:val="both"/>
        <w:rPr>
          <w:sz w:val="20"/>
          <w:szCs w:val="20"/>
        </w:rPr>
      </w:pPr>
      <w:r w:rsidRPr="00DF0321">
        <w:rPr>
          <w:sz w:val="20"/>
          <w:szCs w:val="20"/>
        </w:rPr>
        <w:t>R.Auziņš</w:t>
      </w:r>
    </w:p>
    <w:p w14:paraId="2E5C69BB" w14:textId="77777777" w:rsidR="00447AB6" w:rsidRPr="00C336B9" w:rsidRDefault="003F39EF" w:rsidP="00C336B9">
      <w:pPr>
        <w:jc w:val="both"/>
        <w:rPr>
          <w:sz w:val="20"/>
          <w:szCs w:val="20"/>
        </w:rPr>
      </w:pPr>
      <w:r w:rsidRPr="00DF0321">
        <w:rPr>
          <w:sz w:val="20"/>
        </w:rPr>
        <w:t>67083919</w:t>
      </w:r>
      <w:r w:rsidR="00377EA6" w:rsidRPr="00DF0321">
        <w:rPr>
          <w:sz w:val="20"/>
        </w:rPr>
        <w:t xml:space="preserve">, </w:t>
      </w:r>
      <w:hyperlink r:id="rId11" w:history="1">
        <w:r w:rsidRPr="00DF0321">
          <w:rPr>
            <w:rStyle w:val="Hyperlink"/>
            <w:sz w:val="20"/>
          </w:rPr>
          <w:t>Roberts.Auzins@fm.gov.lv</w:t>
        </w:r>
      </w:hyperlink>
    </w:p>
    <w:sectPr w:rsidR="00447AB6" w:rsidRPr="00C336B9" w:rsidSect="00CC52E5">
      <w:headerReference w:type="even" r:id="rId12"/>
      <w:headerReference w:type="default" r:id="rId13"/>
      <w:footerReference w:type="even" r:id="rId14"/>
      <w:footerReference w:type="default" r:id="rId15"/>
      <w:footerReference w:type="first" r:id="rId16"/>
      <w:pgSz w:w="11906" w:h="16838" w:code="9"/>
      <w:pgMar w:top="972" w:right="1133"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4F90" w14:textId="77777777" w:rsidR="00223C48" w:rsidRDefault="00223C48" w:rsidP="00AA2393">
      <w:r>
        <w:separator/>
      </w:r>
    </w:p>
  </w:endnote>
  <w:endnote w:type="continuationSeparator" w:id="0">
    <w:p w14:paraId="20953C1C" w14:textId="77777777" w:rsidR="00223C48" w:rsidRDefault="00223C48" w:rsidP="00AA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865CB" w14:textId="77777777" w:rsidR="008C43A3" w:rsidRDefault="008C4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35F6F6" w14:textId="77777777" w:rsidR="008C43A3" w:rsidRDefault="008C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CD8C" w14:textId="77777777" w:rsidR="008C43A3" w:rsidRPr="00817E44" w:rsidRDefault="008C43A3" w:rsidP="002E4FBE">
    <w:pPr>
      <w:pStyle w:val="Footer"/>
      <w:rPr>
        <w:sz w:val="20"/>
        <w:szCs w:val="20"/>
        <w:lang w:val="lv-LV"/>
      </w:rPr>
    </w:pPr>
    <w:r w:rsidRPr="00871ECF">
      <w:rPr>
        <w:sz w:val="20"/>
        <w:szCs w:val="20"/>
      </w:rPr>
      <w:fldChar w:fldCharType="begin"/>
    </w:r>
    <w:r w:rsidRPr="00817E44">
      <w:rPr>
        <w:sz w:val="20"/>
        <w:szCs w:val="20"/>
        <w:lang w:val="lv-LV"/>
      </w:rPr>
      <w:instrText xml:space="preserve"> FILENAME </w:instrText>
    </w:r>
    <w:r w:rsidRPr="00871ECF">
      <w:rPr>
        <w:sz w:val="20"/>
        <w:szCs w:val="20"/>
      </w:rPr>
      <w:fldChar w:fldCharType="separate"/>
    </w:r>
    <w:r>
      <w:rPr>
        <w:noProof/>
        <w:sz w:val="20"/>
        <w:szCs w:val="20"/>
        <w:lang w:val="lv-LV"/>
      </w:rPr>
      <w:t>FMpoz Nr1_060820_DAC7.docx</w:t>
    </w:r>
    <w:r w:rsidRPr="00871EC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9E14" w14:textId="5770A8DF" w:rsidR="008C43A3" w:rsidRPr="00817E44" w:rsidRDefault="008C43A3" w:rsidP="002E4FBE">
    <w:pPr>
      <w:pStyle w:val="Footer"/>
      <w:rPr>
        <w:sz w:val="20"/>
        <w:szCs w:val="20"/>
        <w:lang w:val="lv-LV"/>
      </w:rPr>
    </w:pPr>
    <w:r w:rsidRPr="00871ECF">
      <w:rPr>
        <w:sz w:val="20"/>
        <w:szCs w:val="20"/>
      </w:rPr>
      <w:fldChar w:fldCharType="begin"/>
    </w:r>
    <w:r w:rsidRPr="00817E44">
      <w:rPr>
        <w:sz w:val="20"/>
        <w:szCs w:val="20"/>
        <w:lang w:val="lv-LV"/>
      </w:rPr>
      <w:instrText xml:space="preserve"> FILENAME </w:instrText>
    </w:r>
    <w:r w:rsidRPr="00871ECF">
      <w:rPr>
        <w:sz w:val="20"/>
        <w:szCs w:val="20"/>
      </w:rPr>
      <w:fldChar w:fldCharType="separate"/>
    </w:r>
    <w:r w:rsidR="00D31A7D">
      <w:rPr>
        <w:noProof/>
        <w:sz w:val="20"/>
        <w:szCs w:val="20"/>
        <w:lang w:val="lv-LV"/>
      </w:rPr>
      <w:t>FMpoz Nr1_060820_DAC7.docx</w:t>
    </w:r>
    <w:r w:rsidRPr="00871EC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5D3CC" w14:textId="77777777" w:rsidR="00223C48" w:rsidRDefault="00223C48" w:rsidP="00AA2393">
      <w:r>
        <w:separator/>
      </w:r>
    </w:p>
  </w:footnote>
  <w:footnote w:type="continuationSeparator" w:id="0">
    <w:p w14:paraId="5F33C91C" w14:textId="77777777" w:rsidR="00223C48" w:rsidRDefault="00223C48" w:rsidP="00AA2393">
      <w:r>
        <w:continuationSeparator/>
      </w:r>
    </w:p>
  </w:footnote>
  <w:footnote w:id="1">
    <w:p w14:paraId="58EF7B67" w14:textId="77777777" w:rsidR="008C43A3" w:rsidRDefault="008C43A3" w:rsidP="00FF79D4">
      <w:pPr>
        <w:pStyle w:val="FootnoteText"/>
        <w:contextualSpacing/>
      </w:pPr>
      <w:r>
        <w:rPr>
          <w:rStyle w:val="FootnoteReference"/>
        </w:rPr>
        <w:footnoteRef/>
      </w:r>
      <w:r>
        <w:tab/>
        <w:t>COM(2020) 312 final</w:t>
      </w:r>
      <w:r w:rsidR="00C63568">
        <w:t xml:space="preserve"> un COM(2020) 313 final</w:t>
      </w:r>
      <w:r>
        <w:t>.</w:t>
      </w:r>
    </w:p>
  </w:footnote>
  <w:footnote w:id="2">
    <w:p w14:paraId="765E1028" w14:textId="77777777" w:rsidR="008C43A3" w:rsidRPr="002902E4" w:rsidRDefault="008C43A3" w:rsidP="002902E4">
      <w:pPr>
        <w:pStyle w:val="FootnoteText"/>
        <w:ind w:left="0" w:firstLine="0"/>
        <w:jc w:val="left"/>
        <w:rPr>
          <w:lang w:val="lv-LV"/>
        </w:rPr>
      </w:pPr>
      <w:r>
        <w:rPr>
          <w:rStyle w:val="FootnoteReference"/>
        </w:rPr>
        <w:footnoteRef/>
      </w:r>
      <w:r>
        <w:t xml:space="preserve"> </w:t>
      </w:r>
      <w:r w:rsidRPr="005142A5">
        <w:t>Model Rules for Reporting by Platform Operators with respect to Sellers in the Sharing and Gig Economy</w:t>
      </w:r>
      <w:r>
        <w:t xml:space="preserve"> (pieejams: </w:t>
      </w:r>
      <w:r w:rsidRPr="005142A5">
        <w:t>http://www.oecd.org/ctp/exchange-of-tax-information/model-rules-for-reporting-by-platform-operators-with-respect-to-sellers-in-the-sharing-and-gig-economy.pdf</w:t>
      </w:r>
      <w:r>
        <w:t>)</w:t>
      </w:r>
    </w:p>
  </w:footnote>
  <w:footnote w:id="3">
    <w:p w14:paraId="119EC466" w14:textId="77777777" w:rsidR="00AE1579" w:rsidRPr="00DF0321" w:rsidRDefault="00AE1579" w:rsidP="00DF0321">
      <w:pPr>
        <w:pStyle w:val="FootnoteText"/>
        <w:ind w:left="0" w:firstLine="0"/>
        <w:rPr>
          <w:lang w:val="lv-LV"/>
        </w:rPr>
      </w:pPr>
      <w:r>
        <w:rPr>
          <w:rStyle w:val="FootnoteReference"/>
        </w:rPr>
        <w:footnoteRef/>
      </w:r>
      <w:r w:rsidRPr="00DF0321">
        <w:rPr>
          <w:lang w:val="lv-LV"/>
        </w:rPr>
        <w:t xml:space="preserve"> </w:t>
      </w:r>
      <w:r w:rsidRPr="00AE1579">
        <w:rPr>
          <w:lang w:val="lv-LV"/>
        </w:rPr>
        <w:t>Padomes Direktīva 2006/112/EK ( 2006. gada 28 novembris ) par kopējo pievienotās vērtības nodokļa sistēmu</w:t>
      </w:r>
      <w:r>
        <w:rPr>
          <w:lang w:val="lv-LV"/>
        </w:rPr>
        <w:t>.</w:t>
      </w:r>
    </w:p>
  </w:footnote>
  <w:footnote w:id="4">
    <w:p w14:paraId="12E125E5" w14:textId="77777777" w:rsidR="00CE3293" w:rsidRPr="002902E4" w:rsidRDefault="00CE3293" w:rsidP="002902E4">
      <w:pPr>
        <w:pStyle w:val="FootnoteText"/>
        <w:ind w:left="0" w:firstLine="0"/>
        <w:rPr>
          <w:lang w:val="lv-LV"/>
        </w:rPr>
      </w:pPr>
      <w:r>
        <w:rPr>
          <w:rStyle w:val="FootnoteReference"/>
        </w:rPr>
        <w:footnoteRef/>
      </w:r>
      <w:r w:rsidRPr="00DF0321">
        <w:rPr>
          <w:lang w:val="lv-LV"/>
        </w:rPr>
        <w:t xml:space="preserve"> Commission Staff Working Document. </w:t>
      </w:r>
      <w:r>
        <w:t xml:space="preserve">Impact Assessment. Tax fraud and evasion – better cooperation between national tax authorities on exchanging information. Accompanying the document </w:t>
      </w:r>
      <w:r>
        <w:rPr>
          <w:i/>
        </w:rPr>
        <w:t>Proposal for a Council Directive amending Directive 2011/16/EU on administrative cooperation in the field of taxation</w:t>
      </w:r>
      <w:r>
        <w:t xml:space="preserve"> (pieejams: </w:t>
      </w:r>
      <w:hyperlink r:id="rId1" w:history="1">
        <w:r>
          <w:rPr>
            <w:rStyle w:val="Hyperlink"/>
          </w:rPr>
          <w:t>https://op.europa.eu/en/publication-detail/-/publication/26433a27-c75c-11ea-adf7-01aa75ed71a1/language-en</w:t>
        </w:r>
      </w:hyperlink>
      <w:r>
        <w:t>)</w:t>
      </w:r>
      <w:r w:rsidR="00D10307">
        <w:t>. – 36.lpp.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3874A" w14:textId="77777777" w:rsidR="008C43A3" w:rsidRDefault="008C43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4A1E0A" w14:textId="77777777" w:rsidR="008C43A3" w:rsidRDefault="008C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617EC" w14:textId="051BD988" w:rsidR="008C43A3" w:rsidRDefault="008C43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678F">
      <w:rPr>
        <w:rStyle w:val="PageNumber"/>
        <w:noProof/>
      </w:rPr>
      <w:t>6</w:t>
    </w:r>
    <w:r>
      <w:rPr>
        <w:rStyle w:val="PageNumber"/>
      </w:rPr>
      <w:fldChar w:fldCharType="end"/>
    </w:r>
  </w:p>
  <w:p w14:paraId="229094F9" w14:textId="77777777" w:rsidR="008C43A3" w:rsidRDefault="008C43A3" w:rsidP="00CC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EC"/>
    <w:multiLevelType w:val="hybridMultilevel"/>
    <w:tmpl w:val="6B60E4C6"/>
    <w:lvl w:ilvl="0" w:tplc="4444427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 w15:restartNumberingAfterBreak="0">
    <w:nsid w:val="01827C17"/>
    <w:multiLevelType w:val="hybridMultilevel"/>
    <w:tmpl w:val="B986F3BA"/>
    <w:lvl w:ilvl="0" w:tplc="94CCEB9A">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15:restartNumberingAfterBreak="0">
    <w:nsid w:val="17235641"/>
    <w:multiLevelType w:val="hybridMultilevel"/>
    <w:tmpl w:val="8BDABE30"/>
    <w:lvl w:ilvl="0" w:tplc="2BD260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975051"/>
    <w:multiLevelType w:val="hybridMultilevel"/>
    <w:tmpl w:val="F55450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015DD9"/>
    <w:multiLevelType w:val="hybridMultilevel"/>
    <w:tmpl w:val="F82899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CB2EEC"/>
    <w:multiLevelType w:val="hybridMultilevel"/>
    <w:tmpl w:val="D70095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2A5F58"/>
    <w:multiLevelType w:val="hybridMultilevel"/>
    <w:tmpl w:val="673870E0"/>
    <w:lvl w:ilvl="0" w:tplc="7D629194">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E552DC"/>
    <w:multiLevelType w:val="hybridMultilevel"/>
    <w:tmpl w:val="BB7889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7D4A0E"/>
    <w:multiLevelType w:val="hybridMultilevel"/>
    <w:tmpl w:val="A6EC5C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267E33"/>
    <w:multiLevelType w:val="hybridMultilevel"/>
    <w:tmpl w:val="8BDABE30"/>
    <w:lvl w:ilvl="0" w:tplc="2BD260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856EF8"/>
    <w:multiLevelType w:val="hybridMultilevel"/>
    <w:tmpl w:val="4F40BBD4"/>
    <w:lvl w:ilvl="0" w:tplc="F63842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CC50A7"/>
    <w:multiLevelType w:val="hybridMultilevel"/>
    <w:tmpl w:val="79E4B6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F424D0"/>
    <w:multiLevelType w:val="multilevel"/>
    <w:tmpl w:val="0CF09AE8"/>
    <w:lvl w:ilvl="0">
      <w:start w:val="1"/>
      <w:numFmt w:val="decimal"/>
      <w:lvlRestart w:val="0"/>
      <w:pStyle w:val="Point123"/>
      <w:lvlText w:val="%1."/>
      <w:lvlJc w:val="left"/>
      <w:pPr>
        <w:tabs>
          <w:tab w:val="num" w:pos="567"/>
        </w:tabs>
        <w:ind w:left="567" w:hanging="567"/>
      </w:pPr>
      <w:rPr>
        <w:b w:val="0"/>
        <w:bCs/>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15:restartNumberingAfterBreak="0">
    <w:nsid w:val="3C460C95"/>
    <w:multiLevelType w:val="hybridMultilevel"/>
    <w:tmpl w:val="F646A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487355"/>
    <w:multiLevelType w:val="hybridMultilevel"/>
    <w:tmpl w:val="B706F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4C7460D"/>
    <w:multiLevelType w:val="hybridMultilevel"/>
    <w:tmpl w:val="23CA744E"/>
    <w:lvl w:ilvl="0" w:tplc="C220CFFE">
      <w:start w:val="1"/>
      <w:numFmt w:val="decimal"/>
      <w:lvlText w:val="%1."/>
      <w:lvlJc w:val="left"/>
      <w:pPr>
        <w:ind w:left="360" w:hanging="360"/>
      </w:pPr>
      <w:rPr>
        <w:b w:val="0"/>
        <w:bCs/>
        <w:i w:val="0"/>
        <w:iCs w:val="0"/>
      </w:rPr>
    </w:lvl>
    <w:lvl w:ilvl="1" w:tplc="08090019">
      <w:start w:val="1"/>
      <w:numFmt w:val="lowerLetter"/>
      <w:lvlText w:val="%2."/>
      <w:lvlJc w:val="left"/>
      <w:pPr>
        <w:ind w:left="1080" w:hanging="360"/>
      </w:pPr>
      <w:rPr>
        <w:rFonts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635C26"/>
    <w:multiLevelType w:val="hybridMultilevel"/>
    <w:tmpl w:val="22F8FD24"/>
    <w:lvl w:ilvl="0" w:tplc="BDDE82E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9" w15:restartNumberingAfterBreak="0">
    <w:nsid w:val="4D27296D"/>
    <w:multiLevelType w:val="hybridMultilevel"/>
    <w:tmpl w:val="4F40BBD4"/>
    <w:lvl w:ilvl="0" w:tplc="F63842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B574537"/>
    <w:multiLevelType w:val="hybridMultilevel"/>
    <w:tmpl w:val="8072260E"/>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8F25F3"/>
    <w:multiLevelType w:val="hybridMultilevel"/>
    <w:tmpl w:val="82F6AAA2"/>
    <w:lvl w:ilvl="0" w:tplc="C308BBF0">
      <w:start w:val="2"/>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0451E"/>
    <w:multiLevelType w:val="hybridMultilevel"/>
    <w:tmpl w:val="4E58EE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3F6AD1"/>
    <w:multiLevelType w:val="hybridMultilevel"/>
    <w:tmpl w:val="66EAA276"/>
    <w:lvl w:ilvl="0" w:tplc="E17CFB3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84A7966"/>
    <w:multiLevelType w:val="hybridMultilevel"/>
    <w:tmpl w:val="F3C6B356"/>
    <w:lvl w:ilvl="0" w:tplc="A8B49E10">
      <w:start w:val="2"/>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5" w15:restartNumberingAfterBreak="0">
    <w:nsid w:val="78DE369F"/>
    <w:multiLevelType w:val="hybridMultilevel"/>
    <w:tmpl w:val="ABFA2E8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4"/>
  </w:num>
  <w:num w:numId="3">
    <w:abstractNumId w:val="5"/>
  </w:num>
  <w:num w:numId="4">
    <w:abstractNumId w:val="24"/>
  </w:num>
  <w:num w:numId="5">
    <w:abstractNumId w:val="16"/>
  </w:num>
  <w:num w:numId="6">
    <w:abstractNumId w:val="21"/>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18"/>
    <w:lvlOverride w:ilvl="0">
      <w:startOverride w:val="1"/>
    </w:lvlOverride>
  </w:num>
  <w:num w:numId="12">
    <w:abstractNumId w:val="0"/>
  </w:num>
  <w:num w:numId="13">
    <w:abstractNumId w:val="1"/>
  </w:num>
  <w:num w:numId="14">
    <w:abstractNumId w:val="12"/>
  </w:num>
  <w:num w:numId="15">
    <w:abstractNumId w:val="17"/>
  </w:num>
  <w:num w:numId="16">
    <w:abstractNumId w:val="6"/>
  </w:num>
  <w:num w:numId="17">
    <w:abstractNumId w:val="15"/>
  </w:num>
  <w:num w:numId="18">
    <w:abstractNumId w:val="20"/>
  </w:num>
  <w:num w:numId="19">
    <w:abstractNumId w:val="25"/>
  </w:num>
  <w:num w:numId="20">
    <w:abstractNumId w:val="4"/>
  </w:num>
  <w:num w:numId="21">
    <w:abstractNumId w:val="11"/>
  </w:num>
  <w:num w:numId="22">
    <w:abstractNumId w:val="9"/>
  </w:num>
  <w:num w:numId="23">
    <w:abstractNumId w:val="3"/>
  </w:num>
  <w:num w:numId="24">
    <w:abstractNumId w:val="19"/>
  </w:num>
  <w:num w:numId="25">
    <w:abstractNumId w:val="22"/>
  </w:num>
  <w:num w:numId="26">
    <w:abstractNumId w:val="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revisionView w:markup="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93"/>
    <w:rsid w:val="00000819"/>
    <w:rsid w:val="00000CCF"/>
    <w:rsid w:val="00003792"/>
    <w:rsid w:val="00012710"/>
    <w:rsid w:val="000156FA"/>
    <w:rsid w:val="00027B19"/>
    <w:rsid w:val="000325EB"/>
    <w:rsid w:val="00040E1E"/>
    <w:rsid w:val="00051563"/>
    <w:rsid w:val="00051B92"/>
    <w:rsid w:val="000539DC"/>
    <w:rsid w:val="00054B59"/>
    <w:rsid w:val="00071371"/>
    <w:rsid w:val="0007141C"/>
    <w:rsid w:val="000728EA"/>
    <w:rsid w:val="00075118"/>
    <w:rsid w:val="00077A5A"/>
    <w:rsid w:val="000810C9"/>
    <w:rsid w:val="00082141"/>
    <w:rsid w:val="00082800"/>
    <w:rsid w:val="00085C31"/>
    <w:rsid w:val="00086595"/>
    <w:rsid w:val="00087AB1"/>
    <w:rsid w:val="00091A94"/>
    <w:rsid w:val="000928D1"/>
    <w:rsid w:val="00093EA8"/>
    <w:rsid w:val="00094EA4"/>
    <w:rsid w:val="000972FA"/>
    <w:rsid w:val="000A200C"/>
    <w:rsid w:val="000A2712"/>
    <w:rsid w:val="000A2F4B"/>
    <w:rsid w:val="000A526C"/>
    <w:rsid w:val="000A5528"/>
    <w:rsid w:val="000A6724"/>
    <w:rsid w:val="000B1D34"/>
    <w:rsid w:val="000B3513"/>
    <w:rsid w:val="000B4888"/>
    <w:rsid w:val="000B4B12"/>
    <w:rsid w:val="000B7B35"/>
    <w:rsid w:val="000C3140"/>
    <w:rsid w:val="000C56D2"/>
    <w:rsid w:val="000D20AC"/>
    <w:rsid w:val="000D23C3"/>
    <w:rsid w:val="000D353E"/>
    <w:rsid w:val="000D390E"/>
    <w:rsid w:val="000D500C"/>
    <w:rsid w:val="000D6544"/>
    <w:rsid w:val="000E0949"/>
    <w:rsid w:val="000E15E6"/>
    <w:rsid w:val="000E2EC9"/>
    <w:rsid w:val="000E5ED8"/>
    <w:rsid w:val="000F668F"/>
    <w:rsid w:val="00106CA9"/>
    <w:rsid w:val="001120F2"/>
    <w:rsid w:val="00112728"/>
    <w:rsid w:val="00112F76"/>
    <w:rsid w:val="0011400A"/>
    <w:rsid w:val="001144F0"/>
    <w:rsid w:val="00116CE0"/>
    <w:rsid w:val="0011706F"/>
    <w:rsid w:val="00117829"/>
    <w:rsid w:val="0012257A"/>
    <w:rsid w:val="00125D95"/>
    <w:rsid w:val="001261E3"/>
    <w:rsid w:val="00127D44"/>
    <w:rsid w:val="001365A5"/>
    <w:rsid w:val="00137C55"/>
    <w:rsid w:val="00142834"/>
    <w:rsid w:val="00145367"/>
    <w:rsid w:val="001509F6"/>
    <w:rsid w:val="00153526"/>
    <w:rsid w:val="00160E24"/>
    <w:rsid w:val="00161D4C"/>
    <w:rsid w:val="00165B44"/>
    <w:rsid w:val="001677D9"/>
    <w:rsid w:val="00167B30"/>
    <w:rsid w:val="00172493"/>
    <w:rsid w:val="00174696"/>
    <w:rsid w:val="00184730"/>
    <w:rsid w:val="001903A5"/>
    <w:rsid w:val="00190F47"/>
    <w:rsid w:val="0019691E"/>
    <w:rsid w:val="001A2B3E"/>
    <w:rsid w:val="001A2DF6"/>
    <w:rsid w:val="001A401A"/>
    <w:rsid w:val="001A484C"/>
    <w:rsid w:val="001A4E0A"/>
    <w:rsid w:val="001A590A"/>
    <w:rsid w:val="001B6193"/>
    <w:rsid w:val="001B79DA"/>
    <w:rsid w:val="001C29EC"/>
    <w:rsid w:val="001C33A8"/>
    <w:rsid w:val="001C4C42"/>
    <w:rsid w:val="001C5524"/>
    <w:rsid w:val="001C7A19"/>
    <w:rsid w:val="001D3207"/>
    <w:rsid w:val="001D6343"/>
    <w:rsid w:val="001D6A7F"/>
    <w:rsid w:val="001D7518"/>
    <w:rsid w:val="001E3AFE"/>
    <w:rsid w:val="001F1E76"/>
    <w:rsid w:val="001F2E9E"/>
    <w:rsid w:val="001F6773"/>
    <w:rsid w:val="00200614"/>
    <w:rsid w:val="00201C85"/>
    <w:rsid w:val="00203361"/>
    <w:rsid w:val="00204D77"/>
    <w:rsid w:val="00210AE2"/>
    <w:rsid w:val="00212804"/>
    <w:rsid w:val="0021388F"/>
    <w:rsid w:val="002147EC"/>
    <w:rsid w:val="00216514"/>
    <w:rsid w:val="00216E5D"/>
    <w:rsid w:val="00222A51"/>
    <w:rsid w:val="00222F65"/>
    <w:rsid w:val="00223C48"/>
    <w:rsid w:val="00225030"/>
    <w:rsid w:val="00231EE6"/>
    <w:rsid w:val="00231F50"/>
    <w:rsid w:val="00233376"/>
    <w:rsid w:val="0023509A"/>
    <w:rsid w:val="00235C43"/>
    <w:rsid w:val="00237A5E"/>
    <w:rsid w:val="002409B8"/>
    <w:rsid w:val="00242248"/>
    <w:rsid w:val="00244215"/>
    <w:rsid w:val="00244876"/>
    <w:rsid w:val="00245431"/>
    <w:rsid w:val="00245E5E"/>
    <w:rsid w:val="00247509"/>
    <w:rsid w:val="00250816"/>
    <w:rsid w:val="00250AE2"/>
    <w:rsid w:val="00251B58"/>
    <w:rsid w:val="00252B9A"/>
    <w:rsid w:val="00254DAF"/>
    <w:rsid w:val="00256A77"/>
    <w:rsid w:val="00267BD7"/>
    <w:rsid w:val="002726EC"/>
    <w:rsid w:val="00285754"/>
    <w:rsid w:val="002876DD"/>
    <w:rsid w:val="002902E4"/>
    <w:rsid w:val="0029378D"/>
    <w:rsid w:val="002970BE"/>
    <w:rsid w:val="00297F28"/>
    <w:rsid w:val="002B558D"/>
    <w:rsid w:val="002C3C2D"/>
    <w:rsid w:val="002C48C9"/>
    <w:rsid w:val="002C5364"/>
    <w:rsid w:val="002D2320"/>
    <w:rsid w:val="002E4459"/>
    <w:rsid w:val="002E4FBE"/>
    <w:rsid w:val="002F0F99"/>
    <w:rsid w:val="002F108F"/>
    <w:rsid w:val="002F3896"/>
    <w:rsid w:val="002F4C9F"/>
    <w:rsid w:val="002F63A2"/>
    <w:rsid w:val="002F63EF"/>
    <w:rsid w:val="002F7D6B"/>
    <w:rsid w:val="00300B12"/>
    <w:rsid w:val="003023BB"/>
    <w:rsid w:val="003104DD"/>
    <w:rsid w:val="00316A0A"/>
    <w:rsid w:val="00316C16"/>
    <w:rsid w:val="00320370"/>
    <w:rsid w:val="00333256"/>
    <w:rsid w:val="003529C8"/>
    <w:rsid w:val="003570A0"/>
    <w:rsid w:val="00364292"/>
    <w:rsid w:val="0037137A"/>
    <w:rsid w:val="003738F7"/>
    <w:rsid w:val="00373CAF"/>
    <w:rsid w:val="00377EA6"/>
    <w:rsid w:val="00381D2D"/>
    <w:rsid w:val="003859FE"/>
    <w:rsid w:val="0039503E"/>
    <w:rsid w:val="00395C51"/>
    <w:rsid w:val="003A0B24"/>
    <w:rsid w:val="003A0FDA"/>
    <w:rsid w:val="003A21DE"/>
    <w:rsid w:val="003A31FA"/>
    <w:rsid w:val="003A47D3"/>
    <w:rsid w:val="003B0B17"/>
    <w:rsid w:val="003B7173"/>
    <w:rsid w:val="003C0FFF"/>
    <w:rsid w:val="003C1D74"/>
    <w:rsid w:val="003C4B0E"/>
    <w:rsid w:val="003D04DB"/>
    <w:rsid w:val="003D1D42"/>
    <w:rsid w:val="003D28AC"/>
    <w:rsid w:val="003D4734"/>
    <w:rsid w:val="003D7AED"/>
    <w:rsid w:val="003D7C2F"/>
    <w:rsid w:val="003E6EA9"/>
    <w:rsid w:val="003F07A3"/>
    <w:rsid w:val="003F2BCC"/>
    <w:rsid w:val="003F39EF"/>
    <w:rsid w:val="003F45EF"/>
    <w:rsid w:val="003F48C2"/>
    <w:rsid w:val="00402413"/>
    <w:rsid w:val="00404A29"/>
    <w:rsid w:val="00404AE2"/>
    <w:rsid w:val="0040741B"/>
    <w:rsid w:val="00410631"/>
    <w:rsid w:val="00415846"/>
    <w:rsid w:val="00415DDB"/>
    <w:rsid w:val="0042506C"/>
    <w:rsid w:val="00425CE2"/>
    <w:rsid w:val="00436D92"/>
    <w:rsid w:val="0043727E"/>
    <w:rsid w:val="00437D78"/>
    <w:rsid w:val="00443AC8"/>
    <w:rsid w:val="004450DD"/>
    <w:rsid w:val="00447AB6"/>
    <w:rsid w:val="00447F89"/>
    <w:rsid w:val="00451F9F"/>
    <w:rsid w:val="00452FC5"/>
    <w:rsid w:val="00454B56"/>
    <w:rsid w:val="00462586"/>
    <w:rsid w:val="00464CBD"/>
    <w:rsid w:val="00466579"/>
    <w:rsid w:val="00467844"/>
    <w:rsid w:val="004722B1"/>
    <w:rsid w:val="00473C8F"/>
    <w:rsid w:val="00475A25"/>
    <w:rsid w:val="00491AEF"/>
    <w:rsid w:val="00492E34"/>
    <w:rsid w:val="00492E77"/>
    <w:rsid w:val="004968CE"/>
    <w:rsid w:val="00496F33"/>
    <w:rsid w:val="004A14A9"/>
    <w:rsid w:val="004A3780"/>
    <w:rsid w:val="004A3B3C"/>
    <w:rsid w:val="004A594E"/>
    <w:rsid w:val="004B1285"/>
    <w:rsid w:val="004B16E3"/>
    <w:rsid w:val="004B369E"/>
    <w:rsid w:val="004B517C"/>
    <w:rsid w:val="004B63D8"/>
    <w:rsid w:val="004C271D"/>
    <w:rsid w:val="004C2B25"/>
    <w:rsid w:val="004C3919"/>
    <w:rsid w:val="004C71B7"/>
    <w:rsid w:val="004D0DA9"/>
    <w:rsid w:val="004E186C"/>
    <w:rsid w:val="004E3139"/>
    <w:rsid w:val="004E49D8"/>
    <w:rsid w:val="004E78E7"/>
    <w:rsid w:val="005014E7"/>
    <w:rsid w:val="00501991"/>
    <w:rsid w:val="00502F43"/>
    <w:rsid w:val="005142A5"/>
    <w:rsid w:val="00517868"/>
    <w:rsid w:val="005204D9"/>
    <w:rsid w:val="00521C9C"/>
    <w:rsid w:val="00522E1C"/>
    <w:rsid w:val="00524843"/>
    <w:rsid w:val="0052596A"/>
    <w:rsid w:val="00526985"/>
    <w:rsid w:val="00534DD7"/>
    <w:rsid w:val="00540089"/>
    <w:rsid w:val="005456CC"/>
    <w:rsid w:val="00550638"/>
    <w:rsid w:val="00554177"/>
    <w:rsid w:val="00554814"/>
    <w:rsid w:val="00556936"/>
    <w:rsid w:val="00562F2A"/>
    <w:rsid w:val="005639F5"/>
    <w:rsid w:val="00571509"/>
    <w:rsid w:val="005846C6"/>
    <w:rsid w:val="005852EB"/>
    <w:rsid w:val="00585F2E"/>
    <w:rsid w:val="005947FD"/>
    <w:rsid w:val="00594B09"/>
    <w:rsid w:val="00594BAF"/>
    <w:rsid w:val="005B0647"/>
    <w:rsid w:val="005B19AF"/>
    <w:rsid w:val="005B249B"/>
    <w:rsid w:val="005B279B"/>
    <w:rsid w:val="005B2896"/>
    <w:rsid w:val="005B3A0E"/>
    <w:rsid w:val="005B5B4F"/>
    <w:rsid w:val="005C0F05"/>
    <w:rsid w:val="005C36F3"/>
    <w:rsid w:val="005C7479"/>
    <w:rsid w:val="005C778D"/>
    <w:rsid w:val="005D149A"/>
    <w:rsid w:val="005D342B"/>
    <w:rsid w:val="005D61FB"/>
    <w:rsid w:val="005D6C0F"/>
    <w:rsid w:val="005D7DB1"/>
    <w:rsid w:val="005E06E2"/>
    <w:rsid w:val="005E27DF"/>
    <w:rsid w:val="005E3668"/>
    <w:rsid w:val="005E40CC"/>
    <w:rsid w:val="005E4C35"/>
    <w:rsid w:val="005E4F30"/>
    <w:rsid w:val="005E570E"/>
    <w:rsid w:val="005F273C"/>
    <w:rsid w:val="005F5A6A"/>
    <w:rsid w:val="00600712"/>
    <w:rsid w:val="006030B4"/>
    <w:rsid w:val="006056E3"/>
    <w:rsid w:val="00610D9D"/>
    <w:rsid w:val="00612AED"/>
    <w:rsid w:val="006154D0"/>
    <w:rsid w:val="00615897"/>
    <w:rsid w:val="00615AB2"/>
    <w:rsid w:val="00616C4B"/>
    <w:rsid w:val="00620C9B"/>
    <w:rsid w:val="00624286"/>
    <w:rsid w:val="006249B0"/>
    <w:rsid w:val="00627B5E"/>
    <w:rsid w:val="00636213"/>
    <w:rsid w:val="00642C1C"/>
    <w:rsid w:val="00644FF9"/>
    <w:rsid w:val="00647423"/>
    <w:rsid w:val="006510D9"/>
    <w:rsid w:val="006521E9"/>
    <w:rsid w:val="00652A25"/>
    <w:rsid w:val="0065300E"/>
    <w:rsid w:val="00655920"/>
    <w:rsid w:val="00657906"/>
    <w:rsid w:val="00661D0D"/>
    <w:rsid w:val="00661D44"/>
    <w:rsid w:val="00663783"/>
    <w:rsid w:val="00664762"/>
    <w:rsid w:val="00667726"/>
    <w:rsid w:val="00673D22"/>
    <w:rsid w:val="00686328"/>
    <w:rsid w:val="00696EBF"/>
    <w:rsid w:val="006A0A13"/>
    <w:rsid w:val="006A2C25"/>
    <w:rsid w:val="006A3C6E"/>
    <w:rsid w:val="006A72B5"/>
    <w:rsid w:val="006C22DD"/>
    <w:rsid w:val="006C6ED0"/>
    <w:rsid w:val="006C781B"/>
    <w:rsid w:val="006D5762"/>
    <w:rsid w:val="006D6ACB"/>
    <w:rsid w:val="006D7B3D"/>
    <w:rsid w:val="006E1786"/>
    <w:rsid w:val="006E19FD"/>
    <w:rsid w:val="006E42E8"/>
    <w:rsid w:val="006E7152"/>
    <w:rsid w:val="006F19BD"/>
    <w:rsid w:val="006F26D3"/>
    <w:rsid w:val="00703DFD"/>
    <w:rsid w:val="007047C6"/>
    <w:rsid w:val="00705687"/>
    <w:rsid w:val="00711DD9"/>
    <w:rsid w:val="00712E06"/>
    <w:rsid w:val="00722864"/>
    <w:rsid w:val="00724F59"/>
    <w:rsid w:val="00725B6C"/>
    <w:rsid w:val="007260CC"/>
    <w:rsid w:val="007304CE"/>
    <w:rsid w:val="00731994"/>
    <w:rsid w:val="00734411"/>
    <w:rsid w:val="0073554B"/>
    <w:rsid w:val="00737194"/>
    <w:rsid w:val="0073768D"/>
    <w:rsid w:val="007540B8"/>
    <w:rsid w:val="00756185"/>
    <w:rsid w:val="00761B25"/>
    <w:rsid w:val="00761FFE"/>
    <w:rsid w:val="00762FDD"/>
    <w:rsid w:val="00763DBF"/>
    <w:rsid w:val="00772886"/>
    <w:rsid w:val="00773545"/>
    <w:rsid w:val="00773E0E"/>
    <w:rsid w:val="007746E3"/>
    <w:rsid w:val="00774C9A"/>
    <w:rsid w:val="007770D1"/>
    <w:rsid w:val="00777194"/>
    <w:rsid w:val="00777735"/>
    <w:rsid w:val="007826CC"/>
    <w:rsid w:val="00784E3C"/>
    <w:rsid w:val="00785995"/>
    <w:rsid w:val="007864EF"/>
    <w:rsid w:val="007925AC"/>
    <w:rsid w:val="00792D61"/>
    <w:rsid w:val="00793120"/>
    <w:rsid w:val="00794A0C"/>
    <w:rsid w:val="007950F1"/>
    <w:rsid w:val="00795B1C"/>
    <w:rsid w:val="007A0180"/>
    <w:rsid w:val="007A0C40"/>
    <w:rsid w:val="007A4515"/>
    <w:rsid w:val="007B0F22"/>
    <w:rsid w:val="007B4372"/>
    <w:rsid w:val="007B4FB9"/>
    <w:rsid w:val="007B59B6"/>
    <w:rsid w:val="007B63BC"/>
    <w:rsid w:val="007B6671"/>
    <w:rsid w:val="007C17E9"/>
    <w:rsid w:val="007C18BB"/>
    <w:rsid w:val="007C5022"/>
    <w:rsid w:val="007C59D0"/>
    <w:rsid w:val="007D2C63"/>
    <w:rsid w:val="007D34C4"/>
    <w:rsid w:val="007D3BA7"/>
    <w:rsid w:val="007D529E"/>
    <w:rsid w:val="007E3351"/>
    <w:rsid w:val="007E54A9"/>
    <w:rsid w:val="007E6A57"/>
    <w:rsid w:val="007E7C99"/>
    <w:rsid w:val="007F043E"/>
    <w:rsid w:val="007F0D9C"/>
    <w:rsid w:val="007F53EB"/>
    <w:rsid w:val="007F7524"/>
    <w:rsid w:val="007F75EF"/>
    <w:rsid w:val="0080356A"/>
    <w:rsid w:val="00804E7F"/>
    <w:rsid w:val="00807756"/>
    <w:rsid w:val="0081424E"/>
    <w:rsid w:val="00814CF2"/>
    <w:rsid w:val="00815826"/>
    <w:rsid w:val="00815E9E"/>
    <w:rsid w:val="00817E44"/>
    <w:rsid w:val="00822702"/>
    <w:rsid w:val="008272FA"/>
    <w:rsid w:val="008319D1"/>
    <w:rsid w:val="0083283E"/>
    <w:rsid w:val="00832B69"/>
    <w:rsid w:val="00833317"/>
    <w:rsid w:val="00835173"/>
    <w:rsid w:val="00840D38"/>
    <w:rsid w:val="00840E9C"/>
    <w:rsid w:val="0084758C"/>
    <w:rsid w:val="00851380"/>
    <w:rsid w:val="008516D9"/>
    <w:rsid w:val="00857D3C"/>
    <w:rsid w:val="00864A27"/>
    <w:rsid w:val="00871A90"/>
    <w:rsid w:val="00873885"/>
    <w:rsid w:val="00874E31"/>
    <w:rsid w:val="0089062D"/>
    <w:rsid w:val="00890983"/>
    <w:rsid w:val="00894514"/>
    <w:rsid w:val="00895172"/>
    <w:rsid w:val="008971B4"/>
    <w:rsid w:val="00897935"/>
    <w:rsid w:val="008A2FCE"/>
    <w:rsid w:val="008A5A1F"/>
    <w:rsid w:val="008A5F5F"/>
    <w:rsid w:val="008A6F6B"/>
    <w:rsid w:val="008A7909"/>
    <w:rsid w:val="008B26BA"/>
    <w:rsid w:val="008B4640"/>
    <w:rsid w:val="008B471D"/>
    <w:rsid w:val="008B6793"/>
    <w:rsid w:val="008B7E02"/>
    <w:rsid w:val="008C43A3"/>
    <w:rsid w:val="008D210E"/>
    <w:rsid w:val="008D300F"/>
    <w:rsid w:val="008D3F15"/>
    <w:rsid w:val="008D58B6"/>
    <w:rsid w:val="008D6C4B"/>
    <w:rsid w:val="008D7DE2"/>
    <w:rsid w:val="008E1E48"/>
    <w:rsid w:val="008F0614"/>
    <w:rsid w:val="008F4D8B"/>
    <w:rsid w:val="008F6436"/>
    <w:rsid w:val="008F662E"/>
    <w:rsid w:val="008F6BB5"/>
    <w:rsid w:val="009049CC"/>
    <w:rsid w:val="009121F7"/>
    <w:rsid w:val="009143C1"/>
    <w:rsid w:val="009145DC"/>
    <w:rsid w:val="00915279"/>
    <w:rsid w:val="00916B5E"/>
    <w:rsid w:val="00924638"/>
    <w:rsid w:val="00931FCA"/>
    <w:rsid w:val="009356C0"/>
    <w:rsid w:val="0094022E"/>
    <w:rsid w:val="0094068C"/>
    <w:rsid w:val="00941317"/>
    <w:rsid w:val="00944324"/>
    <w:rsid w:val="009477C5"/>
    <w:rsid w:val="00951D8C"/>
    <w:rsid w:val="009563AE"/>
    <w:rsid w:val="00960B05"/>
    <w:rsid w:val="0096250C"/>
    <w:rsid w:val="00963091"/>
    <w:rsid w:val="009646A0"/>
    <w:rsid w:val="009670ED"/>
    <w:rsid w:val="009711D2"/>
    <w:rsid w:val="00980049"/>
    <w:rsid w:val="009818AB"/>
    <w:rsid w:val="00985C50"/>
    <w:rsid w:val="00991FFC"/>
    <w:rsid w:val="00996549"/>
    <w:rsid w:val="00996AD0"/>
    <w:rsid w:val="00996C8D"/>
    <w:rsid w:val="009976A3"/>
    <w:rsid w:val="009A3B63"/>
    <w:rsid w:val="009A6F07"/>
    <w:rsid w:val="009A7B12"/>
    <w:rsid w:val="009A7B8D"/>
    <w:rsid w:val="009B2549"/>
    <w:rsid w:val="009B3174"/>
    <w:rsid w:val="009B6286"/>
    <w:rsid w:val="009B6CFD"/>
    <w:rsid w:val="009B707D"/>
    <w:rsid w:val="009C200E"/>
    <w:rsid w:val="009C38E7"/>
    <w:rsid w:val="009C42C5"/>
    <w:rsid w:val="009C48A4"/>
    <w:rsid w:val="009C4CDA"/>
    <w:rsid w:val="009C7AB4"/>
    <w:rsid w:val="009D4B17"/>
    <w:rsid w:val="009D784A"/>
    <w:rsid w:val="009E349A"/>
    <w:rsid w:val="009E34C5"/>
    <w:rsid w:val="009E506F"/>
    <w:rsid w:val="009F0B54"/>
    <w:rsid w:val="009F155A"/>
    <w:rsid w:val="009F1F1A"/>
    <w:rsid w:val="009F350D"/>
    <w:rsid w:val="009F6132"/>
    <w:rsid w:val="009F6E83"/>
    <w:rsid w:val="009F7D9F"/>
    <w:rsid w:val="00A02869"/>
    <w:rsid w:val="00A02C77"/>
    <w:rsid w:val="00A10A1D"/>
    <w:rsid w:val="00A11B9B"/>
    <w:rsid w:val="00A12EF0"/>
    <w:rsid w:val="00A23818"/>
    <w:rsid w:val="00A25B4F"/>
    <w:rsid w:val="00A26508"/>
    <w:rsid w:val="00A26C22"/>
    <w:rsid w:val="00A27449"/>
    <w:rsid w:val="00A364AC"/>
    <w:rsid w:val="00A36DA9"/>
    <w:rsid w:val="00A374DE"/>
    <w:rsid w:val="00A402BB"/>
    <w:rsid w:val="00A41EAD"/>
    <w:rsid w:val="00A4295D"/>
    <w:rsid w:val="00A42D3E"/>
    <w:rsid w:val="00A43F09"/>
    <w:rsid w:val="00A449B2"/>
    <w:rsid w:val="00A44FBE"/>
    <w:rsid w:val="00A5262E"/>
    <w:rsid w:val="00A540A9"/>
    <w:rsid w:val="00A56783"/>
    <w:rsid w:val="00A5751E"/>
    <w:rsid w:val="00A61CC1"/>
    <w:rsid w:val="00A67910"/>
    <w:rsid w:val="00A70C5D"/>
    <w:rsid w:val="00A73E2C"/>
    <w:rsid w:val="00A8238B"/>
    <w:rsid w:val="00A83D51"/>
    <w:rsid w:val="00A8521A"/>
    <w:rsid w:val="00A85C2F"/>
    <w:rsid w:val="00A9150E"/>
    <w:rsid w:val="00A9232A"/>
    <w:rsid w:val="00A93185"/>
    <w:rsid w:val="00A937BE"/>
    <w:rsid w:val="00AA04A7"/>
    <w:rsid w:val="00AA2393"/>
    <w:rsid w:val="00AA44CD"/>
    <w:rsid w:val="00AB068A"/>
    <w:rsid w:val="00AB0EEB"/>
    <w:rsid w:val="00AB3DFB"/>
    <w:rsid w:val="00AB4AA3"/>
    <w:rsid w:val="00AB5CF0"/>
    <w:rsid w:val="00AB61F1"/>
    <w:rsid w:val="00AC6B88"/>
    <w:rsid w:val="00AC6EA8"/>
    <w:rsid w:val="00AD1129"/>
    <w:rsid w:val="00AD42C0"/>
    <w:rsid w:val="00AD58A3"/>
    <w:rsid w:val="00AE1579"/>
    <w:rsid w:val="00AE5397"/>
    <w:rsid w:val="00AF144E"/>
    <w:rsid w:val="00AF5B97"/>
    <w:rsid w:val="00B016CE"/>
    <w:rsid w:val="00B03007"/>
    <w:rsid w:val="00B06D52"/>
    <w:rsid w:val="00B111F6"/>
    <w:rsid w:val="00B11BC7"/>
    <w:rsid w:val="00B12E27"/>
    <w:rsid w:val="00B15813"/>
    <w:rsid w:val="00B162FE"/>
    <w:rsid w:val="00B172E9"/>
    <w:rsid w:val="00B22737"/>
    <w:rsid w:val="00B24C28"/>
    <w:rsid w:val="00B266B9"/>
    <w:rsid w:val="00B26F42"/>
    <w:rsid w:val="00B34DD5"/>
    <w:rsid w:val="00B366E9"/>
    <w:rsid w:val="00B428F2"/>
    <w:rsid w:val="00B44D3A"/>
    <w:rsid w:val="00B45041"/>
    <w:rsid w:val="00B45808"/>
    <w:rsid w:val="00B45E10"/>
    <w:rsid w:val="00B47E32"/>
    <w:rsid w:val="00B50C62"/>
    <w:rsid w:val="00B528FA"/>
    <w:rsid w:val="00B52A29"/>
    <w:rsid w:val="00B55732"/>
    <w:rsid w:val="00B55C2D"/>
    <w:rsid w:val="00B62C88"/>
    <w:rsid w:val="00B67A02"/>
    <w:rsid w:val="00B715AA"/>
    <w:rsid w:val="00B749FE"/>
    <w:rsid w:val="00B7752F"/>
    <w:rsid w:val="00B842C5"/>
    <w:rsid w:val="00B847E1"/>
    <w:rsid w:val="00B860E5"/>
    <w:rsid w:val="00B9116B"/>
    <w:rsid w:val="00B9122D"/>
    <w:rsid w:val="00B94025"/>
    <w:rsid w:val="00B95CD6"/>
    <w:rsid w:val="00BA40C1"/>
    <w:rsid w:val="00BA5CBA"/>
    <w:rsid w:val="00BB13DC"/>
    <w:rsid w:val="00BB18FA"/>
    <w:rsid w:val="00BB7443"/>
    <w:rsid w:val="00BC0180"/>
    <w:rsid w:val="00BC26E9"/>
    <w:rsid w:val="00BD16CB"/>
    <w:rsid w:val="00BD32B2"/>
    <w:rsid w:val="00BD5982"/>
    <w:rsid w:val="00BD5E16"/>
    <w:rsid w:val="00BD6E8A"/>
    <w:rsid w:val="00BD73FA"/>
    <w:rsid w:val="00BD76A7"/>
    <w:rsid w:val="00BE0EE4"/>
    <w:rsid w:val="00BE41E7"/>
    <w:rsid w:val="00BE4758"/>
    <w:rsid w:val="00BF0CF8"/>
    <w:rsid w:val="00BF0F98"/>
    <w:rsid w:val="00BF2CF0"/>
    <w:rsid w:val="00BF3E8D"/>
    <w:rsid w:val="00BF523C"/>
    <w:rsid w:val="00BF71FE"/>
    <w:rsid w:val="00C031AB"/>
    <w:rsid w:val="00C03477"/>
    <w:rsid w:val="00C03675"/>
    <w:rsid w:val="00C05628"/>
    <w:rsid w:val="00C1153E"/>
    <w:rsid w:val="00C1170B"/>
    <w:rsid w:val="00C12ED3"/>
    <w:rsid w:val="00C165EF"/>
    <w:rsid w:val="00C17565"/>
    <w:rsid w:val="00C20D69"/>
    <w:rsid w:val="00C25C9F"/>
    <w:rsid w:val="00C26DE7"/>
    <w:rsid w:val="00C30F66"/>
    <w:rsid w:val="00C32352"/>
    <w:rsid w:val="00C336B9"/>
    <w:rsid w:val="00C354A7"/>
    <w:rsid w:val="00C356C5"/>
    <w:rsid w:val="00C36D6D"/>
    <w:rsid w:val="00C40270"/>
    <w:rsid w:val="00C40EFE"/>
    <w:rsid w:val="00C42A2E"/>
    <w:rsid w:val="00C43E18"/>
    <w:rsid w:val="00C50000"/>
    <w:rsid w:val="00C50661"/>
    <w:rsid w:val="00C516DE"/>
    <w:rsid w:val="00C530BB"/>
    <w:rsid w:val="00C53116"/>
    <w:rsid w:val="00C53EE5"/>
    <w:rsid w:val="00C54138"/>
    <w:rsid w:val="00C5678F"/>
    <w:rsid w:val="00C6169A"/>
    <w:rsid w:val="00C6226E"/>
    <w:rsid w:val="00C62BBC"/>
    <w:rsid w:val="00C63568"/>
    <w:rsid w:val="00C648FD"/>
    <w:rsid w:val="00C658BC"/>
    <w:rsid w:val="00C755BB"/>
    <w:rsid w:val="00C76737"/>
    <w:rsid w:val="00C80337"/>
    <w:rsid w:val="00C81061"/>
    <w:rsid w:val="00C84573"/>
    <w:rsid w:val="00C91544"/>
    <w:rsid w:val="00C94209"/>
    <w:rsid w:val="00C96D17"/>
    <w:rsid w:val="00C971A7"/>
    <w:rsid w:val="00CA3CC3"/>
    <w:rsid w:val="00CA57DE"/>
    <w:rsid w:val="00CA7498"/>
    <w:rsid w:val="00CB5FE2"/>
    <w:rsid w:val="00CB6BDA"/>
    <w:rsid w:val="00CC2A69"/>
    <w:rsid w:val="00CC4FF5"/>
    <w:rsid w:val="00CC52E5"/>
    <w:rsid w:val="00CC5A00"/>
    <w:rsid w:val="00CD176E"/>
    <w:rsid w:val="00CD5936"/>
    <w:rsid w:val="00CE1ACC"/>
    <w:rsid w:val="00CE3293"/>
    <w:rsid w:val="00CE679A"/>
    <w:rsid w:val="00CF0F86"/>
    <w:rsid w:val="00CF2E2F"/>
    <w:rsid w:val="00CF300A"/>
    <w:rsid w:val="00D04A17"/>
    <w:rsid w:val="00D059C1"/>
    <w:rsid w:val="00D06C72"/>
    <w:rsid w:val="00D10307"/>
    <w:rsid w:val="00D16683"/>
    <w:rsid w:val="00D20FA8"/>
    <w:rsid w:val="00D23FB6"/>
    <w:rsid w:val="00D31A7D"/>
    <w:rsid w:val="00D31BBB"/>
    <w:rsid w:val="00D33CF4"/>
    <w:rsid w:val="00D4130C"/>
    <w:rsid w:val="00D426F6"/>
    <w:rsid w:val="00D4517A"/>
    <w:rsid w:val="00D451FE"/>
    <w:rsid w:val="00D45554"/>
    <w:rsid w:val="00D4557B"/>
    <w:rsid w:val="00D45699"/>
    <w:rsid w:val="00D4607B"/>
    <w:rsid w:val="00D47F12"/>
    <w:rsid w:val="00D521BD"/>
    <w:rsid w:val="00D54147"/>
    <w:rsid w:val="00D612FB"/>
    <w:rsid w:val="00D626BE"/>
    <w:rsid w:val="00D66D5D"/>
    <w:rsid w:val="00D71454"/>
    <w:rsid w:val="00D72EC0"/>
    <w:rsid w:val="00D803D1"/>
    <w:rsid w:val="00D80A3B"/>
    <w:rsid w:val="00D80D1C"/>
    <w:rsid w:val="00D85971"/>
    <w:rsid w:val="00D85AAA"/>
    <w:rsid w:val="00D86843"/>
    <w:rsid w:val="00D92836"/>
    <w:rsid w:val="00D9290D"/>
    <w:rsid w:val="00D92C02"/>
    <w:rsid w:val="00DA34BC"/>
    <w:rsid w:val="00DB23D8"/>
    <w:rsid w:val="00DB5C0F"/>
    <w:rsid w:val="00DC131F"/>
    <w:rsid w:val="00DD0986"/>
    <w:rsid w:val="00DD0D77"/>
    <w:rsid w:val="00DD0EE9"/>
    <w:rsid w:val="00DD502D"/>
    <w:rsid w:val="00DE2523"/>
    <w:rsid w:val="00DE4B18"/>
    <w:rsid w:val="00DF0321"/>
    <w:rsid w:val="00DF2BC1"/>
    <w:rsid w:val="00DF2FCE"/>
    <w:rsid w:val="00DF51E3"/>
    <w:rsid w:val="00DF65F4"/>
    <w:rsid w:val="00E023AA"/>
    <w:rsid w:val="00E0504A"/>
    <w:rsid w:val="00E074C1"/>
    <w:rsid w:val="00E078A6"/>
    <w:rsid w:val="00E16ED0"/>
    <w:rsid w:val="00E1723E"/>
    <w:rsid w:val="00E21113"/>
    <w:rsid w:val="00E21D77"/>
    <w:rsid w:val="00E2736B"/>
    <w:rsid w:val="00E27AB1"/>
    <w:rsid w:val="00E3149A"/>
    <w:rsid w:val="00E324CD"/>
    <w:rsid w:val="00E41B46"/>
    <w:rsid w:val="00E41BCB"/>
    <w:rsid w:val="00E43940"/>
    <w:rsid w:val="00E44AE8"/>
    <w:rsid w:val="00E44D38"/>
    <w:rsid w:val="00E460D2"/>
    <w:rsid w:val="00E529E4"/>
    <w:rsid w:val="00E544E0"/>
    <w:rsid w:val="00E54FAA"/>
    <w:rsid w:val="00E562C3"/>
    <w:rsid w:val="00E56644"/>
    <w:rsid w:val="00E60099"/>
    <w:rsid w:val="00E6305C"/>
    <w:rsid w:val="00E64AE8"/>
    <w:rsid w:val="00E65789"/>
    <w:rsid w:val="00E7146E"/>
    <w:rsid w:val="00E7242C"/>
    <w:rsid w:val="00E816E3"/>
    <w:rsid w:val="00E81F1E"/>
    <w:rsid w:val="00E85F82"/>
    <w:rsid w:val="00E90A71"/>
    <w:rsid w:val="00E90FA6"/>
    <w:rsid w:val="00E91837"/>
    <w:rsid w:val="00E92671"/>
    <w:rsid w:val="00E942F8"/>
    <w:rsid w:val="00EA0A72"/>
    <w:rsid w:val="00EA0B86"/>
    <w:rsid w:val="00EA149E"/>
    <w:rsid w:val="00EB6A51"/>
    <w:rsid w:val="00EB7090"/>
    <w:rsid w:val="00EC5A08"/>
    <w:rsid w:val="00EC5A15"/>
    <w:rsid w:val="00EC7645"/>
    <w:rsid w:val="00ED0F8D"/>
    <w:rsid w:val="00ED1AAF"/>
    <w:rsid w:val="00ED2A41"/>
    <w:rsid w:val="00ED342A"/>
    <w:rsid w:val="00ED63F7"/>
    <w:rsid w:val="00ED7692"/>
    <w:rsid w:val="00ED772A"/>
    <w:rsid w:val="00EE2492"/>
    <w:rsid w:val="00EE60AC"/>
    <w:rsid w:val="00EF01CE"/>
    <w:rsid w:val="00EF358B"/>
    <w:rsid w:val="00F01683"/>
    <w:rsid w:val="00F0555B"/>
    <w:rsid w:val="00F106C3"/>
    <w:rsid w:val="00F10C5C"/>
    <w:rsid w:val="00F16364"/>
    <w:rsid w:val="00F16470"/>
    <w:rsid w:val="00F21168"/>
    <w:rsid w:val="00F21B9A"/>
    <w:rsid w:val="00F23C06"/>
    <w:rsid w:val="00F23DE4"/>
    <w:rsid w:val="00F24207"/>
    <w:rsid w:val="00F30486"/>
    <w:rsid w:val="00F312FE"/>
    <w:rsid w:val="00F31E8B"/>
    <w:rsid w:val="00F31EE0"/>
    <w:rsid w:val="00F326F8"/>
    <w:rsid w:val="00F341C6"/>
    <w:rsid w:val="00F35A6D"/>
    <w:rsid w:val="00F3610F"/>
    <w:rsid w:val="00F40286"/>
    <w:rsid w:val="00F45D1B"/>
    <w:rsid w:val="00F52CED"/>
    <w:rsid w:val="00F54B61"/>
    <w:rsid w:val="00F562E0"/>
    <w:rsid w:val="00F6156D"/>
    <w:rsid w:val="00F61AE2"/>
    <w:rsid w:val="00F67164"/>
    <w:rsid w:val="00F7275D"/>
    <w:rsid w:val="00F73507"/>
    <w:rsid w:val="00F74527"/>
    <w:rsid w:val="00F75788"/>
    <w:rsid w:val="00F7720F"/>
    <w:rsid w:val="00F825F0"/>
    <w:rsid w:val="00F85EA1"/>
    <w:rsid w:val="00F874AA"/>
    <w:rsid w:val="00F92ECD"/>
    <w:rsid w:val="00F96D68"/>
    <w:rsid w:val="00F96EBC"/>
    <w:rsid w:val="00FA22EB"/>
    <w:rsid w:val="00FA5F26"/>
    <w:rsid w:val="00FA691C"/>
    <w:rsid w:val="00FA7D1B"/>
    <w:rsid w:val="00FB1C98"/>
    <w:rsid w:val="00FB26A8"/>
    <w:rsid w:val="00FB37E4"/>
    <w:rsid w:val="00FB50EA"/>
    <w:rsid w:val="00FC1305"/>
    <w:rsid w:val="00FC3E24"/>
    <w:rsid w:val="00FC3FE8"/>
    <w:rsid w:val="00FC71BE"/>
    <w:rsid w:val="00FC7B98"/>
    <w:rsid w:val="00FD362F"/>
    <w:rsid w:val="00FD6F49"/>
    <w:rsid w:val="00FD7EFD"/>
    <w:rsid w:val="00FE2A33"/>
    <w:rsid w:val="00FE7793"/>
    <w:rsid w:val="00FF5E07"/>
    <w:rsid w:val="00FF79D4"/>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BB90A"/>
  <w15:docId w15:val="{08DC4779-B94D-4EA1-8226-190B5768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4E"/>
    <w:rPr>
      <w:rFonts w:eastAsia="Times New Roman" w:cs="Times New Roman"/>
      <w:szCs w:val="24"/>
    </w:rPr>
  </w:style>
  <w:style w:type="paragraph" w:styleId="Heading4">
    <w:name w:val="heading 4"/>
    <w:basedOn w:val="Normal"/>
    <w:next w:val="Normal"/>
    <w:link w:val="Heading4Char"/>
    <w:qFormat/>
    <w:rsid w:val="00AA2393"/>
    <w:pPr>
      <w:keepNext/>
      <w:jc w:val="center"/>
      <w:outlineLvl w:val="3"/>
    </w:pPr>
    <w:rPr>
      <w:rFonts w:ascii="Calibri" w:hAnsi="Calibri"/>
      <w:b/>
      <w:bCs/>
      <w:sz w:val="28"/>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A2393"/>
    <w:rPr>
      <w:rFonts w:ascii="Calibri" w:eastAsia="Times New Roman" w:hAnsi="Calibri" w:cs="Times New Roman"/>
      <w:b/>
      <w:bCs/>
      <w:sz w:val="28"/>
      <w:szCs w:val="28"/>
      <w:lang w:val="en-GB" w:eastAsia="x-none"/>
    </w:rPr>
  </w:style>
  <w:style w:type="paragraph" w:styleId="Header">
    <w:name w:val="header"/>
    <w:basedOn w:val="Normal"/>
    <w:link w:val="HeaderChar"/>
    <w:uiPriority w:val="99"/>
    <w:rsid w:val="00AA2393"/>
    <w:pPr>
      <w:tabs>
        <w:tab w:val="center" w:pos="4153"/>
        <w:tab w:val="right" w:pos="8306"/>
      </w:tabs>
    </w:pPr>
    <w:rPr>
      <w:lang w:val="en-GB" w:eastAsia="x-none"/>
    </w:rPr>
  </w:style>
  <w:style w:type="character" w:customStyle="1" w:styleId="HeaderChar">
    <w:name w:val="Header Char"/>
    <w:basedOn w:val="DefaultParagraphFont"/>
    <w:link w:val="Header"/>
    <w:uiPriority w:val="99"/>
    <w:rsid w:val="00AA2393"/>
    <w:rPr>
      <w:rFonts w:eastAsia="Times New Roman" w:cs="Times New Roman"/>
      <w:szCs w:val="24"/>
      <w:lang w:val="en-GB" w:eastAsia="x-none"/>
    </w:rPr>
  </w:style>
  <w:style w:type="paragraph" w:styleId="Footer">
    <w:name w:val="footer"/>
    <w:basedOn w:val="Normal"/>
    <w:link w:val="FooterChar"/>
    <w:uiPriority w:val="99"/>
    <w:rsid w:val="00AA2393"/>
    <w:pPr>
      <w:tabs>
        <w:tab w:val="center" w:pos="4153"/>
        <w:tab w:val="right" w:pos="8306"/>
      </w:tabs>
    </w:pPr>
    <w:rPr>
      <w:lang w:val="en-GB" w:eastAsia="x-none"/>
    </w:rPr>
  </w:style>
  <w:style w:type="character" w:customStyle="1" w:styleId="FooterChar">
    <w:name w:val="Footer Char"/>
    <w:basedOn w:val="DefaultParagraphFont"/>
    <w:link w:val="Footer"/>
    <w:uiPriority w:val="99"/>
    <w:rsid w:val="00AA2393"/>
    <w:rPr>
      <w:rFonts w:eastAsia="Times New Roman" w:cs="Times New Roman"/>
      <w:szCs w:val="24"/>
      <w:lang w:val="en-GB" w:eastAsia="x-none"/>
    </w:rPr>
  </w:style>
  <w:style w:type="paragraph" w:styleId="BodyText2">
    <w:name w:val="Body Text 2"/>
    <w:basedOn w:val="Normal"/>
    <w:link w:val="BodyText2Char"/>
    <w:rsid w:val="00AA2393"/>
    <w:pPr>
      <w:jc w:val="center"/>
    </w:pPr>
    <w:rPr>
      <w:lang w:val="en-GB" w:eastAsia="x-none"/>
    </w:rPr>
  </w:style>
  <w:style w:type="character" w:customStyle="1" w:styleId="BodyText2Char">
    <w:name w:val="Body Text 2 Char"/>
    <w:basedOn w:val="DefaultParagraphFont"/>
    <w:link w:val="BodyText2"/>
    <w:rsid w:val="00AA2393"/>
    <w:rPr>
      <w:rFonts w:eastAsia="Times New Roman" w:cs="Times New Roman"/>
      <w:szCs w:val="24"/>
      <w:lang w:val="en-GB" w:eastAsia="x-none"/>
    </w:rPr>
  </w:style>
  <w:style w:type="character" w:styleId="PageNumber">
    <w:name w:val="page number"/>
    <w:rsid w:val="00AA2393"/>
    <w:rPr>
      <w:rFonts w:cs="Times New Roman"/>
    </w:rPr>
  </w:style>
  <w:style w:type="character" w:styleId="Hyperlink">
    <w:name w:val="Hyperlink"/>
    <w:rsid w:val="00AA2393"/>
    <w:rPr>
      <w:rFonts w:cs="Times New Roman"/>
      <w:color w:val="0000FF"/>
      <w:u w:val="single"/>
    </w:rPr>
  </w:style>
  <w:style w:type="paragraph" w:styleId="CommentText">
    <w:name w:val="annotation text"/>
    <w:basedOn w:val="Normal"/>
    <w:link w:val="CommentTextChar"/>
    <w:rsid w:val="00AA2393"/>
    <w:rPr>
      <w:sz w:val="20"/>
      <w:szCs w:val="20"/>
      <w:lang w:val="en-GB" w:eastAsia="x-none"/>
    </w:rPr>
  </w:style>
  <w:style w:type="character" w:customStyle="1" w:styleId="CommentTextChar">
    <w:name w:val="Comment Text Char"/>
    <w:basedOn w:val="DefaultParagraphFont"/>
    <w:link w:val="CommentText"/>
    <w:uiPriority w:val="99"/>
    <w:semiHidden/>
    <w:rsid w:val="00AA2393"/>
    <w:rPr>
      <w:rFonts w:eastAsia="Times New Roman" w:cs="Times New Roman"/>
      <w:sz w:val="20"/>
      <w:szCs w:val="20"/>
      <w:lang w:val="en-GB" w:eastAsia="x-none"/>
    </w:rPr>
  </w:style>
  <w:style w:type="paragraph" w:customStyle="1" w:styleId="naiskr">
    <w:name w:val="naiskr"/>
    <w:basedOn w:val="Normal"/>
    <w:rsid w:val="00AA2393"/>
    <w:pPr>
      <w:spacing w:before="100" w:beforeAutospacing="1" w:after="100" w:afterAutospacing="1"/>
    </w:pPr>
    <w:rPr>
      <w:rFonts w:eastAsia="Arial Unicode MS"/>
    </w:rPr>
  </w:style>
  <w:style w:type="paragraph" w:customStyle="1" w:styleId="naisc">
    <w:name w:val="naisc"/>
    <w:basedOn w:val="Normal"/>
    <w:rsid w:val="00AA2393"/>
    <w:pPr>
      <w:spacing w:before="100" w:beforeAutospacing="1" w:after="100" w:afterAutospacing="1"/>
      <w:jc w:val="center"/>
    </w:pPr>
    <w:rPr>
      <w:rFonts w:eastAsia="Arial Unicode MS"/>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
    <w:basedOn w:val="Normal"/>
    <w:link w:val="FootnoteTextChar"/>
    <w:uiPriority w:val="99"/>
    <w:rsid w:val="00AA2393"/>
    <w:pPr>
      <w:ind w:left="720" w:hanging="720"/>
      <w:jc w:val="both"/>
    </w:pPr>
    <w:rPr>
      <w:sz w:val="20"/>
      <w:szCs w:val="20"/>
      <w:lang w:val="en-GB" w:eastAsia="x-none"/>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AA2393"/>
    <w:rPr>
      <w:rFonts w:eastAsia="Times New Roman" w:cs="Times New Roman"/>
      <w:sz w:val="20"/>
      <w:szCs w:val="20"/>
      <w:lang w:val="en-GB" w:eastAsia="x-none"/>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uiPriority w:val="99"/>
    <w:qFormat/>
    <w:rsid w:val="00AA2393"/>
    <w:rPr>
      <w:rFonts w:cs="Times New Roman"/>
      <w:vertAlign w:val="superscript"/>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AA2393"/>
    <w:pPr>
      <w:suppressAutoHyphens/>
      <w:autoSpaceDN w:val="0"/>
      <w:spacing w:before="120" w:after="120"/>
      <w:ind w:left="720"/>
      <w:jc w:val="both"/>
      <w:textAlignment w:val="baseline"/>
    </w:pPr>
    <w:rPr>
      <w:lang w:val="x-none" w:eastAsia="x-none"/>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locked/>
    <w:rsid w:val="00AA2393"/>
    <w:rPr>
      <w:rFonts w:eastAsia="Times New Roman" w:cs="Times New Roman"/>
      <w:szCs w:val="24"/>
      <w:lang w:val="x-none" w:eastAsia="x-none"/>
    </w:rPr>
  </w:style>
  <w:style w:type="paragraph" w:customStyle="1" w:styleId="list0020paragraph">
    <w:name w:val="list_0020paragraph"/>
    <w:basedOn w:val="Normal"/>
    <w:rsid w:val="00AA2393"/>
    <w:pPr>
      <w:spacing w:before="100" w:beforeAutospacing="1" w:after="100" w:afterAutospacing="1"/>
    </w:pPr>
    <w:rPr>
      <w:lang w:eastAsia="lv-LV"/>
    </w:rPr>
  </w:style>
  <w:style w:type="character" w:customStyle="1" w:styleId="list0020paragraphchar">
    <w:name w:val="list_0020paragraph__char"/>
    <w:basedOn w:val="DefaultParagraphFont"/>
    <w:rsid w:val="00AA2393"/>
  </w:style>
  <w:style w:type="paragraph" w:styleId="BalloonText">
    <w:name w:val="Balloon Text"/>
    <w:basedOn w:val="Normal"/>
    <w:link w:val="BalloonTextChar"/>
    <w:uiPriority w:val="99"/>
    <w:semiHidden/>
    <w:unhideWhenUsed/>
    <w:rsid w:val="00077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5A"/>
    <w:rPr>
      <w:rFonts w:ascii="Segoe UI" w:eastAsia="Times New Roman" w:hAnsi="Segoe UI" w:cs="Segoe UI"/>
      <w:sz w:val="18"/>
      <w:szCs w:val="18"/>
    </w:rPr>
  </w:style>
  <w:style w:type="paragraph" w:customStyle="1" w:styleId="Pointabc">
    <w:name w:val="Point abc"/>
    <w:basedOn w:val="Normal"/>
    <w:rsid w:val="00585F2E"/>
    <w:pPr>
      <w:numPr>
        <w:ilvl w:val="1"/>
        <w:numId w:val="7"/>
      </w:numPr>
      <w:spacing w:before="120" w:after="120" w:line="360" w:lineRule="auto"/>
    </w:pPr>
    <w:rPr>
      <w:lang w:val="en-GB"/>
    </w:rPr>
  </w:style>
  <w:style w:type="paragraph" w:customStyle="1" w:styleId="Pointabc1">
    <w:name w:val="Point abc (1)"/>
    <w:basedOn w:val="Normal"/>
    <w:rsid w:val="00585F2E"/>
    <w:pPr>
      <w:numPr>
        <w:ilvl w:val="3"/>
        <w:numId w:val="7"/>
      </w:numPr>
      <w:spacing w:before="120" w:after="120" w:line="360" w:lineRule="auto"/>
      <w:outlineLvl w:val="0"/>
    </w:pPr>
    <w:rPr>
      <w:lang w:val="en-GB"/>
    </w:rPr>
  </w:style>
  <w:style w:type="paragraph" w:customStyle="1" w:styleId="Pointabc2">
    <w:name w:val="Point abc (2)"/>
    <w:basedOn w:val="Normal"/>
    <w:rsid w:val="00585F2E"/>
    <w:pPr>
      <w:numPr>
        <w:ilvl w:val="5"/>
        <w:numId w:val="7"/>
      </w:numPr>
      <w:spacing w:before="120" w:after="120" w:line="360" w:lineRule="auto"/>
      <w:outlineLvl w:val="1"/>
    </w:pPr>
    <w:rPr>
      <w:lang w:val="en-GB"/>
    </w:rPr>
  </w:style>
  <w:style w:type="paragraph" w:customStyle="1" w:styleId="Pointabc3">
    <w:name w:val="Point abc (3)"/>
    <w:basedOn w:val="Normal"/>
    <w:rsid w:val="00585F2E"/>
    <w:pPr>
      <w:numPr>
        <w:ilvl w:val="7"/>
        <w:numId w:val="7"/>
      </w:numPr>
      <w:spacing w:before="120" w:after="120" w:line="360" w:lineRule="auto"/>
      <w:outlineLvl w:val="2"/>
    </w:pPr>
    <w:rPr>
      <w:lang w:val="en-GB"/>
    </w:rPr>
  </w:style>
  <w:style w:type="paragraph" w:customStyle="1" w:styleId="Pointabc4">
    <w:name w:val="Point abc (4)"/>
    <w:basedOn w:val="Normal"/>
    <w:rsid w:val="00585F2E"/>
    <w:pPr>
      <w:numPr>
        <w:ilvl w:val="8"/>
        <w:numId w:val="7"/>
      </w:numPr>
      <w:spacing w:before="120" w:after="120" w:line="360" w:lineRule="auto"/>
      <w:outlineLvl w:val="3"/>
    </w:pPr>
    <w:rPr>
      <w:lang w:val="en-GB"/>
    </w:rPr>
  </w:style>
  <w:style w:type="paragraph" w:customStyle="1" w:styleId="Point123">
    <w:name w:val="Point 123"/>
    <w:basedOn w:val="Normal"/>
    <w:rsid w:val="00585F2E"/>
    <w:pPr>
      <w:numPr>
        <w:numId w:val="7"/>
      </w:numPr>
      <w:spacing w:before="120" w:after="120" w:line="360" w:lineRule="auto"/>
    </w:pPr>
    <w:rPr>
      <w:lang w:val="en-GB"/>
    </w:rPr>
  </w:style>
  <w:style w:type="paragraph" w:customStyle="1" w:styleId="Point1231">
    <w:name w:val="Point 123 (1)"/>
    <w:basedOn w:val="Normal"/>
    <w:rsid w:val="00585F2E"/>
    <w:pPr>
      <w:numPr>
        <w:ilvl w:val="2"/>
        <w:numId w:val="7"/>
      </w:numPr>
      <w:spacing w:before="120" w:after="120" w:line="360" w:lineRule="auto"/>
      <w:outlineLvl w:val="0"/>
    </w:pPr>
    <w:rPr>
      <w:lang w:val="en-GB"/>
    </w:rPr>
  </w:style>
  <w:style w:type="paragraph" w:customStyle="1" w:styleId="Point1232">
    <w:name w:val="Point 123 (2)"/>
    <w:basedOn w:val="Normal"/>
    <w:rsid w:val="00585F2E"/>
    <w:pPr>
      <w:numPr>
        <w:ilvl w:val="4"/>
        <w:numId w:val="7"/>
      </w:numPr>
      <w:spacing w:before="120" w:after="120" w:line="360" w:lineRule="auto"/>
      <w:outlineLvl w:val="1"/>
    </w:pPr>
    <w:rPr>
      <w:lang w:val="en-GB"/>
    </w:rPr>
  </w:style>
  <w:style w:type="paragraph" w:customStyle="1" w:styleId="Point1233">
    <w:name w:val="Point 123 (3)"/>
    <w:basedOn w:val="Normal"/>
    <w:rsid w:val="00585F2E"/>
    <w:pPr>
      <w:numPr>
        <w:ilvl w:val="6"/>
        <w:numId w:val="7"/>
      </w:numPr>
      <w:spacing w:before="120" w:after="120" w:line="360" w:lineRule="auto"/>
      <w:outlineLvl w:val="2"/>
    </w:pPr>
    <w:rPr>
      <w:lang w:val="en-GB"/>
    </w:rPr>
  </w:style>
  <w:style w:type="paragraph" w:customStyle="1" w:styleId="Dash1">
    <w:name w:val="Dash 1"/>
    <w:basedOn w:val="Normal"/>
    <w:rsid w:val="006E7152"/>
    <w:pPr>
      <w:numPr>
        <w:numId w:val="9"/>
      </w:numPr>
      <w:spacing w:before="120" w:after="120" w:line="360" w:lineRule="auto"/>
      <w:outlineLvl w:val="0"/>
    </w:pPr>
    <w:rPr>
      <w:lang w:val="en-GB"/>
    </w:rPr>
  </w:style>
  <w:style w:type="paragraph" w:customStyle="1" w:styleId="HeadingIVX">
    <w:name w:val="Heading IVX"/>
    <w:basedOn w:val="Normal"/>
    <w:next w:val="Normal"/>
    <w:rsid w:val="006E7152"/>
    <w:pPr>
      <w:numPr>
        <w:numId w:val="10"/>
      </w:numPr>
      <w:spacing w:before="360" w:after="120" w:line="360" w:lineRule="auto"/>
      <w:outlineLvl w:val="0"/>
    </w:pPr>
    <w:rPr>
      <w:b/>
      <w:caps/>
      <w:u w:val="single"/>
      <w:lang w:val="en-GB"/>
    </w:rPr>
  </w:style>
  <w:style w:type="paragraph" w:styleId="Title">
    <w:name w:val="Title"/>
    <w:basedOn w:val="Normal"/>
    <w:next w:val="Normal"/>
    <w:link w:val="TitleChar"/>
    <w:uiPriority w:val="10"/>
    <w:qFormat/>
    <w:rsid w:val="004B63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3D8"/>
    <w:rPr>
      <w:rFonts w:asciiTheme="majorHAnsi" w:eastAsiaTheme="majorEastAsia" w:hAnsiTheme="majorHAnsi" w:cstheme="majorBidi"/>
      <w:spacing w:val="-10"/>
      <w:kern w:val="28"/>
      <w:sz w:val="56"/>
      <w:szCs w:val="56"/>
    </w:rPr>
  </w:style>
  <w:style w:type="paragraph" w:customStyle="1" w:styleId="Default">
    <w:name w:val="Default"/>
    <w:rsid w:val="004E49D8"/>
    <w:pPr>
      <w:autoSpaceDE w:val="0"/>
      <w:autoSpaceDN w:val="0"/>
      <w:adjustRightInd w:val="0"/>
    </w:pPr>
    <w:rPr>
      <w:rFonts w:ascii="Arial" w:hAnsi="Arial" w:cs="Arial"/>
      <w:color w:val="000000"/>
      <w:szCs w:val="24"/>
    </w:rPr>
  </w:style>
  <w:style w:type="character" w:styleId="CommentReference">
    <w:name w:val="annotation reference"/>
    <w:basedOn w:val="DefaultParagraphFont"/>
    <w:uiPriority w:val="99"/>
    <w:unhideWhenUsed/>
    <w:rsid w:val="00615AB2"/>
    <w:rPr>
      <w:sz w:val="16"/>
      <w:szCs w:val="16"/>
    </w:rPr>
  </w:style>
  <w:style w:type="paragraph" w:customStyle="1" w:styleId="ManualHeading2">
    <w:name w:val="Manual Heading 2"/>
    <w:basedOn w:val="Normal"/>
    <w:next w:val="Normal"/>
    <w:rsid w:val="007770D1"/>
    <w:pPr>
      <w:keepNext/>
      <w:tabs>
        <w:tab w:val="left" w:pos="850"/>
      </w:tabs>
      <w:spacing w:before="120" w:after="120"/>
      <w:ind w:left="850" w:hanging="850"/>
      <w:jc w:val="both"/>
      <w:outlineLvl w:val="1"/>
    </w:pPr>
    <w:rPr>
      <w:rFonts w:eastAsiaTheme="minorHAnsi"/>
      <w:b/>
      <w:szCs w:val="22"/>
      <w:lang w:eastAsia="lv-LV" w:bidi="lv-LV"/>
    </w:rPr>
  </w:style>
  <w:style w:type="paragraph" w:customStyle="1" w:styleId="Text1">
    <w:name w:val="Text 1"/>
    <w:basedOn w:val="Normal"/>
    <w:rsid w:val="00F01683"/>
    <w:pPr>
      <w:spacing w:before="120" w:after="120"/>
      <w:ind w:left="850"/>
      <w:jc w:val="both"/>
    </w:pPr>
    <w:rPr>
      <w:rFonts w:eastAsiaTheme="minorHAnsi"/>
      <w:szCs w:val="22"/>
      <w:lang w:eastAsia="lv-LV" w:bidi="lv-LV"/>
    </w:rPr>
  </w:style>
  <w:style w:type="character" w:styleId="Strong">
    <w:name w:val="Strong"/>
    <w:basedOn w:val="DefaultParagraphFont"/>
    <w:uiPriority w:val="22"/>
    <w:qFormat/>
    <w:rsid w:val="00F85EA1"/>
    <w:rPr>
      <w:b/>
      <w:bCs/>
    </w:rPr>
  </w:style>
  <w:style w:type="paragraph" w:styleId="CommentSubject">
    <w:name w:val="annotation subject"/>
    <w:basedOn w:val="CommentText"/>
    <w:next w:val="CommentText"/>
    <w:link w:val="CommentSubjectChar"/>
    <w:uiPriority w:val="99"/>
    <w:semiHidden/>
    <w:unhideWhenUsed/>
    <w:rsid w:val="00FB1C98"/>
    <w:rPr>
      <w:b/>
      <w:bCs/>
      <w:lang w:val="lv-LV" w:eastAsia="en-US"/>
    </w:rPr>
  </w:style>
  <w:style w:type="character" w:customStyle="1" w:styleId="CommentSubjectChar">
    <w:name w:val="Comment Subject Char"/>
    <w:basedOn w:val="CommentTextChar"/>
    <w:link w:val="CommentSubject"/>
    <w:uiPriority w:val="99"/>
    <w:semiHidden/>
    <w:rsid w:val="00FB1C98"/>
    <w:rPr>
      <w:rFonts w:eastAsia="Times New Roman" w:cs="Times New Roman"/>
      <w:b/>
      <w:bCs/>
      <w:sz w:val="20"/>
      <w:szCs w:val="20"/>
      <w:lang w:val="en-GB" w:eastAsia="x-none"/>
    </w:rPr>
  </w:style>
  <w:style w:type="paragraph" w:styleId="NoSpacing">
    <w:name w:val="No Spacing"/>
    <w:uiPriority w:val="1"/>
    <w:qFormat/>
    <w:rsid w:val="00FB26A8"/>
    <w:rPr>
      <w:rFonts w:eastAsia="Times New Roman" w:cs="Times New Roman"/>
      <w:szCs w:val="24"/>
    </w:rPr>
  </w:style>
  <w:style w:type="character" w:styleId="FollowedHyperlink">
    <w:name w:val="FollowedHyperlink"/>
    <w:basedOn w:val="DefaultParagraphFont"/>
    <w:uiPriority w:val="99"/>
    <w:semiHidden/>
    <w:unhideWhenUsed/>
    <w:rsid w:val="00ED6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69695">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1155343622">
      <w:bodyDiv w:val="1"/>
      <w:marLeft w:val="0"/>
      <w:marRight w:val="0"/>
      <w:marTop w:val="0"/>
      <w:marBottom w:val="0"/>
      <w:divBdr>
        <w:top w:val="none" w:sz="0" w:space="0" w:color="auto"/>
        <w:left w:val="none" w:sz="0" w:space="0" w:color="auto"/>
        <w:bottom w:val="none" w:sz="0" w:space="0" w:color="auto"/>
        <w:right w:val="none" w:sz="0" w:space="0" w:color="auto"/>
      </w:divBdr>
    </w:div>
    <w:div w:id="18161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uzins@fm.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s.Auzins@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ssuu.com/sse_riga/docs/bro__ra_latviski_2020" TargetMode="External"/><Relationship Id="rId4" Type="http://schemas.openxmlformats.org/officeDocument/2006/relationships/settings" Target="settings.xml"/><Relationship Id="rId9" Type="http://schemas.openxmlformats.org/officeDocument/2006/relationships/hyperlink" Target="mailto:ESlietas@f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26433a27-c75c-11ea-adf7-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D8CE0-8DE0-43A7-97C3-69F942B7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7</Pages>
  <Words>10982</Words>
  <Characters>6260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DAC7 direktīva</vt:lpstr>
    </vt:vector>
  </TitlesOfParts>
  <Company>Finanšu ministrija</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DAC7 direktīva</dc:title>
  <dc:subject>pozīcija</dc:subject>
  <dc:creator>Roberts Auziņš</dc:creator>
  <dc:description>Roberts.Auzins@fm.gov.lv_x000d_
67083919</dc:description>
  <cp:lastModifiedBy>Tatjana Trenko</cp:lastModifiedBy>
  <cp:revision>26</cp:revision>
  <cp:lastPrinted>2016-11-30T15:56:00Z</cp:lastPrinted>
  <dcterms:created xsi:type="dcterms:W3CDTF">2020-08-11T12:21:00Z</dcterms:created>
  <dcterms:modified xsi:type="dcterms:W3CDTF">2020-08-27T10:35:00Z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