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60D53" w14:textId="72FF8D2B" w:rsidR="00681E25" w:rsidRDefault="00920A52" w:rsidP="00DA68E7">
      <w:pPr>
        <w:jc w:val="center"/>
        <w:rPr>
          <w:b/>
          <w:sz w:val="26"/>
          <w:szCs w:val="26"/>
        </w:rPr>
      </w:pPr>
      <w:bookmarkStart w:id="0" w:name="OLE_LINK3"/>
      <w:bookmarkStart w:id="1" w:name="OLE_LINK4"/>
      <w:bookmarkStart w:id="2" w:name="OLE_LINK1"/>
      <w:r w:rsidRPr="00920A52">
        <w:rPr>
          <w:b/>
          <w:sz w:val="26"/>
          <w:szCs w:val="26"/>
        </w:rPr>
        <w:t>Minis</w:t>
      </w:r>
      <w:r w:rsidR="00113533">
        <w:rPr>
          <w:b/>
          <w:sz w:val="26"/>
          <w:szCs w:val="26"/>
        </w:rPr>
        <w:t>tru kabineta rīkojuma projekta „</w:t>
      </w:r>
      <w:r w:rsidR="00DA68E7" w:rsidRPr="00DA68E7">
        <w:rPr>
          <w:b/>
          <w:sz w:val="26"/>
          <w:szCs w:val="26"/>
        </w:rPr>
        <w:t xml:space="preserve">Par finanšu līdzekļu piešķiršanu no valsts budžeta programmas </w:t>
      </w:r>
      <w:r w:rsidR="00DA68E7">
        <w:rPr>
          <w:b/>
          <w:sz w:val="26"/>
          <w:szCs w:val="26"/>
        </w:rPr>
        <w:t>„</w:t>
      </w:r>
      <w:r w:rsidR="00DA68E7" w:rsidRPr="00DA68E7">
        <w:rPr>
          <w:b/>
          <w:sz w:val="26"/>
          <w:szCs w:val="26"/>
        </w:rPr>
        <w:t>Lī</w:t>
      </w:r>
      <w:r w:rsidR="00DA68E7">
        <w:rPr>
          <w:b/>
          <w:sz w:val="26"/>
          <w:szCs w:val="26"/>
        </w:rPr>
        <w:t>dzekļi neparedzētiem gadījumiem””</w:t>
      </w:r>
      <w:r w:rsidRPr="00920A52">
        <w:rPr>
          <w:b/>
          <w:sz w:val="26"/>
          <w:szCs w:val="26"/>
        </w:rPr>
        <w:t xml:space="preserve"> sākotnējās ietekmes novērtējuma ziņojums (anotācija)</w:t>
      </w:r>
    </w:p>
    <w:p w14:paraId="4E59E4F2" w14:textId="77777777" w:rsidR="00761B03" w:rsidRDefault="00761B03" w:rsidP="00920A52">
      <w:pPr>
        <w:jc w:val="center"/>
        <w:rPr>
          <w:b/>
          <w:sz w:val="26"/>
          <w:szCs w:val="26"/>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47"/>
        <w:gridCol w:w="7513"/>
      </w:tblGrid>
      <w:tr w:rsidR="00717D4B" w:rsidRPr="00317B6A" w14:paraId="43EC8E26" w14:textId="77777777" w:rsidTr="00DB6D8A">
        <w:tc>
          <w:tcPr>
            <w:tcW w:w="10060" w:type="dxa"/>
            <w:gridSpan w:val="2"/>
            <w:vAlign w:val="center"/>
          </w:tcPr>
          <w:p w14:paraId="69B0EFCD" w14:textId="77777777" w:rsidR="00717D4B" w:rsidRPr="00317B6A" w:rsidRDefault="00717D4B" w:rsidP="001B2A96">
            <w:pPr>
              <w:pStyle w:val="naisnod"/>
              <w:spacing w:before="0" w:after="0"/>
            </w:pPr>
            <w:r w:rsidRPr="00717D4B">
              <w:t>Tiesību akta projekta anotācijas kopsavilkums</w:t>
            </w:r>
          </w:p>
        </w:tc>
      </w:tr>
      <w:tr w:rsidR="00667437" w:rsidRPr="00317B6A" w14:paraId="1F5874AC" w14:textId="77777777" w:rsidTr="00DB6D8A">
        <w:trPr>
          <w:trHeight w:val="476"/>
        </w:trPr>
        <w:tc>
          <w:tcPr>
            <w:tcW w:w="2547" w:type="dxa"/>
            <w:tcBorders>
              <w:bottom w:val="single" w:sz="4" w:space="0" w:color="auto"/>
            </w:tcBorders>
          </w:tcPr>
          <w:p w14:paraId="65161940" w14:textId="387F3FA4" w:rsidR="00667437" w:rsidRPr="00317B6A" w:rsidRDefault="00A67C41" w:rsidP="00667437">
            <w:pPr>
              <w:pStyle w:val="naiskr"/>
              <w:spacing w:before="0" w:after="0"/>
              <w:ind w:left="141"/>
            </w:pPr>
            <w:r w:rsidRPr="00A67C41">
              <w:t>Mērķis, risinājums un projekta spēkā stāšanās laiks (500 zīmes bez atstarpēm)</w:t>
            </w:r>
          </w:p>
        </w:tc>
        <w:tc>
          <w:tcPr>
            <w:tcW w:w="7513" w:type="dxa"/>
            <w:tcBorders>
              <w:bottom w:val="single" w:sz="4" w:space="0" w:color="auto"/>
            </w:tcBorders>
          </w:tcPr>
          <w:p w14:paraId="1BD3971A" w14:textId="7DEAA810" w:rsidR="00425D52" w:rsidRPr="00317B6A" w:rsidRDefault="00032A0F" w:rsidP="00864958">
            <w:pPr>
              <w:ind w:left="82" w:right="141"/>
              <w:jc w:val="both"/>
            </w:pPr>
            <w:r w:rsidRPr="00425D52">
              <w:t xml:space="preserve">Projekts paredz </w:t>
            </w:r>
            <w:r w:rsidR="000D0D39" w:rsidRPr="00425D52">
              <w:t xml:space="preserve">no valsts budžeta programmas 02.00.00 „Līdzekļi neparedzētiem gadījumiem” piešķirt </w:t>
            </w:r>
            <w:r w:rsidR="000D0D39" w:rsidRPr="00425D52">
              <w:br/>
            </w:r>
            <w:r w:rsidR="00EA1BF4" w:rsidRPr="00EA1BF4">
              <w:t>2 040</w:t>
            </w:r>
            <w:r w:rsidR="00ED5E3B">
              <w:t> </w:t>
            </w:r>
            <w:r w:rsidR="00EA1BF4" w:rsidRPr="00EA1BF4">
              <w:t>000</w:t>
            </w:r>
            <w:r w:rsidR="00ED5E3B">
              <w:t xml:space="preserve"> </w:t>
            </w:r>
            <w:proofErr w:type="spellStart"/>
            <w:r w:rsidR="000D0D39" w:rsidRPr="00425D52">
              <w:rPr>
                <w:i/>
              </w:rPr>
              <w:t>euro</w:t>
            </w:r>
            <w:proofErr w:type="spellEnd"/>
            <w:r w:rsidR="000D0D39" w:rsidRPr="00425D52">
              <w:t xml:space="preserve">, lai </w:t>
            </w:r>
            <w:r w:rsidR="00864958" w:rsidRPr="00EA1BF4">
              <w:t xml:space="preserve">atbilstoši veiktajiem grozījumiem Ministru kabineta 2004. gada 24. augusta noteikumos Nr. 740 “Noteikumi par stipendijām” </w:t>
            </w:r>
            <w:r w:rsidR="00425D52" w:rsidRPr="00425D52">
              <w:t>palielinātu stipendiju apmēru un skaitu pirmā līmeņa profesionālās augstākās izglītības (koledžas), bakalaura un maģistra līmeņa studijām Izglītības un zinātnes ministrijas, Veselības ministrijas, Zemkopības ministrijas, Labklājības ministrijas un Kultūras ministrijas padotībā esošajām koledžām un augstskolām</w:t>
            </w:r>
            <w:r w:rsidR="00425D52">
              <w:t>.</w:t>
            </w:r>
          </w:p>
        </w:tc>
      </w:tr>
    </w:tbl>
    <w:p w14:paraId="1F80B51E" w14:textId="77777777" w:rsidR="00717D4B" w:rsidRPr="00920A52" w:rsidRDefault="00717D4B" w:rsidP="00920A52">
      <w:pPr>
        <w:jc w:val="center"/>
        <w:rPr>
          <w:b/>
          <w:sz w:val="26"/>
          <w:szCs w:val="26"/>
        </w:rPr>
      </w:pPr>
    </w:p>
    <w:tbl>
      <w:tblPr>
        <w:tblpPr w:leftFromText="180" w:rightFromText="180" w:vertAnchor="text" w:horzAnchor="margin" w:tblpXSpec="center" w:tblpY="149"/>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1884"/>
        <w:gridCol w:w="7755"/>
      </w:tblGrid>
      <w:tr w:rsidR="00585B7B" w:rsidRPr="00317B6A" w14:paraId="49F7013D" w14:textId="77777777" w:rsidTr="00DA1547">
        <w:tc>
          <w:tcPr>
            <w:tcW w:w="10201" w:type="dxa"/>
            <w:gridSpan w:val="3"/>
            <w:vAlign w:val="center"/>
          </w:tcPr>
          <w:bookmarkEnd w:id="0"/>
          <w:bookmarkEnd w:id="1"/>
          <w:bookmarkEnd w:id="2"/>
          <w:p w14:paraId="27B0F014" w14:textId="77777777" w:rsidR="00585B7B" w:rsidRPr="00317B6A" w:rsidRDefault="00585B7B" w:rsidP="00194A0F">
            <w:pPr>
              <w:pStyle w:val="naisnod"/>
              <w:spacing w:before="0" w:after="0"/>
            </w:pPr>
            <w:r w:rsidRPr="00317B6A">
              <w:t>I. Tiesību akta projekta izstrādes nepieciešamība</w:t>
            </w:r>
          </w:p>
        </w:tc>
      </w:tr>
      <w:tr w:rsidR="00585B7B" w:rsidRPr="00B24229" w14:paraId="1B27C5D4" w14:textId="77777777" w:rsidTr="00DA1547">
        <w:trPr>
          <w:trHeight w:val="630"/>
        </w:trPr>
        <w:tc>
          <w:tcPr>
            <w:tcW w:w="562" w:type="dxa"/>
          </w:tcPr>
          <w:p w14:paraId="23F75010" w14:textId="77777777" w:rsidR="00585B7B" w:rsidRPr="00B24229" w:rsidRDefault="00585B7B" w:rsidP="00BD696A">
            <w:pPr>
              <w:pStyle w:val="naiskr"/>
              <w:spacing w:before="0" w:after="0"/>
              <w:jc w:val="center"/>
            </w:pPr>
            <w:r w:rsidRPr="00B24229">
              <w:t>1.</w:t>
            </w:r>
          </w:p>
        </w:tc>
        <w:tc>
          <w:tcPr>
            <w:tcW w:w="1884" w:type="dxa"/>
          </w:tcPr>
          <w:p w14:paraId="61C7338D" w14:textId="3B25BEC8" w:rsidR="00ED01CB" w:rsidRDefault="00585B7B" w:rsidP="00B33243">
            <w:pPr>
              <w:pStyle w:val="naiskr"/>
              <w:tabs>
                <w:tab w:val="right" w:pos="2537"/>
              </w:tabs>
              <w:spacing w:before="0" w:after="0"/>
              <w:ind w:left="141" w:hanging="10"/>
            </w:pPr>
            <w:r w:rsidRPr="00B24229">
              <w:t>Pamatojums</w:t>
            </w:r>
            <w:r w:rsidR="00B33243">
              <w:tab/>
            </w:r>
          </w:p>
          <w:p w14:paraId="34EB22D4" w14:textId="77777777" w:rsidR="00ED01CB" w:rsidRPr="00ED01CB" w:rsidRDefault="00ED01CB" w:rsidP="00ED01CB"/>
          <w:p w14:paraId="1CA5BA33" w14:textId="77777777" w:rsidR="00ED01CB" w:rsidRPr="00ED01CB" w:rsidRDefault="00ED01CB" w:rsidP="00ED01CB"/>
          <w:p w14:paraId="15AFB181" w14:textId="77777777" w:rsidR="00ED01CB" w:rsidRPr="00ED01CB" w:rsidRDefault="00ED01CB" w:rsidP="00ED01CB"/>
          <w:p w14:paraId="3214E29D" w14:textId="10395172" w:rsidR="00ED01CB" w:rsidRDefault="00ED01CB" w:rsidP="00ED01CB"/>
          <w:p w14:paraId="01F64302" w14:textId="77777777" w:rsidR="00585B7B" w:rsidRPr="00ED01CB" w:rsidRDefault="00585B7B" w:rsidP="00ED01CB">
            <w:pPr>
              <w:jc w:val="center"/>
            </w:pPr>
          </w:p>
        </w:tc>
        <w:tc>
          <w:tcPr>
            <w:tcW w:w="7755" w:type="dxa"/>
          </w:tcPr>
          <w:p w14:paraId="7B53C9B6" w14:textId="249556C4" w:rsidR="00864958" w:rsidRPr="00864958" w:rsidRDefault="00864958" w:rsidP="007E6DA5">
            <w:pPr>
              <w:pStyle w:val="ListParagraph"/>
              <w:numPr>
                <w:ilvl w:val="0"/>
                <w:numId w:val="26"/>
              </w:numPr>
              <w:jc w:val="both"/>
            </w:pPr>
            <w:r w:rsidRPr="00864958">
              <w:t>Grozījumi Ministru kabineta 2004. gada 24. augusta noteikumos Nr. 740 “Noteikumi par stipendijām”</w:t>
            </w:r>
            <w:r w:rsidR="007E6DA5">
              <w:t xml:space="preserve"> </w:t>
            </w:r>
            <w:r w:rsidR="007E6DA5" w:rsidRPr="007E6DA5">
              <w:t>(i</w:t>
            </w:r>
            <w:r w:rsidR="007E6DA5" w:rsidRPr="007E6DA5">
              <w:rPr>
                <w:shd w:val="clear" w:color="auto" w:fill="FFFFFF"/>
              </w:rPr>
              <w:t>zskatīts M</w:t>
            </w:r>
            <w:r w:rsidR="007E6DA5">
              <w:rPr>
                <w:shd w:val="clear" w:color="auto" w:fill="FFFFFF"/>
              </w:rPr>
              <w:t>inistru kabineta</w:t>
            </w:r>
            <w:r w:rsidR="007E6DA5" w:rsidRPr="007E6DA5">
              <w:rPr>
                <w:shd w:val="clear" w:color="auto" w:fill="FFFFFF"/>
              </w:rPr>
              <w:t xml:space="preserve"> 2020. gada</w:t>
            </w:r>
            <w:r w:rsidR="007E6DA5">
              <w:rPr>
                <w:shd w:val="clear" w:color="auto" w:fill="FFFFFF"/>
              </w:rPr>
              <w:t xml:space="preserve">            </w:t>
            </w:r>
            <w:r w:rsidR="007E6DA5" w:rsidRPr="007E6DA5">
              <w:rPr>
                <w:shd w:val="clear" w:color="auto" w:fill="FFFFFF"/>
              </w:rPr>
              <w:t>11. augustā sēdē).</w:t>
            </w:r>
          </w:p>
          <w:p w14:paraId="70A8D5D2" w14:textId="0B4F45C0" w:rsidR="00E251D1" w:rsidRPr="007E6DA5" w:rsidRDefault="00E251D1" w:rsidP="007E6DA5">
            <w:pPr>
              <w:pStyle w:val="ListParagraph"/>
              <w:numPr>
                <w:ilvl w:val="0"/>
                <w:numId w:val="26"/>
              </w:numPr>
              <w:ind w:left="461" w:right="142"/>
              <w:jc w:val="both"/>
            </w:pPr>
            <w:r w:rsidRPr="008E6979">
              <w:t>Covid-19 infekcijas izplatības seku pārvarēšanas likuma 24. un 25.</w:t>
            </w:r>
            <w:r>
              <w:t xml:space="preserve"> pants</w:t>
            </w:r>
            <w:r w:rsidRPr="008E6979">
              <w:t xml:space="preserve"> un Ministru kabineta 2018.</w:t>
            </w:r>
            <w:r>
              <w:t xml:space="preserve"> </w:t>
            </w:r>
            <w:r w:rsidRPr="008E6979">
              <w:t>gada 17.</w:t>
            </w:r>
            <w:r>
              <w:t xml:space="preserve"> </w:t>
            </w:r>
            <w:r w:rsidRPr="008E6979">
              <w:t>jūlija noteikumu Nr.</w:t>
            </w:r>
            <w:r>
              <w:t xml:space="preserve"> </w:t>
            </w:r>
            <w:r w:rsidRPr="008E6979">
              <w:t>421 „Kārtība, kādā veic gadskārtējā valsts budžeta likumā noteiktās apropriācijas iz</w:t>
            </w:r>
            <w:r w:rsidRPr="007E6DA5">
              <w:t>maiņas” 43. punkts.</w:t>
            </w:r>
          </w:p>
          <w:p w14:paraId="7AEC76C8" w14:textId="046E3483" w:rsidR="002C76A3" w:rsidRDefault="00D8583F" w:rsidP="002D0758">
            <w:pPr>
              <w:pStyle w:val="ListParagraph"/>
              <w:numPr>
                <w:ilvl w:val="0"/>
                <w:numId w:val="26"/>
              </w:numPr>
              <w:ind w:right="142"/>
              <w:jc w:val="both"/>
            </w:pPr>
            <w:r w:rsidRPr="007E6DA5">
              <w:t xml:space="preserve">Ministru kabineta </w:t>
            </w:r>
            <w:r w:rsidR="00E251D1" w:rsidRPr="007E6DA5">
              <w:t>2020</w:t>
            </w:r>
            <w:r w:rsidRPr="007E6DA5">
              <w:t>.</w:t>
            </w:r>
            <w:r w:rsidR="00F4110D" w:rsidRPr="007E6DA5">
              <w:t xml:space="preserve"> </w:t>
            </w:r>
            <w:r w:rsidRPr="007E6DA5">
              <w:t xml:space="preserve">gada </w:t>
            </w:r>
            <w:r w:rsidR="00E251D1" w:rsidRPr="007E6DA5">
              <w:t xml:space="preserve">2. jūnija </w:t>
            </w:r>
            <w:r w:rsidRPr="007E6DA5">
              <w:t>sēdes protokollēmuma „</w:t>
            </w:r>
            <w:r w:rsidR="00E251D1" w:rsidRPr="007E6DA5">
              <w:t>Informatīvais</w:t>
            </w:r>
            <w:r w:rsidR="00E251D1">
              <w:t xml:space="preserve"> ziņojums „</w:t>
            </w:r>
            <w:r w:rsidR="00E251D1" w:rsidRPr="00E251D1">
              <w:t xml:space="preserve">Par pasākumiem Covid-19 krīzes pārvarēšanai </w:t>
            </w:r>
            <w:r w:rsidR="00E251D1" w:rsidRPr="007E6DA5">
              <w:t>un ekonomikas atlabšanai””</w:t>
            </w:r>
            <w:r w:rsidRPr="007E6DA5">
              <w:t xml:space="preserve"> (prot. Nr.</w:t>
            </w:r>
            <w:r w:rsidR="00E251D1" w:rsidRPr="007E6DA5">
              <w:t>38</w:t>
            </w:r>
            <w:r w:rsidRPr="007E6DA5">
              <w:t xml:space="preserve"> </w:t>
            </w:r>
            <w:r w:rsidR="00E251D1" w:rsidRPr="007E6DA5">
              <w:t>49</w:t>
            </w:r>
            <w:r w:rsidRPr="007E6DA5">
              <w:t xml:space="preserve">.§.) </w:t>
            </w:r>
            <w:r w:rsidR="00E251D1" w:rsidRPr="007E6DA5">
              <w:t>1</w:t>
            </w:r>
            <w:r w:rsidRPr="007E6DA5">
              <w:t>4.</w:t>
            </w:r>
            <w:r w:rsidR="00F4110D" w:rsidRPr="007E6DA5">
              <w:t xml:space="preserve"> </w:t>
            </w:r>
            <w:r w:rsidRPr="007E6DA5">
              <w:t>punkts</w:t>
            </w:r>
            <w:r w:rsidR="00AA3148" w:rsidRPr="007E6DA5">
              <w:t>.</w:t>
            </w:r>
          </w:p>
          <w:p w14:paraId="689444FE" w14:textId="5434B0C4" w:rsidR="007E6DA5" w:rsidRPr="007E6DA5" w:rsidRDefault="00AE79B9" w:rsidP="007E6DA5">
            <w:pPr>
              <w:pStyle w:val="ListParagraph"/>
              <w:numPr>
                <w:ilvl w:val="0"/>
                <w:numId w:val="26"/>
              </w:numPr>
              <w:ind w:right="142"/>
              <w:jc w:val="both"/>
            </w:pPr>
            <w:r w:rsidRPr="007E6DA5">
              <w:t xml:space="preserve">Ministru kabineta 2020. gada 11. augusta sēdes </w:t>
            </w:r>
            <w:proofErr w:type="spellStart"/>
            <w:r w:rsidRPr="007E6DA5">
              <w:t>protokollēmuma</w:t>
            </w:r>
            <w:proofErr w:type="spellEnd"/>
            <w:r w:rsidRPr="007E6DA5">
              <w:t xml:space="preserve"> “Informatīvais ziņojums “Par Izglītības un zinātnes ministrijas pasākumiem</w:t>
            </w:r>
            <w:r w:rsidRPr="00F861DB">
              <w:t xml:space="preserve"> Covid-19 krīzes pārvarēšanai un ekonomikas atlabšanai””</w:t>
            </w:r>
            <w:r>
              <w:t xml:space="preserve"> 2.punkts</w:t>
            </w:r>
            <w:r w:rsidRPr="00F861DB">
              <w:t xml:space="preserve"> </w:t>
            </w:r>
            <w:r w:rsidR="007E6DA5" w:rsidRPr="007E6DA5">
              <w:t>(i</w:t>
            </w:r>
            <w:r w:rsidR="007E6DA5" w:rsidRPr="007E6DA5">
              <w:rPr>
                <w:shd w:val="clear" w:color="auto" w:fill="FFFFFF"/>
              </w:rPr>
              <w:t>zskatīts Ministru kabineta 2020. gada 11. augustā sēdē).</w:t>
            </w:r>
          </w:p>
        </w:tc>
      </w:tr>
      <w:tr w:rsidR="00585B7B" w:rsidRPr="00317B6A" w14:paraId="4917C93B" w14:textId="77777777" w:rsidTr="00DA1547">
        <w:trPr>
          <w:trHeight w:val="562"/>
        </w:trPr>
        <w:tc>
          <w:tcPr>
            <w:tcW w:w="562" w:type="dxa"/>
          </w:tcPr>
          <w:p w14:paraId="5FDD0BAA" w14:textId="77777777" w:rsidR="00585B7B" w:rsidRPr="00317B6A" w:rsidRDefault="00585B7B" w:rsidP="00BD696A">
            <w:pPr>
              <w:pStyle w:val="naiskr"/>
              <w:spacing w:before="0" w:after="0"/>
              <w:jc w:val="center"/>
            </w:pPr>
            <w:r w:rsidRPr="00317B6A">
              <w:t>2.</w:t>
            </w:r>
          </w:p>
        </w:tc>
        <w:tc>
          <w:tcPr>
            <w:tcW w:w="1884" w:type="dxa"/>
          </w:tcPr>
          <w:p w14:paraId="3E1554B2" w14:textId="77777777" w:rsidR="00955825" w:rsidRDefault="00005A9D" w:rsidP="00916055">
            <w:pPr>
              <w:pStyle w:val="naiskr"/>
              <w:tabs>
                <w:tab w:val="left" w:pos="170"/>
              </w:tabs>
              <w:spacing w:before="0" w:after="0"/>
              <w:ind w:left="141"/>
            </w:pPr>
            <w:r w:rsidRPr="00317B6A">
              <w:t>Pašreizējā situācija un problēmas, kuru risināšanai tiesību akta projekts izstrādāts, tiesiskā regulējuma mērķis un būtība</w:t>
            </w:r>
          </w:p>
          <w:p w14:paraId="535F05A2" w14:textId="77777777" w:rsidR="00955825" w:rsidRDefault="00955825" w:rsidP="00955825"/>
          <w:p w14:paraId="7F67F0F0" w14:textId="77777777" w:rsidR="00585B7B" w:rsidRPr="00955825" w:rsidRDefault="00585B7B" w:rsidP="00955825">
            <w:pPr>
              <w:ind w:firstLine="720"/>
            </w:pPr>
          </w:p>
        </w:tc>
        <w:tc>
          <w:tcPr>
            <w:tcW w:w="7755" w:type="dxa"/>
          </w:tcPr>
          <w:p w14:paraId="7C6A09FB" w14:textId="5D2E1DFB" w:rsidR="004144C5" w:rsidRDefault="00BB447B" w:rsidP="004144C5">
            <w:pPr>
              <w:ind w:right="142"/>
              <w:jc w:val="both"/>
            </w:pPr>
            <w:r>
              <w:t xml:space="preserve">Lai ierobežotu </w:t>
            </w:r>
            <w:proofErr w:type="spellStart"/>
            <w:r>
              <w:t>koronavīrusa</w:t>
            </w:r>
            <w:proofErr w:type="spellEnd"/>
            <w:r>
              <w:t xml:space="preserve"> izraisītās slimības Covid-19 izplatību, ar Ministru kabineta 2020. gada 12. marta rīkojumu Nr. 103 „Par ārkārtas situācijas izsludināšanu” visā valsts teritorijā tika izsludināta ārkārtējā situācija un tās laikā tika noteikti daudzi aizliegumi un ierobežojumi, vairāki no kuriem būtiski ir ietekmējuši </w:t>
            </w:r>
            <w:r w:rsidR="002D67A5">
              <w:t xml:space="preserve">izglītības nozari, tai skaitā studentu </w:t>
            </w:r>
            <w:r w:rsidR="00342371">
              <w:t>sociālekonomisko</w:t>
            </w:r>
            <w:r w:rsidR="002D67A5">
              <w:t xml:space="preserve"> stāvokli, samazinot</w:t>
            </w:r>
            <w:r w:rsidR="003353F3">
              <w:t xml:space="preserve"> gan studentu, gan arī viņu vecāku ienākumus, </w:t>
            </w:r>
            <w:r w:rsidR="003353F3" w:rsidRPr="00CA6E31">
              <w:t>kā arī ir kļuvusi nelabvēlīgāka darba tirgus situācija.</w:t>
            </w:r>
            <w:r w:rsidR="003353F3">
              <w:t xml:space="preserve"> Tā rezultātā pastāv draudi, ka liels </w:t>
            </w:r>
            <w:r w:rsidR="00CA6E31" w:rsidRPr="00CA6E31">
              <w:t>studējošo sk</w:t>
            </w:r>
            <w:r w:rsidR="003353F3">
              <w:t xml:space="preserve">aits varētu pārtraukt studijas. </w:t>
            </w:r>
            <w:r w:rsidR="00CA6E31" w:rsidRPr="00CA6E31">
              <w:t>Biedrība “Latvijas Studentu apvienība” ir veikusi studējošo aptauju, kas identificē pastiprināt</w:t>
            </w:r>
            <w:r w:rsidR="003055FA">
              <w:t>u</w:t>
            </w:r>
            <w:r w:rsidR="00CA6E31" w:rsidRPr="00CA6E31">
              <w:t xml:space="preserve"> studējošo atbiruma </w:t>
            </w:r>
            <w:r w:rsidR="003055FA">
              <w:t>risku</w:t>
            </w:r>
            <w:r w:rsidR="004144C5">
              <w:t>.</w:t>
            </w:r>
          </w:p>
          <w:p w14:paraId="700C7ABA" w14:textId="77777777" w:rsidR="004144C5" w:rsidRPr="002D0758" w:rsidRDefault="004144C5" w:rsidP="004144C5">
            <w:pPr>
              <w:ind w:right="142"/>
              <w:jc w:val="both"/>
            </w:pPr>
            <w:r w:rsidRPr="006D282E">
              <w:t xml:space="preserve">Stipendiju apmērs Latvijā atpaliek no kaimiņvalstīm. </w:t>
            </w:r>
            <w:r>
              <w:t>E</w:t>
            </w:r>
            <w:r w:rsidRPr="006D282E">
              <w:t xml:space="preserve">sošais stipendijas apmērs 99,60 </w:t>
            </w:r>
            <w:r w:rsidRPr="006D282E">
              <w:rPr>
                <w:i/>
              </w:rPr>
              <w:t>euro</w:t>
            </w:r>
            <w:r w:rsidRPr="006D282E">
              <w:t xml:space="preserve"> </w:t>
            </w:r>
            <w:r w:rsidRPr="004144C5">
              <w:t xml:space="preserve">var būt nepietiekams, lai noturētu izcilākos studējošos augstskolās. Stipendijas apmērs nav pārskatīts vairāk kā 10 gadus. Līdz šim faktiskais risinājums bija studējošo nodarbinātība paralēli studijām, taču Covid-19 infekcijas radītās sociālekonomiskās krīzes dēļ šīs iespējas ir mazinājušās. Doktorantūras līmeņa studijām šos jautājumus </w:t>
            </w:r>
            <w:r>
              <w:t>Izglītības un zinātnes ministrija</w:t>
            </w:r>
            <w:r w:rsidRPr="004144C5">
              <w:t xml:space="preserve"> plāno risināt atsevišķi, īstermiņā – ar Eiropas Savienības fondu atbalstu saskaņā ar </w:t>
            </w:r>
            <w:r>
              <w:t>Izglītības un zinātnes ministrija</w:t>
            </w:r>
            <w:r w:rsidRPr="004144C5">
              <w:t xml:space="preserve"> izstrādāto konceptuālo ziņojumu “Par jauna doktorantūras modeļa ieviešanu Latvijā” (Ministru kabineta </w:t>
            </w:r>
            <w:r w:rsidRPr="004144C5">
              <w:rPr>
                <w:shd w:val="clear" w:color="auto" w:fill="FFFFFF"/>
              </w:rPr>
              <w:t>2020. gada 25. jūnijā</w:t>
            </w:r>
            <w:r w:rsidRPr="004144C5">
              <w:rPr>
                <w:bCs/>
              </w:rPr>
              <w:t> rīkojums Nr. 345​</w:t>
            </w:r>
            <w:r w:rsidRPr="004144C5">
              <w:t xml:space="preserve">, pieejams: </w:t>
            </w:r>
            <w:hyperlink r:id="rId8" w:tooltip="https://likumi.lv/ta/id/315685-par-konceptualo-zinojumu-par-jauna-doktoranturas-modela-ieviesanu-latvija&#10;Ctrl+Noklikšķiniet vai pieskarieties, lai atvērtu saiti" w:history="1">
              <w:r w:rsidRPr="004144C5">
                <w:rPr>
                  <w:rStyle w:val="Hyperlink"/>
                  <w:color w:val="auto"/>
                </w:rPr>
                <w:t>https://likumi.lv/ta/id/315685-par-konceptualo-zinojumu-par-jauna-doktoranturas-modela-ieviesanu-latvija</w:t>
              </w:r>
            </w:hyperlink>
            <w:r w:rsidRPr="004144C5">
              <w:t>)</w:t>
            </w:r>
            <w:r>
              <w:t xml:space="preserve">. </w:t>
            </w:r>
            <w:r w:rsidRPr="006D282E">
              <w:t xml:space="preserve">Tomēr attiecībā uz </w:t>
            </w:r>
            <w:r>
              <w:t>pirmā līmeņa profesionālās augstākās izglītības (</w:t>
            </w:r>
            <w:r w:rsidRPr="006D282E">
              <w:t>koledžas</w:t>
            </w:r>
            <w:r>
              <w:t>)</w:t>
            </w:r>
            <w:r w:rsidRPr="006D282E">
              <w:t xml:space="preserve">, </w:t>
            </w:r>
            <w:r w:rsidRPr="002D0758">
              <w:t>bakalaura un maģistra līmeņa studijām stipendiju apmēra jautājums ir aktuāls.</w:t>
            </w:r>
          </w:p>
          <w:p w14:paraId="569B157C" w14:textId="19134C25" w:rsidR="0012026C" w:rsidRPr="002D0758" w:rsidRDefault="004144C5" w:rsidP="004144C5">
            <w:pPr>
              <w:ind w:right="142"/>
              <w:jc w:val="both"/>
              <w:rPr>
                <w:highlight w:val="red"/>
              </w:rPr>
            </w:pPr>
            <w:r w:rsidRPr="002D0758">
              <w:lastRenderedPageBreak/>
              <w:t xml:space="preserve">Ievērojot minēto, Izglītības un zinātnes ministrija izstrādāja </w:t>
            </w:r>
            <w:r w:rsidR="0012026C" w:rsidRPr="002D0758">
              <w:t xml:space="preserve">grozījumus  Ministru kabineta 2004. gada 24. augusta noteikumos Nr. 740 “Noteikumi par stipendijām”, kas paredz </w:t>
            </w:r>
            <w:r w:rsidR="002D0758" w:rsidRPr="002D0758">
              <w:t>stipendiju</w:t>
            </w:r>
            <w:r w:rsidR="002D0758" w:rsidRPr="00425D52">
              <w:t xml:space="preserve"> apmēr</w:t>
            </w:r>
            <w:r w:rsidR="002D0758">
              <w:t xml:space="preserve">a palielinājumu no </w:t>
            </w:r>
            <w:r w:rsidR="002D0758" w:rsidRPr="006D282E">
              <w:t xml:space="preserve">99,60 </w:t>
            </w:r>
            <w:proofErr w:type="spellStart"/>
            <w:r w:rsidR="002D0758" w:rsidRPr="006D282E">
              <w:rPr>
                <w:i/>
              </w:rPr>
              <w:t>euro</w:t>
            </w:r>
            <w:proofErr w:type="spellEnd"/>
            <w:r w:rsidR="002D0758">
              <w:rPr>
                <w:i/>
              </w:rPr>
              <w:t xml:space="preserve"> </w:t>
            </w:r>
            <w:r w:rsidR="002D0758">
              <w:t xml:space="preserve">uz 200 </w:t>
            </w:r>
            <w:proofErr w:type="spellStart"/>
            <w:r w:rsidR="002D0758">
              <w:rPr>
                <w:i/>
              </w:rPr>
              <w:t>euro</w:t>
            </w:r>
            <w:proofErr w:type="spellEnd"/>
            <w:r w:rsidR="002D0758">
              <w:t xml:space="preserve"> </w:t>
            </w:r>
            <w:r w:rsidR="002D0758" w:rsidRPr="00425D52">
              <w:t xml:space="preserve"> un </w:t>
            </w:r>
            <w:r w:rsidR="002D0758">
              <w:t xml:space="preserve">kopējā stipendiju </w:t>
            </w:r>
            <w:r w:rsidR="002D0758" w:rsidRPr="00425D52">
              <w:t>skait</w:t>
            </w:r>
            <w:r w:rsidR="002D0758">
              <w:t>a palielinājumu (papildu 743 stipendijas)</w:t>
            </w:r>
            <w:r w:rsidR="002D0758" w:rsidRPr="00425D52">
              <w:t xml:space="preserve"> pirmā līmeņa profesionālās augstākās izglītības (koledžas), bakalaura un maģistra līmeņa studijām Izglītības un zinātnes ministrijas, Veselības ministrijas, Zemkopības ministrijas, Labklājības ministrijas un Kultūras ministrijas padotībā esošajām koledžām un augstskolām</w:t>
            </w:r>
            <w:r w:rsidR="002D0758">
              <w:t>.</w:t>
            </w:r>
            <w:r w:rsidR="002D0758" w:rsidRPr="00AE79B9">
              <w:t xml:space="preserve"> </w:t>
            </w:r>
            <w:r w:rsidR="0012026C" w:rsidRPr="00AE79B9">
              <w:t xml:space="preserve">Minētie grozījumi tika apstiprināti Ministru kabinetā š.g. </w:t>
            </w:r>
            <w:r w:rsidR="00AE79B9" w:rsidRPr="00AE79B9">
              <w:t>11</w:t>
            </w:r>
            <w:r w:rsidR="002D0758" w:rsidRPr="00AE79B9">
              <w:t>. augustā.</w:t>
            </w:r>
          </w:p>
          <w:p w14:paraId="4A2A053D" w14:textId="0611EB80" w:rsidR="004144C5" w:rsidRPr="00945164" w:rsidRDefault="0012026C" w:rsidP="0012026C">
            <w:pPr>
              <w:ind w:right="142"/>
              <w:jc w:val="both"/>
            </w:pPr>
            <w:r>
              <w:t xml:space="preserve">Ievērojot minēto  </w:t>
            </w:r>
            <w:r w:rsidRPr="0012026C">
              <w:t xml:space="preserve">Izglītības un zinātnes ministrija izstrādāja </w:t>
            </w:r>
            <w:r w:rsidR="004144C5" w:rsidRPr="00CA6E31">
              <w:t>projektu</w:t>
            </w:r>
            <w:r w:rsidR="004144C5">
              <w:t xml:space="preserve"> </w:t>
            </w:r>
            <w:r w:rsidR="004144C5" w:rsidRPr="003353F3">
              <w:t>„Par finanšu līdzekļu piešķiršanu no valsts budžeta programmas „Līdzekļi neparedzētiem gadījumiem””</w:t>
            </w:r>
            <w:r w:rsidR="004144C5">
              <w:t>(turpmāk – rīkojuma projekts),</w:t>
            </w:r>
            <w:r w:rsidR="004144C5" w:rsidRPr="00CA6E31">
              <w:t xml:space="preserve"> kas paredz</w:t>
            </w:r>
            <w:r w:rsidR="004144C5">
              <w:t xml:space="preserve">, </w:t>
            </w:r>
            <w:r w:rsidR="004144C5" w:rsidRPr="00720CAD">
              <w:t xml:space="preserve">ka </w:t>
            </w:r>
            <w:r w:rsidR="004144C5">
              <w:t>Izglītības un zinātnes ministrija</w:t>
            </w:r>
            <w:r w:rsidR="004144C5" w:rsidRPr="004E176A">
              <w:t xml:space="preserve"> sadala </w:t>
            </w:r>
            <w:r w:rsidR="004144C5" w:rsidRPr="00720CAD">
              <w:t xml:space="preserve">papildus </w:t>
            </w:r>
            <w:r w:rsidR="004144C5" w:rsidRPr="004E176A">
              <w:t>finansējumu</w:t>
            </w:r>
            <w:r w:rsidR="004144C5" w:rsidRPr="00720CAD">
              <w:t xml:space="preserve"> </w:t>
            </w:r>
            <w:r>
              <w:t>2</w:t>
            </w:r>
            <w:r w:rsidR="004144C5" w:rsidRPr="00720CAD">
              <w:t>,</w:t>
            </w:r>
            <w:r>
              <w:t>0</w:t>
            </w:r>
            <w:r w:rsidR="004144C5" w:rsidRPr="00720CAD">
              <w:t xml:space="preserve"> milj. </w:t>
            </w:r>
            <w:proofErr w:type="spellStart"/>
            <w:r w:rsidR="004144C5" w:rsidRPr="00720CAD">
              <w:rPr>
                <w:i/>
              </w:rPr>
              <w:t>euro</w:t>
            </w:r>
            <w:proofErr w:type="spellEnd"/>
            <w:r w:rsidR="004144C5" w:rsidRPr="00720CAD">
              <w:t xml:space="preserve"> apmērā starp</w:t>
            </w:r>
            <w:r>
              <w:t xml:space="preserve"> valsts</w:t>
            </w:r>
            <w:r w:rsidR="004144C5" w:rsidRPr="00720CAD">
              <w:t xml:space="preserve"> augstskolām un koledžām, kas ir </w:t>
            </w:r>
            <w:r w:rsidR="004144C5">
              <w:t>Izglītības un zinātnes ministrijas</w:t>
            </w:r>
            <w:r w:rsidR="004144C5" w:rsidRPr="00720CAD">
              <w:t>, Veselības ministrijas, Zemkopības ministrijas</w:t>
            </w:r>
            <w:r w:rsidR="004144C5">
              <w:t>, Labklājības ministrijas</w:t>
            </w:r>
            <w:r w:rsidR="004144C5" w:rsidRPr="00720CAD">
              <w:t xml:space="preserve"> un Kultūras ministrijas padotībā proporcionāli </w:t>
            </w:r>
            <w:r w:rsidR="004144C5">
              <w:t>valsts finansēto</w:t>
            </w:r>
            <w:r w:rsidR="004144C5" w:rsidRPr="00720CAD">
              <w:t xml:space="preserve"> </w:t>
            </w:r>
            <w:r w:rsidR="004144C5">
              <w:t xml:space="preserve">studiju </w:t>
            </w:r>
            <w:r w:rsidR="004144C5" w:rsidRPr="00720CAD">
              <w:t>vietu skaitam 2020.</w:t>
            </w:r>
            <w:r w:rsidR="004144C5" w:rsidRPr="004E176A">
              <w:t xml:space="preserve"> </w:t>
            </w:r>
            <w:r w:rsidR="004144C5" w:rsidRPr="00720CAD">
              <w:t>gadā (</w:t>
            </w:r>
            <w:r w:rsidR="004144C5">
              <w:t>Izglītības un zinātnes ministrija</w:t>
            </w:r>
            <w:r w:rsidR="004144C5" w:rsidRPr="00720CAD">
              <w:t xml:space="preserve"> rīkojumi par </w:t>
            </w:r>
            <w:r w:rsidR="004144C5">
              <w:t>valsts finansētajām studiju</w:t>
            </w:r>
            <w:r w:rsidR="004144C5" w:rsidRPr="00720CAD">
              <w:t xml:space="preserve"> vietām augstskolās un koledžās ir publicēt</w:t>
            </w:r>
            <w:r w:rsidR="004144C5">
              <w:t>i</w:t>
            </w:r>
            <w:r w:rsidR="004144C5" w:rsidRPr="00720CAD">
              <w:t xml:space="preserve"> </w:t>
            </w:r>
            <w:hyperlink r:id="rId9" w:history="1">
              <w:r w:rsidR="004144C5" w:rsidRPr="00D92A2E">
                <w:rPr>
                  <w:rStyle w:val="Hyperlink"/>
                </w:rPr>
                <w:t>https://www.izm.gov.lv/lv/nozares/izglitiba/augstaka-izglitiba/280-augstakas-izglitibas-finansesanas-modelis/3933-valsts-budzeta-finansetas-studiju-vietas-2020-gada</w:t>
              </w:r>
            </w:hyperlink>
            <w:r w:rsidR="004144C5" w:rsidRPr="00B02F01">
              <w:t>).</w:t>
            </w:r>
            <w:r w:rsidR="004144C5" w:rsidRPr="00720CAD">
              <w:t xml:space="preserve"> </w:t>
            </w:r>
            <w:r w:rsidR="004144C5">
              <w:t>Šobrīd noteiktā</w:t>
            </w:r>
            <w:r w:rsidR="004144C5" w:rsidRPr="00720CAD">
              <w:t xml:space="preserve"> stipendiju apmēra palielinājums notiks saskaņā </w:t>
            </w:r>
            <w:r w:rsidR="004144C5">
              <w:t>ar</w:t>
            </w:r>
            <w:r w:rsidR="004144C5" w:rsidRPr="00720CAD">
              <w:t xml:space="preserve"> esošiem nosacījumiem. </w:t>
            </w:r>
            <w:r w:rsidR="004144C5">
              <w:t>Projektā paredzēto p</w:t>
            </w:r>
            <w:r w:rsidR="004144C5" w:rsidRPr="00720CAD">
              <w:t>apildus stipendij</w:t>
            </w:r>
            <w:r w:rsidR="004144C5">
              <w:t>u</w:t>
            </w:r>
            <w:r w:rsidR="004144C5" w:rsidRPr="00720CAD">
              <w:t xml:space="preserve"> </w:t>
            </w:r>
            <w:r w:rsidR="004144C5">
              <w:t xml:space="preserve">piešķiršanas procesā </w:t>
            </w:r>
            <w:r>
              <w:t xml:space="preserve">valsts </w:t>
            </w:r>
            <w:r w:rsidR="004144C5" w:rsidRPr="00720CAD">
              <w:t>augstskolu un koledžu stipendiju</w:t>
            </w:r>
            <w:r w:rsidR="004144C5">
              <w:t xml:space="preserve"> piešķiršanas</w:t>
            </w:r>
            <w:r w:rsidR="004144C5" w:rsidRPr="00720CAD">
              <w:t xml:space="preserve"> komisijām, kas iekļauj studējošo pašpārvaldes pārstāvjus, ir jādod priekšroka studējošiem, kuriem </w:t>
            </w:r>
            <w:r w:rsidR="004144C5" w:rsidRPr="004E176A">
              <w:t>ārkārtēj</w:t>
            </w:r>
            <w:r w:rsidR="004144C5">
              <w:t>ā</w:t>
            </w:r>
            <w:r w:rsidR="004144C5" w:rsidRPr="004E176A">
              <w:t>s situācijas laikā</w:t>
            </w:r>
            <w:r w:rsidR="004144C5" w:rsidRPr="00720CAD">
              <w:t xml:space="preserve"> ir samazinājušies ienākumi un kuri </w:t>
            </w:r>
            <w:r w:rsidR="004144C5">
              <w:t xml:space="preserve">šobrīd </w:t>
            </w:r>
            <w:r w:rsidR="004144C5" w:rsidRPr="00720CAD">
              <w:t>nesaņem kādu no sociālā atbalsta veidiem</w:t>
            </w:r>
            <w:r w:rsidR="004144C5" w:rsidRPr="004E176A">
              <w:t xml:space="preserve"> </w:t>
            </w:r>
            <w:r w:rsidR="004144C5">
              <w:t>(piemēram,</w:t>
            </w:r>
            <w:r w:rsidR="004144C5" w:rsidRPr="00720CAD">
              <w:t xml:space="preserve"> bezdarbnieka pabalst</w:t>
            </w:r>
            <w:r w:rsidR="004144C5">
              <w:t>u</w:t>
            </w:r>
            <w:r w:rsidR="004144C5" w:rsidRPr="00720CAD">
              <w:t>, dīkstāves pabalst</w:t>
            </w:r>
            <w:r w:rsidR="004144C5">
              <w:t>u</w:t>
            </w:r>
            <w:r w:rsidR="004144C5" w:rsidRPr="00720CAD">
              <w:t>, jauno speciālistu (studējošo</w:t>
            </w:r>
            <w:r w:rsidR="004144C5" w:rsidRPr="004E176A">
              <w:t xml:space="preserve"> </w:t>
            </w:r>
            <w:r w:rsidR="004144C5">
              <w:t>–</w:t>
            </w:r>
            <w:r w:rsidR="004144C5" w:rsidRPr="00720CAD">
              <w:t xml:space="preserve"> bezdarbnieku) darbam nepieciešamo iemaņu attīstības </w:t>
            </w:r>
            <w:r w:rsidR="004144C5" w:rsidRPr="004E176A">
              <w:t>programma</w:t>
            </w:r>
            <w:r w:rsidR="004144C5">
              <w:t xml:space="preserve">). </w:t>
            </w:r>
          </w:p>
        </w:tc>
      </w:tr>
      <w:tr w:rsidR="00585B7B" w:rsidRPr="00317B6A" w14:paraId="42AC8649" w14:textId="77777777" w:rsidTr="00DA1547">
        <w:trPr>
          <w:trHeight w:val="476"/>
        </w:trPr>
        <w:tc>
          <w:tcPr>
            <w:tcW w:w="562" w:type="dxa"/>
            <w:tcBorders>
              <w:bottom w:val="single" w:sz="4" w:space="0" w:color="auto"/>
            </w:tcBorders>
          </w:tcPr>
          <w:p w14:paraId="308FAEA2" w14:textId="358DB212" w:rsidR="00585B7B" w:rsidRPr="00317B6A" w:rsidRDefault="00005A9D" w:rsidP="00BD696A">
            <w:pPr>
              <w:pStyle w:val="naiskr"/>
              <w:spacing w:before="0" w:after="0"/>
              <w:jc w:val="center"/>
            </w:pPr>
            <w:r w:rsidRPr="00317B6A">
              <w:lastRenderedPageBreak/>
              <w:t>3.</w:t>
            </w:r>
          </w:p>
        </w:tc>
        <w:tc>
          <w:tcPr>
            <w:tcW w:w="1884" w:type="dxa"/>
            <w:tcBorders>
              <w:bottom w:val="single" w:sz="4" w:space="0" w:color="auto"/>
            </w:tcBorders>
          </w:tcPr>
          <w:p w14:paraId="132B3A4C" w14:textId="77777777" w:rsidR="00585B7B" w:rsidRPr="00317B6A" w:rsidRDefault="00943E1D" w:rsidP="00916055">
            <w:pPr>
              <w:pStyle w:val="naiskr"/>
              <w:spacing w:before="0" w:after="0"/>
              <w:ind w:left="141"/>
            </w:pPr>
            <w:r w:rsidRPr="00943E1D">
              <w:t>Projekta izstrādē iesaistītās institūcijas un publiskas personas kapitālsabiedrības</w:t>
            </w:r>
          </w:p>
        </w:tc>
        <w:tc>
          <w:tcPr>
            <w:tcW w:w="7755" w:type="dxa"/>
            <w:tcBorders>
              <w:bottom w:val="single" w:sz="4" w:space="0" w:color="auto"/>
            </w:tcBorders>
          </w:tcPr>
          <w:p w14:paraId="7C6826FC" w14:textId="00DAC393" w:rsidR="00643E6C" w:rsidRPr="00317B6A" w:rsidRDefault="00BB3C51" w:rsidP="003353F3">
            <w:pPr>
              <w:ind w:left="101" w:right="142"/>
              <w:jc w:val="both"/>
            </w:pPr>
            <w:r>
              <w:t xml:space="preserve">Rīkojuma </w:t>
            </w:r>
            <w:r w:rsidR="00B73BB9">
              <w:t xml:space="preserve">projektu </w:t>
            </w:r>
            <w:r w:rsidR="003353F3">
              <w:t>izstrādāja Izglītības un zinātnes ministrija</w:t>
            </w:r>
            <w:r w:rsidR="00DC332F" w:rsidRPr="00317B6A">
              <w:t>.</w:t>
            </w:r>
            <w:r w:rsidR="00790CFC">
              <w:t xml:space="preserve"> </w:t>
            </w:r>
            <w:r>
              <w:t xml:space="preserve">Rīkojuma </w:t>
            </w:r>
            <w:r w:rsidR="00790CFC">
              <w:t>projekta izstrādes procesā notikušas konsu</w:t>
            </w:r>
            <w:r w:rsidR="0065105A">
              <w:t xml:space="preserve">ltācijas ar </w:t>
            </w:r>
            <w:r w:rsidR="003353F3">
              <w:t>Veselības ministriju</w:t>
            </w:r>
            <w:r w:rsidR="003353F3" w:rsidRPr="00CA6E31">
              <w:t xml:space="preserve">, Zemkopības </w:t>
            </w:r>
            <w:r w:rsidR="003353F3">
              <w:t>ministriju, Labklājības ministriju un Kultūras ministriju.</w:t>
            </w:r>
          </w:p>
        </w:tc>
      </w:tr>
      <w:tr w:rsidR="00585B7B" w:rsidRPr="00317B6A" w14:paraId="26593524" w14:textId="77777777" w:rsidTr="00DA1547">
        <w:tc>
          <w:tcPr>
            <w:tcW w:w="562" w:type="dxa"/>
            <w:tcBorders>
              <w:top w:val="single" w:sz="4" w:space="0" w:color="auto"/>
              <w:left w:val="single" w:sz="4" w:space="0" w:color="auto"/>
              <w:bottom w:val="single" w:sz="4" w:space="0" w:color="auto"/>
              <w:right w:val="single" w:sz="4" w:space="0" w:color="auto"/>
            </w:tcBorders>
          </w:tcPr>
          <w:p w14:paraId="6FA8785B" w14:textId="77777777" w:rsidR="00585B7B" w:rsidRPr="00317B6A" w:rsidRDefault="00005A9D" w:rsidP="00BD696A">
            <w:pPr>
              <w:pStyle w:val="naiskr"/>
              <w:spacing w:before="0" w:after="0"/>
              <w:jc w:val="center"/>
            </w:pPr>
            <w:r w:rsidRPr="00317B6A">
              <w:t>4</w:t>
            </w:r>
            <w:r w:rsidR="00585B7B" w:rsidRPr="00317B6A">
              <w:t>.</w:t>
            </w:r>
          </w:p>
        </w:tc>
        <w:tc>
          <w:tcPr>
            <w:tcW w:w="1884" w:type="dxa"/>
            <w:tcBorders>
              <w:top w:val="single" w:sz="4" w:space="0" w:color="auto"/>
              <w:left w:val="single" w:sz="4" w:space="0" w:color="auto"/>
              <w:bottom w:val="single" w:sz="4" w:space="0" w:color="auto"/>
              <w:right w:val="single" w:sz="4" w:space="0" w:color="auto"/>
            </w:tcBorders>
          </w:tcPr>
          <w:p w14:paraId="2D1E3318" w14:textId="77777777" w:rsidR="00585B7B" w:rsidRPr="00317B6A" w:rsidRDefault="00585B7B" w:rsidP="00916055">
            <w:pPr>
              <w:pStyle w:val="naiskr"/>
              <w:spacing w:before="0" w:after="0"/>
              <w:ind w:left="141"/>
            </w:pPr>
            <w:r w:rsidRPr="00317B6A">
              <w:t>Cita informācija</w:t>
            </w:r>
          </w:p>
        </w:tc>
        <w:tc>
          <w:tcPr>
            <w:tcW w:w="7755" w:type="dxa"/>
            <w:tcBorders>
              <w:top w:val="single" w:sz="4" w:space="0" w:color="auto"/>
              <w:left w:val="single" w:sz="4" w:space="0" w:color="auto"/>
              <w:bottom w:val="single" w:sz="4" w:space="0" w:color="auto"/>
              <w:right w:val="single" w:sz="4" w:space="0" w:color="auto"/>
            </w:tcBorders>
          </w:tcPr>
          <w:p w14:paraId="7A9AF941" w14:textId="30253E71" w:rsidR="00CE28C6" w:rsidRPr="00317B6A" w:rsidRDefault="00EB687E" w:rsidP="003353F3">
            <w:pPr>
              <w:ind w:left="114" w:right="127"/>
              <w:jc w:val="both"/>
            </w:pPr>
            <w:r w:rsidRPr="00EB687E">
              <w:t xml:space="preserve">Rīkojuma projekts tiešā veidā attiecas uz  budžeta un finanšu politiku. </w:t>
            </w:r>
          </w:p>
        </w:tc>
      </w:tr>
    </w:tbl>
    <w:p w14:paraId="47059B30" w14:textId="77777777" w:rsidR="00EB687E" w:rsidRDefault="00EB687E"/>
    <w:p w14:paraId="040B2207" w14:textId="77777777" w:rsidR="00A06F61" w:rsidRDefault="00A06F61" w:rsidP="00A06F61"/>
    <w:tbl>
      <w:tblPr>
        <w:tblW w:w="5632"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137"/>
        <w:gridCol w:w="2680"/>
        <w:gridCol w:w="6389"/>
      </w:tblGrid>
      <w:tr w:rsidR="00A06F61" w:rsidRPr="00467DB3" w14:paraId="3A366813" w14:textId="77777777" w:rsidTr="00E95213">
        <w:trPr>
          <w:cantSplit/>
        </w:trPr>
        <w:tc>
          <w:tcPr>
            <w:tcW w:w="5000" w:type="pct"/>
            <w:gridSpan w:val="3"/>
            <w:vAlign w:val="center"/>
            <w:hideMark/>
          </w:tcPr>
          <w:p w14:paraId="3A250B7C" w14:textId="77777777" w:rsidR="00A06F61" w:rsidRPr="00467DB3" w:rsidRDefault="00A06F61" w:rsidP="00E95213">
            <w:pPr>
              <w:jc w:val="center"/>
              <w:rPr>
                <w:b/>
                <w:bCs/>
              </w:rPr>
            </w:pPr>
            <w:r w:rsidRPr="00467DB3">
              <w:rPr>
                <w:b/>
                <w:bCs/>
              </w:rPr>
              <w:t>II. Tiesību akta projekta ietekme uz sabiedrību, tautsaimniecības attīstību un administratīvo slogu</w:t>
            </w:r>
          </w:p>
        </w:tc>
      </w:tr>
      <w:tr w:rsidR="00A06F61" w:rsidRPr="00467DB3" w14:paraId="40530207" w14:textId="77777777" w:rsidTr="00E95213">
        <w:trPr>
          <w:cantSplit/>
        </w:trPr>
        <w:tc>
          <w:tcPr>
            <w:tcW w:w="557" w:type="pct"/>
            <w:hideMark/>
          </w:tcPr>
          <w:p w14:paraId="54437B31" w14:textId="77777777" w:rsidR="00A06F61" w:rsidRPr="00467DB3" w:rsidRDefault="00A06F61" w:rsidP="00E95213">
            <w:pPr>
              <w:jc w:val="center"/>
            </w:pPr>
            <w:r w:rsidRPr="00467DB3">
              <w:t>1.</w:t>
            </w:r>
          </w:p>
        </w:tc>
        <w:tc>
          <w:tcPr>
            <w:tcW w:w="1313" w:type="pct"/>
            <w:hideMark/>
          </w:tcPr>
          <w:p w14:paraId="3BD9DBEB" w14:textId="77777777" w:rsidR="00A06F61" w:rsidRPr="00467DB3" w:rsidRDefault="00A06F61" w:rsidP="00E95213">
            <w:r w:rsidRPr="00467DB3">
              <w:t xml:space="preserve">Sabiedrības </w:t>
            </w:r>
            <w:proofErr w:type="spellStart"/>
            <w:r w:rsidRPr="00467DB3">
              <w:t>mērķgrupas</w:t>
            </w:r>
            <w:proofErr w:type="spellEnd"/>
            <w:r w:rsidRPr="00467DB3">
              <w:t>, kuras tiesiskais regulējums ietekmē vai varētu ietekmēt</w:t>
            </w:r>
          </w:p>
        </w:tc>
        <w:tc>
          <w:tcPr>
            <w:tcW w:w="3130" w:type="pct"/>
            <w:hideMark/>
          </w:tcPr>
          <w:p w14:paraId="2FD6AD66" w14:textId="77777777" w:rsidR="00A06F61" w:rsidRPr="008351AB" w:rsidRDefault="00A06F61" w:rsidP="00E95213">
            <w:pPr>
              <w:jc w:val="both"/>
            </w:pPr>
            <w:r w:rsidRPr="00AB3D0A">
              <w:t>Ties</w:t>
            </w:r>
            <w:r>
              <w:t>iskais regulējums attiecas uz studējošiem un augstākās izglītības iestādēm.</w:t>
            </w:r>
          </w:p>
          <w:p w14:paraId="59C6F287" w14:textId="77777777" w:rsidR="00A06F61" w:rsidRPr="00467DB3" w:rsidRDefault="00A06F61" w:rsidP="00E95213"/>
        </w:tc>
      </w:tr>
      <w:tr w:rsidR="00A06F61" w:rsidRPr="00467DB3" w14:paraId="5DC2DE4D" w14:textId="77777777" w:rsidTr="00E95213">
        <w:trPr>
          <w:cantSplit/>
        </w:trPr>
        <w:tc>
          <w:tcPr>
            <w:tcW w:w="557" w:type="pct"/>
            <w:hideMark/>
          </w:tcPr>
          <w:p w14:paraId="4B81B057" w14:textId="77777777" w:rsidR="00A06F61" w:rsidRPr="00467DB3" w:rsidRDefault="00A06F61" w:rsidP="00E95213">
            <w:pPr>
              <w:jc w:val="center"/>
            </w:pPr>
            <w:r w:rsidRPr="00467DB3">
              <w:t>2.</w:t>
            </w:r>
          </w:p>
        </w:tc>
        <w:tc>
          <w:tcPr>
            <w:tcW w:w="1313" w:type="pct"/>
            <w:hideMark/>
          </w:tcPr>
          <w:p w14:paraId="4956E5BA" w14:textId="77777777" w:rsidR="00A06F61" w:rsidRPr="00467DB3" w:rsidRDefault="00A06F61" w:rsidP="00E95213">
            <w:r w:rsidRPr="00467DB3">
              <w:t>Tiesiskā regulējuma ietekme uz tautsaimniecību un administratīvo slogu</w:t>
            </w:r>
          </w:p>
        </w:tc>
        <w:tc>
          <w:tcPr>
            <w:tcW w:w="3130" w:type="pct"/>
            <w:hideMark/>
          </w:tcPr>
          <w:p w14:paraId="25B7EE88" w14:textId="77777777" w:rsidR="00A06F61" w:rsidRDefault="00A06F61" w:rsidP="002D0758">
            <w:pPr>
              <w:jc w:val="both"/>
            </w:pPr>
            <w:r w:rsidRPr="005E1B42">
              <w:t xml:space="preserve">Projekta tiesiskais regulējums </w:t>
            </w:r>
            <w:r>
              <w:t xml:space="preserve">atstās pozitīvu ietekmi </w:t>
            </w:r>
            <w:r w:rsidRPr="005E1B42">
              <w:t>uz tautsaimniecību</w:t>
            </w:r>
            <w:r>
              <w:t>, jo mazināsies studējošo atbirums sociālekonomisko iemeslu dēļ un attiecīgi palielināsies kvalificēta darba spēka pieejamība. Cilvēku ar augstāko izglītību ienākumi ir vidēji par 22% augstāki nekā vidējā atlīdzība valstī (Ministrijas dati par 2017. gada absolventu monitoringu), kas nozīmē arī lielāku nodokļu pienesumu valsts budžetam vidējā termiņā, kā arī cilvēkiem ar augstāko izglītību ir mazāks bezdarba risks.</w:t>
            </w:r>
          </w:p>
          <w:p w14:paraId="1C46A8B5" w14:textId="77777777" w:rsidR="00A06F61" w:rsidRPr="00467DB3" w:rsidRDefault="00A06F61" w:rsidP="002D0758">
            <w:pPr>
              <w:jc w:val="both"/>
            </w:pPr>
            <w:r>
              <w:t>Augstskolu stipendiju piešķiršanas komisijām</w:t>
            </w:r>
            <w:r w:rsidRPr="005E1B42">
              <w:t>, iekļaujot studējošo pārstāvjus,</w:t>
            </w:r>
            <w:r>
              <w:t xml:space="preserve"> būs jāpieņem lēmums par stipendiju piešķiršanu atbilstoši normatīvajam regulējumam</w:t>
            </w:r>
          </w:p>
        </w:tc>
      </w:tr>
      <w:tr w:rsidR="00A06F61" w:rsidRPr="00467DB3" w14:paraId="593AF5CA" w14:textId="77777777" w:rsidTr="00E95213">
        <w:trPr>
          <w:cantSplit/>
        </w:trPr>
        <w:tc>
          <w:tcPr>
            <w:tcW w:w="557" w:type="pct"/>
            <w:hideMark/>
          </w:tcPr>
          <w:p w14:paraId="17D712CE" w14:textId="77777777" w:rsidR="00A06F61" w:rsidRPr="00467DB3" w:rsidRDefault="00A06F61" w:rsidP="00E95213">
            <w:pPr>
              <w:jc w:val="center"/>
            </w:pPr>
            <w:r w:rsidRPr="00467DB3">
              <w:lastRenderedPageBreak/>
              <w:t>3.</w:t>
            </w:r>
          </w:p>
        </w:tc>
        <w:tc>
          <w:tcPr>
            <w:tcW w:w="1313" w:type="pct"/>
            <w:hideMark/>
          </w:tcPr>
          <w:p w14:paraId="30F932B7" w14:textId="77777777" w:rsidR="00A06F61" w:rsidRPr="00467DB3" w:rsidRDefault="00A06F61" w:rsidP="00E95213">
            <w:r w:rsidRPr="00467DB3">
              <w:t>Administratīvo izmaksu monetārs novērtējums</w:t>
            </w:r>
          </w:p>
        </w:tc>
        <w:tc>
          <w:tcPr>
            <w:tcW w:w="3130" w:type="pct"/>
            <w:hideMark/>
          </w:tcPr>
          <w:p w14:paraId="631B7410" w14:textId="77777777" w:rsidR="00A06F61" w:rsidRDefault="00A06F61" w:rsidP="002D0758">
            <w:pPr>
              <w:jc w:val="both"/>
            </w:pPr>
            <w:r>
              <w:t>Augstskolu stipendiju piešķiršanas komisijām</w:t>
            </w:r>
            <w:r w:rsidRPr="005E1B42">
              <w:t>, iekļaujot studējošo pārstāvjus,</w:t>
            </w:r>
            <w:r>
              <w:t xml:space="preserve"> būs jāpieņem lēmums par orientējoši 722 papildus stipendijām. Komisijām būtu jāizveido efektīva izvērtēšanas sistēma, apkopojot un izskatot vairākus pieteikumus reizē, sašķirojot tos pēc atbilstības normatīvā regulējuma kritērijiem. Katras stipendijas </w:t>
            </w:r>
            <w:proofErr w:type="spellStart"/>
            <w:r>
              <w:t>izvērtējums</w:t>
            </w:r>
            <w:proofErr w:type="spellEnd"/>
            <w:r>
              <w:t xml:space="preserve"> aizņems orientējoši ceturtdaļstundu, orientējoši komisijai 6 komisijas locekļu sastāvā. </w:t>
            </w:r>
          </w:p>
          <w:p w14:paraId="2F4084FF" w14:textId="77777777" w:rsidR="00A06F61" w:rsidRPr="00467DB3" w:rsidRDefault="00A06F61" w:rsidP="002D0758">
            <w:pPr>
              <w:jc w:val="both"/>
            </w:pPr>
            <w:r>
              <w:t xml:space="preserve">Saskaņā ar Centrālās statistikas pārvaldes datiem </w:t>
            </w:r>
            <w:r w:rsidRPr="006F5196">
              <w:t xml:space="preserve">2019. gadā </w:t>
            </w:r>
            <w:r>
              <w:t xml:space="preserve">mēneša </w:t>
            </w:r>
            <w:r w:rsidRPr="006F5196">
              <w:t xml:space="preserve">vidējā </w:t>
            </w:r>
            <w:r>
              <w:t>bruto darba samaksa</w:t>
            </w:r>
            <w:r w:rsidRPr="006F5196">
              <w:t xml:space="preserve"> </w:t>
            </w:r>
            <w:r>
              <w:t xml:space="preserve">valstī par pilnas slodzes darbu </w:t>
            </w:r>
            <w:r w:rsidRPr="006F5196">
              <w:t xml:space="preserve">pirms nodokļu nomaksas </w:t>
            </w:r>
            <w:r>
              <w:t>bija</w:t>
            </w:r>
            <w:r w:rsidRPr="006F5196">
              <w:t xml:space="preserve"> 1 076 </w:t>
            </w:r>
            <w:proofErr w:type="spellStart"/>
            <w:r w:rsidRPr="006F5196">
              <w:rPr>
                <w:i/>
              </w:rPr>
              <w:t>euro</w:t>
            </w:r>
            <w:proofErr w:type="spellEnd"/>
            <w:r>
              <w:t>.  Pie vidēji</w:t>
            </w:r>
            <w:r w:rsidRPr="005E1B42">
              <w:t xml:space="preserve"> </w:t>
            </w:r>
            <w:r w:rsidRPr="006F5196">
              <w:t>21</w:t>
            </w:r>
            <w:r>
              <w:t> darba dienas mēnesī atlīdzība vienā darba dienā būtu 51,24 </w:t>
            </w:r>
            <w:proofErr w:type="spellStart"/>
            <w:r w:rsidRPr="00496388">
              <w:rPr>
                <w:i/>
              </w:rPr>
              <w:t>euro</w:t>
            </w:r>
            <w:proofErr w:type="spellEnd"/>
            <w:r>
              <w:t xml:space="preserve">, vienas stundas atlīdzība – 6,41 </w:t>
            </w:r>
            <w:proofErr w:type="spellStart"/>
            <w:r w:rsidRPr="00496388">
              <w:rPr>
                <w:i/>
              </w:rPr>
              <w:t>euro</w:t>
            </w:r>
            <w:proofErr w:type="spellEnd"/>
            <w:r>
              <w:t>. Vienam komisijas loceklim izskatīt vienu stipendijas pieteikumu izmaksātu 1,60 </w:t>
            </w:r>
            <w:proofErr w:type="spellStart"/>
            <w:r w:rsidRPr="00A2517C">
              <w:rPr>
                <w:i/>
              </w:rPr>
              <w:t>euro</w:t>
            </w:r>
            <w:proofErr w:type="spellEnd"/>
            <w:r>
              <w:t xml:space="preserve">, 6 komisijas locekļiem tas izmaksātu 9,62 </w:t>
            </w:r>
            <w:proofErr w:type="spellStart"/>
            <w:r w:rsidRPr="00A2517C">
              <w:rPr>
                <w:i/>
              </w:rPr>
              <w:t>euro</w:t>
            </w:r>
            <w:proofErr w:type="spellEnd"/>
            <w:r>
              <w:t xml:space="preserve">, 722 stipendijas pieteikumu izskatīšana attiecīgi izmaksātu </w:t>
            </w:r>
            <w:r w:rsidRPr="00A2517C">
              <w:t>6</w:t>
            </w:r>
            <w:r>
              <w:t> </w:t>
            </w:r>
            <w:r w:rsidRPr="00A2517C">
              <w:t>942</w:t>
            </w:r>
            <w:r>
              <w:t> </w:t>
            </w:r>
            <w:proofErr w:type="spellStart"/>
            <w:r w:rsidRPr="00A2517C">
              <w:rPr>
                <w:i/>
              </w:rPr>
              <w:t>euro</w:t>
            </w:r>
            <w:proofErr w:type="spellEnd"/>
            <w:r>
              <w:t>.</w:t>
            </w:r>
          </w:p>
        </w:tc>
      </w:tr>
      <w:tr w:rsidR="00A06F61" w:rsidRPr="00467DB3" w14:paraId="616B27F9" w14:textId="77777777" w:rsidTr="00E95213">
        <w:trPr>
          <w:cantSplit/>
        </w:trPr>
        <w:tc>
          <w:tcPr>
            <w:tcW w:w="557" w:type="pct"/>
            <w:hideMark/>
          </w:tcPr>
          <w:p w14:paraId="45F42757" w14:textId="77777777" w:rsidR="00A06F61" w:rsidRPr="00467DB3" w:rsidRDefault="00A06F61" w:rsidP="00E95213">
            <w:pPr>
              <w:jc w:val="center"/>
            </w:pPr>
            <w:r w:rsidRPr="00467DB3">
              <w:t>4.</w:t>
            </w:r>
          </w:p>
        </w:tc>
        <w:tc>
          <w:tcPr>
            <w:tcW w:w="1313" w:type="pct"/>
            <w:hideMark/>
          </w:tcPr>
          <w:p w14:paraId="42961018" w14:textId="77777777" w:rsidR="00A06F61" w:rsidRPr="00467DB3" w:rsidRDefault="00A06F61" w:rsidP="00E95213">
            <w:r w:rsidRPr="00467DB3">
              <w:t>Atbilstības izmaksu monetārs novērtējums</w:t>
            </w:r>
          </w:p>
        </w:tc>
        <w:tc>
          <w:tcPr>
            <w:tcW w:w="3130" w:type="pct"/>
            <w:hideMark/>
          </w:tcPr>
          <w:p w14:paraId="11F43A3E" w14:textId="77777777" w:rsidR="00A06F61" w:rsidRPr="00467DB3" w:rsidRDefault="00A06F61" w:rsidP="00E95213">
            <w:r>
              <w:t>Projekts šo jomu neskar.</w:t>
            </w:r>
          </w:p>
        </w:tc>
      </w:tr>
      <w:tr w:rsidR="00A06F61" w:rsidRPr="00467DB3" w14:paraId="053994C8" w14:textId="77777777" w:rsidTr="00E95213">
        <w:trPr>
          <w:cantSplit/>
        </w:trPr>
        <w:tc>
          <w:tcPr>
            <w:tcW w:w="557" w:type="pct"/>
            <w:hideMark/>
          </w:tcPr>
          <w:p w14:paraId="66E97849" w14:textId="77777777" w:rsidR="00A06F61" w:rsidRPr="00467DB3" w:rsidRDefault="00A06F61" w:rsidP="00E95213">
            <w:pPr>
              <w:jc w:val="center"/>
            </w:pPr>
            <w:r w:rsidRPr="00467DB3">
              <w:t>5.</w:t>
            </w:r>
          </w:p>
        </w:tc>
        <w:tc>
          <w:tcPr>
            <w:tcW w:w="1313" w:type="pct"/>
            <w:hideMark/>
          </w:tcPr>
          <w:p w14:paraId="25B879E3" w14:textId="77777777" w:rsidR="00A06F61" w:rsidRPr="00467DB3" w:rsidRDefault="00A06F61" w:rsidP="00E95213">
            <w:r w:rsidRPr="00467DB3">
              <w:t>Cita informācija</w:t>
            </w:r>
          </w:p>
        </w:tc>
        <w:tc>
          <w:tcPr>
            <w:tcW w:w="3130" w:type="pct"/>
            <w:hideMark/>
          </w:tcPr>
          <w:p w14:paraId="3128CC7D" w14:textId="77777777" w:rsidR="00A06F61" w:rsidRPr="00467DB3" w:rsidRDefault="00A06F61" w:rsidP="00E95213">
            <w:r>
              <w:t>Nav.</w:t>
            </w:r>
          </w:p>
        </w:tc>
      </w:tr>
    </w:tbl>
    <w:p w14:paraId="747F53F0" w14:textId="77777777" w:rsidR="00C66A35" w:rsidRDefault="00C66A35"/>
    <w:p w14:paraId="427602C1" w14:textId="77777777" w:rsidR="006C697C" w:rsidRDefault="006C697C"/>
    <w:tbl>
      <w:tblPr>
        <w:tblW w:w="11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227"/>
        <w:gridCol w:w="1456"/>
        <w:gridCol w:w="1173"/>
        <w:gridCol w:w="1531"/>
        <w:gridCol w:w="1173"/>
        <w:gridCol w:w="1315"/>
        <w:gridCol w:w="1315"/>
      </w:tblGrid>
      <w:tr w:rsidR="00DA708F" w:rsidRPr="0033617F" w14:paraId="23001469" w14:textId="77777777" w:rsidTr="006E1C0C">
        <w:trPr>
          <w:trHeight w:val="361"/>
          <w:jc w:val="center"/>
        </w:trPr>
        <w:tc>
          <w:tcPr>
            <w:tcW w:w="11032" w:type="dxa"/>
            <w:gridSpan w:val="8"/>
            <w:vAlign w:val="center"/>
          </w:tcPr>
          <w:p w14:paraId="53C40BA8" w14:textId="77777777" w:rsidR="00DA708F" w:rsidRPr="0033617F" w:rsidRDefault="00DA708F" w:rsidP="001B2A96">
            <w:pPr>
              <w:jc w:val="center"/>
            </w:pPr>
            <w:r w:rsidRPr="0033617F">
              <w:br w:type="page"/>
            </w:r>
            <w:r w:rsidRPr="0033617F">
              <w:br w:type="page"/>
            </w:r>
            <w:r w:rsidRPr="0033617F">
              <w:br w:type="page"/>
            </w:r>
            <w:r w:rsidRPr="0033617F">
              <w:rPr>
                <w:b/>
              </w:rPr>
              <w:t>III. Tiesību akta projekta ietekme uz valsts budžetu un pašvaldību budžetiem</w:t>
            </w:r>
          </w:p>
        </w:tc>
      </w:tr>
      <w:tr w:rsidR="00DA708F" w:rsidRPr="0033617F" w14:paraId="4EF90857" w14:textId="77777777" w:rsidTr="006E1C0C">
        <w:trPr>
          <w:jc w:val="center"/>
        </w:trPr>
        <w:tc>
          <w:tcPr>
            <w:tcW w:w="2235" w:type="dxa"/>
            <w:vMerge w:val="restart"/>
            <w:vAlign w:val="center"/>
          </w:tcPr>
          <w:p w14:paraId="551BB498" w14:textId="77777777" w:rsidR="00DA708F" w:rsidRPr="0033617F" w:rsidRDefault="00DA708F" w:rsidP="001B2A96">
            <w:pPr>
              <w:jc w:val="center"/>
              <w:rPr>
                <w:b/>
              </w:rPr>
            </w:pPr>
            <w:r w:rsidRPr="0033617F">
              <w:rPr>
                <w:b/>
              </w:rPr>
              <w:t>Rādītāji</w:t>
            </w:r>
          </w:p>
        </w:tc>
        <w:tc>
          <w:tcPr>
            <w:tcW w:w="2580" w:type="dxa"/>
            <w:gridSpan w:val="2"/>
            <w:vMerge w:val="restart"/>
            <w:vAlign w:val="center"/>
          </w:tcPr>
          <w:p w14:paraId="22EC0AC1" w14:textId="77777777" w:rsidR="00DA708F" w:rsidRPr="0033617F" w:rsidRDefault="008C2D86" w:rsidP="001B2A96">
            <w:pPr>
              <w:jc w:val="center"/>
              <w:rPr>
                <w:b/>
              </w:rPr>
            </w:pPr>
            <w:r>
              <w:rPr>
                <w:b/>
              </w:rPr>
              <w:t>2020</w:t>
            </w:r>
          </w:p>
        </w:tc>
        <w:tc>
          <w:tcPr>
            <w:tcW w:w="6217" w:type="dxa"/>
            <w:gridSpan w:val="5"/>
            <w:vAlign w:val="center"/>
          </w:tcPr>
          <w:p w14:paraId="5465584B" w14:textId="77777777" w:rsidR="00DA708F" w:rsidRPr="0033617F" w:rsidRDefault="00DA708F" w:rsidP="001B2A96">
            <w:pPr>
              <w:jc w:val="center"/>
            </w:pPr>
            <w:r w:rsidRPr="0033617F">
              <w:t>Turpmākie trīs gadi (</w:t>
            </w:r>
            <w:r w:rsidRPr="0033617F">
              <w:rPr>
                <w:i/>
              </w:rPr>
              <w:t>euro</w:t>
            </w:r>
            <w:r w:rsidRPr="0033617F">
              <w:t>)</w:t>
            </w:r>
          </w:p>
        </w:tc>
      </w:tr>
      <w:tr w:rsidR="00DA708F" w:rsidRPr="0033617F" w14:paraId="5789D37E" w14:textId="77777777" w:rsidTr="006E1C0C">
        <w:trPr>
          <w:jc w:val="center"/>
        </w:trPr>
        <w:tc>
          <w:tcPr>
            <w:tcW w:w="2235" w:type="dxa"/>
            <w:vMerge/>
            <w:vAlign w:val="center"/>
          </w:tcPr>
          <w:p w14:paraId="42C1DC4E" w14:textId="77777777" w:rsidR="00DA708F" w:rsidRPr="0033617F" w:rsidRDefault="00DA708F" w:rsidP="001B2A96">
            <w:pPr>
              <w:jc w:val="center"/>
              <w:rPr>
                <w:b/>
                <w:i/>
              </w:rPr>
            </w:pPr>
          </w:p>
        </w:tc>
        <w:tc>
          <w:tcPr>
            <w:tcW w:w="2580" w:type="dxa"/>
            <w:gridSpan w:val="2"/>
            <w:vMerge/>
            <w:vAlign w:val="center"/>
          </w:tcPr>
          <w:p w14:paraId="222D68FD" w14:textId="77777777" w:rsidR="00DA708F" w:rsidRPr="0033617F" w:rsidRDefault="00DA708F" w:rsidP="001B2A96">
            <w:pPr>
              <w:jc w:val="center"/>
              <w:rPr>
                <w:b/>
                <w:i/>
              </w:rPr>
            </w:pPr>
          </w:p>
        </w:tc>
        <w:tc>
          <w:tcPr>
            <w:tcW w:w="2693" w:type="dxa"/>
            <w:gridSpan w:val="2"/>
            <w:vAlign w:val="center"/>
          </w:tcPr>
          <w:p w14:paraId="432184C8" w14:textId="77777777" w:rsidR="00DA708F" w:rsidRPr="0033617F" w:rsidRDefault="008C2D86" w:rsidP="001B2A96">
            <w:pPr>
              <w:jc w:val="center"/>
              <w:rPr>
                <w:b/>
                <w:i/>
              </w:rPr>
            </w:pPr>
            <w:r>
              <w:rPr>
                <w:b/>
                <w:bCs/>
              </w:rPr>
              <w:t>2021</w:t>
            </w:r>
          </w:p>
        </w:tc>
        <w:tc>
          <w:tcPr>
            <w:tcW w:w="2327" w:type="dxa"/>
            <w:gridSpan w:val="2"/>
            <w:vAlign w:val="center"/>
          </w:tcPr>
          <w:p w14:paraId="77EFC272" w14:textId="77777777" w:rsidR="00DA708F" w:rsidRDefault="008C2D86" w:rsidP="001B2A96">
            <w:pPr>
              <w:jc w:val="center"/>
              <w:rPr>
                <w:b/>
                <w:bCs/>
              </w:rPr>
            </w:pPr>
            <w:r>
              <w:rPr>
                <w:b/>
                <w:bCs/>
              </w:rPr>
              <w:t>2022</w:t>
            </w:r>
          </w:p>
        </w:tc>
        <w:tc>
          <w:tcPr>
            <w:tcW w:w="1197" w:type="dxa"/>
            <w:vAlign w:val="center"/>
          </w:tcPr>
          <w:p w14:paraId="44038ECB" w14:textId="77777777" w:rsidR="00DA708F" w:rsidRDefault="008C2D86" w:rsidP="001B2A96">
            <w:pPr>
              <w:jc w:val="center"/>
              <w:rPr>
                <w:b/>
                <w:bCs/>
              </w:rPr>
            </w:pPr>
            <w:r>
              <w:rPr>
                <w:b/>
                <w:bCs/>
              </w:rPr>
              <w:t>2023</w:t>
            </w:r>
          </w:p>
        </w:tc>
      </w:tr>
      <w:tr w:rsidR="00265934" w:rsidRPr="0033617F" w14:paraId="0B1D67EC" w14:textId="77777777" w:rsidTr="006E1C0C">
        <w:trPr>
          <w:jc w:val="center"/>
        </w:trPr>
        <w:tc>
          <w:tcPr>
            <w:tcW w:w="2235" w:type="dxa"/>
            <w:vMerge/>
            <w:vAlign w:val="center"/>
          </w:tcPr>
          <w:p w14:paraId="5D836921" w14:textId="77777777" w:rsidR="00265934" w:rsidRPr="0033617F" w:rsidRDefault="00265934" w:rsidP="00265934">
            <w:pPr>
              <w:jc w:val="center"/>
              <w:rPr>
                <w:b/>
                <w:i/>
              </w:rPr>
            </w:pPr>
          </w:p>
        </w:tc>
        <w:tc>
          <w:tcPr>
            <w:tcW w:w="1132" w:type="dxa"/>
            <w:vAlign w:val="center"/>
          </w:tcPr>
          <w:p w14:paraId="15650775" w14:textId="001F54E2" w:rsidR="00265934" w:rsidRPr="0033617F" w:rsidRDefault="00265934" w:rsidP="00265934">
            <w:pPr>
              <w:jc w:val="center"/>
              <w:rPr>
                <w:b/>
                <w:i/>
              </w:rPr>
            </w:pPr>
            <w:r w:rsidRPr="003350F2">
              <w:t>saskaņā ar valsts budžetu kārtējam gadam</w:t>
            </w:r>
          </w:p>
        </w:tc>
        <w:tc>
          <w:tcPr>
            <w:tcW w:w="1448" w:type="dxa"/>
            <w:vAlign w:val="center"/>
          </w:tcPr>
          <w:p w14:paraId="5FDBDFA1" w14:textId="4989E7F1" w:rsidR="00265934" w:rsidRPr="0033617F" w:rsidRDefault="00265934" w:rsidP="00265934">
            <w:pPr>
              <w:jc w:val="center"/>
              <w:rPr>
                <w:b/>
                <w:i/>
              </w:rPr>
            </w:pPr>
            <w:r w:rsidRPr="003350F2">
              <w:t>izmaiņas kārtējā gadā, salīdzinot ar budžetu kārtējam gadam</w:t>
            </w:r>
          </w:p>
        </w:tc>
        <w:tc>
          <w:tcPr>
            <w:tcW w:w="1130" w:type="dxa"/>
            <w:vAlign w:val="center"/>
          </w:tcPr>
          <w:p w14:paraId="111F124F" w14:textId="240B02E7" w:rsidR="00265934" w:rsidRPr="00183338" w:rsidRDefault="00265934" w:rsidP="00265934">
            <w:pPr>
              <w:jc w:val="center"/>
            </w:pPr>
            <w:r w:rsidRPr="003350F2">
              <w:t>saskaņā ar vidēja termiņa budžeta ietvaru</w:t>
            </w:r>
          </w:p>
        </w:tc>
        <w:tc>
          <w:tcPr>
            <w:tcW w:w="1563" w:type="dxa"/>
            <w:vAlign w:val="center"/>
          </w:tcPr>
          <w:p w14:paraId="6E599D60" w14:textId="77777777" w:rsidR="00265934" w:rsidRPr="003350F2" w:rsidRDefault="00265934" w:rsidP="00265934">
            <w:pPr>
              <w:jc w:val="center"/>
            </w:pPr>
            <w:r w:rsidRPr="003350F2">
              <w:t>izmaiņas, salīdzinot ar vidēja termiņa budžeta ietvaru 202</w:t>
            </w:r>
            <w:r>
              <w:t>1</w:t>
            </w:r>
            <w:r w:rsidRPr="003350F2">
              <w:t>.</w:t>
            </w:r>
          </w:p>
          <w:p w14:paraId="6AE04936" w14:textId="7EF76195" w:rsidR="00265934" w:rsidRPr="00183338" w:rsidRDefault="00265934" w:rsidP="00265934">
            <w:pPr>
              <w:jc w:val="center"/>
            </w:pPr>
            <w:r w:rsidRPr="003350F2">
              <w:t>gadam</w:t>
            </w:r>
          </w:p>
        </w:tc>
        <w:tc>
          <w:tcPr>
            <w:tcW w:w="1130" w:type="dxa"/>
            <w:vAlign w:val="center"/>
          </w:tcPr>
          <w:p w14:paraId="39658717" w14:textId="695023D4" w:rsidR="00265934" w:rsidRPr="00183338" w:rsidRDefault="00265934" w:rsidP="00265934">
            <w:pPr>
              <w:jc w:val="center"/>
            </w:pPr>
            <w:r w:rsidRPr="003350F2">
              <w:t>saskaņā ar vidēja termiņa budžeta ietvaru</w:t>
            </w:r>
          </w:p>
        </w:tc>
        <w:tc>
          <w:tcPr>
            <w:tcW w:w="1197" w:type="dxa"/>
            <w:vAlign w:val="center"/>
          </w:tcPr>
          <w:p w14:paraId="12EF6955" w14:textId="77777777" w:rsidR="00265934" w:rsidRPr="003350F2" w:rsidRDefault="00265934" w:rsidP="00265934">
            <w:pPr>
              <w:jc w:val="center"/>
            </w:pPr>
            <w:r w:rsidRPr="003350F2">
              <w:t xml:space="preserve">izmaiņas, salīdzinot ar vidēja termiņa budžeta ietvaru </w:t>
            </w:r>
            <w:r>
              <w:t>2022</w:t>
            </w:r>
            <w:r w:rsidRPr="003350F2">
              <w:t>.</w:t>
            </w:r>
          </w:p>
          <w:p w14:paraId="1A50A356" w14:textId="05A8AE16" w:rsidR="00265934" w:rsidRPr="00183338" w:rsidRDefault="00265934" w:rsidP="00265934">
            <w:pPr>
              <w:jc w:val="center"/>
            </w:pPr>
            <w:r w:rsidRPr="003350F2">
              <w:t>gadam</w:t>
            </w:r>
          </w:p>
        </w:tc>
        <w:tc>
          <w:tcPr>
            <w:tcW w:w="1197" w:type="dxa"/>
            <w:vAlign w:val="center"/>
          </w:tcPr>
          <w:p w14:paraId="1A1F803F" w14:textId="77777777" w:rsidR="00265934" w:rsidRPr="003350F2" w:rsidRDefault="00265934" w:rsidP="00265934">
            <w:pPr>
              <w:jc w:val="center"/>
            </w:pPr>
            <w:r w:rsidRPr="003350F2">
              <w:t xml:space="preserve">izmaiņas, salīdzinot ar vidēja termiņa budžeta ietvaru </w:t>
            </w:r>
            <w:r>
              <w:t>2022</w:t>
            </w:r>
            <w:r w:rsidRPr="003350F2">
              <w:t>.</w:t>
            </w:r>
          </w:p>
          <w:p w14:paraId="12BA2B57" w14:textId="4587A14A" w:rsidR="00265934" w:rsidRPr="00183338" w:rsidRDefault="00265934" w:rsidP="00265934">
            <w:pPr>
              <w:jc w:val="center"/>
            </w:pPr>
            <w:r w:rsidRPr="003350F2">
              <w:t>gadam</w:t>
            </w:r>
          </w:p>
        </w:tc>
      </w:tr>
      <w:tr w:rsidR="00DA708F" w:rsidRPr="0033617F" w14:paraId="30123253" w14:textId="77777777" w:rsidTr="006E1C0C">
        <w:trPr>
          <w:jc w:val="center"/>
        </w:trPr>
        <w:tc>
          <w:tcPr>
            <w:tcW w:w="2235" w:type="dxa"/>
            <w:vAlign w:val="center"/>
          </w:tcPr>
          <w:p w14:paraId="02288EDF" w14:textId="77777777" w:rsidR="00DA708F" w:rsidRPr="0033617F" w:rsidRDefault="00DA708F" w:rsidP="001B2A96">
            <w:pPr>
              <w:jc w:val="center"/>
              <w:rPr>
                <w:bCs/>
              </w:rPr>
            </w:pPr>
            <w:r w:rsidRPr="0033617F">
              <w:rPr>
                <w:bCs/>
              </w:rPr>
              <w:t>1</w:t>
            </w:r>
          </w:p>
        </w:tc>
        <w:tc>
          <w:tcPr>
            <w:tcW w:w="1132" w:type="dxa"/>
            <w:vAlign w:val="center"/>
          </w:tcPr>
          <w:p w14:paraId="68FDB516" w14:textId="77777777" w:rsidR="00DA708F" w:rsidRPr="0033617F" w:rsidRDefault="00DA708F" w:rsidP="001B2A96">
            <w:pPr>
              <w:jc w:val="center"/>
              <w:rPr>
                <w:bCs/>
              </w:rPr>
            </w:pPr>
            <w:r w:rsidRPr="0033617F">
              <w:rPr>
                <w:bCs/>
              </w:rPr>
              <w:t>2</w:t>
            </w:r>
          </w:p>
        </w:tc>
        <w:tc>
          <w:tcPr>
            <w:tcW w:w="1448" w:type="dxa"/>
            <w:vAlign w:val="center"/>
          </w:tcPr>
          <w:p w14:paraId="6818F00C" w14:textId="77777777" w:rsidR="00DA708F" w:rsidRPr="0033617F" w:rsidRDefault="00DA708F" w:rsidP="001B2A96">
            <w:pPr>
              <w:jc w:val="center"/>
              <w:rPr>
                <w:bCs/>
              </w:rPr>
            </w:pPr>
            <w:r w:rsidRPr="0033617F">
              <w:rPr>
                <w:bCs/>
              </w:rPr>
              <w:t>3</w:t>
            </w:r>
          </w:p>
        </w:tc>
        <w:tc>
          <w:tcPr>
            <w:tcW w:w="1130" w:type="dxa"/>
            <w:vAlign w:val="center"/>
          </w:tcPr>
          <w:p w14:paraId="1FBDF226" w14:textId="77777777" w:rsidR="00DA708F" w:rsidRPr="0033617F" w:rsidRDefault="00DA708F" w:rsidP="001B2A96">
            <w:pPr>
              <w:jc w:val="center"/>
              <w:rPr>
                <w:bCs/>
              </w:rPr>
            </w:pPr>
            <w:r w:rsidRPr="0033617F">
              <w:rPr>
                <w:bCs/>
              </w:rPr>
              <w:t>4</w:t>
            </w:r>
          </w:p>
        </w:tc>
        <w:tc>
          <w:tcPr>
            <w:tcW w:w="1563" w:type="dxa"/>
            <w:vAlign w:val="center"/>
          </w:tcPr>
          <w:p w14:paraId="54FF63F6" w14:textId="77777777" w:rsidR="00DA708F" w:rsidRPr="0033617F" w:rsidRDefault="00DA708F" w:rsidP="001B2A96">
            <w:pPr>
              <w:jc w:val="center"/>
              <w:rPr>
                <w:bCs/>
              </w:rPr>
            </w:pPr>
            <w:r w:rsidRPr="0033617F">
              <w:rPr>
                <w:bCs/>
              </w:rPr>
              <w:t>5</w:t>
            </w:r>
          </w:p>
        </w:tc>
        <w:tc>
          <w:tcPr>
            <w:tcW w:w="1130" w:type="dxa"/>
            <w:vAlign w:val="center"/>
          </w:tcPr>
          <w:p w14:paraId="64AAAB22" w14:textId="77777777" w:rsidR="00DA708F" w:rsidRPr="0033617F" w:rsidRDefault="00DA708F" w:rsidP="001B2A96">
            <w:pPr>
              <w:jc w:val="center"/>
              <w:rPr>
                <w:bCs/>
              </w:rPr>
            </w:pPr>
            <w:r w:rsidRPr="0033617F">
              <w:rPr>
                <w:bCs/>
              </w:rPr>
              <w:t>6</w:t>
            </w:r>
          </w:p>
        </w:tc>
        <w:tc>
          <w:tcPr>
            <w:tcW w:w="1197" w:type="dxa"/>
          </w:tcPr>
          <w:p w14:paraId="02741E3B" w14:textId="77777777" w:rsidR="00DA708F" w:rsidRPr="0033617F" w:rsidRDefault="00DA708F" w:rsidP="001B2A96">
            <w:pPr>
              <w:jc w:val="center"/>
              <w:rPr>
                <w:bCs/>
              </w:rPr>
            </w:pPr>
            <w:r>
              <w:rPr>
                <w:bCs/>
              </w:rPr>
              <w:t>7</w:t>
            </w:r>
          </w:p>
        </w:tc>
        <w:tc>
          <w:tcPr>
            <w:tcW w:w="1197" w:type="dxa"/>
          </w:tcPr>
          <w:p w14:paraId="3BB87FF8" w14:textId="77777777" w:rsidR="00DA708F" w:rsidRPr="0033617F" w:rsidRDefault="00DA708F" w:rsidP="001B2A96">
            <w:pPr>
              <w:jc w:val="center"/>
              <w:rPr>
                <w:bCs/>
              </w:rPr>
            </w:pPr>
            <w:r>
              <w:rPr>
                <w:bCs/>
              </w:rPr>
              <w:t>8</w:t>
            </w:r>
          </w:p>
        </w:tc>
      </w:tr>
      <w:tr w:rsidR="00DA708F" w:rsidRPr="0033617F" w14:paraId="13C8EA50" w14:textId="77777777" w:rsidTr="006E1C0C">
        <w:trPr>
          <w:jc w:val="center"/>
        </w:trPr>
        <w:tc>
          <w:tcPr>
            <w:tcW w:w="2235" w:type="dxa"/>
          </w:tcPr>
          <w:p w14:paraId="452173D7" w14:textId="77777777" w:rsidR="00DA708F" w:rsidRPr="0033617F" w:rsidRDefault="00DA708F" w:rsidP="001B2A96">
            <w:pPr>
              <w:rPr>
                <w:i/>
              </w:rPr>
            </w:pPr>
            <w:r w:rsidRPr="0033617F">
              <w:t>1. Budžeta ieņēmumi:</w:t>
            </w:r>
          </w:p>
        </w:tc>
        <w:tc>
          <w:tcPr>
            <w:tcW w:w="1132" w:type="dxa"/>
          </w:tcPr>
          <w:p w14:paraId="2F65E935" w14:textId="77777777" w:rsidR="00DA708F" w:rsidRPr="0033617F" w:rsidRDefault="00DA708F" w:rsidP="001B2A96">
            <w:pPr>
              <w:jc w:val="center"/>
              <w:rPr>
                <w:b/>
              </w:rPr>
            </w:pPr>
            <w:r w:rsidRPr="0033617F">
              <w:rPr>
                <w:b/>
              </w:rPr>
              <w:t>0</w:t>
            </w:r>
          </w:p>
        </w:tc>
        <w:tc>
          <w:tcPr>
            <w:tcW w:w="1448" w:type="dxa"/>
          </w:tcPr>
          <w:p w14:paraId="73B05185" w14:textId="77777777" w:rsidR="00DA708F" w:rsidRPr="0033617F" w:rsidRDefault="00DA708F" w:rsidP="001B2A96">
            <w:pPr>
              <w:jc w:val="center"/>
              <w:rPr>
                <w:b/>
              </w:rPr>
            </w:pPr>
            <w:r w:rsidRPr="0033617F">
              <w:rPr>
                <w:b/>
              </w:rPr>
              <w:t>0</w:t>
            </w:r>
          </w:p>
        </w:tc>
        <w:tc>
          <w:tcPr>
            <w:tcW w:w="1130" w:type="dxa"/>
          </w:tcPr>
          <w:p w14:paraId="4E344F28" w14:textId="77777777" w:rsidR="00DA708F" w:rsidRPr="0033617F" w:rsidRDefault="00DA708F" w:rsidP="001B2A96">
            <w:pPr>
              <w:jc w:val="center"/>
              <w:rPr>
                <w:b/>
              </w:rPr>
            </w:pPr>
            <w:r w:rsidRPr="0033617F">
              <w:rPr>
                <w:b/>
              </w:rPr>
              <w:t>0</w:t>
            </w:r>
          </w:p>
        </w:tc>
        <w:tc>
          <w:tcPr>
            <w:tcW w:w="1563" w:type="dxa"/>
          </w:tcPr>
          <w:p w14:paraId="47CD847A" w14:textId="77777777" w:rsidR="00DA708F" w:rsidRPr="0033617F" w:rsidRDefault="00DA708F" w:rsidP="001B2A96">
            <w:pPr>
              <w:jc w:val="center"/>
              <w:rPr>
                <w:b/>
              </w:rPr>
            </w:pPr>
            <w:r w:rsidRPr="0033617F">
              <w:rPr>
                <w:b/>
              </w:rPr>
              <w:t>0</w:t>
            </w:r>
          </w:p>
        </w:tc>
        <w:tc>
          <w:tcPr>
            <w:tcW w:w="1130" w:type="dxa"/>
          </w:tcPr>
          <w:p w14:paraId="32601915" w14:textId="77777777" w:rsidR="00DA708F" w:rsidRPr="0033617F" w:rsidRDefault="00DA708F" w:rsidP="001B2A96">
            <w:pPr>
              <w:jc w:val="center"/>
              <w:rPr>
                <w:b/>
              </w:rPr>
            </w:pPr>
            <w:r w:rsidRPr="0033617F">
              <w:rPr>
                <w:b/>
              </w:rPr>
              <w:t>0</w:t>
            </w:r>
          </w:p>
        </w:tc>
        <w:tc>
          <w:tcPr>
            <w:tcW w:w="1197" w:type="dxa"/>
          </w:tcPr>
          <w:p w14:paraId="2BAF0F86" w14:textId="77777777" w:rsidR="00DA708F" w:rsidRPr="0033617F" w:rsidRDefault="00DA708F" w:rsidP="001B2A96">
            <w:pPr>
              <w:jc w:val="center"/>
              <w:rPr>
                <w:b/>
              </w:rPr>
            </w:pPr>
            <w:r>
              <w:rPr>
                <w:b/>
              </w:rPr>
              <w:t>0</w:t>
            </w:r>
          </w:p>
        </w:tc>
        <w:tc>
          <w:tcPr>
            <w:tcW w:w="1197" w:type="dxa"/>
          </w:tcPr>
          <w:p w14:paraId="75F359CC" w14:textId="77777777" w:rsidR="00DA708F" w:rsidRPr="0033617F" w:rsidRDefault="00DA708F" w:rsidP="001B2A96">
            <w:pPr>
              <w:jc w:val="center"/>
              <w:rPr>
                <w:b/>
              </w:rPr>
            </w:pPr>
            <w:r>
              <w:rPr>
                <w:b/>
              </w:rPr>
              <w:t>0</w:t>
            </w:r>
          </w:p>
        </w:tc>
      </w:tr>
      <w:tr w:rsidR="00DA708F" w:rsidRPr="0033617F" w14:paraId="0FB39F8E" w14:textId="77777777" w:rsidTr="006E1C0C">
        <w:trPr>
          <w:jc w:val="center"/>
        </w:trPr>
        <w:tc>
          <w:tcPr>
            <w:tcW w:w="2235" w:type="dxa"/>
          </w:tcPr>
          <w:p w14:paraId="1DD1B4A3" w14:textId="77777777" w:rsidR="00DA708F" w:rsidRPr="0033617F" w:rsidRDefault="00DA708F" w:rsidP="001B2A96">
            <w:pPr>
              <w:rPr>
                <w:i/>
              </w:rPr>
            </w:pPr>
            <w:r w:rsidRPr="0033617F">
              <w:t>1.1. valsts pamatbudžets, tai skaitā ieņēmumi no maksas pakalpojumiem un citi pašu ieņēmumi</w:t>
            </w:r>
          </w:p>
        </w:tc>
        <w:tc>
          <w:tcPr>
            <w:tcW w:w="1132" w:type="dxa"/>
          </w:tcPr>
          <w:p w14:paraId="110BA630" w14:textId="77777777" w:rsidR="00DA708F" w:rsidRPr="0033617F" w:rsidRDefault="00DA708F" w:rsidP="001B2A96">
            <w:pPr>
              <w:jc w:val="center"/>
              <w:rPr>
                <w:i/>
              </w:rPr>
            </w:pPr>
          </w:p>
        </w:tc>
        <w:tc>
          <w:tcPr>
            <w:tcW w:w="1448" w:type="dxa"/>
          </w:tcPr>
          <w:p w14:paraId="06F3322B" w14:textId="77777777" w:rsidR="00DA708F" w:rsidRPr="0033617F" w:rsidRDefault="00DA708F" w:rsidP="001B2A96">
            <w:pPr>
              <w:jc w:val="center"/>
              <w:rPr>
                <w:i/>
              </w:rPr>
            </w:pPr>
          </w:p>
        </w:tc>
        <w:tc>
          <w:tcPr>
            <w:tcW w:w="1130" w:type="dxa"/>
          </w:tcPr>
          <w:p w14:paraId="3AD84DF9" w14:textId="77777777" w:rsidR="00DA708F" w:rsidRPr="0033617F" w:rsidRDefault="00DA708F" w:rsidP="001B2A96">
            <w:pPr>
              <w:jc w:val="center"/>
              <w:rPr>
                <w:i/>
              </w:rPr>
            </w:pPr>
          </w:p>
        </w:tc>
        <w:tc>
          <w:tcPr>
            <w:tcW w:w="1563" w:type="dxa"/>
          </w:tcPr>
          <w:p w14:paraId="173425B2" w14:textId="77777777" w:rsidR="00DA708F" w:rsidRPr="0033617F" w:rsidRDefault="00DA708F" w:rsidP="001B2A96">
            <w:pPr>
              <w:jc w:val="center"/>
              <w:rPr>
                <w:i/>
              </w:rPr>
            </w:pPr>
          </w:p>
        </w:tc>
        <w:tc>
          <w:tcPr>
            <w:tcW w:w="1130" w:type="dxa"/>
          </w:tcPr>
          <w:p w14:paraId="4696E825" w14:textId="77777777" w:rsidR="00DA708F" w:rsidRPr="0033617F" w:rsidRDefault="00DA708F" w:rsidP="001B2A96">
            <w:pPr>
              <w:jc w:val="center"/>
              <w:rPr>
                <w:i/>
              </w:rPr>
            </w:pPr>
          </w:p>
        </w:tc>
        <w:tc>
          <w:tcPr>
            <w:tcW w:w="1197" w:type="dxa"/>
          </w:tcPr>
          <w:p w14:paraId="26549C0C" w14:textId="77777777" w:rsidR="00DA708F" w:rsidRPr="0033617F" w:rsidRDefault="00DA708F" w:rsidP="001B2A96">
            <w:pPr>
              <w:jc w:val="center"/>
              <w:rPr>
                <w:i/>
              </w:rPr>
            </w:pPr>
          </w:p>
        </w:tc>
        <w:tc>
          <w:tcPr>
            <w:tcW w:w="1197" w:type="dxa"/>
          </w:tcPr>
          <w:p w14:paraId="16F35293" w14:textId="77777777" w:rsidR="00DA708F" w:rsidRPr="0033617F" w:rsidRDefault="00DA708F" w:rsidP="001B2A96">
            <w:pPr>
              <w:jc w:val="center"/>
              <w:rPr>
                <w:i/>
              </w:rPr>
            </w:pPr>
          </w:p>
        </w:tc>
      </w:tr>
      <w:tr w:rsidR="00DA708F" w:rsidRPr="0033617F" w14:paraId="3FD3E7F1" w14:textId="77777777" w:rsidTr="006E1C0C">
        <w:trPr>
          <w:jc w:val="center"/>
        </w:trPr>
        <w:tc>
          <w:tcPr>
            <w:tcW w:w="2235" w:type="dxa"/>
          </w:tcPr>
          <w:p w14:paraId="78FCCF5E" w14:textId="77777777" w:rsidR="00DA708F" w:rsidRPr="0033617F" w:rsidRDefault="00DA708F" w:rsidP="001B2A96">
            <w:pPr>
              <w:rPr>
                <w:i/>
              </w:rPr>
            </w:pPr>
            <w:r w:rsidRPr="0033617F">
              <w:t>1.2. valsts speciālais budžets</w:t>
            </w:r>
          </w:p>
        </w:tc>
        <w:tc>
          <w:tcPr>
            <w:tcW w:w="1132" w:type="dxa"/>
          </w:tcPr>
          <w:p w14:paraId="15AC3F9D" w14:textId="77777777" w:rsidR="00DA708F" w:rsidRPr="0033617F" w:rsidRDefault="00DA708F" w:rsidP="001B2A96">
            <w:pPr>
              <w:jc w:val="center"/>
            </w:pPr>
          </w:p>
        </w:tc>
        <w:tc>
          <w:tcPr>
            <w:tcW w:w="1448" w:type="dxa"/>
          </w:tcPr>
          <w:p w14:paraId="0C112442" w14:textId="77777777" w:rsidR="00DA708F" w:rsidRPr="0033617F" w:rsidRDefault="00DA708F" w:rsidP="001B2A96">
            <w:pPr>
              <w:jc w:val="center"/>
            </w:pPr>
          </w:p>
        </w:tc>
        <w:tc>
          <w:tcPr>
            <w:tcW w:w="1130" w:type="dxa"/>
          </w:tcPr>
          <w:p w14:paraId="08A8B0A0" w14:textId="77777777" w:rsidR="00DA708F" w:rsidRPr="0033617F" w:rsidRDefault="00DA708F" w:rsidP="001B2A96">
            <w:pPr>
              <w:jc w:val="center"/>
            </w:pPr>
          </w:p>
        </w:tc>
        <w:tc>
          <w:tcPr>
            <w:tcW w:w="1563" w:type="dxa"/>
          </w:tcPr>
          <w:p w14:paraId="4A8CA9E3" w14:textId="77777777" w:rsidR="00DA708F" w:rsidRPr="0033617F" w:rsidRDefault="00DA708F" w:rsidP="001B2A96">
            <w:pPr>
              <w:jc w:val="center"/>
            </w:pPr>
          </w:p>
        </w:tc>
        <w:tc>
          <w:tcPr>
            <w:tcW w:w="1130" w:type="dxa"/>
          </w:tcPr>
          <w:p w14:paraId="115E5969" w14:textId="77777777" w:rsidR="00DA708F" w:rsidRPr="0033617F" w:rsidRDefault="00DA708F" w:rsidP="001B2A96">
            <w:pPr>
              <w:jc w:val="center"/>
            </w:pPr>
          </w:p>
        </w:tc>
        <w:tc>
          <w:tcPr>
            <w:tcW w:w="1197" w:type="dxa"/>
          </w:tcPr>
          <w:p w14:paraId="6B98D2DB" w14:textId="77777777" w:rsidR="00DA708F" w:rsidRPr="0033617F" w:rsidRDefault="00DA708F" w:rsidP="001B2A96">
            <w:pPr>
              <w:jc w:val="center"/>
            </w:pPr>
          </w:p>
        </w:tc>
        <w:tc>
          <w:tcPr>
            <w:tcW w:w="1197" w:type="dxa"/>
          </w:tcPr>
          <w:p w14:paraId="60DE00DC" w14:textId="77777777" w:rsidR="00DA708F" w:rsidRPr="0033617F" w:rsidRDefault="00DA708F" w:rsidP="001B2A96">
            <w:pPr>
              <w:jc w:val="center"/>
            </w:pPr>
          </w:p>
        </w:tc>
      </w:tr>
      <w:tr w:rsidR="00DA708F" w:rsidRPr="0033617F" w14:paraId="3BF23EE2" w14:textId="77777777" w:rsidTr="006E1C0C">
        <w:trPr>
          <w:jc w:val="center"/>
        </w:trPr>
        <w:tc>
          <w:tcPr>
            <w:tcW w:w="2235" w:type="dxa"/>
          </w:tcPr>
          <w:p w14:paraId="3F75D13B" w14:textId="77777777" w:rsidR="00DA708F" w:rsidRPr="0033617F" w:rsidRDefault="00DA708F" w:rsidP="001B2A96">
            <w:pPr>
              <w:rPr>
                <w:i/>
              </w:rPr>
            </w:pPr>
            <w:r w:rsidRPr="0033617F">
              <w:t>1.3. pašvaldību budžets</w:t>
            </w:r>
          </w:p>
        </w:tc>
        <w:tc>
          <w:tcPr>
            <w:tcW w:w="1132" w:type="dxa"/>
          </w:tcPr>
          <w:p w14:paraId="25E8A59E" w14:textId="77777777" w:rsidR="00DA708F" w:rsidRPr="0033617F" w:rsidRDefault="00DA708F" w:rsidP="001B2A96">
            <w:pPr>
              <w:jc w:val="center"/>
            </w:pPr>
          </w:p>
        </w:tc>
        <w:tc>
          <w:tcPr>
            <w:tcW w:w="1448" w:type="dxa"/>
          </w:tcPr>
          <w:p w14:paraId="6926686D" w14:textId="77777777" w:rsidR="00DA708F" w:rsidRPr="0033617F" w:rsidRDefault="00DA708F" w:rsidP="001B2A96">
            <w:pPr>
              <w:jc w:val="center"/>
            </w:pPr>
          </w:p>
        </w:tc>
        <w:tc>
          <w:tcPr>
            <w:tcW w:w="1130" w:type="dxa"/>
          </w:tcPr>
          <w:p w14:paraId="01810920" w14:textId="77777777" w:rsidR="00DA708F" w:rsidRPr="0033617F" w:rsidRDefault="00DA708F" w:rsidP="001B2A96">
            <w:pPr>
              <w:jc w:val="center"/>
            </w:pPr>
          </w:p>
        </w:tc>
        <w:tc>
          <w:tcPr>
            <w:tcW w:w="1563" w:type="dxa"/>
          </w:tcPr>
          <w:p w14:paraId="4E47B6D6" w14:textId="77777777" w:rsidR="00DA708F" w:rsidRPr="0033617F" w:rsidRDefault="00DA708F" w:rsidP="001B2A96">
            <w:pPr>
              <w:jc w:val="center"/>
            </w:pPr>
          </w:p>
        </w:tc>
        <w:tc>
          <w:tcPr>
            <w:tcW w:w="1130" w:type="dxa"/>
          </w:tcPr>
          <w:p w14:paraId="303E2203" w14:textId="77777777" w:rsidR="00DA708F" w:rsidRPr="0033617F" w:rsidRDefault="00DA708F" w:rsidP="001B2A96">
            <w:pPr>
              <w:jc w:val="center"/>
            </w:pPr>
          </w:p>
        </w:tc>
        <w:tc>
          <w:tcPr>
            <w:tcW w:w="1197" w:type="dxa"/>
          </w:tcPr>
          <w:p w14:paraId="5AAB8C1A" w14:textId="77777777" w:rsidR="00DA708F" w:rsidRPr="0033617F" w:rsidRDefault="00DA708F" w:rsidP="001B2A96">
            <w:pPr>
              <w:jc w:val="center"/>
            </w:pPr>
          </w:p>
        </w:tc>
        <w:tc>
          <w:tcPr>
            <w:tcW w:w="1197" w:type="dxa"/>
          </w:tcPr>
          <w:p w14:paraId="022AB86F" w14:textId="77777777" w:rsidR="00DA708F" w:rsidRPr="0033617F" w:rsidRDefault="00DA708F" w:rsidP="001B2A96">
            <w:pPr>
              <w:jc w:val="center"/>
            </w:pPr>
          </w:p>
        </w:tc>
      </w:tr>
      <w:tr w:rsidR="00DA708F" w:rsidRPr="0033617F" w14:paraId="2BFA35C4" w14:textId="77777777" w:rsidTr="006E1C0C">
        <w:trPr>
          <w:jc w:val="center"/>
        </w:trPr>
        <w:tc>
          <w:tcPr>
            <w:tcW w:w="2235" w:type="dxa"/>
          </w:tcPr>
          <w:p w14:paraId="576345A9" w14:textId="77777777" w:rsidR="00DA708F" w:rsidRPr="0033617F" w:rsidRDefault="00DA708F" w:rsidP="001B2A96">
            <w:r w:rsidRPr="0033617F">
              <w:t>2. Budžeta izdevumi:</w:t>
            </w:r>
          </w:p>
        </w:tc>
        <w:tc>
          <w:tcPr>
            <w:tcW w:w="1132" w:type="dxa"/>
          </w:tcPr>
          <w:p w14:paraId="167441E8" w14:textId="77777777" w:rsidR="00DA708F" w:rsidRPr="004B2478" w:rsidRDefault="00DA708F" w:rsidP="001B2A96">
            <w:pPr>
              <w:jc w:val="center"/>
              <w:rPr>
                <w:b/>
              </w:rPr>
            </w:pPr>
            <w:r w:rsidRPr="004B2478">
              <w:rPr>
                <w:b/>
              </w:rPr>
              <w:t>0</w:t>
            </w:r>
          </w:p>
        </w:tc>
        <w:tc>
          <w:tcPr>
            <w:tcW w:w="1448" w:type="dxa"/>
          </w:tcPr>
          <w:p w14:paraId="05112F23" w14:textId="52316EAC" w:rsidR="00DA708F" w:rsidRPr="004B2478" w:rsidRDefault="00AC4E3B" w:rsidP="001B2A96">
            <w:pPr>
              <w:jc w:val="center"/>
              <w:rPr>
                <w:b/>
              </w:rPr>
            </w:pPr>
            <w:r>
              <w:rPr>
                <w:b/>
              </w:rPr>
              <w:t>2 040</w:t>
            </w:r>
            <w:r w:rsidR="00D442BA">
              <w:rPr>
                <w:b/>
              </w:rPr>
              <w:t xml:space="preserve"> 000</w:t>
            </w:r>
          </w:p>
        </w:tc>
        <w:tc>
          <w:tcPr>
            <w:tcW w:w="1130" w:type="dxa"/>
          </w:tcPr>
          <w:p w14:paraId="7F49FA9F" w14:textId="77777777" w:rsidR="00DA708F" w:rsidRPr="00317B6A" w:rsidRDefault="00DA708F" w:rsidP="001B2A96">
            <w:pPr>
              <w:jc w:val="center"/>
              <w:rPr>
                <w:b/>
              </w:rPr>
            </w:pPr>
            <w:r w:rsidRPr="00317B6A">
              <w:rPr>
                <w:b/>
              </w:rPr>
              <w:t>0</w:t>
            </w:r>
          </w:p>
        </w:tc>
        <w:tc>
          <w:tcPr>
            <w:tcW w:w="1563" w:type="dxa"/>
          </w:tcPr>
          <w:p w14:paraId="5420ACB5" w14:textId="78842E3E" w:rsidR="00DA708F" w:rsidRPr="00317B6A" w:rsidRDefault="0012026C" w:rsidP="001B2A96">
            <w:pPr>
              <w:jc w:val="center"/>
              <w:rPr>
                <w:b/>
              </w:rPr>
            </w:pPr>
            <w:r>
              <w:rPr>
                <w:b/>
              </w:rPr>
              <w:t>0</w:t>
            </w:r>
          </w:p>
        </w:tc>
        <w:tc>
          <w:tcPr>
            <w:tcW w:w="1130" w:type="dxa"/>
          </w:tcPr>
          <w:p w14:paraId="048E7AD8" w14:textId="77777777" w:rsidR="00DA708F" w:rsidRPr="00317B6A" w:rsidRDefault="00DA708F" w:rsidP="001B2A96">
            <w:pPr>
              <w:jc w:val="center"/>
              <w:rPr>
                <w:b/>
              </w:rPr>
            </w:pPr>
            <w:r w:rsidRPr="00317B6A">
              <w:rPr>
                <w:b/>
              </w:rPr>
              <w:t>0</w:t>
            </w:r>
          </w:p>
        </w:tc>
        <w:tc>
          <w:tcPr>
            <w:tcW w:w="1197" w:type="dxa"/>
          </w:tcPr>
          <w:p w14:paraId="690B50D6" w14:textId="77777777" w:rsidR="00DA708F" w:rsidRPr="00317B6A" w:rsidRDefault="00DA708F" w:rsidP="001B2A96">
            <w:pPr>
              <w:jc w:val="center"/>
              <w:rPr>
                <w:b/>
              </w:rPr>
            </w:pPr>
            <w:r>
              <w:rPr>
                <w:b/>
              </w:rPr>
              <w:t>0</w:t>
            </w:r>
          </w:p>
        </w:tc>
        <w:tc>
          <w:tcPr>
            <w:tcW w:w="1197" w:type="dxa"/>
          </w:tcPr>
          <w:p w14:paraId="72290D90" w14:textId="77777777" w:rsidR="00DA708F" w:rsidRPr="00317B6A" w:rsidRDefault="00DA708F" w:rsidP="001B2A96">
            <w:pPr>
              <w:jc w:val="center"/>
              <w:rPr>
                <w:b/>
              </w:rPr>
            </w:pPr>
            <w:r>
              <w:rPr>
                <w:b/>
              </w:rPr>
              <w:t>0</w:t>
            </w:r>
          </w:p>
        </w:tc>
      </w:tr>
      <w:tr w:rsidR="00DA708F" w:rsidRPr="0033617F" w14:paraId="4725DAAC" w14:textId="77777777" w:rsidTr="006E1C0C">
        <w:trPr>
          <w:jc w:val="center"/>
        </w:trPr>
        <w:tc>
          <w:tcPr>
            <w:tcW w:w="2235" w:type="dxa"/>
          </w:tcPr>
          <w:p w14:paraId="38ED5BC6" w14:textId="77777777" w:rsidR="00DA708F" w:rsidRPr="0033617F" w:rsidRDefault="00DA708F" w:rsidP="001B2A96">
            <w:r w:rsidRPr="0033617F">
              <w:t>2.1. valsts pamatbudžets</w:t>
            </w:r>
          </w:p>
        </w:tc>
        <w:tc>
          <w:tcPr>
            <w:tcW w:w="1132" w:type="dxa"/>
          </w:tcPr>
          <w:p w14:paraId="04E67DEB" w14:textId="77777777" w:rsidR="00DA708F" w:rsidRPr="004B2478" w:rsidRDefault="00DA708F" w:rsidP="001B2A96">
            <w:pPr>
              <w:jc w:val="center"/>
              <w:rPr>
                <w:i/>
              </w:rPr>
            </w:pPr>
            <w:r w:rsidRPr="004B2478">
              <w:rPr>
                <w:i/>
              </w:rPr>
              <w:t>0</w:t>
            </w:r>
          </w:p>
        </w:tc>
        <w:tc>
          <w:tcPr>
            <w:tcW w:w="1448" w:type="dxa"/>
          </w:tcPr>
          <w:p w14:paraId="197962AF" w14:textId="4DE45944" w:rsidR="00DA708F" w:rsidRPr="004B2478" w:rsidRDefault="00AC4E3B" w:rsidP="00AC4E3B">
            <w:pPr>
              <w:jc w:val="center"/>
              <w:rPr>
                <w:i/>
              </w:rPr>
            </w:pPr>
            <w:r>
              <w:rPr>
                <w:i/>
              </w:rPr>
              <w:t>2</w:t>
            </w:r>
            <w:r w:rsidR="00D442BA">
              <w:rPr>
                <w:i/>
              </w:rPr>
              <w:t> </w:t>
            </w:r>
            <w:r>
              <w:rPr>
                <w:i/>
              </w:rPr>
              <w:t>040</w:t>
            </w:r>
            <w:r w:rsidR="00D442BA">
              <w:rPr>
                <w:i/>
              </w:rPr>
              <w:t xml:space="preserve"> 000</w:t>
            </w:r>
          </w:p>
        </w:tc>
        <w:tc>
          <w:tcPr>
            <w:tcW w:w="1130" w:type="dxa"/>
          </w:tcPr>
          <w:p w14:paraId="60CBA3E5" w14:textId="77777777" w:rsidR="00DA708F" w:rsidRPr="00317B6A" w:rsidRDefault="00DA708F" w:rsidP="001B2A96">
            <w:pPr>
              <w:jc w:val="center"/>
              <w:rPr>
                <w:i/>
              </w:rPr>
            </w:pPr>
            <w:r w:rsidRPr="00317B6A">
              <w:rPr>
                <w:i/>
              </w:rPr>
              <w:t>0</w:t>
            </w:r>
          </w:p>
        </w:tc>
        <w:tc>
          <w:tcPr>
            <w:tcW w:w="1563" w:type="dxa"/>
          </w:tcPr>
          <w:p w14:paraId="7F5B7D9A" w14:textId="01EEE8D4" w:rsidR="00DA708F" w:rsidRPr="00317B6A" w:rsidRDefault="0012026C" w:rsidP="001B2A96">
            <w:pPr>
              <w:jc w:val="center"/>
              <w:rPr>
                <w:i/>
              </w:rPr>
            </w:pPr>
            <w:r>
              <w:rPr>
                <w:i/>
              </w:rPr>
              <w:t>0</w:t>
            </w:r>
          </w:p>
        </w:tc>
        <w:tc>
          <w:tcPr>
            <w:tcW w:w="1130" w:type="dxa"/>
          </w:tcPr>
          <w:p w14:paraId="73EE6EFC" w14:textId="77777777" w:rsidR="00DA708F" w:rsidRPr="00317B6A" w:rsidRDefault="00DA708F" w:rsidP="001B2A96">
            <w:pPr>
              <w:jc w:val="center"/>
              <w:rPr>
                <w:i/>
              </w:rPr>
            </w:pPr>
            <w:r w:rsidRPr="00317B6A">
              <w:rPr>
                <w:i/>
              </w:rPr>
              <w:t>0</w:t>
            </w:r>
          </w:p>
        </w:tc>
        <w:tc>
          <w:tcPr>
            <w:tcW w:w="1197" w:type="dxa"/>
          </w:tcPr>
          <w:p w14:paraId="1D24A512" w14:textId="77777777" w:rsidR="00DA708F" w:rsidRPr="00317B6A" w:rsidRDefault="00DA708F" w:rsidP="001B2A96">
            <w:pPr>
              <w:jc w:val="center"/>
              <w:rPr>
                <w:i/>
              </w:rPr>
            </w:pPr>
            <w:r>
              <w:rPr>
                <w:i/>
              </w:rPr>
              <w:t>0</w:t>
            </w:r>
          </w:p>
        </w:tc>
        <w:tc>
          <w:tcPr>
            <w:tcW w:w="1197" w:type="dxa"/>
          </w:tcPr>
          <w:p w14:paraId="21DD7031" w14:textId="77777777" w:rsidR="00DA708F" w:rsidRPr="00317B6A" w:rsidRDefault="00DA708F" w:rsidP="001B2A96">
            <w:pPr>
              <w:jc w:val="center"/>
              <w:rPr>
                <w:i/>
              </w:rPr>
            </w:pPr>
            <w:r>
              <w:rPr>
                <w:i/>
              </w:rPr>
              <w:t>0</w:t>
            </w:r>
          </w:p>
        </w:tc>
      </w:tr>
      <w:tr w:rsidR="00DA708F" w:rsidRPr="0033617F" w14:paraId="5715E9BE" w14:textId="77777777" w:rsidTr="006E1C0C">
        <w:trPr>
          <w:jc w:val="center"/>
        </w:trPr>
        <w:tc>
          <w:tcPr>
            <w:tcW w:w="2235" w:type="dxa"/>
          </w:tcPr>
          <w:p w14:paraId="1242CE48" w14:textId="77777777" w:rsidR="00DA708F" w:rsidRPr="0033617F" w:rsidRDefault="00DA708F" w:rsidP="001B2A96">
            <w:r w:rsidRPr="0033617F">
              <w:lastRenderedPageBreak/>
              <w:t>2.2. valsts speciālais budžets</w:t>
            </w:r>
          </w:p>
        </w:tc>
        <w:tc>
          <w:tcPr>
            <w:tcW w:w="1132" w:type="dxa"/>
          </w:tcPr>
          <w:p w14:paraId="27F052CF" w14:textId="77777777" w:rsidR="00DA708F" w:rsidRPr="004B2478" w:rsidRDefault="00DA708F" w:rsidP="001B2A96">
            <w:pPr>
              <w:jc w:val="center"/>
            </w:pPr>
          </w:p>
        </w:tc>
        <w:tc>
          <w:tcPr>
            <w:tcW w:w="1448" w:type="dxa"/>
          </w:tcPr>
          <w:p w14:paraId="49A5A0F2" w14:textId="77777777" w:rsidR="00DA708F" w:rsidRPr="004B2478" w:rsidRDefault="00DA708F" w:rsidP="001B2A96">
            <w:pPr>
              <w:jc w:val="center"/>
            </w:pPr>
          </w:p>
        </w:tc>
        <w:tc>
          <w:tcPr>
            <w:tcW w:w="1130" w:type="dxa"/>
          </w:tcPr>
          <w:p w14:paraId="721C4445" w14:textId="77777777" w:rsidR="00DA708F" w:rsidRPr="00317B6A" w:rsidRDefault="00DA708F" w:rsidP="001B2A96">
            <w:pPr>
              <w:jc w:val="center"/>
            </w:pPr>
          </w:p>
        </w:tc>
        <w:tc>
          <w:tcPr>
            <w:tcW w:w="1563" w:type="dxa"/>
          </w:tcPr>
          <w:p w14:paraId="4173FB89" w14:textId="77777777" w:rsidR="00DA708F" w:rsidRPr="00317B6A" w:rsidRDefault="00DA708F" w:rsidP="001B2A96">
            <w:pPr>
              <w:jc w:val="center"/>
            </w:pPr>
          </w:p>
        </w:tc>
        <w:tc>
          <w:tcPr>
            <w:tcW w:w="1130" w:type="dxa"/>
          </w:tcPr>
          <w:p w14:paraId="198582F9" w14:textId="77777777" w:rsidR="00DA708F" w:rsidRPr="00317B6A" w:rsidRDefault="00DA708F" w:rsidP="001B2A96">
            <w:pPr>
              <w:jc w:val="center"/>
            </w:pPr>
          </w:p>
        </w:tc>
        <w:tc>
          <w:tcPr>
            <w:tcW w:w="1197" w:type="dxa"/>
          </w:tcPr>
          <w:p w14:paraId="31FE59E2" w14:textId="77777777" w:rsidR="00DA708F" w:rsidRPr="00317B6A" w:rsidRDefault="00DA708F" w:rsidP="001B2A96">
            <w:pPr>
              <w:jc w:val="center"/>
            </w:pPr>
          </w:p>
        </w:tc>
        <w:tc>
          <w:tcPr>
            <w:tcW w:w="1197" w:type="dxa"/>
          </w:tcPr>
          <w:p w14:paraId="05CAFB43" w14:textId="77777777" w:rsidR="00DA708F" w:rsidRPr="00317B6A" w:rsidRDefault="00DA708F" w:rsidP="001B2A96">
            <w:pPr>
              <w:jc w:val="center"/>
            </w:pPr>
          </w:p>
        </w:tc>
      </w:tr>
      <w:tr w:rsidR="00DA708F" w:rsidRPr="0033617F" w14:paraId="4668E250" w14:textId="77777777" w:rsidTr="006E1C0C">
        <w:trPr>
          <w:jc w:val="center"/>
        </w:trPr>
        <w:tc>
          <w:tcPr>
            <w:tcW w:w="2235" w:type="dxa"/>
          </w:tcPr>
          <w:p w14:paraId="7EB504E5" w14:textId="77777777" w:rsidR="00DA708F" w:rsidRPr="0033617F" w:rsidRDefault="00DA708F" w:rsidP="001B2A96">
            <w:r w:rsidRPr="0033617F">
              <w:t xml:space="preserve">2.3. pašvaldību budžets </w:t>
            </w:r>
          </w:p>
        </w:tc>
        <w:tc>
          <w:tcPr>
            <w:tcW w:w="1132" w:type="dxa"/>
          </w:tcPr>
          <w:p w14:paraId="0189D475" w14:textId="77777777" w:rsidR="00DA708F" w:rsidRPr="004B2478" w:rsidRDefault="00DA708F" w:rsidP="001B2A96">
            <w:pPr>
              <w:jc w:val="center"/>
            </w:pPr>
          </w:p>
        </w:tc>
        <w:tc>
          <w:tcPr>
            <w:tcW w:w="1448" w:type="dxa"/>
          </w:tcPr>
          <w:p w14:paraId="1FA84B5F" w14:textId="77777777" w:rsidR="00DA708F" w:rsidRPr="004B2478" w:rsidRDefault="00DA708F" w:rsidP="001B2A96">
            <w:pPr>
              <w:jc w:val="center"/>
            </w:pPr>
          </w:p>
        </w:tc>
        <w:tc>
          <w:tcPr>
            <w:tcW w:w="1130" w:type="dxa"/>
          </w:tcPr>
          <w:p w14:paraId="16603E34" w14:textId="77777777" w:rsidR="00DA708F" w:rsidRPr="00317B6A" w:rsidRDefault="00DA708F" w:rsidP="001B2A96">
            <w:pPr>
              <w:jc w:val="center"/>
            </w:pPr>
          </w:p>
        </w:tc>
        <w:tc>
          <w:tcPr>
            <w:tcW w:w="1563" w:type="dxa"/>
          </w:tcPr>
          <w:p w14:paraId="053F02D6" w14:textId="77777777" w:rsidR="00DA708F" w:rsidRPr="00317B6A" w:rsidRDefault="00DA708F" w:rsidP="001B2A96">
            <w:pPr>
              <w:jc w:val="center"/>
            </w:pPr>
          </w:p>
        </w:tc>
        <w:tc>
          <w:tcPr>
            <w:tcW w:w="1130" w:type="dxa"/>
          </w:tcPr>
          <w:p w14:paraId="5D5C6E78" w14:textId="77777777" w:rsidR="00DA708F" w:rsidRPr="00317B6A" w:rsidRDefault="00DA708F" w:rsidP="001B2A96">
            <w:pPr>
              <w:jc w:val="center"/>
            </w:pPr>
          </w:p>
        </w:tc>
        <w:tc>
          <w:tcPr>
            <w:tcW w:w="1197" w:type="dxa"/>
          </w:tcPr>
          <w:p w14:paraId="3E06E5EC" w14:textId="77777777" w:rsidR="00DA708F" w:rsidRPr="00317B6A" w:rsidRDefault="00DA708F" w:rsidP="001B2A96">
            <w:pPr>
              <w:jc w:val="center"/>
            </w:pPr>
          </w:p>
        </w:tc>
        <w:tc>
          <w:tcPr>
            <w:tcW w:w="1197" w:type="dxa"/>
          </w:tcPr>
          <w:p w14:paraId="29AF5552" w14:textId="77777777" w:rsidR="00DA708F" w:rsidRPr="00317B6A" w:rsidRDefault="00DA708F" w:rsidP="001B2A96">
            <w:pPr>
              <w:jc w:val="center"/>
            </w:pPr>
          </w:p>
        </w:tc>
      </w:tr>
      <w:tr w:rsidR="00DA708F" w:rsidRPr="0033617F" w14:paraId="5EF983C5" w14:textId="77777777" w:rsidTr="006E1C0C">
        <w:trPr>
          <w:jc w:val="center"/>
        </w:trPr>
        <w:tc>
          <w:tcPr>
            <w:tcW w:w="2235" w:type="dxa"/>
          </w:tcPr>
          <w:p w14:paraId="40BEE164" w14:textId="77777777" w:rsidR="00DA708F" w:rsidRPr="0033617F" w:rsidRDefault="00DA708F" w:rsidP="001B2A96">
            <w:r w:rsidRPr="0033617F">
              <w:t>3. Finansiālā ietekme:</w:t>
            </w:r>
          </w:p>
        </w:tc>
        <w:tc>
          <w:tcPr>
            <w:tcW w:w="1132" w:type="dxa"/>
            <w:shd w:val="clear" w:color="auto" w:fill="auto"/>
          </w:tcPr>
          <w:p w14:paraId="75D99A5B" w14:textId="77777777" w:rsidR="00DA708F" w:rsidRPr="004B2478" w:rsidRDefault="00DA708F" w:rsidP="001B2A96">
            <w:pPr>
              <w:jc w:val="center"/>
              <w:rPr>
                <w:b/>
              </w:rPr>
            </w:pPr>
            <w:r w:rsidRPr="004B2478">
              <w:rPr>
                <w:b/>
              </w:rPr>
              <w:t>0</w:t>
            </w:r>
          </w:p>
        </w:tc>
        <w:tc>
          <w:tcPr>
            <w:tcW w:w="1448" w:type="dxa"/>
          </w:tcPr>
          <w:p w14:paraId="38039DE1" w14:textId="23861028" w:rsidR="00DA708F" w:rsidRPr="004B2478" w:rsidRDefault="00D442BA" w:rsidP="00AC4E3B">
            <w:pPr>
              <w:jc w:val="center"/>
              <w:rPr>
                <w:b/>
              </w:rPr>
            </w:pPr>
            <w:r>
              <w:rPr>
                <w:b/>
              </w:rPr>
              <w:t xml:space="preserve">- </w:t>
            </w:r>
            <w:r w:rsidR="00AC4E3B">
              <w:rPr>
                <w:b/>
              </w:rPr>
              <w:t>2</w:t>
            </w:r>
            <w:r>
              <w:rPr>
                <w:b/>
              </w:rPr>
              <w:t> </w:t>
            </w:r>
            <w:r w:rsidR="00AC4E3B">
              <w:rPr>
                <w:b/>
              </w:rPr>
              <w:t>040</w:t>
            </w:r>
            <w:r>
              <w:rPr>
                <w:b/>
              </w:rPr>
              <w:t xml:space="preserve"> 000</w:t>
            </w:r>
          </w:p>
        </w:tc>
        <w:tc>
          <w:tcPr>
            <w:tcW w:w="1130" w:type="dxa"/>
          </w:tcPr>
          <w:p w14:paraId="7DCC8E49" w14:textId="77777777" w:rsidR="00DA708F" w:rsidRPr="00317B6A" w:rsidRDefault="00DA708F" w:rsidP="001B2A96">
            <w:pPr>
              <w:jc w:val="center"/>
              <w:rPr>
                <w:b/>
              </w:rPr>
            </w:pPr>
            <w:r w:rsidRPr="00317B6A">
              <w:rPr>
                <w:b/>
              </w:rPr>
              <w:t>0</w:t>
            </w:r>
          </w:p>
        </w:tc>
        <w:tc>
          <w:tcPr>
            <w:tcW w:w="1563" w:type="dxa"/>
          </w:tcPr>
          <w:p w14:paraId="2B7B86A6" w14:textId="4566BA7F" w:rsidR="00DA708F" w:rsidRPr="00317B6A" w:rsidRDefault="0012026C" w:rsidP="001B2A96">
            <w:pPr>
              <w:jc w:val="center"/>
              <w:rPr>
                <w:b/>
              </w:rPr>
            </w:pPr>
            <w:r>
              <w:rPr>
                <w:b/>
              </w:rPr>
              <w:t>0</w:t>
            </w:r>
          </w:p>
        </w:tc>
        <w:tc>
          <w:tcPr>
            <w:tcW w:w="1130" w:type="dxa"/>
          </w:tcPr>
          <w:p w14:paraId="3CE95929" w14:textId="77777777" w:rsidR="00DA708F" w:rsidRPr="00317B6A" w:rsidRDefault="00DA708F" w:rsidP="001B2A96">
            <w:pPr>
              <w:jc w:val="center"/>
              <w:rPr>
                <w:b/>
              </w:rPr>
            </w:pPr>
            <w:r w:rsidRPr="00317B6A">
              <w:rPr>
                <w:b/>
              </w:rPr>
              <w:t>0</w:t>
            </w:r>
          </w:p>
        </w:tc>
        <w:tc>
          <w:tcPr>
            <w:tcW w:w="1197" w:type="dxa"/>
          </w:tcPr>
          <w:p w14:paraId="5F0E3EFA" w14:textId="77777777" w:rsidR="00DA708F" w:rsidRPr="00317B6A" w:rsidRDefault="00DA708F" w:rsidP="001B2A96">
            <w:pPr>
              <w:jc w:val="center"/>
              <w:rPr>
                <w:b/>
              </w:rPr>
            </w:pPr>
            <w:r>
              <w:rPr>
                <w:b/>
              </w:rPr>
              <w:t>0</w:t>
            </w:r>
          </w:p>
        </w:tc>
        <w:tc>
          <w:tcPr>
            <w:tcW w:w="1197" w:type="dxa"/>
          </w:tcPr>
          <w:p w14:paraId="4092E8CB" w14:textId="77777777" w:rsidR="00DA708F" w:rsidRPr="00317B6A" w:rsidRDefault="00DA708F" w:rsidP="001B2A96">
            <w:pPr>
              <w:jc w:val="center"/>
              <w:rPr>
                <w:b/>
              </w:rPr>
            </w:pPr>
            <w:r>
              <w:rPr>
                <w:b/>
              </w:rPr>
              <w:t>0</w:t>
            </w:r>
          </w:p>
        </w:tc>
      </w:tr>
      <w:tr w:rsidR="00DA708F" w:rsidRPr="0033617F" w14:paraId="0C81E4A5" w14:textId="77777777" w:rsidTr="006E1C0C">
        <w:trPr>
          <w:jc w:val="center"/>
        </w:trPr>
        <w:tc>
          <w:tcPr>
            <w:tcW w:w="2235" w:type="dxa"/>
          </w:tcPr>
          <w:p w14:paraId="2540F61C" w14:textId="77777777" w:rsidR="00DA708F" w:rsidRPr="0033617F" w:rsidRDefault="00DA708F" w:rsidP="001B2A96">
            <w:r w:rsidRPr="0033617F">
              <w:t>3.1. valsts pamatbudžets</w:t>
            </w:r>
          </w:p>
        </w:tc>
        <w:tc>
          <w:tcPr>
            <w:tcW w:w="1132" w:type="dxa"/>
            <w:shd w:val="clear" w:color="auto" w:fill="auto"/>
          </w:tcPr>
          <w:p w14:paraId="482E45F8" w14:textId="77777777" w:rsidR="00DA708F" w:rsidRPr="004B2478" w:rsidRDefault="00DA708F" w:rsidP="001B2A96">
            <w:pPr>
              <w:jc w:val="center"/>
              <w:rPr>
                <w:i/>
              </w:rPr>
            </w:pPr>
            <w:r w:rsidRPr="004B2478">
              <w:rPr>
                <w:i/>
              </w:rPr>
              <w:t>0</w:t>
            </w:r>
          </w:p>
        </w:tc>
        <w:tc>
          <w:tcPr>
            <w:tcW w:w="1448" w:type="dxa"/>
          </w:tcPr>
          <w:p w14:paraId="323F24F8" w14:textId="07CEBBF3" w:rsidR="00DA708F" w:rsidRPr="004B2478" w:rsidRDefault="00D442BA" w:rsidP="00AC4E3B">
            <w:pPr>
              <w:jc w:val="center"/>
              <w:rPr>
                <w:i/>
              </w:rPr>
            </w:pPr>
            <w:r>
              <w:rPr>
                <w:i/>
              </w:rPr>
              <w:t xml:space="preserve">- </w:t>
            </w:r>
            <w:r w:rsidR="00AC4E3B">
              <w:rPr>
                <w:i/>
              </w:rPr>
              <w:t>2 040</w:t>
            </w:r>
            <w:r>
              <w:rPr>
                <w:i/>
              </w:rPr>
              <w:t xml:space="preserve"> 000</w:t>
            </w:r>
          </w:p>
        </w:tc>
        <w:tc>
          <w:tcPr>
            <w:tcW w:w="1130" w:type="dxa"/>
          </w:tcPr>
          <w:p w14:paraId="3B7A0AD2" w14:textId="77777777" w:rsidR="00DA708F" w:rsidRPr="00317B6A" w:rsidRDefault="00DA708F" w:rsidP="001B2A96">
            <w:pPr>
              <w:jc w:val="center"/>
              <w:rPr>
                <w:i/>
              </w:rPr>
            </w:pPr>
            <w:r w:rsidRPr="00317B6A">
              <w:rPr>
                <w:i/>
              </w:rPr>
              <w:t>0</w:t>
            </w:r>
          </w:p>
        </w:tc>
        <w:tc>
          <w:tcPr>
            <w:tcW w:w="1563" w:type="dxa"/>
          </w:tcPr>
          <w:p w14:paraId="53FDF421" w14:textId="110D7DCC" w:rsidR="00DA708F" w:rsidRPr="00317B6A" w:rsidRDefault="0012026C" w:rsidP="001B2A96">
            <w:pPr>
              <w:jc w:val="center"/>
              <w:rPr>
                <w:i/>
              </w:rPr>
            </w:pPr>
            <w:r>
              <w:rPr>
                <w:i/>
              </w:rPr>
              <w:t>0</w:t>
            </w:r>
          </w:p>
        </w:tc>
        <w:tc>
          <w:tcPr>
            <w:tcW w:w="1130" w:type="dxa"/>
          </w:tcPr>
          <w:p w14:paraId="508B67A9" w14:textId="77777777" w:rsidR="00DA708F" w:rsidRPr="00317B6A" w:rsidRDefault="00DA708F" w:rsidP="001B2A96">
            <w:pPr>
              <w:jc w:val="center"/>
              <w:rPr>
                <w:i/>
              </w:rPr>
            </w:pPr>
            <w:r w:rsidRPr="00317B6A">
              <w:rPr>
                <w:i/>
              </w:rPr>
              <w:t>0</w:t>
            </w:r>
          </w:p>
        </w:tc>
        <w:tc>
          <w:tcPr>
            <w:tcW w:w="1197" w:type="dxa"/>
          </w:tcPr>
          <w:p w14:paraId="0F1497CA" w14:textId="77777777" w:rsidR="00DA708F" w:rsidRPr="00317B6A" w:rsidRDefault="00DA708F" w:rsidP="001B2A96">
            <w:pPr>
              <w:jc w:val="center"/>
              <w:rPr>
                <w:i/>
              </w:rPr>
            </w:pPr>
            <w:r>
              <w:rPr>
                <w:i/>
              </w:rPr>
              <w:t>0</w:t>
            </w:r>
          </w:p>
        </w:tc>
        <w:tc>
          <w:tcPr>
            <w:tcW w:w="1197" w:type="dxa"/>
          </w:tcPr>
          <w:p w14:paraId="240FC83F" w14:textId="77777777" w:rsidR="00DA708F" w:rsidRPr="00317B6A" w:rsidRDefault="00DA708F" w:rsidP="001B2A96">
            <w:pPr>
              <w:jc w:val="center"/>
              <w:rPr>
                <w:i/>
              </w:rPr>
            </w:pPr>
            <w:r>
              <w:rPr>
                <w:i/>
              </w:rPr>
              <w:t>0</w:t>
            </w:r>
          </w:p>
        </w:tc>
      </w:tr>
      <w:tr w:rsidR="00DA708F" w:rsidRPr="0033617F" w14:paraId="7ADBC024" w14:textId="77777777" w:rsidTr="006E1C0C">
        <w:trPr>
          <w:jc w:val="center"/>
        </w:trPr>
        <w:tc>
          <w:tcPr>
            <w:tcW w:w="2235" w:type="dxa"/>
          </w:tcPr>
          <w:p w14:paraId="6E2D338E" w14:textId="77777777" w:rsidR="00DA708F" w:rsidRPr="0033617F" w:rsidRDefault="00DA708F" w:rsidP="001B2A96">
            <w:r w:rsidRPr="0033617F">
              <w:t>3.2. speciālais budžets</w:t>
            </w:r>
          </w:p>
        </w:tc>
        <w:tc>
          <w:tcPr>
            <w:tcW w:w="1132" w:type="dxa"/>
            <w:shd w:val="clear" w:color="auto" w:fill="auto"/>
          </w:tcPr>
          <w:p w14:paraId="571FAF78" w14:textId="77777777" w:rsidR="00DA708F" w:rsidRPr="004B2478" w:rsidRDefault="00DA708F" w:rsidP="001B2A96">
            <w:pPr>
              <w:jc w:val="center"/>
            </w:pPr>
          </w:p>
        </w:tc>
        <w:tc>
          <w:tcPr>
            <w:tcW w:w="1448" w:type="dxa"/>
          </w:tcPr>
          <w:p w14:paraId="759B632F" w14:textId="77777777" w:rsidR="00DA708F" w:rsidRPr="004B2478" w:rsidRDefault="00DA708F" w:rsidP="001B2A96">
            <w:pPr>
              <w:jc w:val="center"/>
            </w:pPr>
          </w:p>
        </w:tc>
        <w:tc>
          <w:tcPr>
            <w:tcW w:w="1130" w:type="dxa"/>
          </w:tcPr>
          <w:p w14:paraId="6539050C" w14:textId="77777777" w:rsidR="00DA708F" w:rsidRPr="00317B6A" w:rsidRDefault="00DA708F" w:rsidP="001B2A96">
            <w:pPr>
              <w:jc w:val="center"/>
            </w:pPr>
          </w:p>
        </w:tc>
        <w:tc>
          <w:tcPr>
            <w:tcW w:w="1563" w:type="dxa"/>
          </w:tcPr>
          <w:p w14:paraId="57838AAE" w14:textId="77777777" w:rsidR="00DA708F" w:rsidRPr="00317B6A" w:rsidRDefault="00DA708F" w:rsidP="001B2A96">
            <w:pPr>
              <w:jc w:val="center"/>
            </w:pPr>
          </w:p>
        </w:tc>
        <w:tc>
          <w:tcPr>
            <w:tcW w:w="1130" w:type="dxa"/>
          </w:tcPr>
          <w:p w14:paraId="6C6C0F92" w14:textId="77777777" w:rsidR="00DA708F" w:rsidRPr="00317B6A" w:rsidRDefault="00DA708F" w:rsidP="001B2A96">
            <w:pPr>
              <w:jc w:val="center"/>
            </w:pPr>
          </w:p>
        </w:tc>
        <w:tc>
          <w:tcPr>
            <w:tcW w:w="1197" w:type="dxa"/>
          </w:tcPr>
          <w:p w14:paraId="089E567E" w14:textId="77777777" w:rsidR="00DA708F" w:rsidRPr="00317B6A" w:rsidRDefault="00DA708F" w:rsidP="001B2A96">
            <w:pPr>
              <w:jc w:val="center"/>
            </w:pPr>
          </w:p>
        </w:tc>
        <w:tc>
          <w:tcPr>
            <w:tcW w:w="1197" w:type="dxa"/>
          </w:tcPr>
          <w:p w14:paraId="3D68DC64" w14:textId="77777777" w:rsidR="00DA708F" w:rsidRPr="00317B6A" w:rsidRDefault="00DA708F" w:rsidP="001B2A96">
            <w:pPr>
              <w:jc w:val="center"/>
            </w:pPr>
          </w:p>
        </w:tc>
      </w:tr>
      <w:tr w:rsidR="00DA708F" w:rsidRPr="0033617F" w14:paraId="34AFC7C3" w14:textId="77777777" w:rsidTr="006E1C0C">
        <w:trPr>
          <w:jc w:val="center"/>
        </w:trPr>
        <w:tc>
          <w:tcPr>
            <w:tcW w:w="2235" w:type="dxa"/>
          </w:tcPr>
          <w:p w14:paraId="5B6720C9" w14:textId="77777777" w:rsidR="00DA708F" w:rsidRPr="0033617F" w:rsidRDefault="00DA708F" w:rsidP="001B2A96">
            <w:r w:rsidRPr="0033617F">
              <w:t xml:space="preserve">3.3. pašvaldību budžets </w:t>
            </w:r>
          </w:p>
        </w:tc>
        <w:tc>
          <w:tcPr>
            <w:tcW w:w="1132" w:type="dxa"/>
            <w:shd w:val="clear" w:color="auto" w:fill="auto"/>
          </w:tcPr>
          <w:p w14:paraId="1E6194AA" w14:textId="77777777" w:rsidR="00DA708F" w:rsidRPr="004B2478" w:rsidRDefault="00DA708F" w:rsidP="001B2A96">
            <w:pPr>
              <w:jc w:val="center"/>
            </w:pPr>
          </w:p>
        </w:tc>
        <w:tc>
          <w:tcPr>
            <w:tcW w:w="1448" w:type="dxa"/>
          </w:tcPr>
          <w:p w14:paraId="209108D7" w14:textId="77777777" w:rsidR="00DA708F" w:rsidRPr="004B2478" w:rsidRDefault="00DA708F" w:rsidP="001B2A96">
            <w:pPr>
              <w:jc w:val="center"/>
            </w:pPr>
          </w:p>
        </w:tc>
        <w:tc>
          <w:tcPr>
            <w:tcW w:w="1130" w:type="dxa"/>
          </w:tcPr>
          <w:p w14:paraId="770CD3BA" w14:textId="77777777" w:rsidR="00DA708F" w:rsidRPr="00317B6A" w:rsidRDefault="00DA708F" w:rsidP="001B2A96">
            <w:pPr>
              <w:jc w:val="center"/>
            </w:pPr>
          </w:p>
        </w:tc>
        <w:tc>
          <w:tcPr>
            <w:tcW w:w="1563" w:type="dxa"/>
          </w:tcPr>
          <w:p w14:paraId="42238C8B" w14:textId="77777777" w:rsidR="00DA708F" w:rsidRPr="00317B6A" w:rsidRDefault="00DA708F" w:rsidP="001B2A96">
            <w:pPr>
              <w:jc w:val="center"/>
            </w:pPr>
          </w:p>
        </w:tc>
        <w:tc>
          <w:tcPr>
            <w:tcW w:w="1130" w:type="dxa"/>
          </w:tcPr>
          <w:p w14:paraId="68D381A4" w14:textId="77777777" w:rsidR="00DA708F" w:rsidRPr="00317B6A" w:rsidRDefault="00DA708F" w:rsidP="001B2A96">
            <w:pPr>
              <w:jc w:val="center"/>
            </w:pPr>
          </w:p>
        </w:tc>
        <w:tc>
          <w:tcPr>
            <w:tcW w:w="1197" w:type="dxa"/>
          </w:tcPr>
          <w:p w14:paraId="152165EB" w14:textId="77777777" w:rsidR="00DA708F" w:rsidRPr="00317B6A" w:rsidRDefault="00DA708F" w:rsidP="001B2A96">
            <w:pPr>
              <w:jc w:val="center"/>
            </w:pPr>
          </w:p>
        </w:tc>
        <w:tc>
          <w:tcPr>
            <w:tcW w:w="1197" w:type="dxa"/>
          </w:tcPr>
          <w:p w14:paraId="3D4FAD15" w14:textId="77777777" w:rsidR="00DA708F" w:rsidRPr="00317B6A" w:rsidRDefault="00DA708F" w:rsidP="001B2A96">
            <w:pPr>
              <w:jc w:val="center"/>
            </w:pPr>
          </w:p>
        </w:tc>
      </w:tr>
      <w:tr w:rsidR="00DA708F" w:rsidRPr="0033617F" w14:paraId="73332940" w14:textId="77777777" w:rsidTr="006E1C0C">
        <w:trPr>
          <w:jc w:val="center"/>
        </w:trPr>
        <w:tc>
          <w:tcPr>
            <w:tcW w:w="2235" w:type="dxa"/>
            <w:vMerge w:val="restart"/>
          </w:tcPr>
          <w:p w14:paraId="568F421B" w14:textId="77777777" w:rsidR="00DA708F" w:rsidRPr="0033617F" w:rsidRDefault="00DA708F" w:rsidP="001B2A96">
            <w:r w:rsidRPr="0033617F">
              <w:t xml:space="preserve">4. Finanšu līdzekļi papildu izdevumu finansēšanai (kompensējošu izdevumu samazinājumu norāda ar </w:t>
            </w:r>
            <w:r>
              <w:t>„</w:t>
            </w:r>
            <w:r w:rsidRPr="0033617F">
              <w:t>+” zīmi)</w:t>
            </w:r>
          </w:p>
        </w:tc>
        <w:tc>
          <w:tcPr>
            <w:tcW w:w="1132" w:type="dxa"/>
            <w:vMerge w:val="restart"/>
          </w:tcPr>
          <w:p w14:paraId="50E7DD79" w14:textId="77777777" w:rsidR="00DA708F" w:rsidRPr="004B2478" w:rsidRDefault="00DA708F" w:rsidP="001B2A96">
            <w:pPr>
              <w:jc w:val="center"/>
              <w:rPr>
                <w:i/>
              </w:rPr>
            </w:pPr>
            <w:r w:rsidRPr="004B2478">
              <w:t>X</w:t>
            </w:r>
          </w:p>
        </w:tc>
        <w:tc>
          <w:tcPr>
            <w:tcW w:w="1448" w:type="dxa"/>
          </w:tcPr>
          <w:p w14:paraId="6A2858BA" w14:textId="0EBA4240" w:rsidR="00DA708F" w:rsidRPr="004B2478" w:rsidRDefault="00AC4E3B" w:rsidP="001B2A96">
            <w:pPr>
              <w:jc w:val="center"/>
            </w:pPr>
            <w:r>
              <w:t>2 040</w:t>
            </w:r>
            <w:r w:rsidR="00D442BA">
              <w:t xml:space="preserve"> 000</w:t>
            </w:r>
          </w:p>
        </w:tc>
        <w:tc>
          <w:tcPr>
            <w:tcW w:w="1130" w:type="dxa"/>
          </w:tcPr>
          <w:p w14:paraId="28E0B562" w14:textId="77777777" w:rsidR="00DA708F" w:rsidRPr="00317B6A" w:rsidRDefault="00DA708F" w:rsidP="001B2A96">
            <w:pPr>
              <w:jc w:val="center"/>
            </w:pPr>
            <w:r w:rsidRPr="00317B6A">
              <w:t>0</w:t>
            </w:r>
          </w:p>
        </w:tc>
        <w:tc>
          <w:tcPr>
            <w:tcW w:w="1563" w:type="dxa"/>
          </w:tcPr>
          <w:p w14:paraId="4F9B33F6" w14:textId="4D9FB58E" w:rsidR="00DA708F" w:rsidRPr="00317B6A" w:rsidRDefault="0012026C" w:rsidP="001B2A96">
            <w:pPr>
              <w:jc w:val="center"/>
            </w:pPr>
            <w:r>
              <w:t>0</w:t>
            </w:r>
          </w:p>
        </w:tc>
        <w:tc>
          <w:tcPr>
            <w:tcW w:w="1130" w:type="dxa"/>
          </w:tcPr>
          <w:p w14:paraId="10254986" w14:textId="77777777" w:rsidR="00DA708F" w:rsidRPr="00317B6A" w:rsidRDefault="00DA708F" w:rsidP="001B2A96">
            <w:pPr>
              <w:jc w:val="center"/>
            </w:pPr>
            <w:r w:rsidRPr="00317B6A">
              <w:t>0</w:t>
            </w:r>
          </w:p>
        </w:tc>
        <w:tc>
          <w:tcPr>
            <w:tcW w:w="1197" w:type="dxa"/>
          </w:tcPr>
          <w:p w14:paraId="01825567" w14:textId="77777777" w:rsidR="00DA708F" w:rsidRPr="00317B6A" w:rsidRDefault="00DA708F" w:rsidP="001B2A96">
            <w:pPr>
              <w:jc w:val="center"/>
            </w:pPr>
            <w:r>
              <w:t>0</w:t>
            </w:r>
          </w:p>
        </w:tc>
        <w:tc>
          <w:tcPr>
            <w:tcW w:w="1197" w:type="dxa"/>
          </w:tcPr>
          <w:p w14:paraId="0012FAFB" w14:textId="77777777" w:rsidR="00DA708F" w:rsidRPr="00317B6A" w:rsidRDefault="00DA708F" w:rsidP="001B2A96">
            <w:pPr>
              <w:jc w:val="center"/>
            </w:pPr>
            <w:r>
              <w:t>0</w:t>
            </w:r>
          </w:p>
        </w:tc>
      </w:tr>
      <w:tr w:rsidR="00DA708F" w:rsidRPr="0033617F" w14:paraId="3971BAD6" w14:textId="77777777" w:rsidTr="006E1C0C">
        <w:trPr>
          <w:jc w:val="center"/>
        </w:trPr>
        <w:tc>
          <w:tcPr>
            <w:tcW w:w="2235" w:type="dxa"/>
            <w:vMerge/>
          </w:tcPr>
          <w:p w14:paraId="0CC27F30" w14:textId="77777777" w:rsidR="00DA708F" w:rsidRPr="0033617F" w:rsidRDefault="00DA708F" w:rsidP="001B2A96"/>
        </w:tc>
        <w:tc>
          <w:tcPr>
            <w:tcW w:w="1132" w:type="dxa"/>
            <w:vMerge/>
          </w:tcPr>
          <w:p w14:paraId="1C96164D" w14:textId="77777777" w:rsidR="00DA708F" w:rsidRPr="004B2478" w:rsidRDefault="00DA708F" w:rsidP="001B2A96">
            <w:pPr>
              <w:jc w:val="center"/>
              <w:rPr>
                <w:i/>
              </w:rPr>
            </w:pPr>
          </w:p>
        </w:tc>
        <w:tc>
          <w:tcPr>
            <w:tcW w:w="1448" w:type="dxa"/>
          </w:tcPr>
          <w:p w14:paraId="44E254D9" w14:textId="77777777" w:rsidR="00DA708F" w:rsidRPr="004B2478" w:rsidRDefault="00DA708F" w:rsidP="001B2A96">
            <w:pPr>
              <w:jc w:val="center"/>
            </w:pPr>
          </w:p>
        </w:tc>
        <w:tc>
          <w:tcPr>
            <w:tcW w:w="1130" w:type="dxa"/>
          </w:tcPr>
          <w:p w14:paraId="39DDF09C" w14:textId="77777777" w:rsidR="00DA708F" w:rsidRPr="0033617F" w:rsidRDefault="00DA708F" w:rsidP="001B2A96">
            <w:pPr>
              <w:jc w:val="center"/>
            </w:pPr>
          </w:p>
        </w:tc>
        <w:tc>
          <w:tcPr>
            <w:tcW w:w="1563" w:type="dxa"/>
          </w:tcPr>
          <w:p w14:paraId="12645A1B" w14:textId="77777777" w:rsidR="00DA708F" w:rsidRPr="0033617F" w:rsidRDefault="00DA708F" w:rsidP="001B2A96">
            <w:pPr>
              <w:jc w:val="center"/>
            </w:pPr>
          </w:p>
        </w:tc>
        <w:tc>
          <w:tcPr>
            <w:tcW w:w="1130" w:type="dxa"/>
          </w:tcPr>
          <w:p w14:paraId="2EE17196" w14:textId="77777777" w:rsidR="00DA708F" w:rsidRPr="0033617F" w:rsidRDefault="00DA708F" w:rsidP="001B2A96">
            <w:pPr>
              <w:jc w:val="center"/>
            </w:pPr>
          </w:p>
        </w:tc>
        <w:tc>
          <w:tcPr>
            <w:tcW w:w="1197" w:type="dxa"/>
          </w:tcPr>
          <w:p w14:paraId="19CF4EAD" w14:textId="77777777" w:rsidR="00DA708F" w:rsidRPr="0033617F" w:rsidRDefault="00DA708F" w:rsidP="001B2A96">
            <w:pPr>
              <w:jc w:val="center"/>
            </w:pPr>
          </w:p>
        </w:tc>
        <w:tc>
          <w:tcPr>
            <w:tcW w:w="1197" w:type="dxa"/>
          </w:tcPr>
          <w:p w14:paraId="410A0BC1" w14:textId="77777777" w:rsidR="00DA708F" w:rsidRPr="0033617F" w:rsidRDefault="00DA708F" w:rsidP="001B2A96">
            <w:pPr>
              <w:jc w:val="center"/>
            </w:pPr>
          </w:p>
        </w:tc>
      </w:tr>
      <w:tr w:rsidR="00DA708F" w:rsidRPr="0033617F" w14:paraId="17DABB5B" w14:textId="77777777" w:rsidTr="006E1C0C">
        <w:trPr>
          <w:jc w:val="center"/>
        </w:trPr>
        <w:tc>
          <w:tcPr>
            <w:tcW w:w="2235" w:type="dxa"/>
            <w:vMerge/>
          </w:tcPr>
          <w:p w14:paraId="5B1987C5" w14:textId="77777777" w:rsidR="00DA708F" w:rsidRPr="0033617F" w:rsidRDefault="00DA708F" w:rsidP="001B2A96"/>
        </w:tc>
        <w:tc>
          <w:tcPr>
            <w:tcW w:w="1132" w:type="dxa"/>
            <w:vMerge/>
          </w:tcPr>
          <w:p w14:paraId="7D7A7D36" w14:textId="77777777" w:rsidR="00DA708F" w:rsidRPr="0033617F" w:rsidRDefault="00DA708F" w:rsidP="001B2A96">
            <w:pPr>
              <w:jc w:val="center"/>
              <w:rPr>
                <w:i/>
              </w:rPr>
            </w:pPr>
          </w:p>
        </w:tc>
        <w:tc>
          <w:tcPr>
            <w:tcW w:w="1448" w:type="dxa"/>
          </w:tcPr>
          <w:p w14:paraId="5F2268FE" w14:textId="77777777" w:rsidR="00DA708F" w:rsidRDefault="00DA708F" w:rsidP="001B2A96">
            <w:pPr>
              <w:jc w:val="center"/>
            </w:pPr>
          </w:p>
          <w:p w14:paraId="4622B329" w14:textId="77777777" w:rsidR="00DA708F" w:rsidRPr="002643AF" w:rsidRDefault="00DA708F" w:rsidP="001B2A96">
            <w:pPr>
              <w:jc w:val="center"/>
            </w:pPr>
          </w:p>
        </w:tc>
        <w:tc>
          <w:tcPr>
            <w:tcW w:w="1130" w:type="dxa"/>
          </w:tcPr>
          <w:p w14:paraId="3C401266" w14:textId="77777777" w:rsidR="00DA708F" w:rsidRPr="0033617F" w:rsidRDefault="00DA708F" w:rsidP="001B2A96">
            <w:pPr>
              <w:jc w:val="center"/>
            </w:pPr>
          </w:p>
        </w:tc>
        <w:tc>
          <w:tcPr>
            <w:tcW w:w="1563" w:type="dxa"/>
          </w:tcPr>
          <w:p w14:paraId="010E991E" w14:textId="77777777" w:rsidR="00DA708F" w:rsidRPr="0033617F" w:rsidRDefault="00DA708F" w:rsidP="001B2A96">
            <w:pPr>
              <w:jc w:val="center"/>
            </w:pPr>
          </w:p>
        </w:tc>
        <w:tc>
          <w:tcPr>
            <w:tcW w:w="1130" w:type="dxa"/>
          </w:tcPr>
          <w:p w14:paraId="2814C102" w14:textId="77777777" w:rsidR="00DA708F" w:rsidRPr="0033617F" w:rsidRDefault="00DA708F" w:rsidP="001B2A96">
            <w:pPr>
              <w:jc w:val="center"/>
            </w:pPr>
          </w:p>
        </w:tc>
        <w:tc>
          <w:tcPr>
            <w:tcW w:w="1197" w:type="dxa"/>
          </w:tcPr>
          <w:p w14:paraId="3F3D2A8B" w14:textId="77777777" w:rsidR="00DA708F" w:rsidRPr="0033617F" w:rsidRDefault="00DA708F" w:rsidP="001B2A96">
            <w:pPr>
              <w:jc w:val="center"/>
            </w:pPr>
          </w:p>
        </w:tc>
        <w:tc>
          <w:tcPr>
            <w:tcW w:w="1197" w:type="dxa"/>
          </w:tcPr>
          <w:p w14:paraId="2895DA0C" w14:textId="77777777" w:rsidR="00DA708F" w:rsidRPr="0033617F" w:rsidRDefault="00DA708F" w:rsidP="001B2A96">
            <w:pPr>
              <w:jc w:val="center"/>
            </w:pPr>
          </w:p>
        </w:tc>
      </w:tr>
      <w:tr w:rsidR="00DA708F" w:rsidRPr="0033617F" w14:paraId="3FAD8564" w14:textId="77777777" w:rsidTr="006E1C0C">
        <w:trPr>
          <w:jc w:val="center"/>
        </w:trPr>
        <w:tc>
          <w:tcPr>
            <w:tcW w:w="2235" w:type="dxa"/>
          </w:tcPr>
          <w:p w14:paraId="3D523FFD" w14:textId="77777777" w:rsidR="00DA708F" w:rsidRPr="0033617F" w:rsidRDefault="00DA708F" w:rsidP="001B2A96">
            <w:r w:rsidRPr="0033617F">
              <w:t>5. Precizēta finansiālā ietekme:</w:t>
            </w:r>
          </w:p>
        </w:tc>
        <w:tc>
          <w:tcPr>
            <w:tcW w:w="1132" w:type="dxa"/>
            <w:vMerge w:val="restart"/>
          </w:tcPr>
          <w:p w14:paraId="176DB404" w14:textId="77777777" w:rsidR="00DA708F" w:rsidRPr="00317B6A" w:rsidRDefault="00DA708F" w:rsidP="001B2A96">
            <w:pPr>
              <w:jc w:val="center"/>
              <w:rPr>
                <w:i/>
              </w:rPr>
            </w:pPr>
            <w:r w:rsidRPr="00317B6A">
              <w:t>X</w:t>
            </w:r>
          </w:p>
          <w:p w14:paraId="669FAE87" w14:textId="77777777" w:rsidR="00DA708F" w:rsidRPr="00317B6A" w:rsidRDefault="00DA708F" w:rsidP="001B2A96">
            <w:pPr>
              <w:jc w:val="center"/>
              <w:rPr>
                <w:i/>
              </w:rPr>
            </w:pPr>
            <w:r w:rsidRPr="00317B6A">
              <w:rPr>
                <w:b/>
              </w:rPr>
              <w:t>0</w:t>
            </w:r>
          </w:p>
        </w:tc>
        <w:tc>
          <w:tcPr>
            <w:tcW w:w="1448" w:type="dxa"/>
          </w:tcPr>
          <w:p w14:paraId="16F77046" w14:textId="77777777" w:rsidR="00DA708F" w:rsidRPr="00317B6A" w:rsidRDefault="00DA708F" w:rsidP="001B2A96">
            <w:pPr>
              <w:jc w:val="center"/>
            </w:pPr>
            <w:r w:rsidRPr="00317B6A">
              <w:t>0</w:t>
            </w:r>
          </w:p>
        </w:tc>
        <w:tc>
          <w:tcPr>
            <w:tcW w:w="1130" w:type="dxa"/>
          </w:tcPr>
          <w:p w14:paraId="2D9AF13E" w14:textId="77777777" w:rsidR="00DA708F" w:rsidRPr="00317B6A" w:rsidRDefault="00DA708F" w:rsidP="001B2A96">
            <w:pPr>
              <w:jc w:val="center"/>
            </w:pPr>
            <w:r w:rsidRPr="00317B6A">
              <w:t>0</w:t>
            </w:r>
          </w:p>
        </w:tc>
        <w:tc>
          <w:tcPr>
            <w:tcW w:w="1563" w:type="dxa"/>
          </w:tcPr>
          <w:p w14:paraId="2C2599C3" w14:textId="77777777" w:rsidR="00DA708F" w:rsidRPr="00317B6A" w:rsidRDefault="00DA708F" w:rsidP="001B2A96">
            <w:pPr>
              <w:jc w:val="center"/>
            </w:pPr>
            <w:r w:rsidRPr="00317B6A">
              <w:t>0</w:t>
            </w:r>
          </w:p>
        </w:tc>
        <w:tc>
          <w:tcPr>
            <w:tcW w:w="1130" w:type="dxa"/>
          </w:tcPr>
          <w:p w14:paraId="39889732" w14:textId="77777777" w:rsidR="00DA708F" w:rsidRPr="00317B6A" w:rsidRDefault="00DA708F" w:rsidP="001B2A96">
            <w:pPr>
              <w:jc w:val="center"/>
            </w:pPr>
            <w:r w:rsidRPr="00317B6A">
              <w:t>0</w:t>
            </w:r>
          </w:p>
        </w:tc>
        <w:tc>
          <w:tcPr>
            <w:tcW w:w="1197" w:type="dxa"/>
          </w:tcPr>
          <w:p w14:paraId="481D2C56" w14:textId="77777777" w:rsidR="00DA708F" w:rsidRPr="00317B6A" w:rsidRDefault="00DA708F" w:rsidP="001B2A96">
            <w:pPr>
              <w:jc w:val="center"/>
            </w:pPr>
            <w:r>
              <w:t>0</w:t>
            </w:r>
          </w:p>
        </w:tc>
        <w:tc>
          <w:tcPr>
            <w:tcW w:w="1197" w:type="dxa"/>
          </w:tcPr>
          <w:p w14:paraId="223AAA8C" w14:textId="77777777" w:rsidR="00DA708F" w:rsidRPr="00317B6A" w:rsidRDefault="00DA708F" w:rsidP="001B2A96">
            <w:pPr>
              <w:jc w:val="center"/>
            </w:pPr>
            <w:r>
              <w:t>0</w:t>
            </w:r>
          </w:p>
        </w:tc>
      </w:tr>
      <w:tr w:rsidR="00DA708F" w:rsidRPr="0033617F" w14:paraId="506C80D8" w14:textId="77777777" w:rsidTr="006E1C0C">
        <w:trPr>
          <w:jc w:val="center"/>
        </w:trPr>
        <w:tc>
          <w:tcPr>
            <w:tcW w:w="2235" w:type="dxa"/>
          </w:tcPr>
          <w:p w14:paraId="7EE32092" w14:textId="77777777" w:rsidR="00DA708F" w:rsidRPr="0033617F" w:rsidRDefault="00DA708F" w:rsidP="001B2A96">
            <w:r w:rsidRPr="0033617F">
              <w:t>5.1. valsts pamatbudžets</w:t>
            </w:r>
          </w:p>
        </w:tc>
        <w:tc>
          <w:tcPr>
            <w:tcW w:w="1132" w:type="dxa"/>
            <w:vMerge/>
            <w:vAlign w:val="center"/>
          </w:tcPr>
          <w:p w14:paraId="6A6579AC" w14:textId="77777777" w:rsidR="00DA708F" w:rsidRPr="0033617F" w:rsidRDefault="00DA708F" w:rsidP="001B2A96">
            <w:pPr>
              <w:jc w:val="center"/>
              <w:rPr>
                <w:i/>
              </w:rPr>
            </w:pPr>
          </w:p>
        </w:tc>
        <w:tc>
          <w:tcPr>
            <w:tcW w:w="1448" w:type="dxa"/>
          </w:tcPr>
          <w:p w14:paraId="51F9A668" w14:textId="77777777" w:rsidR="00DA708F" w:rsidRPr="0033617F" w:rsidRDefault="00DA708F" w:rsidP="001B2A96">
            <w:pPr>
              <w:jc w:val="center"/>
            </w:pPr>
            <w:r w:rsidRPr="00317B6A">
              <w:t>0</w:t>
            </w:r>
          </w:p>
        </w:tc>
        <w:tc>
          <w:tcPr>
            <w:tcW w:w="1130" w:type="dxa"/>
          </w:tcPr>
          <w:p w14:paraId="7171C556" w14:textId="77777777" w:rsidR="00DA708F" w:rsidRPr="0033617F" w:rsidRDefault="00DA708F" w:rsidP="001B2A96">
            <w:pPr>
              <w:jc w:val="center"/>
            </w:pPr>
            <w:r w:rsidRPr="00317B6A">
              <w:t>0</w:t>
            </w:r>
          </w:p>
        </w:tc>
        <w:tc>
          <w:tcPr>
            <w:tcW w:w="1563" w:type="dxa"/>
          </w:tcPr>
          <w:p w14:paraId="34AC611D" w14:textId="77777777" w:rsidR="00DA708F" w:rsidRPr="0033617F" w:rsidRDefault="00DA708F" w:rsidP="001B2A96">
            <w:pPr>
              <w:jc w:val="center"/>
            </w:pPr>
            <w:r w:rsidRPr="00317B6A">
              <w:t>0</w:t>
            </w:r>
          </w:p>
        </w:tc>
        <w:tc>
          <w:tcPr>
            <w:tcW w:w="1130" w:type="dxa"/>
          </w:tcPr>
          <w:p w14:paraId="54166C87" w14:textId="77777777" w:rsidR="00DA708F" w:rsidRPr="0033617F" w:rsidRDefault="00DA708F" w:rsidP="001B2A96">
            <w:pPr>
              <w:jc w:val="center"/>
            </w:pPr>
            <w:r w:rsidRPr="00317B6A">
              <w:t>0</w:t>
            </w:r>
          </w:p>
        </w:tc>
        <w:tc>
          <w:tcPr>
            <w:tcW w:w="1197" w:type="dxa"/>
          </w:tcPr>
          <w:p w14:paraId="7B4E4C75" w14:textId="77777777" w:rsidR="00DA708F" w:rsidRPr="00317B6A" w:rsidRDefault="00DA708F" w:rsidP="001B2A96">
            <w:pPr>
              <w:jc w:val="center"/>
            </w:pPr>
          </w:p>
        </w:tc>
        <w:tc>
          <w:tcPr>
            <w:tcW w:w="1197" w:type="dxa"/>
          </w:tcPr>
          <w:p w14:paraId="05D82768" w14:textId="77777777" w:rsidR="00DA708F" w:rsidRPr="00317B6A" w:rsidRDefault="00DA708F" w:rsidP="001B2A96">
            <w:pPr>
              <w:jc w:val="center"/>
            </w:pPr>
          </w:p>
        </w:tc>
      </w:tr>
      <w:tr w:rsidR="00DA708F" w:rsidRPr="0033617F" w14:paraId="06297BD6" w14:textId="77777777" w:rsidTr="006E1C0C">
        <w:trPr>
          <w:jc w:val="center"/>
        </w:trPr>
        <w:tc>
          <w:tcPr>
            <w:tcW w:w="2235" w:type="dxa"/>
          </w:tcPr>
          <w:p w14:paraId="6D97C3EB" w14:textId="77777777" w:rsidR="00DA708F" w:rsidRPr="0033617F" w:rsidRDefault="00DA708F" w:rsidP="001B2A96">
            <w:r w:rsidRPr="0033617F">
              <w:t>5.2. speciālais budžets</w:t>
            </w:r>
          </w:p>
        </w:tc>
        <w:tc>
          <w:tcPr>
            <w:tcW w:w="1132" w:type="dxa"/>
            <w:vMerge/>
            <w:vAlign w:val="center"/>
          </w:tcPr>
          <w:p w14:paraId="72440C53" w14:textId="77777777" w:rsidR="00DA708F" w:rsidRPr="0033617F" w:rsidRDefault="00DA708F" w:rsidP="001B2A96">
            <w:pPr>
              <w:jc w:val="center"/>
              <w:rPr>
                <w:i/>
              </w:rPr>
            </w:pPr>
          </w:p>
        </w:tc>
        <w:tc>
          <w:tcPr>
            <w:tcW w:w="1448" w:type="dxa"/>
          </w:tcPr>
          <w:p w14:paraId="3799B308" w14:textId="77777777" w:rsidR="00DA708F" w:rsidRPr="0033617F" w:rsidRDefault="00DA708F" w:rsidP="001B2A96">
            <w:pPr>
              <w:jc w:val="center"/>
            </w:pPr>
          </w:p>
        </w:tc>
        <w:tc>
          <w:tcPr>
            <w:tcW w:w="1130" w:type="dxa"/>
          </w:tcPr>
          <w:p w14:paraId="1E75FC85" w14:textId="77777777" w:rsidR="00DA708F" w:rsidRPr="0033617F" w:rsidRDefault="00DA708F" w:rsidP="001B2A96">
            <w:pPr>
              <w:jc w:val="center"/>
            </w:pPr>
          </w:p>
        </w:tc>
        <w:tc>
          <w:tcPr>
            <w:tcW w:w="1563" w:type="dxa"/>
          </w:tcPr>
          <w:p w14:paraId="2F654027" w14:textId="77777777" w:rsidR="00DA708F" w:rsidRPr="0033617F" w:rsidRDefault="00DA708F" w:rsidP="001B2A96">
            <w:pPr>
              <w:jc w:val="center"/>
            </w:pPr>
          </w:p>
        </w:tc>
        <w:tc>
          <w:tcPr>
            <w:tcW w:w="1130" w:type="dxa"/>
          </w:tcPr>
          <w:p w14:paraId="5A5AD6BB" w14:textId="77777777" w:rsidR="00DA708F" w:rsidRPr="0033617F" w:rsidRDefault="00DA708F" w:rsidP="001B2A96">
            <w:pPr>
              <w:jc w:val="center"/>
            </w:pPr>
          </w:p>
        </w:tc>
        <w:tc>
          <w:tcPr>
            <w:tcW w:w="1197" w:type="dxa"/>
          </w:tcPr>
          <w:p w14:paraId="69ECB779" w14:textId="77777777" w:rsidR="00DA708F" w:rsidRPr="0033617F" w:rsidRDefault="00DA708F" w:rsidP="001B2A96">
            <w:pPr>
              <w:jc w:val="center"/>
            </w:pPr>
          </w:p>
        </w:tc>
        <w:tc>
          <w:tcPr>
            <w:tcW w:w="1197" w:type="dxa"/>
          </w:tcPr>
          <w:p w14:paraId="39477A3E" w14:textId="77777777" w:rsidR="00DA708F" w:rsidRPr="0033617F" w:rsidRDefault="00DA708F" w:rsidP="001B2A96">
            <w:pPr>
              <w:jc w:val="center"/>
            </w:pPr>
          </w:p>
        </w:tc>
      </w:tr>
      <w:tr w:rsidR="00DA708F" w:rsidRPr="0033617F" w14:paraId="5E2EA37A" w14:textId="77777777" w:rsidTr="006E1C0C">
        <w:trPr>
          <w:jc w:val="center"/>
        </w:trPr>
        <w:tc>
          <w:tcPr>
            <w:tcW w:w="2235" w:type="dxa"/>
          </w:tcPr>
          <w:p w14:paraId="00807605" w14:textId="77777777" w:rsidR="00DA708F" w:rsidRPr="0033617F" w:rsidRDefault="00DA708F" w:rsidP="001B2A96">
            <w:r w:rsidRPr="0033617F">
              <w:t xml:space="preserve">5.3. pašvaldību budžets </w:t>
            </w:r>
          </w:p>
        </w:tc>
        <w:tc>
          <w:tcPr>
            <w:tcW w:w="1132" w:type="dxa"/>
            <w:vMerge/>
          </w:tcPr>
          <w:p w14:paraId="5B3C56E9" w14:textId="77777777" w:rsidR="00DA708F" w:rsidRPr="0033617F" w:rsidRDefault="00DA708F" w:rsidP="001B2A96">
            <w:pPr>
              <w:jc w:val="center"/>
              <w:rPr>
                <w:i/>
              </w:rPr>
            </w:pPr>
          </w:p>
        </w:tc>
        <w:tc>
          <w:tcPr>
            <w:tcW w:w="1448" w:type="dxa"/>
          </w:tcPr>
          <w:p w14:paraId="34DF1238" w14:textId="77777777" w:rsidR="00DA708F" w:rsidRPr="0033617F" w:rsidRDefault="00DA708F" w:rsidP="001B2A96">
            <w:pPr>
              <w:jc w:val="center"/>
            </w:pPr>
          </w:p>
        </w:tc>
        <w:tc>
          <w:tcPr>
            <w:tcW w:w="1130" w:type="dxa"/>
          </w:tcPr>
          <w:p w14:paraId="6CCAD106" w14:textId="77777777" w:rsidR="00DA708F" w:rsidRPr="0033617F" w:rsidRDefault="00DA708F" w:rsidP="001B2A96">
            <w:pPr>
              <w:jc w:val="center"/>
            </w:pPr>
          </w:p>
        </w:tc>
        <w:tc>
          <w:tcPr>
            <w:tcW w:w="1563" w:type="dxa"/>
          </w:tcPr>
          <w:p w14:paraId="3BC1B57C" w14:textId="77777777" w:rsidR="00DA708F" w:rsidRPr="0033617F" w:rsidRDefault="00DA708F" w:rsidP="001B2A96">
            <w:pPr>
              <w:jc w:val="center"/>
            </w:pPr>
          </w:p>
        </w:tc>
        <w:tc>
          <w:tcPr>
            <w:tcW w:w="1130" w:type="dxa"/>
          </w:tcPr>
          <w:p w14:paraId="115C3BE1" w14:textId="77777777" w:rsidR="00DA708F" w:rsidRPr="0033617F" w:rsidRDefault="00DA708F" w:rsidP="001B2A96">
            <w:pPr>
              <w:jc w:val="center"/>
            </w:pPr>
          </w:p>
        </w:tc>
        <w:tc>
          <w:tcPr>
            <w:tcW w:w="1197" w:type="dxa"/>
          </w:tcPr>
          <w:p w14:paraId="1A71D472" w14:textId="77777777" w:rsidR="00DA708F" w:rsidRPr="0033617F" w:rsidRDefault="00DA708F" w:rsidP="001B2A96">
            <w:pPr>
              <w:jc w:val="center"/>
            </w:pPr>
          </w:p>
        </w:tc>
        <w:tc>
          <w:tcPr>
            <w:tcW w:w="1197" w:type="dxa"/>
          </w:tcPr>
          <w:p w14:paraId="1BEFEB9D" w14:textId="77777777" w:rsidR="00DA708F" w:rsidRPr="0033617F" w:rsidRDefault="00DA708F" w:rsidP="001B2A96">
            <w:pPr>
              <w:jc w:val="center"/>
            </w:pPr>
          </w:p>
        </w:tc>
      </w:tr>
      <w:tr w:rsidR="00DA708F" w:rsidRPr="0033617F" w14:paraId="214D50F7" w14:textId="77777777" w:rsidTr="006E1C0C">
        <w:trPr>
          <w:jc w:val="center"/>
        </w:trPr>
        <w:tc>
          <w:tcPr>
            <w:tcW w:w="2235" w:type="dxa"/>
          </w:tcPr>
          <w:p w14:paraId="3E425710" w14:textId="77777777" w:rsidR="00DA708F" w:rsidRPr="0033617F" w:rsidRDefault="00DA708F" w:rsidP="001B2A96">
            <w:r w:rsidRPr="0033617F">
              <w:t>6. Detalizēts ieņēmumu un izdevumu aprēķins (ja nepie</w:t>
            </w:r>
            <w:r w:rsidRPr="0033617F">
              <w:softHyphen/>
              <w:t>ciešams, detalizētu ieņēmumu un izdevumu aprēķinu var pievienot anotācijas pielikumā):</w:t>
            </w:r>
          </w:p>
        </w:tc>
        <w:tc>
          <w:tcPr>
            <w:tcW w:w="8797" w:type="dxa"/>
            <w:gridSpan w:val="7"/>
            <w:vMerge w:val="restart"/>
            <w:shd w:val="clear" w:color="auto" w:fill="auto"/>
          </w:tcPr>
          <w:p w14:paraId="01AE40DF" w14:textId="77777777" w:rsidR="004B2478" w:rsidRDefault="004B2478" w:rsidP="00402A48">
            <w:pPr>
              <w:ind w:right="34"/>
              <w:jc w:val="both"/>
            </w:pP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
              <w:gridCol w:w="2853"/>
              <w:gridCol w:w="1456"/>
              <w:gridCol w:w="1456"/>
              <w:gridCol w:w="1456"/>
              <w:gridCol w:w="1456"/>
            </w:tblGrid>
            <w:tr w:rsidR="001F6217" w:rsidRPr="00D02B72" w14:paraId="3A4B7BE5" w14:textId="77777777" w:rsidTr="00EF0758">
              <w:trPr>
                <w:trHeight w:val="87"/>
                <w:jc w:val="center"/>
              </w:trPr>
              <w:tc>
                <w:tcPr>
                  <w:tcW w:w="3129" w:type="dxa"/>
                  <w:gridSpan w:val="2"/>
                  <w:noWrap/>
                  <w:vAlign w:val="center"/>
                  <w:hideMark/>
                </w:tcPr>
                <w:p w14:paraId="4530C58E" w14:textId="77777777" w:rsidR="001F6217" w:rsidRPr="005A2BF0" w:rsidRDefault="001F6217" w:rsidP="001F6217">
                  <w:pPr>
                    <w:jc w:val="center"/>
                  </w:pPr>
                  <w:r w:rsidRPr="005A2BF0">
                    <w:t> </w:t>
                  </w:r>
                </w:p>
              </w:tc>
              <w:tc>
                <w:tcPr>
                  <w:tcW w:w="1456" w:type="dxa"/>
                  <w:noWrap/>
                  <w:vAlign w:val="center"/>
                  <w:hideMark/>
                </w:tcPr>
                <w:p w14:paraId="7B17B964" w14:textId="77777777" w:rsidR="001F6217" w:rsidRPr="005A2BF0" w:rsidRDefault="001F6217" w:rsidP="001F6217">
                  <w:pPr>
                    <w:jc w:val="center"/>
                  </w:pPr>
                  <w:r w:rsidRPr="005A2BF0">
                    <w:t>2020. gadam (</w:t>
                  </w:r>
                  <w:proofErr w:type="spellStart"/>
                  <w:r w:rsidRPr="005A2BF0">
                    <w:rPr>
                      <w:i/>
                      <w:iCs/>
                    </w:rPr>
                    <w:t>euro</w:t>
                  </w:r>
                  <w:proofErr w:type="spellEnd"/>
                  <w:r w:rsidRPr="005A2BF0">
                    <w:t>)</w:t>
                  </w:r>
                </w:p>
              </w:tc>
              <w:tc>
                <w:tcPr>
                  <w:tcW w:w="1456" w:type="dxa"/>
                  <w:noWrap/>
                  <w:vAlign w:val="center"/>
                  <w:hideMark/>
                </w:tcPr>
                <w:p w14:paraId="5830253E" w14:textId="77777777" w:rsidR="001F6217" w:rsidRPr="005A2BF0" w:rsidRDefault="001F6217" w:rsidP="001F6217">
                  <w:pPr>
                    <w:jc w:val="center"/>
                  </w:pPr>
                  <w:r w:rsidRPr="005A2BF0">
                    <w:t>2021. gadam (</w:t>
                  </w:r>
                  <w:proofErr w:type="spellStart"/>
                  <w:r w:rsidRPr="005A2BF0">
                    <w:rPr>
                      <w:i/>
                      <w:iCs/>
                    </w:rPr>
                    <w:t>euro</w:t>
                  </w:r>
                  <w:proofErr w:type="spellEnd"/>
                  <w:r w:rsidRPr="005A2BF0">
                    <w:t>)</w:t>
                  </w:r>
                </w:p>
              </w:tc>
              <w:tc>
                <w:tcPr>
                  <w:tcW w:w="1456" w:type="dxa"/>
                  <w:noWrap/>
                  <w:vAlign w:val="center"/>
                  <w:hideMark/>
                </w:tcPr>
                <w:p w14:paraId="4A11955D" w14:textId="77777777" w:rsidR="001F6217" w:rsidRPr="005A2BF0" w:rsidRDefault="001F6217" w:rsidP="001F6217">
                  <w:pPr>
                    <w:jc w:val="center"/>
                  </w:pPr>
                  <w:r w:rsidRPr="005A2BF0">
                    <w:t>2022. gadam (</w:t>
                  </w:r>
                  <w:proofErr w:type="spellStart"/>
                  <w:r w:rsidRPr="005A2BF0">
                    <w:rPr>
                      <w:i/>
                      <w:iCs/>
                    </w:rPr>
                    <w:t>euro</w:t>
                  </w:r>
                  <w:proofErr w:type="spellEnd"/>
                  <w:r w:rsidRPr="005A2BF0">
                    <w:t>)</w:t>
                  </w:r>
                </w:p>
              </w:tc>
              <w:tc>
                <w:tcPr>
                  <w:tcW w:w="1456" w:type="dxa"/>
                  <w:noWrap/>
                  <w:vAlign w:val="center"/>
                  <w:hideMark/>
                </w:tcPr>
                <w:p w14:paraId="1F9BE276" w14:textId="77777777" w:rsidR="001F6217" w:rsidRPr="005A2BF0" w:rsidRDefault="001F6217" w:rsidP="001F6217">
                  <w:pPr>
                    <w:jc w:val="center"/>
                  </w:pPr>
                  <w:r w:rsidRPr="005A2BF0">
                    <w:t>2023. gadam (</w:t>
                  </w:r>
                  <w:proofErr w:type="spellStart"/>
                  <w:r w:rsidRPr="005A2BF0">
                    <w:rPr>
                      <w:i/>
                      <w:iCs/>
                    </w:rPr>
                    <w:t>euro</w:t>
                  </w:r>
                  <w:proofErr w:type="spellEnd"/>
                  <w:r w:rsidRPr="005A2BF0">
                    <w:t>)</w:t>
                  </w:r>
                </w:p>
              </w:tc>
            </w:tr>
            <w:tr w:rsidR="001F6217" w:rsidRPr="00D02B72" w14:paraId="0CC73BDC" w14:textId="77777777" w:rsidTr="00EF0758">
              <w:trPr>
                <w:trHeight w:val="51"/>
                <w:jc w:val="center"/>
              </w:trPr>
              <w:tc>
                <w:tcPr>
                  <w:tcW w:w="3129" w:type="dxa"/>
                  <w:gridSpan w:val="2"/>
                  <w:vAlign w:val="center"/>
                  <w:hideMark/>
                </w:tcPr>
                <w:p w14:paraId="7CDCCE6A" w14:textId="77777777" w:rsidR="001F6217" w:rsidRPr="005A2BF0" w:rsidRDefault="001F6217" w:rsidP="001F6217">
                  <w:pPr>
                    <w:jc w:val="center"/>
                    <w:rPr>
                      <w:b/>
                      <w:bCs/>
                    </w:rPr>
                  </w:pPr>
                  <w:r w:rsidRPr="005A2BF0">
                    <w:rPr>
                      <w:b/>
                      <w:bCs/>
                    </w:rPr>
                    <w:t>Pavisam kopā</w:t>
                  </w:r>
                </w:p>
              </w:tc>
              <w:tc>
                <w:tcPr>
                  <w:tcW w:w="1456" w:type="dxa"/>
                  <w:tcBorders>
                    <w:bottom w:val="single" w:sz="4" w:space="0" w:color="auto"/>
                  </w:tcBorders>
                  <w:noWrap/>
                  <w:vAlign w:val="center"/>
                </w:tcPr>
                <w:p w14:paraId="3DE7AAA0" w14:textId="77777777" w:rsidR="001F6217" w:rsidRPr="003D0025" w:rsidRDefault="001F6217" w:rsidP="001F6217">
                  <w:pPr>
                    <w:jc w:val="center"/>
                    <w:rPr>
                      <w:b/>
                      <w:bCs/>
                    </w:rPr>
                  </w:pPr>
                  <w:r w:rsidRPr="003D0025">
                    <w:rPr>
                      <w:b/>
                      <w:bCs/>
                    </w:rPr>
                    <w:t>2 040 000</w:t>
                  </w:r>
                </w:p>
              </w:tc>
              <w:tc>
                <w:tcPr>
                  <w:tcW w:w="1456" w:type="dxa"/>
                  <w:noWrap/>
                  <w:vAlign w:val="center"/>
                </w:tcPr>
                <w:p w14:paraId="7B89882D" w14:textId="77777777" w:rsidR="001F6217" w:rsidRPr="003D0025" w:rsidRDefault="001F6217" w:rsidP="001F6217">
                  <w:pPr>
                    <w:jc w:val="center"/>
                    <w:rPr>
                      <w:b/>
                      <w:bCs/>
                    </w:rPr>
                  </w:pPr>
                  <w:r w:rsidRPr="003D0025">
                    <w:rPr>
                      <w:b/>
                      <w:bCs/>
                    </w:rPr>
                    <w:t>3 060 000</w:t>
                  </w:r>
                </w:p>
              </w:tc>
              <w:tc>
                <w:tcPr>
                  <w:tcW w:w="1456" w:type="dxa"/>
                  <w:noWrap/>
                  <w:vAlign w:val="center"/>
                </w:tcPr>
                <w:p w14:paraId="663A0E32" w14:textId="77777777" w:rsidR="001F6217" w:rsidRPr="005A2BF0" w:rsidRDefault="001F6217" w:rsidP="001F6217">
                  <w:pPr>
                    <w:jc w:val="center"/>
                    <w:rPr>
                      <w:b/>
                      <w:bCs/>
                    </w:rPr>
                  </w:pPr>
                </w:p>
              </w:tc>
              <w:tc>
                <w:tcPr>
                  <w:tcW w:w="1456" w:type="dxa"/>
                  <w:noWrap/>
                  <w:vAlign w:val="center"/>
                </w:tcPr>
                <w:p w14:paraId="5C3F8B13" w14:textId="77777777" w:rsidR="001F6217" w:rsidRPr="005A2BF0" w:rsidRDefault="001F6217" w:rsidP="001F6217">
                  <w:pPr>
                    <w:jc w:val="center"/>
                    <w:rPr>
                      <w:b/>
                      <w:bCs/>
                    </w:rPr>
                  </w:pPr>
                </w:p>
              </w:tc>
            </w:tr>
            <w:tr w:rsidR="001F6217" w:rsidRPr="00D02B72" w14:paraId="6B5898A6" w14:textId="77777777" w:rsidTr="00EF0758">
              <w:trPr>
                <w:trHeight w:val="106"/>
                <w:jc w:val="center"/>
              </w:trPr>
              <w:tc>
                <w:tcPr>
                  <w:tcW w:w="3129" w:type="dxa"/>
                  <w:gridSpan w:val="2"/>
                  <w:noWrap/>
                  <w:vAlign w:val="center"/>
                  <w:hideMark/>
                </w:tcPr>
                <w:p w14:paraId="5250263C" w14:textId="77777777" w:rsidR="001F6217" w:rsidRPr="005A2BF0" w:rsidRDefault="001F6217" w:rsidP="001F6217">
                  <w:pPr>
                    <w:rPr>
                      <w:b/>
                      <w:bCs/>
                    </w:rPr>
                  </w:pPr>
                  <w:r w:rsidRPr="005A2BF0">
                    <w:rPr>
                      <w:b/>
                      <w:bCs/>
                    </w:rPr>
                    <w:t>15. Ministrija</w:t>
                  </w:r>
                </w:p>
              </w:tc>
              <w:tc>
                <w:tcPr>
                  <w:tcW w:w="1456" w:type="dxa"/>
                  <w:tcBorders>
                    <w:bottom w:val="single" w:sz="4" w:space="0" w:color="auto"/>
                  </w:tcBorders>
                  <w:noWrap/>
                  <w:vAlign w:val="center"/>
                </w:tcPr>
                <w:p w14:paraId="67D7B84A" w14:textId="77777777" w:rsidR="001F6217" w:rsidRPr="005A2BF0" w:rsidRDefault="001F6217" w:rsidP="001F6217">
                  <w:pPr>
                    <w:jc w:val="center"/>
                    <w:rPr>
                      <w:b/>
                      <w:bCs/>
                    </w:rPr>
                  </w:pPr>
                  <w:r>
                    <w:rPr>
                      <w:b/>
                      <w:bCs/>
                    </w:rPr>
                    <w:t xml:space="preserve">1 440 928 </w:t>
                  </w:r>
                </w:p>
              </w:tc>
              <w:tc>
                <w:tcPr>
                  <w:tcW w:w="1456" w:type="dxa"/>
                  <w:noWrap/>
                  <w:vAlign w:val="center"/>
                </w:tcPr>
                <w:p w14:paraId="59C5EFAF" w14:textId="77777777" w:rsidR="001F6217" w:rsidRPr="005A2BF0" w:rsidRDefault="001F6217" w:rsidP="001F6217">
                  <w:pPr>
                    <w:jc w:val="center"/>
                    <w:rPr>
                      <w:b/>
                      <w:bCs/>
                    </w:rPr>
                  </w:pPr>
                  <w:r>
                    <w:rPr>
                      <w:b/>
                      <w:bCs/>
                    </w:rPr>
                    <w:t xml:space="preserve">2 161 390 </w:t>
                  </w:r>
                </w:p>
              </w:tc>
              <w:tc>
                <w:tcPr>
                  <w:tcW w:w="1456" w:type="dxa"/>
                  <w:noWrap/>
                  <w:vAlign w:val="center"/>
                </w:tcPr>
                <w:p w14:paraId="1988EFA2" w14:textId="77777777" w:rsidR="001F6217" w:rsidRPr="005A2BF0" w:rsidRDefault="001F6217" w:rsidP="001F6217">
                  <w:pPr>
                    <w:jc w:val="center"/>
                    <w:rPr>
                      <w:b/>
                      <w:bCs/>
                    </w:rPr>
                  </w:pPr>
                  <w:r w:rsidRPr="005A2BF0">
                    <w:rPr>
                      <w:b/>
                      <w:bCs/>
                    </w:rPr>
                    <w:t>0</w:t>
                  </w:r>
                </w:p>
              </w:tc>
              <w:tc>
                <w:tcPr>
                  <w:tcW w:w="1456" w:type="dxa"/>
                  <w:noWrap/>
                  <w:vAlign w:val="center"/>
                </w:tcPr>
                <w:p w14:paraId="355DD246" w14:textId="77777777" w:rsidR="001F6217" w:rsidRPr="005A2BF0" w:rsidRDefault="001F6217" w:rsidP="001F6217">
                  <w:pPr>
                    <w:jc w:val="center"/>
                    <w:rPr>
                      <w:b/>
                      <w:bCs/>
                    </w:rPr>
                  </w:pPr>
                  <w:r w:rsidRPr="005A2BF0">
                    <w:rPr>
                      <w:b/>
                      <w:bCs/>
                    </w:rPr>
                    <w:t>0</w:t>
                  </w:r>
                </w:p>
              </w:tc>
            </w:tr>
            <w:tr w:rsidR="001F6217" w:rsidRPr="00D02B72" w14:paraId="41D547E4" w14:textId="77777777" w:rsidTr="00EF0758">
              <w:trPr>
                <w:trHeight w:val="104"/>
                <w:jc w:val="center"/>
              </w:trPr>
              <w:tc>
                <w:tcPr>
                  <w:tcW w:w="276" w:type="dxa"/>
                  <w:vMerge w:val="restart"/>
                  <w:noWrap/>
                  <w:vAlign w:val="center"/>
                  <w:hideMark/>
                </w:tcPr>
                <w:p w14:paraId="40E5149C" w14:textId="77777777" w:rsidR="001F6217" w:rsidRPr="005A2BF0" w:rsidRDefault="001F6217" w:rsidP="001F6217">
                  <w:pPr>
                    <w:jc w:val="center"/>
                  </w:pPr>
                  <w:r w:rsidRPr="005A2BF0">
                    <w:t> </w:t>
                  </w:r>
                </w:p>
              </w:tc>
              <w:tc>
                <w:tcPr>
                  <w:tcW w:w="2853" w:type="dxa"/>
                  <w:vAlign w:val="center"/>
                </w:tcPr>
                <w:p w14:paraId="2F548BB3" w14:textId="77777777" w:rsidR="001F6217" w:rsidRPr="005A2BF0" w:rsidRDefault="001F6217" w:rsidP="001F6217">
                  <w:pPr>
                    <w:rPr>
                      <w:color w:val="000000"/>
                    </w:rPr>
                  </w:pPr>
                  <w:r w:rsidRPr="005A2BF0">
                    <w:rPr>
                      <w:color w:val="000000"/>
                    </w:rPr>
                    <w:t>03.01.00. "Augstskolas"</w:t>
                  </w:r>
                </w:p>
              </w:tc>
              <w:tc>
                <w:tcPr>
                  <w:tcW w:w="1456" w:type="dxa"/>
                  <w:tcBorders>
                    <w:top w:val="single" w:sz="4" w:space="0" w:color="auto"/>
                    <w:left w:val="nil"/>
                    <w:bottom w:val="single" w:sz="4" w:space="0" w:color="auto"/>
                    <w:right w:val="nil"/>
                  </w:tcBorders>
                  <w:shd w:val="clear" w:color="auto" w:fill="auto"/>
                  <w:noWrap/>
                  <w:vAlign w:val="bottom"/>
                </w:tcPr>
                <w:p w14:paraId="59802280" w14:textId="77777777" w:rsidR="001F6217" w:rsidRPr="005A2BF0" w:rsidRDefault="001F6217" w:rsidP="001F6217">
                  <w:pPr>
                    <w:jc w:val="center"/>
                    <w:rPr>
                      <w:bCs/>
                      <w:color w:val="000000"/>
                    </w:rPr>
                  </w:pPr>
                  <w:r w:rsidRPr="002252D9">
                    <w:rPr>
                      <w:bCs/>
                      <w:color w:val="000000"/>
                    </w:rPr>
                    <w:t>1 236 696</w:t>
                  </w:r>
                </w:p>
              </w:tc>
              <w:tc>
                <w:tcPr>
                  <w:tcW w:w="1456" w:type="dxa"/>
                  <w:noWrap/>
                  <w:vAlign w:val="center"/>
                </w:tcPr>
                <w:p w14:paraId="23B8657D" w14:textId="77777777" w:rsidR="001F6217" w:rsidRPr="005A2BF0" w:rsidRDefault="001F6217" w:rsidP="001F6217">
                  <w:pPr>
                    <w:jc w:val="center"/>
                    <w:rPr>
                      <w:bCs/>
                      <w:color w:val="000000"/>
                    </w:rPr>
                  </w:pPr>
                  <w:r>
                    <w:rPr>
                      <w:bCs/>
                      <w:color w:val="000000"/>
                    </w:rPr>
                    <w:t>1 855 045</w:t>
                  </w:r>
                </w:p>
              </w:tc>
              <w:tc>
                <w:tcPr>
                  <w:tcW w:w="1456" w:type="dxa"/>
                  <w:noWrap/>
                  <w:vAlign w:val="center"/>
                </w:tcPr>
                <w:p w14:paraId="741A2FD8" w14:textId="77777777" w:rsidR="001F6217" w:rsidRPr="005A2BF0" w:rsidRDefault="001F6217" w:rsidP="001F6217">
                  <w:pPr>
                    <w:jc w:val="center"/>
                  </w:pPr>
                  <w:r w:rsidRPr="005A2BF0">
                    <w:t>0</w:t>
                  </w:r>
                </w:p>
              </w:tc>
              <w:tc>
                <w:tcPr>
                  <w:tcW w:w="1456" w:type="dxa"/>
                  <w:noWrap/>
                  <w:vAlign w:val="center"/>
                </w:tcPr>
                <w:p w14:paraId="2BAA5D98" w14:textId="77777777" w:rsidR="001F6217" w:rsidRPr="005A2BF0" w:rsidRDefault="001F6217" w:rsidP="001F6217">
                  <w:pPr>
                    <w:jc w:val="center"/>
                  </w:pPr>
                  <w:r w:rsidRPr="005A2BF0">
                    <w:t>0</w:t>
                  </w:r>
                </w:p>
              </w:tc>
            </w:tr>
            <w:tr w:rsidR="001F6217" w:rsidRPr="00D02B72" w14:paraId="56C07CC6" w14:textId="77777777" w:rsidTr="00EF0758">
              <w:trPr>
                <w:trHeight w:val="107"/>
                <w:jc w:val="center"/>
              </w:trPr>
              <w:tc>
                <w:tcPr>
                  <w:tcW w:w="276" w:type="dxa"/>
                  <w:vMerge/>
                  <w:tcBorders>
                    <w:bottom w:val="single" w:sz="4" w:space="0" w:color="auto"/>
                  </w:tcBorders>
                  <w:vAlign w:val="center"/>
                  <w:hideMark/>
                </w:tcPr>
                <w:p w14:paraId="2E33CE18" w14:textId="77777777" w:rsidR="001F6217" w:rsidRPr="005A2BF0" w:rsidRDefault="001F6217" w:rsidP="001F6217"/>
              </w:tc>
              <w:tc>
                <w:tcPr>
                  <w:tcW w:w="2853" w:type="dxa"/>
                  <w:tcBorders>
                    <w:top w:val="single" w:sz="4" w:space="0" w:color="auto"/>
                    <w:bottom w:val="single" w:sz="4" w:space="0" w:color="auto"/>
                  </w:tcBorders>
                  <w:vAlign w:val="center"/>
                  <w:hideMark/>
                </w:tcPr>
                <w:p w14:paraId="14764783" w14:textId="77777777" w:rsidR="001F6217" w:rsidRPr="005A2BF0" w:rsidRDefault="001F6217" w:rsidP="001F6217">
                  <w:pPr>
                    <w:rPr>
                      <w:color w:val="000000"/>
                    </w:rPr>
                  </w:pPr>
                  <w:r w:rsidRPr="005A2BF0">
                    <w:rPr>
                      <w:color w:val="000000"/>
                    </w:rPr>
                    <w:t>03.11.00. "Koledžas"</w:t>
                  </w:r>
                </w:p>
              </w:tc>
              <w:tc>
                <w:tcPr>
                  <w:tcW w:w="1456" w:type="dxa"/>
                  <w:tcBorders>
                    <w:top w:val="single" w:sz="4" w:space="0" w:color="auto"/>
                    <w:left w:val="nil"/>
                    <w:bottom w:val="nil"/>
                    <w:right w:val="nil"/>
                  </w:tcBorders>
                  <w:shd w:val="clear" w:color="auto" w:fill="auto"/>
                  <w:noWrap/>
                  <w:vAlign w:val="bottom"/>
                </w:tcPr>
                <w:p w14:paraId="18A2296F" w14:textId="77777777" w:rsidR="001F6217" w:rsidRPr="002252D9" w:rsidRDefault="001F6217" w:rsidP="001F6217">
                  <w:pPr>
                    <w:jc w:val="center"/>
                    <w:rPr>
                      <w:bCs/>
                      <w:color w:val="000000"/>
                    </w:rPr>
                  </w:pPr>
                  <w:r w:rsidRPr="002252D9">
                    <w:rPr>
                      <w:bCs/>
                      <w:color w:val="000000"/>
                    </w:rPr>
                    <w:t>204 232</w:t>
                  </w:r>
                </w:p>
              </w:tc>
              <w:tc>
                <w:tcPr>
                  <w:tcW w:w="1456" w:type="dxa"/>
                  <w:noWrap/>
                  <w:vAlign w:val="center"/>
                </w:tcPr>
                <w:p w14:paraId="201C4DAF" w14:textId="77777777" w:rsidR="001F6217" w:rsidRPr="005A2BF0" w:rsidRDefault="001F6217" w:rsidP="001F6217">
                  <w:pPr>
                    <w:jc w:val="center"/>
                  </w:pPr>
                  <w:r>
                    <w:t>306 345</w:t>
                  </w:r>
                </w:p>
              </w:tc>
              <w:tc>
                <w:tcPr>
                  <w:tcW w:w="1456" w:type="dxa"/>
                  <w:noWrap/>
                  <w:vAlign w:val="center"/>
                </w:tcPr>
                <w:p w14:paraId="78DCFB8D" w14:textId="77777777" w:rsidR="001F6217" w:rsidRPr="005A2BF0" w:rsidRDefault="001F6217" w:rsidP="001F6217">
                  <w:pPr>
                    <w:jc w:val="center"/>
                  </w:pPr>
                  <w:r w:rsidRPr="005A2BF0">
                    <w:t>0</w:t>
                  </w:r>
                </w:p>
              </w:tc>
              <w:tc>
                <w:tcPr>
                  <w:tcW w:w="1456" w:type="dxa"/>
                  <w:noWrap/>
                  <w:vAlign w:val="center"/>
                </w:tcPr>
                <w:p w14:paraId="50AB4D47" w14:textId="77777777" w:rsidR="001F6217" w:rsidRPr="005A2BF0" w:rsidRDefault="001F6217" w:rsidP="001F6217">
                  <w:pPr>
                    <w:jc w:val="center"/>
                  </w:pPr>
                  <w:r w:rsidRPr="005A2BF0">
                    <w:t>0</w:t>
                  </w:r>
                </w:p>
              </w:tc>
            </w:tr>
            <w:tr w:rsidR="001F6217" w:rsidRPr="00D02B72" w14:paraId="2BD1CABC" w14:textId="77777777" w:rsidTr="00EF0758">
              <w:trPr>
                <w:trHeight w:val="132"/>
                <w:jc w:val="center"/>
              </w:trPr>
              <w:tc>
                <w:tcPr>
                  <w:tcW w:w="3129" w:type="dxa"/>
                  <w:gridSpan w:val="2"/>
                  <w:vAlign w:val="center"/>
                  <w:hideMark/>
                </w:tcPr>
                <w:p w14:paraId="317FABEB" w14:textId="77777777" w:rsidR="001F6217" w:rsidRPr="005A2BF0" w:rsidRDefault="001F6217" w:rsidP="001F6217">
                  <w:pPr>
                    <w:rPr>
                      <w:b/>
                      <w:bCs/>
                      <w:color w:val="000000"/>
                    </w:rPr>
                  </w:pPr>
                  <w:r w:rsidRPr="005A2BF0">
                    <w:rPr>
                      <w:b/>
                      <w:bCs/>
                      <w:color w:val="000000"/>
                    </w:rPr>
                    <w:t>16. resors "Zemkopības ministrija"</w:t>
                  </w:r>
                </w:p>
              </w:tc>
              <w:tc>
                <w:tcPr>
                  <w:tcW w:w="1456" w:type="dxa"/>
                  <w:noWrap/>
                  <w:vAlign w:val="center"/>
                </w:tcPr>
                <w:p w14:paraId="09F3371B" w14:textId="77777777" w:rsidR="001F6217" w:rsidRPr="005A2BF0" w:rsidRDefault="001F6217" w:rsidP="001F6217">
                  <w:pPr>
                    <w:jc w:val="center"/>
                    <w:rPr>
                      <w:b/>
                      <w:bCs/>
                    </w:rPr>
                  </w:pPr>
                  <w:r>
                    <w:rPr>
                      <w:b/>
                      <w:bCs/>
                    </w:rPr>
                    <w:t>202 745</w:t>
                  </w:r>
                </w:p>
              </w:tc>
              <w:tc>
                <w:tcPr>
                  <w:tcW w:w="1456" w:type="dxa"/>
                  <w:noWrap/>
                  <w:vAlign w:val="center"/>
                </w:tcPr>
                <w:p w14:paraId="5295CD64" w14:textId="77777777" w:rsidR="001F6217" w:rsidRPr="005A2BF0" w:rsidRDefault="001F6217" w:rsidP="001F6217">
                  <w:pPr>
                    <w:jc w:val="center"/>
                    <w:rPr>
                      <w:b/>
                      <w:bCs/>
                    </w:rPr>
                  </w:pPr>
                  <w:r>
                    <w:rPr>
                      <w:b/>
                      <w:bCs/>
                    </w:rPr>
                    <w:t>304 118</w:t>
                  </w:r>
                </w:p>
              </w:tc>
              <w:tc>
                <w:tcPr>
                  <w:tcW w:w="1456" w:type="dxa"/>
                  <w:noWrap/>
                  <w:vAlign w:val="center"/>
                </w:tcPr>
                <w:p w14:paraId="57F55336" w14:textId="77777777" w:rsidR="001F6217" w:rsidRPr="005A2BF0" w:rsidRDefault="001F6217" w:rsidP="001F6217">
                  <w:pPr>
                    <w:jc w:val="center"/>
                    <w:rPr>
                      <w:b/>
                      <w:bCs/>
                    </w:rPr>
                  </w:pPr>
                  <w:r w:rsidRPr="005A2BF0">
                    <w:rPr>
                      <w:b/>
                      <w:bCs/>
                    </w:rPr>
                    <w:t>0</w:t>
                  </w:r>
                </w:p>
              </w:tc>
              <w:tc>
                <w:tcPr>
                  <w:tcW w:w="1456" w:type="dxa"/>
                  <w:noWrap/>
                  <w:vAlign w:val="center"/>
                </w:tcPr>
                <w:p w14:paraId="79862F4E" w14:textId="77777777" w:rsidR="001F6217" w:rsidRPr="005A2BF0" w:rsidRDefault="001F6217" w:rsidP="001F6217">
                  <w:pPr>
                    <w:jc w:val="center"/>
                    <w:rPr>
                      <w:b/>
                      <w:bCs/>
                    </w:rPr>
                  </w:pPr>
                  <w:r w:rsidRPr="005A2BF0">
                    <w:rPr>
                      <w:b/>
                      <w:bCs/>
                    </w:rPr>
                    <w:t>0</w:t>
                  </w:r>
                </w:p>
              </w:tc>
            </w:tr>
            <w:tr w:rsidR="001F6217" w:rsidRPr="00D02B72" w14:paraId="0719719F" w14:textId="77777777" w:rsidTr="00EF0758">
              <w:trPr>
                <w:trHeight w:val="110"/>
                <w:jc w:val="center"/>
              </w:trPr>
              <w:tc>
                <w:tcPr>
                  <w:tcW w:w="276" w:type="dxa"/>
                  <w:noWrap/>
                  <w:vAlign w:val="center"/>
                  <w:hideMark/>
                </w:tcPr>
                <w:p w14:paraId="2A5B4A77" w14:textId="77777777" w:rsidR="001F6217" w:rsidRPr="005A2BF0" w:rsidRDefault="001F6217" w:rsidP="001F6217">
                  <w:r w:rsidRPr="005A2BF0">
                    <w:t> </w:t>
                  </w:r>
                </w:p>
                <w:p w14:paraId="0B448B9A" w14:textId="77777777" w:rsidR="001F6217" w:rsidRPr="005A2BF0" w:rsidRDefault="001F6217" w:rsidP="001F6217">
                  <w:r w:rsidRPr="005A2BF0">
                    <w:t> </w:t>
                  </w:r>
                </w:p>
              </w:tc>
              <w:tc>
                <w:tcPr>
                  <w:tcW w:w="2853" w:type="dxa"/>
                  <w:vAlign w:val="center"/>
                </w:tcPr>
                <w:p w14:paraId="5FAC5AA6" w14:textId="77777777" w:rsidR="001F6217" w:rsidRPr="005A2BF0" w:rsidRDefault="001F6217" w:rsidP="001F6217">
                  <w:pPr>
                    <w:rPr>
                      <w:color w:val="000000"/>
                    </w:rPr>
                  </w:pPr>
                  <w:r w:rsidRPr="005A2BF0">
                    <w:rPr>
                      <w:color w:val="000000"/>
                    </w:rPr>
                    <w:t>22.02.00. "Augstākā izglītība"</w:t>
                  </w:r>
                </w:p>
              </w:tc>
              <w:tc>
                <w:tcPr>
                  <w:tcW w:w="1456" w:type="dxa"/>
                  <w:noWrap/>
                </w:tcPr>
                <w:p w14:paraId="721E8BFC" w14:textId="77777777" w:rsidR="001F6217" w:rsidRPr="00922965" w:rsidRDefault="001F6217" w:rsidP="001F6217">
                  <w:pPr>
                    <w:jc w:val="center"/>
                  </w:pPr>
                  <w:r w:rsidRPr="00922965">
                    <w:t>202 745</w:t>
                  </w:r>
                </w:p>
              </w:tc>
              <w:tc>
                <w:tcPr>
                  <w:tcW w:w="1456" w:type="dxa"/>
                  <w:noWrap/>
                </w:tcPr>
                <w:p w14:paraId="18ED4227" w14:textId="77777777" w:rsidR="001F6217" w:rsidRPr="00922965" w:rsidRDefault="001F6217" w:rsidP="001F6217">
                  <w:pPr>
                    <w:jc w:val="center"/>
                  </w:pPr>
                  <w:r w:rsidRPr="00922965">
                    <w:t>304 118</w:t>
                  </w:r>
                </w:p>
              </w:tc>
              <w:tc>
                <w:tcPr>
                  <w:tcW w:w="1456" w:type="dxa"/>
                  <w:noWrap/>
                  <w:vAlign w:val="center"/>
                </w:tcPr>
                <w:p w14:paraId="610F9288" w14:textId="77777777" w:rsidR="001F6217" w:rsidRPr="005A2BF0" w:rsidRDefault="001F6217" w:rsidP="001F6217">
                  <w:pPr>
                    <w:jc w:val="center"/>
                  </w:pPr>
                </w:p>
              </w:tc>
              <w:tc>
                <w:tcPr>
                  <w:tcW w:w="1456" w:type="dxa"/>
                  <w:noWrap/>
                  <w:vAlign w:val="center"/>
                </w:tcPr>
                <w:p w14:paraId="2D75465F" w14:textId="77777777" w:rsidR="001F6217" w:rsidRPr="005A2BF0" w:rsidRDefault="001F6217" w:rsidP="001F6217">
                  <w:pPr>
                    <w:jc w:val="center"/>
                  </w:pPr>
                </w:p>
              </w:tc>
            </w:tr>
            <w:tr w:rsidR="001F6217" w:rsidRPr="00D02B72" w14:paraId="64AA7E5D" w14:textId="77777777" w:rsidTr="00EF0758">
              <w:trPr>
                <w:trHeight w:val="110"/>
                <w:jc w:val="center"/>
              </w:trPr>
              <w:tc>
                <w:tcPr>
                  <w:tcW w:w="3129" w:type="dxa"/>
                  <w:gridSpan w:val="2"/>
                  <w:vAlign w:val="center"/>
                  <w:hideMark/>
                </w:tcPr>
                <w:p w14:paraId="7628A2B2" w14:textId="77777777" w:rsidR="001F6217" w:rsidRPr="005A2BF0" w:rsidRDefault="001F6217" w:rsidP="001F6217">
                  <w:pPr>
                    <w:rPr>
                      <w:b/>
                      <w:bCs/>
                      <w:color w:val="000000"/>
                    </w:rPr>
                  </w:pPr>
                  <w:r w:rsidRPr="005A2BF0">
                    <w:rPr>
                      <w:b/>
                      <w:bCs/>
                      <w:color w:val="000000"/>
                    </w:rPr>
                    <w:t>18. resors "Labklājības ministrija"</w:t>
                  </w:r>
                </w:p>
              </w:tc>
              <w:tc>
                <w:tcPr>
                  <w:tcW w:w="1456" w:type="dxa"/>
                  <w:noWrap/>
                  <w:vAlign w:val="center"/>
                </w:tcPr>
                <w:p w14:paraId="0FF680E0" w14:textId="77777777" w:rsidR="001F6217" w:rsidRPr="005A2BF0" w:rsidRDefault="001F6217" w:rsidP="001F6217">
                  <w:pPr>
                    <w:jc w:val="center"/>
                    <w:rPr>
                      <w:bCs/>
                    </w:rPr>
                  </w:pPr>
                  <w:r>
                    <w:rPr>
                      <w:b/>
                      <w:bCs/>
                      <w:color w:val="000000"/>
                    </w:rPr>
                    <w:t>1 651</w:t>
                  </w:r>
                </w:p>
              </w:tc>
              <w:tc>
                <w:tcPr>
                  <w:tcW w:w="1456" w:type="dxa"/>
                  <w:noWrap/>
                  <w:vAlign w:val="center"/>
                </w:tcPr>
                <w:p w14:paraId="7EBACEBD" w14:textId="77777777" w:rsidR="001F6217" w:rsidRPr="005A2BF0" w:rsidRDefault="001F6217" w:rsidP="001F6217">
                  <w:pPr>
                    <w:jc w:val="center"/>
                    <w:rPr>
                      <w:bCs/>
                    </w:rPr>
                  </w:pPr>
                  <w:r w:rsidRPr="005A2BF0">
                    <w:rPr>
                      <w:b/>
                      <w:bCs/>
                      <w:color w:val="000000"/>
                    </w:rPr>
                    <w:t xml:space="preserve">2 </w:t>
                  </w:r>
                  <w:r>
                    <w:rPr>
                      <w:b/>
                      <w:bCs/>
                      <w:color w:val="000000"/>
                    </w:rPr>
                    <w:t>477</w:t>
                  </w:r>
                </w:p>
              </w:tc>
              <w:tc>
                <w:tcPr>
                  <w:tcW w:w="1456" w:type="dxa"/>
                  <w:noWrap/>
                  <w:vAlign w:val="center"/>
                </w:tcPr>
                <w:p w14:paraId="5F9A1FCB" w14:textId="77777777" w:rsidR="001F6217" w:rsidRPr="005A2BF0" w:rsidRDefault="001F6217" w:rsidP="001F6217">
                  <w:pPr>
                    <w:jc w:val="center"/>
                    <w:rPr>
                      <w:b/>
                      <w:bCs/>
                    </w:rPr>
                  </w:pPr>
                  <w:r w:rsidRPr="005A2BF0">
                    <w:rPr>
                      <w:b/>
                      <w:bCs/>
                    </w:rPr>
                    <w:t>0</w:t>
                  </w:r>
                </w:p>
              </w:tc>
              <w:tc>
                <w:tcPr>
                  <w:tcW w:w="1456" w:type="dxa"/>
                  <w:noWrap/>
                  <w:vAlign w:val="center"/>
                </w:tcPr>
                <w:p w14:paraId="36C2A7C2" w14:textId="77777777" w:rsidR="001F6217" w:rsidRPr="005A2BF0" w:rsidRDefault="001F6217" w:rsidP="001F6217">
                  <w:pPr>
                    <w:jc w:val="center"/>
                    <w:rPr>
                      <w:b/>
                      <w:bCs/>
                    </w:rPr>
                  </w:pPr>
                  <w:r w:rsidRPr="005A2BF0">
                    <w:rPr>
                      <w:b/>
                      <w:bCs/>
                    </w:rPr>
                    <w:t>0</w:t>
                  </w:r>
                </w:p>
              </w:tc>
            </w:tr>
            <w:tr w:rsidR="001F6217" w:rsidRPr="00D02B72" w14:paraId="5498C594" w14:textId="77777777" w:rsidTr="00EF0758">
              <w:trPr>
                <w:trHeight w:val="428"/>
                <w:jc w:val="center"/>
              </w:trPr>
              <w:tc>
                <w:tcPr>
                  <w:tcW w:w="276" w:type="dxa"/>
                  <w:noWrap/>
                  <w:vAlign w:val="center"/>
                  <w:hideMark/>
                </w:tcPr>
                <w:p w14:paraId="7BBE9B29" w14:textId="77777777" w:rsidR="001F6217" w:rsidRPr="005A2BF0" w:rsidRDefault="001F6217" w:rsidP="001F6217">
                  <w:r w:rsidRPr="005A2BF0">
                    <w:t> </w:t>
                  </w:r>
                </w:p>
                <w:p w14:paraId="5A536AE1" w14:textId="77777777" w:rsidR="001F6217" w:rsidRPr="005A2BF0" w:rsidRDefault="001F6217" w:rsidP="001F6217">
                  <w:r w:rsidRPr="005A2BF0">
                    <w:t> </w:t>
                  </w:r>
                </w:p>
              </w:tc>
              <w:tc>
                <w:tcPr>
                  <w:tcW w:w="2853" w:type="dxa"/>
                  <w:vAlign w:val="center"/>
                </w:tcPr>
                <w:p w14:paraId="4D3824A9" w14:textId="77777777" w:rsidR="001F6217" w:rsidRPr="005A2BF0" w:rsidRDefault="001F6217" w:rsidP="001F6217">
                  <w:pPr>
                    <w:rPr>
                      <w:color w:val="000000"/>
                    </w:rPr>
                  </w:pPr>
                  <w:r w:rsidRPr="005A2BF0">
                    <w:rPr>
                      <w:color w:val="000000"/>
                    </w:rPr>
                    <w:t>05.37.00. "Sociālās integrācijas valsts aģentūras administrēšana un profesionālās un sociālās rehabilitācijas pakalpojumu nodrošināšana"</w:t>
                  </w:r>
                </w:p>
              </w:tc>
              <w:tc>
                <w:tcPr>
                  <w:tcW w:w="1456" w:type="dxa"/>
                  <w:noWrap/>
                  <w:vAlign w:val="center"/>
                </w:tcPr>
                <w:p w14:paraId="7DE348F3" w14:textId="77777777" w:rsidR="001F6217" w:rsidRPr="00AC2F90" w:rsidRDefault="001F6217" w:rsidP="001F6217">
                  <w:pPr>
                    <w:jc w:val="center"/>
                    <w:rPr>
                      <w:bCs/>
                    </w:rPr>
                  </w:pPr>
                  <w:r w:rsidRPr="00AC2F90">
                    <w:rPr>
                      <w:bCs/>
                      <w:color w:val="000000"/>
                    </w:rPr>
                    <w:t>1 651</w:t>
                  </w:r>
                </w:p>
              </w:tc>
              <w:tc>
                <w:tcPr>
                  <w:tcW w:w="1456" w:type="dxa"/>
                  <w:noWrap/>
                  <w:vAlign w:val="center"/>
                </w:tcPr>
                <w:p w14:paraId="13727F27" w14:textId="77777777" w:rsidR="001F6217" w:rsidRPr="00AC2F90" w:rsidRDefault="001F6217" w:rsidP="001F6217">
                  <w:pPr>
                    <w:jc w:val="center"/>
                    <w:rPr>
                      <w:bCs/>
                    </w:rPr>
                  </w:pPr>
                  <w:r w:rsidRPr="00AC2F90">
                    <w:rPr>
                      <w:bCs/>
                      <w:color w:val="000000"/>
                    </w:rPr>
                    <w:t>2 477</w:t>
                  </w:r>
                </w:p>
              </w:tc>
              <w:tc>
                <w:tcPr>
                  <w:tcW w:w="1456" w:type="dxa"/>
                  <w:noWrap/>
                  <w:vAlign w:val="center"/>
                </w:tcPr>
                <w:p w14:paraId="2A84ABCC" w14:textId="77777777" w:rsidR="001F6217" w:rsidRPr="005A2BF0" w:rsidRDefault="001F6217" w:rsidP="001F6217">
                  <w:pPr>
                    <w:jc w:val="center"/>
                  </w:pPr>
                  <w:r w:rsidRPr="005A2BF0">
                    <w:t>0</w:t>
                  </w:r>
                </w:p>
              </w:tc>
              <w:tc>
                <w:tcPr>
                  <w:tcW w:w="1456" w:type="dxa"/>
                  <w:noWrap/>
                  <w:vAlign w:val="center"/>
                </w:tcPr>
                <w:p w14:paraId="3EBF8687" w14:textId="77777777" w:rsidR="001F6217" w:rsidRPr="005A2BF0" w:rsidRDefault="001F6217" w:rsidP="001F6217">
                  <w:pPr>
                    <w:jc w:val="center"/>
                  </w:pPr>
                  <w:r w:rsidRPr="005A2BF0">
                    <w:t>0</w:t>
                  </w:r>
                </w:p>
              </w:tc>
            </w:tr>
            <w:tr w:rsidR="001F6217" w:rsidRPr="00D02B72" w14:paraId="336AB5E1" w14:textId="77777777" w:rsidTr="00EF0758">
              <w:trPr>
                <w:trHeight w:val="104"/>
                <w:jc w:val="center"/>
              </w:trPr>
              <w:tc>
                <w:tcPr>
                  <w:tcW w:w="3129" w:type="dxa"/>
                  <w:gridSpan w:val="2"/>
                  <w:vAlign w:val="center"/>
                  <w:hideMark/>
                </w:tcPr>
                <w:p w14:paraId="03E0A51F" w14:textId="77777777" w:rsidR="001F6217" w:rsidRPr="005A2BF0" w:rsidRDefault="001F6217" w:rsidP="001F6217">
                  <w:pPr>
                    <w:rPr>
                      <w:b/>
                      <w:bCs/>
                      <w:color w:val="000000"/>
                    </w:rPr>
                  </w:pPr>
                  <w:r w:rsidRPr="005A2BF0">
                    <w:rPr>
                      <w:b/>
                      <w:bCs/>
                      <w:color w:val="000000"/>
                    </w:rPr>
                    <w:t>22. resors "Kultūras ministrija”</w:t>
                  </w:r>
                </w:p>
              </w:tc>
              <w:tc>
                <w:tcPr>
                  <w:tcW w:w="1456" w:type="dxa"/>
                  <w:noWrap/>
                  <w:vAlign w:val="center"/>
                </w:tcPr>
                <w:p w14:paraId="5C2B4E62" w14:textId="77777777" w:rsidR="001F6217" w:rsidRPr="005A2BF0" w:rsidRDefault="001F6217" w:rsidP="001F6217">
                  <w:pPr>
                    <w:jc w:val="center"/>
                    <w:rPr>
                      <w:b/>
                      <w:bCs/>
                    </w:rPr>
                  </w:pPr>
                  <w:r>
                    <w:rPr>
                      <w:b/>
                      <w:bCs/>
                    </w:rPr>
                    <w:t>137 612</w:t>
                  </w:r>
                </w:p>
              </w:tc>
              <w:tc>
                <w:tcPr>
                  <w:tcW w:w="1456" w:type="dxa"/>
                  <w:noWrap/>
                  <w:vAlign w:val="center"/>
                </w:tcPr>
                <w:p w14:paraId="046AE151" w14:textId="77777777" w:rsidR="001F6217" w:rsidRPr="005A2BF0" w:rsidRDefault="001F6217" w:rsidP="001F6217">
                  <w:pPr>
                    <w:jc w:val="center"/>
                    <w:rPr>
                      <w:b/>
                      <w:bCs/>
                    </w:rPr>
                  </w:pPr>
                  <w:r>
                    <w:rPr>
                      <w:b/>
                      <w:bCs/>
                    </w:rPr>
                    <w:t>206 419</w:t>
                  </w:r>
                </w:p>
              </w:tc>
              <w:tc>
                <w:tcPr>
                  <w:tcW w:w="1456" w:type="dxa"/>
                  <w:noWrap/>
                  <w:vAlign w:val="center"/>
                </w:tcPr>
                <w:p w14:paraId="1352A07E" w14:textId="77777777" w:rsidR="001F6217" w:rsidRPr="005A2BF0" w:rsidRDefault="001F6217" w:rsidP="001F6217">
                  <w:pPr>
                    <w:jc w:val="center"/>
                    <w:rPr>
                      <w:b/>
                      <w:bCs/>
                    </w:rPr>
                  </w:pPr>
                  <w:r w:rsidRPr="005A2BF0">
                    <w:rPr>
                      <w:b/>
                      <w:bCs/>
                    </w:rPr>
                    <w:t>0</w:t>
                  </w:r>
                </w:p>
              </w:tc>
              <w:tc>
                <w:tcPr>
                  <w:tcW w:w="1456" w:type="dxa"/>
                  <w:noWrap/>
                  <w:vAlign w:val="center"/>
                </w:tcPr>
                <w:p w14:paraId="63E3C0DC" w14:textId="77777777" w:rsidR="001F6217" w:rsidRPr="005A2BF0" w:rsidRDefault="001F6217" w:rsidP="001F6217">
                  <w:pPr>
                    <w:jc w:val="center"/>
                    <w:rPr>
                      <w:b/>
                      <w:bCs/>
                    </w:rPr>
                  </w:pPr>
                  <w:r w:rsidRPr="005A2BF0">
                    <w:rPr>
                      <w:b/>
                      <w:bCs/>
                    </w:rPr>
                    <w:t>0</w:t>
                  </w:r>
                </w:p>
              </w:tc>
            </w:tr>
            <w:tr w:rsidR="001F6217" w:rsidRPr="00D02B72" w14:paraId="64ACE456" w14:textId="77777777" w:rsidTr="00EF0758">
              <w:trPr>
                <w:trHeight w:val="179"/>
                <w:jc w:val="center"/>
              </w:trPr>
              <w:tc>
                <w:tcPr>
                  <w:tcW w:w="276" w:type="dxa"/>
                  <w:noWrap/>
                  <w:vAlign w:val="center"/>
                  <w:hideMark/>
                </w:tcPr>
                <w:p w14:paraId="1FD0392E" w14:textId="77777777" w:rsidR="001F6217" w:rsidRPr="005A2BF0" w:rsidRDefault="001F6217" w:rsidP="001F6217">
                  <w:pPr>
                    <w:jc w:val="center"/>
                  </w:pPr>
                  <w:r w:rsidRPr="005A2BF0">
                    <w:lastRenderedPageBreak/>
                    <w:t> </w:t>
                  </w:r>
                </w:p>
              </w:tc>
              <w:tc>
                <w:tcPr>
                  <w:tcW w:w="2853" w:type="dxa"/>
                  <w:vAlign w:val="center"/>
                  <w:hideMark/>
                </w:tcPr>
                <w:p w14:paraId="122E5548" w14:textId="77777777" w:rsidR="001F6217" w:rsidRPr="005A2BF0" w:rsidRDefault="001F6217" w:rsidP="001F6217">
                  <w:pPr>
                    <w:rPr>
                      <w:color w:val="000000"/>
                    </w:rPr>
                  </w:pPr>
                  <w:r w:rsidRPr="005A2BF0">
                    <w:rPr>
                      <w:color w:val="000000"/>
                    </w:rPr>
                    <w:t xml:space="preserve">20.00.00. "Kultūrizglītība": </w:t>
                  </w:r>
                </w:p>
              </w:tc>
              <w:tc>
                <w:tcPr>
                  <w:tcW w:w="1456" w:type="dxa"/>
                  <w:noWrap/>
                </w:tcPr>
                <w:p w14:paraId="168A6E25" w14:textId="77777777" w:rsidR="001F6217" w:rsidRPr="00634B8C" w:rsidRDefault="001F6217" w:rsidP="001F6217">
                  <w:pPr>
                    <w:jc w:val="center"/>
                    <w:rPr>
                      <w:bCs/>
                      <w:color w:val="000000"/>
                    </w:rPr>
                  </w:pPr>
                  <w:r w:rsidRPr="00634B8C">
                    <w:rPr>
                      <w:bCs/>
                      <w:color w:val="000000"/>
                    </w:rPr>
                    <w:t>137 612</w:t>
                  </w:r>
                </w:p>
              </w:tc>
              <w:tc>
                <w:tcPr>
                  <w:tcW w:w="1456" w:type="dxa"/>
                  <w:noWrap/>
                </w:tcPr>
                <w:p w14:paraId="57B043C0" w14:textId="77777777" w:rsidR="001F6217" w:rsidRPr="00634B8C" w:rsidRDefault="001F6217" w:rsidP="001F6217">
                  <w:pPr>
                    <w:jc w:val="center"/>
                    <w:rPr>
                      <w:bCs/>
                      <w:color w:val="000000"/>
                    </w:rPr>
                  </w:pPr>
                  <w:r w:rsidRPr="00634B8C">
                    <w:rPr>
                      <w:bCs/>
                      <w:color w:val="000000"/>
                    </w:rPr>
                    <w:t>206 419</w:t>
                  </w:r>
                </w:p>
              </w:tc>
              <w:tc>
                <w:tcPr>
                  <w:tcW w:w="1456" w:type="dxa"/>
                  <w:noWrap/>
                  <w:vAlign w:val="center"/>
                </w:tcPr>
                <w:p w14:paraId="20241370" w14:textId="77777777" w:rsidR="001F6217" w:rsidRPr="005A2BF0" w:rsidRDefault="001F6217" w:rsidP="001F6217">
                  <w:pPr>
                    <w:jc w:val="center"/>
                  </w:pPr>
                  <w:r w:rsidRPr="005A2BF0">
                    <w:t>0</w:t>
                  </w:r>
                </w:p>
              </w:tc>
              <w:tc>
                <w:tcPr>
                  <w:tcW w:w="1456" w:type="dxa"/>
                  <w:noWrap/>
                  <w:vAlign w:val="center"/>
                </w:tcPr>
                <w:p w14:paraId="230A7EBD" w14:textId="77777777" w:rsidR="001F6217" w:rsidRPr="005A2BF0" w:rsidRDefault="001F6217" w:rsidP="001F6217">
                  <w:pPr>
                    <w:jc w:val="center"/>
                  </w:pPr>
                  <w:r w:rsidRPr="005A2BF0">
                    <w:t>0</w:t>
                  </w:r>
                </w:p>
              </w:tc>
            </w:tr>
            <w:tr w:rsidR="001F6217" w:rsidRPr="00D02B72" w14:paraId="23ECD98E" w14:textId="77777777" w:rsidTr="00EF0758">
              <w:trPr>
                <w:trHeight w:val="58"/>
                <w:jc w:val="center"/>
              </w:trPr>
              <w:tc>
                <w:tcPr>
                  <w:tcW w:w="3129" w:type="dxa"/>
                  <w:gridSpan w:val="2"/>
                  <w:vAlign w:val="center"/>
                  <w:hideMark/>
                </w:tcPr>
                <w:p w14:paraId="57C0A29D" w14:textId="77777777" w:rsidR="001F6217" w:rsidRPr="005A2BF0" w:rsidRDefault="001F6217" w:rsidP="001F6217">
                  <w:pPr>
                    <w:rPr>
                      <w:b/>
                      <w:bCs/>
                      <w:color w:val="000000"/>
                    </w:rPr>
                  </w:pPr>
                  <w:r w:rsidRPr="005A2BF0">
                    <w:rPr>
                      <w:b/>
                      <w:bCs/>
                      <w:color w:val="000000"/>
                    </w:rPr>
                    <w:t>29. resors "Veselības ministrija"</w:t>
                  </w:r>
                </w:p>
              </w:tc>
              <w:tc>
                <w:tcPr>
                  <w:tcW w:w="1456" w:type="dxa"/>
                  <w:noWrap/>
                  <w:vAlign w:val="center"/>
                </w:tcPr>
                <w:p w14:paraId="142B460B" w14:textId="77777777" w:rsidR="001F6217" w:rsidRPr="005A2BF0" w:rsidRDefault="001F6217" w:rsidP="001F6217">
                  <w:pPr>
                    <w:jc w:val="center"/>
                    <w:rPr>
                      <w:b/>
                      <w:bCs/>
                    </w:rPr>
                  </w:pPr>
                  <w:r>
                    <w:rPr>
                      <w:b/>
                      <w:bCs/>
                    </w:rPr>
                    <w:t>257 064</w:t>
                  </w:r>
                </w:p>
              </w:tc>
              <w:tc>
                <w:tcPr>
                  <w:tcW w:w="1456" w:type="dxa"/>
                  <w:noWrap/>
                  <w:vAlign w:val="center"/>
                </w:tcPr>
                <w:p w14:paraId="5B2AC1C7" w14:textId="77777777" w:rsidR="001F6217" w:rsidRPr="005A2BF0" w:rsidRDefault="001F6217" w:rsidP="001F6217">
                  <w:pPr>
                    <w:jc w:val="center"/>
                    <w:rPr>
                      <w:b/>
                      <w:bCs/>
                    </w:rPr>
                  </w:pPr>
                  <w:r>
                    <w:rPr>
                      <w:b/>
                      <w:bCs/>
                    </w:rPr>
                    <w:t>385 596</w:t>
                  </w:r>
                </w:p>
              </w:tc>
              <w:tc>
                <w:tcPr>
                  <w:tcW w:w="1456" w:type="dxa"/>
                  <w:noWrap/>
                  <w:vAlign w:val="center"/>
                </w:tcPr>
                <w:p w14:paraId="1258C876" w14:textId="77777777" w:rsidR="001F6217" w:rsidRPr="005A2BF0" w:rsidRDefault="001F6217" w:rsidP="001F6217">
                  <w:pPr>
                    <w:jc w:val="center"/>
                    <w:rPr>
                      <w:b/>
                      <w:bCs/>
                    </w:rPr>
                  </w:pPr>
                  <w:r w:rsidRPr="005A2BF0">
                    <w:rPr>
                      <w:b/>
                      <w:bCs/>
                    </w:rPr>
                    <w:t>0</w:t>
                  </w:r>
                </w:p>
              </w:tc>
              <w:tc>
                <w:tcPr>
                  <w:tcW w:w="1456" w:type="dxa"/>
                  <w:noWrap/>
                  <w:vAlign w:val="center"/>
                </w:tcPr>
                <w:p w14:paraId="730F102F" w14:textId="77777777" w:rsidR="001F6217" w:rsidRPr="005A2BF0" w:rsidRDefault="001F6217" w:rsidP="001F6217">
                  <w:pPr>
                    <w:jc w:val="center"/>
                    <w:rPr>
                      <w:b/>
                      <w:bCs/>
                    </w:rPr>
                  </w:pPr>
                  <w:r w:rsidRPr="005A2BF0">
                    <w:rPr>
                      <w:b/>
                      <w:bCs/>
                    </w:rPr>
                    <w:t>0</w:t>
                  </w:r>
                </w:p>
              </w:tc>
            </w:tr>
            <w:tr w:rsidR="001F6217" w:rsidRPr="00D02B72" w14:paraId="2B6CDA34" w14:textId="77777777" w:rsidTr="00EF0758">
              <w:trPr>
                <w:trHeight w:val="395"/>
                <w:jc w:val="center"/>
              </w:trPr>
              <w:tc>
                <w:tcPr>
                  <w:tcW w:w="276" w:type="dxa"/>
                  <w:vMerge w:val="restart"/>
                  <w:noWrap/>
                  <w:vAlign w:val="center"/>
                  <w:hideMark/>
                </w:tcPr>
                <w:p w14:paraId="5062E770" w14:textId="77777777" w:rsidR="001F6217" w:rsidRPr="005A2BF0" w:rsidRDefault="001F6217" w:rsidP="001F6217">
                  <w:r w:rsidRPr="005A2BF0">
                    <w:t> </w:t>
                  </w:r>
                </w:p>
              </w:tc>
              <w:tc>
                <w:tcPr>
                  <w:tcW w:w="2853" w:type="dxa"/>
                  <w:vMerge w:val="restart"/>
                  <w:vAlign w:val="center"/>
                  <w:hideMark/>
                </w:tcPr>
                <w:p w14:paraId="7D559F22" w14:textId="77777777" w:rsidR="001F6217" w:rsidRPr="005A2BF0" w:rsidRDefault="001F6217" w:rsidP="001F6217">
                  <w:pPr>
                    <w:rPr>
                      <w:color w:val="000000"/>
                    </w:rPr>
                  </w:pPr>
                  <w:r w:rsidRPr="005A2BF0">
                    <w:rPr>
                      <w:color w:val="000000"/>
                    </w:rPr>
                    <w:t>02.03.00. "Augstākā medicīnas izglītība"</w:t>
                  </w:r>
                </w:p>
              </w:tc>
              <w:tc>
                <w:tcPr>
                  <w:tcW w:w="1456" w:type="dxa"/>
                  <w:vMerge w:val="restart"/>
                  <w:noWrap/>
                  <w:vAlign w:val="center"/>
                </w:tcPr>
                <w:p w14:paraId="58C6C752" w14:textId="77777777" w:rsidR="001F6217" w:rsidRPr="000A1745" w:rsidRDefault="001F6217" w:rsidP="001F6217">
                  <w:pPr>
                    <w:jc w:val="center"/>
                    <w:rPr>
                      <w:bCs/>
                    </w:rPr>
                  </w:pPr>
                  <w:r w:rsidRPr="000A1745">
                    <w:rPr>
                      <w:bCs/>
                    </w:rPr>
                    <w:t>257 064</w:t>
                  </w:r>
                </w:p>
              </w:tc>
              <w:tc>
                <w:tcPr>
                  <w:tcW w:w="1456" w:type="dxa"/>
                  <w:vMerge w:val="restart"/>
                  <w:noWrap/>
                  <w:vAlign w:val="center"/>
                </w:tcPr>
                <w:p w14:paraId="5CD98B40" w14:textId="77777777" w:rsidR="001F6217" w:rsidRPr="000A1745" w:rsidRDefault="001F6217" w:rsidP="001F6217">
                  <w:pPr>
                    <w:jc w:val="center"/>
                    <w:rPr>
                      <w:bCs/>
                    </w:rPr>
                  </w:pPr>
                  <w:r w:rsidRPr="000A1745">
                    <w:rPr>
                      <w:bCs/>
                    </w:rPr>
                    <w:t>385 596</w:t>
                  </w:r>
                </w:p>
              </w:tc>
              <w:tc>
                <w:tcPr>
                  <w:tcW w:w="1456" w:type="dxa"/>
                  <w:vMerge w:val="restart"/>
                  <w:noWrap/>
                  <w:vAlign w:val="center"/>
                </w:tcPr>
                <w:p w14:paraId="20BFF6C3" w14:textId="77777777" w:rsidR="001F6217" w:rsidRPr="005A2BF0" w:rsidRDefault="001F6217" w:rsidP="001F6217">
                  <w:pPr>
                    <w:jc w:val="center"/>
                  </w:pPr>
                  <w:r w:rsidRPr="005A2BF0">
                    <w:t>0</w:t>
                  </w:r>
                </w:p>
              </w:tc>
              <w:tc>
                <w:tcPr>
                  <w:tcW w:w="1456" w:type="dxa"/>
                  <w:vMerge w:val="restart"/>
                  <w:noWrap/>
                  <w:vAlign w:val="center"/>
                </w:tcPr>
                <w:p w14:paraId="7F6A4884" w14:textId="77777777" w:rsidR="001F6217" w:rsidRPr="005A2BF0" w:rsidRDefault="001F6217" w:rsidP="001F6217">
                  <w:pPr>
                    <w:jc w:val="center"/>
                  </w:pPr>
                  <w:r w:rsidRPr="005A2BF0">
                    <w:t>0</w:t>
                  </w:r>
                </w:p>
              </w:tc>
            </w:tr>
            <w:tr w:rsidR="001F6217" w:rsidRPr="00D02B72" w14:paraId="1134CE88" w14:textId="77777777" w:rsidTr="00EF0758">
              <w:trPr>
                <w:trHeight w:val="276"/>
                <w:jc w:val="center"/>
              </w:trPr>
              <w:tc>
                <w:tcPr>
                  <w:tcW w:w="276" w:type="dxa"/>
                  <w:vMerge/>
                  <w:tcBorders>
                    <w:bottom w:val="single" w:sz="4" w:space="0" w:color="auto"/>
                  </w:tcBorders>
                  <w:vAlign w:val="center"/>
                  <w:hideMark/>
                </w:tcPr>
                <w:p w14:paraId="09FBC640" w14:textId="77777777" w:rsidR="001F6217" w:rsidRPr="005A2BF0" w:rsidRDefault="001F6217" w:rsidP="001F6217"/>
              </w:tc>
              <w:tc>
                <w:tcPr>
                  <w:tcW w:w="2853" w:type="dxa"/>
                  <w:vMerge/>
                  <w:tcBorders>
                    <w:bottom w:val="single" w:sz="4" w:space="0" w:color="auto"/>
                  </w:tcBorders>
                  <w:vAlign w:val="center"/>
                </w:tcPr>
                <w:p w14:paraId="1AF1320F" w14:textId="77777777" w:rsidR="001F6217" w:rsidRPr="005A2BF0" w:rsidRDefault="001F6217" w:rsidP="001F6217">
                  <w:pPr>
                    <w:jc w:val="right"/>
                    <w:rPr>
                      <w:i/>
                      <w:color w:val="000000"/>
                    </w:rPr>
                  </w:pPr>
                </w:p>
              </w:tc>
              <w:tc>
                <w:tcPr>
                  <w:tcW w:w="1456" w:type="dxa"/>
                  <w:vMerge/>
                  <w:tcBorders>
                    <w:bottom w:val="single" w:sz="4" w:space="0" w:color="auto"/>
                  </w:tcBorders>
                  <w:noWrap/>
                  <w:vAlign w:val="center"/>
                </w:tcPr>
                <w:p w14:paraId="321A34C1" w14:textId="77777777" w:rsidR="001F6217" w:rsidRPr="005A2BF0" w:rsidRDefault="001F6217" w:rsidP="001F6217">
                  <w:pPr>
                    <w:jc w:val="right"/>
                    <w:rPr>
                      <w:i/>
                    </w:rPr>
                  </w:pPr>
                </w:p>
              </w:tc>
              <w:tc>
                <w:tcPr>
                  <w:tcW w:w="1456" w:type="dxa"/>
                  <w:vMerge/>
                  <w:tcBorders>
                    <w:bottom w:val="single" w:sz="4" w:space="0" w:color="auto"/>
                  </w:tcBorders>
                  <w:noWrap/>
                  <w:vAlign w:val="center"/>
                </w:tcPr>
                <w:p w14:paraId="326698A5" w14:textId="77777777" w:rsidR="001F6217" w:rsidRPr="005A2BF0" w:rsidRDefault="001F6217" w:rsidP="001F6217">
                  <w:pPr>
                    <w:jc w:val="right"/>
                    <w:rPr>
                      <w:i/>
                    </w:rPr>
                  </w:pPr>
                </w:p>
              </w:tc>
              <w:tc>
                <w:tcPr>
                  <w:tcW w:w="1456" w:type="dxa"/>
                  <w:vMerge/>
                  <w:tcBorders>
                    <w:bottom w:val="single" w:sz="4" w:space="0" w:color="auto"/>
                  </w:tcBorders>
                  <w:noWrap/>
                  <w:vAlign w:val="center"/>
                </w:tcPr>
                <w:p w14:paraId="24FAC530" w14:textId="77777777" w:rsidR="001F6217" w:rsidRPr="005A2BF0" w:rsidRDefault="001F6217" w:rsidP="001F6217">
                  <w:pPr>
                    <w:jc w:val="right"/>
                    <w:rPr>
                      <w:i/>
                    </w:rPr>
                  </w:pPr>
                </w:p>
              </w:tc>
              <w:tc>
                <w:tcPr>
                  <w:tcW w:w="1456" w:type="dxa"/>
                  <w:vMerge/>
                  <w:tcBorders>
                    <w:bottom w:val="single" w:sz="4" w:space="0" w:color="auto"/>
                  </w:tcBorders>
                  <w:noWrap/>
                  <w:vAlign w:val="center"/>
                </w:tcPr>
                <w:p w14:paraId="436B94B5" w14:textId="77777777" w:rsidR="001F6217" w:rsidRPr="005A2BF0" w:rsidRDefault="001F6217" w:rsidP="001F6217">
                  <w:pPr>
                    <w:jc w:val="right"/>
                    <w:rPr>
                      <w:i/>
                    </w:rPr>
                  </w:pPr>
                </w:p>
              </w:tc>
            </w:tr>
          </w:tbl>
          <w:p w14:paraId="14FB67B5" w14:textId="77777777" w:rsidR="001F6217" w:rsidRDefault="001F6217" w:rsidP="00402A48">
            <w:pPr>
              <w:ind w:right="34"/>
              <w:jc w:val="both"/>
            </w:pPr>
          </w:p>
          <w:p w14:paraId="12AD66CC" w14:textId="04B086EA" w:rsidR="001F6217" w:rsidRPr="004B2478" w:rsidRDefault="001F6217" w:rsidP="00402A48">
            <w:pPr>
              <w:ind w:right="34"/>
              <w:jc w:val="both"/>
            </w:pPr>
            <w:r>
              <w:t>Detalizēts</w:t>
            </w:r>
            <w:r w:rsidRPr="00AA4507">
              <w:t xml:space="preserve"> </w:t>
            </w:r>
            <w:r>
              <w:t>aprēķins ir</w:t>
            </w:r>
            <w:r w:rsidRPr="00AA4507">
              <w:t xml:space="preserve"> pievienot</w:t>
            </w:r>
            <w:r>
              <w:t>s</w:t>
            </w:r>
            <w:r w:rsidRPr="00AA4507">
              <w:t xml:space="preserve"> anotācijas pielikumā</w:t>
            </w:r>
            <w:r>
              <w:t>.</w:t>
            </w:r>
          </w:p>
        </w:tc>
      </w:tr>
      <w:tr w:rsidR="00DA708F" w:rsidRPr="0033617F" w14:paraId="5F30166E" w14:textId="77777777" w:rsidTr="006E1C0C">
        <w:trPr>
          <w:jc w:val="center"/>
        </w:trPr>
        <w:tc>
          <w:tcPr>
            <w:tcW w:w="2235" w:type="dxa"/>
          </w:tcPr>
          <w:p w14:paraId="2E27D7B1" w14:textId="2B0A9B9E" w:rsidR="00DA708F" w:rsidRPr="0033617F" w:rsidRDefault="00DA708F" w:rsidP="001B2A96">
            <w:r w:rsidRPr="0033617F">
              <w:t>6.1. detalizēts ieņēmumu aprēķins</w:t>
            </w:r>
          </w:p>
        </w:tc>
        <w:tc>
          <w:tcPr>
            <w:tcW w:w="8797" w:type="dxa"/>
            <w:gridSpan w:val="7"/>
            <w:vMerge/>
            <w:shd w:val="clear" w:color="auto" w:fill="auto"/>
          </w:tcPr>
          <w:p w14:paraId="498A7179" w14:textId="77777777" w:rsidR="00DA708F" w:rsidRPr="0033617F" w:rsidRDefault="00DA708F" w:rsidP="001B2A96">
            <w:pPr>
              <w:rPr>
                <w:b/>
                <w:i/>
              </w:rPr>
            </w:pPr>
          </w:p>
        </w:tc>
      </w:tr>
      <w:tr w:rsidR="00DA708F" w:rsidRPr="0033617F" w14:paraId="6161CC7C" w14:textId="77777777" w:rsidTr="006E1C0C">
        <w:trPr>
          <w:jc w:val="center"/>
        </w:trPr>
        <w:tc>
          <w:tcPr>
            <w:tcW w:w="2235" w:type="dxa"/>
          </w:tcPr>
          <w:p w14:paraId="52D9743E" w14:textId="77777777" w:rsidR="00DA708F" w:rsidRPr="0033617F" w:rsidRDefault="00DA708F" w:rsidP="001B2A96">
            <w:r w:rsidRPr="0033617F">
              <w:t>6.2. detalizēts izdevumu aprēķins</w:t>
            </w:r>
          </w:p>
        </w:tc>
        <w:tc>
          <w:tcPr>
            <w:tcW w:w="8797" w:type="dxa"/>
            <w:gridSpan w:val="7"/>
            <w:vMerge/>
            <w:shd w:val="clear" w:color="auto" w:fill="auto"/>
          </w:tcPr>
          <w:p w14:paraId="7B4D5925" w14:textId="77777777" w:rsidR="00DA708F" w:rsidRPr="0033617F" w:rsidRDefault="00DA708F" w:rsidP="001B2A96">
            <w:pPr>
              <w:rPr>
                <w:b/>
                <w:i/>
              </w:rPr>
            </w:pPr>
          </w:p>
        </w:tc>
      </w:tr>
      <w:tr w:rsidR="00DA708F" w:rsidRPr="0033617F" w14:paraId="7DF31435" w14:textId="77777777" w:rsidTr="006E1C0C">
        <w:trPr>
          <w:trHeight w:val="399"/>
          <w:jc w:val="center"/>
        </w:trPr>
        <w:tc>
          <w:tcPr>
            <w:tcW w:w="2235" w:type="dxa"/>
          </w:tcPr>
          <w:p w14:paraId="7FEEAE8C" w14:textId="77777777" w:rsidR="00DA708F" w:rsidRPr="0033617F" w:rsidRDefault="00DA708F" w:rsidP="001B2A96">
            <w:r>
              <w:t>7. Amata vietu skaita izmaiņas</w:t>
            </w:r>
          </w:p>
        </w:tc>
        <w:tc>
          <w:tcPr>
            <w:tcW w:w="8797" w:type="dxa"/>
            <w:gridSpan w:val="7"/>
            <w:shd w:val="clear" w:color="auto" w:fill="auto"/>
          </w:tcPr>
          <w:p w14:paraId="02AB3A95" w14:textId="3BD74C74" w:rsidR="00DA708F" w:rsidRDefault="00C870F2" w:rsidP="001B2A96">
            <w:pPr>
              <w:ind w:right="34"/>
              <w:jc w:val="both"/>
            </w:pPr>
            <w:r>
              <w:t>Rīkojuma projektam</w:t>
            </w:r>
            <w:r w:rsidR="00DA708F">
              <w:t xml:space="preserve"> nav ietekme uz amata vietu skaita izmaiņām.</w:t>
            </w:r>
          </w:p>
        </w:tc>
      </w:tr>
      <w:tr w:rsidR="00DA708F" w:rsidRPr="0033617F" w14:paraId="2CAD9D46" w14:textId="77777777" w:rsidTr="006E1C0C">
        <w:trPr>
          <w:trHeight w:val="399"/>
          <w:jc w:val="center"/>
        </w:trPr>
        <w:tc>
          <w:tcPr>
            <w:tcW w:w="2235" w:type="dxa"/>
          </w:tcPr>
          <w:p w14:paraId="715B2A4B" w14:textId="77777777" w:rsidR="00DA708F" w:rsidRPr="0033617F" w:rsidRDefault="00DA708F" w:rsidP="001B2A96">
            <w:r>
              <w:t>8</w:t>
            </w:r>
            <w:r w:rsidRPr="0033617F">
              <w:t>. Cita informācija</w:t>
            </w:r>
          </w:p>
        </w:tc>
        <w:tc>
          <w:tcPr>
            <w:tcW w:w="8797" w:type="dxa"/>
            <w:gridSpan w:val="7"/>
            <w:shd w:val="clear" w:color="auto" w:fill="auto"/>
          </w:tcPr>
          <w:p w14:paraId="67304152" w14:textId="6484A006" w:rsidR="00BB7A00" w:rsidRDefault="00F86D7B" w:rsidP="003353F3">
            <w:pPr>
              <w:ind w:right="34"/>
              <w:jc w:val="both"/>
            </w:pPr>
            <w:r w:rsidRPr="00F86D7B">
              <w:t xml:space="preserve">Izdevumus </w:t>
            </w:r>
            <w:r w:rsidR="00BB7A00">
              <w:t xml:space="preserve">2020.gadā </w:t>
            </w:r>
            <w:r w:rsidRPr="00F86D7B">
              <w:t>sedz no valsts budžeta programmas 02.00.00 „Līdzekļi neparedzētiem gadījumiem” atbilstoši Ministru kabineta 2018.</w:t>
            </w:r>
            <w:r w:rsidR="004677E0">
              <w:t xml:space="preserve"> </w:t>
            </w:r>
            <w:r w:rsidRPr="00F86D7B">
              <w:t>gada 17.</w:t>
            </w:r>
            <w:r w:rsidR="004677E0">
              <w:t xml:space="preserve"> </w:t>
            </w:r>
            <w:r w:rsidRPr="00F86D7B">
              <w:t>jūlija noteikumiem Nr.</w:t>
            </w:r>
            <w:r w:rsidR="004677E0">
              <w:t xml:space="preserve"> </w:t>
            </w:r>
            <w:r w:rsidRPr="00F86D7B">
              <w:t>421 „Kārtība, kādā veic gadskārtējā valsts budžeta likumā noteiktās apropriācijas izmaiņas”.</w:t>
            </w:r>
            <w:r>
              <w:t xml:space="preserve"> </w:t>
            </w:r>
            <w:r w:rsidR="00C870F2">
              <w:t>Pēc Ministru kabineta rīkojuma spēkā stāšanās</w:t>
            </w:r>
            <w:r w:rsidR="003353F3">
              <w:t xml:space="preserve"> Izglītības un zinātnes ministrija</w:t>
            </w:r>
            <w:r w:rsidR="003C5839" w:rsidRPr="003C5839">
              <w:t>, Veselības ministrija, Zemkopības ministrija, Kultūras ministrija un Labklājības ministrija</w:t>
            </w:r>
            <w:r w:rsidR="003353F3">
              <w:t xml:space="preserve"> </w:t>
            </w:r>
            <w:r w:rsidR="00BB447B">
              <w:t>sagatavos</w:t>
            </w:r>
            <w:r w:rsidR="00BB447B" w:rsidRPr="00BB447B">
              <w:t xml:space="preserve"> un </w:t>
            </w:r>
            <w:r w:rsidR="00BB447B">
              <w:t xml:space="preserve">ne vēlāk kā </w:t>
            </w:r>
            <w:r w:rsidR="00BB447B" w:rsidRPr="00BB447B">
              <w:t>divu nedēļu laikā normatīvajos a</w:t>
            </w:r>
            <w:r w:rsidR="00BB447B">
              <w:t>ktos noteiktajā kārtībā iesniegs</w:t>
            </w:r>
            <w:r w:rsidR="00BB447B" w:rsidRPr="00BB447B">
              <w:t xml:space="preserve"> Finanšu ministrijā pieprasījumu apropri</w:t>
            </w:r>
            <w:r w:rsidR="003353F3">
              <w:t>ācijas izmaiņām.</w:t>
            </w:r>
          </w:p>
          <w:p w14:paraId="51726586" w14:textId="04B3C8CF" w:rsidR="0079247C" w:rsidRDefault="00BB7A00" w:rsidP="00AB24EB">
            <w:pPr>
              <w:ind w:right="34"/>
              <w:jc w:val="both"/>
            </w:pPr>
            <w:r>
              <w:t xml:space="preserve">Savukārt </w:t>
            </w:r>
            <w:r w:rsidR="00AB24EB">
              <w:t>g</w:t>
            </w:r>
            <w:r>
              <w:t xml:space="preserve">rozījumu </w:t>
            </w:r>
            <w:r w:rsidRPr="00BB7A00">
              <w:t>Ministru kabineta 2004. gada 24. augusta noteikumos Nr. 740 “Noteikumi par stipendijām”</w:t>
            </w:r>
            <w:r>
              <w:t xml:space="preserve"> </w:t>
            </w:r>
            <w:r w:rsidR="00AB24EB">
              <w:t xml:space="preserve">īstenošanai </w:t>
            </w:r>
            <w:r>
              <w:t xml:space="preserve">2021.gadā papildus </w:t>
            </w:r>
            <w:r w:rsidR="00AB24EB">
              <w:t xml:space="preserve">nepieciešamais </w:t>
            </w:r>
            <w:r>
              <w:t xml:space="preserve">finansējums </w:t>
            </w:r>
            <w:r w:rsidR="003353F3">
              <w:t xml:space="preserve"> </w:t>
            </w:r>
            <w:r w:rsidRPr="00BB7A00">
              <w:t>3 060</w:t>
            </w:r>
            <w:r>
              <w:t> </w:t>
            </w:r>
            <w:r w:rsidRPr="00BB7A00">
              <w:t>000</w:t>
            </w:r>
            <w:r>
              <w:t xml:space="preserve"> </w:t>
            </w:r>
            <w:proofErr w:type="spellStart"/>
            <w:r w:rsidRPr="002D0758">
              <w:rPr>
                <w:i/>
              </w:rPr>
              <w:t>euro</w:t>
            </w:r>
            <w:proofErr w:type="spellEnd"/>
            <w:r w:rsidRPr="002D0758">
              <w:rPr>
                <w:i/>
              </w:rPr>
              <w:t xml:space="preserve"> </w:t>
            </w:r>
            <w:r>
              <w:t>apmērā</w:t>
            </w:r>
            <w:r w:rsidR="00F86803">
              <w:t xml:space="preserve">, kas tiks nodrošināts atbilstoši </w:t>
            </w:r>
            <w:r w:rsidR="00F86803" w:rsidRPr="00F86803">
              <w:t>Ministru kabineta 2020.gada 2.jūnija sēd</w:t>
            </w:r>
            <w:r w:rsidR="00F86803">
              <w:t>ē</w:t>
            </w:r>
            <w:r w:rsidR="00F86803" w:rsidRPr="00F86803">
              <w:t xml:space="preserve"> </w:t>
            </w:r>
            <w:r w:rsidR="00F86803">
              <w:t>(</w:t>
            </w:r>
            <w:r w:rsidR="00F86803" w:rsidRPr="00F86803">
              <w:t>protokol</w:t>
            </w:r>
            <w:r w:rsidR="00F86803">
              <w:t>s</w:t>
            </w:r>
            <w:r w:rsidR="00F86803" w:rsidRPr="00F86803">
              <w:t xml:space="preserve"> Nr.38 49.§</w:t>
            </w:r>
            <w:r w:rsidR="00F86803">
              <w:t>) nolemtajam.</w:t>
            </w:r>
          </w:p>
        </w:tc>
      </w:tr>
    </w:tbl>
    <w:p w14:paraId="1B7746DF" w14:textId="49E5D00C" w:rsidR="007F671D" w:rsidRDefault="007F671D" w:rsidP="00464CD0">
      <w:pPr>
        <w:ind w:left="-567" w:right="-427"/>
        <w:jc w:val="both"/>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14:paraId="2DDEDB1E" w14:textId="77777777" w:rsidTr="00D228F9">
        <w:tc>
          <w:tcPr>
            <w:tcW w:w="10060" w:type="dxa"/>
            <w:tcBorders>
              <w:bottom w:val="single" w:sz="4" w:space="0" w:color="auto"/>
            </w:tcBorders>
            <w:vAlign w:val="center"/>
          </w:tcPr>
          <w:p w14:paraId="49E69494" w14:textId="77777777" w:rsidR="00C3572A" w:rsidRPr="00317B6A" w:rsidRDefault="00C3572A" w:rsidP="001B2A96">
            <w:pPr>
              <w:pStyle w:val="naisnod"/>
              <w:spacing w:before="0" w:after="0"/>
            </w:pPr>
            <w:r w:rsidRPr="00C3572A">
              <w:t>IV. Tiesību akta projekta ietekme uz spēkā esošo tiesību normu sistēmu</w:t>
            </w:r>
          </w:p>
        </w:tc>
      </w:tr>
      <w:tr w:rsidR="00C3572A" w:rsidRPr="00B24229" w14:paraId="70A877F0" w14:textId="77777777" w:rsidTr="00D228F9">
        <w:trPr>
          <w:trHeight w:val="273"/>
        </w:trPr>
        <w:tc>
          <w:tcPr>
            <w:tcW w:w="10060" w:type="dxa"/>
            <w:tcBorders>
              <w:top w:val="single" w:sz="4" w:space="0" w:color="auto"/>
              <w:left w:val="single" w:sz="4" w:space="0" w:color="auto"/>
              <w:bottom w:val="single" w:sz="4" w:space="0" w:color="auto"/>
              <w:right w:val="single" w:sz="4" w:space="0" w:color="auto"/>
            </w:tcBorders>
          </w:tcPr>
          <w:p w14:paraId="5988D035" w14:textId="77777777" w:rsidR="00C3572A" w:rsidRPr="00B24229" w:rsidRDefault="00C3572A" w:rsidP="001B2A96">
            <w:pPr>
              <w:ind w:right="127"/>
              <w:jc w:val="center"/>
            </w:pPr>
            <w:r w:rsidRPr="00C3572A">
              <w:t>Projekts šo jomu neskar</w:t>
            </w:r>
          </w:p>
        </w:tc>
      </w:tr>
    </w:tbl>
    <w:p w14:paraId="0A0E279B" w14:textId="77777777" w:rsidR="00C3572A" w:rsidRDefault="00C3572A" w:rsidP="00C3572A"/>
    <w:p w14:paraId="2BAC8705" w14:textId="77777777" w:rsidR="00F075FD" w:rsidRDefault="00F075FD" w:rsidP="00C3572A"/>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14:paraId="3B314101" w14:textId="77777777" w:rsidTr="001B2A96">
        <w:tc>
          <w:tcPr>
            <w:tcW w:w="10060" w:type="dxa"/>
            <w:vAlign w:val="center"/>
          </w:tcPr>
          <w:p w14:paraId="5C120AB2" w14:textId="77777777" w:rsidR="00C3572A" w:rsidRPr="00317B6A" w:rsidRDefault="00C3572A" w:rsidP="001B2A96">
            <w:pPr>
              <w:pStyle w:val="naisnod"/>
              <w:spacing w:before="0" w:after="0"/>
            </w:pPr>
            <w:r w:rsidRPr="00C3572A">
              <w:t>V. Tiesību akta projekta atbilstība Latvijas Republikas starptautiskajām saistībām</w:t>
            </w:r>
          </w:p>
        </w:tc>
      </w:tr>
      <w:tr w:rsidR="00C3572A" w:rsidRPr="00B24229" w14:paraId="3384D968" w14:textId="77777777" w:rsidTr="001B2A96">
        <w:trPr>
          <w:trHeight w:val="273"/>
        </w:trPr>
        <w:tc>
          <w:tcPr>
            <w:tcW w:w="10060" w:type="dxa"/>
          </w:tcPr>
          <w:p w14:paraId="6B97A43E" w14:textId="77777777" w:rsidR="00C3572A" w:rsidRPr="00B24229" w:rsidRDefault="00C3572A" w:rsidP="001B2A96">
            <w:pPr>
              <w:ind w:right="127"/>
              <w:jc w:val="center"/>
            </w:pPr>
            <w:r w:rsidRPr="00C3572A">
              <w:t>Projekts šo jomu neskar</w:t>
            </w:r>
          </w:p>
        </w:tc>
      </w:tr>
    </w:tbl>
    <w:p w14:paraId="0A95406E" w14:textId="77777777" w:rsidR="00554CAC" w:rsidRDefault="00554CAC"/>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4"/>
        <w:gridCol w:w="2515"/>
        <w:gridCol w:w="6861"/>
      </w:tblGrid>
      <w:tr w:rsidR="00C22F23" w:rsidRPr="00317B6A" w14:paraId="06EAA6D7" w14:textId="77777777" w:rsidTr="000566D5">
        <w:tc>
          <w:tcPr>
            <w:tcW w:w="10060" w:type="dxa"/>
            <w:gridSpan w:val="3"/>
            <w:vAlign w:val="center"/>
          </w:tcPr>
          <w:p w14:paraId="1AD560AE" w14:textId="77777777" w:rsidR="00C22F23" w:rsidRPr="00317B6A" w:rsidRDefault="00C22F23" w:rsidP="000566D5">
            <w:pPr>
              <w:pStyle w:val="naisnod"/>
              <w:spacing w:before="0" w:after="0"/>
            </w:pPr>
            <w:r w:rsidRPr="00C3572A">
              <w:t>VI. Sabiedrības līdzdalība un komunikācijas aktivitātes</w:t>
            </w:r>
          </w:p>
        </w:tc>
      </w:tr>
      <w:tr w:rsidR="00874CCE" w:rsidRPr="00B24229" w14:paraId="6A3BC2FE" w14:textId="77777777" w:rsidTr="0093159B">
        <w:trPr>
          <w:trHeight w:val="265"/>
        </w:trPr>
        <w:tc>
          <w:tcPr>
            <w:tcW w:w="684" w:type="dxa"/>
          </w:tcPr>
          <w:p w14:paraId="730F3F59" w14:textId="77777777" w:rsidR="00874CCE" w:rsidRPr="00B24229" w:rsidRDefault="00874CCE" w:rsidP="00874CCE">
            <w:pPr>
              <w:pStyle w:val="naiskr"/>
              <w:spacing w:before="0" w:after="0"/>
              <w:jc w:val="center"/>
            </w:pPr>
            <w:r w:rsidRPr="00B24229">
              <w:t>1.</w:t>
            </w:r>
          </w:p>
        </w:tc>
        <w:tc>
          <w:tcPr>
            <w:tcW w:w="2515" w:type="dxa"/>
          </w:tcPr>
          <w:p w14:paraId="2AFE30D8" w14:textId="77777777" w:rsidR="00874CCE" w:rsidRPr="00C22F23" w:rsidRDefault="00874CCE" w:rsidP="00874CCE">
            <w:pPr>
              <w:ind w:left="95"/>
            </w:pPr>
            <w:r w:rsidRPr="00C22F23">
              <w:t>Plānotās sabiedrības līdzdalības un komunikācijas aktivitātes saistībā ar projektu</w:t>
            </w:r>
          </w:p>
        </w:tc>
        <w:tc>
          <w:tcPr>
            <w:tcW w:w="6861" w:type="dxa"/>
            <w:vAlign w:val="center"/>
          </w:tcPr>
          <w:p w14:paraId="74A49D84" w14:textId="1A2D1298" w:rsidR="00874CCE" w:rsidRPr="000F0FBE" w:rsidRDefault="00874CCE" w:rsidP="00874CCE">
            <w:pPr>
              <w:ind w:left="86" w:right="142"/>
              <w:jc w:val="both"/>
            </w:pPr>
            <w:r>
              <w:rPr>
                <w:bCs/>
              </w:rPr>
              <w:t>Nav attiecināms.</w:t>
            </w:r>
          </w:p>
        </w:tc>
      </w:tr>
      <w:tr w:rsidR="00874CCE" w:rsidRPr="00B24229" w14:paraId="072AC806" w14:textId="77777777" w:rsidTr="0093159B">
        <w:trPr>
          <w:trHeight w:val="265"/>
        </w:trPr>
        <w:tc>
          <w:tcPr>
            <w:tcW w:w="684" w:type="dxa"/>
          </w:tcPr>
          <w:p w14:paraId="11B475CC" w14:textId="77777777" w:rsidR="00874CCE" w:rsidRPr="00B24229" w:rsidRDefault="00874CCE" w:rsidP="00874CCE">
            <w:pPr>
              <w:pStyle w:val="naiskr"/>
              <w:spacing w:before="0" w:after="0"/>
              <w:jc w:val="center"/>
            </w:pPr>
            <w:r>
              <w:t>2.</w:t>
            </w:r>
          </w:p>
        </w:tc>
        <w:tc>
          <w:tcPr>
            <w:tcW w:w="2515" w:type="dxa"/>
          </w:tcPr>
          <w:p w14:paraId="5317DFAF" w14:textId="77777777" w:rsidR="00874CCE" w:rsidRPr="00C22F23" w:rsidRDefault="00874CCE" w:rsidP="00874CCE">
            <w:pPr>
              <w:ind w:left="95"/>
            </w:pPr>
            <w:r w:rsidRPr="00C22F23">
              <w:t>Sabiedrības līdzdalība projekta izstrādē</w:t>
            </w:r>
          </w:p>
        </w:tc>
        <w:tc>
          <w:tcPr>
            <w:tcW w:w="6861" w:type="dxa"/>
            <w:vAlign w:val="center"/>
          </w:tcPr>
          <w:p w14:paraId="0E85D1A7" w14:textId="7F71B433" w:rsidR="00874CCE" w:rsidRPr="000F0FBE" w:rsidRDefault="00874CCE" w:rsidP="00874CCE">
            <w:pPr>
              <w:ind w:left="86" w:right="142"/>
              <w:jc w:val="both"/>
            </w:pPr>
            <w:r>
              <w:t xml:space="preserve">Saeimas </w:t>
            </w:r>
            <w:r w:rsidRPr="00AB54EF">
              <w:t xml:space="preserve">Izglītības, kultūras un zinātnes </w:t>
            </w:r>
            <w:r>
              <w:t xml:space="preserve">komisijas sēdē 2020. gada 12. maijā tika prezentēta LSA prezentācija “Finansiālais atbalsts studējošajiem Covid-19 krīzes laikā” un notika diskusija par nepieciešamo atbalstu studējošiem, lai mazinātu studējošo atbirumu pasliktinājušās sociālekonomiskās situācijas rezultātā. Projekts ir izstrādāts, ņemot vērā </w:t>
            </w:r>
            <w:r>
              <w:rPr>
                <w:bCs/>
              </w:rPr>
              <w:t>sēdē prezentētās LSA veiktās studējošo aptaujas rezultātus un LSA atklātajā vēstulē pausto (</w:t>
            </w:r>
            <w:hyperlink r:id="rId10" w:history="1">
              <w:r w:rsidRPr="00FE53DE">
                <w:rPr>
                  <w:rStyle w:val="Hyperlink"/>
                  <w:bCs/>
                </w:rPr>
                <w:t>https://www.lsa.lv/politikiem-nosutita-atklata-vestule-par-finansiala-atbalsta-sniegsanu-studentiem-covid-19-krizes-laika/</w:t>
              </w:r>
            </w:hyperlink>
            <w:r>
              <w:rPr>
                <w:bCs/>
              </w:rPr>
              <w:t xml:space="preserve"> un </w:t>
            </w:r>
            <w:hyperlink r:id="rId11" w:history="1">
              <w:r w:rsidRPr="00FE53DE">
                <w:rPr>
                  <w:rStyle w:val="Hyperlink"/>
                  <w:bCs/>
                </w:rPr>
                <w:t>https://www.lsa.lv/wp-content/uploads/2020/05/IKZK-12052020.pdf</w:t>
              </w:r>
            </w:hyperlink>
            <w:r>
              <w:rPr>
                <w:bCs/>
              </w:rPr>
              <w:t>).</w:t>
            </w:r>
          </w:p>
        </w:tc>
      </w:tr>
      <w:tr w:rsidR="00C22F23" w:rsidRPr="00B24229" w14:paraId="5E94C0A3" w14:textId="77777777" w:rsidTr="000566D5">
        <w:trPr>
          <w:trHeight w:val="265"/>
        </w:trPr>
        <w:tc>
          <w:tcPr>
            <w:tcW w:w="684" w:type="dxa"/>
          </w:tcPr>
          <w:p w14:paraId="0F484076" w14:textId="77777777" w:rsidR="00C22F23" w:rsidRPr="00B24229" w:rsidRDefault="00C22F23" w:rsidP="00C22F23">
            <w:pPr>
              <w:pStyle w:val="naiskr"/>
              <w:spacing w:before="0" w:after="0"/>
              <w:jc w:val="center"/>
            </w:pPr>
            <w:r>
              <w:t>3.</w:t>
            </w:r>
          </w:p>
        </w:tc>
        <w:tc>
          <w:tcPr>
            <w:tcW w:w="2515" w:type="dxa"/>
          </w:tcPr>
          <w:p w14:paraId="61DD9DC5" w14:textId="77777777" w:rsidR="00C22F23" w:rsidRPr="00C22F23" w:rsidRDefault="00C22F23" w:rsidP="00B806E1">
            <w:pPr>
              <w:ind w:left="95"/>
            </w:pPr>
            <w:r w:rsidRPr="00C22F23">
              <w:t>Sabiedrības līdzdalības rezultāti</w:t>
            </w:r>
          </w:p>
        </w:tc>
        <w:tc>
          <w:tcPr>
            <w:tcW w:w="6861" w:type="dxa"/>
          </w:tcPr>
          <w:p w14:paraId="0DFA8388" w14:textId="083A7C4D" w:rsidR="00C22F23" w:rsidRPr="000F0FBE" w:rsidRDefault="000F0FBE" w:rsidP="001A599A">
            <w:pPr>
              <w:ind w:left="86" w:right="142"/>
              <w:jc w:val="both"/>
            </w:pPr>
            <w:r>
              <w:t>Nav attiecināms</w:t>
            </w:r>
          </w:p>
        </w:tc>
      </w:tr>
      <w:tr w:rsidR="00C22F23" w:rsidRPr="00B24229" w14:paraId="7225996A" w14:textId="77777777" w:rsidTr="000566D5">
        <w:trPr>
          <w:trHeight w:val="265"/>
        </w:trPr>
        <w:tc>
          <w:tcPr>
            <w:tcW w:w="684" w:type="dxa"/>
          </w:tcPr>
          <w:p w14:paraId="0BAF0AF4" w14:textId="77777777" w:rsidR="00C22F23" w:rsidRPr="00B24229" w:rsidRDefault="00C22F23" w:rsidP="00C22F23">
            <w:pPr>
              <w:pStyle w:val="naiskr"/>
              <w:spacing w:before="0" w:after="0"/>
              <w:jc w:val="center"/>
            </w:pPr>
            <w:r>
              <w:t>4.</w:t>
            </w:r>
          </w:p>
        </w:tc>
        <w:tc>
          <w:tcPr>
            <w:tcW w:w="2515" w:type="dxa"/>
          </w:tcPr>
          <w:p w14:paraId="5543EF08" w14:textId="77777777" w:rsidR="00C22F23" w:rsidRPr="00C22F23" w:rsidRDefault="00C22F23" w:rsidP="00B806E1">
            <w:pPr>
              <w:ind w:left="95"/>
            </w:pPr>
            <w:r w:rsidRPr="00C22F23">
              <w:t>Cita informācija</w:t>
            </w:r>
          </w:p>
        </w:tc>
        <w:tc>
          <w:tcPr>
            <w:tcW w:w="6861" w:type="dxa"/>
          </w:tcPr>
          <w:p w14:paraId="2A35EF2F" w14:textId="77777777" w:rsidR="00C22F23" w:rsidRDefault="00E4473B" w:rsidP="00F54E81">
            <w:pPr>
              <w:ind w:left="86" w:right="142"/>
              <w:jc w:val="both"/>
            </w:pPr>
            <w:r>
              <w:t>Nav</w:t>
            </w:r>
          </w:p>
        </w:tc>
      </w:tr>
    </w:tbl>
    <w:p w14:paraId="277B7251" w14:textId="77777777" w:rsidR="00C22F23" w:rsidRDefault="00C22F23"/>
    <w:p w14:paraId="1B666679" w14:textId="77777777" w:rsidR="006C697C" w:rsidRDefault="006C697C"/>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4"/>
        <w:gridCol w:w="2515"/>
        <w:gridCol w:w="6861"/>
      </w:tblGrid>
      <w:tr w:rsidR="00C22F23" w:rsidRPr="00317B6A" w14:paraId="58260084" w14:textId="77777777" w:rsidTr="000566D5">
        <w:tc>
          <w:tcPr>
            <w:tcW w:w="10060" w:type="dxa"/>
            <w:gridSpan w:val="3"/>
            <w:vAlign w:val="center"/>
          </w:tcPr>
          <w:p w14:paraId="45DD5C2D" w14:textId="77777777" w:rsidR="00C22F23" w:rsidRPr="00317B6A" w:rsidRDefault="00C22F23" w:rsidP="000566D5">
            <w:pPr>
              <w:pStyle w:val="naisnod"/>
              <w:spacing w:before="0" w:after="0"/>
            </w:pPr>
            <w:r w:rsidRPr="00C3572A">
              <w:t>VII. Tiesību akta projekta izpildes nodrošināšana un tās ietekme uz institūcijām</w:t>
            </w:r>
          </w:p>
        </w:tc>
      </w:tr>
      <w:tr w:rsidR="00C22F23" w:rsidRPr="00B24229" w14:paraId="3C43D0CE" w14:textId="77777777" w:rsidTr="00C22F23">
        <w:trPr>
          <w:trHeight w:val="265"/>
        </w:trPr>
        <w:tc>
          <w:tcPr>
            <w:tcW w:w="684" w:type="dxa"/>
          </w:tcPr>
          <w:p w14:paraId="44EE9D72" w14:textId="77777777" w:rsidR="00C22F23" w:rsidRPr="00B24229" w:rsidRDefault="00C22F23" w:rsidP="00C22F23">
            <w:pPr>
              <w:pStyle w:val="naiskr"/>
              <w:spacing w:before="0" w:after="0"/>
              <w:jc w:val="center"/>
            </w:pPr>
            <w:r w:rsidRPr="00B24229">
              <w:lastRenderedPageBreak/>
              <w:t>1.</w:t>
            </w:r>
          </w:p>
        </w:tc>
        <w:tc>
          <w:tcPr>
            <w:tcW w:w="2515" w:type="dxa"/>
          </w:tcPr>
          <w:p w14:paraId="111B01EC" w14:textId="77777777" w:rsidR="00C22F23" w:rsidRPr="00C22F23" w:rsidRDefault="00C22F23" w:rsidP="00B806E1">
            <w:pPr>
              <w:ind w:left="109"/>
            </w:pPr>
            <w:r w:rsidRPr="00C22F23">
              <w:t>Projekta izpildē iesaistītās institūcijas</w:t>
            </w:r>
          </w:p>
        </w:tc>
        <w:tc>
          <w:tcPr>
            <w:tcW w:w="6861" w:type="dxa"/>
          </w:tcPr>
          <w:p w14:paraId="5425769A" w14:textId="2564535A" w:rsidR="00C22F23" w:rsidRPr="00B24229" w:rsidRDefault="00CE28C6" w:rsidP="003353F3">
            <w:pPr>
              <w:ind w:left="128" w:right="142"/>
              <w:jc w:val="both"/>
            </w:pPr>
            <w:r>
              <w:t>M</w:t>
            </w:r>
            <w:r w:rsidRPr="00951D70">
              <w:t xml:space="preserve">inistrija, </w:t>
            </w:r>
            <w:r>
              <w:t>augstākās izglītības iestāde</w:t>
            </w:r>
            <w:r w:rsidRPr="00951D70">
              <w:t>s.</w:t>
            </w:r>
          </w:p>
        </w:tc>
      </w:tr>
      <w:tr w:rsidR="00C22F23" w:rsidRPr="00B24229" w14:paraId="0C63EA86" w14:textId="77777777" w:rsidTr="00C22F23">
        <w:trPr>
          <w:trHeight w:val="265"/>
        </w:trPr>
        <w:tc>
          <w:tcPr>
            <w:tcW w:w="684" w:type="dxa"/>
          </w:tcPr>
          <w:p w14:paraId="10AE4708" w14:textId="77777777" w:rsidR="00C22F23" w:rsidRPr="00B24229" w:rsidRDefault="00C22F23" w:rsidP="00C22F23">
            <w:pPr>
              <w:pStyle w:val="naiskr"/>
              <w:spacing w:before="0" w:after="0"/>
              <w:jc w:val="center"/>
            </w:pPr>
            <w:r>
              <w:t>2.</w:t>
            </w:r>
          </w:p>
        </w:tc>
        <w:tc>
          <w:tcPr>
            <w:tcW w:w="2515" w:type="dxa"/>
          </w:tcPr>
          <w:p w14:paraId="08E7A95E" w14:textId="77777777" w:rsidR="00C22F23" w:rsidRPr="00C22F23" w:rsidRDefault="00C22F23" w:rsidP="00B806E1">
            <w:pPr>
              <w:ind w:left="109"/>
            </w:pPr>
            <w:r w:rsidRPr="00C22F23">
              <w:t>Projekta izpildes ietekme uz pārvaldes funkcijām un institucionālo struktūru.</w:t>
            </w:r>
            <w:r w:rsidRPr="00C22F23">
              <w:br/>
              <w:t>Jaunu institūciju izveide, esošu institūciju likvidācija vai reorganizācija, to ietekme uz institūcijas cilvēkresursiem</w:t>
            </w:r>
          </w:p>
        </w:tc>
        <w:tc>
          <w:tcPr>
            <w:tcW w:w="6861" w:type="dxa"/>
          </w:tcPr>
          <w:p w14:paraId="3A593C1D" w14:textId="16FF923C" w:rsidR="00C22F23" w:rsidRDefault="00D47F6F" w:rsidP="00D47F6F">
            <w:pPr>
              <w:ind w:left="128" w:right="142"/>
              <w:jc w:val="both"/>
            </w:pPr>
            <w:r>
              <w:t xml:space="preserve">Rīkojuma projekts </w:t>
            </w:r>
            <w:r w:rsidR="00E4473B" w:rsidRPr="00E4473B">
              <w:t>šo jomu neskar</w:t>
            </w:r>
          </w:p>
        </w:tc>
      </w:tr>
      <w:tr w:rsidR="00C22F23" w:rsidRPr="00B24229" w14:paraId="18D0AA4B" w14:textId="77777777" w:rsidTr="00C22F23">
        <w:trPr>
          <w:trHeight w:val="265"/>
        </w:trPr>
        <w:tc>
          <w:tcPr>
            <w:tcW w:w="684" w:type="dxa"/>
          </w:tcPr>
          <w:p w14:paraId="7028BCD1" w14:textId="77777777" w:rsidR="00C22F23" w:rsidRPr="00B24229" w:rsidRDefault="00C22F23" w:rsidP="00C22F23">
            <w:pPr>
              <w:pStyle w:val="naiskr"/>
              <w:spacing w:before="0" w:after="0"/>
              <w:jc w:val="center"/>
            </w:pPr>
            <w:r>
              <w:t>3.</w:t>
            </w:r>
          </w:p>
        </w:tc>
        <w:tc>
          <w:tcPr>
            <w:tcW w:w="2515" w:type="dxa"/>
          </w:tcPr>
          <w:p w14:paraId="65E08939" w14:textId="77777777" w:rsidR="00C22F23" w:rsidRPr="00C22F23" w:rsidRDefault="00C22F23" w:rsidP="00B806E1">
            <w:pPr>
              <w:ind w:left="109"/>
            </w:pPr>
            <w:r w:rsidRPr="00C22F23">
              <w:t>Cita informācija</w:t>
            </w:r>
          </w:p>
        </w:tc>
        <w:tc>
          <w:tcPr>
            <w:tcW w:w="6861" w:type="dxa"/>
          </w:tcPr>
          <w:p w14:paraId="71FD2DBD" w14:textId="77777777" w:rsidR="00C22F23" w:rsidRDefault="00E4473B" w:rsidP="00B806E1">
            <w:pPr>
              <w:ind w:left="128" w:right="142"/>
              <w:jc w:val="both"/>
            </w:pPr>
            <w:r>
              <w:t>Nav</w:t>
            </w:r>
          </w:p>
        </w:tc>
      </w:tr>
    </w:tbl>
    <w:p w14:paraId="72F67E70" w14:textId="77777777" w:rsidR="00E4473B" w:rsidRDefault="00E4473B"/>
    <w:p w14:paraId="595F8967" w14:textId="77777777" w:rsidR="001F6217" w:rsidRDefault="001F6217" w:rsidP="001F6217"/>
    <w:p w14:paraId="319AFE86" w14:textId="77777777" w:rsidR="001F6217" w:rsidRDefault="001F6217" w:rsidP="001F6217">
      <w:bookmarkStart w:id="3" w:name="_GoBack"/>
      <w:bookmarkEnd w:id="3"/>
      <w:r>
        <w:t>Pielikumā: Detalizēts stipendiju</w:t>
      </w:r>
      <w:r w:rsidRPr="00AA4507">
        <w:t xml:space="preserve"> </w:t>
      </w:r>
      <w:r>
        <w:t>aprēķins (</w:t>
      </w:r>
      <w:r>
        <w:rPr>
          <w:i/>
        </w:rPr>
        <w:t xml:space="preserve">Excel </w:t>
      </w:r>
      <w:r>
        <w:t>datne)</w:t>
      </w:r>
    </w:p>
    <w:p w14:paraId="44107E0C" w14:textId="77777777" w:rsidR="00236BB1" w:rsidRDefault="00236BB1"/>
    <w:p w14:paraId="22232FE0" w14:textId="77777777" w:rsidR="001F6217" w:rsidRDefault="001F6217"/>
    <w:p w14:paraId="3AF06C02" w14:textId="77777777" w:rsidR="001F6217" w:rsidRDefault="001F6217"/>
    <w:p w14:paraId="346C5514" w14:textId="77777777" w:rsidR="001F6217" w:rsidRDefault="001F6217"/>
    <w:p w14:paraId="3B08BDA0" w14:textId="77777777" w:rsidR="001F6217" w:rsidRDefault="001F6217"/>
    <w:p w14:paraId="2685BB82" w14:textId="77777777" w:rsidR="00FB36B1" w:rsidRPr="005705F9" w:rsidRDefault="00FB36B1"/>
    <w:p w14:paraId="755D7EC7" w14:textId="5FD88931" w:rsidR="00617D7A" w:rsidRPr="005705F9" w:rsidRDefault="00481F9B" w:rsidP="00C7220E">
      <w:pPr>
        <w:pStyle w:val="BodyText2"/>
        <w:spacing w:after="0" w:line="240" w:lineRule="auto"/>
        <w:ind w:firstLine="720"/>
        <w:jc w:val="both"/>
      </w:pPr>
      <w:r w:rsidRPr="005705F9">
        <w:t>I</w:t>
      </w:r>
      <w:r w:rsidR="008F245F" w:rsidRPr="005705F9">
        <w:t xml:space="preserve">zglītības un zinātnes </w:t>
      </w:r>
      <w:r w:rsidR="009A6BFC">
        <w:t>ministre</w:t>
      </w:r>
      <w:r w:rsidRPr="005705F9">
        <w:tab/>
      </w:r>
      <w:r w:rsidRPr="005705F9">
        <w:tab/>
      </w:r>
      <w:r w:rsidRPr="005705F9">
        <w:tab/>
      </w:r>
      <w:r w:rsidRPr="005705F9">
        <w:tab/>
      </w:r>
      <w:r w:rsidR="008C2D86">
        <w:t>Ilga Šuplinska</w:t>
      </w:r>
    </w:p>
    <w:p w14:paraId="1ED58E4F" w14:textId="77777777" w:rsidR="00585B7B" w:rsidRDefault="00585B7B" w:rsidP="00D96FCD"/>
    <w:p w14:paraId="73773933" w14:textId="77777777" w:rsidR="00FB36B1" w:rsidRDefault="00FB36B1" w:rsidP="00D96FCD"/>
    <w:p w14:paraId="3FDA449A" w14:textId="77777777" w:rsidR="00FB36B1" w:rsidRDefault="00FB36B1" w:rsidP="00D96FCD"/>
    <w:p w14:paraId="33869127" w14:textId="77777777" w:rsidR="00FB36B1" w:rsidRDefault="00FB36B1" w:rsidP="00D96FCD"/>
    <w:p w14:paraId="4C7B4A67" w14:textId="77777777" w:rsidR="00FB36B1" w:rsidRDefault="00FB36B1" w:rsidP="00D96FCD"/>
    <w:p w14:paraId="30E224F7" w14:textId="77777777" w:rsidR="00FB36B1" w:rsidRDefault="00FB36B1" w:rsidP="00D96FCD"/>
    <w:p w14:paraId="6EB0DF82" w14:textId="77777777" w:rsidR="00FB36B1" w:rsidRDefault="00FB36B1" w:rsidP="00D96FCD"/>
    <w:p w14:paraId="127B7EE2" w14:textId="77777777" w:rsidR="00FB36B1" w:rsidRDefault="00FB36B1" w:rsidP="00D96FCD"/>
    <w:p w14:paraId="26BF52EF" w14:textId="77777777" w:rsidR="00FB36B1" w:rsidRDefault="00FB36B1" w:rsidP="00D96FCD"/>
    <w:p w14:paraId="14DD6275" w14:textId="77777777" w:rsidR="00FB36B1" w:rsidRPr="005705F9" w:rsidRDefault="00FB36B1" w:rsidP="00D96FCD"/>
    <w:p w14:paraId="24A98FAB" w14:textId="1E159865" w:rsidR="009A6BFC" w:rsidRPr="003353F3" w:rsidRDefault="003353F3" w:rsidP="009A6BFC">
      <w:pPr>
        <w:tabs>
          <w:tab w:val="left" w:pos="2450"/>
        </w:tabs>
        <w:ind w:left="720"/>
        <w:rPr>
          <w:sz w:val="20"/>
          <w:szCs w:val="20"/>
        </w:rPr>
      </w:pPr>
      <w:r w:rsidRPr="003353F3">
        <w:rPr>
          <w:sz w:val="20"/>
          <w:szCs w:val="20"/>
        </w:rPr>
        <w:t>Laudere 67047895</w:t>
      </w:r>
    </w:p>
    <w:p w14:paraId="17F96BFD" w14:textId="1330BEF8" w:rsidR="009A6BFC" w:rsidRPr="009A6BFC" w:rsidRDefault="003353F3" w:rsidP="009A6BFC">
      <w:pPr>
        <w:tabs>
          <w:tab w:val="left" w:pos="2450"/>
        </w:tabs>
        <w:ind w:left="720"/>
        <w:rPr>
          <w:sz w:val="20"/>
          <w:szCs w:val="20"/>
        </w:rPr>
      </w:pPr>
      <w:r w:rsidRPr="003353F3">
        <w:rPr>
          <w:sz w:val="20"/>
          <w:szCs w:val="20"/>
        </w:rPr>
        <w:t>marika.laudere</w:t>
      </w:r>
      <w:r w:rsidR="009A6BFC" w:rsidRPr="003353F3">
        <w:rPr>
          <w:sz w:val="20"/>
          <w:szCs w:val="20"/>
        </w:rPr>
        <w:t>@izm.gov.lv</w:t>
      </w:r>
    </w:p>
    <w:sectPr w:rsidR="009A6BFC" w:rsidRPr="009A6BFC" w:rsidSect="00C21D70">
      <w:headerReference w:type="default" r:id="rId12"/>
      <w:footerReference w:type="default" r:id="rId13"/>
      <w:footerReference w:type="first" r:id="rId14"/>
      <w:pgSz w:w="11906" w:h="16838" w:code="9"/>
      <w:pgMar w:top="851" w:right="1134" w:bottom="851" w:left="1701" w:header="426"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BFD1E" w14:textId="77777777" w:rsidR="00D56C54" w:rsidRDefault="00D56C54" w:rsidP="00123E9B">
      <w:r>
        <w:separator/>
      </w:r>
    </w:p>
  </w:endnote>
  <w:endnote w:type="continuationSeparator" w:id="0">
    <w:p w14:paraId="4BB79D10" w14:textId="77777777" w:rsidR="00D56C54" w:rsidRDefault="00D56C54"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1416C" w14:textId="6FC08D33" w:rsidR="003A72D9" w:rsidRPr="00EE4716" w:rsidRDefault="00EE4716" w:rsidP="00EE4716">
    <w:pPr>
      <w:ind w:left="-567" w:right="-568"/>
      <w:jc w:val="both"/>
      <w:rPr>
        <w:sz w:val="22"/>
        <w:szCs w:val="22"/>
      </w:rPr>
    </w:pPr>
    <w:r>
      <w:rPr>
        <w:sz w:val="22"/>
        <w:szCs w:val="22"/>
      </w:rPr>
      <w:t>IZMAnot_12082020_LNG_studentu stipendijas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F2C7A" w14:textId="3F2ECAFA" w:rsidR="003A72D9" w:rsidRPr="00692F8F" w:rsidRDefault="003A72D9" w:rsidP="00692F8F">
    <w:pPr>
      <w:ind w:left="-567" w:right="-568"/>
      <w:jc w:val="both"/>
      <w:rPr>
        <w:sz w:val="22"/>
        <w:szCs w:val="22"/>
      </w:rPr>
    </w:pPr>
    <w:r>
      <w:rPr>
        <w:sz w:val="22"/>
        <w:szCs w:val="22"/>
      </w:rPr>
      <w:t>IZMAnot_</w:t>
    </w:r>
    <w:r w:rsidR="00EE4716">
      <w:rPr>
        <w:sz w:val="22"/>
        <w:szCs w:val="22"/>
      </w:rPr>
      <w:t>12082020</w:t>
    </w:r>
    <w:r>
      <w:rPr>
        <w:sz w:val="22"/>
        <w:szCs w:val="22"/>
      </w:rPr>
      <w:t>_</w:t>
    </w:r>
    <w:r w:rsidR="002F799F">
      <w:rPr>
        <w:sz w:val="22"/>
        <w:szCs w:val="22"/>
      </w:rPr>
      <w:t>LNG_</w:t>
    </w:r>
    <w:r w:rsidR="00EE4716">
      <w:rPr>
        <w:sz w:val="22"/>
        <w:szCs w:val="22"/>
      </w:rPr>
      <w:t>studentu stipendijas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9862B" w14:textId="77777777" w:rsidR="00D56C54" w:rsidRDefault="00D56C54" w:rsidP="00123E9B">
      <w:r>
        <w:separator/>
      </w:r>
    </w:p>
  </w:footnote>
  <w:footnote w:type="continuationSeparator" w:id="0">
    <w:p w14:paraId="7D8B2732" w14:textId="77777777" w:rsidR="00D56C54" w:rsidRDefault="00D56C54" w:rsidP="0012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9D678" w14:textId="01598D25" w:rsidR="003A72D9" w:rsidRDefault="003A72D9">
    <w:pPr>
      <w:pStyle w:val="Header"/>
      <w:jc w:val="center"/>
    </w:pPr>
    <w:r>
      <w:fldChar w:fldCharType="begin"/>
    </w:r>
    <w:r>
      <w:instrText xml:space="preserve"> PAGE   \* MERGEFORMAT </w:instrText>
    </w:r>
    <w:r>
      <w:fldChar w:fldCharType="separate"/>
    </w:r>
    <w:r w:rsidR="001F6217">
      <w:rPr>
        <w:noProof/>
      </w:rPr>
      <w:t>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1B52"/>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 w15:restartNumberingAfterBreak="0">
    <w:nsid w:val="03145087"/>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 w15:restartNumberingAfterBreak="0">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 w15:restartNumberingAfterBreak="0">
    <w:nsid w:val="0E935C39"/>
    <w:multiLevelType w:val="multilevel"/>
    <w:tmpl w:val="440257D4"/>
    <w:lvl w:ilvl="0">
      <w:start w:val="1"/>
      <w:numFmt w:val="decimal"/>
      <w:lvlText w:val="%1."/>
      <w:lvlJc w:val="left"/>
      <w:pPr>
        <w:ind w:left="492"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47" w:hanging="1440"/>
      </w:pPr>
      <w:rPr>
        <w:rFonts w:hint="default"/>
      </w:rPr>
    </w:lvl>
    <w:lvl w:ilvl="8">
      <w:start w:val="1"/>
      <w:numFmt w:val="decimal"/>
      <w:isLgl/>
      <w:lvlText w:val="%1.%2.%3.%4.%5.%6.%7.%8.%9."/>
      <w:lvlJc w:val="left"/>
      <w:pPr>
        <w:ind w:left="5332" w:hanging="1800"/>
      </w:pPr>
      <w:rPr>
        <w:rFonts w:hint="default"/>
      </w:rPr>
    </w:lvl>
  </w:abstractNum>
  <w:abstractNum w:abstractNumId="4" w15:restartNumberingAfterBreak="0">
    <w:nsid w:val="0F7E0CD5"/>
    <w:multiLevelType w:val="hybridMultilevel"/>
    <w:tmpl w:val="5FAE15B2"/>
    <w:lvl w:ilvl="0" w:tplc="8FDC8784">
      <w:start w:val="3"/>
      <w:numFmt w:val="decimal"/>
      <w:lvlText w:val="%1)"/>
      <w:lvlJc w:val="left"/>
      <w:pPr>
        <w:ind w:left="917" w:hanging="360"/>
      </w:pPr>
      <w:rPr>
        <w:rFonts w:hint="default"/>
      </w:rPr>
    </w:lvl>
    <w:lvl w:ilvl="1" w:tplc="04260019" w:tentative="1">
      <w:start w:val="1"/>
      <w:numFmt w:val="lowerLetter"/>
      <w:lvlText w:val="%2."/>
      <w:lvlJc w:val="left"/>
      <w:pPr>
        <w:ind w:left="1637" w:hanging="360"/>
      </w:pPr>
    </w:lvl>
    <w:lvl w:ilvl="2" w:tplc="0426001B" w:tentative="1">
      <w:start w:val="1"/>
      <w:numFmt w:val="lowerRoman"/>
      <w:lvlText w:val="%3."/>
      <w:lvlJc w:val="right"/>
      <w:pPr>
        <w:ind w:left="2357" w:hanging="180"/>
      </w:pPr>
    </w:lvl>
    <w:lvl w:ilvl="3" w:tplc="0426000F" w:tentative="1">
      <w:start w:val="1"/>
      <w:numFmt w:val="decimal"/>
      <w:lvlText w:val="%4."/>
      <w:lvlJc w:val="left"/>
      <w:pPr>
        <w:ind w:left="3077" w:hanging="360"/>
      </w:pPr>
    </w:lvl>
    <w:lvl w:ilvl="4" w:tplc="04260019" w:tentative="1">
      <w:start w:val="1"/>
      <w:numFmt w:val="lowerLetter"/>
      <w:lvlText w:val="%5."/>
      <w:lvlJc w:val="left"/>
      <w:pPr>
        <w:ind w:left="3797" w:hanging="360"/>
      </w:pPr>
    </w:lvl>
    <w:lvl w:ilvl="5" w:tplc="0426001B" w:tentative="1">
      <w:start w:val="1"/>
      <w:numFmt w:val="lowerRoman"/>
      <w:lvlText w:val="%6."/>
      <w:lvlJc w:val="right"/>
      <w:pPr>
        <w:ind w:left="4517" w:hanging="180"/>
      </w:pPr>
    </w:lvl>
    <w:lvl w:ilvl="6" w:tplc="0426000F" w:tentative="1">
      <w:start w:val="1"/>
      <w:numFmt w:val="decimal"/>
      <w:lvlText w:val="%7."/>
      <w:lvlJc w:val="left"/>
      <w:pPr>
        <w:ind w:left="5237" w:hanging="360"/>
      </w:pPr>
    </w:lvl>
    <w:lvl w:ilvl="7" w:tplc="04260019" w:tentative="1">
      <w:start w:val="1"/>
      <w:numFmt w:val="lowerLetter"/>
      <w:lvlText w:val="%8."/>
      <w:lvlJc w:val="left"/>
      <w:pPr>
        <w:ind w:left="5957" w:hanging="360"/>
      </w:pPr>
    </w:lvl>
    <w:lvl w:ilvl="8" w:tplc="0426001B" w:tentative="1">
      <w:start w:val="1"/>
      <w:numFmt w:val="lowerRoman"/>
      <w:lvlText w:val="%9."/>
      <w:lvlJc w:val="right"/>
      <w:pPr>
        <w:ind w:left="6677" w:hanging="180"/>
      </w:pPr>
    </w:lvl>
  </w:abstractNum>
  <w:abstractNum w:abstractNumId="5" w15:restartNumberingAfterBreak="0">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6" w15:restartNumberingAfterBreak="0">
    <w:nsid w:val="1CD963F8"/>
    <w:multiLevelType w:val="hybridMultilevel"/>
    <w:tmpl w:val="1B087BC8"/>
    <w:lvl w:ilvl="0" w:tplc="84B8271E">
      <w:start w:val="1"/>
      <w:numFmt w:val="decimal"/>
      <w:lvlText w:val="(%1)"/>
      <w:lvlJc w:val="left"/>
      <w:pPr>
        <w:ind w:left="501" w:hanging="360"/>
      </w:pPr>
      <w:rPr>
        <w:rFonts w:hint="default"/>
      </w:rPr>
    </w:lvl>
    <w:lvl w:ilvl="1" w:tplc="04260019">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7" w15:restartNumberingAfterBreak="0">
    <w:nsid w:val="1F35791F"/>
    <w:multiLevelType w:val="hybridMultilevel"/>
    <w:tmpl w:val="45621EBA"/>
    <w:lvl w:ilvl="0" w:tplc="F7DAF35A">
      <w:start w:val="1"/>
      <w:numFmt w:val="decimal"/>
      <w:lvlText w:val="(%1)"/>
      <w:lvlJc w:val="left"/>
      <w:pPr>
        <w:ind w:left="1203" w:hanging="495"/>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8" w15:restartNumberingAfterBreak="0">
    <w:nsid w:val="21BE2BC9"/>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9" w15:restartNumberingAfterBreak="0">
    <w:nsid w:val="22265682"/>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0" w15:restartNumberingAfterBreak="0">
    <w:nsid w:val="228920EE"/>
    <w:multiLevelType w:val="hybridMultilevel"/>
    <w:tmpl w:val="513CE904"/>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8C831F2"/>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2" w15:restartNumberingAfterBreak="0">
    <w:nsid w:val="2BE36FBA"/>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3" w15:restartNumberingAfterBreak="0">
    <w:nsid w:val="2D037E8F"/>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4" w15:restartNumberingAfterBreak="0">
    <w:nsid w:val="2F0876BC"/>
    <w:multiLevelType w:val="multilevel"/>
    <w:tmpl w:val="AACCD900"/>
    <w:lvl w:ilvl="0">
      <w:start w:val="1"/>
      <w:numFmt w:val="decimal"/>
      <w:lvlText w:val="%1."/>
      <w:lvlJc w:val="left"/>
      <w:pPr>
        <w:ind w:left="648" w:hanging="648"/>
      </w:pPr>
      <w:rPr>
        <w:rFonts w:hint="default"/>
      </w:rPr>
    </w:lvl>
    <w:lvl w:ilvl="1">
      <w:start w:val="1"/>
      <w:numFmt w:val="decimal"/>
      <w:lvlText w:val="%1.%2."/>
      <w:lvlJc w:val="left"/>
      <w:pPr>
        <w:ind w:left="1260" w:hanging="720"/>
      </w:pPr>
      <w:rPr>
        <w:rFonts w:hint="default"/>
      </w:rPr>
    </w:lvl>
    <w:lvl w:ilvl="2">
      <w:start w:val="8"/>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5" w15:restartNumberingAfterBreak="0">
    <w:nsid w:val="31A8300A"/>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6" w15:restartNumberingAfterBreak="0">
    <w:nsid w:val="325A57BF"/>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7" w15:restartNumberingAfterBreak="0">
    <w:nsid w:val="35E314FB"/>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8" w15:restartNumberingAfterBreak="0">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19" w15:restartNumberingAfterBreak="0">
    <w:nsid w:val="385F40B3"/>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0" w15:restartNumberingAfterBreak="0">
    <w:nsid w:val="3A3F3DC5"/>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1" w15:restartNumberingAfterBreak="0">
    <w:nsid w:val="400E2A16"/>
    <w:multiLevelType w:val="hybridMultilevel"/>
    <w:tmpl w:val="A66C0F58"/>
    <w:lvl w:ilvl="0" w:tplc="8390B6F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2" w15:restartNumberingAfterBreak="0">
    <w:nsid w:val="47E736D9"/>
    <w:multiLevelType w:val="hybridMultilevel"/>
    <w:tmpl w:val="FE48DC42"/>
    <w:lvl w:ilvl="0" w:tplc="042682C4">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3" w15:restartNumberingAfterBreak="0">
    <w:nsid w:val="48F07246"/>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4" w15:restartNumberingAfterBreak="0">
    <w:nsid w:val="4CEF2DCE"/>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5" w15:restartNumberingAfterBreak="0">
    <w:nsid w:val="4D7F387E"/>
    <w:multiLevelType w:val="hybridMultilevel"/>
    <w:tmpl w:val="43D6CD8A"/>
    <w:lvl w:ilvl="0" w:tplc="99A4ACE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E2B0D24"/>
    <w:multiLevelType w:val="hybridMultilevel"/>
    <w:tmpl w:val="9AC4DFDE"/>
    <w:lvl w:ilvl="0" w:tplc="51966E7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7" w15:restartNumberingAfterBreak="0">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28" w15:restartNumberingAfterBreak="0">
    <w:nsid w:val="53A116B9"/>
    <w:multiLevelType w:val="hybridMultilevel"/>
    <w:tmpl w:val="2CA6392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9" w15:restartNumberingAfterBreak="0">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30" w15:restartNumberingAfterBreak="0">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31" w15:restartNumberingAfterBreak="0">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D763B06"/>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3" w15:restartNumberingAfterBreak="0">
    <w:nsid w:val="637B2ED9"/>
    <w:multiLevelType w:val="hybridMultilevel"/>
    <w:tmpl w:val="37400B38"/>
    <w:lvl w:ilvl="0" w:tplc="10A85E76">
      <w:start w:val="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4" w15:restartNumberingAfterBreak="0">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35" w15:restartNumberingAfterBreak="0">
    <w:nsid w:val="6A7B39BB"/>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6" w15:restartNumberingAfterBreak="0">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19E0294"/>
    <w:multiLevelType w:val="hybridMultilevel"/>
    <w:tmpl w:val="1A0457BC"/>
    <w:lvl w:ilvl="0" w:tplc="784434CE">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38" w15:restartNumberingAfterBreak="0">
    <w:nsid w:val="71DA1A9C"/>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9" w15:restartNumberingAfterBreak="0">
    <w:nsid w:val="75DA7C1A"/>
    <w:multiLevelType w:val="multilevel"/>
    <w:tmpl w:val="6EF05BD6"/>
    <w:lvl w:ilvl="0">
      <w:start w:val="1"/>
      <w:numFmt w:val="decimal"/>
      <w:lvlText w:val="%1."/>
      <w:lvlJc w:val="left"/>
      <w:pPr>
        <w:ind w:left="648" w:hanging="648"/>
      </w:pPr>
      <w:rPr>
        <w:rFonts w:hint="default"/>
      </w:rPr>
    </w:lvl>
    <w:lvl w:ilvl="1">
      <w:start w:val="1"/>
      <w:numFmt w:val="decimal"/>
      <w:lvlText w:val="%1.%2."/>
      <w:lvlJc w:val="left"/>
      <w:pPr>
        <w:ind w:left="1260" w:hanging="72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0" w15:restartNumberingAfterBreak="0">
    <w:nsid w:val="7617288C"/>
    <w:multiLevelType w:val="hybridMultilevel"/>
    <w:tmpl w:val="91EA5958"/>
    <w:lvl w:ilvl="0" w:tplc="79C873E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2" w15:restartNumberingAfterBreak="0">
    <w:nsid w:val="7A3A6543"/>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18"/>
  </w:num>
  <w:num w:numId="2">
    <w:abstractNumId w:val="31"/>
  </w:num>
  <w:num w:numId="3">
    <w:abstractNumId w:val="30"/>
  </w:num>
  <w:num w:numId="4">
    <w:abstractNumId w:val="36"/>
  </w:num>
  <w:num w:numId="5">
    <w:abstractNumId w:val="27"/>
  </w:num>
  <w:num w:numId="6">
    <w:abstractNumId w:val="29"/>
  </w:num>
  <w:num w:numId="7">
    <w:abstractNumId w:val="5"/>
  </w:num>
  <w:num w:numId="8">
    <w:abstractNumId w:val="2"/>
  </w:num>
  <w:num w:numId="9">
    <w:abstractNumId w:val="17"/>
  </w:num>
  <w:num w:numId="10">
    <w:abstractNumId w:val="41"/>
  </w:num>
  <w:num w:numId="11">
    <w:abstractNumId w:val="34"/>
  </w:num>
  <w:num w:numId="12">
    <w:abstractNumId w:val="10"/>
  </w:num>
  <w:num w:numId="13">
    <w:abstractNumId w:val="3"/>
  </w:num>
  <w:num w:numId="14">
    <w:abstractNumId w:val="4"/>
  </w:num>
  <w:num w:numId="15">
    <w:abstractNumId w:val="33"/>
  </w:num>
  <w:num w:numId="16">
    <w:abstractNumId w:val="42"/>
  </w:num>
  <w:num w:numId="17">
    <w:abstractNumId w:val="20"/>
  </w:num>
  <w:num w:numId="18">
    <w:abstractNumId w:val="21"/>
  </w:num>
  <w:num w:numId="19">
    <w:abstractNumId w:val="19"/>
  </w:num>
  <w:num w:numId="20">
    <w:abstractNumId w:val="11"/>
  </w:num>
  <w:num w:numId="21">
    <w:abstractNumId w:val="24"/>
  </w:num>
  <w:num w:numId="22">
    <w:abstractNumId w:val="37"/>
  </w:num>
  <w:num w:numId="23">
    <w:abstractNumId w:val="23"/>
  </w:num>
  <w:num w:numId="24">
    <w:abstractNumId w:val="0"/>
  </w:num>
  <w:num w:numId="25">
    <w:abstractNumId w:val="26"/>
  </w:num>
  <w:num w:numId="26">
    <w:abstractNumId w:val="15"/>
  </w:num>
  <w:num w:numId="27">
    <w:abstractNumId w:val="32"/>
  </w:num>
  <w:num w:numId="28">
    <w:abstractNumId w:val="22"/>
  </w:num>
  <w:num w:numId="29">
    <w:abstractNumId w:val="9"/>
  </w:num>
  <w:num w:numId="30">
    <w:abstractNumId w:val="35"/>
  </w:num>
  <w:num w:numId="31">
    <w:abstractNumId w:val="8"/>
  </w:num>
  <w:num w:numId="32">
    <w:abstractNumId w:val="13"/>
  </w:num>
  <w:num w:numId="33">
    <w:abstractNumId w:val="28"/>
  </w:num>
  <w:num w:numId="34">
    <w:abstractNumId w:val="6"/>
  </w:num>
  <w:num w:numId="35">
    <w:abstractNumId w:val="38"/>
  </w:num>
  <w:num w:numId="36">
    <w:abstractNumId w:val="12"/>
  </w:num>
  <w:num w:numId="37">
    <w:abstractNumId w:val="40"/>
  </w:num>
  <w:num w:numId="38">
    <w:abstractNumId w:val="25"/>
  </w:num>
  <w:num w:numId="39">
    <w:abstractNumId w:val="1"/>
  </w:num>
  <w:num w:numId="40">
    <w:abstractNumId w:val="39"/>
  </w:num>
  <w:num w:numId="41">
    <w:abstractNumId w:val="14"/>
  </w:num>
  <w:num w:numId="42">
    <w:abstractNumId w:val="7"/>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1B33"/>
    <w:rsid w:val="00002604"/>
    <w:rsid w:val="00002DDF"/>
    <w:rsid w:val="00004CD6"/>
    <w:rsid w:val="0000524B"/>
    <w:rsid w:val="00005A9D"/>
    <w:rsid w:val="00006D42"/>
    <w:rsid w:val="00010140"/>
    <w:rsid w:val="00010298"/>
    <w:rsid w:val="000103AD"/>
    <w:rsid w:val="00010590"/>
    <w:rsid w:val="000120DA"/>
    <w:rsid w:val="00012EAE"/>
    <w:rsid w:val="00013BAA"/>
    <w:rsid w:val="00014BD0"/>
    <w:rsid w:val="00020664"/>
    <w:rsid w:val="000216EC"/>
    <w:rsid w:val="0002179F"/>
    <w:rsid w:val="000219F0"/>
    <w:rsid w:val="00024A0F"/>
    <w:rsid w:val="000251DA"/>
    <w:rsid w:val="00027332"/>
    <w:rsid w:val="00027346"/>
    <w:rsid w:val="0003044F"/>
    <w:rsid w:val="00032A0F"/>
    <w:rsid w:val="00033013"/>
    <w:rsid w:val="0003466E"/>
    <w:rsid w:val="000347B3"/>
    <w:rsid w:val="00034AA4"/>
    <w:rsid w:val="000355FE"/>
    <w:rsid w:val="0003571A"/>
    <w:rsid w:val="000357AB"/>
    <w:rsid w:val="0003640B"/>
    <w:rsid w:val="00036977"/>
    <w:rsid w:val="000372DF"/>
    <w:rsid w:val="00037421"/>
    <w:rsid w:val="000374BE"/>
    <w:rsid w:val="00037B73"/>
    <w:rsid w:val="000401D9"/>
    <w:rsid w:val="00040D4E"/>
    <w:rsid w:val="00041D14"/>
    <w:rsid w:val="00041F61"/>
    <w:rsid w:val="000423AB"/>
    <w:rsid w:val="0004297E"/>
    <w:rsid w:val="000440A0"/>
    <w:rsid w:val="00044325"/>
    <w:rsid w:val="00044C6E"/>
    <w:rsid w:val="000454C3"/>
    <w:rsid w:val="000463EE"/>
    <w:rsid w:val="00046CDE"/>
    <w:rsid w:val="00047FE8"/>
    <w:rsid w:val="000505C1"/>
    <w:rsid w:val="000514AC"/>
    <w:rsid w:val="0005209B"/>
    <w:rsid w:val="000541F8"/>
    <w:rsid w:val="00054553"/>
    <w:rsid w:val="00054B65"/>
    <w:rsid w:val="00054FEE"/>
    <w:rsid w:val="00055224"/>
    <w:rsid w:val="00055608"/>
    <w:rsid w:val="00055F70"/>
    <w:rsid w:val="000566D5"/>
    <w:rsid w:val="00056E02"/>
    <w:rsid w:val="000577FD"/>
    <w:rsid w:val="00060F57"/>
    <w:rsid w:val="000622F7"/>
    <w:rsid w:val="00063019"/>
    <w:rsid w:val="00064F20"/>
    <w:rsid w:val="0006651A"/>
    <w:rsid w:val="00066658"/>
    <w:rsid w:val="00066BCF"/>
    <w:rsid w:val="000673CA"/>
    <w:rsid w:val="00070F02"/>
    <w:rsid w:val="00071C49"/>
    <w:rsid w:val="00072966"/>
    <w:rsid w:val="00072B98"/>
    <w:rsid w:val="00072F6C"/>
    <w:rsid w:val="000730C8"/>
    <w:rsid w:val="00073118"/>
    <w:rsid w:val="000732D1"/>
    <w:rsid w:val="00074405"/>
    <w:rsid w:val="00074903"/>
    <w:rsid w:val="00074B8C"/>
    <w:rsid w:val="00074BDD"/>
    <w:rsid w:val="00076F56"/>
    <w:rsid w:val="000777A0"/>
    <w:rsid w:val="000777F6"/>
    <w:rsid w:val="00077E21"/>
    <w:rsid w:val="00080116"/>
    <w:rsid w:val="00080C25"/>
    <w:rsid w:val="00080CC1"/>
    <w:rsid w:val="00081477"/>
    <w:rsid w:val="00081CEB"/>
    <w:rsid w:val="00082C6B"/>
    <w:rsid w:val="00082FC2"/>
    <w:rsid w:val="00083F19"/>
    <w:rsid w:val="000849C2"/>
    <w:rsid w:val="00084C38"/>
    <w:rsid w:val="0008599C"/>
    <w:rsid w:val="00085B5E"/>
    <w:rsid w:val="0008616C"/>
    <w:rsid w:val="0009012B"/>
    <w:rsid w:val="00090BFF"/>
    <w:rsid w:val="000912B2"/>
    <w:rsid w:val="0009162F"/>
    <w:rsid w:val="00091E26"/>
    <w:rsid w:val="000934D5"/>
    <w:rsid w:val="00093AA7"/>
    <w:rsid w:val="00094F13"/>
    <w:rsid w:val="00095EBB"/>
    <w:rsid w:val="000962FC"/>
    <w:rsid w:val="00097B46"/>
    <w:rsid w:val="000A0C0F"/>
    <w:rsid w:val="000A152C"/>
    <w:rsid w:val="000A1E9A"/>
    <w:rsid w:val="000A208E"/>
    <w:rsid w:val="000A2237"/>
    <w:rsid w:val="000A4403"/>
    <w:rsid w:val="000A671B"/>
    <w:rsid w:val="000B0834"/>
    <w:rsid w:val="000B0DC4"/>
    <w:rsid w:val="000B1367"/>
    <w:rsid w:val="000B3147"/>
    <w:rsid w:val="000B32F7"/>
    <w:rsid w:val="000B3B3C"/>
    <w:rsid w:val="000B3EC8"/>
    <w:rsid w:val="000B3FF6"/>
    <w:rsid w:val="000B51C9"/>
    <w:rsid w:val="000B62CA"/>
    <w:rsid w:val="000B7C76"/>
    <w:rsid w:val="000C0ABC"/>
    <w:rsid w:val="000C0BAF"/>
    <w:rsid w:val="000C136C"/>
    <w:rsid w:val="000C147C"/>
    <w:rsid w:val="000C1819"/>
    <w:rsid w:val="000C1B3D"/>
    <w:rsid w:val="000C1D23"/>
    <w:rsid w:val="000C36BE"/>
    <w:rsid w:val="000C42BB"/>
    <w:rsid w:val="000C612B"/>
    <w:rsid w:val="000C63F4"/>
    <w:rsid w:val="000D003C"/>
    <w:rsid w:val="000D00F8"/>
    <w:rsid w:val="000D0D39"/>
    <w:rsid w:val="000D3619"/>
    <w:rsid w:val="000D6486"/>
    <w:rsid w:val="000D6878"/>
    <w:rsid w:val="000D7431"/>
    <w:rsid w:val="000D76D6"/>
    <w:rsid w:val="000E058D"/>
    <w:rsid w:val="000E0815"/>
    <w:rsid w:val="000E2489"/>
    <w:rsid w:val="000E3B94"/>
    <w:rsid w:val="000E4A2A"/>
    <w:rsid w:val="000E4A57"/>
    <w:rsid w:val="000E5FDF"/>
    <w:rsid w:val="000E6027"/>
    <w:rsid w:val="000E6F6D"/>
    <w:rsid w:val="000F0FBE"/>
    <w:rsid w:val="000F1AC0"/>
    <w:rsid w:val="000F1EEC"/>
    <w:rsid w:val="000F3777"/>
    <w:rsid w:val="000F3868"/>
    <w:rsid w:val="000F3894"/>
    <w:rsid w:val="0010198A"/>
    <w:rsid w:val="00101C45"/>
    <w:rsid w:val="00102CE1"/>
    <w:rsid w:val="00103760"/>
    <w:rsid w:val="00103A3D"/>
    <w:rsid w:val="00104643"/>
    <w:rsid w:val="00104AAB"/>
    <w:rsid w:val="00105B4C"/>
    <w:rsid w:val="00106424"/>
    <w:rsid w:val="00110388"/>
    <w:rsid w:val="001106D1"/>
    <w:rsid w:val="00110ED8"/>
    <w:rsid w:val="00111433"/>
    <w:rsid w:val="00111709"/>
    <w:rsid w:val="00111B15"/>
    <w:rsid w:val="00112A2E"/>
    <w:rsid w:val="00112C20"/>
    <w:rsid w:val="00112F2A"/>
    <w:rsid w:val="00113514"/>
    <w:rsid w:val="00113533"/>
    <w:rsid w:val="00114C20"/>
    <w:rsid w:val="00115633"/>
    <w:rsid w:val="00115792"/>
    <w:rsid w:val="00115EB8"/>
    <w:rsid w:val="00116669"/>
    <w:rsid w:val="0011724B"/>
    <w:rsid w:val="00117C7E"/>
    <w:rsid w:val="0012026C"/>
    <w:rsid w:val="00120303"/>
    <w:rsid w:val="0012123A"/>
    <w:rsid w:val="0012127B"/>
    <w:rsid w:val="00121DF2"/>
    <w:rsid w:val="0012249E"/>
    <w:rsid w:val="00122521"/>
    <w:rsid w:val="00123E9B"/>
    <w:rsid w:val="0012448A"/>
    <w:rsid w:val="0012704D"/>
    <w:rsid w:val="0012791B"/>
    <w:rsid w:val="00131850"/>
    <w:rsid w:val="00131A15"/>
    <w:rsid w:val="00132473"/>
    <w:rsid w:val="001326B5"/>
    <w:rsid w:val="00132C2C"/>
    <w:rsid w:val="00132D10"/>
    <w:rsid w:val="001344F5"/>
    <w:rsid w:val="00134A31"/>
    <w:rsid w:val="00134CEC"/>
    <w:rsid w:val="001350A6"/>
    <w:rsid w:val="00135577"/>
    <w:rsid w:val="00136D87"/>
    <w:rsid w:val="001376F8"/>
    <w:rsid w:val="00137B8C"/>
    <w:rsid w:val="00137FAC"/>
    <w:rsid w:val="0014095C"/>
    <w:rsid w:val="001413A9"/>
    <w:rsid w:val="00143747"/>
    <w:rsid w:val="001453A8"/>
    <w:rsid w:val="00147CBF"/>
    <w:rsid w:val="00147D9A"/>
    <w:rsid w:val="00150ACB"/>
    <w:rsid w:val="00150D62"/>
    <w:rsid w:val="0015243B"/>
    <w:rsid w:val="00152C87"/>
    <w:rsid w:val="00154E6C"/>
    <w:rsid w:val="00156760"/>
    <w:rsid w:val="00156E36"/>
    <w:rsid w:val="00157E69"/>
    <w:rsid w:val="00157F12"/>
    <w:rsid w:val="0016104B"/>
    <w:rsid w:val="00161261"/>
    <w:rsid w:val="0016142A"/>
    <w:rsid w:val="00162670"/>
    <w:rsid w:val="00162EB5"/>
    <w:rsid w:val="00163654"/>
    <w:rsid w:val="0016692F"/>
    <w:rsid w:val="00166975"/>
    <w:rsid w:val="00166CBA"/>
    <w:rsid w:val="001673FC"/>
    <w:rsid w:val="00171458"/>
    <w:rsid w:val="001718C9"/>
    <w:rsid w:val="00171B42"/>
    <w:rsid w:val="00172A25"/>
    <w:rsid w:val="0017384A"/>
    <w:rsid w:val="001740F1"/>
    <w:rsid w:val="001742B2"/>
    <w:rsid w:val="00174AEB"/>
    <w:rsid w:val="00175071"/>
    <w:rsid w:val="00177EB6"/>
    <w:rsid w:val="00180E6B"/>
    <w:rsid w:val="00181D00"/>
    <w:rsid w:val="001824F8"/>
    <w:rsid w:val="001828B2"/>
    <w:rsid w:val="0018329D"/>
    <w:rsid w:val="001838EC"/>
    <w:rsid w:val="00183B44"/>
    <w:rsid w:val="00184814"/>
    <w:rsid w:val="00185946"/>
    <w:rsid w:val="00186DF5"/>
    <w:rsid w:val="0018701C"/>
    <w:rsid w:val="001904B3"/>
    <w:rsid w:val="00191B0F"/>
    <w:rsid w:val="0019241B"/>
    <w:rsid w:val="00193178"/>
    <w:rsid w:val="00194724"/>
    <w:rsid w:val="00194A0F"/>
    <w:rsid w:val="001962C3"/>
    <w:rsid w:val="00196ED7"/>
    <w:rsid w:val="001977BE"/>
    <w:rsid w:val="00197B19"/>
    <w:rsid w:val="001A0506"/>
    <w:rsid w:val="001A142F"/>
    <w:rsid w:val="001A290D"/>
    <w:rsid w:val="001A2EC1"/>
    <w:rsid w:val="001A31E1"/>
    <w:rsid w:val="001A3434"/>
    <w:rsid w:val="001A34F0"/>
    <w:rsid w:val="001A351A"/>
    <w:rsid w:val="001A3FE6"/>
    <w:rsid w:val="001A4D52"/>
    <w:rsid w:val="001A51C5"/>
    <w:rsid w:val="001A599A"/>
    <w:rsid w:val="001A6D57"/>
    <w:rsid w:val="001A6E9C"/>
    <w:rsid w:val="001B01E7"/>
    <w:rsid w:val="001B05D5"/>
    <w:rsid w:val="001B1189"/>
    <w:rsid w:val="001B15B5"/>
    <w:rsid w:val="001B2A96"/>
    <w:rsid w:val="001B32BB"/>
    <w:rsid w:val="001B34BA"/>
    <w:rsid w:val="001B3AF3"/>
    <w:rsid w:val="001B548E"/>
    <w:rsid w:val="001B5E6D"/>
    <w:rsid w:val="001B6323"/>
    <w:rsid w:val="001B657F"/>
    <w:rsid w:val="001C00EB"/>
    <w:rsid w:val="001C070F"/>
    <w:rsid w:val="001C0C19"/>
    <w:rsid w:val="001C15CD"/>
    <w:rsid w:val="001C20B9"/>
    <w:rsid w:val="001C2FDE"/>
    <w:rsid w:val="001C403D"/>
    <w:rsid w:val="001C49BD"/>
    <w:rsid w:val="001C4BA3"/>
    <w:rsid w:val="001C4FEF"/>
    <w:rsid w:val="001C5FC4"/>
    <w:rsid w:val="001C606E"/>
    <w:rsid w:val="001C60B1"/>
    <w:rsid w:val="001C62B1"/>
    <w:rsid w:val="001C74A8"/>
    <w:rsid w:val="001C77E5"/>
    <w:rsid w:val="001D03EA"/>
    <w:rsid w:val="001D057C"/>
    <w:rsid w:val="001D0913"/>
    <w:rsid w:val="001D0B33"/>
    <w:rsid w:val="001D0F7F"/>
    <w:rsid w:val="001D17EA"/>
    <w:rsid w:val="001D1F6A"/>
    <w:rsid w:val="001D2466"/>
    <w:rsid w:val="001D2E9F"/>
    <w:rsid w:val="001D3147"/>
    <w:rsid w:val="001D4A15"/>
    <w:rsid w:val="001D789D"/>
    <w:rsid w:val="001D7C74"/>
    <w:rsid w:val="001E0BD2"/>
    <w:rsid w:val="001E2A2D"/>
    <w:rsid w:val="001E3201"/>
    <w:rsid w:val="001E35C4"/>
    <w:rsid w:val="001E59CD"/>
    <w:rsid w:val="001E6812"/>
    <w:rsid w:val="001E6E40"/>
    <w:rsid w:val="001E72D6"/>
    <w:rsid w:val="001F04C7"/>
    <w:rsid w:val="001F0A3C"/>
    <w:rsid w:val="001F23A6"/>
    <w:rsid w:val="001F2B12"/>
    <w:rsid w:val="001F2EBF"/>
    <w:rsid w:val="001F373F"/>
    <w:rsid w:val="001F4E27"/>
    <w:rsid w:val="001F5166"/>
    <w:rsid w:val="001F60F4"/>
    <w:rsid w:val="001F6217"/>
    <w:rsid w:val="001F6B50"/>
    <w:rsid w:val="001F6BF9"/>
    <w:rsid w:val="001F71B0"/>
    <w:rsid w:val="001F7448"/>
    <w:rsid w:val="002005CA"/>
    <w:rsid w:val="0020083C"/>
    <w:rsid w:val="002031BF"/>
    <w:rsid w:val="002040BB"/>
    <w:rsid w:val="002054CB"/>
    <w:rsid w:val="00211337"/>
    <w:rsid w:val="0021163A"/>
    <w:rsid w:val="0021202B"/>
    <w:rsid w:val="00213C24"/>
    <w:rsid w:val="0021426A"/>
    <w:rsid w:val="00214413"/>
    <w:rsid w:val="0021458D"/>
    <w:rsid w:val="00214AE5"/>
    <w:rsid w:val="002160A8"/>
    <w:rsid w:val="002162A3"/>
    <w:rsid w:val="00217F61"/>
    <w:rsid w:val="002223B6"/>
    <w:rsid w:val="00222917"/>
    <w:rsid w:val="002239AB"/>
    <w:rsid w:val="00224E27"/>
    <w:rsid w:val="00224F0F"/>
    <w:rsid w:val="002252D9"/>
    <w:rsid w:val="00225615"/>
    <w:rsid w:val="00225D5E"/>
    <w:rsid w:val="0022719E"/>
    <w:rsid w:val="00227A5E"/>
    <w:rsid w:val="00227D34"/>
    <w:rsid w:val="00227FE8"/>
    <w:rsid w:val="002313B1"/>
    <w:rsid w:val="00231984"/>
    <w:rsid w:val="0023199C"/>
    <w:rsid w:val="00232B87"/>
    <w:rsid w:val="002339F0"/>
    <w:rsid w:val="00233D27"/>
    <w:rsid w:val="00233FDE"/>
    <w:rsid w:val="00235CA0"/>
    <w:rsid w:val="00236BB1"/>
    <w:rsid w:val="00237289"/>
    <w:rsid w:val="00237D13"/>
    <w:rsid w:val="00241061"/>
    <w:rsid w:val="00241396"/>
    <w:rsid w:val="00244807"/>
    <w:rsid w:val="00245D2D"/>
    <w:rsid w:val="00246B67"/>
    <w:rsid w:val="00246FEA"/>
    <w:rsid w:val="0025085A"/>
    <w:rsid w:val="00250A27"/>
    <w:rsid w:val="00250F03"/>
    <w:rsid w:val="002512F8"/>
    <w:rsid w:val="00254447"/>
    <w:rsid w:val="0025457B"/>
    <w:rsid w:val="0025458A"/>
    <w:rsid w:val="0025483E"/>
    <w:rsid w:val="0025500E"/>
    <w:rsid w:val="002553DA"/>
    <w:rsid w:val="00255BAD"/>
    <w:rsid w:val="0025764F"/>
    <w:rsid w:val="00257B3B"/>
    <w:rsid w:val="00260175"/>
    <w:rsid w:val="00263071"/>
    <w:rsid w:val="002637C0"/>
    <w:rsid w:val="002643AF"/>
    <w:rsid w:val="00265934"/>
    <w:rsid w:val="00265F33"/>
    <w:rsid w:val="00266356"/>
    <w:rsid w:val="00267302"/>
    <w:rsid w:val="00270408"/>
    <w:rsid w:val="00270E39"/>
    <w:rsid w:val="00272248"/>
    <w:rsid w:val="00272F12"/>
    <w:rsid w:val="00273D63"/>
    <w:rsid w:val="002744DD"/>
    <w:rsid w:val="00274B5E"/>
    <w:rsid w:val="00274E8A"/>
    <w:rsid w:val="002761F4"/>
    <w:rsid w:val="002819CC"/>
    <w:rsid w:val="00282171"/>
    <w:rsid w:val="00283DB6"/>
    <w:rsid w:val="00284077"/>
    <w:rsid w:val="00287880"/>
    <w:rsid w:val="0028791A"/>
    <w:rsid w:val="00290115"/>
    <w:rsid w:val="002903DB"/>
    <w:rsid w:val="00290940"/>
    <w:rsid w:val="0029164A"/>
    <w:rsid w:val="002918AC"/>
    <w:rsid w:val="00291A48"/>
    <w:rsid w:val="00291AF4"/>
    <w:rsid w:val="002920B7"/>
    <w:rsid w:val="002931C5"/>
    <w:rsid w:val="00294045"/>
    <w:rsid w:val="00295345"/>
    <w:rsid w:val="00295551"/>
    <w:rsid w:val="002975AC"/>
    <w:rsid w:val="002A1E5B"/>
    <w:rsid w:val="002A1FDD"/>
    <w:rsid w:val="002A41DA"/>
    <w:rsid w:val="002A6F37"/>
    <w:rsid w:val="002B03B2"/>
    <w:rsid w:val="002B2EB9"/>
    <w:rsid w:val="002B3051"/>
    <w:rsid w:val="002B4AB5"/>
    <w:rsid w:val="002B4D56"/>
    <w:rsid w:val="002B5C0B"/>
    <w:rsid w:val="002B6351"/>
    <w:rsid w:val="002B673A"/>
    <w:rsid w:val="002B6933"/>
    <w:rsid w:val="002B784B"/>
    <w:rsid w:val="002B7BCB"/>
    <w:rsid w:val="002C06E5"/>
    <w:rsid w:val="002C0946"/>
    <w:rsid w:val="002C117A"/>
    <w:rsid w:val="002C2590"/>
    <w:rsid w:val="002C2C3F"/>
    <w:rsid w:val="002C50CA"/>
    <w:rsid w:val="002C5A1E"/>
    <w:rsid w:val="002C602F"/>
    <w:rsid w:val="002C76A3"/>
    <w:rsid w:val="002C7BBA"/>
    <w:rsid w:val="002C7C2B"/>
    <w:rsid w:val="002D0758"/>
    <w:rsid w:val="002D0A53"/>
    <w:rsid w:val="002D355F"/>
    <w:rsid w:val="002D48A6"/>
    <w:rsid w:val="002D4F98"/>
    <w:rsid w:val="002D50D6"/>
    <w:rsid w:val="002D5B95"/>
    <w:rsid w:val="002D5DA0"/>
    <w:rsid w:val="002D62A9"/>
    <w:rsid w:val="002D67A5"/>
    <w:rsid w:val="002D6D46"/>
    <w:rsid w:val="002D76FE"/>
    <w:rsid w:val="002D77A9"/>
    <w:rsid w:val="002E011D"/>
    <w:rsid w:val="002E09A5"/>
    <w:rsid w:val="002E0B47"/>
    <w:rsid w:val="002E0BB9"/>
    <w:rsid w:val="002E0F4C"/>
    <w:rsid w:val="002E101E"/>
    <w:rsid w:val="002E40BB"/>
    <w:rsid w:val="002E604A"/>
    <w:rsid w:val="002E630E"/>
    <w:rsid w:val="002E6A3D"/>
    <w:rsid w:val="002E742C"/>
    <w:rsid w:val="002F08CE"/>
    <w:rsid w:val="002F0B51"/>
    <w:rsid w:val="002F120E"/>
    <w:rsid w:val="002F23E6"/>
    <w:rsid w:val="002F25B0"/>
    <w:rsid w:val="002F2B60"/>
    <w:rsid w:val="002F3C73"/>
    <w:rsid w:val="002F4062"/>
    <w:rsid w:val="002F422B"/>
    <w:rsid w:val="002F4472"/>
    <w:rsid w:val="002F46E7"/>
    <w:rsid w:val="002F4B90"/>
    <w:rsid w:val="002F5953"/>
    <w:rsid w:val="002F5EAC"/>
    <w:rsid w:val="002F6B6D"/>
    <w:rsid w:val="002F6BEC"/>
    <w:rsid w:val="002F6EEF"/>
    <w:rsid w:val="002F72C0"/>
    <w:rsid w:val="002F799F"/>
    <w:rsid w:val="003014C2"/>
    <w:rsid w:val="003027D0"/>
    <w:rsid w:val="003028DB"/>
    <w:rsid w:val="00304D05"/>
    <w:rsid w:val="00304D49"/>
    <w:rsid w:val="00304F79"/>
    <w:rsid w:val="003055FA"/>
    <w:rsid w:val="00306E09"/>
    <w:rsid w:val="00307A0E"/>
    <w:rsid w:val="00312022"/>
    <w:rsid w:val="003127FA"/>
    <w:rsid w:val="0031385F"/>
    <w:rsid w:val="0031483B"/>
    <w:rsid w:val="00314876"/>
    <w:rsid w:val="003168C2"/>
    <w:rsid w:val="00317B29"/>
    <w:rsid w:val="00317B6A"/>
    <w:rsid w:val="003202C1"/>
    <w:rsid w:val="00320A59"/>
    <w:rsid w:val="00325826"/>
    <w:rsid w:val="00325DD9"/>
    <w:rsid w:val="00326649"/>
    <w:rsid w:val="003268E2"/>
    <w:rsid w:val="00326D04"/>
    <w:rsid w:val="00326FFD"/>
    <w:rsid w:val="0032713F"/>
    <w:rsid w:val="00331B78"/>
    <w:rsid w:val="00332AD8"/>
    <w:rsid w:val="00334502"/>
    <w:rsid w:val="003353F3"/>
    <w:rsid w:val="00335F59"/>
    <w:rsid w:val="00337562"/>
    <w:rsid w:val="00337C76"/>
    <w:rsid w:val="00341757"/>
    <w:rsid w:val="003418C3"/>
    <w:rsid w:val="00342371"/>
    <w:rsid w:val="003435FA"/>
    <w:rsid w:val="003445A2"/>
    <w:rsid w:val="003445AC"/>
    <w:rsid w:val="00346BE0"/>
    <w:rsid w:val="003478B4"/>
    <w:rsid w:val="00350454"/>
    <w:rsid w:val="00350D8D"/>
    <w:rsid w:val="00351AA0"/>
    <w:rsid w:val="00352F47"/>
    <w:rsid w:val="00353516"/>
    <w:rsid w:val="0035445A"/>
    <w:rsid w:val="0035463A"/>
    <w:rsid w:val="00356383"/>
    <w:rsid w:val="00357A2C"/>
    <w:rsid w:val="003608F0"/>
    <w:rsid w:val="00360B68"/>
    <w:rsid w:val="003620CD"/>
    <w:rsid w:val="00363F09"/>
    <w:rsid w:val="00364714"/>
    <w:rsid w:val="00364A83"/>
    <w:rsid w:val="00367957"/>
    <w:rsid w:val="00367D44"/>
    <w:rsid w:val="003705EF"/>
    <w:rsid w:val="003710C1"/>
    <w:rsid w:val="003719EC"/>
    <w:rsid w:val="00376CEF"/>
    <w:rsid w:val="003770AC"/>
    <w:rsid w:val="003770FA"/>
    <w:rsid w:val="003773F8"/>
    <w:rsid w:val="00377A66"/>
    <w:rsid w:val="00377A82"/>
    <w:rsid w:val="00381A75"/>
    <w:rsid w:val="00383F46"/>
    <w:rsid w:val="00384852"/>
    <w:rsid w:val="00385BC8"/>
    <w:rsid w:val="00386F10"/>
    <w:rsid w:val="00387612"/>
    <w:rsid w:val="003900A2"/>
    <w:rsid w:val="003905CA"/>
    <w:rsid w:val="003906FF"/>
    <w:rsid w:val="00393529"/>
    <w:rsid w:val="003950EC"/>
    <w:rsid w:val="0039519F"/>
    <w:rsid w:val="003972C7"/>
    <w:rsid w:val="00397A13"/>
    <w:rsid w:val="00397AA4"/>
    <w:rsid w:val="00397ECE"/>
    <w:rsid w:val="003A0426"/>
    <w:rsid w:val="003A0504"/>
    <w:rsid w:val="003A0974"/>
    <w:rsid w:val="003A0BA4"/>
    <w:rsid w:val="003A193D"/>
    <w:rsid w:val="003A1A94"/>
    <w:rsid w:val="003A30EC"/>
    <w:rsid w:val="003A3EAD"/>
    <w:rsid w:val="003A657F"/>
    <w:rsid w:val="003A6F5B"/>
    <w:rsid w:val="003A72D9"/>
    <w:rsid w:val="003B05AB"/>
    <w:rsid w:val="003B0922"/>
    <w:rsid w:val="003B0E4C"/>
    <w:rsid w:val="003B1A4F"/>
    <w:rsid w:val="003B2B5A"/>
    <w:rsid w:val="003B38AA"/>
    <w:rsid w:val="003B4005"/>
    <w:rsid w:val="003B465C"/>
    <w:rsid w:val="003B5F90"/>
    <w:rsid w:val="003B6D50"/>
    <w:rsid w:val="003C0796"/>
    <w:rsid w:val="003C1075"/>
    <w:rsid w:val="003C2496"/>
    <w:rsid w:val="003C5839"/>
    <w:rsid w:val="003C691E"/>
    <w:rsid w:val="003D01AF"/>
    <w:rsid w:val="003D089C"/>
    <w:rsid w:val="003D1AD5"/>
    <w:rsid w:val="003D4908"/>
    <w:rsid w:val="003D5DA9"/>
    <w:rsid w:val="003D5EAB"/>
    <w:rsid w:val="003D7335"/>
    <w:rsid w:val="003E1FF4"/>
    <w:rsid w:val="003E40B5"/>
    <w:rsid w:val="003E4A67"/>
    <w:rsid w:val="003E4DD8"/>
    <w:rsid w:val="003E612F"/>
    <w:rsid w:val="003E6E62"/>
    <w:rsid w:val="003E7DD2"/>
    <w:rsid w:val="003F0BF1"/>
    <w:rsid w:val="003F1F82"/>
    <w:rsid w:val="003F2757"/>
    <w:rsid w:val="003F2A27"/>
    <w:rsid w:val="003F43C8"/>
    <w:rsid w:val="003F45A5"/>
    <w:rsid w:val="003F50C9"/>
    <w:rsid w:val="003F5CC4"/>
    <w:rsid w:val="003F608E"/>
    <w:rsid w:val="003F67DE"/>
    <w:rsid w:val="003F75A6"/>
    <w:rsid w:val="003F786B"/>
    <w:rsid w:val="004012BD"/>
    <w:rsid w:val="004020E4"/>
    <w:rsid w:val="00402A48"/>
    <w:rsid w:val="00403794"/>
    <w:rsid w:val="0040398B"/>
    <w:rsid w:val="0040414A"/>
    <w:rsid w:val="00404CB9"/>
    <w:rsid w:val="00404DD8"/>
    <w:rsid w:val="00405E52"/>
    <w:rsid w:val="00406BFE"/>
    <w:rsid w:val="00407603"/>
    <w:rsid w:val="004076BF"/>
    <w:rsid w:val="0041016A"/>
    <w:rsid w:val="00410F38"/>
    <w:rsid w:val="00411191"/>
    <w:rsid w:val="00411B86"/>
    <w:rsid w:val="00411CF0"/>
    <w:rsid w:val="00411F72"/>
    <w:rsid w:val="00412E8E"/>
    <w:rsid w:val="004144C5"/>
    <w:rsid w:val="00415D76"/>
    <w:rsid w:val="00415F7B"/>
    <w:rsid w:val="00416FC9"/>
    <w:rsid w:val="00417538"/>
    <w:rsid w:val="004177B4"/>
    <w:rsid w:val="0041793F"/>
    <w:rsid w:val="00420504"/>
    <w:rsid w:val="00421356"/>
    <w:rsid w:val="00423736"/>
    <w:rsid w:val="00424E6F"/>
    <w:rsid w:val="0042540D"/>
    <w:rsid w:val="00425AD7"/>
    <w:rsid w:val="00425D52"/>
    <w:rsid w:val="004260DF"/>
    <w:rsid w:val="004309AD"/>
    <w:rsid w:val="004310C7"/>
    <w:rsid w:val="004331E9"/>
    <w:rsid w:val="004342B7"/>
    <w:rsid w:val="00435609"/>
    <w:rsid w:val="00435C24"/>
    <w:rsid w:val="0044104C"/>
    <w:rsid w:val="004418F9"/>
    <w:rsid w:val="00443C32"/>
    <w:rsid w:val="00443FE3"/>
    <w:rsid w:val="00444226"/>
    <w:rsid w:val="00445D8F"/>
    <w:rsid w:val="0044643B"/>
    <w:rsid w:val="004475CC"/>
    <w:rsid w:val="00450BED"/>
    <w:rsid w:val="00451063"/>
    <w:rsid w:val="004513C2"/>
    <w:rsid w:val="00451ABA"/>
    <w:rsid w:val="00452EA1"/>
    <w:rsid w:val="00453435"/>
    <w:rsid w:val="00454E29"/>
    <w:rsid w:val="00455959"/>
    <w:rsid w:val="00455F8A"/>
    <w:rsid w:val="004560F5"/>
    <w:rsid w:val="004569F4"/>
    <w:rsid w:val="00456BC1"/>
    <w:rsid w:val="0046135E"/>
    <w:rsid w:val="0046200B"/>
    <w:rsid w:val="00463D0E"/>
    <w:rsid w:val="00463D46"/>
    <w:rsid w:val="00463FD8"/>
    <w:rsid w:val="00464CD0"/>
    <w:rsid w:val="00466E6C"/>
    <w:rsid w:val="004677E0"/>
    <w:rsid w:val="00467FEB"/>
    <w:rsid w:val="00470647"/>
    <w:rsid w:val="0047214D"/>
    <w:rsid w:val="00472637"/>
    <w:rsid w:val="0047336E"/>
    <w:rsid w:val="00474099"/>
    <w:rsid w:val="004751CD"/>
    <w:rsid w:val="0047568D"/>
    <w:rsid w:val="00475B54"/>
    <w:rsid w:val="00475E81"/>
    <w:rsid w:val="004763AC"/>
    <w:rsid w:val="004763B0"/>
    <w:rsid w:val="00476508"/>
    <w:rsid w:val="00476DE7"/>
    <w:rsid w:val="004800CF"/>
    <w:rsid w:val="004804CE"/>
    <w:rsid w:val="004809DF"/>
    <w:rsid w:val="00480A79"/>
    <w:rsid w:val="004816F6"/>
    <w:rsid w:val="00481797"/>
    <w:rsid w:val="00481F9B"/>
    <w:rsid w:val="004821A5"/>
    <w:rsid w:val="00482B4C"/>
    <w:rsid w:val="00482F3D"/>
    <w:rsid w:val="0048376B"/>
    <w:rsid w:val="0048396F"/>
    <w:rsid w:val="00484F6A"/>
    <w:rsid w:val="00485165"/>
    <w:rsid w:val="00486A8A"/>
    <w:rsid w:val="00486C27"/>
    <w:rsid w:val="00486D29"/>
    <w:rsid w:val="004925F7"/>
    <w:rsid w:val="004940B7"/>
    <w:rsid w:val="0049673D"/>
    <w:rsid w:val="00496E04"/>
    <w:rsid w:val="004A0D2E"/>
    <w:rsid w:val="004A1976"/>
    <w:rsid w:val="004A1DA4"/>
    <w:rsid w:val="004A1F56"/>
    <w:rsid w:val="004A2074"/>
    <w:rsid w:val="004A2665"/>
    <w:rsid w:val="004A56AF"/>
    <w:rsid w:val="004A5933"/>
    <w:rsid w:val="004A6755"/>
    <w:rsid w:val="004A69F3"/>
    <w:rsid w:val="004A6A93"/>
    <w:rsid w:val="004A6E2E"/>
    <w:rsid w:val="004B0198"/>
    <w:rsid w:val="004B0B66"/>
    <w:rsid w:val="004B0E92"/>
    <w:rsid w:val="004B2478"/>
    <w:rsid w:val="004B2DAB"/>
    <w:rsid w:val="004B3DE6"/>
    <w:rsid w:val="004B550F"/>
    <w:rsid w:val="004B617C"/>
    <w:rsid w:val="004B7C13"/>
    <w:rsid w:val="004C164B"/>
    <w:rsid w:val="004C3E95"/>
    <w:rsid w:val="004C6150"/>
    <w:rsid w:val="004C66AB"/>
    <w:rsid w:val="004C673C"/>
    <w:rsid w:val="004C67F9"/>
    <w:rsid w:val="004C6E14"/>
    <w:rsid w:val="004C7662"/>
    <w:rsid w:val="004D202D"/>
    <w:rsid w:val="004D35B2"/>
    <w:rsid w:val="004D3922"/>
    <w:rsid w:val="004D40E3"/>
    <w:rsid w:val="004D5BFB"/>
    <w:rsid w:val="004D6A71"/>
    <w:rsid w:val="004D70A2"/>
    <w:rsid w:val="004E0128"/>
    <w:rsid w:val="004E0F6A"/>
    <w:rsid w:val="004E12FF"/>
    <w:rsid w:val="004E2747"/>
    <w:rsid w:val="004E3617"/>
    <w:rsid w:val="004E3F2E"/>
    <w:rsid w:val="004E4B60"/>
    <w:rsid w:val="004E607D"/>
    <w:rsid w:val="004E7195"/>
    <w:rsid w:val="004F04A1"/>
    <w:rsid w:val="004F1194"/>
    <w:rsid w:val="004F14C5"/>
    <w:rsid w:val="004F2099"/>
    <w:rsid w:val="004F21AE"/>
    <w:rsid w:val="004F2C8A"/>
    <w:rsid w:val="004F3806"/>
    <w:rsid w:val="004F3D0D"/>
    <w:rsid w:val="004F5EB9"/>
    <w:rsid w:val="004F788C"/>
    <w:rsid w:val="00500FE2"/>
    <w:rsid w:val="005018A2"/>
    <w:rsid w:val="00503618"/>
    <w:rsid w:val="00503DC4"/>
    <w:rsid w:val="0050407E"/>
    <w:rsid w:val="00504531"/>
    <w:rsid w:val="00504DBC"/>
    <w:rsid w:val="00504DBF"/>
    <w:rsid w:val="00505965"/>
    <w:rsid w:val="00506A1E"/>
    <w:rsid w:val="00506F79"/>
    <w:rsid w:val="0051334F"/>
    <w:rsid w:val="005134ED"/>
    <w:rsid w:val="00513D43"/>
    <w:rsid w:val="005141DF"/>
    <w:rsid w:val="00514A59"/>
    <w:rsid w:val="00514C25"/>
    <w:rsid w:val="005161C9"/>
    <w:rsid w:val="00516733"/>
    <w:rsid w:val="0052057F"/>
    <w:rsid w:val="00520B00"/>
    <w:rsid w:val="00520FB5"/>
    <w:rsid w:val="0052372C"/>
    <w:rsid w:val="00524879"/>
    <w:rsid w:val="0052503E"/>
    <w:rsid w:val="0052685D"/>
    <w:rsid w:val="00526BBC"/>
    <w:rsid w:val="005303DD"/>
    <w:rsid w:val="005306CD"/>
    <w:rsid w:val="005307BB"/>
    <w:rsid w:val="00530EBE"/>
    <w:rsid w:val="00530ED3"/>
    <w:rsid w:val="0053293C"/>
    <w:rsid w:val="005333E2"/>
    <w:rsid w:val="00533BE9"/>
    <w:rsid w:val="005344F2"/>
    <w:rsid w:val="00534712"/>
    <w:rsid w:val="00535B15"/>
    <w:rsid w:val="005362A9"/>
    <w:rsid w:val="0053721C"/>
    <w:rsid w:val="0053795C"/>
    <w:rsid w:val="00540235"/>
    <w:rsid w:val="005418EE"/>
    <w:rsid w:val="0054241F"/>
    <w:rsid w:val="005428CB"/>
    <w:rsid w:val="005431CC"/>
    <w:rsid w:val="0054456F"/>
    <w:rsid w:val="005446EE"/>
    <w:rsid w:val="00545639"/>
    <w:rsid w:val="005462AF"/>
    <w:rsid w:val="005469FE"/>
    <w:rsid w:val="005511F9"/>
    <w:rsid w:val="00551AA8"/>
    <w:rsid w:val="00552059"/>
    <w:rsid w:val="005523A9"/>
    <w:rsid w:val="00554CAC"/>
    <w:rsid w:val="00554CE1"/>
    <w:rsid w:val="00554F7F"/>
    <w:rsid w:val="00555D35"/>
    <w:rsid w:val="005562DC"/>
    <w:rsid w:val="00556301"/>
    <w:rsid w:val="005575EF"/>
    <w:rsid w:val="005575F5"/>
    <w:rsid w:val="00557E2F"/>
    <w:rsid w:val="00560101"/>
    <w:rsid w:val="0056276D"/>
    <w:rsid w:val="005637B7"/>
    <w:rsid w:val="00564A7F"/>
    <w:rsid w:val="005654DC"/>
    <w:rsid w:val="00565777"/>
    <w:rsid w:val="00566556"/>
    <w:rsid w:val="005705F9"/>
    <w:rsid w:val="00570755"/>
    <w:rsid w:val="005714B2"/>
    <w:rsid w:val="0057274A"/>
    <w:rsid w:val="00572892"/>
    <w:rsid w:val="00573C60"/>
    <w:rsid w:val="0057494E"/>
    <w:rsid w:val="0057592D"/>
    <w:rsid w:val="005764B1"/>
    <w:rsid w:val="00576BE5"/>
    <w:rsid w:val="00576D34"/>
    <w:rsid w:val="00577060"/>
    <w:rsid w:val="00577F4A"/>
    <w:rsid w:val="00581213"/>
    <w:rsid w:val="00581302"/>
    <w:rsid w:val="00581805"/>
    <w:rsid w:val="00582BD7"/>
    <w:rsid w:val="00583630"/>
    <w:rsid w:val="00583A0A"/>
    <w:rsid w:val="005858CD"/>
    <w:rsid w:val="00585B7B"/>
    <w:rsid w:val="00587C74"/>
    <w:rsid w:val="00590DD0"/>
    <w:rsid w:val="00591268"/>
    <w:rsid w:val="0059138D"/>
    <w:rsid w:val="0059354C"/>
    <w:rsid w:val="00593973"/>
    <w:rsid w:val="00594C27"/>
    <w:rsid w:val="00594DEF"/>
    <w:rsid w:val="005A02DC"/>
    <w:rsid w:val="005A03DE"/>
    <w:rsid w:val="005A077D"/>
    <w:rsid w:val="005A0EAC"/>
    <w:rsid w:val="005A19BE"/>
    <w:rsid w:val="005A2C74"/>
    <w:rsid w:val="005A2FED"/>
    <w:rsid w:val="005A518B"/>
    <w:rsid w:val="005A627E"/>
    <w:rsid w:val="005A6DC2"/>
    <w:rsid w:val="005A7083"/>
    <w:rsid w:val="005A7608"/>
    <w:rsid w:val="005A7644"/>
    <w:rsid w:val="005A7707"/>
    <w:rsid w:val="005B1318"/>
    <w:rsid w:val="005B1E9C"/>
    <w:rsid w:val="005B2307"/>
    <w:rsid w:val="005B31E6"/>
    <w:rsid w:val="005B4A3E"/>
    <w:rsid w:val="005B4B22"/>
    <w:rsid w:val="005B57F2"/>
    <w:rsid w:val="005B5ABD"/>
    <w:rsid w:val="005B5C5C"/>
    <w:rsid w:val="005B61D3"/>
    <w:rsid w:val="005B7920"/>
    <w:rsid w:val="005B7F49"/>
    <w:rsid w:val="005C1558"/>
    <w:rsid w:val="005C1641"/>
    <w:rsid w:val="005C1BC7"/>
    <w:rsid w:val="005C278A"/>
    <w:rsid w:val="005C32C9"/>
    <w:rsid w:val="005C3345"/>
    <w:rsid w:val="005C3A56"/>
    <w:rsid w:val="005C3A67"/>
    <w:rsid w:val="005C51AD"/>
    <w:rsid w:val="005C5513"/>
    <w:rsid w:val="005C5DB9"/>
    <w:rsid w:val="005C5E85"/>
    <w:rsid w:val="005C628A"/>
    <w:rsid w:val="005C6B8A"/>
    <w:rsid w:val="005C7471"/>
    <w:rsid w:val="005D05F2"/>
    <w:rsid w:val="005D2257"/>
    <w:rsid w:val="005D28BC"/>
    <w:rsid w:val="005D2C19"/>
    <w:rsid w:val="005D31FF"/>
    <w:rsid w:val="005D4235"/>
    <w:rsid w:val="005D4315"/>
    <w:rsid w:val="005D4A0C"/>
    <w:rsid w:val="005D564D"/>
    <w:rsid w:val="005D61EA"/>
    <w:rsid w:val="005D64B0"/>
    <w:rsid w:val="005D66E2"/>
    <w:rsid w:val="005D6B61"/>
    <w:rsid w:val="005D6B8A"/>
    <w:rsid w:val="005E05BC"/>
    <w:rsid w:val="005E145B"/>
    <w:rsid w:val="005E389B"/>
    <w:rsid w:val="005E3ACC"/>
    <w:rsid w:val="005E40D9"/>
    <w:rsid w:val="005E4159"/>
    <w:rsid w:val="005E4DF4"/>
    <w:rsid w:val="005F22A7"/>
    <w:rsid w:val="005F2BCF"/>
    <w:rsid w:val="005F3204"/>
    <w:rsid w:val="005F3AA1"/>
    <w:rsid w:val="005F58A9"/>
    <w:rsid w:val="005F6A42"/>
    <w:rsid w:val="00600DCE"/>
    <w:rsid w:val="00600E72"/>
    <w:rsid w:val="00600E9C"/>
    <w:rsid w:val="0060231D"/>
    <w:rsid w:val="00602697"/>
    <w:rsid w:val="00603AB8"/>
    <w:rsid w:val="00604944"/>
    <w:rsid w:val="00605A33"/>
    <w:rsid w:val="00606918"/>
    <w:rsid w:val="006107D6"/>
    <w:rsid w:val="0061090E"/>
    <w:rsid w:val="0061490B"/>
    <w:rsid w:val="0061546C"/>
    <w:rsid w:val="00615FD8"/>
    <w:rsid w:val="00616477"/>
    <w:rsid w:val="0061650C"/>
    <w:rsid w:val="00616E6F"/>
    <w:rsid w:val="0061759F"/>
    <w:rsid w:val="00617D7A"/>
    <w:rsid w:val="00620CAE"/>
    <w:rsid w:val="006213D4"/>
    <w:rsid w:val="0062203B"/>
    <w:rsid w:val="0062334B"/>
    <w:rsid w:val="006234D3"/>
    <w:rsid w:val="00624591"/>
    <w:rsid w:val="00625948"/>
    <w:rsid w:val="00625AC4"/>
    <w:rsid w:val="00626634"/>
    <w:rsid w:val="00627080"/>
    <w:rsid w:val="00630F62"/>
    <w:rsid w:val="006316C2"/>
    <w:rsid w:val="00631D5F"/>
    <w:rsid w:val="00632290"/>
    <w:rsid w:val="006324A3"/>
    <w:rsid w:val="00633098"/>
    <w:rsid w:val="006337E8"/>
    <w:rsid w:val="00635E60"/>
    <w:rsid w:val="00637744"/>
    <w:rsid w:val="0063777A"/>
    <w:rsid w:val="00640C60"/>
    <w:rsid w:val="006411CB"/>
    <w:rsid w:val="0064216E"/>
    <w:rsid w:val="00642ABF"/>
    <w:rsid w:val="00643E05"/>
    <w:rsid w:val="00643E6C"/>
    <w:rsid w:val="0064591A"/>
    <w:rsid w:val="00646682"/>
    <w:rsid w:val="0065105A"/>
    <w:rsid w:val="00653952"/>
    <w:rsid w:val="00653B95"/>
    <w:rsid w:val="00654274"/>
    <w:rsid w:val="00654FE3"/>
    <w:rsid w:val="006555D2"/>
    <w:rsid w:val="00655D23"/>
    <w:rsid w:val="0065692E"/>
    <w:rsid w:val="006606C8"/>
    <w:rsid w:val="006617A4"/>
    <w:rsid w:val="00662C4D"/>
    <w:rsid w:val="00662F76"/>
    <w:rsid w:val="0066443C"/>
    <w:rsid w:val="00664540"/>
    <w:rsid w:val="0066504D"/>
    <w:rsid w:val="00666844"/>
    <w:rsid w:val="00666B4E"/>
    <w:rsid w:val="00666BEA"/>
    <w:rsid w:val="00667079"/>
    <w:rsid w:val="00667437"/>
    <w:rsid w:val="00670B6E"/>
    <w:rsid w:val="00671666"/>
    <w:rsid w:val="006720CC"/>
    <w:rsid w:val="0067238F"/>
    <w:rsid w:val="00672827"/>
    <w:rsid w:val="00672CAB"/>
    <w:rsid w:val="006738C7"/>
    <w:rsid w:val="00676453"/>
    <w:rsid w:val="00676573"/>
    <w:rsid w:val="006769A6"/>
    <w:rsid w:val="00680B3F"/>
    <w:rsid w:val="00681E25"/>
    <w:rsid w:val="00682170"/>
    <w:rsid w:val="006838F3"/>
    <w:rsid w:val="00685380"/>
    <w:rsid w:val="00685E09"/>
    <w:rsid w:val="0068655F"/>
    <w:rsid w:val="00687B8B"/>
    <w:rsid w:val="006909A4"/>
    <w:rsid w:val="006914B3"/>
    <w:rsid w:val="00691517"/>
    <w:rsid w:val="00692F8F"/>
    <w:rsid w:val="00693071"/>
    <w:rsid w:val="00693E2C"/>
    <w:rsid w:val="00694526"/>
    <w:rsid w:val="00694574"/>
    <w:rsid w:val="006945C5"/>
    <w:rsid w:val="00696BD1"/>
    <w:rsid w:val="00696EF6"/>
    <w:rsid w:val="0069769B"/>
    <w:rsid w:val="00697E73"/>
    <w:rsid w:val="006A032E"/>
    <w:rsid w:val="006A044B"/>
    <w:rsid w:val="006A04CE"/>
    <w:rsid w:val="006A0732"/>
    <w:rsid w:val="006A0AF7"/>
    <w:rsid w:val="006A20B2"/>
    <w:rsid w:val="006A26FB"/>
    <w:rsid w:val="006A2E73"/>
    <w:rsid w:val="006A3F8B"/>
    <w:rsid w:val="006A5B29"/>
    <w:rsid w:val="006A5E98"/>
    <w:rsid w:val="006A69A4"/>
    <w:rsid w:val="006A792B"/>
    <w:rsid w:val="006A7A10"/>
    <w:rsid w:val="006A7BBB"/>
    <w:rsid w:val="006B0031"/>
    <w:rsid w:val="006B01F8"/>
    <w:rsid w:val="006B1489"/>
    <w:rsid w:val="006B1546"/>
    <w:rsid w:val="006B1E8E"/>
    <w:rsid w:val="006B2095"/>
    <w:rsid w:val="006B232C"/>
    <w:rsid w:val="006B25C7"/>
    <w:rsid w:val="006B561A"/>
    <w:rsid w:val="006B5FDC"/>
    <w:rsid w:val="006B76EE"/>
    <w:rsid w:val="006B7D9B"/>
    <w:rsid w:val="006C1D18"/>
    <w:rsid w:val="006C5D57"/>
    <w:rsid w:val="006C697C"/>
    <w:rsid w:val="006D03B1"/>
    <w:rsid w:val="006D0962"/>
    <w:rsid w:val="006D43D1"/>
    <w:rsid w:val="006D531B"/>
    <w:rsid w:val="006D5A81"/>
    <w:rsid w:val="006D6BB4"/>
    <w:rsid w:val="006D759A"/>
    <w:rsid w:val="006D781E"/>
    <w:rsid w:val="006D7BDE"/>
    <w:rsid w:val="006E0FB6"/>
    <w:rsid w:val="006E1C0C"/>
    <w:rsid w:val="006E2009"/>
    <w:rsid w:val="006E4CBA"/>
    <w:rsid w:val="006E520B"/>
    <w:rsid w:val="006E522D"/>
    <w:rsid w:val="006E6160"/>
    <w:rsid w:val="006E6252"/>
    <w:rsid w:val="006E768C"/>
    <w:rsid w:val="006E78C3"/>
    <w:rsid w:val="006F0C4C"/>
    <w:rsid w:val="006F28DA"/>
    <w:rsid w:val="006F3DD2"/>
    <w:rsid w:val="006F5778"/>
    <w:rsid w:val="00700411"/>
    <w:rsid w:val="007045EF"/>
    <w:rsid w:val="007052C3"/>
    <w:rsid w:val="00705BB4"/>
    <w:rsid w:val="00705BC7"/>
    <w:rsid w:val="00706CAC"/>
    <w:rsid w:val="00707D91"/>
    <w:rsid w:val="00710206"/>
    <w:rsid w:val="007103A6"/>
    <w:rsid w:val="00710893"/>
    <w:rsid w:val="00712406"/>
    <w:rsid w:val="00712C28"/>
    <w:rsid w:val="00713888"/>
    <w:rsid w:val="00714715"/>
    <w:rsid w:val="00715ACD"/>
    <w:rsid w:val="007175EB"/>
    <w:rsid w:val="00717621"/>
    <w:rsid w:val="00717D4B"/>
    <w:rsid w:val="007207FC"/>
    <w:rsid w:val="007213F1"/>
    <w:rsid w:val="00721827"/>
    <w:rsid w:val="00722668"/>
    <w:rsid w:val="00723E8D"/>
    <w:rsid w:val="007247C1"/>
    <w:rsid w:val="00724AF2"/>
    <w:rsid w:val="00724F55"/>
    <w:rsid w:val="007263F1"/>
    <w:rsid w:val="00726C59"/>
    <w:rsid w:val="007275E1"/>
    <w:rsid w:val="00727B7C"/>
    <w:rsid w:val="0073052C"/>
    <w:rsid w:val="0073235F"/>
    <w:rsid w:val="00732686"/>
    <w:rsid w:val="007327D1"/>
    <w:rsid w:val="00732A32"/>
    <w:rsid w:val="00733818"/>
    <w:rsid w:val="00733E34"/>
    <w:rsid w:val="00734D65"/>
    <w:rsid w:val="007351BE"/>
    <w:rsid w:val="00737AC1"/>
    <w:rsid w:val="0074024D"/>
    <w:rsid w:val="00741B85"/>
    <w:rsid w:val="007442E2"/>
    <w:rsid w:val="00746067"/>
    <w:rsid w:val="0075045D"/>
    <w:rsid w:val="00752F55"/>
    <w:rsid w:val="00754101"/>
    <w:rsid w:val="0075490B"/>
    <w:rsid w:val="007558B7"/>
    <w:rsid w:val="00757A53"/>
    <w:rsid w:val="00760A85"/>
    <w:rsid w:val="00760EF9"/>
    <w:rsid w:val="00761B03"/>
    <w:rsid w:val="00761F25"/>
    <w:rsid w:val="00762F8F"/>
    <w:rsid w:val="00763103"/>
    <w:rsid w:val="00763461"/>
    <w:rsid w:val="0076557F"/>
    <w:rsid w:val="00765AA8"/>
    <w:rsid w:val="007667AC"/>
    <w:rsid w:val="00767815"/>
    <w:rsid w:val="00770316"/>
    <w:rsid w:val="0077133D"/>
    <w:rsid w:val="00773B13"/>
    <w:rsid w:val="00773C28"/>
    <w:rsid w:val="00774453"/>
    <w:rsid w:val="00775647"/>
    <w:rsid w:val="007767B5"/>
    <w:rsid w:val="00776830"/>
    <w:rsid w:val="00776B8D"/>
    <w:rsid w:val="00776EE1"/>
    <w:rsid w:val="007777AA"/>
    <w:rsid w:val="007809F2"/>
    <w:rsid w:val="00780BAD"/>
    <w:rsid w:val="007814E7"/>
    <w:rsid w:val="00781BCE"/>
    <w:rsid w:val="00783B51"/>
    <w:rsid w:val="00783BFA"/>
    <w:rsid w:val="00783C80"/>
    <w:rsid w:val="00785F44"/>
    <w:rsid w:val="00787371"/>
    <w:rsid w:val="00790CFC"/>
    <w:rsid w:val="00791E64"/>
    <w:rsid w:val="0079247C"/>
    <w:rsid w:val="0079257F"/>
    <w:rsid w:val="007930DA"/>
    <w:rsid w:val="0079317A"/>
    <w:rsid w:val="00793C74"/>
    <w:rsid w:val="00795000"/>
    <w:rsid w:val="007951D8"/>
    <w:rsid w:val="00795A9E"/>
    <w:rsid w:val="0079616C"/>
    <w:rsid w:val="00797264"/>
    <w:rsid w:val="007A0D97"/>
    <w:rsid w:val="007A1337"/>
    <w:rsid w:val="007A21A4"/>
    <w:rsid w:val="007A2311"/>
    <w:rsid w:val="007A4A08"/>
    <w:rsid w:val="007A4B92"/>
    <w:rsid w:val="007A51FA"/>
    <w:rsid w:val="007A584F"/>
    <w:rsid w:val="007A605D"/>
    <w:rsid w:val="007A68A0"/>
    <w:rsid w:val="007A70F7"/>
    <w:rsid w:val="007A72BB"/>
    <w:rsid w:val="007A7D3A"/>
    <w:rsid w:val="007A7DE3"/>
    <w:rsid w:val="007A7E67"/>
    <w:rsid w:val="007B1544"/>
    <w:rsid w:val="007B1F8F"/>
    <w:rsid w:val="007B248C"/>
    <w:rsid w:val="007B25D4"/>
    <w:rsid w:val="007B3D22"/>
    <w:rsid w:val="007B47C2"/>
    <w:rsid w:val="007B5D45"/>
    <w:rsid w:val="007C05FF"/>
    <w:rsid w:val="007C0D99"/>
    <w:rsid w:val="007C0F2C"/>
    <w:rsid w:val="007C221B"/>
    <w:rsid w:val="007C231C"/>
    <w:rsid w:val="007C348D"/>
    <w:rsid w:val="007C34AD"/>
    <w:rsid w:val="007C4848"/>
    <w:rsid w:val="007C49C6"/>
    <w:rsid w:val="007C5877"/>
    <w:rsid w:val="007C590D"/>
    <w:rsid w:val="007C5E55"/>
    <w:rsid w:val="007C6110"/>
    <w:rsid w:val="007C6451"/>
    <w:rsid w:val="007C65B1"/>
    <w:rsid w:val="007C7F74"/>
    <w:rsid w:val="007D44F3"/>
    <w:rsid w:val="007E0148"/>
    <w:rsid w:val="007E0D5F"/>
    <w:rsid w:val="007E1E49"/>
    <w:rsid w:val="007E2464"/>
    <w:rsid w:val="007E36FC"/>
    <w:rsid w:val="007E5095"/>
    <w:rsid w:val="007E529F"/>
    <w:rsid w:val="007E5767"/>
    <w:rsid w:val="007E6314"/>
    <w:rsid w:val="007E6DA5"/>
    <w:rsid w:val="007E71C1"/>
    <w:rsid w:val="007E7F9D"/>
    <w:rsid w:val="007F0A35"/>
    <w:rsid w:val="007F12ED"/>
    <w:rsid w:val="007F1F1C"/>
    <w:rsid w:val="007F323B"/>
    <w:rsid w:val="007F3911"/>
    <w:rsid w:val="007F3F77"/>
    <w:rsid w:val="007F4741"/>
    <w:rsid w:val="007F55D7"/>
    <w:rsid w:val="007F671D"/>
    <w:rsid w:val="007F6D6B"/>
    <w:rsid w:val="0080017B"/>
    <w:rsid w:val="00801B0F"/>
    <w:rsid w:val="00802031"/>
    <w:rsid w:val="00802B1E"/>
    <w:rsid w:val="00803311"/>
    <w:rsid w:val="00803457"/>
    <w:rsid w:val="008034B4"/>
    <w:rsid w:val="00803528"/>
    <w:rsid w:val="00803645"/>
    <w:rsid w:val="00804094"/>
    <w:rsid w:val="008044AB"/>
    <w:rsid w:val="00804959"/>
    <w:rsid w:val="00804B8C"/>
    <w:rsid w:val="00805BB2"/>
    <w:rsid w:val="008070CF"/>
    <w:rsid w:val="0080783F"/>
    <w:rsid w:val="008134F6"/>
    <w:rsid w:val="0081654C"/>
    <w:rsid w:val="00816572"/>
    <w:rsid w:val="0081704B"/>
    <w:rsid w:val="008202CC"/>
    <w:rsid w:val="008212A7"/>
    <w:rsid w:val="008221C8"/>
    <w:rsid w:val="0082231A"/>
    <w:rsid w:val="00823CD9"/>
    <w:rsid w:val="008243FF"/>
    <w:rsid w:val="00826116"/>
    <w:rsid w:val="0082783E"/>
    <w:rsid w:val="00830DCA"/>
    <w:rsid w:val="00831A72"/>
    <w:rsid w:val="00832B1D"/>
    <w:rsid w:val="00833325"/>
    <w:rsid w:val="00833D7A"/>
    <w:rsid w:val="00834B1C"/>
    <w:rsid w:val="0083519C"/>
    <w:rsid w:val="008367F4"/>
    <w:rsid w:val="00836D7C"/>
    <w:rsid w:val="008373D3"/>
    <w:rsid w:val="0084066D"/>
    <w:rsid w:val="00840C79"/>
    <w:rsid w:val="00841960"/>
    <w:rsid w:val="008423FC"/>
    <w:rsid w:val="00842544"/>
    <w:rsid w:val="0084276C"/>
    <w:rsid w:val="00842E98"/>
    <w:rsid w:val="0084316D"/>
    <w:rsid w:val="008431E8"/>
    <w:rsid w:val="00843418"/>
    <w:rsid w:val="00843444"/>
    <w:rsid w:val="008434FD"/>
    <w:rsid w:val="00843AB5"/>
    <w:rsid w:val="00844660"/>
    <w:rsid w:val="00846518"/>
    <w:rsid w:val="00850449"/>
    <w:rsid w:val="008510B7"/>
    <w:rsid w:val="00852646"/>
    <w:rsid w:val="0085273F"/>
    <w:rsid w:val="00852749"/>
    <w:rsid w:val="00853066"/>
    <w:rsid w:val="0085329C"/>
    <w:rsid w:val="00853B4B"/>
    <w:rsid w:val="00854DCF"/>
    <w:rsid w:val="0086173C"/>
    <w:rsid w:val="008629E0"/>
    <w:rsid w:val="008634F5"/>
    <w:rsid w:val="00863C67"/>
    <w:rsid w:val="00864958"/>
    <w:rsid w:val="0086571F"/>
    <w:rsid w:val="00865F4A"/>
    <w:rsid w:val="0086671A"/>
    <w:rsid w:val="00870F25"/>
    <w:rsid w:val="00870F9F"/>
    <w:rsid w:val="0087128F"/>
    <w:rsid w:val="00871CB3"/>
    <w:rsid w:val="008723BF"/>
    <w:rsid w:val="008736C0"/>
    <w:rsid w:val="00873AFB"/>
    <w:rsid w:val="00873DC6"/>
    <w:rsid w:val="00873ED2"/>
    <w:rsid w:val="00874652"/>
    <w:rsid w:val="00874CCE"/>
    <w:rsid w:val="00874CD6"/>
    <w:rsid w:val="00877B2E"/>
    <w:rsid w:val="00877FBC"/>
    <w:rsid w:val="00880012"/>
    <w:rsid w:val="00882419"/>
    <w:rsid w:val="0088273C"/>
    <w:rsid w:val="00884A65"/>
    <w:rsid w:val="008860FC"/>
    <w:rsid w:val="008863DC"/>
    <w:rsid w:val="00886427"/>
    <w:rsid w:val="00887353"/>
    <w:rsid w:val="0089266F"/>
    <w:rsid w:val="008928E8"/>
    <w:rsid w:val="00892CEB"/>
    <w:rsid w:val="00892DC2"/>
    <w:rsid w:val="0089323C"/>
    <w:rsid w:val="00893CD2"/>
    <w:rsid w:val="00897A25"/>
    <w:rsid w:val="008A17E9"/>
    <w:rsid w:val="008A2EF7"/>
    <w:rsid w:val="008A53C4"/>
    <w:rsid w:val="008A60A4"/>
    <w:rsid w:val="008A6943"/>
    <w:rsid w:val="008A7D51"/>
    <w:rsid w:val="008B1D70"/>
    <w:rsid w:val="008B2279"/>
    <w:rsid w:val="008B27BF"/>
    <w:rsid w:val="008B3C16"/>
    <w:rsid w:val="008B50AE"/>
    <w:rsid w:val="008B53EA"/>
    <w:rsid w:val="008B55F4"/>
    <w:rsid w:val="008B78B1"/>
    <w:rsid w:val="008C06F7"/>
    <w:rsid w:val="008C2295"/>
    <w:rsid w:val="008C28CD"/>
    <w:rsid w:val="008C2D86"/>
    <w:rsid w:val="008C5599"/>
    <w:rsid w:val="008C68D2"/>
    <w:rsid w:val="008C716F"/>
    <w:rsid w:val="008D192C"/>
    <w:rsid w:val="008D1C7C"/>
    <w:rsid w:val="008D28DE"/>
    <w:rsid w:val="008D2C97"/>
    <w:rsid w:val="008D4A23"/>
    <w:rsid w:val="008D563E"/>
    <w:rsid w:val="008D63FB"/>
    <w:rsid w:val="008D645D"/>
    <w:rsid w:val="008D7B3A"/>
    <w:rsid w:val="008D7D52"/>
    <w:rsid w:val="008E0672"/>
    <w:rsid w:val="008E08B5"/>
    <w:rsid w:val="008E09D1"/>
    <w:rsid w:val="008E0A34"/>
    <w:rsid w:val="008E120E"/>
    <w:rsid w:val="008E1AFF"/>
    <w:rsid w:val="008E2F46"/>
    <w:rsid w:val="008E2F5F"/>
    <w:rsid w:val="008E32DE"/>
    <w:rsid w:val="008E3775"/>
    <w:rsid w:val="008E403C"/>
    <w:rsid w:val="008E4101"/>
    <w:rsid w:val="008E4715"/>
    <w:rsid w:val="008E6979"/>
    <w:rsid w:val="008F0F03"/>
    <w:rsid w:val="008F1034"/>
    <w:rsid w:val="008F11A3"/>
    <w:rsid w:val="008F1895"/>
    <w:rsid w:val="008F240C"/>
    <w:rsid w:val="008F245F"/>
    <w:rsid w:val="008F5CF2"/>
    <w:rsid w:val="008F62DB"/>
    <w:rsid w:val="008F643F"/>
    <w:rsid w:val="00900682"/>
    <w:rsid w:val="00901B63"/>
    <w:rsid w:val="00902500"/>
    <w:rsid w:val="00902EBE"/>
    <w:rsid w:val="00903206"/>
    <w:rsid w:val="009032DE"/>
    <w:rsid w:val="00905B70"/>
    <w:rsid w:val="009063BF"/>
    <w:rsid w:val="00906540"/>
    <w:rsid w:val="00907E6F"/>
    <w:rsid w:val="00910FB5"/>
    <w:rsid w:val="0091172F"/>
    <w:rsid w:val="00911EE7"/>
    <w:rsid w:val="009122A7"/>
    <w:rsid w:val="00913388"/>
    <w:rsid w:val="00913AF7"/>
    <w:rsid w:val="009146B5"/>
    <w:rsid w:val="00916055"/>
    <w:rsid w:val="0091656C"/>
    <w:rsid w:val="00916F7D"/>
    <w:rsid w:val="009179FA"/>
    <w:rsid w:val="0092093A"/>
    <w:rsid w:val="00920A52"/>
    <w:rsid w:val="00920AFE"/>
    <w:rsid w:val="009212E2"/>
    <w:rsid w:val="00921C92"/>
    <w:rsid w:val="00921F54"/>
    <w:rsid w:val="00923147"/>
    <w:rsid w:val="00923486"/>
    <w:rsid w:val="009254BE"/>
    <w:rsid w:val="00930905"/>
    <w:rsid w:val="00931200"/>
    <w:rsid w:val="00931DBE"/>
    <w:rsid w:val="009321E2"/>
    <w:rsid w:val="00932A30"/>
    <w:rsid w:val="00933A79"/>
    <w:rsid w:val="00933D45"/>
    <w:rsid w:val="009343C2"/>
    <w:rsid w:val="00935F6C"/>
    <w:rsid w:val="009414A1"/>
    <w:rsid w:val="00942832"/>
    <w:rsid w:val="00942D3A"/>
    <w:rsid w:val="009431E6"/>
    <w:rsid w:val="00943700"/>
    <w:rsid w:val="00943C3C"/>
    <w:rsid w:val="00943E1D"/>
    <w:rsid w:val="00944333"/>
    <w:rsid w:val="0094480B"/>
    <w:rsid w:val="00944E24"/>
    <w:rsid w:val="00945164"/>
    <w:rsid w:val="00945C6F"/>
    <w:rsid w:val="00946203"/>
    <w:rsid w:val="00947832"/>
    <w:rsid w:val="00951967"/>
    <w:rsid w:val="0095432B"/>
    <w:rsid w:val="00955825"/>
    <w:rsid w:val="00955AF6"/>
    <w:rsid w:val="00955D2A"/>
    <w:rsid w:val="0095616A"/>
    <w:rsid w:val="00956847"/>
    <w:rsid w:val="00957BFE"/>
    <w:rsid w:val="00961924"/>
    <w:rsid w:val="009627A0"/>
    <w:rsid w:val="0096294C"/>
    <w:rsid w:val="009629C7"/>
    <w:rsid w:val="00962C97"/>
    <w:rsid w:val="009631D8"/>
    <w:rsid w:val="00963D62"/>
    <w:rsid w:val="00964D71"/>
    <w:rsid w:val="009661DC"/>
    <w:rsid w:val="009667F8"/>
    <w:rsid w:val="00967D62"/>
    <w:rsid w:val="00970D16"/>
    <w:rsid w:val="0097189A"/>
    <w:rsid w:val="0097200A"/>
    <w:rsid w:val="00972944"/>
    <w:rsid w:val="009733F4"/>
    <w:rsid w:val="009736EB"/>
    <w:rsid w:val="009754A7"/>
    <w:rsid w:val="0097689E"/>
    <w:rsid w:val="00976CDB"/>
    <w:rsid w:val="0097714A"/>
    <w:rsid w:val="00977F8A"/>
    <w:rsid w:val="00980006"/>
    <w:rsid w:val="009848C9"/>
    <w:rsid w:val="009849CF"/>
    <w:rsid w:val="009879C2"/>
    <w:rsid w:val="00987CF4"/>
    <w:rsid w:val="00990076"/>
    <w:rsid w:val="00991790"/>
    <w:rsid w:val="00991845"/>
    <w:rsid w:val="00992558"/>
    <w:rsid w:val="0099370A"/>
    <w:rsid w:val="009950B3"/>
    <w:rsid w:val="00995D97"/>
    <w:rsid w:val="00996AEB"/>
    <w:rsid w:val="009A41A2"/>
    <w:rsid w:val="009A6BFC"/>
    <w:rsid w:val="009A7960"/>
    <w:rsid w:val="009B09FE"/>
    <w:rsid w:val="009B2854"/>
    <w:rsid w:val="009B2F21"/>
    <w:rsid w:val="009B49A0"/>
    <w:rsid w:val="009B774A"/>
    <w:rsid w:val="009C0BE4"/>
    <w:rsid w:val="009C17F0"/>
    <w:rsid w:val="009C451C"/>
    <w:rsid w:val="009C4A7C"/>
    <w:rsid w:val="009C5922"/>
    <w:rsid w:val="009C5DAF"/>
    <w:rsid w:val="009C6731"/>
    <w:rsid w:val="009C680C"/>
    <w:rsid w:val="009C69D5"/>
    <w:rsid w:val="009C72DF"/>
    <w:rsid w:val="009D008F"/>
    <w:rsid w:val="009D0A1F"/>
    <w:rsid w:val="009D0AD7"/>
    <w:rsid w:val="009D207C"/>
    <w:rsid w:val="009D25BD"/>
    <w:rsid w:val="009D2B33"/>
    <w:rsid w:val="009D45E8"/>
    <w:rsid w:val="009D482E"/>
    <w:rsid w:val="009D4EC8"/>
    <w:rsid w:val="009D53EB"/>
    <w:rsid w:val="009D54A8"/>
    <w:rsid w:val="009D593E"/>
    <w:rsid w:val="009D5CF1"/>
    <w:rsid w:val="009D6EA7"/>
    <w:rsid w:val="009E0E18"/>
    <w:rsid w:val="009E11EE"/>
    <w:rsid w:val="009E39D6"/>
    <w:rsid w:val="009E4529"/>
    <w:rsid w:val="009E465E"/>
    <w:rsid w:val="009E5842"/>
    <w:rsid w:val="009E5B5C"/>
    <w:rsid w:val="009F01B0"/>
    <w:rsid w:val="009F066C"/>
    <w:rsid w:val="009F0A4C"/>
    <w:rsid w:val="009F0FA5"/>
    <w:rsid w:val="009F1E12"/>
    <w:rsid w:val="009F1F3A"/>
    <w:rsid w:val="009F3D84"/>
    <w:rsid w:val="009F41FE"/>
    <w:rsid w:val="009F4715"/>
    <w:rsid w:val="009F5244"/>
    <w:rsid w:val="009F5B27"/>
    <w:rsid w:val="009F641D"/>
    <w:rsid w:val="009F65C9"/>
    <w:rsid w:val="009F6AC7"/>
    <w:rsid w:val="00A007D0"/>
    <w:rsid w:val="00A01AD1"/>
    <w:rsid w:val="00A02593"/>
    <w:rsid w:val="00A03798"/>
    <w:rsid w:val="00A0606B"/>
    <w:rsid w:val="00A06F61"/>
    <w:rsid w:val="00A07D34"/>
    <w:rsid w:val="00A10BB0"/>
    <w:rsid w:val="00A1231E"/>
    <w:rsid w:val="00A13034"/>
    <w:rsid w:val="00A13132"/>
    <w:rsid w:val="00A1339D"/>
    <w:rsid w:val="00A13445"/>
    <w:rsid w:val="00A13C5F"/>
    <w:rsid w:val="00A13CB9"/>
    <w:rsid w:val="00A15252"/>
    <w:rsid w:val="00A15B3C"/>
    <w:rsid w:val="00A16C78"/>
    <w:rsid w:val="00A17D77"/>
    <w:rsid w:val="00A2016E"/>
    <w:rsid w:val="00A2036F"/>
    <w:rsid w:val="00A208FB"/>
    <w:rsid w:val="00A21DDA"/>
    <w:rsid w:val="00A22F12"/>
    <w:rsid w:val="00A23073"/>
    <w:rsid w:val="00A231FE"/>
    <w:rsid w:val="00A2356A"/>
    <w:rsid w:val="00A24920"/>
    <w:rsid w:val="00A25A59"/>
    <w:rsid w:val="00A26E8E"/>
    <w:rsid w:val="00A273A5"/>
    <w:rsid w:val="00A27D7E"/>
    <w:rsid w:val="00A310E9"/>
    <w:rsid w:val="00A312B6"/>
    <w:rsid w:val="00A3143D"/>
    <w:rsid w:val="00A31762"/>
    <w:rsid w:val="00A33031"/>
    <w:rsid w:val="00A354B5"/>
    <w:rsid w:val="00A36173"/>
    <w:rsid w:val="00A37386"/>
    <w:rsid w:val="00A373E1"/>
    <w:rsid w:val="00A400FE"/>
    <w:rsid w:val="00A428B3"/>
    <w:rsid w:val="00A43A10"/>
    <w:rsid w:val="00A43A41"/>
    <w:rsid w:val="00A43F04"/>
    <w:rsid w:val="00A44297"/>
    <w:rsid w:val="00A444EC"/>
    <w:rsid w:val="00A45BBB"/>
    <w:rsid w:val="00A46C40"/>
    <w:rsid w:val="00A47C5F"/>
    <w:rsid w:val="00A51E4D"/>
    <w:rsid w:val="00A51F07"/>
    <w:rsid w:val="00A524B8"/>
    <w:rsid w:val="00A5402D"/>
    <w:rsid w:val="00A55DFD"/>
    <w:rsid w:val="00A562C5"/>
    <w:rsid w:val="00A5709C"/>
    <w:rsid w:val="00A57753"/>
    <w:rsid w:val="00A62569"/>
    <w:rsid w:val="00A62C57"/>
    <w:rsid w:val="00A631A3"/>
    <w:rsid w:val="00A64217"/>
    <w:rsid w:val="00A65993"/>
    <w:rsid w:val="00A660A8"/>
    <w:rsid w:val="00A6630D"/>
    <w:rsid w:val="00A67C41"/>
    <w:rsid w:val="00A7205F"/>
    <w:rsid w:val="00A720FA"/>
    <w:rsid w:val="00A721D8"/>
    <w:rsid w:val="00A7341A"/>
    <w:rsid w:val="00A739AB"/>
    <w:rsid w:val="00A73A9C"/>
    <w:rsid w:val="00A73C69"/>
    <w:rsid w:val="00A75CB7"/>
    <w:rsid w:val="00A75FB6"/>
    <w:rsid w:val="00A81A75"/>
    <w:rsid w:val="00A820BD"/>
    <w:rsid w:val="00A826C2"/>
    <w:rsid w:val="00A83695"/>
    <w:rsid w:val="00A84E50"/>
    <w:rsid w:val="00A8540A"/>
    <w:rsid w:val="00A856C2"/>
    <w:rsid w:val="00A861B7"/>
    <w:rsid w:val="00A8706A"/>
    <w:rsid w:val="00A87442"/>
    <w:rsid w:val="00A877FE"/>
    <w:rsid w:val="00A9391C"/>
    <w:rsid w:val="00A94CC5"/>
    <w:rsid w:val="00A95345"/>
    <w:rsid w:val="00A9542E"/>
    <w:rsid w:val="00A960A0"/>
    <w:rsid w:val="00AA0527"/>
    <w:rsid w:val="00AA170E"/>
    <w:rsid w:val="00AA1754"/>
    <w:rsid w:val="00AA2CC8"/>
    <w:rsid w:val="00AA3148"/>
    <w:rsid w:val="00AA33DE"/>
    <w:rsid w:val="00AA3C68"/>
    <w:rsid w:val="00AA4269"/>
    <w:rsid w:val="00AA4363"/>
    <w:rsid w:val="00AA5CA7"/>
    <w:rsid w:val="00AB15C3"/>
    <w:rsid w:val="00AB1DBC"/>
    <w:rsid w:val="00AB1ED1"/>
    <w:rsid w:val="00AB1FD4"/>
    <w:rsid w:val="00AB24EB"/>
    <w:rsid w:val="00AB251D"/>
    <w:rsid w:val="00AB3339"/>
    <w:rsid w:val="00AB3A31"/>
    <w:rsid w:val="00AB5059"/>
    <w:rsid w:val="00AB656C"/>
    <w:rsid w:val="00AB74FC"/>
    <w:rsid w:val="00AB7722"/>
    <w:rsid w:val="00AC2A7F"/>
    <w:rsid w:val="00AC4230"/>
    <w:rsid w:val="00AC4E3B"/>
    <w:rsid w:val="00AC557B"/>
    <w:rsid w:val="00AC5F81"/>
    <w:rsid w:val="00AC60AC"/>
    <w:rsid w:val="00AC624B"/>
    <w:rsid w:val="00AC7A31"/>
    <w:rsid w:val="00AD02C1"/>
    <w:rsid w:val="00AD1E01"/>
    <w:rsid w:val="00AD32CE"/>
    <w:rsid w:val="00AD4674"/>
    <w:rsid w:val="00AD4F07"/>
    <w:rsid w:val="00AD584F"/>
    <w:rsid w:val="00AD5BEC"/>
    <w:rsid w:val="00AE3049"/>
    <w:rsid w:val="00AE38F5"/>
    <w:rsid w:val="00AE4B54"/>
    <w:rsid w:val="00AE4D61"/>
    <w:rsid w:val="00AE5461"/>
    <w:rsid w:val="00AE58E4"/>
    <w:rsid w:val="00AE69B5"/>
    <w:rsid w:val="00AE79B9"/>
    <w:rsid w:val="00AF0996"/>
    <w:rsid w:val="00AF31BD"/>
    <w:rsid w:val="00AF3580"/>
    <w:rsid w:val="00AF3FB7"/>
    <w:rsid w:val="00AF54E9"/>
    <w:rsid w:val="00AF55F2"/>
    <w:rsid w:val="00AF657A"/>
    <w:rsid w:val="00AF76C1"/>
    <w:rsid w:val="00B002F8"/>
    <w:rsid w:val="00B0087D"/>
    <w:rsid w:val="00B010A9"/>
    <w:rsid w:val="00B01614"/>
    <w:rsid w:val="00B039A9"/>
    <w:rsid w:val="00B0417C"/>
    <w:rsid w:val="00B0437E"/>
    <w:rsid w:val="00B0535C"/>
    <w:rsid w:val="00B05D37"/>
    <w:rsid w:val="00B06326"/>
    <w:rsid w:val="00B072F4"/>
    <w:rsid w:val="00B106F1"/>
    <w:rsid w:val="00B109B1"/>
    <w:rsid w:val="00B10B0B"/>
    <w:rsid w:val="00B1173B"/>
    <w:rsid w:val="00B12FF4"/>
    <w:rsid w:val="00B13442"/>
    <w:rsid w:val="00B1425E"/>
    <w:rsid w:val="00B164F7"/>
    <w:rsid w:val="00B167F8"/>
    <w:rsid w:val="00B17109"/>
    <w:rsid w:val="00B231BE"/>
    <w:rsid w:val="00B23E1C"/>
    <w:rsid w:val="00B24229"/>
    <w:rsid w:val="00B244D4"/>
    <w:rsid w:val="00B24994"/>
    <w:rsid w:val="00B251F9"/>
    <w:rsid w:val="00B25F1D"/>
    <w:rsid w:val="00B2664B"/>
    <w:rsid w:val="00B2782A"/>
    <w:rsid w:val="00B30487"/>
    <w:rsid w:val="00B30B51"/>
    <w:rsid w:val="00B324F4"/>
    <w:rsid w:val="00B33243"/>
    <w:rsid w:val="00B336D8"/>
    <w:rsid w:val="00B34BFA"/>
    <w:rsid w:val="00B356A4"/>
    <w:rsid w:val="00B3582A"/>
    <w:rsid w:val="00B35B39"/>
    <w:rsid w:val="00B40C78"/>
    <w:rsid w:val="00B411EC"/>
    <w:rsid w:val="00B41C0A"/>
    <w:rsid w:val="00B429CA"/>
    <w:rsid w:val="00B42C06"/>
    <w:rsid w:val="00B44596"/>
    <w:rsid w:val="00B44F22"/>
    <w:rsid w:val="00B45B05"/>
    <w:rsid w:val="00B45EDD"/>
    <w:rsid w:val="00B45F3D"/>
    <w:rsid w:val="00B471E0"/>
    <w:rsid w:val="00B47AA8"/>
    <w:rsid w:val="00B50B55"/>
    <w:rsid w:val="00B50F81"/>
    <w:rsid w:val="00B52C37"/>
    <w:rsid w:val="00B531BC"/>
    <w:rsid w:val="00B5360F"/>
    <w:rsid w:val="00B537A2"/>
    <w:rsid w:val="00B53979"/>
    <w:rsid w:val="00B54EA7"/>
    <w:rsid w:val="00B56F28"/>
    <w:rsid w:val="00B57455"/>
    <w:rsid w:val="00B614A5"/>
    <w:rsid w:val="00B61944"/>
    <w:rsid w:val="00B61F69"/>
    <w:rsid w:val="00B6216C"/>
    <w:rsid w:val="00B65B75"/>
    <w:rsid w:val="00B6639D"/>
    <w:rsid w:val="00B70B33"/>
    <w:rsid w:val="00B724CA"/>
    <w:rsid w:val="00B73689"/>
    <w:rsid w:val="00B73BB9"/>
    <w:rsid w:val="00B74628"/>
    <w:rsid w:val="00B74BBA"/>
    <w:rsid w:val="00B7598A"/>
    <w:rsid w:val="00B760A2"/>
    <w:rsid w:val="00B77651"/>
    <w:rsid w:val="00B806E1"/>
    <w:rsid w:val="00B80C47"/>
    <w:rsid w:val="00B812B9"/>
    <w:rsid w:val="00B81322"/>
    <w:rsid w:val="00B835B7"/>
    <w:rsid w:val="00B857B3"/>
    <w:rsid w:val="00B862CD"/>
    <w:rsid w:val="00B86487"/>
    <w:rsid w:val="00B87192"/>
    <w:rsid w:val="00B911D8"/>
    <w:rsid w:val="00B92E1A"/>
    <w:rsid w:val="00B93654"/>
    <w:rsid w:val="00B93D23"/>
    <w:rsid w:val="00B94951"/>
    <w:rsid w:val="00B95D33"/>
    <w:rsid w:val="00B96B6E"/>
    <w:rsid w:val="00B96CA3"/>
    <w:rsid w:val="00B97591"/>
    <w:rsid w:val="00B97B6E"/>
    <w:rsid w:val="00BA006C"/>
    <w:rsid w:val="00BA20B0"/>
    <w:rsid w:val="00BA3159"/>
    <w:rsid w:val="00BA372F"/>
    <w:rsid w:val="00BA4E67"/>
    <w:rsid w:val="00BA5CA2"/>
    <w:rsid w:val="00BA6156"/>
    <w:rsid w:val="00BA6305"/>
    <w:rsid w:val="00BA66FC"/>
    <w:rsid w:val="00BA7180"/>
    <w:rsid w:val="00BA7940"/>
    <w:rsid w:val="00BB302C"/>
    <w:rsid w:val="00BB3C51"/>
    <w:rsid w:val="00BB447B"/>
    <w:rsid w:val="00BB7A00"/>
    <w:rsid w:val="00BC0B52"/>
    <w:rsid w:val="00BC0D9F"/>
    <w:rsid w:val="00BC10F5"/>
    <w:rsid w:val="00BC3039"/>
    <w:rsid w:val="00BC45A7"/>
    <w:rsid w:val="00BC4D7B"/>
    <w:rsid w:val="00BC605E"/>
    <w:rsid w:val="00BC6786"/>
    <w:rsid w:val="00BC6C44"/>
    <w:rsid w:val="00BC7009"/>
    <w:rsid w:val="00BC7743"/>
    <w:rsid w:val="00BD04C0"/>
    <w:rsid w:val="00BD0B17"/>
    <w:rsid w:val="00BD1AD6"/>
    <w:rsid w:val="00BD1DB2"/>
    <w:rsid w:val="00BD3E66"/>
    <w:rsid w:val="00BD41A8"/>
    <w:rsid w:val="00BD696A"/>
    <w:rsid w:val="00BD6CDF"/>
    <w:rsid w:val="00BD78BA"/>
    <w:rsid w:val="00BE01B3"/>
    <w:rsid w:val="00BE0248"/>
    <w:rsid w:val="00BE072E"/>
    <w:rsid w:val="00BE13F2"/>
    <w:rsid w:val="00BE157D"/>
    <w:rsid w:val="00BE1B08"/>
    <w:rsid w:val="00BE2B40"/>
    <w:rsid w:val="00BE31BF"/>
    <w:rsid w:val="00BE38FA"/>
    <w:rsid w:val="00BE3D54"/>
    <w:rsid w:val="00BE466B"/>
    <w:rsid w:val="00BE61A4"/>
    <w:rsid w:val="00BE6356"/>
    <w:rsid w:val="00BE70E1"/>
    <w:rsid w:val="00BE7F64"/>
    <w:rsid w:val="00BF0939"/>
    <w:rsid w:val="00BF0A25"/>
    <w:rsid w:val="00BF0C10"/>
    <w:rsid w:val="00BF1719"/>
    <w:rsid w:val="00BF196F"/>
    <w:rsid w:val="00BF2981"/>
    <w:rsid w:val="00BF29D7"/>
    <w:rsid w:val="00BF2F07"/>
    <w:rsid w:val="00BF4049"/>
    <w:rsid w:val="00BF433B"/>
    <w:rsid w:val="00BF482E"/>
    <w:rsid w:val="00BF48DB"/>
    <w:rsid w:val="00BF4B8B"/>
    <w:rsid w:val="00BF5318"/>
    <w:rsid w:val="00BF5486"/>
    <w:rsid w:val="00BF5EE7"/>
    <w:rsid w:val="00BF6FE8"/>
    <w:rsid w:val="00BF7C57"/>
    <w:rsid w:val="00C01EB4"/>
    <w:rsid w:val="00C03731"/>
    <w:rsid w:val="00C03839"/>
    <w:rsid w:val="00C0400D"/>
    <w:rsid w:val="00C048B3"/>
    <w:rsid w:val="00C06955"/>
    <w:rsid w:val="00C073B7"/>
    <w:rsid w:val="00C11016"/>
    <w:rsid w:val="00C1291F"/>
    <w:rsid w:val="00C13B05"/>
    <w:rsid w:val="00C1447B"/>
    <w:rsid w:val="00C17CB6"/>
    <w:rsid w:val="00C217A1"/>
    <w:rsid w:val="00C21D70"/>
    <w:rsid w:val="00C221FB"/>
    <w:rsid w:val="00C22F23"/>
    <w:rsid w:val="00C233FD"/>
    <w:rsid w:val="00C23CCC"/>
    <w:rsid w:val="00C24859"/>
    <w:rsid w:val="00C25CDA"/>
    <w:rsid w:val="00C27E98"/>
    <w:rsid w:val="00C301CF"/>
    <w:rsid w:val="00C303A5"/>
    <w:rsid w:val="00C309F0"/>
    <w:rsid w:val="00C30CED"/>
    <w:rsid w:val="00C31183"/>
    <w:rsid w:val="00C31C0D"/>
    <w:rsid w:val="00C33847"/>
    <w:rsid w:val="00C340E9"/>
    <w:rsid w:val="00C34365"/>
    <w:rsid w:val="00C345C2"/>
    <w:rsid w:val="00C356A9"/>
    <w:rsid w:val="00C3572A"/>
    <w:rsid w:val="00C35B11"/>
    <w:rsid w:val="00C364B5"/>
    <w:rsid w:val="00C373B4"/>
    <w:rsid w:val="00C378BC"/>
    <w:rsid w:val="00C406E4"/>
    <w:rsid w:val="00C40C5E"/>
    <w:rsid w:val="00C40D08"/>
    <w:rsid w:val="00C411E2"/>
    <w:rsid w:val="00C41BA9"/>
    <w:rsid w:val="00C42121"/>
    <w:rsid w:val="00C42324"/>
    <w:rsid w:val="00C451CB"/>
    <w:rsid w:val="00C45FB0"/>
    <w:rsid w:val="00C46E8D"/>
    <w:rsid w:val="00C46F8F"/>
    <w:rsid w:val="00C505D2"/>
    <w:rsid w:val="00C5264C"/>
    <w:rsid w:val="00C533B5"/>
    <w:rsid w:val="00C53695"/>
    <w:rsid w:val="00C54FEB"/>
    <w:rsid w:val="00C55762"/>
    <w:rsid w:val="00C562FD"/>
    <w:rsid w:val="00C57261"/>
    <w:rsid w:val="00C57732"/>
    <w:rsid w:val="00C60214"/>
    <w:rsid w:val="00C602CC"/>
    <w:rsid w:val="00C62163"/>
    <w:rsid w:val="00C63403"/>
    <w:rsid w:val="00C6402C"/>
    <w:rsid w:val="00C64EA4"/>
    <w:rsid w:val="00C65610"/>
    <w:rsid w:val="00C66A35"/>
    <w:rsid w:val="00C67AF4"/>
    <w:rsid w:val="00C70A6E"/>
    <w:rsid w:val="00C7220E"/>
    <w:rsid w:val="00C72B99"/>
    <w:rsid w:val="00C73A00"/>
    <w:rsid w:val="00C73C69"/>
    <w:rsid w:val="00C74CBA"/>
    <w:rsid w:val="00C758FD"/>
    <w:rsid w:val="00C75E08"/>
    <w:rsid w:val="00C762E2"/>
    <w:rsid w:val="00C76C64"/>
    <w:rsid w:val="00C77DF4"/>
    <w:rsid w:val="00C81EC7"/>
    <w:rsid w:val="00C82AF3"/>
    <w:rsid w:val="00C8314D"/>
    <w:rsid w:val="00C84C2B"/>
    <w:rsid w:val="00C85CD7"/>
    <w:rsid w:val="00C85EE2"/>
    <w:rsid w:val="00C86150"/>
    <w:rsid w:val="00C870F2"/>
    <w:rsid w:val="00C879A4"/>
    <w:rsid w:val="00C87AEC"/>
    <w:rsid w:val="00C92FD7"/>
    <w:rsid w:val="00C93F04"/>
    <w:rsid w:val="00C94CAC"/>
    <w:rsid w:val="00C94DD9"/>
    <w:rsid w:val="00C9721C"/>
    <w:rsid w:val="00C979E0"/>
    <w:rsid w:val="00CA06C1"/>
    <w:rsid w:val="00CA1EB4"/>
    <w:rsid w:val="00CA2964"/>
    <w:rsid w:val="00CA2CEA"/>
    <w:rsid w:val="00CA3413"/>
    <w:rsid w:val="00CA41C9"/>
    <w:rsid w:val="00CA5716"/>
    <w:rsid w:val="00CA5F3F"/>
    <w:rsid w:val="00CA636D"/>
    <w:rsid w:val="00CA693C"/>
    <w:rsid w:val="00CA6985"/>
    <w:rsid w:val="00CA6E31"/>
    <w:rsid w:val="00CA7F67"/>
    <w:rsid w:val="00CB07AB"/>
    <w:rsid w:val="00CB15EC"/>
    <w:rsid w:val="00CB483C"/>
    <w:rsid w:val="00CB5545"/>
    <w:rsid w:val="00CB5F57"/>
    <w:rsid w:val="00CB6605"/>
    <w:rsid w:val="00CB7A72"/>
    <w:rsid w:val="00CB7DFB"/>
    <w:rsid w:val="00CC06AB"/>
    <w:rsid w:val="00CC0D14"/>
    <w:rsid w:val="00CC1D18"/>
    <w:rsid w:val="00CC39F0"/>
    <w:rsid w:val="00CC3E80"/>
    <w:rsid w:val="00CC49D6"/>
    <w:rsid w:val="00CC5FD9"/>
    <w:rsid w:val="00CC68B2"/>
    <w:rsid w:val="00CC7F63"/>
    <w:rsid w:val="00CD224A"/>
    <w:rsid w:val="00CD2D84"/>
    <w:rsid w:val="00CD39F8"/>
    <w:rsid w:val="00CD5672"/>
    <w:rsid w:val="00CD6134"/>
    <w:rsid w:val="00CD6622"/>
    <w:rsid w:val="00CD6B68"/>
    <w:rsid w:val="00CD7C93"/>
    <w:rsid w:val="00CE01D7"/>
    <w:rsid w:val="00CE0B01"/>
    <w:rsid w:val="00CE0CD5"/>
    <w:rsid w:val="00CE133F"/>
    <w:rsid w:val="00CE28C6"/>
    <w:rsid w:val="00CE2B81"/>
    <w:rsid w:val="00CE4DD4"/>
    <w:rsid w:val="00CE5941"/>
    <w:rsid w:val="00CE6B3C"/>
    <w:rsid w:val="00CE7BB7"/>
    <w:rsid w:val="00CF04D1"/>
    <w:rsid w:val="00CF16AE"/>
    <w:rsid w:val="00CF1A1B"/>
    <w:rsid w:val="00CF3ED9"/>
    <w:rsid w:val="00CF4589"/>
    <w:rsid w:val="00CF465D"/>
    <w:rsid w:val="00CF5DF2"/>
    <w:rsid w:val="00CF60BA"/>
    <w:rsid w:val="00CF694A"/>
    <w:rsid w:val="00CF6E4E"/>
    <w:rsid w:val="00CF7601"/>
    <w:rsid w:val="00CF7C34"/>
    <w:rsid w:val="00D013B9"/>
    <w:rsid w:val="00D01A8E"/>
    <w:rsid w:val="00D01D22"/>
    <w:rsid w:val="00D03946"/>
    <w:rsid w:val="00D03E58"/>
    <w:rsid w:val="00D048D2"/>
    <w:rsid w:val="00D0513F"/>
    <w:rsid w:val="00D06790"/>
    <w:rsid w:val="00D070E0"/>
    <w:rsid w:val="00D10407"/>
    <w:rsid w:val="00D142B6"/>
    <w:rsid w:val="00D152FB"/>
    <w:rsid w:val="00D20F65"/>
    <w:rsid w:val="00D215ED"/>
    <w:rsid w:val="00D219E7"/>
    <w:rsid w:val="00D228F9"/>
    <w:rsid w:val="00D23429"/>
    <w:rsid w:val="00D23FFC"/>
    <w:rsid w:val="00D24153"/>
    <w:rsid w:val="00D24CBA"/>
    <w:rsid w:val="00D24DAB"/>
    <w:rsid w:val="00D2673D"/>
    <w:rsid w:val="00D26C8A"/>
    <w:rsid w:val="00D26D28"/>
    <w:rsid w:val="00D27B2F"/>
    <w:rsid w:val="00D30434"/>
    <w:rsid w:val="00D312C9"/>
    <w:rsid w:val="00D31A61"/>
    <w:rsid w:val="00D323CD"/>
    <w:rsid w:val="00D32A64"/>
    <w:rsid w:val="00D33A74"/>
    <w:rsid w:val="00D33C6F"/>
    <w:rsid w:val="00D3445B"/>
    <w:rsid w:val="00D34CD2"/>
    <w:rsid w:val="00D35AF6"/>
    <w:rsid w:val="00D35DEA"/>
    <w:rsid w:val="00D361DC"/>
    <w:rsid w:val="00D364D3"/>
    <w:rsid w:val="00D36CC7"/>
    <w:rsid w:val="00D4125D"/>
    <w:rsid w:val="00D43C39"/>
    <w:rsid w:val="00D442BA"/>
    <w:rsid w:val="00D45ADA"/>
    <w:rsid w:val="00D47F6F"/>
    <w:rsid w:val="00D506B1"/>
    <w:rsid w:val="00D50C0B"/>
    <w:rsid w:val="00D51380"/>
    <w:rsid w:val="00D51DE2"/>
    <w:rsid w:val="00D52919"/>
    <w:rsid w:val="00D547BA"/>
    <w:rsid w:val="00D551F2"/>
    <w:rsid w:val="00D56C54"/>
    <w:rsid w:val="00D6051A"/>
    <w:rsid w:val="00D60813"/>
    <w:rsid w:val="00D61865"/>
    <w:rsid w:val="00D61A7B"/>
    <w:rsid w:val="00D632B6"/>
    <w:rsid w:val="00D6367F"/>
    <w:rsid w:val="00D64A7A"/>
    <w:rsid w:val="00D657C7"/>
    <w:rsid w:val="00D66BC1"/>
    <w:rsid w:val="00D67A62"/>
    <w:rsid w:val="00D711A6"/>
    <w:rsid w:val="00D714BA"/>
    <w:rsid w:val="00D7505B"/>
    <w:rsid w:val="00D75260"/>
    <w:rsid w:val="00D75B70"/>
    <w:rsid w:val="00D804C5"/>
    <w:rsid w:val="00D81681"/>
    <w:rsid w:val="00D820D1"/>
    <w:rsid w:val="00D82401"/>
    <w:rsid w:val="00D82AE2"/>
    <w:rsid w:val="00D82C4E"/>
    <w:rsid w:val="00D84911"/>
    <w:rsid w:val="00D84BB1"/>
    <w:rsid w:val="00D84EAF"/>
    <w:rsid w:val="00D850A4"/>
    <w:rsid w:val="00D856AD"/>
    <w:rsid w:val="00D85715"/>
    <w:rsid w:val="00D8583F"/>
    <w:rsid w:val="00D8727E"/>
    <w:rsid w:val="00D90152"/>
    <w:rsid w:val="00D91223"/>
    <w:rsid w:val="00D934BA"/>
    <w:rsid w:val="00D93950"/>
    <w:rsid w:val="00D96230"/>
    <w:rsid w:val="00D96452"/>
    <w:rsid w:val="00D966F3"/>
    <w:rsid w:val="00D96853"/>
    <w:rsid w:val="00D96FCD"/>
    <w:rsid w:val="00D978F5"/>
    <w:rsid w:val="00D978FE"/>
    <w:rsid w:val="00DA1547"/>
    <w:rsid w:val="00DA1832"/>
    <w:rsid w:val="00DA20D6"/>
    <w:rsid w:val="00DA2A6C"/>
    <w:rsid w:val="00DA2B2B"/>
    <w:rsid w:val="00DA30DA"/>
    <w:rsid w:val="00DA3734"/>
    <w:rsid w:val="00DA3AED"/>
    <w:rsid w:val="00DA4123"/>
    <w:rsid w:val="00DA68E7"/>
    <w:rsid w:val="00DA708F"/>
    <w:rsid w:val="00DA77B4"/>
    <w:rsid w:val="00DA7BE4"/>
    <w:rsid w:val="00DB003F"/>
    <w:rsid w:val="00DB16B2"/>
    <w:rsid w:val="00DB1F95"/>
    <w:rsid w:val="00DB21C4"/>
    <w:rsid w:val="00DB2BB1"/>
    <w:rsid w:val="00DB6BB3"/>
    <w:rsid w:val="00DB6D8A"/>
    <w:rsid w:val="00DB7AA7"/>
    <w:rsid w:val="00DC03E0"/>
    <w:rsid w:val="00DC11F3"/>
    <w:rsid w:val="00DC1C3E"/>
    <w:rsid w:val="00DC332F"/>
    <w:rsid w:val="00DC384C"/>
    <w:rsid w:val="00DC4DFE"/>
    <w:rsid w:val="00DC5E40"/>
    <w:rsid w:val="00DC69F0"/>
    <w:rsid w:val="00DC7BFF"/>
    <w:rsid w:val="00DD07FE"/>
    <w:rsid w:val="00DD162F"/>
    <w:rsid w:val="00DD327E"/>
    <w:rsid w:val="00DD3F5F"/>
    <w:rsid w:val="00DD4D1D"/>
    <w:rsid w:val="00DD54C6"/>
    <w:rsid w:val="00DD5A49"/>
    <w:rsid w:val="00DD75B2"/>
    <w:rsid w:val="00DE135C"/>
    <w:rsid w:val="00DE1B77"/>
    <w:rsid w:val="00DE3025"/>
    <w:rsid w:val="00DE3B74"/>
    <w:rsid w:val="00DE463E"/>
    <w:rsid w:val="00DE4646"/>
    <w:rsid w:val="00DE5411"/>
    <w:rsid w:val="00DE568D"/>
    <w:rsid w:val="00DE56CB"/>
    <w:rsid w:val="00DE5896"/>
    <w:rsid w:val="00DE7C0F"/>
    <w:rsid w:val="00DF03FB"/>
    <w:rsid w:val="00DF158A"/>
    <w:rsid w:val="00DF44D5"/>
    <w:rsid w:val="00DF4AB3"/>
    <w:rsid w:val="00DF5003"/>
    <w:rsid w:val="00DF5249"/>
    <w:rsid w:val="00DF5932"/>
    <w:rsid w:val="00E000FD"/>
    <w:rsid w:val="00E02B9E"/>
    <w:rsid w:val="00E03E05"/>
    <w:rsid w:val="00E0475B"/>
    <w:rsid w:val="00E0777F"/>
    <w:rsid w:val="00E10EA9"/>
    <w:rsid w:val="00E110EE"/>
    <w:rsid w:val="00E1136E"/>
    <w:rsid w:val="00E1182B"/>
    <w:rsid w:val="00E14286"/>
    <w:rsid w:val="00E167E0"/>
    <w:rsid w:val="00E16A35"/>
    <w:rsid w:val="00E16D38"/>
    <w:rsid w:val="00E20CCE"/>
    <w:rsid w:val="00E216EA"/>
    <w:rsid w:val="00E21B4B"/>
    <w:rsid w:val="00E22365"/>
    <w:rsid w:val="00E229E6"/>
    <w:rsid w:val="00E244D0"/>
    <w:rsid w:val="00E251D1"/>
    <w:rsid w:val="00E25793"/>
    <w:rsid w:val="00E26BAB"/>
    <w:rsid w:val="00E27C4D"/>
    <w:rsid w:val="00E27F1F"/>
    <w:rsid w:val="00E30761"/>
    <w:rsid w:val="00E316B0"/>
    <w:rsid w:val="00E33A6E"/>
    <w:rsid w:val="00E33CDF"/>
    <w:rsid w:val="00E33F44"/>
    <w:rsid w:val="00E34D42"/>
    <w:rsid w:val="00E35E8A"/>
    <w:rsid w:val="00E3681A"/>
    <w:rsid w:val="00E36E44"/>
    <w:rsid w:val="00E379F0"/>
    <w:rsid w:val="00E37D81"/>
    <w:rsid w:val="00E401A6"/>
    <w:rsid w:val="00E433DC"/>
    <w:rsid w:val="00E43562"/>
    <w:rsid w:val="00E4473B"/>
    <w:rsid w:val="00E457D2"/>
    <w:rsid w:val="00E4679A"/>
    <w:rsid w:val="00E469D4"/>
    <w:rsid w:val="00E46AC5"/>
    <w:rsid w:val="00E50E02"/>
    <w:rsid w:val="00E51029"/>
    <w:rsid w:val="00E512C7"/>
    <w:rsid w:val="00E52399"/>
    <w:rsid w:val="00E53F19"/>
    <w:rsid w:val="00E5461A"/>
    <w:rsid w:val="00E54676"/>
    <w:rsid w:val="00E55027"/>
    <w:rsid w:val="00E55A62"/>
    <w:rsid w:val="00E55E8A"/>
    <w:rsid w:val="00E5667A"/>
    <w:rsid w:val="00E56B89"/>
    <w:rsid w:val="00E56F6B"/>
    <w:rsid w:val="00E573D7"/>
    <w:rsid w:val="00E578D1"/>
    <w:rsid w:val="00E60466"/>
    <w:rsid w:val="00E608C5"/>
    <w:rsid w:val="00E60FC3"/>
    <w:rsid w:val="00E625CE"/>
    <w:rsid w:val="00E63ADF"/>
    <w:rsid w:val="00E64579"/>
    <w:rsid w:val="00E64BB6"/>
    <w:rsid w:val="00E65245"/>
    <w:rsid w:val="00E65992"/>
    <w:rsid w:val="00E66017"/>
    <w:rsid w:val="00E71979"/>
    <w:rsid w:val="00E72113"/>
    <w:rsid w:val="00E724B9"/>
    <w:rsid w:val="00E73AE3"/>
    <w:rsid w:val="00E7489B"/>
    <w:rsid w:val="00E754E7"/>
    <w:rsid w:val="00E75C2F"/>
    <w:rsid w:val="00E80F7A"/>
    <w:rsid w:val="00E81CA7"/>
    <w:rsid w:val="00E82C1D"/>
    <w:rsid w:val="00E82EFE"/>
    <w:rsid w:val="00E83297"/>
    <w:rsid w:val="00E83DCC"/>
    <w:rsid w:val="00E86C41"/>
    <w:rsid w:val="00E87358"/>
    <w:rsid w:val="00E87BDA"/>
    <w:rsid w:val="00E87F2C"/>
    <w:rsid w:val="00E904B9"/>
    <w:rsid w:val="00E91393"/>
    <w:rsid w:val="00E91DF4"/>
    <w:rsid w:val="00E938DF"/>
    <w:rsid w:val="00E94769"/>
    <w:rsid w:val="00E949E7"/>
    <w:rsid w:val="00E96874"/>
    <w:rsid w:val="00E96C77"/>
    <w:rsid w:val="00E973B3"/>
    <w:rsid w:val="00EA0495"/>
    <w:rsid w:val="00EA1844"/>
    <w:rsid w:val="00EA1BF4"/>
    <w:rsid w:val="00EA246E"/>
    <w:rsid w:val="00EA2658"/>
    <w:rsid w:val="00EA26F3"/>
    <w:rsid w:val="00EA275A"/>
    <w:rsid w:val="00EA2797"/>
    <w:rsid w:val="00EA4AC5"/>
    <w:rsid w:val="00EA5091"/>
    <w:rsid w:val="00EA709C"/>
    <w:rsid w:val="00EA71F5"/>
    <w:rsid w:val="00EB0611"/>
    <w:rsid w:val="00EB0F52"/>
    <w:rsid w:val="00EB16CB"/>
    <w:rsid w:val="00EB1899"/>
    <w:rsid w:val="00EB1EA1"/>
    <w:rsid w:val="00EB2135"/>
    <w:rsid w:val="00EB3208"/>
    <w:rsid w:val="00EB39FA"/>
    <w:rsid w:val="00EB5702"/>
    <w:rsid w:val="00EB5CEE"/>
    <w:rsid w:val="00EB5E4B"/>
    <w:rsid w:val="00EB67EB"/>
    <w:rsid w:val="00EB687E"/>
    <w:rsid w:val="00EB7D72"/>
    <w:rsid w:val="00EC0598"/>
    <w:rsid w:val="00EC0869"/>
    <w:rsid w:val="00EC091D"/>
    <w:rsid w:val="00EC0D24"/>
    <w:rsid w:val="00EC37B3"/>
    <w:rsid w:val="00EC44B4"/>
    <w:rsid w:val="00EC5826"/>
    <w:rsid w:val="00EC5AE4"/>
    <w:rsid w:val="00EC6941"/>
    <w:rsid w:val="00EC7BBC"/>
    <w:rsid w:val="00ED01CB"/>
    <w:rsid w:val="00ED1710"/>
    <w:rsid w:val="00ED196E"/>
    <w:rsid w:val="00ED29EB"/>
    <w:rsid w:val="00ED5E3B"/>
    <w:rsid w:val="00ED6681"/>
    <w:rsid w:val="00ED6E3A"/>
    <w:rsid w:val="00EE0F72"/>
    <w:rsid w:val="00EE21E4"/>
    <w:rsid w:val="00EE3881"/>
    <w:rsid w:val="00EE3C77"/>
    <w:rsid w:val="00EE4716"/>
    <w:rsid w:val="00EE4748"/>
    <w:rsid w:val="00EE47BE"/>
    <w:rsid w:val="00EE4FC1"/>
    <w:rsid w:val="00EE550E"/>
    <w:rsid w:val="00EE676B"/>
    <w:rsid w:val="00EE681B"/>
    <w:rsid w:val="00EE7D3E"/>
    <w:rsid w:val="00EF4498"/>
    <w:rsid w:val="00EF48F6"/>
    <w:rsid w:val="00EF5381"/>
    <w:rsid w:val="00EF58DD"/>
    <w:rsid w:val="00F00F9F"/>
    <w:rsid w:val="00F01660"/>
    <w:rsid w:val="00F03A50"/>
    <w:rsid w:val="00F04465"/>
    <w:rsid w:val="00F05C65"/>
    <w:rsid w:val="00F06077"/>
    <w:rsid w:val="00F06483"/>
    <w:rsid w:val="00F06528"/>
    <w:rsid w:val="00F0730F"/>
    <w:rsid w:val="00F075FD"/>
    <w:rsid w:val="00F106E0"/>
    <w:rsid w:val="00F1205C"/>
    <w:rsid w:val="00F13091"/>
    <w:rsid w:val="00F13592"/>
    <w:rsid w:val="00F157DF"/>
    <w:rsid w:val="00F15CBA"/>
    <w:rsid w:val="00F20565"/>
    <w:rsid w:val="00F20699"/>
    <w:rsid w:val="00F20B34"/>
    <w:rsid w:val="00F215C8"/>
    <w:rsid w:val="00F21A92"/>
    <w:rsid w:val="00F2211C"/>
    <w:rsid w:val="00F22FDF"/>
    <w:rsid w:val="00F2355B"/>
    <w:rsid w:val="00F24AFB"/>
    <w:rsid w:val="00F26FCB"/>
    <w:rsid w:val="00F30399"/>
    <w:rsid w:val="00F30EAB"/>
    <w:rsid w:val="00F326C8"/>
    <w:rsid w:val="00F328BF"/>
    <w:rsid w:val="00F32F2D"/>
    <w:rsid w:val="00F350CF"/>
    <w:rsid w:val="00F350F6"/>
    <w:rsid w:val="00F35C96"/>
    <w:rsid w:val="00F4110D"/>
    <w:rsid w:val="00F42718"/>
    <w:rsid w:val="00F4276E"/>
    <w:rsid w:val="00F432AB"/>
    <w:rsid w:val="00F4344D"/>
    <w:rsid w:val="00F43A06"/>
    <w:rsid w:val="00F44355"/>
    <w:rsid w:val="00F4465A"/>
    <w:rsid w:val="00F44DFE"/>
    <w:rsid w:val="00F458C8"/>
    <w:rsid w:val="00F45C61"/>
    <w:rsid w:val="00F463E3"/>
    <w:rsid w:val="00F46EE8"/>
    <w:rsid w:val="00F47AD8"/>
    <w:rsid w:val="00F50203"/>
    <w:rsid w:val="00F5027B"/>
    <w:rsid w:val="00F5122F"/>
    <w:rsid w:val="00F51AFC"/>
    <w:rsid w:val="00F52A24"/>
    <w:rsid w:val="00F53178"/>
    <w:rsid w:val="00F535A5"/>
    <w:rsid w:val="00F541AE"/>
    <w:rsid w:val="00F54E81"/>
    <w:rsid w:val="00F560C1"/>
    <w:rsid w:val="00F5649E"/>
    <w:rsid w:val="00F57B67"/>
    <w:rsid w:val="00F57F4B"/>
    <w:rsid w:val="00F6047E"/>
    <w:rsid w:val="00F61A34"/>
    <w:rsid w:val="00F61FEB"/>
    <w:rsid w:val="00F62C42"/>
    <w:rsid w:val="00F63024"/>
    <w:rsid w:val="00F63529"/>
    <w:rsid w:val="00F65399"/>
    <w:rsid w:val="00F66937"/>
    <w:rsid w:val="00F70A6B"/>
    <w:rsid w:val="00F71637"/>
    <w:rsid w:val="00F71E34"/>
    <w:rsid w:val="00F72CE7"/>
    <w:rsid w:val="00F73E58"/>
    <w:rsid w:val="00F755C7"/>
    <w:rsid w:val="00F75B4C"/>
    <w:rsid w:val="00F805D4"/>
    <w:rsid w:val="00F80CBA"/>
    <w:rsid w:val="00F81A9F"/>
    <w:rsid w:val="00F82221"/>
    <w:rsid w:val="00F83581"/>
    <w:rsid w:val="00F8549E"/>
    <w:rsid w:val="00F85AF0"/>
    <w:rsid w:val="00F85BE4"/>
    <w:rsid w:val="00F862B1"/>
    <w:rsid w:val="00F8643F"/>
    <w:rsid w:val="00F86803"/>
    <w:rsid w:val="00F86C99"/>
    <w:rsid w:val="00F86D7B"/>
    <w:rsid w:val="00F8736F"/>
    <w:rsid w:val="00F951E3"/>
    <w:rsid w:val="00FA0692"/>
    <w:rsid w:val="00FA0D44"/>
    <w:rsid w:val="00FA198A"/>
    <w:rsid w:val="00FA1C8C"/>
    <w:rsid w:val="00FA2563"/>
    <w:rsid w:val="00FA3C12"/>
    <w:rsid w:val="00FA3EA3"/>
    <w:rsid w:val="00FA58CB"/>
    <w:rsid w:val="00FA5D27"/>
    <w:rsid w:val="00FA5D9A"/>
    <w:rsid w:val="00FA677A"/>
    <w:rsid w:val="00FA6CFA"/>
    <w:rsid w:val="00FA6DE8"/>
    <w:rsid w:val="00FB0A94"/>
    <w:rsid w:val="00FB0BA4"/>
    <w:rsid w:val="00FB1C5D"/>
    <w:rsid w:val="00FB36B1"/>
    <w:rsid w:val="00FB4613"/>
    <w:rsid w:val="00FB4C81"/>
    <w:rsid w:val="00FB6428"/>
    <w:rsid w:val="00FB6841"/>
    <w:rsid w:val="00FC0AAD"/>
    <w:rsid w:val="00FC1724"/>
    <w:rsid w:val="00FC27DB"/>
    <w:rsid w:val="00FC380B"/>
    <w:rsid w:val="00FC5AC4"/>
    <w:rsid w:val="00FC6855"/>
    <w:rsid w:val="00FC6911"/>
    <w:rsid w:val="00FC6950"/>
    <w:rsid w:val="00FC73D9"/>
    <w:rsid w:val="00FC7A5E"/>
    <w:rsid w:val="00FD1F87"/>
    <w:rsid w:val="00FD35D0"/>
    <w:rsid w:val="00FD681B"/>
    <w:rsid w:val="00FD7331"/>
    <w:rsid w:val="00FD7FF0"/>
    <w:rsid w:val="00FE0E03"/>
    <w:rsid w:val="00FE3414"/>
    <w:rsid w:val="00FE3673"/>
    <w:rsid w:val="00FE5919"/>
    <w:rsid w:val="00FF049C"/>
    <w:rsid w:val="00FF19DC"/>
    <w:rsid w:val="00FF2188"/>
    <w:rsid w:val="00FF3272"/>
    <w:rsid w:val="00FF5F21"/>
    <w:rsid w:val="00FF6A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271D12"/>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uiPriority w:val="39"/>
    <w:rsid w:val="00D96F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Char, Char,fn,Footnote Text2,Footnote Text11,ALTS FOOTNOTE11,Footnote Text Char111,Footnote Text Char Char Char11,Footnote Text Char1 Char Char Char Char11,Footnote Text Char1 Char Char Char11,ALTS FOOTNOTE2,Footnote Text1"/>
    <w:basedOn w:val="Normal"/>
    <w:link w:val="FootnoteTextChar"/>
    <w:uiPriority w:val="99"/>
    <w:rsid w:val="00D96FCD"/>
    <w:rPr>
      <w:sz w:val="20"/>
      <w:szCs w:val="20"/>
    </w:rPr>
  </w:style>
  <w:style w:type="character" w:customStyle="1" w:styleId="FootnoteTextChar">
    <w:name w:val="Footnote Text Char"/>
    <w:aliases w:val="Footnote Char,Fußnote Char,Char Char, Char Char,fn Char,Footnote Text2 Char,Footnote Text11 Char,ALTS FOOTNOTE11 Char,Footnote Text Char111 Char,Footnote Text Char Char Char11 Char,Footnote Text Char1 Char Char Char Char11 Char"/>
    <w:basedOn w:val="DefaultParagraphFont"/>
    <w:link w:val="FootnoteText"/>
    <w:uiPriority w:val="99"/>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uiPriority w:val="99"/>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aliases w:val="Footnote Reference Number,Footnote symbol,Nota,Footnote number,de nota al pie,Ref,SUPERS,Voetnootmarkering,Char1,fr,o,(NECG) Footnote Reference,Times 10 Point,Exposant 3 Point,Footnote reference number,FR, Char1,Ch"/>
    <w:basedOn w:val="DefaultParagraphFont"/>
    <w:unhideWhenUsed/>
    <w:rsid w:val="00B251F9"/>
    <w:rPr>
      <w:vertAlign w:val="superscript"/>
    </w:rPr>
  </w:style>
  <w:style w:type="paragraph" w:customStyle="1" w:styleId="tvhtml">
    <w:name w:val="tv_html"/>
    <w:basedOn w:val="Normal"/>
    <w:rsid w:val="00C22F23"/>
    <w:pPr>
      <w:spacing w:before="100" w:beforeAutospacing="1" w:after="100" w:afterAutospacing="1"/>
    </w:pPr>
    <w:rPr>
      <w:rFonts w:eastAsia="Times New Roman"/>
    </w:rPr>
  </w:style>
  <w:style w:type="character" w:styleId="CommentReference">
    <w:name w:val="annotation reference"/>
    <w:basedOn w:val="DefaultParagraphFont"/>
    <w:uiPriority w:val="99"/>
    <w:semiHidden/>
    <w:unhideWhenUsed/>
    <w:rsid w:val="00154E6C"/>
    <w:rPr>
      <w:sz w:val="16"/>
      <w:szCs w:val="16"/>
    </w:rPr>
  </w:style>
  <w:style w:type="paragraph" w:styleId="CommentText">
    <w:name w:val="annotation text"/>
    <w:basedOn w:val="Normal"/>
    <w:link w:val="CommentTextChar"/>
    <w:uiPriority w:val="99"/>
    <w:unhideWhenUsed/>
    <w:rsid w:val="00154E6C"/>
    <w:rPr>
      <w:sz w:val="20"/>
      <w:szCs w:val="20"/>
    </w:rPr>
  </w:style>
  <w:style w:type="character" w:customStyle="1" w:styleId="CommentTextChar">
    <w:name w:val="Comment Text Char"/>
    <w:basedOn w:val="DefaultParagraphFont"/>
    <w:link w:val="CommentText"/>
    <w:uiPriority w:val="99"/>
    <w:rsid w:val="00154E6C"/>
    <w:rPr>
      <w:rFonts w:ascii="Times New Roman" w:hAnsi="Times New Roman"/>
    </w:rPr>
  </w:style>
  <w:style w:type="paragraph" w:styleId="CommentSubject">
    <w:name w:val="annotation subject"/>
    <w:basedOn w:val="CommentText"/>
    <w:next w:val="CommentText"/>
    <w:link w:val="CommentSubjectChar"/>
    <w:semiHidden/>
    <w:unhideWhenUsed/>
    <w:rsid w:val="00154E6C"/>
    <w:rPr>
      <w:b/>
      <w:bCs/>
    </w:rPr>
  </w:style>
  <w:style w:type="character" w:customStyle="1" w:styleId="CommentSubjectChar">
    <w:name w:val="Comment Subject Char"/>
    <w:basedOn w:val="CommentTextChar"/>
    <w:link w:val="CommentSubject"/>
    <w:semiHidden/>
    <w:rsid w:val="00154E6C"/>
    <w:rPr>
      <w:rFonts w:ascii="Times New Roman" w:hAnsi="Times New Roman"/>
      <w:b/>
      <w:bCs/>
    </w:rPr>
  </w:style>
  <w:style w:type="character" w:styleId="Strong">
    <w:name w:val="Strong"/>
    <w:basedOn w:val="DefaultParagraphFont"/>
    <w:qFormat/>
    <w:locked/>
    <w:rsid w:val="00DA68E7"/>
    <w:rPr>
      <w:b/>
      <w:bCs/>
    </w:rPr>
  </w:style>
  <w:style w:type="paragraph" w:styleId="NormalWeb">
    <w:name w:val="Normal (Web)"/>
    <w:basedOn w:val="Normal"/>
    <w:uiPriority w:val="99"/>
    <w:rsid w:val="004144C5"/>
    <w:pPr>
      <w:spacing w:before="100" w:beforeAutospacing="1" w:after="100" w:afterAutospacing="1"/>
    </w:pPr>
    <w:rPr>
      <w:rFonts w:eastAsia="Times New Roman"/>
    </w:rPr>
  </w:style>
  <w:style w:type="character" w:styleId="FollowedHyperlink">
    <w:name w:val="FollowedHyperlink"/>
    <w:basedOn w:val="DefaultParagraphFont"/>
    <w:semiHidden/>
    <w:unhideWhenUsed/>
    <w:rsid w:val="004144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6819">
      <w:bodyDiv w:val="1"/>
      <w:marLeft w:val="0"/>
      <w:marRight w:val="0"/>
      <w:marTop w:val="0"/>
      <w:marBottom w:val="0"/>
      <w:divBdr>
        <w:top w:val="none" w:sz="0" w:space="0" w:color="auto"/>
        <w:left w:val="none" w:sz="0" w:space="0" w:color="auto"/>
        <w:bottom w:val="none" w:sz="0" w:space="0" w:color="auto"/>
        <w:right w:val="none" w:sz="0" w:space="0" w:color="auto"/>
      </w:divBdr>
    </w:div>
    <w:div w:id="186330577">
      <w:bodyDiv w:val="1"/>
      <w:marLeft w:val="0"/>
      <w:marRight w:val="0"/>
      <w:marTop w:val="0"/>
      <w:marBottom w:val="0"/>
      <w:divBdr>
        <w:top w:val="none" w:sz="0" w:space="0" w:color="auto"/>
        <w:left w:val="none" w:sz="0" w:space="0" w:color="auto"/>
        <w:bottom w:val="none" w:sz="0" w:space="0" w:color="auto"/>
        <w:right w:val="none" w:sz="0" w:space="0" w:color="auto"/>
      </w:divBdr>
    </w:div>
    <w:div w:id="188422274">
      <w:bodyDiv w:val="1"/>
      <w:marLeft w:val="0"/>
      <w:marRight w:val="0"/>
      <w:marTop w:val="0"/>
      <w:marBottom w:val="0"/>
      <w:divBdr>
        <w:top w:val="none" w:sz="0" w:space="0" w:color="auto"/>
        <w:left w:val="none" w:sz="0" w:space="0" w:color="auto"/>
        <w:bottom w:val="none" w:sz="0" w:space="0" w:color="auto"/>
        <w:right w:val="none" w:sz="0" w:space="0" w:color="auto"/>
      </w:divBdr>
    </w:div>
    <w:div w:id="257904853">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9549">
      <w:bodyDiv w:val="1"/>
      <w:marLeft w:val="0"/>
      <w:marRight w:val="0"/>
      <w:marTop w:val="0"/>
      <w:marBottom w:val="0"/>
      <w:divBdr>
        <w:top w:val="none" w:sz="0" w:space="0" w:color="auto"/>
        <w:left w:val="none" w:sz="0" w:space="0" w:color="auto"/>
        <w:bottom w:val="none" w:sz="0" w:space="0" w:color="auto"/>
        <w:right w:val="none" w:sz="0" w:space="0" w:color="auto"/>
      </w:divBdr>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095327227">
      <w:bodyDiv w:val="1"/>
      <w:marLeft w:val="0"/>
      <w:marRight w:val="0"/>
      <w:marTop w:val="0"/>
      <w:marBottom w:val="0"/>
      <w:divBdr>
        <w:top w:val="none" w:sz="0" w:space="0" w:color="auto"/>
        <w:left w:val="none" w:sz="0" w:space="0" w:color="auto"/>
        <w:bottom w:val="none" w:sz="0" w:space="0" w:color="auto"/>
        <w:right w:val="none" w:sz="0" w:space="0" w:color="auto"/>
      </w:divBdr>
    </w:div>
    <w:div w:id="1319001045">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5685-par-konceptualo-zinojumu-par-jauna-doktoranturas-modela-ieviesanu-latvij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sa.lv/wp-content/uploads/2020/05/IKZK-12052020.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sa.lv/politikiem-nosutita-atklata-vestule-par-finansiala-atbalsta-sniegsanu-studentiem-covid-19-krizes-laika/" TargetMode="External"/><Relationship Id="rId4" Type="http://schemas.openxmlformats.org/officeDocument/2006/relationships/settings" Target="settings.xml"/><Relationship Id="rId9" Type="http://schemas.openxmlformats.org/officeDocument/2006/relationships/hyperlink" Target="https://www.izm.gov.lv/lv/nozares/izglitiba/augstaka-izglitiba/280-augstakas-izglitibas-finansesanas-modelis/3933-valsts-budzeta-finansetas-studiju-vietas-2020-gad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4A06C-F438-407E-89A5-A13DE1EDE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8919</Words>
  <Characters>5084</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Ministru kabineta rīkojuma projekts "Par finanšu līdzekļu piešķiršanu no valsts budžeta programmas "Līdzekļi neparedzētiem gadījumiem”"</vt:lpstr>
    </vt:vector>
  </TitlesOfParts>
  <Company>Izglītības un zinātnes ministrija, Sporta departaments</Company>
  <LinksUpToDate>false</LinksUpToDate>
  <CharactersWithSpaces>13976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finanšu līdzekļu piešķiršanu no valsts budžeta programmas "Līdzekļi neparedzētiem gadījumiem”"</dc:title>
  <dc:subject>Sākotnējās ietekmes novērtējuma ziņojums (anotācija)</dc:subject>
  <dc:creator>Edgars Severs</dc:creator>
  <cp:keywords/>
  <dc:description/>
  <cp:lastModifiedBy>marika.laudere@izm.gov.lv</cp:lastModifiedBy>
  <cp:revision>13</cp:revision>
  <cp:lastPrinted>2018-03-22T14:28:00Z</cp:lastPrinted>
  <dcterms:created xsi:type="dcterms:W3CDTF">2020-07-24T09:55:00Z</dcterms:created>
  <dcterms:modified xsi:type="dcterms:W3CDTF">2020-08-13T11:08:00Z</dcterms:modified>
</cp:coreProperties>
</file>