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7770C5" w:rsidRDefault="00920A52" w:rsidP="00DA68E7">
      <w:pPr>
        <w:jc w:val="center"/>
        <w:rPr>
          <w:b/>
          <w:sz w:val="26"/>
          <w:szCs w:val="26"/>
        </w:rPr>
      </w:pPr>
      <w:bookmarkStart w:id="0" w:name="OLE_LINK3"/>
      <w:bookmarkStart w:id="1" w:name="OLE_LINK4"/>
      <w:bookmarkStart w:id="2" w:name="OLE_LINK1"/>
      <w:r w:rsidRPr="007770C5">
        <w:rPr>
          <w:b/>
          <w:sz w:val="26"/>
          <w:szCs w:val="26"/>
        </w:rPr>
        <w:t>Minis</w:t>
      </w:r>
      <w:r w:rsidR="00113533" w:rsidRPr="007770C5">
        <w:rPr>
          <w:b/>
          <w:sz w:val="26"/>
          <w:szCs w:val="26"/>
        </w:rPr>
        <w:t>tru kabineta rīkojuma projekta „</w:t>
      </w:r>
      <w:r w:rsidR="00DA68E7" w:rsidRPr="007770C5">
        <w:rPr>
          <w:b/>
          <w:sz w:val="26"/>
          <w:szCs w:val="26"/>
        </w:rPr>
        <w:t>Par finanšu līdzekļu piešķiršanu no valsts budžeta programmas „Līdzekļi neparedzētiem gadījumiem””</w:t>
      </w:r>
      <w:r w:rsidRPr="007770C5">
        <w:rPr>
          <w:b/>
          <w:sz w:val="26"/>
          <w:szCs w:val="26"/>
        </w:rPr>
        <w:t xml:space="preserve"> sākotnējās ietekmes novērtējuma ziņojums (anotācija)</w:t>
      </w:r>
    </w:p>
    <w:p w14:paraId="4E59E4F2" w14:textId="77777777" w:rsidR="00761B03" w:rsidRPr="007770C5"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770C5" w:rsidRPr="007770C5" w14:paraId="43EC8E26" w14:textId="77777777" w:rsidTr="00DB6D8A">
        <w:tc>
          <w:tcPr>
            <w:tcW w:w="10060" w:type="dxa"/>
            <w:gridSpan w:val="2"/>
            <w:vAlign w:val="center"/>
          </w:tcPr>
          <w:p w14:paraId="69B0EFCD" w14:textId="77777777" w:rsidR="00717D4B" w:rsidRPr="007770C5" w:rsidRDefault="00717D4B" w:rsidP="001B2A96">
            <w:pPr>
              <w:pStyle w:val="naisnod"/>
              <w:spacing w:before="0" w:after="0"/>
            </w:pPr>
            <w:r w:rsidRPr="007770C5">
              <w:t>Tiesību akta projekta anotācijas kopsavilkums</w:t>
            </w:r>
          </w:p>
        </w:tc>
      </w:tr>
      <w:tr w:rsidR="007770C5" w:rsidRPr="007770C5" w14:paraId="1F5874AC" w14:textId="77777777" w:rsidTr="00DB6D8A">
        <w:trPr>
          <w:trHeight w:val="476"/>
        </w:trPr>
        <w:tc>
          <w:tcPr>
            <w:tcW w:w="2547" w:type="dxa"/>
            <w:tcBorders>
              <w:bottom w:val="single" w:sz="4" w:space="0" w:color="auto"/>
            </w:tcBorders>
          </w:tcPr>
          <w:p w14:paraId="65161940" w14:textId="387F3FA4" w:rsidR="00667437" w:rsidRPr="007770C5" w:rsidRDefault="00A67C41" w:rsidP="00667437">
            <w:pPr>
              <w:pStyle w:val="naiskr"/>
              <w:spacing w:before="0" w:after="0"/>
              <w:ind w:left="141"/>
            </w:pPr>
            <w:r w:rsidRPr="007770C5">
              <w:t>Mērķis, risinājums un projekta spēkā stāšanās laiks (500 zīmes bez atstarpēm)</w:t>
            </w:r>
          </w:p>
        </w:tc>
        <w:tc>
          <w:tcPr>
            <w:tcW w:w="7513" w:type="dxa"/>
            <w:tcBorders>
              <w:bottom w:val="single" w:sz="4" w:space="0" w:color="auto"/>
            </w:tcBorders>
          </w:tcPr>
          <w:p w14:paraId="1BD3971A" w14:textId="25FE10ED" w:rsidR="00E418B1" w:rsidRPr="007770C5" w:rsidRDefault="00032A0F" w:rsidP="00E80639">
            <w:pPr>
              <w:ind w:left="82" w:right="141"/>
              <w:jc w:val="both"/>
            </w:pPr>
            <w:r w:rsidRPr="00D86128">
              <w:rPr>
                <w:color w:val="000000" w:themeColor="text1"/>
              </w:rPr>
              <w:t xml:space="preserve">Projekts paredz </w:t>
            </w:r>
            <w:r w:rsidR="000D0D39" w:rsidRPr="00D86128">
              <w:rPr>
                <w:color w:val="000000" w:themeColor="text1"/>
              </w:rPr>
              <w:t xml:space="preserve">no valsts budžeta programmas 02.00.00 „Līdzekļi neparedzētiem gadījumiem” </w:t>
            </w:r>
            <w:r w:rsidR="00E13752" w:rsidRPr="00D86128">
              <w:rPr>
                <w:color w:val="000000" w:themeColor="text1"/>
              </w:rPr>
              <w:t xml:space="preserve">2020. gadā </w:t>
            </w:r>
            <w:r w:rsidR="00CC6EFF" w:rsidRPr="00D86128">
              <w:rPr>
                <w:color w:val="000000" w:themeColor="text1"/>
              </w:rPr>
              <w:t>piešķirt Izglītības un zinātnes ministrijai</w:t>
            </w:r>
            <w:r w:rsidR="00D86128">
              <w:rPr>
                <w:color w:val="000000" w:themeColor="text1"/>
              </w:rPr>
              <w:t xml:space="preserve"> </w:t>
            </w:r>
            <w:r w:rsidR="004207F0" w:rsidRPr="00D86128">
              <w:rPr>
                <w:color w:val="000000" w:themeColor="text1"/>
              </w:rPr>
              <w:t xml:space="preserve">līdz </w:t>
            </w:r>
            <w:r w:rsidR="00E418B1" w:rsidRPr="00D86128">
              <w:rPr>
                <w:color w:val="000000" w:themeColor="text1"/>
                <w:shd w:val="clear" w:color="auto" w:fill="FFFFFF"/>
              </w:rPr>
              <w:t xml:space="preserve">2 455 983 </w:t>
            </w:r>
            <w:r w:rsidR="000D0D39" w:rsidRPr="00D86128">
              <w:rPr>
                <w:i/>
                <w:color w:val="000000" w:themeColor="text1"/>
              </w:rPr>
              <w:t>euro</w:t>
            </w:r>
            <w:r w:rsidR="00E418B1" w:rsidRPr="00D86128">
              <w:rPr>
                <w:i/>
                <w:color w:val="000000" w:themeColor="text1"/>
              </w:rPr>
              <w:t xml:space="preserve"> z</w:t>
            </w:r>
            <w:r w:rsidR="00E418B1" w:rsidRPr="00D86128">
              <w:rPr>
                <w:color w:val="000000" w:themeColor="text1"/>
                <w:shd w:val="clear" w:color="auto" w:fill="FFFFFF"/>
              </w:rPr>
              <w:t xml:space="preserve">inātnisko institūciju zinātnes izcilības un snieguma finansējuma nodrošināšanai pētniecības specializācijas, izcilības un ietekmes stiprināšanai – vienotas akadēmiskās un zinātniskās karjeras sistēmas reformas </w:t>
            </w:r>
            <w:r w:rsidR="00E80639">
              <w:rPr>
                <w:color w:val="000000" w:themeColor="text1"/>
                <w:shd w:val="clear" w:color="auto" w:fill="FFFFFF"/>
              </w:rPr>
              <w:t>uzsākšanai</w:t>
            </w:r>
            <w:r w:rsidR="00E80639" w:rsidRPr="00D86128">
              <w:rPr>
                <w:color w:val="000000" w:themeColor="text1"/>
                <w:shd w:val="clear" w:color="auto" w:fill="FFFFFF"/>
              </w:rPr>
              <w:t xml:space="preserve"> </w:t>
            </w:r>
            <w:r w:rsidR="00E418B1" w:rsidRPr="00D86128">
              <w:rPr>
                <w:color w:val="000000" w:themeColor="text1"/>
                <w:shd w:val="clear" w:color="auto" w:fill="FFFFFF"/>
              </w:rPr>
              <w:t>un zinātnes un inovācijas lomas palielināšanai</w:t>
            </w:r>
            <w:r w:rsidR="000E5CFA" w:rsidRPr="00D86128">
              <w:rPr>
                <w:color w:val="000000" w:themeColor="text1"/>
                <w:shd w:val="clear" w:color="auto" w:fill="FFFFFF"/>
              </w:rPr>
              <w:t>,</w:t>
            </w:r>
            <w:r w:rsidR="00D86128">
              <w:rPr>
                <w:color w:val="000000" w:themeColor="text1"/>
                <w:shd w:val="clear" w:color="auto" w:fill="FFFFFF"/>
              </w:rPr>
              <w:t xml:space="preserve"> </w:t>
            </w:r>
            <w:r w:rsidR="000E5CFA" w:rsidRPr="00D86128">
              <w:rPr>
                <w:color w:val="000000" w:themeColor="text1"/>
              </w:rPr>
              <w:t>mazinot Covid-19 krīzes radīto negatīvo seku ietekmi uz zinātnes nozari.</w:t>
            </w:r>
          </w:p>
        </w:tc>
      </w:tr>
    </w:tbl>
    <w:p w14:paraId="1F80B51E" w14:textId="77777777" w:rsidR="00717D4B" w:rsidRPr="007770C5"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7770C5" w:rsidRPr="007770C5" w14:paraId="49F7013D" w14:textId="77777777" w:rsidTr="00FC2CBC">
        <w:tc>
          <w:tcPr>
            <w:tcW w:w="10060" w:type="dxa"/>
            <w:gridSpan w:val="3"/>
            <w:vAlign w:val="center"/>
          </w:tcPr>
          <w:bookmarkEnd w:id="0"/>
          <w:bookmarkEnd w:id="1"/>
          <w:bookmarkEnd w:id="2"/>
          <w:p w14:paraId="27B0F014" w14:textId="77777777" w:rsidR="00585B7B" w:rsidRPr="007770C5" w:rsidRDefault="00585B7B" w:rsidP="00194A0F">
            <w:pPr>
              <w:pStyle w:val="naisnod"/>
              <w:spacing w:before="0" w:after="0"/>
            </w:pPr>
            <w:r w:rsidRPr="007770C5">
              <w:t>I. Tiesību akta projekta izstrādes nepieciešamība</w:t>
            </w:r>
          </w:p>
        </w:tc>
      </w:tr>
      <w:tr w:rsidR="007770C5" w:rsidRPr="007770C5" w14:paraId="1B27C5D4" w14:textId="77777777" w:rsidTr="00FC2CBC">
        <w:trPr>
          <w:trHeight w:val="630"/>
        </w:trPr>
        <w:tc>
          <w:tcPr>
            <w:tcW w:w="562" w:type="dxa"/>
          </w:tcPr>
          <w:p w14:paraId="23F75010" w14:textId="77777777" w:rsidR="00585B7B" w:rsidRPr="007770C5" w:rsidRDefault="00585B7B" w:rsidP="00BD696A">
            <w:pPr>
              <w:pStyle w:val="naiskr"/>
              <w:spacing w:before="0" w:after="0"/>
              <w:jc w:val="center"/>
            </w:pPr>
            <w:r w:rsidRPr="007770C5">
              <w:t>1.</w:t>
            </w:r>
          </w:p>
        </w:tc>
        <w:tc>
          <w:tcPr>
            <w:tcW w:w="1884" w:type="dxa"/>
          </w:tcPr>
          <w:p w14:paraId="61C7338D" w14:textId="3B25BEC8" w:rsidR="00ED01CB" w:rsidRPr="007770C5" w:rsidRDefault="00585B7B" w:rsidP="00B33243">
            <w:pPr>
              <w:pStyle w:val="naiskr"/>
              <w:tabs>
                <w:tab w:val="right" w:pos="2537"/>
              </w:tabs>
              <w:spacing w:before="0" w:after="0"/>
              <w:ind w:left="141" w:hanging="10"/>
            </w:pPr>
            <w:r w:rsidRPr="007770C5">
              <w:t>Pamatojums</w:t>
            </w:r>
            <w:r w:rsidR="00B33243" w:rsidRPr="007770C5">
              <w:tab/>
            </w:r>
          </w:p>
          <w:p w14:paraId="34EB22D4" w14:textId="77777777" w:rsidR="00ED01CB" w:rsidRPr="007770C5" w:rsidRDefault="00ED01CB" w:rsidP="00ED01CB"/>
          <w:p w14:paraId="1CA5BA33" w14:textId="77777777" w:rsidR="00ED01CB" w:rsidRPr="007770C5" w:rsidRDefault="00ED01CB" w:rsidP="00ED01CB"/>
          <w:p w14:paraId="15AFB181" w14:textId="77777777" w:rsidR="00ED01CB" w:rsidRPr="007770C5" w:rsidRDefault="00ED01CB" w:rsidP="00ED01CB"/>
          <w:p w14:paraId="3214E29D" w14:textId="10395172" w:rsidR="00ED01CB" w:rsidRPr="007770C5" w:rsidRDefault="00ED01CB" w:rsidP="00ED01CB"/>
          <w:p w14:paraId="01F64302" w14:textId="77777777" w:rsidR="00585B7B" w:rsidRPr="007770C5" w:rsidRDefault="00585B7B" w:rsidP="00ED01CB">
            <w:pPr>
              <w:jc w:val="center"/>
            </w:pPr>
          </w:p>
        </w:tc>
        <w:tc>
          <w:tcPr>
            <w:tcW w:w="7614" w:type="dxa"/>
          </w:tcPr>
          <w:p w14:paraId="70A8D5D2" w14:textId="0B4F45C0" w:rsidR="00E251D1" w:rsidRPr="007770C5" w:rsidRDefault="00E251D1" w:rsidP="00FC2CBC">
            <w:pPr>
              <w:pStyle w:val="ListParagraph"/>
              <w:numPr>
                <w:ilvl w:val="0"/>
                <w:numId w:val="26"/>
              </w:numPr>
              <w:ind w:left="461"/>
              <w:jc w:val="both"/>
            </w:pPr>
            <w:r w:rsidRPr="007770C5">
              <w:t>Covid-19 infekcijas izplatības seku pārvarēšanas likuma 24. un 25. pants un Ministru kabineta 2018. gada 17. jūlija noteikumu Nr. 421 „Kārtība, kādā veic gadskārtējā valsts budžeta likumā noteiktās apropriācijas izmaiņas” 43. punkts.</w:t>
            </w:r>
          </w:p>
          <w:p w14:paraId="2CE136F5" w14:textId="77777777" w:rsidR="000428AD" w:rsidRDefault="00D8583F" w:rsidP="000428AD">
            <w:pPr>
              <w:pStyle w:val="ListParagraph"/>
              <w:numPr>
                <w:ilvl w:val="0"/>
                <w:numId w:val="26"/>
              </w:numPr>
              <w:ind w:right="142"/>
              <w:jc w:val="both"/>
            </w:pPr>
            <w:r w:rsidRPr="007770C5">
              <w:t xml:space="preserve">Ministru kabineta </w:t>
            </w:r>
            <w:r w:rsidR="00E251D1" w:rsidRPr="007770C5">
              <w:t>2020</w:t>
            </w:r>
            <w:r w:rsidRPr="007770C5">
              <w:t>.</w:t>
            </w:r>
            <w:r w:rsidR="00F4110D" w:rsidRPr="007770C5">
              <w:t xml:space="preserve"> </w:t>
            </w:r>
            <w:r w:rsidRPr="007770C5">
              <w:t xml:space="preserve">gada </w:t>
            </w:r>
            <w:r w:rsidR="00E251D1" w:rsidRPr="007770C5">
              <w:t xml:space="preserve">2. jūnija </w:t>
            </w:r>
            <w:r w:rsidRPr="007770C5">
              <w:t>sēdes protokollēmuma „</w:t>
            </w:r>
            <w:r w:rsidR="00E251D1" w:rsidRPr="007770C5">
              <w:t>Informatīvais ziņojums „Par pasākumiem Covid-19 krīzes pārvarēšanai un ekonomikas atlabšanai””</w:t>
            </w:r>
            <w:r w:rsidRPr="007770C5">
              <w:t xml:space="preserve"> (prot. Nr.</w:t>
            </w:r>
            <w:r w:rsidR="00E251D1" w:rsidRPr="007770C5">
              <w:t>38</w:t>
            </w:r>
            <w:r w:rsidRPr="007770C5">
              <w:t xml:space="preserve"> </w:t>
            </w:r>
            <w:r w:rsidR="00E251D1" w:rsidRPr="007770C5">
              <w:t>49</w:t>
            </w:r>
            <w:r w:rsidRPr="007770C5">
              <w:t xml:space="preserve">.§.) </w:t>
            </w:r>
            <w:r w:rsidR="00E251D1" w:rsidRPr="007770C5">
              <w:t>1</w:t>
            </w:r>
            <w:r w:rsidRPr="007770C5">
              <w:t>4.</w:t>
            </w:r>
            <w:r w:rsidR="00F4110D" w:rsidRPr="007770C5">
              <w:t xml:space="preserve"> </w:t>
            </w:r>
            <w:r w:rsidRPr="007770C5">
              <w:t>punkts</w:t>
            </w:r>
            <w:r w:rsidR="00AA3148" w:rsidRPr="007770C5">
              <w:t>.</w:t>
            </w:r>
          </w:p>
          <w:p w14:paraId="689444FE" w14:textId="67FB405E" w:rsidR="00C21650" w:rsidRPr="000428AD" w:rsidRDefault="000428AD" w:rsidP="000428AD">
            <w:pPr>
              <w:pStyle w:val="ListParagraph"/>
              <w:numPr>
                <w:ilvl w:val="0"/>
                <w:numId w:val="26"/>
              </w:numPr>
              <w:ind w:right="142"/>
              <w:jc w:val="both"/>
            </w:pPr>
            <w:r>
              <w:t>Ministru kabineta 2020. gada 11. augusta sēdes protokollēmuma “Informatīvais ziņojums “Par Izglītības un zinātnes ministrijas pasākumiem Covid-19 krīzes pārvarēšanai un ekonomikas atlabšanai”” 2.punkts (i</w:t>
            </w:r>
            <w:r w:rsidRPr="000428AD">
              <w:rPr>
                <w:shd w:val="clear" w:color="auto" w:fill="FFFFFF"/>
              </w:rPr>
              <w:t>zskatīts Ministru kabineta 2020. gada 11. augustā sēdē</w:t>
            </w:r>
            <w:r>
              <w:t>).</w:t>
            </w:r>
          </w:p>
        </w:tc>
      </w:tr>
      <w:tr w:rsidR="007770C5" w:rsidRPr="007770C5" w14:paraId="4917C93B" w14:textId="77777777" w:rsidTr="00FC2CBC">
        <w:trPr>
          <w:trHeight w:val="562"/>
        </w:trPr>
        <w:tc>
          <w:tcPr>
            <w:tcW w:w="562" w:type="dxa"/>
          </w:tcPr>
          <w:p w14:paraId="5FDD0BAA" w14:textId="77777777" w:rsidR="00585B7B" w:rsidRPr="007770C5" w:rsidRDefault="00585B7B" w:rsidP="00BD696A">
            <w:pPr>
              <w:pStyle w:val="naiskr"/>
              <w:spacing w:before="0" w:after="0"/>
              <w:jc w:val="center"/>
            </w:pPr>
            <w:r w:rsidRPr="007770C5">
              <w:t>2.</w:t>
            </w:r>
          </w:p>
        </w:tc>
        <w:tc>
          <w:tcPr>
            <w:tcW w:w="1884" w:type="dxa"/>
          </w:tcPr>
          <w:p w14:paraId="3E1554B2" w14:textId="77777777" w:rsidR="00955825" w:rsidRPr="007770C5" w:rsidRDefault="00005A9D" w:rsidP="00916055">
            <w:pPr>
              <w:pStyle w:val="naiskr"/>
              <w:tabs>
                <w:tab w:val="left" w:pos="170"/>
              </w:tabs>
              <w:spacing w:before="0" w:after="0"/>
              <w:ind w:left="141"/>
            </w:pPr>
            <w:r w:rsidRPr="007770C5">
              <w:t>Pašreizējā situācija un problēmas, kuru risināšanai tiesību akta projekts izstrādāts, tiesiskā regulējuma mērķis un būtība</w:t>
            </w:r>
          </w:p>
          <w:p w14:paraId="535F05A2" w14:textId="77777777" w:rsidR="00955825" w:rsidRPr="007770C5" w:rsidRDefault="00955825" w:rsidP="00955825"/>
          <w:p w14:paraId="7F67F0F0" w14:textId="77777777" w:rsidR="00585B7B" w:rsidRPr="007770C5" w:rsidRDefault="00585B7B" w:rsidP="00955825">
            <w:pPr>
              <w:ind w:firstLine="720"/>
            </w:pPr>
          </w:p>
        </w:tc>
        <w:tc>
          <w:tcPr>
            <w:tcW w:w="7614" w:type="dxa"/>
          </w:tcPr>
          <w:p w14:paraId="75A3A960" w14:textId="6C274B4A" w:rsidR="008533E0" w:rsidRPr="00672D5A" w:rsidRDefault="008533E0" w:rsidP="008533E0">
            <w:pPr>
              <w:ind w:right="142"/>
              <w:jc w:val="both"/>
            </w:pPr>
            <w:r>
              <w:t xml:space="preserve">Šobrīd Latvijā nepastāv </w:t>
            </w:r>
            <w:r w:rsidR="002F2987">
              <w:t xml:space="preserve">akadēmiskā un zinātniskā personāla </w:t>
            </w:r>
            <w:r>
              <w:t>garantētā</w:t>
            </w:r>
            <w:r w:rsidR="002F2987">
              <w:t>s</w:t>
            </w:r>
            <w:r>
              <w:t xml:space="preserve"> nodarbinātība</w:t>
            </w:r>
            <w:r w:rsidR="002F2987">
              <w:t>s</w:t>
            </w:r>
            <w:r>
              <w:t xml:space="preserve"> jeb tenūras sistēma, kad </w:t>
            </w:r>
            <w:r w:rsidRPr="0081028A">
              <w:t>vēlētajam akadēmiskajam</w:t>
            </w:r>
            <w:r w:rsidR="002F2987">
              <w:t xml:space="preserve"> un zinātniskajam</w:t>
            </w:r>
            <w:r w:rsidRPr="0081028A">
              <w:t xml:space="preserve"> personālam, iegūstot noteiktu amatu, piemēram, asociētā profesora vai profesora amatu, un</w:t>
            </w:r>
            <w:r w:rsidR="00E13752">
              <w:t xml:space="preserve"> </w:t>
            </w:r>
            <w:r w:rsidRPr="0081028A">
              <w:t>izpildot iepriekš zināmus nosacījumus, t</w:t>
            </w:r>
            <w:r>
              <w:t xml:space="preserve">iek </w:t>
            </w:r>
            <w:r w:rsidRPr="0081028A">
              <w:t>nodrošināta stabila nodarbinātība (beztermiņa darba līgums pretstatā darba līguma slēgšanai tikai uz ievēlēšanas laiku – 6 gadiem</w:t>
            </w:r>
            <w:r w:rsidR="00E13752">
              <w:t>)</w:t>
            </w:r>
            <w:r w:rsidR="002F2987">
              <w:t>,</w:t>
            </w:r>
            <w:r>
              <w:t xml:space="preserve"> un tas liedz </w:t>
            </w:r>
            <w:r w:rsidR="00E13752">
              <w:t xml:space="preserve">motivēt, </w:t>
            </w:r>
            <w:r>
              <w:t>piesaistīt un noturēt labāko</w:t>
            </w:r>
            <w:r w:rsidR="002F2987">
              <w:t xml:space="preserve"> personālu</w:t>
            </w:r>
            <w:r>
              <w:t xml:space="preserve"> ilgtermiņā. Līdz ar to, lai stiprinātu augstskolu</w:t>
            </w:r>
            <w:r w:rsidR="002F2987">
              <w:t xml:space="preserve"> un zinātnisko institūtu</w:t>
            </w:r>
            <w:r>
              <w:t xml:space="preserve"> </w:t>
            </w:r>
            <w:r w:rsidRPr="00672D5A">
              <w:t>kapacitāti</w:t>
            </w:r>
            <w:r w:rsidR="002F2987">
              <w:t xml:space="preserve">, </w:t>
            </w:r>
            <w:r w:rsidRPr="00672D5A">
              <w:t>veicinātu zinātnisko ekselenci</w:t>
            </w:r>
            <w:r w:rsidR="002F2987">
              <w:t xml:space="preserve"> un zināšanu pārnesi</w:t>
            </w:r>
            <w:r w:rsidRPr="00672D5A">
              <w:t xml:space="preserve">, arī Latvijā ir jāveido </w:t>
            </w:r>
            <w:r w:rsidR="002F2987">
              <w:t>akadēmiskā un zinātniskā personāla</w:t>
            </w:r>
            <w:r w:rsidR="002F2987" w:rsidRPr="00672D5A">
              <w:t xml:space="preserve"> </w:t>
            </w:r>
            <w:r w:rsidRPr="00672D5A">
              <w:t>motivācijas</w:t>
            </w:r>
            <w:r w:rsidR="002F2987">
              <w:t xml:space="preserve"> un nodarbinātības</w:t>
            </w:r>
            <w:r w:rsidRPr="00672D5A">
              <w:t xml:space="preserve"> sistēma </w:t>
            </w:r>
            <w:r w:rsidR="002F2987">
              <w:t>–</w:t>
            </w:r>
            <w:r w:rsidRPr="00672D5A">
              <w:t xml:space="preserve"> tenūr</w:t>
            </w:r>
            <w:r w:rsidR="002F2987">
              <w:t>a</w:t>
            </w:r>
            <w:r w:rsidRPr="00672D5A">
              <w:t>, ko paredzēts</w:t>
            </w:r>
            <w:r w:rsidR="00E80639">
              <w:t xml:space="preserve"> sākt</w:t>
            </w:r>
            <w:r w:rsidRPr="00672D5A">
              <w:t xml:space="preserve"> ieviest</w:t>
            </w:r>
            <w:r w:rsidR="002F2987">
              <w:t>,</w:t>
            </w:r>
            <w:r w:rsidRPr="00672D5A">
              <w:t xml:space="preserve"> sākot ar 2022. gadu. </w:t>
            </w:r>
          </w:p>
          <w:p w14:paraId="647B8DB1" w14:textId="0EE531A0" w:rsidR="00672D5A" w:rsidRDefault="00E13752" w:rsidP="00DE1460">
            <w:pPr>
              <w:ind w:right="142"/>
              <w:jc w:val="both"/>
            </w:pPr>
            <w:r w:rsidRPr="00672D5A">
              <w:t>L</w:t>
            </w:r>
            <w:r w:rsidR="008533E0" w:rsidRPr="00672D5A">
              <w:t xml:space="preserve">ai </w:t>
            </w:r>
            <w:r w:rsidRPr="00672D5A">
              <w:t xml:space="preserve">uzsāktu </w:t>
            </w:r>
            <w:r w:rsidR="008533E0" w:rsidRPr="00672D5A">
              <w:t>ieviest vienotu akadēmiskas un zinātniskās karjeras sistēmas reformu</w:t>
            </w:r>
            <w:r w:rsidR="00672D5A" w:rsidRPr="00672D5A">
              <w:t xml:space="preserve">, lai nodrošinātu zinātnisko institūciju zinātnes izcilības un snieguma finansējumu pētniecības specializācijās, izcilības un ietekmes stiprināšanai, finansējuma ietvaros no valsts budžeta programmas 02.00.00 „Līdzekļi neparedzētiem gadījumiem” </w:t>
            </w:r>
            <w:r w:rsidR="008533E0" w:rsidRPr="00672D5A">
              <w:t xml:space="preserve">ir paredzēts </w:t>
            </w:r>
            <w:r w:rsidRPr="00672D5A">
              <w:t xml:space="preserve">konkursa kārtībā piešķirt </w:t>
            </w:r>
            <w:r w:rsidR="002F2987">
              <w:t>zinātniekiem</w:t>
            </w:r>
            <w:r w:rsidR="002F2987" w:rsidRPr="00672D5A">
              <w:t xml:space="preserve"> </w:t>
            </w:r>
            <w:r w:rsidR="004207F0" w:rsidRPr="00DE1460">
              <w:t>(</w:t>
            </w:r>
            <w:r w:rsidR="00DE1460" w:rsidRPr="00DE1460">
              <w:t xml:space="preserve">orientējoši 100 </w:t>
            </w:r>
            <w:r w:rsidRPr="00DE1460">
              <w:t>grantus</w:t>
            </w:r>
            <w:r w:rsidR="00DE1460" w:rsidRPr="00DE1460">
              <w:t>)</w:t>
            </w:r>
            <w:r w:rsidRPr="00DE1460">
              <w:t xml:space="preserve"> individuālu pētniecības projektu īstenošanai, tādējādi radot iespēju celt savu zinātnisko</w:t>
            </w:r>
            <w:r w:rsidRPr="00672D5A">
              <w:t xml:space="preserve"> kvalifikāciju pirms tenūras akadēmisko amatu ieviešanas Latvijā. Projektu pieteikumus sagatavo </w:t>
            </w:r>
            <w:r w:rsidR="002F2987">
              <w:t>zinātnieki</w:t>
            </w:r>
            <w:r w:rsidRPr="00672D5A">
              <w:t xml:space="preserve">, definējot tematus, mērķus un uzdevumus. Granta piešķiršanas galvenais kritērijs ir zinātniskā kvalitāte. </w:t>
            </w:r>
            <w:r w:rsidR="0081028A" w:rsidRPr="00672D5A">
              <w:t xml:space="preserve">Pasākums tiks īstenots </w:t>
            </w:r>
            <w:r w:rsidR="00652D72">
              <w:t xml:space="preserve">atklāta projektu </w:t>
            </w:r>
            <w:r w:rsidR="0081028A" w:rsidRPr="00672D5A">
              <w:t>konkursa</w:t>
            </w:r>
            <w:r w:rsidR="00652D72">
              <w:t xml:space="preserve"> kārtībā, izmantojot vispārīgo F</w:t>
            </w:r>
            <w:r w:rsidR="0081028A" w:rsidRPr="00672D5A">
              <w:t>undamentālo un lietišķo pētījumu</w:t>
            </w:r>
            <w:r w:rsidR="005A509E">
              <w:t xml:space="preserve"> projektu</w:t>
            </w:r>
            <w:r w:rsidR="0081028A" w:rsidRPr="00672D5A">
              <w:t xml:space="preserve"> grantu </w:t>
            </w:r>
            <w:r w:rsidR="005B2DD1">
              <w:t>normatīvo regulējumu</w:t>
            </w:r>
            <w:r w:rsidR="00F53054">
              <w:t xml:space="preserve"> (saskaņā ar 2017. gada 12. decembra Ministru kabineta noteikumiem Nr. 725 “</w:t>
            </w:r>
            <w:r w:rsidR="00F53054" w:rsidRPr="00F53054">
              <w:t>Fundamentālo un lietišķo pētījumu projektu izvērtēšanas un finansējuma administrēšanas kārtība</w:t>
            </w:r>
            <w:r w:rsidR="00F53054">
              <w:t>”)</w:t>
            </w:r>
            <w:r w:rsidRPr="00672D5A">
              <w:t>.</w:t>
            </w:r>
          </w:p>
          <w:p w14:paraId="45801EC0" w14:textId="7AA55DDD" w:rsidR="0071140F" w:rsidRDefault="00652D72" w:rsidP="0071140F">
            <w:pPr>
              <w:jc w:val="both"/>
            </w:pPr>
            <w:r>
              <w:rPr>
                <w:rFonts w:eastAsia="Times New Roman"/>
              </w:rPr>
              <w:lastRenderedPageBreak/>
              <w:t>P</w:t>
            </w:r>
            <w:r w:rsidR="00246084">
              <w:rPr>
                <w:rFonts w:eastAsia="Times New Roman"/>
              </w:rPr>
              <w:t>rojektu</w:t>
            </w:r>
            <w:r w:rsidRPr="007F4AE8">
              <w:rPr>
                <w:rFonts w:eastAsia="Times New Roman"/>
              </w:rPr>
              <w:t xml:space="preserve"> </w:t>
            </w:r>
            <w:r w:rsidR="00246084">
              <w:rPr>
                <w:rFonts w:eastAsia="Times New Roman"/>
              </w:rPr>
              <w:t>mērķis ir nodrošināt sešu zinātnes nozaru grupu</w:t>
            </w:r>
            <w:r w:rsidR="00246084">
              <w:rPr>
                <w:rStyle w:val="FootnoteReference"/>
                <w:rFonts w:eastAsia="Times New Roman"/>
              </w:rPr>
              <w:footnoteReference w:id="1"/>
            </w:r>
            <w:r w:rsidR="00246084">
              <w:rPr>
                <w:rFonts w:eastAsia="Times New Roman"/>
              </w:rPr>
              <w:t xml:space="preserve"> attīstību individuālo pētniecības projektu īstenojamo pētījumu ietvaros</w:t>
            </w:r>
            <w:r w:rsidR="00DF5994">
              <w:rPr>
                <w:rFonts w:eastAsia="Times New Roman"/>
              </w:rPr>
              <w:t xml:space="preserve">, </w:t>
            </w:r>
            <w:r w:rsidR="00E80639">
              <w:rPr>
                <w:rFonts w:eastAsia="Times New Roman"/>
              </w:rPr>
              <w:t>radot</w:t>
            </w:r>
            <w:r w:rsidR="00DF5994">
              <w:rPr>
                <w:rFonts w:eastAsia="Times New Roman"/>
              </w:rPr>
              <w:t xml:space="preserve"> jaunas zināšanas un inovatīvus risinājumus</w:t>
            </w:r>
            <w:r w:rsidR="00DF5994" w:rsidRPr="00F87EC3">
              <w:rPr>
                <w:rFonts w:eastAsia="Times New Roman"/>
                <w:iCs/>
              </w:rPr>
              <w:t xml:space="preserve"> Covid-19</w:t>
            </w:r>
            <w:r w:rsidR="00DF5994">
              <w:rPr>
                <w:rFonts w:eastAsia="Times New Roman"/>
                <w:iCs/>
              </w:rPr>
              <w:t xml:space="preserve"> seku mazināšanai, kā arī veicinot jaunu vai stiprinot esošo individuālo </w:t>
            </w:r>
            <w:r w:rsidR="00E80639">
              <w:rPr>
                <w:rFonts w:eastAsia="Times New Roman"/>
                <w:iCs/>
              </w:rPr>
              <w:t xml:space="preserve">zinātnieku </w:t>
            </w:r>
            <w:r w:rsidR="00DF5994">
              <w:rPr>
                <w:rFonts w:eastAsia="Times New Roman"/>
                <w:iCs/>
              </w:rPr>
              <w:t>vadīt</w:t>
            </w:r>
            <w:r w:rsidR="00E80639">
              <w:rPr>
                <w:rFonts w:eastAsia="Times New Roman"/>
                <w:iCs/>
              </w:rPr>
              <w:t>o</w:t>
            </w:r>
            <w:r w:rsidR="00DF5994">
              <w:rPr>
                <w:rFonts w:eastAsia="Times New Roman"/>
                <w:iCs/>
              </w:rPr>
              <w:t xml:space="preserve"> zinātnisko grupu attīstību</w:t>
            </w:r>
            <w:r w:rsidR="00246084">
              <w:rPr>
                <w:rFonts w:eastAsia="Times New Roman"/>
              </w:rPr>
              <w:t>.</w:t>
            </w:r>
            <w:r w:rsidR="00D86128">
              <w:rPr>
                <w:rFonts w:eastAsia="Times New Roman"/>
              </w:rPr>
              <w:t xml:space="preserve"> </w:t>
            </w:r>
            <w:r w:rsidR="00246084">
              <w:rPr>
                <w:rFonts w:eastAsia="Times New Roman"/>
              </w:rPr>
              <w:t>Pasākuma</w:t>
            </w:r>
            <w:r w:rsidR="00246084" w:rsidRPr="007F4AE8">
              <w:rPr>
                <w:rFonts w:eastAsia="Times New Roman"/>
              </w:rPr>
              <w:t xml:space="preserve"> </w:t>
            </w:r>
            <w:r w:rsidRPr="007F4AE8">
              <w:rPr>
                <w:rFonts w:eastAsia="Times New Roman"/>
              </w:rPr>
              <w:t xml:space="preserve">īstenošanai </w:t>
            </w:r>
            <w:r>
              <w:rPr>
                <w:rFonts w:eastAsia="Times New Roman"/>
              </w:rPr>
              <w:t>būs</w:t>
            </w:r>
            <w:r w:rsidRPr="007F4AE8">
              <w:rPr>
                <w:rFonts w:eastAsia="Times New Roman"/>
              </w:rPr>
              <w:t xml:space="preserve"> ietekme lielāku iekļaušanos Eiropas zinātnes telpā un tā atbilst Latvijas pozīcijai</w:t>
            </w:r>
            <w:r w:rsidRPr="007F4AE8">
              <w:rPr>
                <w:rStyle w:val="FootnoteReference"/>
                <w:rFonts w:eastAsia="Times New Roman"/>
              </w:rPr>
              <w:footnoteReference w:id="2"/>
            </w:r>
            <w:r>
              <w:rPr>
                <w:rFonts w:eastAsia="Times New Roman"/>
              </w:rPr>
              <w:t xml:space="preserve">. </w:t>
            </w:r>
            <w:r w:rsidRPr="001F559F">
              <w:rPr>
                <w:rFonts w:eastAsia="Times New Roman"/>
                <w:iCs/>
              </w:rPr>
              <w:t>Horvātijas prezidentūras Eiropas Savienības Padomē izstrādātā rīcības plāna īstenošan</w:t>
            </w:r>
            <w:r>
              <w:rPr>
                <w:rFonts w:eastAsia="Times New Roman"/>
                <w:iCs/>
              </w:rPr>
              <w:t xml:space="preserve">a </w:t>
            </w:r>
            <w:r w:rsidRPr="001F559F">
              <w:rPr>
                <w:rFonts w:eastAsia="Times New Roman"/>
                <w:iCs/>
              </w:rPr>
              <w:t>ir koordinēta starptautiskās pētniecības un attīstības sadarbības iniciatīva. Šajā rīcības plānā “Eiropas pētniecības telpas aktivitātes cīņai pret koronavīrusa izraisīto</w:t>
            </w:r>
            <w:r>
              <w:rPr>
                <w:rFonts w:eastAsia="Times New Roman"/>
                <w:iCs/>
              </w:rPr>
              <w:t xml:space="preserve"> </w:t>
            </w:r>
            <w:r w:rsidRPr="001F559F">
              <w:rPr>
                <w:rFonts w:eastAsia="Times New Roman"/>
                <w:iCs/>
              </w:rPr>
              <w:t>Covid-19 pandēmiju” (</w:t>
            </w:r>
            <w:r w:rsidRPr="006965D5">
              <w:rPr>
                <w:rFonts w:eastAsia="Times New Roman"/>
                <w:i/>
                <w:iCs/>
              </w:rPr>
              <w:t>First ERAvsCorona Action Plan</w:t>
            </w:r>
            <w:r>
              <w:rPr>
                <w:rStyle w:val="FootnoteReference"/>
                <w:rFonts w:eastAsia="Times New Roman"/>
                <w:iCs/>
              </w:rPr>
              <w:footnoteReference w:id="3"/>
            </w:r>
            <w:r w:rsidRPr="001F559F">
              <w:rPr>
                <w:rFonts w:eastAsia="Times New Roman"/>
                <w:iCs/>
              </w:rPr>
              <w:t>) ir noteiktas 10 Eiropas prioritārās pētniecības u</w:t>
            </w:r>
            <w:bookmarkStart w:id="3" w:name="_GoBack"/>
            <w:bookmarkEnd w:id="3"/>
            <w:r w:rsidRPr="001F559F">
              <w:rPr>
                <w:rFonts w:eastAsia="Times New Roman"/>
                <w:iCs/>
              </w:rPr>
              <w:t>n inovācijas aktivitātes</w:t>
            </w:r>
            <w:r>
              <w:rPr>
                <w:rFonts w:eastAsia="Times New Roman"/>
                <w:iCs/>
              </w:rPr>
              <w:t>.</w:t>
            </w:r>
            <w:r w:rsidRPr="001F559F">
              <w:rPr>
                <w:rFonts w:eastAsia="Times New Roman"/>
                <w:iCs/>
              </w:rPr>
              <w:t xml:space="preserve"> </w:t>
            </w:r>
            <w:r>
              <w:rPr>
                <w:rFonts w:eastAsia="Times New Roman"/>
                <w:iCs/>
              </w:rPr>
              <w:t>Programma</w:t>
            </w:r>
            <w:r w:rsidRPr="001F559F">
              <w:rPr>
                <w:rFonts w:eastAsia="Times New Roman"/>
                <w:iCs/>
              </w:rPr>
              <w:t xml:space="preserve"> sniegs tiešu ieguldījumu 5. aktivitātē </w:t>
            </w:r>
            <w:r w:rsidRPr="00F87EC3">
              <w:rPr>
                <w:rFonts w:eastAsia="Times New Roman"/>
                <w:iCs/>
              </w:rPr>
              <w:t>– nodrošinot nacionālā finansējuma iesaisti P&amp;A cīņai ar Covid-19 sekām</w:t>
            </w:r>
            <w:r w:rsidR="00246084">
              <w:rPr>
                <w:rFonts w:eastAsia="Times New Roman"/>
                <w:iCs/>
              </w:rPr>
              <w:t>.</w:t>
            </w:r>
            <w:r w:rsidR="0071140F">
              <w:rPr>
                <w:rFonts w:eastAsia="Times New Roman"/>
                <w:iCs/>
              </w:rPr>
              <w:t xml:space="preserve"> </w:t>
            </w:r>
          </w:p>
          <w:p w14:paraId="4A2A053D" w14:textId="1BBEC9C7" w:rsidR="00FB308D" w:rsidRPr="00FB308D" w:rsidRDefault="0071140F" w:rsidP="0071140F">
            <w:pPr>
              <w:jc w:val="both"/>
            </w:pPr>
            <w:r w:rsidRPr="0071140F">
              <w:t>Individuālo pētniecības projektu īstenošanai arī būs tieša ietekme uz Ekonomikas atveseļošanos</w:t>
            </w:r>
            <w:r>
              <w:t>,</w:t>
            </w:r>
            <w:r w:rsidRPr="0071140F">
              <w:t xml:space="preserve"> nodrošinot nepietiekamo publiskā sektora pētniecības cilvēkkapitāl</w:t>
            </w:r>
            <w:r>
              <w:t>u caur šo projektu īstenošanu, jo atbilstoši Latvijas V</w:t>
            </w:r>
            <w:r w:rsidRPr="0071140F">
              <w:t>iedās specializācijas stratēģijas monitoringa rezultātiem</w:t>
            </w:r>
            <w:r>
              <w:t>, tieši tas</w:t>
            </w:r>
            <w:r w:rsidRPr="0071140F">
              <w:t xml:space="preserve"> </w:t>
            </w:r>
            <w:r>
              <w:t xml:space="preserve">kā </w:t>
            </w:r>
            <w:r w:rsidRPr="0071140F">
              <w:t>trūkums ir viens no galvenajiem faktoriem, kas ierobežo pētniecības ietekmi uz tautsaimniecības transformāciju uz augstāku pievienotas vērtības p</w:t>
            </w:r>
            <w:r>
              <w:t>roduktu un pakalpojumu ražo</w:t>
            </w:r>
            <w:r w:rsidR="00E80639">
              <w:t>š</w:t>
            </w:r>
            <w:r>
              <w:t>anu</w:t>
            </w:r>
            <w:r w:rsidRPr="0071140F">
              <w:t>. Papildus, šiem pētniecībā ieguldītajiem individuālajiem pētniecības projektiem ir vidējā termiņā prognozējama to ekonomiskā atdeve aptuveni 33 – 90 milj. euro apmērā.</w:t>
            </w:r>
          </w:p>
        </w:tc>
      </w:tr>
      <w:tr w:rsidR="007770C5" w:rsidRPr="007770C5" w14:paraId="42AC8649" w14:textId="77777777" w:rsidTr="00FC2CBC">
        <w:trPr>
          <w:trHeight w:val="476"/>
        </w:trPr>
        <w:tc>
          <w:tcPr>
            <w:tcW w:w="562" w:type="dxa"/>
            <w:tcBorders>
              <w:bottom w:val="single" w:sz="4" w:space="0" w:color="auto"/>
            </w:tcBorders>
          </w:tcPr>
          <w:p w14:paraId="308FAEA2" w14:textId="358DB212" w:rsidR="00585B7B" w:rsidRPr="007770C5" w:rsidRDefault="00005A9D" w:rsidP="00BD696A">
            <w:pPr>
              <w:pStyle w:val="naiskr"/>
              <w:spacing w:before="0" w:after="0"/>
              <w:jc w:val="center"/>
            </w:pPr>
            <w:r w:rsidRPr="007770C5">
              <w:lastRenderedPageBreak/>
              <w:t>3.</w:t>
            </w:r>
          </w:p>
        </w:tc>
        <w:tc>
          <w:tcPr>
            <w:tcW w:w="1884" w:type="dxa"/>
            <w:tcBorders>
              <w:bottom w:val="single" w:sz="4" w:space="0" w:color="auto"/>
            </w:tcBorders>
          </w:tcPr>
          <w:p w14:paraId="132B3A4C" w14:textId="77777777" w:rsidR="00585B7B" w:rsidRPr="007770C5" w:rsidRDefault="00943E1D" w:rsidP="00916055">
            <w:pPr>
              <w:pStyle w:val="naiskr"/>
              <w:spacing w:before="0" w:after="0"/>
              <w:ind w:left="141"/>
            </w:pPr>
            <w:r w:rsidRPr="007770C5">
              <w:t>Projekta izstrādē iesaistītās institūcijas un publiskas personas kapitālsabiedrības</w:t>
            </w:r>
          </w:p>
        </w:tc>
        <w:tc>
          <w:tcPr>
            <w:tcW w:w="7614" w:type="dxa"/>
            <w:tcBorders>
              <w:bottom w:val="single" w:sz="4" w:space="0" w:color="auto"/>
            </w:tcBorders>
          </w:tcPr>
          <w:p w14:paraId="7C6826FC" w14:textId="15A607CF" w:rsidR="00643E6C" w:rsidRPr="007770C5" w:rsidRDefault="00457A15" w:rsidP="003353F3">
            <w:pPr>
              <w:ind w:left="101" w:right="142"/>
              <w:jc w:val="both"/>
            </w:pPr>
            <w:r w:rsidRPr="007770C5">
              <w:t>Ministrija</w:t>
            </w:r>
          </w:p>
        </w:tc>
      </w:tr>
      <w:tr w:rsidR="007770C5" w:rsidRPr="007770C5" w14:paraId="26593524" w14:textId="77777777" w:rsidTr="00FC2CBC">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7770C5" w:rsidRDefault="00005A9D" w:rsidP="00BD696A">
            <w:pPr>
              <w:pStyle w:val="naiskr"/>
              <w:spacing w:before="0" w:after="0"/>
              <w:jc w:val="center"/>
            </w:pPr>
            <w:r w:rsidRPr="007770C5">
              <w:t>4</w:t>
            </w:r>
            <w:r w:rsidR="00585B7B" w:rsidRPr="007770C5">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7770C5" w:rsidRDefault="00585B7B" w:rsidP="00916055">
            <w:pPr>
              <w:pStyle w:val="naiskr"/>
              <w:spacing w:before="0" w:after="0"/>
              <w:ind w:left="141"/>
            </w:pPr>
            <w:r w:rsidRPr="007770C5">
              <w:t>Cita informācija</w:t>
            </w:r>
          </w:p>
        </w:tc>
        <w:tc>
          <w:tcPr>
            <w:tcW w:w="7614" w:type="dxa"/>
            <w:tcBorders>
              <w:top w:val="single" w:sz="4" w:space="0" w:color="auto"/>
              <w:left w:val="single" w:sz="4" w:space="0" w:color="auto"/>
              <w:bottom w:val="single" w:sz="4" w:space="0" w:color="auto"/>
              <w:right w:val="single" w:sz="4" w:space="0" w:color="auto"/>
            </w:tcBorders>
          </w:tcPr>
          <w:p w14:paraId="7A9AF941" w14:textId="0E48C36B" w:rsidR="00CE28C6" w:rsidRPr="007770C5" w:rsidRDefault="00EB687E" w:rsidP="003353F3">
            <w:pPr>
              <w:ind w:left="114" w:right="127"/>
              <w:jc w:val="both"/>
            </w:pPr>
            <w:r w:rsidRPr="007770C5">
              <w:t>Rīkojuma projekts tiešā veidā attiecas uz</w:t>
            </w:r>
            <w:r w:rsidR="00D86128">
              <w:t xml:space="preserve"> </w:t>
            </w:r>
            <w:r w:rsidRPr="007770C5">
              <w:t>budžeta un finanšu politiku</w:t>
            </w:r>
          </w:p>
        </w:tc>
      </w:tr>
    </w:tbl>
    <w:p w14:paraId="47059B30" w14:textId="77777777" w:rsidR="00EB687E" w:rsidRPr="007770C5" w:rsidRDefault="00EB687E"/>
    <w:p w14:paraId="040B2207" w14:textId="77777777" w:rsidR="00A06F61" w:rsidRPr="007770C5" w:rsidRDefault="00A06F61" w:rsidP="00A06F61"/>
    <w:p w14:paraId="747F53F0" w14:textId="77777777" w:rsidR="00C66A35" w:rsidRPr="007770C5" w:rsidRDefault="00C66A35"/>
    <w:p w14:paraId="427602C1" w14:textId="77777777" w:rsidR="006C697C" w:rsidRDefault="006C697C"/>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7"/>
        <w:gridCol w:w="1984"/>
        <w:gridCol w:w="7655"/>
      </w:tblGrid>
      <w:tr w:rsidR="002E442B" w:rsidRPr="007770C5" w14:paraId="575B517C" w14:textId="77777777" w:rsidTr="00BD348D">
        <w:trPr>
          <w:cantSplit/>
        </w:trPr>
        <w:tc>
          <w:tcPr>
            <w:tcW w:w="5000" w:type="pct"/>
            <w:gridSpan w:val="3"/>
            <w:vAlign w:val="center"/>
            <w:hideMark/>
          </w:tcPr>
          <w:p w14:paraId="5759DAE5" w14:textId="77777777" w:rsidR="002E442B" w:rsidRDefault="002E442B" w:rsidP="005644E0">
            <w:pPr>
              <w:jc w:val="center"/>
              <w:rPr>
                <w:b/>
                <w:bCs/>
              </w:rPr>
            </w:pPr>
            <w:r w:rsidRPr="007770C5">
              <w:rPr>
                <w:b/>
                <w:bCs/>
              </w:rPr>
              <w:t>II. Tiesību akta projekta ietekme uz sabiedrību, tautsaimniecības attīstību un administratīvo slogu</w:t>
            </w:r>
          </w:p>
          <w:p w14:paraId="2D2F79CE" w14:textId="77777777" w:rsidR="002E442B" w:rsidRPr="003C69DB" w:rsidRDefault="002E442B" w:rsidP="005644E0"/>
          <w:p w14:paraId="11609BEC" w14:textId="77777777" w:rsidR="002E442B" w:rsidRPr="003C69DB" w:rsidRDefault="002E442B" w:rsidP="005644E0"/>
          <w:p w14:paraId="424A562B" w14:textId="77777777" w:rsidR="002E442B" w:rsidRPr="003C69DB" w:rsidRDefault="002E442B" w:rsidP="005644E0"/>
          <w:p w14:paraId="38D89A9F" w14:textId="77777777" w:rsidR="002E442B" w:rsidRDefault="002E442B" w:rsidP="005644E0"/>
          <w:p w14:paraId="68B087EC" w14:textId="77777777" w:rsidR="002E442B" w:rsidRPr="003C69DB" w:rsidRDefault="002E442B" w:rsidP="005644E0"/>
        </w:tc>
      </w:tr>
      <w:tr w:rsidR="002E442B" w:rsidRPr="007770C5" w14:paraId="34863824" w14:textId="77777777" w:rsidTr="002E442B">
        <w:trPr>
          <w:cantSplit/>
        </w:trPr>
        <w:tc>
          <w:tcPr>
            <w:tcW w:w="278" w:type="pct"/>
            <w:hideMark/>
          </w:tcPr>
          <w:p w14:paraId="6551D956" w14:textId="77777777" w:rsidR="002E442B" w:rsidRPr="007770C5" w:rsidRDefault="002E442B" w:rsidP="005644E0">
            <w:pPr>
              <w:jc w:val="center"/>
            </w:pPr>
            <w:r w:rsidRPr="007770C5">
              <w:t>1.</w:t>
            </w:r>
          </w:p>
        </w:tc>
        <w:tc>
          <w:tcPr>
            <w:tcW w:w="972" w:type="pct"/>
            <w:hideMark/>
          </w:tcPr>
          <w:p w14:paraId="100BA989" w14:textId="77777777" w:rsidR="002E442B" w:rsidRPr="007770C5" w:rsidRDefault="002E442B" w:rsidP="005644E0">
            <w:r w:rsidRPr="007770C5">
              <w:t>Sabiedrības mērķgrupas, kuras tiesiskais regulējums ietekmē vai varētu ietekmēt</w:t>
            </w:r>
          </w:p>
        </w:tc>
        <w:tc>
          <w:tcPr>
            <w:tcW w:w="3750" w:type="pct"/>
            <w:hideMark/>
          </w:tcPr>
          <w:p w14:paraId="2A73B8D3" w14:textId="61976DCC" w:rsidR="002E442B" w:rsidRPr="007770C5" w:rsidRDefault="002E442B" w:rsidP="0071140F">
            <w:pPr>
              <w:jc w:val="both"/>
            </w:pPr>
            <w:r>
              <w:t>A</w:t>
            </w:r>
            <w:r w:rsidRPr="007770C5">
              <w:t xml:space="preserve">ugstākās izglītības </w:t>
            </w:r>
            <w:r w:rsidR="0071140F">
              <w:t>institūcijas un zinātniskās institūcijas</w:t>
            </w:r>
            <w:r w:rsidRPr="007770C5">
              <w:t xml:space="preserve">, </w:t>
            </w:r>
            <w:r>
              <w:t>zinātnieki</w:t>
            </w:r>
          </w:p>
        </w:tc>
      </w:tr>
      <w:tr w:rsidR="002E442B" w:rsidRPr="007770C5" w14:paraId="40ED4CA4" w14:textId="77777777" w:rsidTr="002E442B">
        <w:trPr>
          <w:cantSplit/>
        </w:trPr>
        <w:tc>
          <w:tcPr>
            <w:tcW w:w="278" w:type="pct"/>
            <w:hideMark/>
          </w:tcPr>
          <w:p w14:paraId="1C248D7B" w14:textId="77777777" w:rsidR="002E442B" w:rsidRPr="007770C5" w:rsidRDefault="002E442B" w:rsidP="005644E0">
            <w:pPr>
              <w:jc w:val="center"/>
            </w:pPr>
            <w:r w:rsidRPr="007770C5">
              <w:lastRenderedPageBreak/>
              <w:t>2.</w:t>
            </w:r>
          </w:p>
        </w:tc>
        <w:tc>
          <w:tcPr>
            <w:tcW w:w="972" w:type="pct"/>
            <w:hideMark/>
          </w:tcPr>
          <w:p w14:paraId="41545757" w14:textId="77777777" w:rsidR="002E442B" w:rsidRPr="007770C5" w:rsidRDefault="002E442B" w:rsidP="005644E0">
            <w:r w:rsidRPr="007770C5">
              <w:t>Tiesiskā regulējuma ietekme uz tautsaimniecību un administratīvo slogu</w:t>
            </w:r>
          </w:p>
        </w:tc>
        <w:tc>
          <w:tcPr>
            <w:tcW w:w="3750" w:type="pct"/>
            <w:hideMark/>
          </w:tcPr>
          <w:p w14:paraId="5BA76C29" w14:textId="231A9F8F" w:rsidR="002E442B" w:rsidRPr="007770C5" w:rsidRDefault="002E442B" w:rsidP="005644E0">
            <w:pPr>
              <w:jc w:val="both"/>
            </w:pPr>
            <w:r w:rsidRPr="007770C5">
              <w:t xml:space="preserve">Projekta tiesiskais regulējums atstās pozitīvu ietekmi uz tautsaimniecību. Stiprinot Latvijas </w:t>
            </w:r>
            <w:r>
              <w:t>zinātnieku</w:t>
            </w:r>
            <w:r w:rsidRPr="007770C5">
              <w:t xml:space="preserve"> zinātnisko kvalifikāciju, tiks celts </w:t>
            </w:r>
            <w:r>
              <w:t>akadēmiskā un zinātniskā (zinātnieku)</w:t>
            </w:r>
            <w:r w:rsidRPr="007770C5">
              <w:t xml:space="preserve"> amata prestižs, stiprināta augstskolu</w:t>
            </w:r>
            <w:r>
              <w:t xml:space="preserve"> un zinātnisko institūtu</w:t>
            </w:r>
            <w:r w:rsidRPr="007770C5">
              <w:t xml:space="preserve"> darbība un uzlabota to pārvaldība, celta </w:t>
            </w:r>
            <w:r>
              <w:t>zinātnisko institūciju</w:t>
            </w:r>
            <w:r w:rsidRPr="007770C5">
              <w:t xml:space="preserve"> kapacitāte ārējā finansējuma piesaistē, augstākās izglītības un zinātnes kopējā kvalitāte, tiks turpināta virzība uz izcilību un starptautisko konkurentspēju, kas viss kopumā radīs pozitīvu ietekmi uz valsts ekonomiku.</w:t>
            </w:r>
            <w:r w:rsidR="00D86128">
              <w:t xml:space="preserve"> </w:t>
            </w:r>
          </w:p>
        </w:tc>
      </w:tr>
      <w:tr w:rsidR="002E442B" w:rsidRPr="007770C5" w14:paraId="1A4BF760" w14:textId="77777777" w:rsidTr="002E442B">
        <w:trPr>
          <w:cantSplit/>
        </w:trPr>
        <w:tc>
          <w:tcPr>
            <w:tcW w:w="278" w:type="pct"/>
            <w:hideMark/>
          </w:tcPr>
          <w:p w14:paraId="6AA2110F" w14:textId="77777777" w:rsidR="002E442B" w:rsidRPr="007770C5" w:rsidRDefault="002E442B" w:rsidP="005644E0">
            <w:pPr>
              <w:jc w:val="center"/>
            </w:pPr>
            <w:r w:rsidRPr="007770C5">
              <w:t>3.</w:t>
            </w:r>
          </w:p>
        </w:tc>
        <w:tc>
          <w:tcPr>
            <w:tcW w:w="972" w:type="pct"/>
            <w:hideMark/>
          </w:tcPr>
          <w:p w14:paraId="6675525A" w14:textId="77777777" w:rsidR="002E442B" w:rsidRPr="007770C5" w:rsidRDefault="002E442B" w:rsidP="005644E0">
            <w:r w:rsidRPr="007770C5">
              <w:t>Administratīvo izmaksu monetārs novērtējums</w:t>
            </w:r>
          </w:p>
        </w:tc>
        <w:tc>
          <w:tcPr>
            <w:tcW w:w="3750" w:type="pct"/>
            <w:hideMark/>
          </w:tcPr>
          <w:p w14:paraId="3DE521BC" w14:textId="77777777" w:rsidR="002E442B" w:rsidRPr="007770C5" w:rsidRDefault="002E442B" w:rsidP="005644E0">
            <w:pPr>
              <w:jc w:val="both"/>
            </w:pPr>
            <w:r w:rsidRPr="007770C5">
              <w:rPr>
                <w:shd w:val="clear" w:color="auto" w:fill="FFFFFF"/>
              </w:rPr>
              <w:t>Administratīvās izmaksas gada laikā mērķgrupai, ko veido fiziskas personas, nepārsniedz 200 </w:t>
            </w:r>
            <w:r w:rsidRPr="007770C5">
              <w:rPr>
                <w:i/>
                <w:iCs/>
                <w:shd w:val="clear" w:color="auto" w:fill="FFFFFF"/>
              </w:rPr>
              <w:t>euro</w:t>
            </w:r>
            <w:r w:rsidRPr="007770C5">
              <w:rPr>
                <w:shd w:val="clear" w:color="auto" w:fill="FFFFFF"/>
              </w:rPr>
              <w:t>, bet mērķgrupai, kuru veido juridiskas personas, – 2000 </w:t>
            </w:r>
            <w:r w:rsidRPr="007770C5">
              <w:rPr>
                <w:i/>
                <w:iCs/>
                <w:shd w:val="clear" w:color="auto" w:fill="FFFFFF"/>
              </w:rPr>
              <w:t>euro</w:t>
            </w:r>
            <w:r w:rsidRPr="007770C5">
              <w:rPr>
                <w:shd w:val="clear" w:color="auto" w:fill="FFFFFF"/>
              </w:rPr>
              <w:t>.</w:t>
            </w:r>
            <w:r w:rsidRPr="007770C5">
              <w:rPr>
                <w:rFonts w:ascii="Arial" w:hAnsi="Arial" w:cs="Arial"/>
                <w:shd w:val="clear" w:color="auto" w:fill="FFFFFF"/>
              </w:rPr>
              <w:t> </w:t>
            </w:r>
          </w:p>
        </w:tc>
      </w:tr>
      <w:tr w:rsidR="002E442B" w:rsidRPr="007770C5" w14:paraId="5AE1DE6A" w14:textId="77777777" w:rsidTr="002E442B">
        <w:trPr>
          <w:cantSplit/>
        </w:trPr>
        <w:tc>
          <w:tcPr>
            <w:tcW w:w="278" w:type="pct"/>
            <w:hideMark/>
          </w:tcPr>
          <w:p w14:paraId="6F5DDBB0" w14:textId="77777777" w:rsidR="002E442B" w:rsidRPr="007770C5" w:rsidRDefault="002E442B" w:rsidP="005644E0">
            <w:pPr>
              <w:jc w:val="center"/>
            </w:pPr>
            <w:r w:rsidRPr="007770C5">
              <w:t>4.</w:t>
            </w:r>
          </w:p>
        </w:tc>
        <w:tc>
          <w:tcPr>
            <w:tcW w:w="972" w:type="pct"/>
            <w:hideMark/>
          </w:tcPr>
          <w:p w14:paraId="7EC1E984" w14:textId="77777777" w:rsidR="002E442B" w:rsidRPr="007770C5" w:rsidRDefault="002E442B" w:rsidP="005644E0">
            <w:r w:rsidRPr="007770C5">
              <w:t>Atbilstības izmaksu monetārs novērtējums</w:t>
            </w:r>
          </w:p>
        </w:tc>
        <w:tc>
          <w:tcPr>
            <w:tcW w:w="3750" w:type="pct"/>
            <w:hideMark/>
          </w:tcPr>
          <w:p w14:paraId="70287372" w14:textId="77777777" w:rsidR="002E442B" w:rsidRPr="007770C5" w:rsidRDefault="002E442B" w:rsidP="005644E0">
            <w:r w:rsidRPr="007770C5">
              <w:t>Projekts neparedz i</w:t>
            </w:r>
            <w:r w:rsidRPr="007770C5">
              <w:rPr>
                <w:shd w:val="clear" w:color="auto" w:fill="FFFFFF"/>
              </w:rPr>
              <w:t>zmaksas, kas fiziskai personai vai juridiskai personai varētu rasties projektā ietverto atbilstības prasību izpildi.</w:t>
            </w:r>
          </w:p>
        </w:tc>
      </w:tr>
      <w:tr w:rsidR="002E442B" w:rsidRPr="007770C5" w14:paraId="079D7ED4" w14:textId="77777777" w:rsidTr="002E442B">
        <w:trPr>
          <w:cantSplit/>
        </w:trPr>
        <w:tc>
          <w:tcPr>
            <w:tcW w:w="278" w:type="pct"/>
            <w:hideMark/>
          </w:tcPr>
          <w:p w14:paraId="261E680B" w14:textId="77777777" w:rsidR="002E442B" w:rsidRPr="007770C5" w:rsidRDefault="002E442B" w:rsidP="005644E0">
            <w:pPr>
              <w:jc w:val="center"/>
            </w:pPr>
            <w:r w:rsidRPr="007770C5">
              <w:t>5.</w:t>
            </w:r>
          </w:p>
        </w:tc>
        <w:tc>
          <w:tcPr>
            <w:tcW w:w="972" w:type="pct"/>
            <w:hideMark/>
          </w:tcPr>
          <w:p w14:paraId="778A382C" w14:textId="77777777" w:rsidR="002E442B" w:rsidRPr="007770C5" w:rsidRDefault="002E442B" w:rsidP="005644E0">
            <w:r w:rsidRPr="007770C5">
              <w:t>Cita informācija</w:t>
            </w:r>
          </w:p>
        </w:tc>
        <w:tc>
          <w:tcPr>
            <w:tcW w:w="3750" w:type="pct"/>
            <w:hideMark/>
          </w:tcPr>
          <w:p w14:paraId="0C99E972" w14:textId="77777777" w:rsidR="002E442B" w:rsidRPr="007770C5" w:rsidRDefault="002E442B" w:rsidP="005644E0">
            <w:r w:rsidRPr="007770C5">
              <w:t>Nav.</w:t>
            </w:r>
          </w:p>
        </w:tc>
      </w:tr>
    </w:tbl>
    <w:p w14:paraId="7E7A800F" w14:textId="77777777" w:rsidR="002E442B" w:rsidRPr="007770C5" w:rsidRDefault="002E442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10"/>
        <w:gridCol w:w="1360"/>
        <w:gridCol w:w="1081"/>
        <w:gridCol w:w="1441"/>
        <w:gridCol w:w="1081"/>
        <w:gridCol w:w="1183"/>
        <w:gridCol w:w="1150"/>
      </w:tblGrid>
      <w:tr w:rsidR="007770C5" w:rsidRPr="007770C5" w14:paraId="23001469" w14:textId="77777777" w:rsidTr="00FC2CBC">
        <w:trPr>
          <w:trHeight w:val="361"/>
          <w:jc w:val="center"/>
        </w:trPr>
        <w:tc>
          <w:tcPr>
            <w:tcW w:w="10206" w:type="dxa"/>
            <w:gridSpan w:val="8"/>
            <w:vAlign w:val="center"/>
          </w:tcPr>
          <w:p w14:paraId="53C40BA8" w14:textId="77777777" w:rsidR="00DA708F" w:rsidRPr="007770C5" w:rsidRDefault="00DA708F" w:rsidP="001B2A96">
            <w:pPr>
              <w:jc w:val="center"/>
            </w:pPr>
            <w:r w:rsidRPr="007770C5">
              <w:br w:type="page"/>
            </w:r>
            <w:r w:rsidRPr="007770C5">
              <w:br w:type="page"/>
            </w:r>
            <w:r w:rsidRPr="007770C5">
              <w:br w:type="page"/>
            </w:r>
            <w:r w:rsidRPr="007770C5">
              <w:rPr>
                <w:b/>
              </w:rPr>
              <w:t>III. Tiesību akta projekta ietekme uz valsts budžetu un pašvaldību budžetiem</w:t>
            </w:r>
          </w:p>
        </w:tc>
      </w:tr>
      <w:tr w:rsidR="007770C5" w:rsidRPr="007770C5" w14:paraId="4EF90857" w14:textId="77777777" w:rsidTr="00FC2CBC">
        <w:trPr>
          <w:jc w:val="center"/>
        </w:trPr>
        <w:tc>
          <w:tcPr>
            <w:tcW w:w="1800" w:type="dxa"/>
            <w:vMerge w:val="restart"/>
            <w:vAlign w:val="center"/>
          </w:tcPr>
          <w:p w14:paraId="551BB498" w14:textId="77777777" w:rsidR="00DA708F" w:rsidRPr="007770C5" w:rsidRDefault="00DA708F" w:rsidP="001B2A96">
            <w:pPr>
              <w:jc w:val="center"/>
              <w:rPr>
                <w:b/>
              </w:rPr>
            </w:pPr>
            <w:r w:rsidRPr="007770C5">
              <w:rPr>
                <w:b/>
              </w:rPr>
              <w:t>Rādītāji</w:t>
            </w:r>
          </w:p>
        </w:tc>
        <w:tc>
          <w:tcPr>
            <w:tcW w:w="2470" w:type="dxa"/>
            <w:gridSpan w:val="2"/>
            <w:vMerge w:val="restart"/>
            <w:vAlign w:val="center"/>
          </w:tcPr>
          <w:p w14:paraId="22EC0AC1" w14:textId="77777777" w:rsidR="00DA708F" w:rsidRPr="007770C5" w:rsidRDefault="008C2D86" w:rsidP="001B2A96">
            <w:pPr>
              <w:jc w:val="center"/>
              <w:rPr>
                <w:b/>
              </w:rPr>
            </w:pPr>
            <w:r w:rsidRPr="007770C5">
              <w:rPr>
                <w:b/>
              </w:rPr>
              <w:t>2020</w:t>
            </w:r>
          </w:p>
        </w:tc>
        <w:tc>
          <w:tcPr>
            <w:tcW w:w="5936" w:type="dxa"/>
            <w:gridSpan w:val="5"/>
            <w:vAlign w:val="center"/>
          </w:tcPr>
          <w:p w14:paraId="5465584B" w14:textId="77777777" w:rsidR="00DA708F" w:rsidRPr="007770C5" w:rsidRDefault="00DA708F" w:rsidP="001B2A96">
            <w:pPr>
              <w:jc w:val="center"/>
            </w:pPr>
            <w:r w:rsidRPr="007770C5">
              <w:t>Turpmākie trīs gadi (</w:t>
            </w:r>
            <w:r w:rsidRPr="007770C5">
              <w:rPr>
                <w:i/>
              </w:rPr>
              <w:t>euro</w:t>
            </w:r>
            <w:r w:rsidRPr="007770C5">
              <w:t>)</w:t>
            </w:r>
          </w:p>
        </w:tc>
      </w:tr>
      <w:tr w:rsidR="007770C5" w:rsidRPr="007770C5" w14:paraId="5789D37E" w14:textId="77777777" w:rsidTr="00FC2CBC">
        <w:trPr>
          <w:jc w:val="center"/>
        </w:trPr>
        <w:tc>
          <w:tcPr>
            <w:tcW w:w="1800" w:type="dxa"/>
            <w:vMerge/>
            <w:vAlign w:val="center"/>
          </w:tcPr>
          <w:p w14:paraId="42C1DC4E" w14:textId="77777777" w:rsidR="00DA708F" w:rsidRPr="007770C5" w:rsidRDefault="00DA708F" w:rsidP="001B2A96">
            <w:pPr>
              <w:jc w:val="center"/>
              <w:rPr>
                <w:b/>
                <w:i/>
              </w:rPr>
            </w:pPr>
          </w:p>
        </w:tc>
        <w:tc>
          <w:tcPr>
            <w:tcW w:w="2470" w:type="dxa"/>
            <w:gridSpan w:val="2"/>
            <w:vMerge/>
            <w:vAlign w:val="center"/>
          </w:tcPr>
          <w:p w14:paraId="222D68FD" w14:textId="77777777" w:rsidR="00DA708F" w:rsidRPr="007770C5" w:rsidRDefault="00DA708F" w:rsidP="001B2A96">
            <w:pPr>
              <w:jc w:val="center"/>
              <w:rPr>
                <w:b/>
                <w:i/>
              </w:rPr>
            </w:pPr>
          </w:p>
        </w:tc>
        <w:tc>
          <w:tcPr>
            <w:tcW w:w="2522" w:type="dxa"/>
            <w:gridSpan w:val="2"/>
            <w:vAlign w:val="center"/>
          </w:tcPr>
          <w:p w14:paraId="432184C8" w14:textId="77777777" w:rsidR="00DA708F" w:rsidRPr="007770C5" w:rsidRDefault="008C2D86" w:rsidP="001B2A96">
            <w:pPr>
              <w:jc w:val="center"/>
              <w:rPr>
                <w:b/>
                <w:i/>
              </w:rPr>
            </w:pPr>
            <w:r w:rsidRPr="007770C5">
              <w:rPr>
                <w:b/>
                <w:bCs/>
              </w:rPr>
              <w:t>2021</w:t>
            </w:r>
          </w:p>
        </w:tc>
        <w:tc>
          <w:tcPr>
            <w:tcW w:w="2264" w:type="dxa"/>
            <w:gridSpan w:val="2"/>
            <w:vAlign w:val="center"/>
          </w:tcPr>
          <w:p w14:paraId="77EFC272" w14:textId="77777777" w:rsidR="00DA708F" w:rsidRPr="007770C5" w:rsidRDefault="008C2D86" w:rsidP="001B2A96">
            <w:pPr>
              <w:jc w:val="center"/>
              <w:rPr>
                <w:b/>
                <w:bCs/>
              </w:rPr>
            </w:pPr>
            <w:r w:rsidRPr="007770C5">
              <w:rPr>
                <w:b/>
                <w:bCs/>
              </w:rPr>
              <w:t>2022</w:t>
            </w:r>
          </w:p>
        </w:tc>
        <w:tc>
          <w:tcPr>
            <w:tcW w:w="1150" w:type="dxa"/>
            <w:vAlign w:val="center"/>
          </w:tcPr>
          <w:p w14:paraId="44038ECB" w14:textId="77777777" w:rsidR="00DA708F" w:rsidRPr="007770C5" w:rsidRDefault="008C2D86" w:rsidP="001B2A96">
            <w:pPr>
              <w:jc w:val="center"/>
              <w:rPr>
                <w:b/>
                <w:bCs/>
              </w:rPr>
            </w:pPr>
            <w:r w:rsidRPr="007770C5">
              <w:rPr>
                <w:b/>
                <w:bCs/>
              </w:rPr>
              <w:t>2023</w:t>
            </w:r>
          </w:p>
        </w:tc>
      </w:tr>
      <w:tr w:rsidR="007770C5" w:rsidRPr="007770C5" w14:paraId="0B1D67EC" w14:textId="77777777" w:rsidTr="00FC2CBC">
        <w:trPr>
          <w:jc w:val="center"/>
        </w:trPr>
        <w:tc>
          <w:tcPr>
            <w:tcW w:w="1800" w:type="dxa"/>
            <w:vMerge/>
            <w:vAlign w:val="center"/>
          </w:tcPr>
          <w:p w14:paraId="5D836921" w14:textId="77777777" w:rsidR="00265934" w:rsidRPr="007770C5" w:rsidRDefault="00265934" w:rsidP="00265934">
            <w:pPr>
              <w:jc w:val="center"/>
              <w:rPr>
                <w:b/>
                <w:i/>
              </w:rPr>
            </w:pPr>
          </w:p>
        </w:tc>
        <w:tc>
          <w:tcPr>
            <w:tcW w:w="1110" w:type="dxa"/>
            <w:vAlign w:val="center"/>
          </w:tcPr>
          <w:p w14:paraId="15650775" w14:textId="001F54E2" w:rsidR="00265934" w:rsidRPr="007770C5" w:rsidRDefault="00265934" w:rsidP="00265934">
            <w:pPr>
              <w:jc w:val="center"/>
              <w:rPr>
                <w:b/>
                <w:i/>
              </w:rPr>
            </w:pPr>
            <w:r w:rsidRPr="007770C5">
              <w:t>saskaņā ar valsts budžetu kārtējam gadam</w:t>
            </w:r>
          </w:p>
        </w:tc>
        <w:tc>
          <w:tcPr>
            <w:tcW w:w="1360" w:type="dxa"/>
            <w:vAlign w:val="center"/>
          </w:tcPr>
          <w:p w14:paraId="5FDBDFA1" w14:textId="4989E7F1" w:rsidR="00265934" w:rsidRPr="007770C5" w:rsidRDefault="00265934" w:rsidP="00265934">
            <w:pPr>
              <w:jc w:val="center"/>
              <w:rPr>
                <w:b/>
                <w:i/>
              </w:rPr>
            </w:pPr>
            <w:r w:rsidRPr="007770C5">
              <w:t>izmaiņas kārtējā gadā, salīdzinot ar budžetu kārtējam gadam</w:t>
            </w:r>
          </w:p>
        </w:tc>
        <w:tc>
          <w:tcPr>
            <w:tcW w:w="1081" w:type="dxa"/>
            <w:vAlign w:val="center"/>
          </w:tcPr>
          <w:p w14:paraId="111F124F" w14:textId="240B02E7" w:rsidR="00265934" w:rsidRPr="007770C5" w:rsidRDefault="00265934" w:rsidP="00265934">
            <w:pPr>
              <w:jc w:val="center"/>
            </w:pPr>
            <w:r w:rsidRPr="007770C5">
              <w:t>saskaņā ar vidēja termiņa budžeta ietvaru</w:t>
            </w:r>
          </w:p>
        </w:tc>
        <w:tc>
          <w:tcPr>
            <w:tcW w:w="1441" w:type="dxa"/>
            <w:vAlign w:val="center"/>
          </w:tcPr>
          <w:p w14:paraId="6E599D60" w14:textId="77777777" w:rsidR="00265934" w:rsidRPr="007770C5" w:rsidRDefault="00265934" w:rsidP="00265934">
            <w:pPr>
              <w:jc w:val="center"/>
            </w:pPr>
            <w:r w:rsidRPr="007770C5">
              <w:t>izmaiņas, salīdzinot ar vidēja termiņa budžeta ietvaru 2021.</w:t>
            </w:r>
          </w:p>
          <w:p w14:paraId="6AE04936" w14:textId="7EF76195" w:rsidR="00265934" w:rsidRPr="007770C5" w:rsidRDefault="00265934" w:rsidP="00265934">
            <w:pPr>
              <w:jc w:val="center"/>
            </w:pPr>
            <w:r w:rsidRPr="007770C5">
              <w:t>gadam</w:t>
            </w:r>
          </w:p>
        </w:tc>
        <w:tc>
          <w:tcPr>
            <w:tcW w:w="1081" w:type="dxa"/>
            <w:vAlign w:val="center"/>
          </w:tcPr>
          <w:p w14:paraId="39658717" w14:textId="695023D4" w:rsidR="00265934" w:rsidRPr="007770C5" w:rsidRDefault="00265934" w:rsidP="00265934">
            <w:pPr>
              <w:jc w:val="center"/>
            </w:pPr>
            <w:r w:rsidRPr="007770C5">
              <w:t>saskaņā ar vidēja termiņa budžeta ietvaru</w:t>
            </w:r>
          </w:p>
        </w:tc>
        <w:tc>
          <w:tcPr>
            <w:tcW w:w="1183" w:type="dxa"/>
            <w:vAlign w:val="center"/>
          </w:tcPr>
          <w:p w14:paraId="12EF6955" w14:textId="77777777" w:rsidR="00265934" w:rsidRPr="007770C5" w:rsidRDefault="00265934" w:rsidP="00265934">
            <w:pPr>
              <w:jc w:val="center"/>
            </w:pPr>
            <w:r w:rsidRPr="007770C5">
              <w:t>izmaiņas, salīdzinot ar vidēja termiņa budžeta ietvaru 2022.</w:t>
            </w:r>
          </w:p>
          <w:p w14:paraId="1A50A356" w14:textId="05A8AE16" w:rsidR="00265934" w:rsidRPr="007770C5" w:rsidRDefault="00265934" w:rsidP="00265934">
            <w:pPr>
              <w:jc w:val="center"/>
            </w:pPr>
            <w:r w:rsidRPr="007770C5">
              <w:t>gadam</w:t>
            </w:r>
          </w:p>
        </w:tc>
        <w:tc>
          <w:tcPr>
            <w:tcW w:w="1150" w:type="dxa"/>
            <w:vAlign w:val="center"/>
          </w:tcPr>
          <w:p w14:paraId="1A1F803F" w14:textId="77777777" w:rsidR="00265934" w:rsidRPr="007770C5" w:rsidRDefault="00265934" w:rsidP="00265934">
            <w:pPr>
              <w:jc w:val="center"/>
            </w:pPr>
            <w:r w:rsidRPr="007770C5">
              <w:t>izmaiņas, salīdzinot ar vidēja termiņa budžeta ietvaru 2022.</w:t>
            </w:r>
          </w:p>
          <w:p w14:paraId="12BA2B57" w14:textId="4587A14A" w:rsidR="00265934" w:rsidRPr="007770C5" w:rsidRDefault="00265934" w:rsidP="00265934">
            <w:pPr>
              <w:jc w:val="center"/>
            </w:pPr>
            <w:r w:rsidRPr="007770C5">
              <w:t>gadam</w:t>
            </w:r>
          </w:p>
        </w:tc>
      </w:tr>
      <w:tr w:rsidR="007770C5" w:rsidRPr="007770C5" w14:paraId="30123253" w14:textId="77777777" w:rsidTr="00FC2CBC">
        <w:trPr>
          <w:jc w:val="center"/>
        </w:trPr>
        <w:tc>
          <w:tcPr>
            <w:tcW w:w="1800" w:type="dxa"/>
            <w:vAlign w:val="center"/>
          </w:tcPr>
          <w:p w14:paraId="02288EDF" w14:textId="77777777" w:rsidR="00DA708F" w:rsidRPr="007770C5" w:rsidRDefault="00DA708F" w:rsidP="001B2A96">
            <w:pPr>
              <w:jc w:val="center"/>
              <w:rPr>
                <w:bCs/>
              </w:rPr>
            </w:pPr>
            <w:r w:rsidRPr="007770C5">
              <w:rPr>
                <w:bCs/>
              </w:rPr>
              <w:t>1</w:t>
            </w:r>
          </w:p>
        </w:tc>
        <w:tc>
          <w:tcPr>
            <w:tcW w:w="1110" w:type="dxa"/>
            <w:vAlign w:val="center"/>
          </w:tcPr>
          <w:p w14:paraId="68FDB516" w14:textId="77777777" w:rsidR="00DA708F" w:rsidRPr="007770C5" w:rsidRDefault="00DA708F" w:rsidP="001B2A96">
            <w:pPr>
              <w:jc w:val="center"/>
              <w:rPr>
                <w:bCs/>
              </w:rPr>
            </w:pPr>
            <w:r w:rsidRPr="007770C5">
              <w:rPr>
                <w:bCs/>
              </w:rPr>
              <w:t>2</w:t>
            </w:r>
          </w:p>
        </w:tc>
        <w:tc>
          <w:tcPr>
            <w:tcW w:w="1360" w:type="dxa"/>
            <w:vAlign w:val="center"/>
          </w:tcPr>
          <w:p w14:paraId="6818F00C" w14:textId="77777777" w:rsidR="00DA708F" w:rsidRPr="007770C5" w:rsidRDefault="00DA708F" w:rsidP="001B2A96">
            <w:pPr>
              <w:jc w:val="center"/>
              <w:rPr>
                <w:bCs/>
              </w:rPr>
            </w:pPr>
            <w:r w:rsidRPr="007770C5">
              <w:rPr>
                <w:bCs/>
              </w:rPr>
              <w:t>3</w:t>
            </w:r>
          </w:p>
        </w:tc>
        <w:tc>
          <w:tcPr>
            <w:tcW w:w="1081" w:type="dxa"/>
            <w:vAlign w:val="center"/>
          </w:tcPr>
          <w:p w14:paraId="1FBDF226" w14:textId="77777777" w:rsidR="00DA708F" w:rsidRPr="007770C5" w:rsidRDefault="00DA708F" w:rsidP="001B2A96">
            <w:pPr>
              <w:jc w:val="center"/>
              <w:rPr>
                <w:bCs/>
              </w:rPr>
            </w:pPr>
            <w:r w:rsidRPr="007770C5">
              <w:rPr>
                <w:bCs/>
              </w:rPr>
              <w:t>4</w:t>
            </w:r>
          </w:p>
        </w:tc>
        <w:tc>
          <w:tcPr>
            <w:tcW w:w="1441" w:type="dxa"/>
            <w:vAlign w:val="center"/>
          </w:tcPr>
          <w:p w14:paraId="54FF63F6" w14:textId="77777777" w:rsidR="00DA708F" w:rsidRPr="007770C5" w:rsidRDefault="00DA708F" w:rsidP="001B2A96">
            <w:pPr>
              <w:jc w:val="center"/>
              <w:rPr>
                <w:bCs/>
              </w:rPr>
            </w:pPr>
            <w:r w:rsidRPr="007770C5">
              <w:rPr>
                <w:bCs/>
              </w:rPr>
              <w:t>5</w:t>
            </w:r>
          </w:p>
        </w:tc>
        <w:tc>
          <w:tcPr>
            <w:tcW w:w="1081" w:type="dxa"/>
            <w:vAlign w:val="center"/>
          </w:tcPr>
          <w:p w14:paraId="64AAAB22" w14:textId="77777777" w:rsidR="00DA708F" w:rsidRPr="007770C5" w:rsidRDefault="00DA708F" w:rsidP="001B2A96">
            <w:pPr>
              <w:jc w:val="center"/>
              <w:rPr>
                <w:bCs/>
              </w:rPr>
            </w:pPr>
            <w:r w:rsidRPr="007770C5">
              <w:rPr>
                <w:bCs/>
              </w:rPr>
              <w:t>6</w:t>
            </w:r>
          </w:p>
        </w:tc>
        <w:tc>
          <w:tcPr>
            <w:tcW w:w="1183" w:type="dxa"/>
          </w:tcPr>
          <w:p w14:paraId="02741E3B" w14:textId="77777777" w:rsidR="00DA708F" w:rsidRPr="007770C5" w:rsidRDefault="00DA708F" w:rsidP="001B2A96">
            <w:pPr>
              <w:jc w:val="center"/>
              <w:rPr>
                <w:bCs/>
              </w:rPr>
            </w:pPr>
            <w:r w:rsidRPr="007770C5">
              <w:rPr>
                <w:bCs/>
              </w:rPr>
              <w:t>7</w:t>
            </w:r>
          </w:p>
        </w:tc>
        <w:tc>
          <w:tcPr>
            <w:tcW w:w="1150" w:type="dxa"/>
          </w:tcPr>
          <w:p w14:paraId="3BB87FF8" w14:textId="77777777" w:rsidR="00DA708F" w:rsidRPr="007770C5" w:rsidRDefault="00DA708F" w:rsidP="001B2A96">
            <w:pPr>
              <w:jc w:val="center"/>
              <w:rPr>
                <w:bCs/>
              </w:rPr>
            </w:pPr>
            <w:r w:rsidRPr="007770C5">
              <w:rPr>
                <w:bCs/>
              </w:rPr>
              <w:t>8</w:t>
            </w:r>
          </w:p>
        </w:tc>
      </w:tr>
      <w:tr w:rsidR="007770C5" w:rsidRPr="007770C5" w14:paraId="13C8EA50" w14:textId="77777777" w:rsidTr="00FC2CBC">
        <w:trPr>
          <w:jc w:val="center"/>
        </w:trPr>
        <w:tc>
          <w:tcPr>
            <w:tcW w:w="1800" w:type="dxa"/>
          </w:tcPr>
          <w:p w14:paraId="452173D7" w14:textId="77777777" w:rsidR="00DA708F" w:rsidRPr="007770C5" w:rsidRDefault="00DA708F" w:rsidP="001B2A96">
            <w:pPr>
              <w:rPr>
                <w:i/>
              </w:rPr>
            </w:pPr>
            <w:r w:rsidRPr="007770C5">
              <w:t>1. Budžeta ieņēmumi:</w:t>
            </w:r>
          </w:p>
        </w:tc>
        <w:tc>
          <w:tcPr>
            <w:tcW w:w="1110" w:type="dxa"/>
          </w:tcPr>
          <w:p w14:paraId="2F65E935" w14:textId="77777777" w:rsidR="00DA708F" w:rsidRPr="007770C5" w:rsidRDefault="00DA708F" w:rsidP="001B2A96">
            <w:pPr>
              <w:jc w:val="center"/>
              <w:rPr>
                <w:b/>
              </w:rPr>
            </w:pPr>
            <w:r w:rsidRPr="007770C5">
              <w:rPr>
                <w:b/>
              </w:rPr>
              <w:t>0</w:t>
            </w:r>
          </w:p>
        </w:tc>
        <w:tc>
          <w:tcPr>
            <w:tcW w:w="1360" w:type="dxa"/>
          </w:tcPr>
          <w:p w14:paraId="73B05185" w14:textId="77777777" w:rsidR="00DA708F" w:rsidRPr="007770C5" w:rsidRDefault="00DA708F" w:rsidP="001B2A96">
            <w:pPr>
              <w:jc w:val="center"/>
              <w:rPr>
                <w:b/>
              </w:rPr>
            </w:pPr>
            <w:r w:rsidRPr="007770C5">
              <w:rPr>
                <w:b/>
              </w:rPr>
              <w:t>0</w:t>
            </w:r>
          </w:p>
        </w:tc>
        <w:tc>
          <w:tcPr>
            <w:tcW w:w="1081" w:type="dxa"/>
          </w:tcPr>
          <w:p w14:paraId="4E344F28" w14:textId="77777777" w:rsidR="00DA708F" w:rsidRPr="007770C5" w:rsidRDefault="00DA708F" w:rsidP="001B2A96">
            <w:pPr>
              <w:jc w:val="center"/>
              <w:rPr>
                <w:b/>
              </w:rPr>
            </w:pPr>
            <w:r w:rsidRPr="007770C5">
              <w:rPr>
                <w:b/>
              </w:rPr>
              <w:t>0</w:t>
            </w:r>
          </w:p>
        </w:tc>
        <w:tc>
          <w:tcPr>
            <w:tcW w:w="1441" w:type="dxa"/>
          </w:tcPr>
          <w:p w14:paraId="47CD847A" w14:textId="77777777" w:rsidR="00DA708F" w:rsidRPr="007770C5" w:rsidRDefault="00DA708F" w:rsidP="001B2A96">
            <w:pPr>
              <w:jc w:val="center"/>
              <w:rPr>
                <w:b/>
              </w:rPr>
            </w:pPr>
            <w:r w:rsidRPr="007770C5">
              <w:rPr>
                <w:b/>
              </w:rPr>
              <w:t>0</w:t>
            </w:r>
          </w:p>
        </w:tc>
        <w:tc>
          <w:tcPr>
            <w:tcW w:w="1081" w:type="dxa"/>
          </w:tcPr>
          <w:p w14:paraId="32601915" w14:textId="77777777" w:rsidR="00DA708F" w:rsidRPr="007770C5" w:rsidRDefault="00DA708F" w:rsidP="001B2A96">
            <w:pPr>
              <w:jc w:val="center"/>
              <w:rPr>
                <w:b/>
              </w:rPr>
            </w:pPr>
            <w:r w:rsidRPr="007770C5">
              <w:rPr>
                <w:b/>
              </w:rPr>
              <w:t>0</w:t>
            </w:r>
          </w:p>
        </w:tc>
        <w:tc>
          <w:tcPr>
            <w:tcW w:w="1183" w:type="dxa"/>
          </w:tcPr>
          <w:p w14:paraId="2BAF0F86" w14:textId="77777777" w:rsidR="00DA708F" w:rsidRPr="007770C5" w:rsidRDefault="00DA708F" w:rsidP="001B2A96">
            <w:pPr>
              <w:jc w:val="center"/>
              <w:rPr>
                <w:b/>
              </w:rPr>
            </w:pPr>
            <w:r w:rsidRPr="007770C5">
              <w:rPr>
                <w:b/>
              </w:rPr>
              <w:t>0</w:t>
            </w:r>
          </w:p>
        </w:tc>
        <w:tc>
          <w:tcPr>
            <w:tcW w:w="1150" w:type="dxa"/>
          </w:tcPr>
          <w:p w14:paraId="75F359CC" w14:textId="77777777" w:rsidR="00DA708F" w:rsidRPr="007770C5" w:rsidRDefault="00DA708F" w:rsidP="001B2A96">
            <w:pPr>
              <w:jc w:val="center"/>
              <w:rPr>
                <w:b/>
              </w:rPr>
            </w:pPr>
            <w:r w:rsidRPr="007770C5">
              <w:rPr>
                <w:b/>
              </w:rPr>
              <w:t>0</w:t>
            </w:r>
          </w:p>
        </w:tc>
      </w:tr>
      <w:tr w:rsidR="007770C5" w:rsidRPr="007770C5" w14:paraId="0FB39F8E" w14:textId="77777777" w:rsidTr="00FC2CBC">
        <w:trPr>
          <w:jc w:val="center"/>
        </w:trPr>
        <w:tc>
          <w:tcPr>
            <w:tcW w:w="1800" w:type="dxa"/>
          </w:tcPr>
          <w:p w14:paraId="1DD1B4A3" w14:textId="77777777" w:rsidR="00DA708F" w:rsidRPr="007770C5" w:rsidRDefault="00DA708F" w:rsidP="001B2A96">
            <w:pPr>
              <w:rPr>
                <w:i/>
              </w:rPr>
            </w:pPr>
            <w:r w:rsidRPr="007770C5">
              <w:t>1.1. valsts pamatbudžets, tai skaitā ieņēmumi no maksas pakalpojumiem un citi pašu ieņēmumi</w:t>
            </w:r>
          </w:p>
        </w:tc>
        <w:tc>
          <w:tcPr>
            <w:tcW w:w="1110" w:type="dxa"/>
          </w:tcPr>
          <w:p w14:paraId="110BA630" w14:textId="77777777" w:rsidR="00DA708F" w:rsidRPr="007770C5" w:rsidRDefault="00DA708F" w:rsidP="001B2A96">
            <w:pPr>
              <w:jc w:val="center"/>
              <w:rPr>
                <w:i/>
              </w:rPr>
            </w:pPr>
          </w:p>
        </w:tc>
        <w:tc>
          <w:tcPr>
            <w:tcW w:w="1360" w:type="dxa"/>
          </w:tcPr>
          <w:p w14:paraId="06F3322B" w14:textId="77777777" w:rsidR="00DA708F" w:rsidRPr="007770C5" w:rsidRDefault="00DA708F" w:rsidP="001B2A96">
            <w:pPr>
              <w:jc w:val="center"/>
              <w:rPr>
                <w:i/>
              </w:rPr>
            </w:pPr>
          </w:p>
        </w:tc>
        <w:tc>
          <w:tcPr>
            <w:tcW w:w="1081" w:type="dxa"/>
          </w:tcPr>
          <w:p w14:paraId="3AD84DF9" w14:textId="77777777" w:rsidR="00DA708F" w:rsidRPr="007770C5" w:rsidRDefault="00DA708F" w:rsidP="001B2A96">
            <w:pPr>
              <w:jc w:val="center"/>
              <w:rPr>
                <w:i/>
              </w:rPr>
            </w:pPr>
          </w:p>
        </w:tc>
        <w:tc>
          <w:tcPr>
            <w:tcW w:w="1441" w:type="dxa"/>
          </w:tcPr>
          <w:p w14:paraId="173425B2" w14:textId="77777777" w:rsidR="00DA708F" w:rsidRPr="007770C5" w:rsidRDefault="00DA708F" w:rsidP="001B2A96">
            <w:pPr>
              <w:jc w:val="center"/>
              <w:rPr>
                <w:i/>
              </w:rPr>
            </w:pPr>
          </w:p>
        </w:tc>
        <w:tc>
          <w:tcPr>
            <w:tcW w:w="1081" w:type="dxa"/>
          </w:tcPr>
          <w:p w14:paraId="4696E825" w14:textId="77777777" w:rsidR="00DA708F" w:rsidRPr="007770C5" w:rsidRDefault="00DA708F" w:rsidP="001B2A96">
            <w:pPr>
              <w:jc w:val="center"/>
              <w:rPr>
                <w:i/>
              </w:rPr>
            </w:pPr>
          </w:p>
        </w:tc>
        <w:tc>
          <w:tcPr>
            <w:tcW w:w="1183" w:type="dxa"/>
          </w:tcPr>
          <w:p w14:paraId="26549C0C" w14:textId="77777777" w:rsidR="00DA708F" w:rsidRPr="007770C5" w:rsidRDefault="00DA708F" w:rsidP="001B2A96">
            <w:pPr>
              <w:jc w:val="center"/>
              <w:rPr>
                <w:i/>
              </w:rPr>
            </w:pPr>
          </w:p>
        </w:tc>
        <w:tc>
          <w:tcPr>
            <w:tcW w:w="1150" w:type="dxa"/>
          </w:tcPr>
          <w:p w14:paraId="16F35293" w14:textId="77777777" w:rsidR="00DA708F" w:rsidRPr="007770C5" w:rsidRDefault="00DA708F" w:rsidP="001B2A96">
            <w:pPr>
              <w:jc w:val="center"/>
              <w:rPr>
                <w:i/>
              </w:rPr>
            </w:pPr>
          </w:p>
        </w:tc>
      </w:tr>
      <w:tr w:rsidR="007770C5" w:rsidRPr="007770C5" w14:paraId="3FD3E7F1" w14:textId="77777777" w:rsidTr="00FC2CBC">
        <w:trPr>
          <w:jc w:val="center"/>
        </w:trPr>
        <w:tc>
          <w:tcPr>
            <w:tcW w:w="1800" w:type="dxa"/>
          </w:tcPr>
          <w:p w14:paraId="78FCCF5E" w14:textId="77777777" w:rsidR="00DA708F" w:rsidRPr="007770C5" w:rsidRDefault="00DA708F" w:rsidP="001B2A96">
            <w:pPr>
              <w:rPr>
                <w:i/>
              </w:rPr>
            </w:pPr>
            <w:r w:rsidRPr="007770C5">
              <w:t>1.2. valsts speciālais budžets</w:t>
            </w:r>
          </w:p>
        </w:tc>
        <w:tc>
          <w:tcPr>
            <w:tcW w:w="1110" w:type="dxa"/>
          </w:tcPr>
          <w:p w14:paraId="15AC3F9D" w14:textId="77777777" w:rsidR="00DA708F" w:rsidRPr="007770C5" w:rsidRDefault="00DA708F" w:rsidP="001B2A96">
            <w:pPr>
              <w:jc w:val="center"/>
            </w:pPr>
          </w:p>
        </w:tc>
        <w:tc>
          <w:tcPr>
            <w:tcW w:w="1360" w:type="dxa"/>
          </w:tcPr>
          <w:p w14:paraId="0C112442" w14:textId="77777777" w:rsidR="00DA708F" w:rsidRPr="007770C5" w:rsidRDefault="00DA708F" w:rsidP="001B2A96">
            <w:pPr>
              <w:jc w:val="center"/>
            </w:pPr>
          </w:p>
        </w:tc>
        <w:tc>
          <w:tcPr>
            <w:tcW w:w="1081" w:type="dxa"/>
          </w:tcPr>
          <w:p w14:paraId="08A8B0A0" w14:textId="77777777" w:rsidR="00DA708F" w:rsidRPr="007770C5" w:rsidRDefault="00DA708F" w:rsidP="001B2A96">
            <w:pPr>
              <w:jc w:val="center"/>
            </w:pPr>
          </w:p>
        </w:tc>
        <w:tc>
          <w:tcPr>
            <w:tcW w:w="1441" w:type="dxa"/>
          </w:tcPr>
          <w:p w14:paraId="4A8CA9E3" w14:textId="77777777" w:rsidR="00DA708F" w:rsidRPr="007770C5" w:rsidRDefault="00DA708F" w:rsidP="001B2A96">
            <w:pPr>
              <w:jc w:val="center"/>
            </w:pPr>
          </w:p>
        </w:tc>
        <w:tc>
          <w:tcPr>
            <w:tcW w:w="1081" w:type="dxa"/>
          </w:tcPr>
          <w:p w14:paraId="115E5969" w14:textId="77777777" w:rsidR="00DA708F" w:rsidRPr="007770C5" w:rsidRDefault="00DA708F" w:rsidP="001B2A96">
            <w:pPr>
              <w:jc w:val="center"/>
            </w:pPr>
          </w:p>
        </w:tc>
        <w:tc>
          <w:tcPr>
            <w:tcW w:w="1183" w:type="dxa"/>
          </w:tcPr>
          <w:p w14:paraId="6B98D2DB" w14:textId="77777777" w:rsidR="00DA708F" w:rsidRPr="007770C5" w:rsidRDefault="00DA708F" w:rsidP="001B2A96">
            <w:pPr>
              <w:jc w:val="center"/>
            </w:pPr>
          </w:p>
        </w:tc>
        <w:tc>
          <w:tcPr>
            <w:tcW w:w="1150" w:type="dxa"/>
          </w:tcPr>
          <w:p w14:paraId="60DE00DC" w14:textId="77777777" w:rsidR="00DA708F" w:rsidRPr="007770C5" w:rsidRDefault="00DA708F" w:rsidP="001B2A96">
            <w:pPr>
              <w:jc w:val="center"/>
            </w:pPr>
          </w:p>
        </w:tc>
      </w:tr>
      <w:tr w:rsidR="007770C5" w:rsidRPr="007770C5" w14:paraId="3BF23EE2" w14:textId="77777777" w:rsidTr="00FC2CBC">
        <w:trPr>
          <w:jc w:val="center"/>
        </w:trPr>
        <w:tc>
          <w:tcPr>
            <w:tcW w:w="1800" w:type="dxa"/>
          </w:tcPr>
          <w:p w14:paraId="3F75D13B" w14:textId="77777777" w:rsidR="00DA708F" w:rsidRPr="007770C5" w:rsidRDefault="00DA708F" w:rsidP="001B2A96">
            <w:pPr>
              <w:rPr>
                <w:i/>
              </w:rPr>
            </w:pPr>
            <w:r w:rsidRPr="007770C5">
              <w:t>1.3. pašvaldību budžets</w:t>
            </w:r>
          </w:p>
        </w:tc>
        <w:tc>
          <w:tcPr>
            <w:tcW w:w="1110" w:type="dxa"/>
          </w:tcPr>
          <w:p w14:paraId="25E8A59E" w14:textId="77777777" w:rsidR="00DA708F" w:rsidRPr="007770C5" w:rsidRDefault="00DA708F" w:rsidP="001B2A96">
            <w:pPr>
              <w:jc w:val="center"/>
            </w:pPr>
          </w:p>
        </w:tc>
        <w:tc>
          <w:tcPr>
            <w:tcW w:w="1360" w:type="dxa"/>
          </w:tcPr>
          <w:p w14:paraId="6926686D" w14:textId="77777777" w:rsidR="00DA708F" w:rsidRPr="007770C5" w:rsidRDefault="00DA708F" w:rsidP="001B2A96">
            <w:pPr>
              <w:jc w:val="center"/>
            </w:pPr>
          </w:p>
        </w:tc>
        <w:tc>
          <w:tcPr>
            <w:tcW w:w="1081" w:type="dxa"/>
          </w:tcPr>
          <w:p w14:paraId="01810920" w14:textId="77777777" w:rsidR="00DA708F" w:rsidRPr="007770C5" w:rsidRDefault="00DA708F" w:rsidP="001B2A96">
            <w:pPr>
              <w:jc w:val="center"/>
            </w:pPr>
          </w:p>
        </w:tc>
        <w:tc>
          <w:tcPr>
            <w:tcW w:w="1441" w:type="dxa"/>
          </w:tcPr>
          <w:p w14:paraId="4E47B6D6" w14:textId="77777777" w:rsidR="00DA708F" w:rsidRPr="007770C5" w:rsidRDefault="00DA708F" w:rsidP="001B2A96">
            <w:pPr>
              <w:jc w:val="center"/>
            </w:pPr>
          </w:p>
        </w:tc>
        <w:tc>
          <w:tcPr>
            <w:tcW w:w="1081" w:type="dxa"/>
          </w:tcPr>
          <w:p w14:paraId="303E2203" w14:textId="77777777" w:rsidR="00DA708F" w:rsidRPr="007770C5" w:rsidRDefault="00DA708F" w:rsidP="001B2A96">
            <w:pPr>
              <w:jc w:val="center"/>
            </w:pPr>
          </w:p>
        </w:tc>
        <w:tc>
          <w:tcPr>
            <w:tcW w:w="1183" w:type="dxa"/>
          </w:tcPr>
          <w:p w14:paraId="5AAB8C1A" w14:textId="77777777" w:rsidR="00DA708F" w:rsidRPr="007770C5" w:rsidRDefault="00DA708F" w:rsidP="001B2A96">
            <w:pPr>
              <w:jc w:val="center"/>
            </w:pPr>
          </w:p>
        </w:tc>
        <w:tc>
          <w:tcPr>
            <w:tcW w:w="1150" w:type="dxa"/>
          </w:tcPr>
          <w:p w14:paraId="022AB86F" w14:textId="77777777" w:rsidR="00DA708F" w:rsidRPr="007770C5" w:rsidRDefault="00DA708F" w:rsidP="001B2A96">
            <w:pPr>
              <w:jc w:val="center"/>
            </w:pPr>
          </w:p>
        </w:tc>
      </w:tr>
      <w:tr w:rsidR="007770C5" w:rsidRPr="007770C5" w14:paraId="2BFA35C4" w14:textId="77777777" w:rsidTr="00FC2CBC">
        <w:trPr>
          <w:jc w:val="center"/>
        </w:trPr>
        <w:tc>
          <w:tcPr>
            <w:tcW w:w="1800" w:type="dxa"/>
          </w:tcPr>
          <w:p w14:paraId="576345A9" w14:textId="77777777" w:rsidR="00DA708F" w:rsidRPr="007770C5" w:rsidRDefault="00DA708F" w:rsidP="001B2A96">
            <w:r w:rsidRPr="007770C5">
              <w:t>2. Budžeta izdevumi:</w:t>
            </w:r>
          </w:p>
        </w:tc>
        <w:tc>
          <w:tcPr>
            <w:tcW w:w="1110" w:type="dxa"/>
          </w:tcPr>
          <w:p w14:paraId="167441E8" w14:textId="77777777" w:rsidR="00DA708F" w:rsidRPr="007770C5" w:rsidRDefault="00DA708F" w:rsidP="001B2A96">
            <w:pPr>
              <w:jc w:val="center"/>
              <w:rPr>
                <w:b/>
              </w:rPr>
            </w:pPr>
            <w:r w:rsidRPr="007770C5">
              <w:rPr>
                <w:b/>
              </w:rPr>
              <w:t>0</w:t>
            </w:r>
          </w:p>
        </w:tc>
        <w:tc>
          <w:tcPr>
            <w:tcW w:w="1360" w:type="dxa"/>
          </w:tcPr>
          <w:p w14:paraId="05112F23" w14:textId="19F5F022" w:rsidR="00DA708F" w:rsidRPr="00E418B1" w:rsidRDefault="00E418B1" w:rsidP="001B2A96">
            <w:pPr>
              <w:jc w:val="center"/>
              <w:rPr>
                <w:b/>
              </w:rPr>
            </w:pPr>
            <w:r w:rsidRPr="00E418B1">
              <w:rPr>
                <w:b/>
                <w:shd w:val="clear" w:color="auto" w:fill="FFFFFF"/>
              </w:rPr>
              <w:t>2 455 983</w:t>
            </w:r>
          </w:p>
        </w:tc>
        <w:tc>
          <w:tcPr>
            <w:tcW w:w="1081" w:type="dxa"/>
          </w:tcPr>
          <w:p w14:paraId="7F49FA9F" w14:textId="77777777" w:rsidR="00DA708F" w:rsidRPr="007770C5" w:rsidRDefault="00DA708F" w:rsidP="001B2A96">
            <w:pPr>
              <w:jc w:val="center"/>
              <w:rPr>
                <w:b/>
              </w:rPr>
            </w:pPr>
            <w:r w:rsidRPr="007770C5">
              <w:rPr>
                <w:b/>
              </w:rPr>
              <w:t>0</w:t>
            </w:r>
          </w:p>
        </w:tc>
        <w:tc>
          <w:tcPr>
            <w:tcW w:w="1441" w:type="dxa"/>
          </w:tcPr>
          <w:p w14:paraId="5420ACB5" w14:textId="78842E3E" w:rsidR="00DA708F" w:rsidRPr="007770C5" w:rsidRDefault="0012026C" w:rsidP="001B2A96">
            <w:pPr>
              <w:jc w:val="center"/>
              <w:rPr>
                <w:b/>
              </w:rPr>
            </w:pPr>
            <w:r w:rsidRPr="007770C5">
              <w:rPr>
                <w:b/>
              </w:rPr>
              <w:t>0</w:t>
            </w:r>
          </w:p>
        </w:tc>
        <w:tc>
          <w:tcPr>
            <w:tcW w:w="1081" w:type="dxa"/>
          </w:tcPr>
          <w:p w14:paraId="048E7AD8" w14:textId="77777777" w:rsidR="00DA708F" w:rsidRPr="007770C5" w:rsidRDefault="00DA708F" w:rsidP="001B2A96">
            <w:pPr>
              <w:jc w:val="center"/>
              <w:rPr>
                <w:b/>
              </w:rPr>
            </w:pPr>
            <w:r w:rsidRPr="007770C5">
              <w:rPr>
                <w:b/>
              </w:rPr>
              <w:t>0</w:t>
            </w:r>
          </w:p>
        </w:tc>
        <w:tc>
          <w:tcPr>
            <w:tcW w:w="1183" w:type="dxa"/>
          </w:tcPr>
          <w:p w14:paraId="690B50D6" w14:textId="77777777" w:rsidR="00DA708F" w:rsidRPr="007770C5" w:rsidRDefault="00DA708F" w:rsidP="001B2A96">
            <w:pPr>
              <w:jc w:val="center"/>
              <w:rPr>
                <w:b/>
              </w:rPr>
            </w:pPr>
            <w:r w:rsidRPr="007770C5">
              <w:rPr>
                <w:b/>
              </w:rPr>
              <w:t>0</w:t>
            </w:r>
          </w:p>
        </w:tc>
        <w:tc>
          <w:tcPr>
            <w:tcW w:w="1150" w:type="dxa"/>
          </w:tcPr>
          <w:p w14:paraId="72290D90" w14:textId="77777777" w:rsidR="00DA708F" w:rsidRPr="007770C5" w:rsidRDefault="00DA708F" w:rsidP="001B2A96">
            <w:pPr>
              <w:jc w:val="center"/>
              <w:rPr>
                <w:b/>
              </w:rPr>
            </w:pPr>
            <w:r w:rsidRPr="007770C5">
              <w:rPr>
                <w:b/>
              </w:rPr>
              <w:t>0</w:t>
            </w:r>
          </w:p>
        </w:tc>
      </w:tr>
      <w:tr w:rsidR="007770C5" w:rsidRPr="007770C5" w14:paraId="4725DAAC" w14:textId="77777777" w:rsidTr="00FC2CBC">
        <w:trPr>
          <w:jc w:val="center"/>
        </w:trPr>
        <w:tc>
          <w:tcPr>
            <w:tcW w:w="1800" w:type="dxa"/>
          </w:tcPr>
          <w:p w14:paraId="38ED5BC6" w14:textId="77777777" w:rsidR="00DA708F" w:rsidRPr="007770C5" w:rsidRDefault="00DA708F" w:rsidP="001B2A96">
            <w:r w:rsidRPr="007770C5">
              <w:t>2.1. valsts pamatbudžets</w:t>
            </w:r>
          </w:p>
        </w:tc>
        <w:tc>
          <w:tcPr>
            <w:tcW w:w="1110" w:type="dxa"/>
          </w:tcPr>
          <w:p w14:paraId="04E67DEB" w14:textId="77777777" w:rsidR="00DA708F" w:rsidRPr="007770C5" w:rsidRDefault="00DA708F" w:rsidP="001B2A96">
            <w:pPr>
              <w:jc w:val="center"/>
              <w:rPr>
                <w:i/>
              </w:rPr>
            </w:pPr>
            <w:r w:rsidRPr="007770C5">
              <w:rPr>
                <w:i/>
              </w:rPr>
              <w:t>0</w:t>
            </w:r>
          </w:p>
        </w:tc>
        <w:tc>
          <w:tcPr>
            <w:tcW w:w="1360" w:type="dxa"/>
          </w:tcPr>
          <w:p w14:paraId="197962AF" w14:textId="5663961B" w:rsidR="00DA708F" w:rsidRPr="00E418B1" w:rsidRDefault="00E418B1" w:rsidP="00AC4E3B">
            <w:pPr>
              <w:jc w:val="center"/>
              <w:rPr>
                <w:i/>
              </w:rPr>
            </w:pPr>
            <w:r w:rsidRPr="00E418B1">
              <w:rPr>
                <w:i/>
                <w:shd w:val="clear" w:color="auto" w:fill="FFFFFF"/>
              </w:rPr>
              <w:t>2 455 983</w:t>
            </w:r>
          </w:p>
        </w:tc>
        <w:tc>
          <w:tcPr>
            <w:tcW w:w="1081" w:type="dxa"/>
          </w:tcPr>
          <w:p w14:paraId="60CBA3E5" w14:textId="77777777" w:rsidR="00DA708F" w:rsidRPr="007770C5" w:rsidRDefault="00DA708F" w:rsidP="001B2A96">
            <w:pPr>
              <w:jc w:val="center"/>
              <w:rPr>
                <w:i/>
              </w:rPr>
            </w:pPr>
            <w:r w:rsidRPr="007770C5">
              <w:rPr>
                <w:i/>
              </w:rPr>
              <w:t>0</w:t>
            </w:r>
          </w:p>
        </w:tc>
        <w:tc>
          <w:tcPr>
            <w:tcW w:w="1441" w:type="dxa"/>
          </w:tcPr>
          <w:p w14:paraId="7F5B7D9A" w14:textId="01EEE8D4" w:rsidR="00DA708F" w:rsidRPr="007770C5" w:rsidRDefault="0012026C" w:rsidP="001B2A96">
            <w:pPr>
              <w:jc w:val="center"/>
              <w:rPr>
                <w:i/>
              </w:rPr>
            </w:pPr>
            <w:r w:rsidRPr="007770C5">
              <w:rPr>
                <w:i/>
              </w:rPr>
              <w:t>0</w:t>
            </w:r>
          </w:p>
        </w:tc>
        <w:tc>
          <w:tcPr>
            <w:tcW w:w="1081" w:type="dxa"/>
          </w:tcPr>
          <w:p w14:paraId="73EE6EFC" w14:textId="77777777" w:rsidR="00DA708F" w:rsidRPr="007770C5" w:rsidRDefault="00DA708F" w:rsidP="001B2A96">
            <w:pPr>
              <w:jc w:val="center"/>
              <w:rPr>
                <w:i/>
              </w:rPr>
            </w:pPr>
            <w:r w:rsidRPr="007770C5">
              <w:rPr>
                <w:i/>
              </w:rPr>
              <w:t>0</w:t>
            </w:r>
          </w:p>
        </w:tc>
        <w:tc>
          <w:tcPr>
            <w:tcW w:w="1183" w:type="dxa"/>
          </w:tcPr>
          <w:p w14:paraId="1D24A512" w14:textId="77777777" w:rsidR="00DA708F" w:rsidRPr="007770C5" w:rsidRDefault="00DA708F" w:rsidP="001B2A96">
            <w:pPr>
              <w:jc w:val="center"/>
              <w:rPr>
                <w:i/>
              </w:rPr>
            </w:pPr>
            <w:r w:rsidRPr="007770C5">
              <w:rPr>
                <w:i/>
              </w:rPr>
              <w:t>0</w:t>
            </w:r>
          </w:p>
        </w:tc>
        <w:tc>
          <w:tcPr>
            <w:tcW w:w="1150" w:type="dxa"/>
          </w:tcPr>
          <w:p w14:paraId="21DD7031" w14:textId="77777777" w:rsidR="00DA708F" w:rsidRPr="007770C5" w:rsidRDefault="00DA708F" w:rsidP="001B2A96">
            <w:pPr>
              <w:jc w:val="center"/>
              <w:rPr>
                <w:i/>
              </w:rPr>
            </w:pPr>
            <w:r w:rsidRPr="007770C5">
              <w:rPr>
                <w:i/>
              </w:rPr>
              <w:t>0</w:t>
            </w:r>
          </w:p>
        </w:tc>
      </w:tr>
      <w:tr w:rsidR="007770C5" w:rsidRPr="007770C5" w14:paraId="5715E9BE" w14:textId="77777777" w:rsidTr="00FC2CBC">
        <w:trPr>
          <w:jc w:val="center"/>
        </w:trPr>
        <w:tc>
          <w:tcPr>
            <w:tcW w:w="1800" w:type="dxa"/>
          </w:tcPr>
          <w:p w14:paraId="1242CE48" w14:textId="77777777" w:rsidR="00DA708F" w:rsidRPr="007770C5" w:rsidRDefault="00DA708F" w:rsidP="001B2A96">
            <w:r w:rsidRPr="007770C5">
              <w:t>2.2. valsts speciālais budžets</w:t>
            </w:r>
          </w:p>
        </w:tc>
        <w:tc>
          <w:tcPr>
            <w:tcW w:w="1110" w:type="dxa"/>
          </w:tcPr>
          <w:p w14:paraId="27F052CF" w14:textId="77777777" w:rsidR="00DA708F" w:rsidRPr="007770C5" w:rsidRDefault="00DA708F" w:rsidP="001B2A96">
            <w:pPr>
              <w:jc w:val="center"/>
            </w:pPr>
          </w:p>
        </w:tc>
        <w:tc>
          <w:tcPr>
            <w:tcW w:w="1360" w:type="dxa"/>
          </w:tcPr>
          <w:p w14:paraId="49A5A0F2" w14:textId="77777777" w:rsidR="00DA708F" w:rsidRPr="007770C5" w:rsidRDefault="00DA708F" w:rsidP="001B2A96">
            <w:pPr>
              <w:jc w:val="center"/>
            </w:pPr>
          </w:p>
        </w:tc>
        <w:tc>
          <w:tcPr>
            <w:tcW w:w="1081" w:type="dxa"/>
          </w:tcPr>
          <w:p w14:paraId="721C4445" w14:textId="77777777" w:rsidR="00DA708F" w:rsidRPr="007770C5" w:rsidRDefault="00DA708F" w:rsidP="001B2A96">
            <w:pPr>
              <w:jc w:val="center"/>
            </w:pPr>
          </w:p>
        </w:tc>
        <w:tc>
          <w:tcPr>
            <w:tcW w:w="1441" w:type="dxa"/>
          </w:tcPr>
          <w:p w14:paraId="4173FB89" w14:textId="77777777" w:rsidR="00DA708F" w:rsidRPr="007770C5" w:rsidRDefault="00DA708F" w:rsidP="001B2A96">
            <w:pPr>
              <w:jc w:val="center"/>
            </w:pPr>
          </w:p>
        </w:tc>
        <w:tc>
          <w:tcPr>
            <w:tcW w:w="1081" w:type="dxa"/>
          </w:tcPr>
          <w:p w14:paraId="198582F9" w14:textId="77777777" w:rsidR="00DA708F" w:rsidRPr="007770C5" w:rsidRDefault="00DA708F" w:rsidP="001B2A96">
            <w:pPr>
              <w:jc w:val="center"/>
            </w:pPr>
          </w:p>
        </w:tc>
        <w:tc>
          <w:tcPr>
            <w:tcW w:w="1183" w:type="dxa"/>
          </w:tcPr>
          <w:p w14:paraId="31FE59E2" w14:textId="77777777" w:rsidR="00DA708F" w:rsidRPr="007770C5" w:rsidRDefault="00DA708F" w:rsidP="001B2A96">
            <w:pPr>
              <w:jc w:val="center"/>
            </w:pPr>
          </w:p>
        </w:tc>
        <w:tc>
          <w:tcPr>
            <w:tcW w:w="1150" w:type="dxa"/>
          </w:tcPr>
          <w:p w14:paraId="05CAFB43" w14:textId="77777777" w:rsidR="00DA708F" w:rsidRPr="007770C5" w:rsidRDefault="00DA708F" w:rsidP="001B2A96">
            <w:pPr>
              <w:jc w:val="center"/>
            </w:pPr>
          </w:p>
        </w:tc>
      </w:tr>
      <w:tr w:rsidR="007770C5" w:rsidRPr="007770C5" w14:paraId="4668E250" w14:textId="77777777" w:rsidTr="00FC2CBC">
        <w:trPr>
          <w:jc w:val="center"/>
        </w:trPr>
        <w:tc>
          <w:tcPr>
            <w:tcW w:w="1800" w:type="dxa"/>
          </w:tcPr>
          <w:p w14:paraId="7EB504E5" w14:textId="77777777" w:rsidR="00DA708F" w:rsidRPr="007770C5" w:rsidRDefault="00DA708F" w:rsidP="001B2A96">
            <w:r w:rsidRPr="007770C5">
              <w:t xml:space="preserve">2.3. pašvaldību budžets </w:t>
            </w:r>
          </w:p>
        </w:tc>
        <w:tc>
          <w:tcPr>
            <w:tcW w:w="1110" w:type="dxa"/>
          </w:tcPr>
          <w:p w14:paraId="0189D475" w14:textId="77777777" w:rsidR="00DA708F" w:rsidRPr="007770C5" w:rsidRDefault="00DA708F" w:rsidP="001B2A96">
            <w:pPr>
              <w:jc w:val="center"/>
            </w:pPr>
          </w:p>
        </w:tc>
        <w:tc>
          <w:tcPr>
            <w:tcW w:w="1360" w:type="dxa"/>
          </w:tcPr>
          <w:p w14:paraId="1FA84B5F" w14:textId="77777777" w:rsidR="00DA708F" w:rsidRPr="007770C5" w:rsidRDefault="00DA708F" w:rsidP="001B2A96">
            <w:pPr>
              <w:jc w:val="center"/>
            </w:pPr>
          </w:p>
        </w:tc>
        <w:tc>
          <w:tcPr>
            <w:tcW w:w="1081" w:type="dxa"/>
          </w:tcPr>
          <w:p w14:paraId="16603E34" w14:textId="77777777" w:rsidR="00DA708F" w:rsidRPr="007770C5" w:rsidRDefault="00DA708F" w:rsidP="001B2A96">
            <w:pPr>
              <w:jc w:val="center"/>
            </w:pPr>
          </w:p>
        </w:tc>
        <w:tc>
          <w:tcPr>
            <w:tcW w:w="1441" w:type="dxa"/>
          </w:tcPr>
          <w:p w14:paraId="053F02D6" w14:textId="77777777" w:rsidR="00DA708F" w:rsidRPr="007770C5" w:rsidRDefault="00DA708F" w:rsidP="001B2A96">
            <w:pPr>
              <w:jc w:val="center"/>
            </w:pPr>
          </w:p>
        </w:tc>
        <w:tc>
          <w:tcPr>
            <w:tcW w:w="1081" w:type="dxa"/>
          </w:tcPr>
          <w:p w14:paraId="5D5C6E78" w14:textId="77777777" w:rsidR="00DA708F" w:rsidRPr="007770C5" w:rsidRDefault="00DA708F" w:rsidP="001B2A96">
            <w:pPr>
              <w:jc w:val="center"/>
            </w:pPr>
          </w:p>
        </w:tc>
        <w:tc>
          <w:tcPr>
            <w:tcW w:w="1183" w:type="dxa"/>
          </w:tcPr>
          <w:p w14:paraId="3E06E5EC" w14:textId="77777777" w:rsidR="00DA708F" w:rsidRPr="007770C5" w:rsidRDefault="00DA708F" w:rsidP="001B2A96">
            <w:pPr>
              <w:jc w:val="center"/>
            </w:pPr>
          </w:p>
        </w:tc>
        <w:tc>
          <w:tcPr>
            <w:tcW w:w="1150" w:type="dxa"/>
          </w:tcPr>
          <w:p w14:paraId="29AF5552" w14:textId="77777777" w:rsidR="00DA708F" w:rsidRPr="007770C5" w:rsidRDefault="00DA708F" w:rsidP="001B2A96">
            <w:pPr>
              <w:jc w:val="center"/>
            </w:pPr>
          </w:p>
        </w:tc>
      </w:tr>
      <w:tr w:rsidR="007770C5" w:rsidRPr="007770C5" w14:paraId="5EF983C5" w14:textId="77777777" w:rsidTr="00FC2CBC">
        <w:trPr>
          <w:jc w:val="center"/>
        </w:trPr>
        <w:tc>
          <w:tcPr>
            <w:tcW w:w="1800" w:type="dxa"/>
          </w:tcPr>
          <w:p w14:paraId="40BEE164" w14:textId="77777777" w:rsidR="00DA708F" w:rsidRPr="007770C5" w:rsidRDefault="00DA708F" w:rsidP="001B2A96">
            <w:r w:rsidRPr="007770C5">
              <w:lastRenderedPageBreak/>
              <w:t>3. Finansiālā ietekme:</w:t>
            </w:r>
          </w:p>
        </w:tc>
        <w:tc>
          <w:tcPr>
            <w:tcW w:w="1110" w:type="dxa"/>
            <w:shd w:val="clear" w:color="auto" w:fill="auto"/>
          </w:tcPr>
          <w:p w14:paraId="75D99A5B" w14:textId="77777777" w:rsidR="00DA708F" w:rsidRPr="007770C5" w:rsidRDefault="00DA708F" w:rsidP="001B2A96">
            <w:pPr>
              <w:jc w:val="center"/>
              <w:rPr>
                <w:b/>
              </w:rPr>
            </w:pPr>
            <w:r w:rsidRPr="007770C5">
              <w:rPr>
                <w:b/>
              </w:rPr>
              <w:t>0</w:t>
            </w:r>
          </w:p>
        </w:tc>
        <w:tc>
          <w:tcPr>
            <w:tcW w:w="1360" w:type="dxa"/>
          </w:tcPr>
          <w:p w14:paraId="38039DE1" w14:textId="1A539714" w:rsidR="00DA708F" w:rsidRPr="007770C5" w:rsidRDefault="00D442BA" w:rsidP="00AC4E3B">
            <w:pPr>
              <w:jc w:val="center"/>
              <w:rPr>
                <w:b/>
              </w:rPr>
            </w:pPr>
            <w:r w:rsidRPr="007770C5">
              <w:rPr>
                <w:b/>
              </w:rPr>
              <w:t xml:space="preserve">- </w:t>
            </w:r>
            <w:r w:rsidR="00E418B1" w:rsidRPr="00E418B1">
              <w:rPr>
                <w:b/>
                <w:shd w:val="clear" w:color="auto" w:fill="FFFFFF"/>
              </w:rPr>
              <w:t>2 455 983</w:t>
            </w:r>
          </w:p>
        </w:tc>
        <w:tc>
          <w:tcPr>
            <w:tcW w:w="1081" w:type="dxa"/>
          </w:tcPr>
          <w:p w14:paraId="7DCC8E49" w14:textId="77777777" w:rsidR="00DA708F" w:rsidRPr="007770C5" w:rsidRDefault="00DA708F" w:rsidP="001B2A96">
            <w:pPr>
              <w:jc w:val="center"/>
              <w:rPr>
                <w:b/>
              </w:rPr>
            </w:pPr>
            <w:r w:rsidRPr="007770C5">
              <w:rPr>
                <w:b/>
              </w:rPr>
              <w:t>0</w:t>
            </w:r>
          </w:p>
        </w:tc>
        <w:tc>
          <w:tcPr>
            <w:tcW w:w="1441" w:type="dxa"/>
          </w:tcPr>
          <w:p w14:paraId="2B7B86A6" w14:textId="4566BA7F" w:rsidR="00DA708F" w:rsidRPr="007770C5" w:rsidRDefault="0012026C" w:rsidP="001B2A96">
            <w:pPr>
              <w:jc w:val="center"/>
              <w:rPr>
                <w:b/>
              </w:rPr>
            </w:pPr>
            <w:r w:rsidRPr="007770C5">
              <w:rPr>
                <w:b/>
              </w:rPr>
              <w:t>0</w:t>
            </w:r>
          </w:p>
        </w:tc>
        <w:tc>
          <w:tcPr>
            <w:tcW w:w="1081" w:type="dxa"/>
          </w:tcPr>
          <w:p w14:paraId="3CE95929" w14:textId="77777777" w:rsidR="00DA708F" w:rsidRPr="007770C5" w:rsidRDefault="00DA708F" w:rsidP="001B2A96">
            <w:pPr>
              <w:jc w:val="center"/>
              <w:rPr>
                <w:b/>
              </w:rPr>
            </w:pPr>
            <w:r w:rsidRPr="007770C5">
              <w:rPr>
                <w:b/>
              </w:rPr>
              <w:t>0</w:t>
            </w:r>
          </w:p>
        </w:tc>
        <w:tc>
          <w:tcPr>
            <w:tcW w:w="1183" w:type="dxa"/>
          </w:tcPr>
          <w:p w14:paraId="5F0E3EFA" w14:textId="77777777" w:rsidR="00DA708F" w:rsidRPr="007770C5" w:rsidRDefault="00DA708F" w:rsidP="001B2A96">
            <w:pPr>
              <w:jc w:val="center"/>
              <w:rPr>
                <w:b/>
              </w:rPr>
            </w:pPr>
            <w:r w:rsidRPr="007770C5">
              <w:rPr>
                <w:b/>
              </w:rPr>
              <w:t>0</w:t>
            </w:r>
          </w:p>
        </w:tc>
        <w:tc>
          <w:tcPr>
            <w:tcW w:w="1150" w:type="dxa"/>
          </w:tcPr>
          <w:p w14:paraId="4092E8CB" w14:textId="77777777" w:rsidR="00DA708F" w:rsidRPr="007770C5" w:rsidRDefault="00DA708F" w:rsidP="001B2A96">
            <w:pPr>
              <w:jc w:val="center"/>
              <w:rPr>
                <w:b/>
              </w:rPr>
            </w:pPr>
            <w:r w:rsidRPr="007770C5">
              <w:rPr>
                <w:b/>
              </w:rPr>
              <w:t>0</w:t>
            </w:r>
          </w:p>
        </w:tc>
      </w:tr>
      <w:tr w:rsidR="007770C5" w:rsidRPr="007770C5" w14:paraId="0C81E4A5" w14:textId="77777777" w:rsidTr="00FC2CBC">
        <w:trPr>
          <w:jc w:val="center"/>
        </w:trPr>
        <w:tc>
          <w:tcPr>
            <w:tcW w:w="1800" w:type="dxa"/>
          </w:tcPr>
          <w:p w14:paraId="2540F61C" w14:textId="77777777" w:rsidR="00DA708F" w:rsidRPr="007770C5" w:rsidRDefault="00DA708F" w:rsidP="001B2A96">
            <w:r w:rsidRPr="007770C5">
              <w:t>3.1. valsts pamatbudžets</w:t>
            </w:r>
          </w:p>
        </w:tc>
        <w:tc>
          <w:tcPr>
            <w:tcW w:w="1110" w:type="dxa"/>
            <w:shd w:val="clear" w:color="auto" w:fill="auto"/>
          </w:tcPr>
          <w:p w14:paraId="482E45F8" w14:textId="77777777" w:rsidR="00DA708F" w:rsidRPr="007770C5" w:rsidRDefault="00DA708F" w:rsidP="001B2A96">
            <w:pPr>
              <w:jc w:val="center"/>
              <w:rPr>
                <w:i/>
              </w:rPr>
            </w:pPr>
            <w:r w:rsidRPr="007770C5">
              <w:rPr>
                <w:i/>
              </w:rPr>
              <w:t>0</w:t>
            </w:r>
          </w:p>
        </w:tc>
        <w:tc>
          <w:tcPr>
            <w:tcW w:w="1360" w:type="dxa"/>
          </w:tcPr>
          <w:p w14:paraId="323F24F8" w14:textId="5DC550B2" w:rsidR="00DA708F" w:rsidRPr="007770C5" w:rsidRDefault="00D442BA" w:rsidP="00AC4E3B">
            <w:pPr>
              <w:jc w:val="center"/>
              <w:rPr>
                <w:i/>
              </w:rPr>
            </w:pPr>
            <w:r w:rsidRPr="007770C5">
              <w:rPr>
                <w:i/>
              </w:rPr>
              <w:t xml:space="preserve">- </w:t>
            </w:r>
            <w:r w:rsidR="00E418B1" w:rsidRPr="00E418B1">
              <w:rPr>
                <w:i/>
                <w:shd w:val="clear" w:color="auto" w:fill="FFFFFF"/>
              </w:rPr>
              <w:t>2 455 983</w:t>
            </w:r>
          </w:p>
        </w:tc>
        <w:tc>
          <w:tcPr>
            <w:tcW w:w="1081" w:type="dxa"/>
          </w:tcPr>
          <w:p w14:paraId="3B7A0AD2" w14:textId="77777777" w:rsidR="00DA708F" w:rsidRPr="007770C5" w:rsidRDefault="00DA708F" w:rsidP="001B2A96">
            <w:pPr>
              <w:jc w:val="center"/>
              <w:rPr>
                <w:i/>
              </w:rPr>
            </w:pPr>
            <w:r w:rsidRPr="007770C5">
              <w:rPr>
                <w:i/>
              </w:rPr>
              <w:t>0</w:t>
            </w:r>
          </w:p>
        </w:tc>
        <w:tc>
          <w:tcPr>
            <w:tcW w:w="1441" w:type="dxa"/>
          </w:tcPr>
          <w:p w14:paraId="53FDF421" w14:textId="110D7DCC" w:rsidR="00DA708F" w:rsidRPr="007770C5" w:rsidRDefault="0012026C" w:rsidP="001B2A96">
            <w:pPr>
              <w:jc w:val="center"/>
              <w:rPr>
                <w:i/>
              </w:rPr>
            </w:pPr>
            <w:r w:rsidRPr="007770C5">
              <w:rPr>
                <w:i/>
              </w:rPr>
              <w:t>0</w:t>
            </w:r>
          </w:p>
        </w:tc>
        <w:tc>
          <w:tcPr>
            <w:tcW w:w="1081" w:type="dxa"/>
          </w:tcPr>
          <w:p w14:paraId="508B67A9" w14:textId="77777777" w:rsidR="00DA708F" w:rsidRPr="007770C5" w:rsidRDefault="00DA708F" w:rsidP="001B2A96">
            <w:pPr>
              <w:jc w:val="center"/>
              <w:rPr>
                <w:i/>
              </w:rPr>
            </w:pPr>
            <w:r w:rsidRPr="007770C5">
              <w:rPr>
                <w:i/>
              </w:rPr>
              <w:t>0</w:t>
            </w:r>
          </w:p>
        </w:tc>
        <w:tc>
          <w:tcPr>
            <w:tcW w:w="1183" w:type="dxa"/>
          </w:tcPr>
          <w:p w14:paraId="0F1497CA" w14:textId="77777777" w:rsidR="00DA708F" w:rsidRPr="007770C5" w:rsidRDefault="00DA708F" w:rsidP="001B2A96">
            <w:pPr>
              <w:jc w:val="center"/>
              <w:rPr>
                <w:i/>
              </w:rPr>
            </w:pPr>
            <w:r w:rsidRPr="007770C5">
              <w:rPr>
                <w:i/>
              </w:rPr>
              <w:t>0</w:t>
            </w:r>
          </w:p>
        </w:tc>
        <w:tc>
          <w:tcPr>
            <w:tcW w:w="1150" w:type="dxa"/>
          </w:tcPr>
          <w:p w14:paraId="240FC83F" w14:textId="77777777" w:rsidR="00DA708F" w:rsidRPr="007770C5" w:rsidRDefault="00DA708F" w:rsidP="001B2A96">
            <w:pPr>
              <w:jc w:val="center"/>
              <w:rPr>
                <w:i/>
              </w:rPr>
            </w:pPr>
            <w:r w:rsidRPr="007770C5">
              <w:rPr>
                <w:i/>
              </w:rPr>
              <w:t>0</w:t>
            </w:r>
          </w:p>
        </w:tc>
      </w:tr>
      <w:tr w:rsidR="007770C5" w:rsidRPr="007770C5" w14:paraId="7ADBC024" w14:textId="77777777" w:rsidTr="00FC2CBC">
        <w:trPr>
          <w:jc w:val="center"/>
        </w:trPr>
        <w:tc>
          <w:tcPr>
            <w:tcW w:w="1800" w:type="dxa"/>
          </w:tcPr>
          <w:p w14:paraId="6E2D338E" w14:textId="77777777" w:rsidR="00DA708F" w:rsidRPr="007770C5" w:rsidRDefault="00DA708F" w:rsidP="001B2A96">
            <w:r w:rsidRPr="007770C5">
              <w:t>3.2. speciālais budžets</w:t>
            </w:r>
          </w:p>
        </w:tc>
        <w:tc>
          <w:tcPr>
            <w:tcW w:w="1110" w:type="dxa"/>
            <w:shd w:val="clear" w:color="auto" w:fill="auto"/>
          </w:tcPr>
          <w:p w14:paraId="571FAF78" w14:textId="77777777" w:rsidR="00DA708F" w:rsidRPr="007770C5" w:rsidRDefault="00DA708F" w:rsidP="001B2A96">
            <w:pPr>
              <w:jc w:val="center"/>
            </w:pPr>
          </w:p>
        </w:tc>
        <w:tc>
          <w:tcPr>
            <w:tcW w:w="1360" w:type="dxa"/>
          </w:tcPr>
          <w:p w14:paraId="759B632F" w14:textId="77777777" w:rsidR="00DA708F" w:rsidRPr="007770C5" w:rsidRDefault="00DA708F" w:rsidP="001B2A96">
            <w:pPr>
              <w:jc w:val="center"/>
            </w:pPr>
          </w:p>
        </w:tc>
        <w:tc>
          <w:tcPr>
            <w:tcW w:w="1081" w:type="dxa"/>
          </w:tcPr>
          <w:p w14:paraId="6539050C" w14:textId="77777777" w:rsidR="00DA708F" w:rsidRPr="007770C5" w:rsidRDefault="00DA708F" w:rsidP="001B2A96">
            <w:pPr>
              <w:jc w:val="center"/>
            </w:pPr>
          </w:p>
        </w:tc>
        <w:tc>
          <w:tcPr>
            <w:tcW w:w="1441" w:type="dxa"/>
          </w:tcPr>
          <w:p w14:paraId="57838AAE" w14:textId="77777777" w:rsidR="00DA708F" w:rsidRPr="007770C5" w:rsidRDefault="00DA708F" w:rsidP="001B2A96">
            <w:pPr>
              <w:jc w:val="center"/>
            </w:pPr>
          </w:p>
        </w:tc>
        <w:tc>
          <w:tcPr>
            <w:tcW w:w="1081" w:type="dxa"/>
          </w:tcPr>
          <w:p w14:paraId="6C6C0F92" w14:textId="77777777" w:rsidR="00DA708F" w:rsidRPr="007770C5" w:rsidRDefault="00DA708F" w:rsidP="001B2A96">
            <w:pPr>
              <w:jc w:val="center"/>
            </w:pPr>
          </w:p>
        </w:tc>
        <w:tc>
          <w:tcPr>
            <w:tcW w:w="1183" w:type="dxa"/>
          </w:tcPr>
          <w:p w14:paraId="089E567E" w14:textId="77777777" w:rsidR="00DA708F" w:rsidRPr="007770C5" w:rsidRDefault="00DA708F" w:rsidP="001B2A96">
            <w:pPr>
              <w:jc w:val="center"/>
            </w:pPr>
          </w:p>
        </w:tc>
        <w:tc>
          <w:tcPr>
            <w:tcW w:w="1150" w:type="dxa"/>
          </w:tcPr>
          <w:p w14:paraId="3D68DC64" w14:textId="77777777" w:rsidR="00DA708F" w:rsidRPr="007770C5" w:rsidRDefault="00DA708F" w:rsidP="001B2A96">
            <w:pPr>
              <w:jc w:val="center"/>
            </w:pPr>
          </w:p>
        </w:tc>
      </w:tr>
      <w:tr w:rsidR="007770C5" w:rsidRPr="007770C5" w14:paraId="34AFC7C3" w14:textId="77777777" w:rsidTr="00FC2CBC">
        <w:trPr>
          <w:jc w:val="center"/>
        </w:trPr>
        <w:tc>
          <w:tcPr>
            <w:tcW w:w="1800" w:type="dxa"/>
          </w:tcPr>
          <w:p w14:paraId="5B6720C9" w14:textId="77777777" w:rsidR="00DA708F" w:rsidRPr="007770C5" w:rsidRDefault="00DA708F" w:rsidP="001B2A96">
            <w:r w:rsidRPr="007770C5">
              <w:t xml:space="preserve">3.3. pašvaldību budžets </w:t>
            </w:r>
          </w:p>
        </w:tc>
        <w:tc>
          <w:tcPr>
            <w:tcW w:w="1110" w:type="dxa"/>
            <w:shd w:val="clear" w:color="auto" w:fill="auto"/>
          </w:tcPr>
          <w:p w14:paraId="1E6194AA" w14:textId="77777777" w:rsidR="00DA708F" w:rsidRPr="007770C5" w:rsidRDefault="00DA708F" w:rsidP="001B2A96">
            <w:pPr>
              <w:jc w:val="center"/>
            </w:pPr>
          </w:p>
        </w:tc>
        <w:tc>
          <w:tcPr>
            <w:tcW w:w="1360" w:type="dxa"/>
          </w:tcPr>
          <w:p w14:paraId="209108D7" w14:textId="77777777" w:rsidR="00DA708F" w:rsidRPr="007770C5" w:rsidRDefault="00DA708F" w:rsidP="001B2A96">
            <w:pPr>
              <w:jc w:val="center"/>
            </w:pPr>
          </w:p>
        </w:tc>
        <w:tc>
          <w:tcPr>
            <w:tcW w:w="1081" w:type="dxa"/>
          </w:tcPr>
          <w:p w14:paraId="770CD3BA" w14:textId="77777777" w:rsidR="00DA708F" w:rsidRPr="007770C5" w:rsidRDefault="00DA708F" w:rsidP="001B2A96">
            <w:pPr>
              <w:jc w:val="center"/>
            </w:pPr>
          </w:p>
        </w:tc>
        <w:tc>
          <w:tcPr>
            <w:tcW w:w="1441" w:type="dxa"/>
          </w:tcPr>
          <w:p w14:paraId="42238C8B" w14:textId="77777777" w:rsidR="00DA708F" w:rsidRPr="007770C5" w:rsidRDefault="00DA708F" w:rsidP="001B2A96">
            <w:pPr>
              <w:jc w:val="center"/>
            </w:pPr>
          </w:p>
        </w:tc>
        <w:tc>
          <w:tcPr>
            <w:tcW w:w="1081" w:type="dxa"/>
          </w:tcPr>
          <w:p w14:paraId="68D381A4" w14:textId="77777777" w:rsidR="00DA708F" w:rsidRPr="007770C5" w:rsidRDefault="00DA708F" w:rsidP="001B2A96">
            <w:pPr>
              <w:jc w:val="center"/>
            </w:pPr>
          </w:p>
        </w:tc>
        <w:tc>
          <w:tcPr>
            <w:tcW w:w="1183" w:type="dxa"/>
          </w:tcPr>
          <w:p w14:paraId="152165EB" w14:textId="77777777" w:rsidR="00DA708F" w:rsidRPr="007770C5" w:rsidRDefault="00DA708F" w:rsidP="001B2A96">
            <w:pPr>
              <w:jc w:val="center"/>
            </w:pPr>
          </w:p>
        </w:tc>
        <w:tc>
          <w:tcPr>
            <w:tcW w:w="1150" w:type="dxa"/>
          </w:tcPr>
          <w:p w14:paraId="3D4FAD15" w14:textId="77777777" w:rsidR="00DA708F" w:rsidRPr="007770C5" w:rsidRDefault="00DA708F" w:rsidP="001B2A96">
            <w:pPr>
              <w:jc w:val="center"/>
            </w:pPr>
          </w:p>
        </w:tc>
      </w:tr>
      <w:tr w:rsidR="007770C5" w:rsidRPr="007770C5" w14:paraId="73332940" w14:textId="77777777" w:rsidTr="00FC2CBC">
        <w:trPr>
          <w:jc w:val="center"/>
        </w:trPr>
        <w:tc>
          <w:tcPr>
            <w:tcW w:w="1800" w:type="dxa"/>
            <w:vMerge w:val="restart"/>
          </w:tcPr>
          <w:p w14:paraId="568F421B" w14:textId="77777777" w:rsidR="00DA708F" w:rsidRPr="007770C5" w:rsidRDefault="00DA708F" w:rsidP="001B2A96">
            <w:r w:rsidRPr="007770C5">
              <w:t>4. Finanšu līdzekļi papildu izdevumu finansēšanai (kompensējošu izdevumu samazinājumu norāda ar „+” zīmi)</w:t>
            </w:r>
          </w:p>
        </w:tc>
        <w:tc>
          <w:tcPr>
            <w:tcW w:w="1110" w:type="dxa"/>
            <w:vMerge w:val="restart"/>
          </w:tcPr>
          <w:p w14:paraId="50E7DD79" w14:textId="77777777" w:rsidR="00DA708F" w:rsidRPr="007770C5" w:rsidRDefault="00DA708F" w:rsidP="001B2A96">
            <w:pPr>
              <w:jc w:val="center"/>
              <w:rPr>
                <w:i/>
              </w:rPr>
            </w:pPr>
            <w:r w:rsidRPr="007770C5">
              <w:t>X</w:t>
            </w:r>
          </w:p>
        </w:tc>
        <w:tc>
          <w:tcPr>
            <w:tcW w:w="1360" w:type="dxa"/>
          </w:tcPr>
          <w:p w14:paraId="6A2858BA" w14:textId="4E882DA7" w:rsidR="00DA708F" w:rsidRPr="007770C5" w:rsidRDefault="00E418B1" w:rsidP="001B2A96">
            <w:pPr>
              <w:jc w:val="center"/>
            </w:pPr>
            <w:r w:rsidRPr="00E418B1">
              <w:rPr>
                <w:shd w:val="clear" w:color="auto" w:fill="FFFFFF"/>
              </w:rPr>
              <w:t>2 455 983</w:t>
            </w:r>
          </w:p>
        </w:tc>
        <w:tc>
          <w:tcPr>
            <w:tcW w:w="1081" w:type="dxa"/>
          </w:tcPr>
          <w:p w14:paraId="28E0B562" w14:textId="77777777" w:rsidR="00DA708F" w:rsidRPr="007770C5" w:rsidRDefault="00DA708F" w:rsidP="001B2A96">
            <w:pPr>
              <w:jc w:val="center"/>
            </w:pPr>
            <w:r w:rsidRPr="007770C5">
              <w:t>0</w:t>
            </w:r>
          </w:p>
        </w:tc>
        <w:tc>
          <w:tcPr>
            <w:tcW w:w="1441" w:type="dxa"/>
          </w:tcPr>
          <w:p w14:paraId="4F9B33F6" w14:textId="4D9FB58E" w:rsidR="00DA708F" w:rsidRPr="007770C5" w:rsidRDefault="0012026C" w:rsidP="001B2A96">
            <w:pPr>
              <w:jc w:val="center"/>
            </w:pPr>
            <w:r w:rsidRPr="007770C5">
              <w:t>0</w:t>
            </w:r>
          </w:p>
        </w:tc>
        <w:tc>
          <w:tcPr>
            <w:tcW w:w="1081" w:type="dxa"/>
          </w:tcPr>
          <w:p w14:paraId="10254986" w14:textId="77777777" w:rsidR="00DA708F" w:rsidRPr="007770C5" w:rsidRDefault="00DA708F" w:rsidP="001B2A96">
            <w:pPr>
              <w:jc w:val="center"/>
            </w:pPr>
            <w:r w:rsidRPr="007770C5">
              <w:t>0</w:t>
            </w:r>
          </w:p>
        </w:tc>
        <w:tc>
          <w:tcPr>
            <w:tcW w:w="1183" w:type="dxa"/>
          </w:tcPr>
          <w:p w14:paraId="01825567" w14:textId="77777777" w:rsidR="00DA708F" w:rsidRPr="007770C5" w:rsidRDefault="00DA708F" w:rsidP="001B2A96">
            <w:pPr>
              <w:jc w:val="center"/>
            </w:pPr>
            <w:r w:rsidRPr="007770C5">
              <w:t>0</w:t>
            </w:r>
          </w:p>
        </w:tc>
        <w:tc>
          <w:tcPr>
            <w:tcW w:w="1150" w:type="dxa"/>
          </w:tcPr>
          <w:p w14:paraId="0012FAFB" w14:textId="77777777" w:rsidR="00DA708F" w:rsidRPr="007770C5" w:rsidRDefault="00DA708F" w:rsidP="001B2A96">
            <w:pPr>
              <w:jc w:val="center"/>
            </w:pPr>
            <w:r w:rsidRPr="007770C5">
              <w:t>0</w:t>
            </w:r>
          </w:p>
        </w:tc>
      </w:tr>
      <w:tr w:rsidR="007770C5" w:rsidRPr="007770C5" w14:paraId="3971BAD6" w14:textId="77777777" w:rsidTr="00FC2CBC">
        <w:trPr>
          <w:jc w:val="center"/>
        </w:trPr>
        <w:tc>
          <w:tcPr>
            <w:tcW w:w="1800" w:type="dxa"/>
            <w:vMerge/>
          </w:tcPr>
          <w:p w14:paraId="0CC27F30" w14:textId="77777777" w:rsidR="00DA708F" w:rsidRPr="007770C5" w:rsidRDefault="00DA708F" w:rsidP="001B2A96"/>
        </w:tc>
        <w:tc>
          <w:tcPr>
            <w:tcW w:w="1110" w:type="dxa"/>
            <w:vMerge/>
          </w:tcPr>
          <w:p w14:paraId="1C96164D" w14:textId="77777777" w:rsidR="00DA708F" w:rsidRPr="007770C5" w:rsidRDefault="00DA708F" w:rsidP="001B2A96">
            <w:pPr>
              <w:jc w:val="center"/>
              <w:rPr>
                <w:i/>
              </w:rPr>
            </w:pPr>
          </w:p>
        </w:tc>
        <w:tc>
          <w:tcPr>
            <w:tcW w:w="1360" w:type="dxa"/>
          </w:tcPr>
          <w:p w14:paraId="44E254D9" w14:textId="77777777" w:rsidR="00DA708F" w:rsidRPr="007770C5" w:rsidRDefault="00DA708F" w:rsidP="001B2A96">
            <w:pPr>
              <w:jc w:val="center"/>
            </w:pPr>
          </w:p>
        </w:tc>
        <w:tc>
          <w:tcPr>
            <w:tcW w:w="1081" w:type="dxa"/>
          </w:tcPr>
          <w:p w14:paraId="39DDF09C" w14:textId="77777777" w:rsidR="00DA708F" w:rsidRPr="007770C5" w:rsidRDefault="00DA708F" w:rsidP="001B2A96">
            <w:pPr>
              <w:jc w:val="center"/>
            </w:pPr>
          </w:p>
        </w:tc>
        <w:tc>
          <w:tcPr>
            <w:tcW w:w="1441" w:type="dxa"/>
          </w:tcPr>
          <w:p w14:paraId="12645A1B" w14:textId="77777777" w:rsidR="00DA708F" w:rsidRPr="007770C5" w:rsidRDefault="00DA708F" w:rsidP="001B2A96">
            <w:pPr>
              <w:jc w:val="center"/>
            </w:pPr>
          </w:p>
        </w:tc>
        <w:tc>
          <w:tcPr>
            <w:tcW w:w="1081" w:type="dxa"/>
          </w:tcPr>
          <w:p w14:paraId="2EE17196" w14:textId="77777777" w:rsidR="00DA708F" w:rsidRPr="007770C5" w:rsidRDefault="00DA708F" w:rsidP="001B2A96">
            <w:pPr>
              <w:jc w:val="center"/>
            </w:pPr>
          </w:p>
        </w:tc>
        <w:tc>
          <w:tcPr>
            <w:tcW w:w="1183" w:type="dxa"/>
          </w:tcPr>
          <w:p w14:paraId="19CF4EAD" w14:textId="77777777" w:rsidR="00DA708F" w:rsidRPr="007770C5" w:rsidRDefault="00DA708F" w:rsidP="001B2A96">
            <w:pPr>
              <w:jc w:val="center"/>
            </w:pPr>
          </w:p>
        </w:tc>
        <w:tc>
          <w:tcPr>
            <w:tcW w:w="1150" w:type="dxa"/>
          </w:tcPr>
          <w:p w14:paraId="410A0BC1" w14:textId="77777777" w:rsidR="00DA708F" w:rsidRPr="007770C5" w:rsidRDefault="00DA708F" w:rsidP="001B2A96">
            <w:pPr>
              <w:jc w:val="center"/>
            </w:pPr>
          </w:p>
        </w:tc>
      </w:tr>
      <w:tr w:rsidR="007770C5" w:rsidRPr="007770C5" w14:paraId="17DABB5B" w14:textId="77777777" w:rsidTr="00FC2CBC">
        <w:trPr>
          <w:jc w:val="center"/>
        </w:trPr>
        <w:tc>
          <w:tcPr>
            <w:tcW w:w="1800" w:type="dxa"/>
            <w:vMerge/>
          </w:tcPr>
          <w:p w14:paraId="5B1987C5" w14:textId="77777777" w:rsidR="00DA708F" w:rsidRPr="007770C5" w:rsidRDefault="00DA708F" w:rsidP="001B2A96"/>
        </w:tc>
        <w:tc>
          <w:tcPr>
            <w:tcW w:w="1110" w:type="dxa"/>
            <w:vMerge/>
          </w:tcPr>
          <w:p w14:paraId="7D7A7D36" w14:textId="77777777" w:rsidR="00DA708F" w:rsidRPr="007770C5" w:rsidRDefault="00DA708F" w:rsidP="001B2A96">
            <w:pPr>
              <w:jc w:val="center"/>
              <w:rPr>
                <w:i/>
              </w:rPr>
            </w:pPr>
          </w:p>
        </w:tc>
        <w:tc>
          <w:tcPr>
            <w:tcW w:w="1360" w:type="dxa"/>
          </w:tcPr>
          <w:p w14:paraId="5F2268FE" w14:textId="77777777" w:rsidR="00DA708F" w:rsidRPr="007770C5" w:rsidRDefault="00DA708F" w:rsidP="001B2A96">
            <w:pPr>
              <w:jc w:val="center"/>
            </w:pPr>
          </w:p>
          <w:p w14:paraId="4622B329" w14:textId="77777777" w:rsidR="00DA708F" w:rsidRPr="007770C5" w:rsidRDefault="00DA708F" w:rsidP="001B2A96">
            <w:pPr>
              <w:jc w:val="center"/>
            </w:pPr>
          </w:p>
        </w:tc>
        <w:tc>
          <w:tcPr>
            <w:tcW w:w="1081" w:type="dxa"/>
          </w:tcPr>
          <w:p w14:paraId="3C401266" w14:textId="77777777" w:rsidR="00DA708F" w:rsidRPr="007770C5" w:rsidRDefault="00DA708F" w:rsidP="001B2A96">
            <w:pPr>
              <w:jc w:val="center"/>
            </w:pPr>
          </w:p>
        </w:tc>
        <w:tc>
          <w:tcPr>
            <w:tcW w:w="1441" w:type="dxa"/>
          </w:tcPr>
          <w:p w14:paraId="010E991E" w14:textId="77777777" w:rsidR="00DA708F" w:rsidRPr="007770C5" w:rsidRDefault="00DA708F" w:rsidP="001B2A96">
            <w:pPr>
              <w:jc w:val="center"/>
            </w:pPr>
          </w:p>
        </w:tc>
        <w:tc>
          <w:tcPr>
            <w:tcW w:w="1081" w:type="dxa"/>
          </w:tcPr>
          <w:p w14:paraId="2814C102" w14:textId="77777777" w:rsidR="00DA708F" w:rsidRPr="007770C5" w:rsidRDefault="00DA708F" w:rsidP="001B2A96">
            <w:pPr>
              <w:jc w:val="center"/>
            </w:pPr>
          </w:p>
        </w:tc>
        <w:tc>
          <w:tcPr>
            <w:tcW w:w="1183" w:type="dxa"/>
          </w:tcPr>
          <w:p w14:paraId="3F3D2A8B" w14:textId="77777777" w:rsidR="00DA708F" w:rsidRPr="007770C5" w:rsidRDefault="00DA708F" w:rsidP="001B2A96">
            <w:pPr>
              <w:jc w:val="center"/>
            </w:pPr>
          </w:p>
        </w:tc>
        <w:tc>
          <w:tcPr>
            <w:tcW w:w="1150" w:type="dxa"/>
          </w:tcPr>
          <w:p w14:paraId="2895DA0C" w14:textId="77777777" w:rsidR="00DA708F" w:rsidRPr="007770C5" w:rsidRDefault="00DA708F" w:rsidP="001B2A96">
            <w:pPr>
              <w:jc w:val="center"/>
            </w:pPr>
          </w:p>
        </w:tc>
      </w:tr>
      <w:tr w:rsidR="007770C5" w:rsidRPr="007770C5" w14:paraId="3FAD8564" w14:textId="77777777" w:rsidTr="00FC2CBC">
        <w:trPr>
          <w:jc w:val="center"/>
        </w:trPr>
        <w:tc>
          <w:tcPr>
            <w:tcW w:w="1800" w:type="dxa"/>
          </w:tcPr>
          <w:p w14:paraId="3D523FFD" w14:textId="77777777" w:rsidR="00DA708F" w:rsidRPr="007770C5" w:rsidRDefault="00DA708F" w:rsidP="001B2A96">
            <w:r w:rsidRPr="007770C5">
              <w:t>5. Precizēta finansiālā ietekme:</w:t>
            </w:r>
          </w:p>
        </w:tc>
        <w:tc>
          <w:tcPr>
            <w:tcW w:w="1110" w:type="dxa"/>
            <w:vMerge w:val="restart"/>
          </w:tcPr>
          <w:p w14:paraId="176DB404" w14:textId="77777777" w:rsidR="00DA708F" w:rsidRPr="007770C5" w:rsidRDefault="00DA708F" w:rsidP="001B2A96">
            <w:pPr>
              <w:jc w:val="center"/>
              <w:rPr>
                <w:i/>
              </w:rPr>
            </w:pPr>
            <w:r w:rsidRPr="007770C5">
              <w:t>X</w:t>
            </w:r>
          </w:p>
          <w:p w14:paraId="669FAE87" w14:textId="77777777" w:rsidR="00DA708F" w:rsidRPr="007770C5" w:rsidRDefault="00DA708F" w:rsidP="001B2A96">
            <w:pPr>
              <w:jc w:val="center"/>
              <w:rPr>
                <w:i/>
              </w:rPr>
            </w:pPr>
            <w:r w:rsidRPr="007770C5">
              <w:rPr>
                <w:b/>
              </w:rPr>
              <w:t>0</w:t>
            </w:r>
          </w:p>
        </w:tc>
        <w:tc>
          <w:tcPr>
            <w:tcW w:w="1360" w:type="dxa"/>
          </w:tcPr>
          <w:p w14:paraId="16F77046" w14:textId="77777777" w:rsidR="00DA708F" w:rsidRPr="007770C5" w:rsidRDefault="00DA708F" w:rsidP="001B2A96">
            <w:pPr>
              <w:jc w:val="center"/>
            </w:pPr>
            <w:r w:rsidRPr="007770C5">
              <w:t>0</w:t>
            </w:r>
          </w:p>
        </w:tc>
        <w:tc>
          <w:tcPr>
            <w:tcW w:w="1081" w:type="dxa"/>
          </w:tcPr>
          <w:p w14:paraId="2D9AF13E" w14:textId="77777777" w:rsidR="00DA708F" w:rsidRPr="007770C5" w:rsidRDefault="00DA708F" w:rsidP="001B2A96">
            <w:pPr>
              <w:jc w:val="center"/>
            </w:pPr>
            <w:r w:rsidRPr="007770C5">
              <w:t>0</w:t>
            </w:r>
          </w:p>
        </w:tc>
        <w:tc>
          <w:tcPr>
            <w:tcW w:w="1441" w:type="dxa"/>
          </w:tcPr>
          <w:p w14:paraId="2C2599C3" w14:textId="77777777" w:rsidR="00DA708F" w:rsidRPr="007770C5" w:rsidRDefault="00DA708F" w:rsidP="001B2A96">
            <w:pPr>
              <w:jc w:val="center"/>
            </w:pPr>
            <w:r w:rsidRPr="007770C5">
              <w:t>0</w:t>
            </w:r>
          </w:p>
        </w:tc>
        <w:tc>
          <w:tcPr>
            <w:tcW w:w="1081" w:type="dxa"/>
          </w:tcPr>
          <w:p w14:paraId="39889732" w14:textId="77777777" w:rsidR="00DA708F" w:rsidRPr="007770C5" w:rsidRDefault="00DA708F" w:rsidP="001B2A96">
            <w:pPr>
              <w:jc w:val="center"/>
            </w:pPr>
            <w:r w:rsidRPr="007770C5">
              <w:t>0</w:t>
            </w:r>
          </w:p>
        </w:tc>
        <w:tc>
          <w:tcPr>
            <w:tcW w:w="1183" w:type="dxa"/>
          </w:tcPr>
          <w:p w14:paraId="481D2C56" w14:textId="77777777" w:rsidR="00DA708F" w:rsidRPr="007770C5" w:rsidRDefault="00DA708F" w:rsidP="001B2A96">
            <w:pPr>
              <w:jc w:val="center"/>
            </w:pPr>
            <w:r w:rsidRPr="007770C5">
              <w:t>0</w:t>
            </w:r>
          </w:p>
        </w:tc>
        <w:tc>
          <w:tcPr>
            <w:tcW w:w="1150" w:type="dxa"/>
          </w:tcPr>
          <w:p w14:paraId="223AAA8C" w14:textId="77777777" w:rsidR="00DA708F" w:rsidRPr="007770C5" w:rsidRDefault="00DA708F" w:rsidP="001B2A96">
            <w:pPr>
              <w:jc w:val="center"/>
            </w:pPr>
            <w:r w:rsidRPr="007770C5">
              <w:t>0</w:t>
            </w:r>
          </w:p>
        </w:tc>
      </w:tr>
      <w:tr w:rsidR="007770C5" w:rsidRPr="007770C5" w14:paraId="506C80D8" w14:textId="77777777" w:rsidTr="00FC2CBC">
        <w:trPr>
          <w:jc w:val="center"/>
        </w:trPr>
        <w:tc>
          <w:tcPr>
            <w:tcW w:w="1800" w:type="dxa"/>
          </w:tcPr>
          <w:p w14:paraId="7EE32092" w14:textId="77777777" w:rsidR="00DA708F" w:rsidRPr="007770C5" w:rsidRDefault="00DA708F" w:rsidP="001B2A96">
            <w:r w:rsidRPr="007770C5">
              <w:t>5.1. valsts pamatbudžets</w:t>
            </w:r>
          </w:p>
        </w:tc>
        <w:tc>
          <w:tcPr>
            <w:tcW w:w="1110" w:type="dxa"/>
            <w:vMerge/>
            <w:vAlign w:val="center"/>
          </w:tcPr>
          <w:p w14:paraId="6A6579AC" w14:textId="77777777" w:rsidR="00DA708F" w:rsidRPr="007770C5" w:rsidRDefault="00DA708F" w:rsidP="001B2A96">
            <w:pPr>
              <w:jc w:val="center"/>
              <w:rPr>
                <w:i/>
              </w:rPr>
            </w:pPr>
          </w:p>
        </w:tc>
        <w:tc>
          <w:tcPr>
            <w:tcW w:w="1360" w:type="dxa"/>
          </w:tcPr>
          <w:p w14:paraId="51F9A668" w14:textId="77777777" w:rsidR="00DA708F" w:rsidRPr="007770C5" w:rsidRDefault="00DA708F" w:rsidP="001B2A96">
            <w:pPr>
              <w:jc w:val="center"/>
            </w:pPr>
            <w:r w:rsidRPr="007770C5">
              <w:t>0</w:t>
            </w:r>
          </w:p>
        </w:tc>
        <w:tc>
          <w:tcPr>
            <w:tcW w:w="1081" w:type="dxa"/>
          </w:tcPr>
          <w:p w14:paraId="7171C556" w14:textId="77777777" w:rsidR="00DA708F" w:rsidRPr="007770C5" w:rsidRDefault="00DA708F" w:rsidP="001B2A96">
            <w:pPr>
              <w:jc w:val="center"/>
            </w:pPr>
            <w:r w:rsidRPr="007770C5">
              <w:t>0</w:t>
            </w:r>
          </w:p>
        </w:tc>
        <w:tc>
          <w:tcPr>
            <w:tcW w:w="1441" w:type="dxa"/>
          </w:tcPr>
          <w:p w14:paraId="34AC611D" w14:textId="77777777" w:rsidR="00DA708F" w:rsidRPr="007770C5" w:rsidRDefault="00DA708F" w:rsidP="001B2A96">
            <w:pPr>
              <w:jc w:val="center"/>
            </w:pPr>
            <w:r w:rsidRPr="007770C5">
              <w:t>0</w:t>
            </w:r>
          </w:p>
        </w:tc>
        <w:tc>
          <w:tcPr>
            <w:tcW w:w="1081" w:type="dxa"/>
          </w:tcPr>
          <w:p w14:paraId="54166C87" w14:textId="77777777" w:rsidR="00DA708F" w:rsidRPr="007770C5" w:rsidRDefault="00DA708F" w:rsidP="001B2A96">
            <w:pPr>
              <w:jc w:val="center"/>
            </w:pPr>
            <w:r w:rsidRPr="007770C5">
              <w:t>0</w:t>
            </w:r>
          </w:p>
        </w:tc>
        <w:tc>
          <w:tcPr>
            <w:tcW w:w="1183" w:type="dxa"/>
          </w:tcPr>
          <w:p w14:paraId="7B4E4C75" w14:textId="77777777" w:rsidR="00DA708F" w:rsidRPr="007770C5" w:rsidRDefault="00DA708F" w:rsidP="001B2A96">
            <w:pPr>
              <w:jc w:val="center"/>
            </w:pPr>
          </w:p>
        </w:tc>
        <w:tc>
          <w:tcPr>
            <w:tcW w:w="1150" w:type="dxa"/>
          </w:tcPr>
          <w:p w14:paraId="05D82768" w14:textId="77777777" w:rsidR="00DA708F" w:rsidRPr="007770C5" w:rsidRDefault="00DA708F" w:rsidP="001B2A96">
            <w:pPr>
              <w:jc w:val="center"/>
            </w:pPr>
          </w:p>
        </w:tc>
      </w:tr>
      <w:tr w:rsidR="007770C5" w:rsidRPr="007770C5" w14:paraId="06297BD6" w14:textId="77777777" w:rsidTr="00FC2CBC">
        <w:trPr>
          <w:jc w:val="center"/>
        </w:trPr>
        <w:tc>
          <w:tcPr>
            <w:tcW w:w="1800" w:type="dxa"/>
          </w:tcPr>
          <w:p w14:paraId="6D97C3EB" w14:textId="77777777" w:rsidR="00DA708F" w:rsidRPr="007770C5" w:rsidRDefault="00DA708F" w:rsidP="001B2A96">
            <w:r w:rsidRPr="007770C5">
              <w:t>5.2. speciālais budžets</w:t>
            </w:r>
          </w:p>
        </w:tc>
        <w:tc>
          <w:tcPr>
            <w:tcW w:w="1110" w:type="dxa"/>
            <w:vMerge/>
            <w:vAlign w:val="center"/>
          </w:tcPr>
          <w:p w14:paraId="72440C53" w14:textId="77777777" w:rsidR="00DA708F" w:rsidRPr="007770C5" w:rsidRDefault="00DA708F" w:rsidP="001B2A96">
            <w:pPr>
              <w:jc w:val="center"/>
              <w:rPr>
                <w:i/>
              </w:rPr>
            </w:pPr>
          </w:p>
        </w:tc>
        <w:tc>
          <w:tcPr>
            <w:tcW w:w="1360" w:type="dxa"/>
          </w:tcPr>
          <w:p w14:paraId="3799B308" w14:textId="77777777" w:rsidR="00DA708F" w:rsidRPr="007770C5" w:rsidRDefault="00DA708F" w:rsidP="001B2A96">
            <w:pPr>
              <w:jc w:val="center"/>
            </w:pPr>
          </w:p>
        </w:tc>
        <w:tc>
          <w:tcPr>
            <w:tcW w:w="1081" w:type="dxa"/>
          </w:tcPr>
          <w:p w14:paraId="1E75FC85" w14:textId="77777777" w:rsidR="00DA708F" w:rsidRPr="007770C5" w:rsidRDefault="00DA708F" w:rsidP="001B2A96">
            <w:pPr>
              <w:jc w:val="center"/>
            </w:pPr>
          </w:p>
        </w:tc>
        <w:tc>
          <w:tcPr>
            <w:tcW w:w="1441" w:type="dxa"/>
          </w:tcPr>
          <w:p w14:paraId="2F654027" w14:textId="77777777" w:rsidR="00DA708F" w:rsidRPr="007770C5" w:rsidRDefault="00DA708F" w:rsidP="001B2A96">
            <w:pPr>
              <w:jc w:val="center"/>
            </w:pPr>
          </w:p>
        </w:tc>
        <w:tc>
          <w:tcPr>
            <w:tcW w:w="1081" w:type="dxa"/>
          </w:tcPr>
          <w:p w14:paraId="5A5AD6BB" w14:textId="77777777" w:rsidR="00DA708F" w:rsidRPr="007770C5" w:rsidRDefault="00DA708F" w:rsidP="001B2A96">
            <w:pPr>
              <w:jc w:val="center"/>
            </w:pPr>
          </w:p>
        </w:tc>
        <w:tc>
          <w:tcPr>
            <w:tcW w:w="1183" w:type="dxa"/>
          </w:tcPr>
          <w:p w14:paraId="69ECB779" w14:textId="77777777" w:rsidR="00DA708F" w:rsidRPr="007770C5" w:rsidRDefault="00DA708F" w:rsidP="001B2A96">
            <w:pPr>
              <w:jc w:val="center"/>
            </w:pPr>
          </w:p>
        </w:tc>
        <w:tc>
          <w:tcPr>
            <w:tcW w:w="1150" w:type="dxa"/>
          </w:tcPr>
          <w:p w14:paraId="39477A3E" w14:textId="77777777" w:rsidR="00DA708F" w:rsidRPr="007770C5" w:rsidRDefault="00DA708F" w:rsidP="001B2A96">
            <w:pPr>
              <w:jc w:val="center"/>
            </w:pPr>
          </w:p>
        </w:tc>
      </w:tr>
      <w:tr w:rsidR="007770C5" w:rsidRPr="007770C5" w14:paraId="5E2EA37A" w14:textId="77777777" w:rsidTr="00FC2CBC">
        <w:trPr>
          <w:trHeight w:val="620"/>
          <w:jc w:val="center"/>
        </w:trPr>
        <w:tc>
          <w:tcPr>
            <w:tcW w:w="1800" w:type="dxa"/>
          </w:tcPr>
          <w:p w14:paraId="00807605" w14:textId="77777777" w:rsidR="00DA708F" w:rsidRPr="007770C5" w:rsidRDefault="00DA708F" w:rsidP="001B2A96">
            <w:r w:rsidRPr="007770C5">
              <w:t xml:space="preserve">5.3. pašvaldību budžets </w:t>
            </w:r>
          </w:p>
        </w:tc>
        <w:tc>
          <w:tcPr>
            <w:tcW w:w="1110" w:type="dxa"/>
            <w:vMerge/>
          </w:tcPr>
          <w:p w14:paraId="5B3C56E9" w14:textId="77777777" w:rsidR="00DA708F" w:rsidRPr="007770C5" w:rsidRDefault="00DA708F" w:rsidP="001B2A96">
            <w:pPr>
              <w:jc w:val="center"/>
              <w:rPr>
                <w:i/>
              </w:rPr>
            </w:pPr>
          </w:p>
        </w:tc>
        <w:tc>
          <w:tcPr>
            <w:tcW w:w="1360" w:type="dxa"/>
          </w:tcPr>
          <w:p w14:paraId="34DF1238" w14:textId="77777777" w:rsidR="00DA708F" w:rsidRPr="007770C5" w:rsidRDefault="00DA708F" w:rsidP="001B2A96">
            <w:pPr>
              <w:jc w:val="center"/>
            </w:pPr>
          </w:p>
        </w:tc>
        <w:tc>
          <w:tcPr>
            <w:tcW w:w="1081" w:type="dxa"/>
          </w:tcPr>
          <w:p w14:paraId="6CCAD106" w14:textId="77777777" w:rsidR="00DA708F" w:rsidRPr="007770C5" w:rsidRDefault="00DA708F" w:rsidP="001B2A96">
            <w:pPr>
              <w:jc w:val="center"/>
            </w:pPr>
          </w:p>
        </w:tc>
        <w:tc>
          <w:tcPr>
            <w:tcW w:w="1441" w:type="dxa"/>
          </w:tcPr>
          <w:p w14:paraId="3BC1B57C" w14:textId="77777777" w:rsidR="00DA708F" w:rsidRPr="007770C5" w:rsidRDefault="00DA708F" w:rsidP="001B2A96">
            <w:pPr>
              <w:jc w:val="center"/>
            </w:pPr>
          </w:p>
        </w:tc>
        <w:tc>
          <w:tcPr>
            <w:tcW w:w="1081" w:type="dxa"/>
          </w:tcPr>
          <w:p w14:paraId="115C3BE1" w14:textId="77777777" w:rsidR="00DA708F" w:rsidRPr="007770C5" w:rsidRDefault="00DA708F" w:rsidP="001B2A96">
            <w:pPr>
              <w:jc w:val="center"/>
            </w:pPr>
          </w:p>
        </w:tc>
        <w:tc>
          <w:tcPr>
            <w:tcW w:w="1183" w:type="dxa"/>
          </w:tcPr>
          <w:p w14:paraId="1A71D472" w14:textId="77777777" w:rsidR="00DA708F" w:rsidRPr="007770C5" w:rsidRDefault="00DA708F" w:rsidP="001B2A96">
            <w:pPr>
              <w:jc w:val="center"/>
            </w:pPr>
          </w:p>
        </w:tc>
        <w:tc>
          <w:tcPr>
            <w:tcW w:w="1150" w:type="dxa"/>
          </w:tcPr>
          <w:p w14:paraId="1BEFEB9D" w14:textId="77777777" w:rsidR="00DA708F" w:rsidRPr="007770C5" w:rsidRDefault="00DA708F" w:rsidP="001B2A96">
            <w:pPr>
              <w:jc w:val="center"/>
            </w:pPr>
          </w:p>
        </w:tc>
      </w:tr>
      <w:tr w:rsidR="007770C5" w:rsidRPr="007770C5" w14:paraId="214D50F7" w14:textId="77777777" w:rsidTr="00FC2CBC">
        <w:trPr>
          <w:jc w:val="center"/>
        </w:trPr>
        <w:tc>
          <w:tcPr>
            <w:tcW w:w="1800" w:type="dxa"/>
          </w:tcPr>
          <w:p w14:paraId="3E425710" w14:textId="77777777" w:rsidR="00DA708F" w:rsidRPr="001A2F68" w:rsidRDefault="00DA708F" w:rsidP="001B2A96">
            <w:r w:rsidRPr="001A2F68">
              <w:t>6. Detalizēts ieņēmumu un izdevumu aprēķins (ja nepie</w:t>
            </w:r>
            <w:r w:rsidRPr="001A2F68">
              <w:softHyphen/>
              <w:t>ciešams, detalizētu ieņēmumu un izdevumu aprēķinu var pievienot anotācijas pielikumā):</w:t>
            </w:r>
          </w:p>
        </w:tc>
        <w:tc>
          <w:tcPr>
            <w:tcW w:w="8406" w:type="dxa"/>
            <w:gridSpan w:val="7"/>
            <w:vMerge w:val="restart"/>
            <w:shd w:val="clear" w:color="auto" w:fill="auto"/>
          </w:tcPr>
          <w:p w14:paraId="12AD66CC" w14:textId="18B0ED10" w:rsidR="004B2478" w:rsidRPr="007770C5" w:rsidRDefault="004B2478" w:rsidP="00402A48">
            <w:pPr>
              <w:ind w:right="34"/>
              <w:jc w:val="both"/>
            </w:pPr>
          </w:p>
        </w:tc>
      </w:tr>
      <w:tr w:rsidR="007770C5" w:rsidRPr="007770C5" w14:paraId="5F30166E" w14:textId="77777777" w:rsidTr="00FC2CBC">
        <w:trPr>
          <w:jc w:val="center"/>
        </w:trPr>
        <w:tc>
          <w:tcPr>
            <w:tcW w:w="1800" w:type="dxa"/>
          </w:tcPr>
          <w:p w14:paraId="2E27D7B1" w14:textId="2B0A9B9E" w:rsidR="00DA708F" w:rsidRPr="007770C5" w:rsidRDefault="00DA708F" w:rsidP="001B2A96">
            <w:r w:rsidRPr="007770C5">
              <w:t>6.1. detalizēts ieņēmumu aprēķins</w:t>
            </w:r>
          </w:p>
        </w:tc>
        <w:tc>
          <w:tcPr>
            <w:tcW w:w="8406" w:type="dxa"/>
            <w:gridSpan w:val="7"/>
            <w:vMerge/>
            <w:shd w:val="clear" w:color="auto" w:fill="auto"/>
          </w:tcPr>
          <w:p w14:paraId="498A7179" w14:textId="77777777" w:rsidR="00DA708F" w:rsidRPr="007770C5" w:rsidRDefault="00DA708F" w:rsidP="001B2A96">
            <w:pPr>
              <w:rPr>
                <w:b/>
                <w:i/>
              </w:rPr>
            </w:pPr>
          </w:p>
        </w:tc>
      </w:tr>
      <w:tr w:rsidR="007770C5" w:rsidRPr="007770C5" w14:paraId="6161CC7C" w14:textId="77777777" w:rsidTr="00FC2CBC">
        <w:trPr>
          <w:jc w:val="center"/>
        </w:trPr>
        <w:tc>
          <w:tcPr>
            <w:tcW w:w="1800" w:type="dxa"/>
          </w:tcPr>
          <w:p w14:paraId="52D9743E" w14:textId="77777777" w:rsidR="00DA708F" w:rsidRPr="007770C5" w:rsidRDefault="00DA708F" w:rsidP="001B2A96">
            <w:r w:rsidRPr="007770C5">
              <w:t>6.2. detalizēts izdevumu aprēķins</w:t>
            </w:r>
          </w:p>
        </w:tc>
        <w:tc>
          <w:tcPr>
            <w:tcW w:w="8406" w:type="dxa"/>
            <w:gridSpan w:val="7"/>
            <w:vMerge/>
            <w:shd w:val="clear" w:color="auto" w:fill="auto"/>
          </w:tcPr>
          <w:p w14:paraId="7B4D5925" w14:textId="77777777" w:rsidR="00DA708F" w:rsidRPr="007770C5" w:rsidRDefault="00DA708F" w:rsidP="001B2A96">
            <w:pPr>
              <w:rPr>
                <w:b/>
                <w:i/>
              </w:rPr>
            </w:pPr>
          </w:p>
        </w:tc>
      </w:tr>
      <w:tr w:rsidR="007770C5" w:rsidRPr="007770C5" w14:paraId="7DF31435" w14:textId="77777777" w:rsidTr="00FC2CBC">
        <w:trPr>
          <w:trHeight w:val="399"/>
          <w:jc w:val="center"/>
        </w:trPr>
        <w:tc>
          <w:tcPr>
            <w:tcW w:w="1800" w:type="dxa"/>
          </w:tcPr>
          <w:p w14:paraId="7FEEAE8C" w14:textId="77777777" w:rsidR="00DA708F" w:rsidRPr="007770C5" w:rsidRDefault="00DA708F" w:rsidP="001B2A96">
            <w:r w:rsidRPr="007770C5">
              <w:t>7. Amata vietu skaita izmaiņas</w:t>
            </w:r>
          </w:p>
        </w:tc>
        <w:tc>
          <w:tcPr>
            <w:tcW w:w="8406" w:type="dxa"/>
            <w:gridSpan w:val="7"/>
            <w:shd w:val="clear" w:color="auto" w:fill="auto"/>
          </w:tcPr>
          <w:p w14:paraId="02AB3A95" w14:textId="3BD74C74" w:rsidR="00DA708F" w:rsidRPr="007770C5" w:rsidRDefault="00C870F2" w:rsidP="001B2A96">
            <w:pPr>
              <w:ind w:right="34"/>
              <w:jc w:val="both"/>
            </w:pPr>
            <w:r w:rsidRPr="007770C5">
              <w:t>Rīkojuma projektam</w:t>
            </w:r>
            <w:r w:rsidR="00DA708F" w:rsidRPr="007770C5">
              <w:t xml:space="preserve"> nav ietekme uz amata vietu skaita izmaiņām.</w:t>
            </w:r>
          </w:p>
        </w:tc>
      </w:tr>
      <w:tr w:rsidR="007770C5" w:rsidRPr="007770C5" w14:paraId="2CAD9D46" w14:textId="77777777" w:rsidTr="00FC2CBC">
        <w:trPr>
          <w:trHeight w:val="399"/>
          <w:jc w:val="center"/>
        </w:trPr>
        <w:tc>
          <w:tcPr>
            <w:tcW w:w="1800" w:type="dxa"/>
          </w:tcPr>
          <w:p w14:paraId="715B2A4B" w14:textId="77777777" w:rsidR="00DA708F" w:rsidRPr="007770C5" w:rsidRDefault="00DA708F" w:rsidP="001B2A96">
            <w:r w:rsidRPr="007770C5">
              <w:t>8. Cita informācija</w:t>
            </w:r>
          </w:p>
        </w:tc>
        <w:tc>
          <w:tcPr>
            <w:tcW w:w="8406" w:type="dxa"/>
            <w:gridSpan w:val="7"/>
            <w:shd w:val="clear" w:color="auto" w:fill="auto"/>
          </w:tcPr>
          <w:p w14:paraId="36BED29D" w14:textId="5F067B0D" w:rsidR="0079247C" w:rsidRDefault="00F86D7B" w:rsidP="00AB24EB">
            <w:pPr>
              <w:ind w:right="34"/>
              <w:jc w:val="both"/>
            </w:pPr>
            <w:r w:rsidRPr="007770C5">
              <w:t xml:space="preserve">Izdevumus </w:t>
            </w:r>
            <w:r w:rsidR="00BB7A00" w:rsidRPr="007770C5">
              <w:t>2020.</w:t>
            </w:r>
            <w:r w:rsidR="00DF5994">
              <w:t xml:space="preserve"> </w:t>
            </w:r>
            <w:r w:rsidR="00BB7A00" w:rsidRPr="007770C5">
              <w:t xml:space="preserve">gadā </w:t>
            </w:r>
            <w:r w:rsidRPr="007770C5">
              <w:t xml:space="preserve">sedz no valsts budžeta programmas 02.00.00 </w:t>
            </w:r>
            <w:r w:rsidR="00DF5994">
              <w:t>“</w:t>
            </w:r>
            <w:r w:rsidRPr="007770C5">
              <w:t>Līdzekļi neparedzētiem gadījumiem” atbilstoši Ministru kabineta 2018.</w:t>
            </w:r>
            <w:r w:rsidR="004677E0" w:rsidRPr="007770C5">
              <w:t xml:space="preserve"> </w:t>
            </w:r>
            <w:r w:rsidRPr="007770C5">
              <w:t>gada 17.</w:t>
            </w:r>
            <w:r w:rsidR="004677E0" w:rsidRPr="007770C5">
              <w:t xml:space="preserve"> </w:t>
            </w:r>
            <w:r w:rsidRPr="007770C5">
              <w:t>jūlija noteikumiem Nr.</w:t>
            </w:r>
            <w:r w:rsidR="004677E0" w:rsidRPr="007770C5">
              <w:t xml:space="preserve"> </w:t>
            </w:r>
            <w:r w:rsidRPr="007770C5">
              <w:t xml:space="preserve">421 </w:t>
            </w:r>
            <w:r w:rsidR="00DF5994">
              <w:t>“</w:t>
            </w:r>
            <w:r w:rsidRPr="007770C5">
              <w:t xml:space="preserve">Kārtība, kādā veic gadskārtējā valsts budžeta likumā noteiktās apropriācijas izmaiņas”. </w:t>
            </w:r>
          </w:p>
          <w:p w14:paraId="53CA0C41" w14:textId="77777777" w:rsidR="004207F0" w:rsidRDefault="004207F0" w:rsidP="00DF5994">
            <w:pPr>
              <w:ind w:right="34"/>
              <w:jc w:val="both"/>
            </w:pPr>
            <w:r w:rsidRPr="004207F0">
              <w:t>Izglītības un zinātnes ministrijai normatīvajos aktos noteiktajā kārtībā sagatavo</w:t>
            </w:r>
            <w:r>
              <w:t>s</w:t>
            </w:r>
            <w:r w:rsidRPr="004207F0">
              <w:t xml:space="preserve"> un iesnieg</w:t>
            </w:r>
            <w:r>
              <w:t>s</w:t>
            </w:r>
            <w:r w:rsidRPr="004207F0">
              <w:t xml:space="preserve"> Finanšu ministrijā pieprasījumu par līdzekļu piešķiršanu no valsts budžeta programmas 02.00</w:t>
            </w:r>
            <w:r w:rsidR="00DF5994">
              <w:t>.00 “</w:t>
            </w:r>
            <w:r w:rsidRPr="004207F0">
              <w:t>Līdzekļi neparedzētiem gadījumiem</w:t>
            </w:r>
            <w:r w:rsidR="00DF5994">
              <w:t>”</w:t>
            </w:r>
            <w:r w:rsidRPr="004207F0">
              <w:t xml:space="preserve"> atbilstoši faktiski </w:t>
            </w:r>
            <w:r w:rsidRPr="004207F0">
              <w:lastRenderedPageBreak/>
              <w:t xml:space="preserve">nepieciešamajam apmēram </w:t>
            </w:r>
            <w:r w:rsidR="00DF5994" w:rsidRPr="00DF5994">
              <w:t>(ņemot vērā konkursa pieteikumu iesniegšanas rezultātus).</w:t>
            </w:r>
          </w:p>
          <w:p w14:paraId="77CDFACC" w14:textId="025F448E" w:rsidR="00FB308D" w:rsidRDefault="00FB308D" w:rsidP="00E80639">
            <w:pPr>
              <w:ind w:right="34"/>
              <w:jc w:val="both"/>
            </w:pPr>
            <w:r w:rsidRPr="00D048B9">
              <w:t>Kopš 2018.</w:t>
            </w:r>
            <w:r w:rsidR="009D5A6D">
              <w:t xml:space="preserve"> </w:t>
            </w:r>
            <w:r w:rsidRPr="00D048B9">
              <w:t>gada</w:t>
            </w:r>
            <w:r w:rsidR="00E80639">
              <w:t xml:space="preserve"> fundamentālo un lietišķo pētījumu projektu</w:t>
            </w:r>
            <w:r w:rsidRPr="00D048B9">
              <w:t xml:space="preserve"> </w:t>
            </w:r>
            <w:r w:rsidR="00E80639">
              <w:t xml:space="preserve">(turpmāk – </w:t>
            </w:r>
            <w:r>
              <w:t>FLP</w:t>
            </w:r>
            <w:r w:rsidR="00E80639">
              <w:t>)</w:t>
            </w:r>
            <w:r w:rsidRPr="00D048B9">
              <w:t xml:space="preserve"> programmā ir novērojama ļoti aktīva pieteikšanās no Latvijas zinātnisko institūciju puses, taču pieejamais finansējums ļauj nodrošināt tikai ļoti nelielas daļas projektu finansēšanu</w:t>
            </w:r>
            <w:r>
              <w:t xml:space="preserve">. Ņemot vērā, ka 2018. gada FLP abos konkursos tika iesniegti </w:t>
            </w:r>
            <w:r w:rsidRPr="002C7A09">
              <w:t>725 projektu iesniegumi un ka starptautiskie eksperti 75% no tiem novērtēja virs kvalitātes sliekšņa, finansējums</w:t>
            </w:r>
            <w:r>
              <w:t xml:space="preserve"> tika piešķirts ļoti zemam skaitam virs kvalitātes sliekšņa novērtēto projektu –</w:t>
            </w:r>
            <w:r w:rsidRPr="00D048B9">
              <w:t xml:space="preserve"> 2018.gada 1.</w:t>
            </w:r>
            <w:r w:rsidR="00D86128">
              <w:t xml:space="preserve">projektu </w:t>
            </w:r>
            <w:r w:rsidR="00D86128">
              <w:t>konkurs</w:t>
            </w:r>
            <w:r w:rsidR="00E80639">
              <w:t>a</w:t>
            </w:r>
            <w:r w:rsidR="00E80639" w:rsidRPr="00D048B9">
              <w:t xml:space="preserve"> </w:t>
            </w:r>
            <w:r w:rsidR="00E80639">
              <w:t>–</w:t>
            </w:r>
            <w:r w:rsidRPr="00D048B9">
              <w:t xml:space="preserve"> </w:t>
            </w:r>
            <w:r>
              <w:t>21</w:t>
            </w:r>
            <w:r w:rsidRPr="00D048B9">
              <w:t xml:space="preserve"> %</w:t>
            </w:r>
            <w:r>
              <w:t xml:space="preserve"> </w:t>
            </w:r>
            <w:r w:rsidRPr="009E21BC">
              <w:t>no virssliekšņa projektiem</w:t>
            </w:r>
            <w:r w:rsidRPr="00D048B9">
              <w:t xml:space="preserve">, 2. uzsaukumā </w:t>
            </w:r>
            <w:r w:rsidR="00E80639">
              <w:t>–</w:t>
            </w:r>
            <w:r w:rsidRPr="00D048B9">
              <w:t xml:space="preserve"> 1</w:t>
            </w:r>
            <w:r>
              <w:t>8</w:t>
            </w:r>
            <w:r w:rsidRPr="00D048B9">
              <w:t xml:space="preserve"> %</w:t>
            </w:r>
            <w:r>
              <w:t xml:space="preserve"> </w:t>
            </w:r>
            <w:r w:rsidRPr="009E21BC">
              <w:t>no virssliekšņa projektiem</w:t>
            </w:r>
            <w:r w:rsidRPr="00D048B9">
              <w:t xml:space="preserve">. </w:t>
            </w:r>
            <w:r w:rsidR="000100AF">
              <w:t>2018.gada 1. konkursa</w:t>
            </w:r>
            <w:r>
              <w:t xml:space="preserve"> rezultātā finansējums piešķirts 61 projektam 17 871 010 </w:t>
            </w:r>
            <w:r w:rsidRPr="00D86128">
              <w:rPr>
                <w:i/>
              </w:rPr>
              <w:t>euro</w:t>
            </w:r>
            <w:r>
              <w:t xml:space="preserve"> apmērā, savukārt,</w:t>
            </w:r>
            <w:r w:rsidR="00D86128">
              <w:t xml:space="preserve"> </w:t>
            </w:r>
            <w:r>
              <w:t>2.</w:t>
            </w:r>
            <w:r w:rsidR="000100AF">
              <w:t xml:space="preserve"> konkurs</w:t>
            </w:r>
            <w:r>
              <w:t xml:space="preserve">a rezultātā finansējums </w:t>
            </w:r>
            <w:r w:rsidR="000100AF">
              <w:t xml:space="preserve">tika </w:t>
            </w:r>
            <w:r>
              <w:t xml:space="preserve">piešķirts 41 projektam </w:t>
            </w:r>
            <w:r w:rsidRPr="00FB308D">
              <w:t xml:space="preserve">8 169 348 </w:t>
            </w:r>
            <w:r w:rsidRPr="002C7A09">
              <w:rPr>
                <w:i/>
              </w:rPr>
              <w:t>eur</w:t>
            </w:r>
            <w:r w:rsidRPr="000100AF">
              <w:rPr>
                <w:i/>
              </w:rPr>
              <w:t>o</w:t>
            </w:r>
            <w:r w:rsidRPr="00FB308D">
              <w:t xml:space="preserve"> apmērā.</w:t>
            </w:r>
            <w:r w:rsidRPr="00D048B9">
              <w:t xml:space="preserve"> </w:t>
            </w:r>
            <w:r w:rsidR="000100AF">
              <w:t>2019. gadā tika izsludināts viens</w:t>
            </w:r>
            <w:r w:rsidR="002C7A09" w:rsidRPr="002C7A09">
              <w:t xml:space="preserve"> projektu iesniegumu </w:t>
            </w:r>
            <w:r w:rsidR="000100AF">
              <w:t xml:space="preserve">konkurss, kura </w:t>
            </w:r>
            <w:r w:rsidR="008D7453">
              <w:t xml:space="preserve">ietvaros </w:t>
            </w:r>
            <w:r w:rsidR="000100AF">
              <w:t xml:space="preserve">tika iesniegti 414 </w:t>
            </w:r>
            <w:r w:rsidR="008D7453">
              <w:t>pieteikumi,</w:t>
            </w:r>
            <w:r w:rsidR="002C7A09" w:rsidRPr="002C7A09">
              <w:t xml:space="preserve"> </w:t>
            </w:r>
            <w:r w:rsidR="008D7453">
              <w:t>no tiem 282 jeb 73%</w:t>
            </w:r>
            <w:r w:rsidR="00D86128">
              <w:t xml:space="preserve"> </w:t>
            </w:r>
            <w:r w:rsidR="008D7453">
              <w:t>novērtēti virs kvalitātes sliekšņa</w:t>
            </w:r>
            <w:r w:rsidR="005B18C8">
              <w:t xml:space="preserve">. 2019. gada konkursa </w:t>
            </w:r>
            <w:r w:rsidR="002C7A09" w:rsidRPr="002C7A09">
              <w:t>rezultātā īstenošanai tika apstiprināti 47</w:t>
            </w:r>
            <w:r w:rsidR="00041C24">
              <w:t xml:space="preserve"> projekti</w:t>
            </w:r>
            <w:r w:rsidR="003C5247">
              <w:t xml:space="preserve"> (kas ir 12% procenti no visu atlases ietvaros iesniegtajiem pieteikumiem</w:t>
            </w:r>
            <w:r w:rsidR="000100AF">
              <w:t xml:space="preserve"> jeb 17% no visiem virssliekšņa projektiem</w:t>
            </w:r>
            <w:r w:rsidR="008D7453">
              <w:t xml:space="preserve">) </w:t>
            </w:r>
            <w:r w:rsidR="008D7453" w:rsidRPr="002C7A09">
              <w:t xml:space="preserve">par kopējo finansējumu 13 783 347 </w:t>
            </w:r>
            <w:r w:rsidR="008D7453" w:rsidRPr="002C7A09">
              <w:rPr>
                <w:i/>
              </w:rPr>
              <w:t>euro</w:t>
            </w:r>
            <w:r w:rsidR="002C7A09" w:rsidRPr="002C7A09">
              <w:t xml:space="preserve">. </w:t>
            </w:r>
            <w:r w:rsidRPr="00DE4FC2">
              <w:t>Līdzīga situācija ir Eiropas Savienības pētniecības un inovācijas pama</w:t>
            </w:r>
            <w:r w:rsidR="005B18C8">
              <w:t>tprogrammas “Apvārsnis 2020”</w:t>
            </w:r>
            <w:r w:rsidRPr="00DE4FC2">
              <w:t xml:space="preserve"> rīkotajos </w:t>
            </w:r>
            <w:r w:rsidRPr="00DE4FC2">
              <w:t>konkursos. Augstā līmeņa grupa ES pētniecības un inovāciju programmu ietekmes vairošanai savā ziņojumā</w:t>
            </w:r>
            <w:r w:rsidR="00D86128">
              <w:t xml:space="preserve"> </w:t>
            </w:r>
            <w:r w:rsidRPr="00DE4FC2">
              <w:t>ir minējusi, ka finansējumu nepieciešams nodrošināt vismaz 30% augsti novērtētajiem projektiem, lai panāktu vislabāko projektu atdevi un ietekmi uz attīstību.</w:t>
            </w:r>
          </w:p>
          <w:p w14:paraId="64B279DF" w14:textId="6D98E248" w:rsidR="0062585B" w:rsidRPr="00CC4B37" w:rsidRDefault="0062585B" w:rsidP="0062585B">
            <w:pPr>
              <w:ind w:right="34"/>
              <w:jc w:val="both"/>
            </w:pPr>
            <w:r>
              <w:t xml:space="preserve">2020. gada </w:t>
            </w:r>
            <w:r w:rsidRPr="002C7A09">
              <w:t xml:space="preserve">projektu iesniegumu </w:t>
            </w:r>
            <w:r>
              <w:t>konkursa ietvaros tika iesniegti 397 pieteikumi,</w:t>
            </w:r>
            <w:r w:rsidRPr="002C7A09">
              <w:t xml:space="preserve"> </w:t>
            </w:r>
            <w:r>
              <w:t xml:space="preserve">no tiem </w:t>
            </w:r>
            <w:r w:rsidRPr="00D86128">
              <w:t>300 jeb 76</w:t>
            </w:r>
            <w:r w:rsidRPr="00CC4B37">
              <w:t>%</w:t>
            </w:r>
            <w:r w:rsidR="00D86128">
              <w:t xml:space="preserve"> </w:t>
            </w:r>
            <w:r w:rsidRPr="00CC4B37">
              <w:t>novērtēti virs kvalitātes sliekšņa</w:t>
            </w:r>
            <w:r w:rsidRPr="00012C8C">
              <w:t xml:space="preserve">. 2019. gada konkursa rezultātā īstenošanai tika apstiprināti 42 projekti (kas ir </w:t>
            </w:r>
            <w:r w:rsidRPr="00D86128">
              <w:t>11</w:t>
            </w:r>
            <w:r w:rsidRPr="00CC4B37">
              <w:t xml:space="preserve">% procenti no visu atlases ietvaros iesniegtajiem pieteikumiem jeb 14% no visiem virssliekšņa projektiem) par kopējo finansējumu 12 835 428 </w:t>
            </w:r>
            <w:r w:rsidRPr="00CC4B37">
              <w:rPr>
                <w:i/>
              </w:rPr>
              <w:t>euro</w:t>
            </w:r>
            <w:r w:rsidRPr="00CC4B37">
              <w:t>.</w:t>
            </w:r>
            <w:r w:rsidR="00CC4B37" w:rsidRPr="00CC4B37">
              <w:t xml:space="preserve"> Vairāk informācijas www.lzp.gov.lv.</w:t>
            </w:r>
          </w:p>
          <w:p w14:paraId="51726586" w14:textId="243D9AD9" w:rsidR="0062585B" w:rsidRPr="007770C5" w:rsidRDefault="0062585B" w:rsidP="0062585B">
            <w:pPr>
              <w:ind w:right="34"/>
              <w:jc w:val="both"/>
            </w:pPr>
            <w:r w:rsidRPr="00CC4B37">
              <w:t>Ņemot vērā iepriekš minēto, šobrīd tiek finansēti tikai 14-</w:t>
            </w:r>
            <w:r w:rsidR="00CC4B37" w:rsidRPr="00CC4B37">
              <w:t xml:space="preserve">21% no virssliekšņa novērtētiem projektiem un līdz ar to veidojas situācija, ka paliek liels nefinansētu, bet kvalitatīvu projektu pieteikumu. Līdz ar to rīkojuma projekts paredz, ka finansējumu piešķir </w:t>
            </w:r>
            <w:r w:rsidR="00CC4B37" w:rsidRPr="00D86128">
              <w:t>atbilstoši faktiski nepieciešamajam apmēram (ņemot vērā konkursa pieteikumu iesniegšanas rezultātus).</w:t>
            </w:r>
          </w:p>
        </w:tc>
      </w:tr>
    </w:tbl>
    <w:p w14:paraId="32FF28B5" w14:textId="77777777" w:rsidR="00DB3842" w:rsidRPr="007770C5" w:rsidRDefault="00DB3842" w:rsidP="00DB3842">
      <w:pPr>
        <w:ind w:right="-427"/>
        <w:jc w:val="both"/>
      </w:pP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7"/>
      </w:tblGrid>
      <w:tr w:rsidR="007770C5" w:rsidRPr="007770C5" w14:paraId="2DDEDB1E" w14:textId="77777777" w:rsidTr="00FC2CBC">
        <w:tc>
          <w:tcPr>
            <w:tcW w:w="10207" w:type="dxa"/>
            <w:tcBorders>
              <w:bottom w:val="single" w:sz="4" w:space="0" w:color="auto"/>
            </w:tcBorders>
            <w:vAlign w:val="center"/>
          </w:tcPr>
          <w:p w14:paraId="49E69494" w14:textId="77777777" w:rsidR="00C3572A" w:rsidRPr="007770C5" w:rsidRDefault="00C3572A" w:rsidP="001B2A96">
            <w:pPr>
              <w:pStyle w:val="naisnod"/>
              <w:spacing w:before="0" w:after="0"/>
            </w:pPr>
            <w:r w:rsidRPr="007770C5">
              <w:t>IV. Tiesību akta projekta ietekme uz spēkā esošo tiesību normu sistēmu</w:t>
            </w:r>
          </w:p>
        </w:tc>
      </w:tr>
      <w:tr w:rsidR="007770C5" w:rsidRPr="007770C5" w14:paraId="70A877F0" w14:textId="77777777" w:rsidTr="00FC2CBC">
        <w:trPr>
          <w:trHeight w:val="273"/>
        </w:trPr>
        <w:tc>
          <w:tcPr>
            <w:tcW w:w="10207" w:type="dxa"/>
            <w:tcBorders>
              <w:top w:val="single" w:sz="4" w:space="0" w:color="auto"/>
              <w:left w:val="single" w:sz="4" w:space="0" w:color="auto"/>
              <w:bottom w:val="single" w:sz="4" w:space="0" w:color="auto"/>
              <w:right w:val="single" w:sz="4" w:space="0" w:color="auto"/>
            </w:tcBorders>
          </w:tcPr>
          <w:p w14:paraId="5988D035" w14:textId="77777777" w:rsidR="00C3572A" w:rsidRPr="007770C5" w:rsidRDefault="00C3572A" w:rsidP="001B2A96">
            <w:pPr>
              <w:ind w:right="127"/>
              <w:jc w:val="center"/>
            </w:pPr>
            <w:r w:rsidRPr="007770C5">
              <w:t>Projekts šo jomu neskar</w:t>
            </w:r>
          </w:p>
        </w:tc>
      </w:tr>
    </w:tbl>
    <w:p w14:paraId="2BAC8705" w14:textId="77777777" w:rsidR="00F075FD" w:rsidRPr="007770C5" w:rsidRDefault="00F075FD" w:rsidP="00C3572A"/>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7"/>
      </w:tblGrid>
      <w:tr w:rsidR="007770C5" w:rsidRPr="007770C5" w14:paraId="3B314101" w14:textId="77777777" w:rsidTr="00FC2CBC">
        <w:tc>
          <w:tcPr>
            <w:tcW w:w="10207" w:type="dxa"/>
            <w:vAlign w:val="center"/>
          </w:tcPr>
          <w:p w14:paraId="5C120AB2" w14:textId="77777777" w:rsidR="00C3572A" w:rsidRPr="007770C5" w:rsidRDefault="00C3572A" w:rsidP="001B2A96">
            <w:pPr>
              <w:pStyle w:val="naisnod"/>
              <w:spacing w:before="0" w:after="0"/>
            </w:pPr>
            <w:r w:rsidRPr="007770C5">
              <w:t>V. Tiesību akta projekta atbilstība Latvijas Republikas starptautiskajām saistībām</w:t>
            </w:r>
          </w:p>
        </w:tc>
      </w:tr>
      <w:tr w:rsidR="007770C5" w:rsidRPr="007770C5" w14:paraId="3384D968" w14:textId="77777777" w:rsidTr="00FC2CBC">
        <w:trPr>
          <w:trHeight w:val="273"/>
        </w:trPr>
        <w:tc>
          <w:tcPr>
            <w:tcW w:w="10207" w:type="dxa"/>
          </w:tcPr>
          <w:p w14:paraId="6B97A43E" w14:textId="77777777" w:rsidR="00C3572A" w:rsidRPr="007770C5" w:rsidRDefault="00C3572A" w:rsidP="001B2A96">
            <w:pPr>
              <w:ind w:right="127"/>
              <w:jc w:val="center"/>
            </w:pPr>
            <w:r w:rsidRPr="007770C5">
              <w:t>Projekts šo jomu neskar</w:t>
            </w:r>
          </w:p>
        </w:tc>
      </w:tr>
    </w:tbl>
    <w:p w14:paraId="0A95406E" w14:textId="77777777" w:rsidR="00554CAC" w:rsidRPr="007770C5" w:rsidRDefault="00554CAC"/>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2515"/>
        <w:gridCol w:w="6861"/>
      </w:tblGrid>
      <w:tr w:rsidR="007770C5" w:rsidRPr="007770C5" w14:paraId="06EAA6D7" w14:textId="77777777" w:rsidTr="00FC2CBC">
        <w:tc>
          <w:tcPr>
            <w:tcW w:w="10207" w:type="dxa"/>
            <w:gridSpan w:val="3"/>
            <w:vAlign w:val="center"/>
          </w:tcPr>
          <w:p w14:paraId="1AD560AE" w14:textId="77777777" w:rsidR="00C22F23" w:rsidRPr="005567BD" w:rsidRDefault="00C22F23" w:rsidP="000566D5">
            <w:pPr>
              <w:pStyle w:val="naisnod"/>
              <w:spacing w:before="0" w:after="0"/>
            </w:pPr>
            <w:r w:rsidRPr="005567BD">
              <w:t>VI. Sabiedrības līdzdalība un komunikācijas aktivitātes</w:t>
            </w:r>
          </w:p>
        </w:tc>
      </w:tr>
      <w:tr w:rsidR="007770C5" w:rsidRPr="007770C5" w14:paraId="6A3BC2FE" w14:textId="77777777" w:rsidTr="00FC2CBC">
        <w:trPr>
          <w:trHeight w:val="265"/>
        </w:trPr>
        <w:tc>
          <w:tcPr>
            <w:tcW w:w="831" w:type="dxa"/>
          </w:tcPr>
          <w:p w14:paraId="730F3F59" w14:textId="77777777" w:rsidR="00874CCE" w:rsidRPr="005567BD" w:rsidRDefault="00874CCE" w:rsidP="00874CCE">
            <w:pPr>
              <w:pStyle w:val="naiskr"/>
              <w:spacing w:before="0" w:after="0"/>
              <w:jc w:val="center"/>
            </w:pPr>
            <w:r w:rsidRPr="005567BD">
              <w:t>1.</w:t>
            </w:r>
          </w:p>
        </w:tc>
        <w:tc>
          <w:tcPr>
            <w:tcW w:w="2515" w:type="dxa"/>
          </w:tcPr>
          <w:p w14:paraId="2AFE30D8" w14:textId="77777777" w:rsidR="00874CCE" w:rsidRPr="005567BD" w:rsidRDefault="00874CCE" w:rsidP="00874CCE">
            <w:pPr>
              <w:ind w:left="95"/>
            </w:pPr>
            <w:r w:rsidRPr="005567BD">
              <w:t>Plānotās sabiedrības līdzdalības un komunikācijas aktivitātes saistībā ar projektu</w:t>
            </w:r>
          </w:p>
        </w:tc>
        <w:tc>
          <w:tcPr>
            <w:tcW w:w="6861" w:type="dxa"/>
            <w:vAlign w:val="center"/>
          </w:tcPr>
          <w:p w14:paraId="28A4D157" w14:textId="06A2DE49" w:rsidR="00874CCE" w:rsidRPr="005567BD" w:rsidRDefault="001176EC" w:rsidP="001176EC">
            <w:pPr>
              <w:ind w:left="86" w:right="142"/>
              <w:jc w:val="both"/>
              <w:rPr>
                <w:bCs/>
              </w:rPr>
            </w:pPr>
            <w:r w:rsidRPr="005567BD">
              <w:rPr>
                <w:bCs/>
              </w:rPr>
              <w:t>Informācija</w:t>
            </w:r>
            <w:r w:rsidR="00D86128">
              <w:rPr>
                <w:bCs/>
              </w:rPr>
              <w:t xml:space="preserve"> </w:t>
            </w:r>
            <w:r w:rsidRPr="005567BD">
              <w:rPr>
                <w:bCs/>
              </w:rPr>
              <w:t>par konkursu tiks publiskota saskaņā ar spēkā esošo normatīvo regulējumu -</w:t>
            </w:r>
            <w:r w:rsidRPr="005567BD">
              <w:t xml:space="preserve"> </w:t>
            </w:r>
            <w:r w:rsidRPr="005567BD">
              <w:rPr>
                <w:bCs/>
              </w:rPr>
              <w:t>Ministru kabineta</w:t>
            </w:r>
            <w:r w:rsidR="00D86128">
              <w:rPr>
                <w:bCs/>
              </w:rPr>
              <w:t xml:space="preserve"> </w:t>
            </w:r>
            <w:r w:rsidRPr="005567BD">
              <w:rPr>
                <w:bCs/>
              </w:rPr>
              <w:t>2017. gada 12. decembra noteikumiem Nr. 725 “Fundamentālo un lietišķo pētījumu projektu izvērtēšanas un finansējuma administrēšanas kārtība”.</w:t>
            </w:r>
          </w:p>
          <w:p w14:paraId="74A49D84" w14:textId="2DDA3EB8" w:rsidR="001176EC" w:rsidRPr="005567BD" w:rsidRDefault="001176EC" w:rsidP="001176EC">
            <w:pPr>
              <w:ind w:left="86" w:right="142"/>
              <w:jc w:val="both"/>
              <w:rPr>
                <w:bCs/>
              </w:rPr>
            </w:pPr>
          </w:p>
        </w:tc>
      </w:tr>
      <w:tr w:rsidR="007770C5" w:rsidRPr="007770C5" w14:paraId="072AC806" w14:textId="77777777" w:rsidTr="00FC2CBC">
        <w:trPr>
          <w:trHeight w:val="265"/>
        </w:trPr>
        <w:tc>
          <w:tcPr>
            <w:tcW w:w="831" w:type="dxa"/>
          </w:tcPr>
          <w:p w14:paraId="11B475CC" w14:textId="55FFCECC" w:rsidR="00874CCE" w:rsidRPr="007770C5" w:rsidRDefault="00874CCE" w:rsidP="00874CCE">
            <w:pPr>
              <w:pStyle w:val="naiskr"/>
              <w:spacing w:before="0" w:after="0"/>
              <w:jc w:val="center"/>
            </w:pPr>
            <w:r w:rsidRPr="007770C5">
              <w:t>2.</w:t>
            </w:r>
          </w:p>
        </w:tc>
        <w:tc>
          <w:tcPr>
            <w:tcW w:w="2515" w:type="dxa"/>
          </w:tcPr>
          <w:p w14:paraId="5317DFAF" w14:textId="77777777" w:rsidR="00874CCE" w:rsidRPr="001176EC" w:rsidRDefault="00874CCE" w:rsidP="00874CCE">
            <w:pPr>
              <w:ind w:left="95"/>
            </w:pPr>
            <w:r w:rsidRPr="001176EC">
              <w:t>Sabiedrības līdzdalība projekta izstrādē</w:t>
            </w:r>
          </w:p>
        </w:tc>
        <w:tc>
          <w:tcPr>
            <w:tcW w:w="6861" w:type="dxa"/>
            <w:vAlign w:val="center"/>
          </w:tcPr>
          <w:p w14:paraId="0E85D1A7" w14:textId="0EB29571" w:rsidR="00874CCE" w:rsidRPr="001176EC" w:rsidRDefault="007770C5" w:rsidP="00874CCE">
            <w:pPr>
              <w:ind w:left="86" w:right="142"/>
              <w:jc w:val="both"/>
            </w:pPr>
            <w:r w:rsidRPr="001176EC">
              <w:t>Nav paredzēta</w:t>
            </w:r>
          </w:p>
        </w:tc>
      </w:tr>
      <w:tr w:rsidR="007770C5" w:rsidRPr="007770C5" w14:paraId="5E94C0A3" w14:textId="77777777" w:rsidTr="00FC2CBC">
        <w:trPr>
          <w:trHeight w:val="265"/>
        </w:trPr>
        <w:tc>
          <w:tcPr>
            <w:tcW w:w="831" w:type="dxa"/>
          </w:tcPr>
          <w:p w14:paraId="0F484076" w14:textId="77777777" w:rsidR="00C22F23" w:rsidRPr="007770C5" w:rsidRDefault="00C22F23" w:rsidP="00C22F23">
            <w:pPr>
              <w:pStyle w:val="naiskr"/>
              <w:spacing w:before="0" w:after="0"/>
              <w:jc w:val="center"/>
            </w:pPr>
            <w:r w:rsidRPr="007770C5">
              <w:t>3.</w:t>
            </w:r>
          </w:p>
        </w:tc>
        <w:tc>
          <w:tcPr>
            <w:tcW w:w="2515" w:type="dxa"/>
          </w:tcPr>
          <w:p w14:paraId="61DD9DC5" w14:textId="77777777" w:rsidR="00C22F23" w:rsidRPr="007770C5" w:rsidRDefault="00C22F23" w:rsidP="00B806E1">
            <w:pPr>
              <w:ind w:left="95"/>
            </w:pPr>
            <w:r w:rsidRPr="007770C5">
              <w:t>Sabiedrības līdzdalības rezultāti</w:t>
            </w:r>
          </w:p>
        </w:tc>
        <w:tc>
          <w:tcPr>
            <w:tcW w:w="6861" w:type="dxa"/>
          </w:tcPr>
          <w:p w14:paraId="0DFA8388" w14:textId="083A7C4D" w:rsidR="00C22F23" w:rsidRPr="007770C5" w:rsidRDefault="000F0FBE" w:rsidP="001A599A">
            <w:pPr>
              <w:ind w:left="86" w:right="142"/>
              <w:jc w:val="both"/>
            </w:pPr>
            <w:r w:rsidRPr="007770C5">
              <w:t>Nav attiecināms</w:t>
            </w:r>
          </w:p>
        </w:tc>
      </w:tr>
      <w:tr w:rsidR="007770C5" w:rsidRPr="007770C5" w14:paraId="7225996A" w14:textId="77777777" w:rsidTr="00FC2CBC">
        <w:trPr>
          <w:trHeight w:val="265"/>
        </w:trPr>
        <w:tc>
          <w:tcPr>
            <w:tcW w:w="831" w:type="dxa"/>
          </w:tcPr>
          <w:p w14:paraId="0BAF0AF4" w14:textId="77777777" w:rsidR="00C22F23" w:rsidRPr="007770C5" w:rsidRDefault="00C22F23" w:rsidP="00C22F23">
            <w:pPr>
              <w:pStyle w:val="naiskr"/>
              <w:spacing w:before="0" w:after="0"/>
              <w:jc w:val="center"/>
            </w:pPr>
            <w:r w:rsidRPr="007770C5">
              <w:t>4.</w:t>
            </w:r>
          </w:p>
        </w:tc>
        <w:tc>
          <w:tcPr>
            <w:tcW w:w="2515" w:type="dxa"/>
          </w:tcPr>
          <w:p w14:paraId="5543EF08" w14:textId="77777777" w:rsidR="00C22F23" w:rsidRPr="007770C5" w:rsidRDefault="00C22F23" w:rsidP="00B806E1">
            <w:pPr>
              <w:ind w:left="95"/>
            </w:pPr>
            <w:r w:rsidRPr="007770C5">
              <w:t>Cita informācija</w:t>
            </w:r>
          </w:p>
        </w:tc>
        <w:tc>
          <w:tcPr>
            <w:tcW w:w="6861" w:type="dxa"/>
          </w:tcPr>
          <w:p w14:paraId="2A35EF2F" w14:textId="77777777" w:rsidR="00C22F23" w:rsidRPr="007770C5" w:rsidRDefault="00E4473B" w:rsidP="00F54E81">
            <w:pPr>
              <w:ind w:left="86" w:right="142"/>
              <w:jc w:val="both"/>
            </w:pPr>
            <w:r w:rsidRPr="007770C5">
              <w:t>Nav</w:t>
            </w:r>
          </w:p>
        </w:tc>
      </w:tr>
    </w:tbl>
    <w:p w14:paraId="277B7251" w14:textId="77777777" w:rsidR="00C22F23" w:rsidRPr="007770C5" w:rsidRDefault="00C22F23"/>
    <w:p w14:paraId="1B666679" w14:textId="77777777" w:rsidR="006C697C" w:rsidRPr="007770C5" w:rsidRDefault="006C697C"/>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2515"/>
        <w:gridCol w:w="6861"/>
      </w:tblGrid>
      <w:tr w:rsidR="007770C5" w:rsidRPr="007770C5" w14:paraId="58260084" w14:textId="77777777" w:rsidTr="00FC2CBC">
        <w:tc>
          <w:tcPr>
            <w:tcW w:w="10207" w:type="dxa"/>
            <w:gridSpan w:val="3"/>
            <w:vAlign w:val="center"/>
          </w:tcPr>
          <w:p w14:paraId="45DD5C2D" w14:textId="77777777" w:rsidR="00C22F23" w:rsidRPr="007770C5" w:rsidRDefault="00C22F23" w:rsidP="000566D5">
            <w:pPr>
              <w:pStyle w:val="naisnod"/>
              <w:spacing w:before="0" w:after="0"/>
            </w:pPr>
            <w:r w:rsidRPr="007770C5">
              <w:lastRenderedPageBreak/>
              <w:t>VII. Tiesību akta projekta izpildes nodrošināšana un tās ietekme uz institūcijām</w:t>
            </w:r>
          </w:p>
        </w:tc>
      </w:tr>
      <w:tr w:rsidR="007770C5" w:rsidRPr="007770C5" w14:paraId="3C43D0CE" w14:textId="77777777" w:rsidTr="00FC2CBC">
        <w:trPr>
          <w:trHeight w:val="265"/>
        </w:trPr>
        <w:tc>
          <w:tcPr>
            <w:tcW w:w="831" w:type="dxa"/>
          </w:tcPr>
          <w:p w14:paraId="44EE9D72" w14:textId="77777777" w:rsidR="00C22F23" w:rsidRPr="007770C5" w:rsidRDefault="00C22F23" w:rsidP="00C22F23">
            <w:pPr>
              <w:pStyle w:val="naiskr"/>
              <w:spacing w:before="0" w:after="0"/>
              <w:jc w:val="center"/>
            </w:pPr>
            <w:r w:rsidRPr="007770C5">
              <w:t>1.</w:t>
            </w:r>
          </w:p>
        </w:tc>
        <w:tc>
          <w:tcPr>
            <w:tcW w:w="2515" w:type="dxa"/>
          </w:tcPr>
          <w:p w14:paraId="111B01EC" w14:textId="77777777" w:rsidR="00C22F23" w:rsidRPr="007770C5" w:rsidRDefault="00C22F23" w:rsidP="00B806E1">
            <w:pPr>
              <w:ind w:left="109"/>
            </w:pPr>
            <w:r w:rsidRPr="007770C5">
              <w:t>Projekta izpildē iesaistītās institūcijas</w:t>
            </w:r>
          </w:p>
        </w:tc>
        <w:tc>
          <w:tcPr>
            <w:tcW w:w="6861" w:type="dxa"/>
          </w:tcPr>
          <w:p w14:paraId="5425769A" w14:textId="0C93385C" w:rsidR="00C22F23" w:rsidRPr="007770C5" w:rsidRDefault="00CE28C6" w:rsidP="002E442B">
            <w:pPr>
              <w:ind w:left="198" w:right="142"/>
              <w:jc w:val="both"/>
            </w:pPr>
            <w:r w:rsidRPr="007770C5">
              <w:t>Ministrija,</w:t>
            </w:r>
            <w:r w:rsidR="00D86128">
              <w:t xml:space="preserve"> </w:t>
            </w:r>
            <w:r w:rsidR="007770C5">
              <w:t>z</w:t>
            </w:r>
            <w:r w:rsidR="007770C5" w:rsidRPr="007770C5">
              <w:t xml:space="preserve">inātniskās institūcijas un augstākās izglītības iestādes, </w:t>
            </w:r>
            <w:r w:rsidR="002E442B">
              <w:t>zinātnieki</w:t>
            </w:r>
          </w:p>
        </w:tc>
      </w:tr>
      <w:tr w:rsidR="007770C5" w:rsidRPr="007770C5" w14:paraId="0C63EA86" w14:textId="77777777" w:rsidTr="00FC2CBC">
        <w:trPr>
          <w:trHeight w:val="265"/>
        </w:trPr>
        <w:tc>
          <w:tcPr>
            <w:tcW w:w="831" w:type="dxa"/>
          </w:tcPr>
          <w:p w14:paraId="10AE4708" w14:textId="77777777" w:rsidR="00C22F23" w:rsidRPr="007770C5" w:rsidRDefault="00C22F23" w:rsidP="00C22F23">
            <w:pPr>
              <w:pStyle w:val="naiskr"/>
              <w:spacing w:before="0" w:after="0"/>
              <w:jc w:val="center"/>
            </w:pPr>
            <w:r w:rsidRPr="007770C5">
              <w:t>2.</w:t>
            </w:r>
          </w:p>
        </w:tc>
        <w:tc>
          <w:tcPr>
            <w:tcW w:w="2515" w:type="dxa"/>
          </w:tcPr>
          <w:p w14:paraId="08E7A95E" w14:textId="77777777" w:rsidR="00C22F23" w:rsidRPr="007770C5" w:rsidRDefault="00C22F23" w:rsidP="00B806E1">
            <w:pPr>
              <w:ind w:left="109"/>
            </w:pPr>
            <w:r w:rsidRPr="007770C5">
              <w:t>Projekta izpildes ietekme uz pārvaldes funkcijām un institucionālo struktūru.</w:t>
            </w:r>
            <w:r w:rsidRPr="007770C5">
              <w:br/>
              <w:t>Jaunu institūciju izveide, esošu institūciju likvidācija vai reorganizācija, to ietekme uz institūcijas cilvēkresursiem</w:t>
            </w:r>
          </w:p>
        </w:tc>
        <w:tc>
          <w:tcPr>
            <w:tcW w:w="6861" w:type="dxa"/>
          </w:tcPr>
          <w:p w14:paraId="7BAC1F1D" w14:textId="2FA68515" w:rsidR="007770C5" w:rsidRPr="007770C5" w:rsidRDefault="00D47F6F" w:rsidP="00DF5994">
            <w:pPr>
              <w:ind w:left="198"/>
              <w:jc w:val="both"/>
            </w:pPr>
            <w:r w:rsidRPr="007770C5">
              <w:t xml:space="preserve">Rīkojuma projekts </w:t>
            </w:r>
            <w:r w:rsidR="00E4473B" w:rsidRPr="007770C5">
              <w:t>šo jomu neskar</w:t>
            </w:r>
            <w:r w:rsidR="00B24FD3">
              <w:t xml:space="preserve">. </w:t>
            </w:r>
            <w:r w:rsidR="007770C5" w:rsidRPr="007770C5">
              <w:t>Projekts neietekmē pārvaldes funkcijas un institucionālo struktūru.</w:t>
            </w:r>
          </w:p>
          <w:p w14:paraId="1532A76E" w14:textId="77777777" w:rsidR="007770C5" w:rsidRPr="007770C5" w:rsidRDefault="007770C5" w:rsidP="00DF5994">
            <w:pPr>
              <w:ind w:left="198"/>
              <w:jc w:val="both"/>
              <w:rPr>
                <w:iCs/>
              </w:rPr>
            </w:pPr>
            <w:r w:rsidRPr="007770C5">
              <w:t>Ja</w:t>
            </w:r>
            <w:r w:rsidRPr="007770C5">
              <w:rPr>
                <w:iCs/>
              </w:rPr>
              <w:t>unu institūciju izveide, institūciju likvidācija vai reorganizācija nav paredzēta.</w:t>
            </w:r>
          </w:p>
          <w:p w14:paraId="534DDF3B" w14:textId="2C094C20" w:rsidR="007770C5" w:rsidRPr="007770C5" w:rsidRDefault="007770C5" w:rsidP="00DF5994">
            <w:pPr>
              <w:ind w:left="198"/>
              <w:jc w:val="both"/>
            </w:pPr>
            <w:r w:rsidRPr="007770C5">
              <w:rPr>
                <w:iCs/>
              </w:rPr>
              <w:t xml:space="preserve">Projekts tiks </w:t>
            </w:r>
            <w:r w:rsidR="00B24FD3">
              <w:rPr>
                <w:iCs/>
              </w:rPr>
              <w:t>īstenots</w:t>
            </w:r>
            <w:r w:rsidRPr="007770C5">
              <w:rPr>
                <w:iCs/>
              </w:rPr>
              <w:t xml:space="preserve"> esošo cilvēkresursu ietvaros.</w:t>
            </w:r>
          </w:p>
          <w:p w14:paraId="3A593C1D" w14:textId="460CFF54" w:rsidR="00C22F23" w:rsidRPr="007770C5" w:rsidRDefault="00C22F23" w:rsidP="00DF5994">
            <w:pPr>
              <w:ind w:left="198" w:right="142"/>
              <w:jc w:val="both"/>
            </w:pPr>
          </w:p>
        </w:tc>
      </w:tr>
      <w:tr w:rsidR="007770C5" w:rsidRPr="007770C5" w14:paraId="18D0AA4B" w14:textId="77777777" w:rsidTr="00FC2CBC">
        <w:trPr>
          <w:trHeight w:val="265"/>
        </w:trPr>
        <w:tc>
          <w:tcPr>
            <w:tcW w:w="831" w:type="dxa"/>
          </w:tcPr>
          <w:p w14:paraId="7028BCD1" w14:textId="77777777" w:rsidR="00C22F23" w:rsidRPr="007770C5" w:rsidRDefault="00C22F23" w:rsidP="00C22F23">
            <w:pPr>
              <w:pStyle w:val="naiskr"/>
              <w:spacing w:before="0" w:after="0"/>
              <w:jc w:val="center"/>
            </w:pPr>
            <w:r w:rsidRPr="007770C5">
              <w:t>3.</w:t>
            </w:r>
          </w:p>
        </w:tc>
        <w:tc>
          <w:tcPr>
            <w:tcW w:w="2515" w:type="dxa"/>
          </w:tcPr>
          <w:p w14:paraId="65E08939" w14:textId="77777777" w:rsidR="00C22F23" w:rsidRPr="007770C5" w:rsidRDefault="00C22F23" w:rsidP="00B806E1">
            <w:pPr>
              <w:ind w:left="109"/>
            </w:pPr>
            <w:r w:rsidRPr="007770C5">
              <w:t>Cita informācija</w:t>
            </w:r>
          </w:p>
        </w:tc>
        <w:tc>
          <w:tcPr>
            <w:tcW w:w="6861" w:type="dxa"/>
          </w:tcPr>
          <w:p w14:paraId="71FD2DBD" w14:textId="77777777" w:rsidR="00C22F23" w:rsidRPr="007770C5" w:rsidRDefault="00E4473B" w:rsidP="00B806E1">
            <w:pPr>
              <w:ind w:left="128" w:right="142"/>
              <w:jc w:val="both"/>
            </w:pPr>
            <w:r w:rsidRPr="007770C5">
              <w:t>Nav</w:t>
            </w:r>
          </w:p>
        </w:tc>
      </w:tr>
    </w:tbl>
    <w:p w14:paraId="72F67E70" w14:textId="77777777" w:rsidR="00E4473B" w:rsidRPr="007770C5" w:rsidRDefault="00E4473B"/>
    <w:p w14:paraId="44107E0C" w14:textId="77777777" w:rsidR="00236BB1" w:rsidRPr="007770C5" w:rsidRDefault="00236BB1"/>
    <w:p w14:paraId="2685BB82" w14:textId="77777777" w:rsidR="00FB36B1" w:rsidRPr="007770C5" w:rsidRDefault="00FB36B1"/>
    <w:p w14:paraId="755D7EC7" w14:textId="5FD88931" w:rsidR="00617D7A" w:rsidRPr="007770C5" w:rsidRDefault="00481F9B" w:rsidP="00C7220E">
      <w:pPr>
        <w:pStyle w:val="BodyText2"/>
        <w:spacing w:after="0" w:line="240" w:lineRule="auto"/>
        <w:ind w:firstLine="720"/>
        <w:jc w:val="both"/>
      </w:pPr>
      <w:r w:rsidRPr="007770C5">
        <w:t>I</w:t>
      </w:r>
      <w:r w:rsidR="008F245F" w:rsidRPr="007770C5">
        <w:t xml:space="preserve">zglītības un zinātnes </w:t>
      </w:r>
      <w:r w:rsidR="009A6BFC" w:rsidRPr="007770C5">
        <w:t>ministre</w:t>
      </w:r>
      <w:r w:rsidRPr="007770C5">
        <w:tab/>
      </w:r>
      <w:r w:rsidRPr="007770C5">
        <w:tab/>
      </w:r>
      <w:r w:rsidRPr="007770C5">
        <w:tab/>
      </w:r>
      <w:r w:rsidRPr="007770C5">
        <w:tab/>
      </w:r>
      <w:r w:rsidR="008C2D86" w:rsidRPr="007770C5">
        <w:t>Ilga Šuplinska</w:t>
      </w:r>
    </w:p>
    <w:p w14:paraId="1ED58E4F" w14:textId="77777777" w:rsidR="00585B7B" w:rsidRPr="007770C5" w:rsidRDefault="00585B7B" w:rsidP="00D96FCD"/>
    <w:p w14:paraId="73773933" w14:textId="77777777" w:rsidR="00FB36B1" w:rsidRPr="007770C5" w:rsidRDefault="00FB36B1" w:rsidP="00D96FCD"/>
    <w:p w14:paraId="3FDA449A" w14:textId="77777777" w:rsidR="00FB36B1" w:rsidRPr="007770C5" w:rsidRDefault="00FB36B1" w:rsidP="00D96FCD"/>
    <w:p w14:paraId="33869127" w14:textId="77777777" w:rsidR="00FB36B1" w:rsidRPr="007770C5" w:rsidRDefault="00FB36B1" w:rsidP="00D96FCD"/>
    <w:p w14:paraId="4C7B4A67" w14:textId="77777777" w:rsidR="00FB36B1" w:rsidRPr="007770C5" w:rsidRDefault="00FB36B1" w:rsidP="00D96FCD"/>
    <w:p w14:paraId="127B7EE2" w14:textId="77777777" w:rsidR="00FB36B1" w:rsidRPr="007770C5" w:rsidRDefault="00FB36B1" w:rsidP="00D96FCD"/>
    <w:p w14:paraId="26BF52EF" w14:textId="77777777" w:rsidR="00FB36B1" w:rsidRPr="007770C5" w:rsidRDefault="00FB36B1" w:rsidP="00D96FCD"/>
    <w:p w14:paraId="14DD6275" w14:textId="77777777" w:rsidR="00FB36B1" w:rsidRPr="007770C5" w:rsidRDefault="00FB36B1" w:rsidP="00D96FCD"/>
    <w:p w14:paraId="24A98FAB" w14:textId="1E159865" w:rsidR="009A6BFC" w:rsidRPr="007770C5" w:rsidRDefault="003353F3" w:rsidP="009A6BFC">
      <w:pPr>
        <w:tabs>
          <w:tab w:val="left" w:pos="2450"/>
        </w:tabs>
        <w:ind w:left="720"/>
        <w:rPr>
          <w:sz w:val="20"/>
          <w:szCs w:val="20"/>
        </w:rPr>
      </w:pPr>
      <w:r w:rsidRPr="007770C5">
        <w:rPr>
          <w:sz w:val="20"/>
          <w:szCs w:val="20"/>
        </w:rPr>
        <w:t>Laudere 67047895</w:t>
      </w:r>
    </w:p>
    <w:p w14:paraId="17F96BFD" w14:textId="1330BEF8" w:rsidR="009A6BFC" w:rsidRPr="007770C5" w:rsidRDefault="003353F3" w:rsidP="009A6BFC">
      <w:pPr>
        <w:tabs>
          <w:tab w:val="left" w:pos="2450"/>
        </w:tabs>
        <w:ind w:left="720"/>
        <w:rPr>
          <w:sz w:val="20"/>
          <w:szCs w:val="20"/>
        </w:rPr>
      </w:pPr>
      <w:r w:rsidRPr="007770C5">
        <w:rPr>
          <w:sz w:val="20"/>
          <w:szCs w:val="20"/>
        </w:rPr>
        <w:t>marika.laudere</w:t>
      </w:r>
      <w:r w:rsidR="009A6BFC" w:rsidRPr="007770C5">
        <w:rPr>
          <w:sz w:val="20"/>
          <w:szCs w:val="20"/>
        </w:rPr>
        <w:t>@izm.gov.lv</w:t>
      </w:r>
    </w:p>
    <w:sectPr w:rsidR="009A6BFC" w:rsidRPr="007770C5"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4FDE" w14:textId="77777777" w:rsidR="00063664" w:rsidRDefault="00063664" w:rsidP="00123E9B">
      <w:r>
        <w:separator/>
      </w:r>
    </w:p>
  </w:endnote>
  <w:endnote w:type="continuationSeparator" w:id="0">
    <w:p w14:paraId="3B660B27" w14:textId="77777777" w:rsidR="00063664" w:rsidRDefault="0006366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41A6B6A0" w:rsidR="003A72D9" w:rsidRPr="003C69DB" w:rsidRDefault="002F799F" w:rsidP="003C69DB">
    <w:pPr>
      <w:ind w:left="-567" w:right="-568"/>
      <w:rPr>
        <w:sz w:val="22"/>
      </w:rPr>
    </w:pPr>
    <w:r>
      <w:rPr>
        <w:sz w:val="22"/>
        <w:szCs w:val="22"/>
      </w:rPr>
      <w:t>IZMAnot_</w:t>
    </w:r>
    <w:r w:rsidR="00FC2CBC">
      <w:rPr>
        <w:sz w:val="22"/>
      </w:rPr>
      <w:t>31</w:t>
    </w:r>
    <w:r w:rsidR="003C69DB">
      <w:rPr>
        <w:sz w:val="22"/>
      </w:rPr>
      <w:t>082020_LNG</w:t>
    </w:r>
    <w:r w:rsidR="00012C8C">
      <w:rPr>
        <w:sz w:val="22"/>
      </w:rPr>
      <w:t>_FLP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33B8EAB2" w:rsidR="003A72D9" w:rsidRPr="003C69DB" w:rsidRDefault="003C69DB" w:rsidP="003C69DB">
    <w:pPr>
      <w:ind w:left="-567" w:right="-568"/>
      <w:rPr>
        <w:sz w:val="22"/>
      </w:rPr>
    </w:pPr>
    <w:r>
      <w:rPr>
        <w:sz w:val="22"/>
        <w:szCs w:val="22"/>
      </w:rPr>
      <w:t>IZMAnot_</w:t>
    </w:r>
    <w:r w:rsidR="00FC2CBC">
      <w:rPr>
        <w:sz w:val="22"/>
      </w:rPr>
      <w:t>31</w:t>
    </w:r>
    <w:r>
      <w:rPr>
        <w:sz w:val="22"/>
      </w:rPr>
      <w:t>082020_LNG_</w:t>
    </w:r>
    <w:r w:rsidR="00012C8C">
      <w:rPr>
        <w:sz w:val="22"/>
      </w:rPr>
      <w:t>FLP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A8D1" w14:textId="77777777" w:rsidR="00063664" w:rsidRDefault="00063664" w:rsidP="00123E9B">
      <w:r>
        <w:separator/>
      </w:r>
    </w:p>
  </w:footnote>
  <w:footnote w:type="continuationSeparator" w:id="0">
    <w:p w14:paraId="1FA3ECC1" w14:textId="77777777" w:rsidR="00063664" w:rsidRDefault="00063664" w:rsidP="00123E9B">
      <w:r>
        <w:continuationSeparator/>
      </w:r>
    </w:p>
  </w:footnote>
  <w:footnote w:id="1">
    <w:p w14:paraId="6DABEADC" w14:textId="10B04B6C" w:rsidR="00246084" w:rsidRDefault="00246084">
      <w:pPr>
        <w:pStyle w:val="FootnoteText"/>
      </w:pPr>
      <w:r>
        <w:rPr>
          <w:rStyle w:val="FootnoteReference"/>
        </w:rPr>
        <w:footnoteRef/>
      </w:r>
      <w:r>
        <w:t xml:space="preserve"> </w:t>
      </w:r>
      <w:r w:rsidRPr="00246084">
        <w:t>https://m.likumi.lv/doc.php?id=296661</w:t>
      </w:r>
    </w:p>
  </w:footnote>
  <w:footnote w:id="2">
    <w:p w14:paraId="5BCA06E4" w14:textId="05EBEC46" w:rsidR="00652D72" w:rsidRPr="00DA434F" w:rsidRDefault="00652D72" w:rsidP="00652D72">
      <w:pPr>
        <w:pStyle w:val="FootnoteText"/>
        <w:jc w:val="both"/>
      </w:pPr>
      <w:r w:rsidRPr="007F4AE8">
        <w:rPr>
          <w:rStyle w:val="FootnoteReference"/>
        </w:rPr>
        <w:footnoteRef/>
      </w:r>
      <w:r w:rsidRPr="007F4AE8">
        <w:t xml:space="preserve"> </w:t>
      </w:r>
      <w:r w:rsidRPr="007F4AE8">
        <w:rPr>
          <w:rFonts w:eastAsia="Times New Roman"/>
        </w:rPr>
        <w:t>Informatīvais ziņojums par Eiropas pētniecības telpas aktivitātēm cīņai pret koronavīrusa izraisīto</w:t>
      </w:r>
      <w:r>
        <w:rPr>
          <w:rFonts w:eastAsia="Times New Roman"/>
        </w:rPr>
        <w:t xml:space="preserve"> Covid-19 pandēmiju “</w:t>
      </w:r>
      <w:r w:rsidRPr="007F4AE8">
        <w:rPr>
          <w:rFonts w:eastAsia="Times New Roman"/>
        </w:rPr>
        <w:t>Par Eiropas Savienības 2020.gada 7.aprīļa augsta līmeņa videokonfer</w:t>
      </w:r>
      <w:r>
        <w:rPr>
          <w:rFonts w:eastAsia="Times New Roman"/>
        </w:rPr>
        <w:t>enci “</w:t>
      </w:r>
      <w:r w:rsidRPr="007F4AE8">
        <w:rPr>
          <w:rFonts w:eastAsia="Times New Roman"/>
        </w:rPr>
        <w:t xml:space="preserve">Eiropas pētniecības un inovāciju atbilde uz notiekošo slimību uzliesmojumu, ko </w:t>
      </w:r>
      <w:r>
        <w:rPr>
          <w:rFonts w:eastAsia="Times New Roman"/>
        </w:rPr>
        <w:t>izraisījis jaunais koronavīruss”</w:t>
      </w:r>
      <w:r w:rsidRPr="007F4AE8">
        <w:rPr>
          <w:rFonts w:eastAsia="Times New Roman"/>
        </w:rPr>
        <w:t xml:space="preserve"> izskatāmajiem </w:t>
      </w:r>
      <w:r>
        <w:rPr>
          <w:rFonts w:eastAsia="Times New Roman"/>
        </w:rPr>
        <w:t>jautājumiem”</w:t>
      </w:r>
      <w:r w:rsidRPr="00DA434F">
        <w:rPr>
          <w:rFonts w:eastAsia="Times New Roman"/>
        </w:rPr>
        <w:t>, kurš ir ticis izskatīts un pieņemts zināšanai 2020.gada 7.aprīļa Ministru kabineta sēdē.</w:t>
      </w:r>
    </w:p>
  </w:footnote>
  <w:footnote w:id="3">
    <w:p w14:paraId="707750B6" w14:textId="77777777" w:rsidR="00652D72" w:rsidRPr="006965D5" w:rsidRDefault="00652D72" w:rsidP="00652D72">
      <w:pPr>
        <w:pStyle w:val="FootnoteText"/>
      </w:pPr>
      <w:r w:rsidRPr="006965D5">
        <w:rPr>
          <w:rStyle w:val="FootnoteReference"/>
        </w:rPr>
        <w:footnoteRef/>
      </w:r>
      <w:r w:rsidRPr="006965D5">
        <w:t xml:space="preserve"> </w:t>
      </w:r>
      <w:r w:rsidRPr="00BA6235">
        <w:t>https://ec.europa.eu/info/files/first-eravscorona-action-plan-short-term-coordinated-reseach-and-innovation-actions_en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324F087A" w:rsidR="003A72D9" w:rsidRDefault="003A72D9">
    <w:pPr>
      <w:pStyle w:val="Header"/>
      <w:jc w:val="center"/>
    </w:pPr>
    <w:r>
      <w:fldChar w:fldCharType="begin"/>
    </w:r>
    <w:r>
      <w:instrText xml:space="preserve"> PAGE   \* MERGEFORMAT </w:instrText>
    </w:r>
    <w:r>
      <w:fldChar w:fldCharType="separate"/>
    </w:r>
    <w:r w:rsidR="00D8612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1"/>
  </w:num>
  <w:num w:numId="3">
    <w:abstractNumId w:val="30"/>
  </w:num>
  <w:num w:numId="4">
    <w:abstractNumId w:val="36"/>
  </w:num>
  <w:num w:numId="5">
    <w:abstractNumId w:val="27"/>
  </w:num>
  <w:num w:numId="6">
    <w:abstractNumId w:val="29"/>
  </w:num>
  <w:num w:numId="7">
    <w:abstractNumId w:val="5"/>
  </w:num>
  <w:num w:numId="8">
    <w:abstractNumId w:val="2"/>
  </w:num>
  <w:num w:numId="9">
    <w:abstractNumId w:val="17"/>
  </w:num>
  <w:num w:numId="10">
    <w:abstractNumId w:val="41"/>
  </w:num>
  <w:num w:numId="11">
    <w:abstractNumId w:val="34"/>
  </w:num>
  <w:num w:numId="12">
    <w:abstractNumId w:val="10"/>
  </w:num>
  <w:num w:numId="13">
    <w:abstractNumId w:val="3"/>
  </w:num>
  <w:num w:numId="14">
    <w:abstractNumId w:val="4"/>
  </w:num>
  <w:num w:numId="15">
    <w:abstractNumId w:val="33"/>
  </w:num>
  <w:num w:numId="16">
    <w:abstractNumId w:val="42"/>
  </w:num>
  <w:num w:numId="17">
    <w:abstractNumId w:val="20"/>
  </w:num>
  <w:num w:numId="18">
    <w:abstractNumId w:val="21"/>
  </w:num>
  <w:num w:numId="19">
    <w:abstractNumId w:val="19"/>
  </w:num>
  <w:num w:numId="20">
    <w:abstractNumId w:val="11"/>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9"/>
  </w:num>
  <w:num w:numId="30">
    <w:abstractNumId w:val="35"/>
  </w:num>
  <w:num w:numId="31">
    <w:abstractNumId w:val="8"/>
  </w:num>
  <w:num w:numId="32">
    <w:abstractNumId w:val="13"/>
  </w:num>
  <w:num w:numId="33">
    <w:abstractNumId w:val="28"/>
  </w:num>
  <w:num w:numId="34">
    <w:abstractNumId w:val="6"/>
  </w:num>
  <w:num w:numId="35">
    <w:abstractNumId w:val="38"/>
  </w:num>
  <w:num w:numId="36">
    <w:abstractNumId w:val="12"/>
  </w:num>
  <w:num w:numId="37">
    <w:abstractNumId w:val="40"/>
  </w:num>
  <w:num w:numId="38">
    <w:abstractNumId w:val="25"/>
  </w:num>
  <w:num w:numId="39">
    <w:abstractNumId w:val="1"/>
  </w:num>
  <w:num w:numId="40">
    <w:abstractNumId w:val="39"/>
  </w:num>
  <w:num w:numId="41">
    <w:abstractNumId w:val="14"/>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TYzMjIzMjCwMDZQ0lEKTi0uzszPAykwqgUAxBIl2SwAAAA="/>
  </w:docVars>
  <w:rsids>
    <w:rsidRoot w:val="00D96FCD"/>
    <w:rsid w:val="00000124"/>
    <w:rsid w:val="00000CE0"/>
    <w:rsid w:val="00000DEA"/>
    <w:rsid w:val="00001116"/>
    <w:rsid w:val="00001B33"/>
    <w:rsid w:val="00002604"/>
    <w:rsid w:val="00002DDF"/>
    <w:rsid w:val="00004CD6"/>
    <w:rsid w:val="0000524B"/>
    <w:rsid w:val="00005A9D"/>
    <w:rsid w:val="00006D42"/>
    <w:rsid w:val="000100AF"/>
    <w:rsid w:val="00010140"/>
    <w:rsid w:val="00010298"/>
    <w:rsid w:val="000103AD"/>
    <w:rsid w:val="00010590"/>
    <w:rsid w:val="000120DA"/>
    <w:rsid w:val="00012C8C"/>
    <w:rsid w:val="00012EAE"/>
    <w:rsid w:val="00013BAA"/>
    <w:rsid w:val="00014BD0"/>
    <w:rsid w:val="00020664"/>
    <w:rsid w:val="000216EC"/>
    <w:rsid w:val="0002179F"/>
    <w:rsid w:val="000219F0"/>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C24"/>
    <w:rsid w:val="00041D14"/>
    <w:rsid w:val="00041F61"/>
    <w:rsid w:val="000423AB"/>
    <w:rsid w:val="000428AD"/>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3664"/>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25"/>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17"/>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9FB"/>
    <w:rsid w:val="000E4A2A"/>
    <w:rsid w:val="000E4A57"/>
    <w:rsid w:val="000E5CFA"/>
    <w:rsid w:val="000E5FDF"/>
    <w:rsid w:val="000E6027"/>
    <w:rsid w:val="000E6F6D"/>
    <w:rsid w:val="000F0FBE"/>
    <w:rsid w:val="000F1AC0"/>
    <w:rsid w:val="000F1EEC"/>
    <w:rsid w:val="000F3777"/>
    <w:rsid w:val="000F3868"/>
    <w:rsid w:val="000F3894"/>
    <w:rsid w:val="000F72D2"/>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6EC"/>
    <w:rsid w:val="00117C7E"/>
    <w:rsid w:val="0012026C"/>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3654"/>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2C3"/>
    <w:rsid w:val="00196ED7"/>
    <w:rsid w:val="001977BE"/>
    <w:rsid w:val="00197B19"/>
    <w:rsid w:val="001A0506"/>
    <w:rsid w:val="001A142F"/>
    <w:rsid w:val="001A290D"/>
    <w:rsid w:val="001A2EC1"/>
    <w:rsid w:val="001A2F68"/>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2D9"/>
    <w:rsid w:val="00225615"/>
    <w:rsid w:val="00225D5E"/>
    <w:rsid w:val="0022719E"/>
    <w:rsid w:val="00227A5E"/>
    <w:rsid w:val="00227D34"/>
    <w:rsid w:val="00227FE8"/>
    <w:rsid w:val="002313B1"/>
    <w:rsid w:val="00231984"/>
    <w:rsid w:val="0023199C"/>
    <w:rsid w:val="00232B87"/>
    <w:rsid w:val="002339F0"/>
    <w:rsid w:val="00233D27"/>
    <w:rsid w:val="00233FDE"/>
    <w:rsid w:val="00235CA0"/>
    <w:rsid w:val="00236BB1"/>
    <w:rsid w:val="00236C08"/>
    <w:rsid w:val="00237289"/>
    <w:rsid w:val="00237D13"/>
    <w:rsid w:val="00241061"/>
    <w:rsid w:val="00241396"/>
    <w:rsid w:val="00244807"/>
    <w:rsid w:val="00245D2D"/>
    <w:rsid w:val="00246084"/>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4077"/>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A09"/>
    <w:rsid w:val="002C7BBA"/>
    <w:rsid w:val="002C7C2B"/>
    <w:rsid w:val="002D0758"/>
    <w:rsid w:val="002D0A53"/>
    <w:rsid w:val="002D355F"/>
    <w:rsid w:val="002D48A6"/>
    <w:rsid w:val="002D4F98"/>
    <w:rsid w:val="002D50D6"/>
    <w:rsid w:val="002D5B95"/>
    <w:rsid w:val="002D5DA0"/>
    <w:rsid w:val="002D62A9"/>
    <w:rsid w:val="002D67A5"/>
    <w:rsid w:val="002D6D46"/>
    <w:rsid w:val="002D76FE"/>
    <w:rsid w:val="002D77A9"/>
    <w:rsid w:val="002E011D"/>
    <w:rsid w:val="002E09A5"/>
    <w:rsid w:val="002E0B47"/>
    <w:rsid w:val="002E0BB9"/>
    <w:rsid w:val="002E0F4C"/>
    <w:rsid w:val="002E101E"/>
    <w:rsid w:val="002E40BB"/>
    <w:rsid w:val="002E442B"/>
    <w:rsid w:val="002E45C8"/>
    <w:rsid w:val="002E604A"/>
    <w:rsid w:val="002E630E"/>
    <w:rsid w:val="002E6A3D"/>
    <w:rsid w:val="002E742C"/>
    <w:rsid w:val="002F08CE"/>
    <w:rsid w:val="002F0B51"/>
    <w:rsid w:val="002F120E"/>
    <w:rsid w:val="002F23E6"/>
    <w:rsid w:val="002F25B0"/>
    <w:rsid w:val="002F2987"/>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55FA"/>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3F3"/>
    <w:rsid w:val="00335F59"/>
    <w:rsid w:val="00337562"/>
    <w:rsid w:val="00337C76"/>
    <w:rsid w:val="00341757"/>
    <w:rsid w:val="003418C3"/>
    <w:rsid w:val="00342371"/>
    <w:rsid w:val="003435FA"/>
    <w:rsid w:val="003445A2"/>
    <w:rsid w:val="003445AC"/>
    <w:rsid w:val="00346BE0"/>
    <w:rsid w:val="003478B4"/>
    <w:rsid w:val="00350454"/>
    <w:rsid w:val="00350D8D"/>
    <w:rsid w:val="00351AA0"/>
    <w:rsid w:val="00352F47"/>
    <w:rsid w:val="00353516"/>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4852"/>
    <w:rsid w:val="00385BC8"/>
    <w:rsid w:val="00386F10"/>
    <w:rsid w:val="0038707B"/>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5247"/>
    <w:rsid w:val="003C5839"/>
    <w:rsid w:val="003C691E"/>
    <w:rsid w:val="003C69DB"/>
    <w:rsid w:val="003D01AF"/>
    <w:rsid w:val="003D089C"/>
    <w:rsid w:val="003D1AD5"/>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0C6"/>
    <w:rsid w:val="00411191"/>
    <w:rsid w:val="00411B86"/>
    <w:rsid w:val="00411CF0"/>
    <w:rsid w:val="00411F72"/>
    <w:rsid w:val="00412E8E"/>
    <w:rsid w:val="004144C5"/>
    <w:rsid w:val="00415D76"/>
    <w:rsid w:val="00415F7B"/>
    <w:rsid w:val="00416FC9"/>
    <w:rsid w:val="00417538"/>
    <w:rsid w:val="004177B4"/>
    <w:rsid w:val="0041793F"/>
    <w:rsid w:val="00420504"/>
    <w:rsid w:val="004207F0"/>
    <w:rsid w:val="00421356"/>
    <w:rsid w:val="00423736"/>
    <w:rsid w:val="00424E6F"/>
    <w:rsid w:val="0042540D"/>
    <w:rsid w:val="00425AD7"/>
    <w:rsid w:val="00425D52"/>
    <w:rsid w:val="004260DF"/>
    <w:rsid w:val="004309AD"/>
    <w:rsid w:val="004310C7"/>
    <w:rsid w:val="004331E9"/>
    <w:rsid w:val="004342B7"/>
    <w:rsid w:val="00435609"/>
    <w:rsid w:val="00435C24"/>
    <w:rsid w:val="0044104C"/>
    <w:rsid w:val="004418F9"/>
    <w:rsid w:val="00443C32"/>
    <w:rsid w:val="00443FE3"/>
    <w:rsid w:val="00444226"/>
    <w:rsid w:val="004458AB"/>
    <w:rsid w:val="00445D8F"/>
    <w:rsid w:val="0044643B"/>
    <w:rsid w:val="004475CC"/>
    <w:rsid w:val="0045017E"/>
    <w:rsid w:val="00450BED"/>
    <w:rsid w:val="00451063"/>
    <w:rsid w:val="004513C2"/>
    <w:rsid w:val="00451ABA"/>
    <w:rsid w:val="00452EA1"/>
    <w:rsid w:val="00453435"/>
    <w:rsid w:val="00454E29"/>
    <w:rsid w:val="00455959"/>
    <w:rsid w:val="00455F8A"/>
    <w:rsid w:val="004560F5"/>
    <w:rsid w:val="004569F4"/>
    <w:rsid w:val="00456BC1"/>
    <w:rsid w:val="00457A15"/>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67BD"/>
    <w:rsid w:val="005575EF"/>
    <w:rsid w:val="005575F5"/>
    <w:rsid w:val="00557E2F"/>
    <w:rsid w:val="00560101"/>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060"/>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09E"/>
    <w:rsid w:val="005A518B"/>
    <w:rsid w:val="005A627E"/>
    <w:rsid w:val="005A6DC2"/>
    <w:rsid w:val="005A7083"/>
    <w:rsid w:val="005A7608"/>
    <w:rsid w:val="005A7644"/>
    <w:rsid w:val="005A7707"/>
    <w:rsid w:val="005B1318"/>
    <w:rsid w:val="005B18C8"/>
    <w:rsid w:val="005B1E9C"/>
    <w:rsid w:val="005B2307"/>
    <w:rsid w:val="005B2DD1"/>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0E9C"/>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85B"/>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2D72"/>
    <w:rsid w:val="00653952"/>
    <w:rsid w:val="00653B95"/>
    <w:rsid w:val="00654274"/>
    <w:rsid w:val="00654FE3"/>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7D"/>
    <w:rsid w:val="006720CC"/>
    <w:rsid w:val="0067238F"/>
    <w:rsid w:val="00672827"/>
    <w:rsid w:val="00672CAB"/>
    <w:rsid w:val="00672D5A"/>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5DE6"/>
    <w:rsid w:val="006C697C"/>
    <w:rsid w:val="006D03B1"/>
    <w:rsid w:val="006D0962"/>
    <w:rsid w:val="006D43D1"/>
    <w:rsid w:val="006D531B"/>
    <w:rsid w:val="006D5A81"/>
    <w:rsid w:val="006D6BB4"/>
    <w:rsid w:val="006D759A"/>
    <w:rsid w:val="006D781E"/>
    <w:rsid w:val="006D7BDE"/>
    <w:rsid w:val="006E0FB6"/>
    <w:rsid w:val="006E1C0C"/>
    <w:rsid w:val="006E2009"/>
    <w:rsid w:val="006E4CBA"/>
    <w:rsid w:val="006E520B"/>
    <w:rsid w:val="006E522D"/>
    <w:rsid w:val="006E6160"/>
    <w:rsid w:val="006E6252"/>
    <w:rsid w:val="006E768C"/>
    <w:rsid w:val="006E78C3"/>
    <w:rsid w:val="006F0C4C"/>
    <w:rsid w:val="006F28DA"/>
    <w:rsid w:val="006F3DD2"/>
    <w:rsid w:val="006F5778"/>
    <w:rsid w:val="00700411"/>
    <w:rsid w:val="007045EF"/>
    <w:rsid w:val="007052C3"/>
    <w:rsid w:val="00705BB4"/>
    <w:rsid w:val="00705BC7"/>
    <w:rsid w:val="00706CAC"/>
    <w:rsid w:val="00707D91"/>
    <w:rsid w:val="00710206"/>
    <w:rsid w:val="007103A6"/>
    <w:rsid w:val="00710893"/>
    <w:rsid w:val="0071140F"/>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70C5"/>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2F88"/>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138"/>
    <w:rsid w:val="0080783F"/>
    <w:rsid w:val="0081028A"/>
    <w:rsid w:val="008134F6"/>
    <w:rsid w:val="0081654C"/>
    <w:rsid w:val="00816572"/>
    <w:rsid w:val="0081704B"/>
    <w:rsid w:val="008202CC"/>
    <w:rsid w:val="008212A7"/>
    <w:rsid w:val="008221C8"/>
    <w:rsid w:val="0082231A"/>
    <w:rsid w:val="00823CD9"/>
    <w:rsid w:val="008243FF"/>
    <w:rsid w:val="00826116"/>
    <w:rsid w:val="0082783E"/>
    <w:rsid w:val="00830DCA"/>
    <w:rsid w:val="00831A72"/>
    <w:rsid w:val="00832B1D"/>
    <w:rsid w:val="00833325"/>
    <w:rsid w:val="00833D7A"/>
    <w:rsid w:val="00834B1C"/>
    <w:rsid w:val="0083519C"/>
    <w:rsid w:val="008367F4"/>
    <w:rsid w:val="00836D7C"/>
    <w:rsid w:val="008373D3"/>
    <w:rsid w:val="0084066D"/>
    <w:rsid w:val="00840C79"/>
    <w:rsid w:val="00841960"/>
    <w:rsid w:val="008423FC"/>
    <w:rsid w:val="00842544"/>
    <w:rsid w:val="0084276C"/>
    <w:rsid w:val="00842E98"/>
    <w:rsid w:val="0084316D"/>
    <w:rsid w:val="008431E8"/>
    <w:rsid w:val="00843418"/>
    <w:rsid w:val="00843444"/>
    <w:rsid w:val="008434FD"/>
    <w:rsid w:val="00843AB5"/>
    <w:rsid w:val="00844660"/>
    <w:rsid w:val="00846518"/>
    <w:rsid w:val="00847CD3"/>
    <w:rsid w:val="00850449"/>
    <w:rsid w:val="008510B7"/>
    <w:rsid w:val="00852646"/>
    <w:rsid w:val="0085273F"/>
    <w:rsid w:val="00852749"/>
    <w:rsid w:val="00853066"/>
    <w:rsid w:val="0085329C"/>
    <w:rsid w:val="008533E0"/>
    <w:rsid w:val="00853B4B"/>
    <w:rsid w:val="00854DCF"/>
    <w:rsid w:val="0086173C"/>
    <w:rsid w:val="008629E0"/>
    <w:rsid w:val="008634F5"/>
    <w:rsid w:val="00863C67"/>
    <w:rsid w:val="00864958"/>
    <w:rsid w:val="0086571F"/>
    <w:rsid w:val="00865F4A"/>
    <w:rsid w:val="0086671A"/>
    <w:rsid w:val="00870F25"/>
    <w:rsid w:val="00870F9F"/>
    <w:rsid w:val="0087128F"/>
    <w:rsid w:val="00871CB3"/>
    <w:rsid w:val="008723BF"/>
    <w:rsid w:val="008736C0"/>
    <w:rsid w:val="00873AFB"/>
    <w:rsid w:val="00873DC6"/>
    <w:rsid w:val="00873ED2"/>
    <w:rsid w:val="00874652"/>
    <w:rsid w:val="00874CCE"/>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453"/>
    <w:rsid w:val="008D7B3A"/>
    <w:rsid w:val="008D7D52"/>
    <w:rsid w:val="008D7DAA"/>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EE7"/>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432B"/>
    <w:rsid w:val="00955825"/>
    <w:rsid w:val="00955AF6"/>
    <w:rsid w:val="00955D2A"/>
    <w:rsid w:val="0095616A"/>
    <w:rsid w:val="00956847"/>
    <w:rsid w:val="00957BFE"/>
    <w:rsid w:val="00960029"/>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41A2"/>
    <w:rsid w:val="009A454B"/>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A6D"/>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6F61"/>
    <w:rsid w:val="00A07D34"/>
    <w:rsid w:val="00A10BB0"/>
    <w:rsid w:val="00A1231E"/>
    <w:rsid w:val="00A13034"/>
    <w:rsid w:val="00A13132"/>
    <w:rsid w:val="00A1339D"/>
    <w:rsid w:val="00A13445"/>
    <w:rsid w:val="00A13C5F"/>
    <w:rsid w:val="00A13CB9"/>
    <w:rsid w:val="00A15252"/>
    <w:rsid w:val="00A15B3C"/>
    <w:rsid w:val="00A16C78"/>
    <w:rsid w:val="00A17D77"/>
    <w:rsid w:val="00A2016E"/>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5DF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4EB"/>
    <w:rsid w:val="00AB251D"/>
    <w:rsid w:val="00AB3339"/>
    <w:rsid w:val="00AB3A31"/>
    <w:rsid w:val="00AB5059"/>
    <w:rsid w:val="00AB656C"/>
    <w:rsid w:val="00AB74FC"/>
    <w:rsid w:val="00AB7722"/>
    <w:rsid w:val="00AC2A7F"/>
    <w:rsid w:val="00AC4230"/>
    <w:rsid w:val="00AC4E3B"/>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1614"/>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4FD3"/>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6F28"/>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6F09"/>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B7A00"/>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48D"/>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4B67"/>
    <w:rsid w:val="00C06955"/>
    <w:rsid w:val="00C073B7"/>
    <w:rsid w:val="00C11016"/>
    <w:rsid w:val="00C1291F"/>
    <w:rsid w:val="00C13B05"/>
    <w:rsid w:val="00C1447B"/>
    <w:rsid w:val="00C17CB6"/>
    <w:rsid w:val="00C21650"/>
    <w:rsid w:val="00C217A1"/>
    <w:rsid w:val="00C21D70"/>
    <w:rsid w:val="00C221FB"/>
    <w:rsid w:val="00C22F23"/>
    <w:rsid w:val="00C233FD"/>
    <w:rsid w:val="00C23CCC"/>
    <w:rsid w:val="00C24859"/>
    <w:rsid w:val="00C25CDA"/>
    <w:rsid w:val="00C27E98"/>
    <w:rsid w:val="00C301CF"/>
    <w:rsid w:val="00C303A5"/>
    <w:rsid w:val="00C309F0"/>
    <w:rsid w:val="00C30CED"/>
    <w:rsid w:val="00C31183"/>
    <w:rsid w:val="00C31600"/>
    <w:rsid w:val="00C31C0D"/>
    <w:rsid w:val="00C33847"/>
    <w:rsid w:val="00C340E9"/>
    <w:rsid w:val="00C34365"/>
    <w:rsid w:val="00C345C2"/>
    <w:rsid w:val="00C356A9"/>
    <w:rsid w:val="00C3572A"/>
    <w:rsid w:val="00C35B11"/>
    <w:rsid w:val="00C364B5"/>
    <w:rsid w:val="00C373B4"/>
    <w:rsid w:val="00C378BC"/>
    <w:rsid w:val="00C406E4"/>
    <w:rsid w:val="00C40C5E"/>
    <w:rsid w:val="00C40D08"/>
    <w:rsid w:val="00C411E2"/>
    <w:rsid w:val="00C41BA9"/>
    <w:rsid w:val="00C42121"/>
    <w:rsid w:val="00C42324"/>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721C"/>
    <w:rsid w:val="00C979E0"/>
    <w:rsid w:val="00CA06C1"/>
    <w:rsid w:val="00CA1EB4"/>
    <w:rsid w:val="00CA2964"/>
    <w:rsid w:val="00CA2CEA"/>
    <w:rsid w:val="00CA3413"/>
    <w:rsid w:val="00CA41C9"/>
    <w:rsid w:val="00CA5716"/>
    <w:rsid w:val="00CA5F3F"/>
    <w:rsid w:val="00CA636D"/>
    <w:rsid w:val="00CA693C"/>
    <w:rsid w:val="00CA6985"/>
    <w:rsid w:val="00CA6E31"/>
    <w:rsid w:val="00CA7F67"/>
    <w:rsid w:val="00CB07AB"/>
    <w:rsid w:val="00CB15EC"/>
    <w:rsid w:val="00CB483C"/>
    <w:rsid w:val="00CB5545"/>
    <w:rsid w:val="00CB5F57"/>
    <w:rsid w:val="00CB6605"/>
    <w:rsid w:val="00CB7A72"/>
    <w:rsid w:val="00CB7DFB"/>
    <w:rsid w:val="00CC06AB"/>
    <w:rsid w:val="00CC0D14"/>
    <w:rsid w:val="00CC1D18"/>
    <w:rsid w:val="00CC39F0"/>
    <w:rsid w:val="00CC3E80"/>
    <w:rsid w:val="00CC49D6"/>
    <w:rsid w:val="00CC4B37"/>
    <w:rsid w:val="00CC5FD9"/>
    <w:rsid w:val="00CC68B2"/>
    <w:rsid w:val="00CC6EFF"/>
    <w:rsid w:val="00CC7F63"/>
    <w:rsid w:val="00CD224A"/>
    <w:rsid w:val="00CD2D84"/>
    <w:rsid w:val="00CD39F8"/>
    <w:rsid w:val="00CD5672"/>
    <w:rsid w:val="00CD6134"/>
    <w:rsid w:val="00CD6622"/>
    <w:rsid w:val="00CD6B68"/>
    <w:rsid w:val="00CD7C93"/>
    <w:rsid w:val="00CE01D7"/>
    <w:rsid w:val="00CE0B01"/>
    <w:rsid w:val="00CE0CD5"/>
    <w:rsid w:val="00CE133F"/>
    <w:rsid w:val="00CE28C6"/>
    <w:rsid w:val="00CE2B81"/>
    <w:rsid w:val="00CE4DD4"/>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6128"/>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BB1"/>
    <w:rsid w:val="00DB3842"/>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460"/>
    <w:rsid w:val="00DE1B77"/>
    <w:rsid w:val="00DE3025"/>
    <w:rsid w:val="00DE3B74"/>
    <w:rsid w:val="00DE463E"/>
    <w:rsid w:val="00DE4646"/>
    <w:rsid w:val="00DE5411"/>
    <w:rsid w:val="00DE568D"/>
    <w:rsid w:val="00DE56CB"/>
    <w:rsid w:val="00DE5896"/>
    <w:rsid w:val="00DE7C0F"/>
    <w:rsid w:val="00DF03FB"/>
    <w:rsid w:val="00DF158A"/>
    <w:rsid w:val="00DF1C59"/>
    <w:rsid w:val="00DF44D5"/>
    <w:rsid w:val="00DF4AB3"/>
    <w:rsid w:val="00DF5003"/>
    <w:rsid w:val="00DF5249"/>
    <w:rsid w:val="00DF5932"/>
    <w:rsid w:val="00DF5994"/>
    <w:rsid w:val="00E000FD"/>
    <w:rsid w:val="00E02B9E"/>
    <w:rsid w:val="00E03E05"/>
    <w:rsid w:val="00E0475B"/>
    <w:rsid w:val="00E0777F"/>
    <w:rsid w:val="00E10EA9"/>
    <w:rsid w:val="00E110EE"/>
    <w:rsid w:val="00E1136E"/>
    <w:rsid w:val="00E1182B"/>
    <w:rsid w:val="00E13752"/>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18B1"/>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639"/>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1BF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38A3"/>
    <w:rsid w:val="00EF4498"/>
    <w:rsid w:val="00EF48F6"/>
    <w:rsid w:val="00EF5381"/>
    <w:rsid w:val="00EF58DD"/>
    <w:rsid w:val="00F00F9F"/>
    <w:rsid w:val="00F01660"/>
    <w:rsid w:val="00F03A50"/>
    <w:rsid w:val="00F04465"/>
    <w:rsid w:val="00F05C65"/>
    <w:rsid w:val="00F06077"/>
    <w:rsid w:val="00F06483"/>
    <w:rsid w:val="00F06528"/>
    <w:rsid w:val="00F0730F"/>
    <w:rsid w:val="00F075FD"/>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2F2D"/>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05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803"/>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08D"/>
    <w:rsid w:val="00FB36B1"/>
    <w:rsid w:val="00FB4613"/>
    <w:rsid w:val="00FB4C81"/>
    <w:rsid w:val="00FB6428"/>
    <w:rsid w:val="00FB6841"/>
    <w:rsid w:val="00FC0AAD"/>
    <w:rsid w:val="00FC1724"/>
    <w:rsid w:val="00FC27DB"/>
    <w:rsid w:val="00FC2CBC"/>
    <w:rsid w:val="00FC380B"/>
    <w:rsid w:val="00FC5AC4"/>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iPriority w:val="99"/>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4144C5"/>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4144C5"/>
    <w:rPr>
      <w:color w:val="800080" w:themeColor="followedHyperlink"/>
      <w:u w:val="single"/>
    </w:rPr>
  </w:style>
  <w:style w:type="paragraph" w:styleId="Revision">
    <w:name w:val="Revision"/>
    <w:hidden/>
    <w:uiPriority w:val="99"/>
    <w:semiHidden/>
    <w:rsid w:val="002E44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8842227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4050430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21118568">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11D7-21EB-4738-84D5-466A4B56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8092</Words>
  <Characters>4614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Lana Frančeska Dreimane</cp:lastModifiedBy>
  <cp:revision>2</cp:revision>
  <cp:lastPrinted>2018-03-22T14:28:00Z</cp:lastPrinted>
  <dcterms:created xsi:type="dcterms:W3CDTF">2020-08-31T19:46:00Z</dcterms:created>
  <dcterms:modified xsi:type="dcterms:W3CDTF">2020-08-31T19:46:00Z</dcterms:modified>
</cp:coreProperties>
</file>