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FE1AC" w14:textId="77777777" w:rsidR="004D021B" w:rsidRPr="001F2D84" w:rsidRDefault="005233FC">
      <w:pPr>
        <w:pBdr>
          <w:top w:val="nil"/>
          <w:left w:val="nil"/>
          <w:bottom w:val="nil"/>
          <w:right w:val="nil"/>
          <w:between w:val="nil"/>
        </w:pBdr>
        <w:ind w:firstLine="720"/>
        <w:jc w:val="center"/>
        <w:rPr>
          <w:b/>
        </w:rPr>
      </w:pPr>
      <w:bookmarkStart w:id="0" w:name="_gjdgxs" w:colFirst="0" w:colLast="0"/>
      <w:bookmarkEnd w:id="0"/>
      <w:r w:rsidRPr="001F2D84">
        <w:rPr>
          <w:b/>
        </w:rPr>
        <w:t>Izziņa par atzinumos sniegtajiem iebildumiem</w:t>
      </w:r>
      <w:r w:rsidR="00F92DDA" w:rsidRPr="001F2D84">
        <w:rPr>
          <w:b/>
        </w:rPr>
        <w:t xml:space="preserve"> </w:t>
      </w:r>
    </w:p>
    <w:tbl>
      <w:tblPr>
        <w:tblStyle w:val="a"/>
        <w:tblW w:w="10188" w:type="dxa"/>
        <w:jc w:val="center"/>
        <w:tblLayout w:type="fixed"/>
        <w:tblLook w:val="0000" w:firstRow="0" w:lastRow="0" w:firstColumn="0" w:lastColumn="0" w:noHBand="0" w:noVBand="0"/>
      </w:tblPr>
      <w:tblGrid>
        <w:gridCol w:w="10188"/>
      </w:tblGrid>
      <w:tr w:rsidR="001F2D84" w:rsidRPr="001F2D84" w14:paraId="6838B087" w14:textId="77777777">
        <w:trPr>
          <w:jc w:val="center"/>
        </w:trPr>
        <w:tc>
          <w:tcPr>
            <w:tcW w:w="10188" w:type="dxa"/>
            <w:tcBorders>
              <w:bottom w:val="single" w:sz="6" w:space="0" w:color="000000"/>
            </w:tcBorders>
          </w:tcPr>
          <w:p w14:paraId="6C6134EF" w14:textId="4EB15B0A" w:rsidR="004D021B" w:rsidRPr="001F2D84" w:rsidRDefault="005233FC">
            <w:pPr>
              <w:jc w:val="center"/>
              <w:rPr>
                <w:b/>
              </w:rPr>
            </w:pPr>
            <w:r w:rsidRPr="001F2D84">
              <w:rPr>
                <w:b/>
              </w:rPr>
              <w:t>Ministru kabineta noteikumu projektam „</w:t>
            </w:r>
            <w:r w:rsidR="00290114" w:rsidRPr="00290114">
              <w:rPr>
                <w:b/>
              </w:rPr>
              <w:t>“Grozījumi Ministru kabineta 2018.</w:t>
            </w:r>
            <w:r w:rsidR="00290114">
              <w:rPr>
                <w:b/>
              </w:rPr>
              <w:t> </w:t>
            </w:r>
            <w:r w:rsidR="00290114" w:rsidRPr="00290114">
              <w:rPr>
                <w:b/>
              </w:rPr>
              <w:t>gada 27.</w:t>
            </w:r>
            <w:r w:rsidR="00290114">
              <w:rPr>
                <w:b/>
              </w:rPr>
              <w:t> </w:t>
            </w:r>
            <w:r w:rsidR="00290114" w:rsidRPr="00290114">
              <w:rPr>
                <w:b/>
              </w:rPr>
              <w:t>novembra noteikumos Nr.</w:t>
            </w:r>
            <w:r w:rsidR="00290114">
              <w:rPr>
                <w:b/>
              </w:rPr>
              <w:t> </w:t>
            </w:r>
            <w:r w:rsidR="00290114" w:rsidRPr="00290114">
              <w:rPr>
                <w:b/>
              </w:rPr>
              <w:t>747 “Noteikumi par valsts pamatizglītības standartu un pamatizglītības programmu paraugiem”</w:t>
            </w:r>
            <w:r w:rsidRPr="001F2D84">
              <w:rPr>
                <w:b/>
              </w:rPr>
              <w:t>”</w:t>
            </w:r>
          </w:p>
        </w:tc>
      </w:tr>
    </w:tbl>
    <w:p w14:paraId="61D9270C" w14:textId="77777777" w:rsidR="004D021B" w:rsidRPr="001F2D84" w:rsidRDefault="005233FC">
      <w:pPr>
        <w:pBdr>
          <w:top w:val="nil"/>
          <w:left w:val="nil"/>
          <w:bottom w:val="nil"/>
          <w:right w:val="nil"/>
          <w:between w:val="nil"/>
        </w:pBdr>
        <w:ind w:firstLine="1080"/>
        <w:jc w:val="center"/>
      </w:pPr>
      <w:r w:rsidRPr="001F2D84">
        <w:t>(dokumenta veids un nosaukums)</w:t>
      </w:r>
    </w:p>
    <w:p w14:paraId="62BBE8CD" w14:textId="77777777" w:rsidR="004D021B" w:rsidRPr="001F2D84" w:rsidRDefault="004D021B">
      <w:pPr>
        <w:pBdr>
          <w:top w:val="nil"/>
          <w:left w:val="nil"/>
          <w:bottom w:val="nil"/>
          <w:right w:val="nil"/>
          <w:between w:val="nil"/>
        </w:pBdr>
        <w:ind w:firstLine="720"/>
        <w:jc w:val="both"/>
      </w:pPr>
    </w:p>
    <w:p w14:paraId="5DDEDA76" w14:textId="77777777" w:rsidR="004D021B" w:rsidRPr="001F2D84" w:rsidRDefault="005233FC">
      <w:pPr>
        <w:pBdr>
          <w:top w:val="nil"/>
          <w:left w:val="nil"/>
          <w:bottom w:val="nil"/>
          <w:right w:val="nil"/>
          <w:between w:val="nil"/>
        </w:pBdr>
        <w:jc w:val="center"/>
        <w:rPr>
          <w:b/>
        </w:rPr>
      </w:pPr>
      <w:r w:rsidRPr="001F2D84">
        <w:rPr>
          <w:b/>
        </w:rPr>
        <w:t>I. Jautājumi, par kuriem saskaņošanā vienošanās nav panākta</w:t>
      </w:r>
    </w:p>
    <w:p w14:paraId="496FC07A" w14:textId="77777777" w:rsidR="004D021B" w:rsidRPr="001F2D84" w:rsidRDefault="004D021B">
      <w:pPr>
        <w:pBdr>
          <w:top w:val="nil"/>
          <w:left w:val="nil"/>
          <w:bottom w:val="nil"/>
          <w:right w:val="nil"/>
          <w:between w:val="nil"/>
        </w:pBdr>
        <w:ind w:firstLine="720"/>
        <w:jc w:val="both"/>
      </w:pPr>
    </w:p>
    <w:tbl>
      <w:tblPr>
        <w:tblStyle w:val="a0"/>
        <w:tblW w:w="142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5"/>
        <w:gridCol w:w="2984"/>
        <w:gridCol w:w="3253"/>
        <w:gridCol w:w="2842"/>
        <w:gridCol w:w="2552"/>
        <w:gridCol w:w="1920"/>
      </w:tblGrid>
      <w:tr w:rsidR="001F2D84" w:rsidRPr="001F2D84" w14:paraId="3782166D" w14:textId="77777777" w:rsidTr="00462608">
        <w:trPr>
          <w:trHeight w:val="1720"/>
        </w:trPr>
        <w:tc>
          <w:tcPr>
            <w:tcW w:w="675" w:type="dxa"/>
            <w:tcBorders>
              <w:top w:val="single" w:sz="6" w:space="0" w:color="000000"/>
              <w:left w:val="single" w:sz="6" w:space="0" w:color="000000"/>
              <w:bottom w:val="single" w:sz="6" w:space="0" w:color="000000"/>
              <w:right w:val="single" w:sz="6" w:space="0" w:color="000000"/>
            </w:tcBorders>
            <w:vAlign w:val="center"/>
          </w:tcPr>
          <w:p w14:paraId="5F37D977" w14:textId="77777777" w:rsidR="004D021B" w:rsidRPr="001F2D84" w:rsidRDefault="005233FC">
            <w:pPr>
              <w:pBdr>
                <w:top w:val="nil"/>
                <w:left w:val="nil"/>
                <w:bottom w:val="nil"/>
                <w:right w:val="nil"/>
                <w:between w:val="nil"/>
              </w:pBdr>
              <w:jc w:val="center"/>
            </w:pPr>
            <w:r w:rsidRPr="001F2D84">
              <w:t>Nr. p.k.</w:t>
            </w:r>
          </w:p>
        </w:tc>
        <w:tc>
          <w:tcPr>
            <w:tcW w:w="2984" w:type="dxa"/>
            <w:tcBorders>
              <w:top w:val="single" w:sz="6" w:space="0" w:color="000000"/>
              <w:left w:val="single" w:sz="6" w:space="0" w:color="000000"/>
              <w:bottom w:val="single" w:sz="6" w:space="0" w:color="000000"/>
              <w:right w:val="single" w:sz="6" w:space="0" w:color="000000"/>
            </w:tcBorders>
            <w:vAlign w:val="center"/>
          </w:tcPr>
          <w:p w14:paraId="7C9E9F91" w14:textId="77777777" w:rsidR="004D021B" w:rsidRPr="001F2D84" w:rsidRDefault="005233FC">
            <w:pPr>
              <w:pBdr>
                <w:top w:val="nil"/>
                <w:left w:val="nil"/>
                <w:bottom w:val="nil"/>
                <w:right w:val="nil"/>
                <w:between w:val="nil"/>
              </w:pBdr>
              <w:ind w:firstLine="12"/>
              <w:jc w:val="center"/>
            </w:pPr>
            <w:r w:rsidRPr="001F2D84">
              <w:t>Saskaņošanai nosūtītā projekta redakcija (konkrēta punkta (panta) redakcija)</w:t>
            </w:r>
          </w:p>
        </w:tc>
        <w:tc>
          <w:tcPr>
            <w:tcW w:w="3253" w:type="dxa"/>
            <w:tcBorders>
              <w:top w:val="single" w:sz="6" w:space="0" w:color="000000"/>
              <w:left w:val="single" w:sz="6" w:space="0" w:color="000000"/>
              <w:bottom w:val="single" w:sz="6" w:space="0" w:color="000000"/>
              <w:right w:val="single" w:sz="6" w:space="0" w:color="000000"/>
            </w:tcBorders>
            <w:vAlign w:val="center"/>
          </w:tcPr>
          <w:p w14:paraId="6C5C68BF" w14:textId="77777777" w:rsidR="004D021B" w:rsidRPr="001F2D84" w:rsidRDefault="005233FC">
            <w:pPr>
              <w:pBdr>
                <w:top w:val="nil"/>
                <w:left w:val="nil"/>
                <w:bottom w:val="nil"/>
                <w:right w:val="nil"/>
                <w:between w:val="nil"/>
              </w:pBdr>
              <w:ind w:right="3"/>
              <w:jc w:val="center"/>
            </w:pPr>
            <w:r w:rsidRPr="001F2D84">
              <w:t>Atzinumā norādītais ministrijas (citas institūcijas) iebildums, kā arī saskaņošanā papildus izteiktais iebildums par projekta konkrēto punktu (pantu)</w:t>
            </w:r>
          </w:p>
        </w:tc>
        <w:tc>
          <w:tcPr>
            <w:tcW w:w="2842" w:type="dxa"/>
            <w:tcBorders>
              <w:top w:val="single" w:sz="6" w:space="0" w:color="000000"/>
              <w:left w:val="single" w:sz="6" w:space="0" w:color="000000"/>
              <w:bottom w:val="single" w:sz="6" w:space="0" w:color="000000"/>
              <w:right w:val="single" w:sz="6" w:space="0" w:color="000000"/>
            </w:tcBorders>
            <w:vAlign w:val="center"/>
          </w:tcPr>
          <w:p w14:paraId="302B56F5" w14:textId="77777777" w:rsidR="004D021B" w:rsidRPr="001F2D84" w:rsidRDefault="005233FC">
            <w:pPr>
              <w:pBdr>
                <w:top w:val="nil"/>
                <w:left w:val="nil"/>
                <w:bottom w:val="nil"/>
                <w:right w:val="nil"/>
                <w:between w:val="nil"/>
              </w:pBdr>
              <w:ind w:firstLine="21"/>
              <w:jc w:val="center"/>
            </w:pPr>
            <w:r w:rsidRPr="001F2D84">
              <w:t>Atbildīgās ministrijas pamatojums iebilduma noraidījumam</w:t>
            </w:r>
          </w:p>
        </w:tc>
        <w:tc>
          <w:tcPr>
            <w:tcW w:w="2552" w:type="dxa"/>
            <w:tcBorders>
              <w:top w:val="single" w:sz="4" w:space="0" w:color="000000"/>
              <w:left w:val="single" w:sz="4" w:space="0" w:color="000000"/>
              <w:bottom w:val="single" w:sz="4" w:space="0" w:color="000000"/>
              <w:right w:val="single" w:sz="4" w:space="0" w:color="000000"/>
            </w:tcBorders>
            <w:vAlign w:val="center"/>
          </w:tcPr>
          <w:p w14:paraId="09B3BA51" w14:textId="77777777" w:rsidR="004D021B" w:rsidRPr="001F2D84" w:rsidRDefault="005233FC">
            <w:pPr>
              <w:jc w:val="center"/>
            </w:pPr>
            <w:r w:rsidRPr="001F2D84">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tcBorders>
            <w:vAlign w:val="center"/>
          </w:tcPr>
          <w:p w14:paraId="4EFF6993" w14:textId="77777777" w:rsidR="004D021B" w:rsidRPr="001F2D84" w:rsidRDefault="005233FC">
            <w:pPr>
              <w:jc w:val="center"/>
            </w:pPr>
            <w:r w:rsidRPr="001F2D84">
              <w:t>Projekta attiecīgā punkta (panta) galīgā redakcija</w:t>
            </w:r>
          </w:p>
        </w:tc>
      </w:tr>
      <w:tr w:rsidR="001F2D84" w:rsidRPr="001F2D84" w14:paraId="69C1B9E1" w14:textId="77777777" w:rsidTr="009C4619">
        <w:trPr>
          <w:trHeight w:val="413"/>
        </w:trPr>
        <w:tc>
          <w:tcPr>
            <w:tcW w:w="675" w:type="dxa"/>
            <w:tcBorders>
              <w:top w:val="single" w:sz="6" w:space="0" w:color="000000"/>
              <w:left w:val="single" w:sz="6" w:space="0" w:color="000000"/>
              <w:bottom w:val="single" w:sz="6" w:space="0" w:color="000000"/>
              <w:right w:val="single" w:sz="6" w:space="0" w:color="000000"/>
            </w:tcBorders>
          </w:tcPr>
          <w:p w14:paraId="14A32E44" w14:textId="77777777" w:rsidR="004D021B" w:rsidRPr="001F2D84" w:rsidRDefault="005233FC">
            <w:pPr>
              <w:pBdr>
                <w:top w:val="nil"/>
                <w:left w:val="nil"/>
                <w:bottom w:val="nil"/>
                <w:right w:val="nil"/>
                <w:between w:val="nil"/>
              </w:pBdr>
              <w:jc w:val="center"/>
            </w:pPr>
            <w:r w:rsidRPr="001F2D84">
              <w:t>1</w:t>
            </w:r>
          </w:p>
        </w:tc>
        <w:tc>
          <w:tcPr>
            <w:tcW w:w="2984" w:type="dxa"/>
            <w:tcBorders>
              <w:top w:val="single" w:sz="6" w:space="0" w:color="000000"/>
              <w:left w:val="single" w:sz="6" w:space="0" w:color="000000"/>
              <w:bottom w:val="single" w:sz="6" w:space="0" w:color="000000"/>
              <w:right w:val="single" w:sz="6" w:space="0" w:color="000000"/>
            </w:tcBorders>
          </w:tcPr>
          <w:p w14:paraId="533291F0" w14:textId="77777777" w:rsidR="004D021B" w:rsidRPr="001F2D84" w:rsidRDefault="005233FC" w:rsidP="009C4619">
            <w:pPr>
              <w:pBdr>
                <w:top w:val="nil"/>
                <w:left w:val="nil"/>
                <w:bottom w:val="nil"/>
                <w:right w:val="nil"/>
                <w:between w:val="nil"/>
              </w:pBdr>
              <w:ind w:firstLine="720"/>
              <w:jc w:val="center"/>
            </w:pPr>
            <w:r w:rsidRPr="001F2D84">
              <w:t>2</w:t>
            </w:r>
          </w:p>
        </w:tc>
        <w:tc>
          <w:tcPr>
            <w:tcW w:w="3253" w:type="dxa"/>
            <w:tcBorders>
              <w:top w:val="single" w:sz="6" w:space="0" w:color="000000"/>
              <w:left w:val="single" w:sz="6" w:space="0" w:color="000000"/>
              <w:bottom w:val="single" w:sz="6" w:space="0" w:color="000000"/>
              <w:right w:val="single" w:sz="6" w:space="0" w:color="000000"/>
            </w:tcBorders>
          </w:tcPr>
          <w:p w14:paraId="5615769C" w14:textId="77777777" w:rsidR="004D021B" w:rsidRPr="001F2D84" w:rsidRDefault="005233FC" w:rsidP="009C4619">
            <w:pPr>
              <w:pBdr>
                <w:top w:val="nil"/>
                <w:left w:val="nil"/>
                <w:bottom w:val="nil"/>
                <w:right w:val="nil"/>
                <w:between w:val="nil"/>
              </w:pBdr>
              <w:ind w:firstLine="720"/>
              <w:jc w:val="center"/>
            </w:pPr>
            <w:r w:rsidRPr="001F2D84">
              <w:t>3</w:t>
            </w:r>
          </w:p>
        </w:tc>
        <w:tc>
          <w:tcPr>
            <w:tcW w:w="2842" w:type="dxa"/>
            <w:tcBorders>
              <w:top w:val="single" w:sz="6" w:space="0" w:color="000000"/>
              <w:left w:val="single" w:sz="6" w:space="0" w:color="000000"/>
              <w:bottom w:val="single" w:sz="6" w:space="0" w:color="000000"/>
              <w:right w:val="single" w:sz="4" w:space="0" w:color="000000"/>
            </w:tcBorders>
          </w:tcPr>
          <w:p w14:paraId="10741105" w14:textId="77777777" w:rsidR="004D021B" w:rsidRPr="001F2D84" w:rsidRDefault="005233FC" w:rsidP="009C4619">
            <w:pPr>
              <w:pBdr>
                <w:top w:val="nil"/>
                <w:left w:val="nil"/>
                <w:bottom w:val="nil"/>
                <w:right w:val="nil"/>
                <w:between w:val="nil"/>
              </w:pBdr>
              <w:ind w:firstLine="720"/>
              <w:jc w:val="center"/>
            </w:pPr>
            <w:r w:rsidRPr="001F2D84">
              <w:t>4</w:t>
            </w:r>
          </w:p>
        </w:tc>
        <w:tc>
          <w:tcPr>
            <w:tcW w:w="2552" w:type="dxa"/>
            <w:tcBorders>
              <w:top w:val="single" w:sz="4" w:space="0" w:color="000000"/>
              <w:left w:val="single" w:sz="4" w:space="0" w:color="000000"/>
              <w:bottom w:val="single" w:sz="4" w:space="0" w:color="000000"/>
              <w:right w:val="single" w:sz="4" w:space="0" w:color="000000"/>
            </w:tcBorders>
          </w:tcPr>
          <w:p w14:paraId="4FBDB832" w14:textId="77777777" w:rsidR="004D021B" w:rsidRPr="001F2D84" w:rsidRDefault="005233FC" w:rsidP="009C4619">
            <w:pPr>
              <w:jc w:val="center"/>
            </w:pPr>
            <w:r w:rsidRPr="001F2D84">
              <w:t>5</w:t>
            </w:r>
          </w:p>
        </w:tc>
        <w:tc>
          <w:tcPr>
            <w:tcW w:w="1920" w:type="dxa"/>
            <w:tcBorders>
              <w:top w:val="single" w:sz="4" w:space="0" w:color="000000"/>
              <w:left w:val="single" w:sz="4" w:space="0" w:color="000000"/>
              <w:bottom w:val="single" w:sz="4" w:space="0" w:color="000000"/>
            </w:tcBorders>
          </w:tcPr>
          <w:p w14:paraId="3C5025AA" w14:textId="77777777" w:rsidR="004D021B" w:rsidRPr="001F2D84" w:rsidRDefault="005233FC" w:rsidP="009C4619">
            <w:pPr>
              <w:jc w:val="center"/>
            </w:pPr>
            <w:r w:rsidRPr="001F2D84">
              <w:t>6</w:t>
            </w:r>
          </w:p>
        </w:tc>
      </w:tr>
      <w:tr w:rsidR="004B081C" w:rsidRPr="001F2D84" w14:paraId="358B3D28" w14:textId="77777777" w:rsidTr="009C4619">
        <w:trPr>
          <w:trHeight w:val="413"/>
        </w:trPr>
        <w:tc>
          <w:tcPr>
            <w:tcW w:w="675" w:type="dxa"/>
            <w:tcBorders>
              <w:top w:val="single" w:sz="6" w:space="0" w:color="000000"/>
              <w:left w:val="single" w:sz="6" w:space="0" w:color="000000"/>
              <w:bottom w:val="single" w:sz="6" w:space="0" w:color="000000"/>
              <w:right w:val="single" w:sz="6" w:space="0" w:color="000000"/>
            </w:tcBorders>
          </w:tcPr>
          <w:p w14:paraId="4804E5BF" w14:textId="77777777" w:rsidR="004B081C" w:rsidRPr="001F2D84" w:rsidRDefault="004B081C">
            <w:pPr>
              <w:pBdr>
                <w:top w:val="nil"/>
                <w:left w:val="nil"/>
                <w:bottom w:val="nil"/>
                <w:right w:val="nil"/>
                <w:between w:val="nil"/>
              </w:pBdr>
              <w:jc w:val="center"/>
            </w:pPr>
          </w:p>
        </w:tc>
        <w:tc>
          <w:tcPr>
            <w:tcW w:w="2984" w:type="dxa"/>
            <w:tcBorders>
              <w:top w:val="single" w:sz="6" w:space="0" w:color="000000"/>
              <w:left w:val="single" w:sz="6" w:space="0" w:color="000000"/>
              <w:bottom w:val="single" w:sz="6" w:space="0" w:color="000000"/>
              <w:right w:val="single" w:sz="6" w:space="0" w:color="000000"/>
            </w:tcBorders>
          </w:tcPr>
          <w:p w14:paraId="7EEEB7A2" w14:textId="77777777" w:rsidR="004B081C" w:rsidRPr="001F2D84" w:rsidRDefault="004B081C" w:rsidP="009C4619">
            <w:pPr>
              <w:pBdr>
                <w:top w:val="nil"/>
                <w:left w:val="nil"/>
                <w:bottom w:val="nil"/>
                <w:right w:val="nil"/>
                <w:between w:val="nil"/>
              </w:pBdr>
              <w:ind w:firstLine="720"/>
              <w:jc w:val="center"/>
            </w:pPr>
          </w:p>
        </w:tc>
        <w:tc>
          <w:tcPr>
            <w:tcW w:w="3253" w:type="dxa"/>
            <w:tcBorders>
              <w:top w:val="single" w:sz="6" w:space="0" w:color="000000"/>
              <w:left w:val="single" w:sz="6" w:space="0" w:color="000000"/>
              <w:bottom w:val="single" w:sz="6" w:space="0" w:color="000000"/>
              <w:right w:val="single" w:sz="6" w:space="0" w:color="000000"/>
            </w:tcBorders>
          </w:tcPr>
          <w:p w14:paraId="2707CD98" w14:textId="77777777" w:rsidR="004B081C" w:rsidRPr="001F2D84" w:rsidRDefault="004B081C" w:rsidP="009C4619">
            <w:pPr>
              <w:pBdr>
                <w:top w:val="nil"/>
                <w:left w:val="nil"/>
                <w:bottom w:val="nil"/>
                <w:right w:val="nil"/>
                <w:between w:val="nil"/>
              </w:pBdr>
              <w:ind w:firstLine="720"/>
              <w:jc w:val="center"/>
            </w:pPr>
          </w:p>
        </w:tc>
        <w:tc>
          <w:tcPr>
            <w:tcW w:w="2842" w:type="dxa"/>
            <w:tcBorders>
              <w:top w:val="single" w:sz="6" w:space="0" w:color="000000"/>
              <w:left w:val="single" w:sz="6" w:space="0" w:color="000000"/>
              <w:bottom w:val="single" w:sz="6" w:space="0" w:color="000000"/>
              <w:right w:val="single" w:sz="4" w:space="0" w:color="000000"/>
            </w:tcBorders>
          </w:tcPr>
          <w:p w14:paraId="716710EA" w14:textId="77777777" w:rsidR="004B081C" w:rsidRPr="001F2D84" w:rsidRDefault="004B081C" w:rsidP="009C4619">
            <w:pPr>
              <w:pBdr>
                <w:top w:val="nil"/>
                <w:left w:val="nil"/>
                <w:bottom w:val="nil"/>
                <w:right w:val="nil"/>
                <w:between w:val="nil"/>
              </w:pBdr>
              <w:ind w:firstLine="720"/>
              <w:jc w:val="center"/>
            </w:pPr>
          </w:p>
        </w:tc>
        <w:tc>
          <w:tcPr>
            <w:tcW w:w="2552" w:type="dxa"/>
            <w:tcBorders>
              <w:top w:val="single" w:sz="4" w:space="0" w:color="000000"/>
              <w:left w:val="single" w:sz="4" w:space="0" w:color="000000"/>
              <w:bottom w:val="single" w:sz="4" w:space="0" w:color="000000"/>
              <w:right w:val="single" w:sz="4" w:space="0" w:color="000000"/>
            </w:tcBorders>
          </w:tcPr>
          <w:p w14:paraId="1A00D2E7" w14:textId="77777777" w:rsidR="004B081C" w:rsidRPr="001F2D84" w:rsidRDefault="004B081C" w:rsidP="009C4619">
            <w:pPr>
              <w:jc w:val="center"/>
            </w:pPr>
          </w:p>
        </w:tc>
        <w:tc>
          <w:tcPr>
            <w:tcW w:w="1920" w:type="dxa"/>
            <w:tcBorders>
              <w:top w:val="single" w:sz="4" w:space="0" w:color="000000"/>
              <w:left w:val="single" w:sz="4" w:space="0" w:color="000000"/>
              <w:bottom w:val="single" w:sz="4" w:space="0" w:color="000000"/>
            </w:tcBorders>
          </w:tcPr>
          <w:p w14:paraId="2CA79EFE" w14:textId="77777777" w:rsidR="004B081C" w:rsidRPr="001F2D84" w:rsidRDefault="004B081C" w:rsidP="009C4619">
            <w:pPr>
              <w:jc w:val="center"/>
            </w:pPr>
          </w:p>
        </w:tc>
      </w:tr>
    </w:tbl>
    <w:p w14:paraId="39B5FAED" w14:textId="77777777" w:rsidR="00110259" w:rsidRPr="001F2D84" w:rsidRDefault="00110259">
      <w:pPr>
        <w:pBdr>
          <w:top w:val="nil"/>
          <w:left w:val="nil"/>
          <w:bottom w:val="nil"/>
          <w:right w:val="nil"/>
          <w:between w:val="nil"/>
        </w:pBdr>
        <w:jc w:val="both"/>
      </w:pPr>
    </w:p>
    <w:p w14:paraId="1568364F" w14:textId="77777777" w:rsidR="004D021B" w:rsidRPr="001F2D84" w:rsidRDefault="004D021B">
      <w:pPr>
        <w:pBdr>
          <w:top w:val="nil"/>
          <w:left w:val="nil"/>
          <w:bottom w:val="nil"/>
          <w:right w:val="nil"/>
          <w:between w:val="nil"/>
        </w:pBdr>
        <w:jc w:val="both"/>
      </w:pPr>
    </w:p>
    <w:p w14:paraId="59F830DE" w14:textId="77777777" w:rsidR="004D021B" w:rsidRPr="001F2D84" w:rsidRDefault="005233FC">
      <w:pPr>
        <w:pBdr>
          <w:top w:val="nil"/>
          <w:left w:val="nil"/>
          <w:bottom w:val="nil"/>
          <w:right w:val="nil"/>
          <w:between w:val="nil"/>
        </w:pBdr>
        <w:jc w:val="both"/>
        <w:rPr>
          <w:b/>
        </w:rPr>
      </w:pPr>
      <w:r w:rsidRPr="001F2D84">
        <w:rPr>
          <w:b/>
        </w:rPr>
        <w:t>Informācija par starpministriju (starpinstitūciju) sanāksmi vai elektronisko saskaņošanu</w:t>
      </w:r>
    </w:p>
    <w:p w14:paraId="21778905" w14:textId="77777777" w:rsidR="004D021B" w:rsidRPr="001F2D84" w:rsidRDefault="004D021B">
      <w:pPr>
        <w:pBdr>
          <w:top w:val="nil"/>
          <w:left w:val="nil"/>
          <w:bottom w:val="nil"/>
          <w:right w:val="nil"/>
          <w:between w:val="nil"/>
        </w:pBdr>
        <w:jc w:val="both"/>
        <w:rPr>
          <w:b/>
        </w:rPr>
      </w:pPr>
    </w:p>
    <w:tbl>
      <w:tblPr>
        <w:tblStyle w:val="a1"/>
        <w:tblW w:w="12724" w:type="dxa"/>
        <w:tblLayout w:type="fixed"/>
        <w:tblLook w:val="0000" w:firstRow="0" w:lastRow="0" w:firstColumn="0" w:lastColumn="0" w:noHBand="0" w:noVBand="0"/>
      </w:tblPr>
      <w:tblGrid>
        <w:gridCol w:w="6338"/>
        <w:gridCol w:w="250"/>
        <w:gridCol w:w="5994"/>
        <w:gridCol w:w="142"/>
      </w:tblGrid>
      <w:tr w:rsidR="001F2D84" w:rsidRPr="001F2D84" w14:paraId="4118CD3E" w14:textId="77777777">
        <w:tc>
          <w:tcPr>
            <w:tcW w:w="6345" w:type="dxa"/>
          </w:tcPr>
          <w:p w14:paraId="01D04C87" w14:textId="77777777" w:rsidR="004D021B" w:rsidRPr="001F2D84" w:rsidRDefault="005233FC">
            <w:pPr>
              <w:pBdr>
                <w:top w:val="nil"/>
                <w:left w:val="nil"/>
                <w:bottom w:val="nil"/>
                <w:right w:val="nil"/>
                <w:between w:val="nil"/>
              </w:pBdr>
              <w:jc w:val="both"/>
            </w:pPr>
            <w:r w:rsidRPr="001F2D84">
              <w:t>Datums</w:t>
            </w:r>
          </w:p>
        </w:tc>
        <w:tc>
          <w:tcPr>
            <w:tcW w:w="6379" w:type="dxa"/>
            <w:gridSpan w:val="3"/>
            <w:tcBorders>
              <w:bottom w:val="single" w:sz="4" w:space="0" w:color="000000"/>
            </w:tcBorders>
          </w:tcPr>
          <w:p w14:paraId="2F148400" w14:textId="3062D6B4" w:rsidR="004D021B" w:rsidRPr="001F2D84" w:rsidRDefault="000B7FDA" w:rsidP="002C10EE">
            <w:pPr>
              <w:pBdr>
                <w:top w:val="nil"/>
                <w:left w:val="nil"/>
                <w:bottom w:val="nil"/>
                <w:right w:val="nil"/>
                <w:between w:val="nil"/>
              </w:pBdr>
            </w:pPr>
            <w:r>
              <w:t>Elektroniskā saskaņošana 2020.</w:t>
            </w:r>
            <w:r w:rsidRPr="003D7C09">
              <w:t xml:space="preserve">gada </w:t>
            </w:r>
            <w:r w:rsidR="004025E4">
              <w:t>8</w:t>
            </w:r>
            <w:r w:rsidRPr="003D7C09">
              <w:t>.</w:t>
            </w:r>
            <w:r w:rsidR="006D3D70">
              <w:t>septembris</w:t>
            </w:r>
          </w:p>
        </w:tc>
      </w:tr>
      <w:tr w:rsidR="001F2D84" w:rsidRPr="001F2D84" w14:paraId="5CBCB39C" w14:textId="77777777">
        <w:trPr>
          <w:trHeight w:val="400"/>
        </w:trPr>
        <w:tc>
          <w:tcPr>
            <w:tcW w:w="6345" w:type="dxa"/>
          </w:tcPr>
          <w:p w14:paraId="6F869AD0" w14:textId="77777777" w:rsidR="004D021B" w:rsidRPr="001F2D84" w:rsidRDefault="004D021B">
            <w:pPr>
              <w:pBdr>
                <w:top w:val="nil"/>
                <w:left w:val="nil"/>
                <w:bottom w:val="nil"/>
                <w:right w:val="nil"/>
                <w:between w:val="nil"/>
              </w:pBdr>
              <w:jc w:val="both"/>
            </w:pPr>
          </w:p>
        </w:tc>
        <w:tc>
          <w:tcPr>
            <w:tcW w:w="6379" w:type="dxa"/>
            <w:gridSpan w:val="3"/>
            <w:tcBorders>
              <w:top w:val="single" w:sz="4" w:space="0" w:color="000000"/>
            </w:tcBorders>
          </w:tcPr>
          <w:p w14:paraId="19EE0EDB" w14:textId="77777777" w:rsidR="004D021B" w:rsidRPr="001F2D84" w:rsidRDefault="004D021B">
            <w:pPr>
              <w:pBdr>
                <w:top w:val="nil"/>
                <w:left w:val="nil"/>
                <w:bottom w:val="nil"/>
                <w:right w:val="nil"/>
                <w:between w:val="nil"/>
              </w:pBdr>
              <w:spacing w:before="100" w:after="100"/>
              <w:jc w:val="both"/>
            </w:pPr>
          </w:p>
        </w:tc>
      </w:tr>
      <w:tr w:rsidR="001F2D84" w:rsidRPr="001F2D84" w14:paraId="6D2D0D48" w14:textId="77777777">
        <w:tc>
          <w:tcPr>
            <w:tcW w:w="6345" w:type="dxa"/>
          </w:tcPr>
          <w:p w14:paraId="4E434F86" w14:textId="77777777" w:rsidR="004D021B" w:rsidRPr="001F2D84" w:rsidRDefault="005233FC">
            <w:pPr>
              <w:pBdr>
                <w:top w:val="nil"/>
                <w:left w:val="nil"/>
                <w:bottom w:val="nil"/>
                <w:right w:val="nil"/>
                <w:between w:val="nil"/>
              </w:pBdr>
            </w:pPr>
            <w:r w:rsidRPr="001F2D84">
              <w:t>Saskaņošanas dalībnieki</w:t>
            </w:r>
          </w:p>
        </w:tc>
        <w:tc>
          <w:tcPr>
            <w:tcW w:w="6379" w:type="dxa"/>
            <w:gridSpan w:val="3"/>
          </w:tcPr>
          <w:p w14:paraId="074E9815" w14:textId="1493FC0D" w:rsidR="004D021B" w:rsidRPr="001F2D84" w:rsidRDefault="00ED1145" w:rsidP="00185178">
            <w:pPr>
              <w:jc w:val="both"/>
            </w:pPr>
            <w:r w:rsidRPr="00ED1145">
              <w:t>Tieslietu ministrij</w:t>
            </w:r>
            <w:r>
              <w:t>a</w:t>
            </w:r>
            <w:r w:rsidRPr="00ED1145">
              <w:t>, Finanšu ministrij</w:t>
            </w:r>
            <w:r>
              <w:t>a</w:t>
            </w:r>
          </w:p>
        </w:tc>
      </w:tr>
      <w:tr w:rsidR="001F2D84" w:rsidRPr="001F2D84" w14:paraId="627B8EBB" w14:textId="77777777">
        <w:tc>
          <w:tcPr>
            <w:tcW w:w="6345" w:type="dxa"/>
          </w:tcPr>
          <w:p w14:paraId="74637113" w14:textId="77777777" w:rsidR="004D021B" w:rsidRPr="001F2D84" w:rsidRDefault="005233FC">
            <w:pPr>
              <w:pBdr>
                <w:top w:val="nil"/>
                <w:left w:val="nil"/>
                <w:bottom w:val="nil"/>
                <w:right w:val="nil"/>
                <w:between w:val="nil"/>
              </w:pBdr>
              <w:ind w:firstLine="720"/>
            </w:pPr>
            <w:r w:rsidRPr="001F2D84">
              <w:t>  </w:t>
            </w:r>
          </w:p>
        </w:tc>
        <w:tc>
          <w:tcPr>
            <w:tcW w:w="6379" w:type="dxa"/>
            <w:gridSpan w:val="3"/>
            <w:tcBorders>
              <w:top w:val="single" w:sz="6" w:space="0" w:color="000000"/>
              <w:bottom w:val="single" w:sz="6" w:space="0" w:color="000000"/>
            </w:tcBorders>
          </w:tcPr>
          <w:p w14:paraId="25F5D1BA" w14:textId="77777777" w:rsidR="004D021B" w:rsidRPr="001F2D84" w:rsidRDefault="004D021B">
            <w:pPr>
              <w:pBdr>
                <w:top w:val="nil"/>
                <w:left w:val="nil"/>
                <w:bottom w:val="nil"/>
                <w:right w:val="nil"/>
                <w:between w:val="nil"/>
              </w:pBdr>
              <w:rPr>
                <w:strike/>
              </w:rPr>
            </w:pPr>
          </w:p>
        </w:tc>
      </w:tr>
      <w:tr w:rsidR="001F2D84" w:rsidRPr="001F2D84" w14:paraId="5EF18393" w14:textId="77777777">
        <w:trPr>
          <w:gridAfter w:val="2"/>
          <w:wAfter w:w="6143" w:type="dxa"/>
          <w:trHeight w:val="280"/>
        </w:trPr>
        <w:tc>
          <w:tcPr>
            <w:tcW w:w="6345" w:type="dxa"/>
          </w:tcPr>
          <w:p w14:paraId="391F84AF" w14:textId="77777777" w:rsidR="004D021B" w:rsidRPr="001F2D84" w:rsidRDefault="004D021B">
            <w:pPr>
              <w:pBdr>
                <w:top w:val="nil"/>
                <w:left w:val="nil"/>
                <w:bottom w:val="nil"/>
                <w:right w:val="nil"/>
                <w:between w:val="nil"/>
              </w:pBdr>
            </w:pPr>
          </w:p>
        </w:tc>
        <w:tc>
          <w:tcPr>
            <w:tcW w:w="236" w:type="dxa"/>
          </w:tcPr>
          <w:p w14:paraId="093204DF" w14:textId="77777777" w:rsidR="004D021B" w:rsidRPr="001F2D84" w:rsidRDefault="004D021B">
            <w:pPr>
              <w:pBdr>
                <w:top w:val="nil"/>
                <w:left w:val="nil"/>
                <w:bottom w:val="nil"/>
                <w:right w:val="nil"/>
                <w:between w:val="nil"/>
              </w:pBdr>
              <w:ind w:firstLine="720"/>
              <w:rPr>
                <w:strike/>
              </w:rPr>
            </w:pPr>
          </w:p>
        </w:tc>
      </w:tr>
      <w:tr w:rsidR="001F2D84" w:rsidRPr="001F2D84" w14:paraId="749B870F" w14:textId="77777777">
        <w:trPr>
          <w:gridAfter w:val="1"/>
          <w:wAfter w:w="142" w:type="dxa"/>
          <w:trHeight w:val="280"/>
        </w:trPr>
        <w:tc>
          <w:tcPr>
            <w:tcW w:w="6345" w:type="dxa"/>
          </w:tcPr>
          <w:p w14:paraId="725190D1" w14:textId="77777777" w:rsidR="004D021B" w:rsidRPr="001F2D84" w:rsidRDefault="005233FC">
            <w:pPr>
              <w:pBdr>
                <w:top w:val="nil"/>
                <w:left w:val="nil"/>
                <w:bottom w:val="nil"/>
                <w:right w:val="nil"/>
                <w:between w:val="nil"/>
              </w:pBdr>
            </w:pPr>
            <w:r w:rsidRPr="001F2D84">
              <w:t>Saskaņošanas dalībnieki izskatīja šādu ministriju (citu institūciju) iebildumus</w:t>
            </w:r>
          </w:p>
        </w:tc>
        <w:tc>
          <w:tcPr>
            <w:tcW w:w="236" w:type="dxa"/>
          </w:tcPr>
          <w:p w14:paraId="3E2D89C7" w14:textId="77777777" w:rsidR="004D021B" w:rsidRPr="001F2D84" w:rsidRDefault="004D021B">
            <w:pPr>
              <w:pBdr>
                <w:top w:val="nil"/>
                <w:left w:val="nil"/>
                <w:bottom w:val="nil"/>
                <w:right w:val="nil"/>
                <w:between w:val="nil"/>
              </w:pBdr>
              <w:ind w:firstLine="720"/>
            </w:pPr>
          </w:p>
        </w:tc>
        <w:tc>
          <w:tcPr>
            <w:tcW w:w="6001" w:type="dxa"/>
          </w:tcPr>
          <w:p w14:paraId="740B67D7" w14:textId="51F71BFB" w:rsidR="004D021B" w:rsidRPr="001F2D84" w:rsidRDefault="00E92E5D" w:rsidP="00570BA0">
            <w:pPr>
              <w:pBdr>
                <w:top w:val="nil"/>
                <w:left w:val="nil"/>
                <w:bottom w:val="nil"/>
                <w:right w:val="nil"/>
                <w:between w:val="nil"/>
              </w:pBdr>
              <w:jc w:val="both"/>
            </w:pPr>
            <w:r w:rsidRPr="00ED1145">
              <w:t>Tieslietu ministrij</w:t>
            </w:r>
            <w:r>
              <w:t>as</w:t>
            </w:r>
          </w:p>
        </w:tc>
      </w:tr>
      <w:tr w:rsidR="001F2D84" w:rsidRPr="001F2D84" w14:paraId="0417BB5B" w14:textId="77777777">
        <w:trPr>
          <w:gridAfter w:val="1"/>
          <w:wAfter w:w="142" w:type="dxa"/>
          <w:trHeight w:val="460"/>
        </w:trPr>
        <w:tc>
          <w:tcPr>
            <w:tcW w:w="6345" w:type="dxa"/>
          </w:tcPr>
          <w:p w14:paraId="0D993048" w14:textId="77777777" w:rsidR="004D021B" w:rsidRPr="001F2D84" w:rsidRDefault="005233FC">
            <w:pPr>
              <w:pBdr>
                <w:top w:val="nil"/>
                <w:left w:val="nil"/>
                <w:bottom w:val="nil"/>
                <w:right w:val="nil"/>
                <w:between w:val="nil"/>
              </w:pBdr>
            </w:pPr>
            <w:r w:rsidRPr="001F2D84">
              <w:t>Ministrijas (citas institūcijas), kuras nav ieradušās uz sanāksmi vai kuras nav atbildējušas uz uzaicinājumu piedalīties elektroniskajā saskaņošanā </w:t>
            </w:r>
          </w:p>
        </w:tc>
        <w:tc>
          <w:tcPr>
            <w:tcW w:w="6237" w:type="dxa"/>
            <w:gridSpan w:val="2"/>
            <w:tcBorders>
              <w:top w:val="single" w:sz="6" w:space="0" w:color="000000"/>
              <w:bottom w:val="single" w:sz="6" w:space="0" w:color="000000"/>
            </w:tcBorders>
          </w:tcPr>
          <w:p w14:paraId="48DDE7F0" w14:textId="79658BF2" w:rsidR="004D021B" w:rsidRPr="001F2D84" w:rsidRDefault="004D021B" w:rsidP="00126388">
            <w:pPr>
              <w:pBdr>
                <w:top w:val="nil"/>
                <w:left w:val="nil"/>
                <w:bottom w:val="nil"/>
                <w:right w:val="nil"/>
                <w:between w:val="nil"/>
              </w:pBdr>
              <w:ind w:left="183"/>
              <w:jc w:val="both"/>
            </w:pPr>
          </w:p>
        </w:tc>
      </w:tr>
      <w:tr w:rsidR="001F2D84" w:rsidRPr="001F2D84" w14:paraId="259F8DEA" w14:textId="77777777">
        <w:trPr>
          <w:gridAfter w:val="1"/>
          <w:wAfter w:w="142" w:type="dxa"/>
        </w:trPr>
        <w:tc>
          <w:tcPr>
            <w:tcW w:w="6345" w:type="dxa"/>
          </w:tcPr>
          <w:p w14:paraId="1D7B4B62" w14:textId="77777777" w:rsidR="004D021B" w:rsidRPr="001F2D84" w:rsidRDefault="004D021B">
            <w:pPr>
              <w:pBdr>
                <w:top w:val="nil"/>
                <w:left w:val="nil"/>
                <w:bottom w:val="nil"/>
                <w:right w:val="nil"/>
                <w:between w:val="nil"/>
              </w:pBdr>
            </w:pPr>
          </w:p>
        </w:tc>
        <w:tc>
          <w:tcPr>
            <w:tcW w:w="6237" w:type="dxa"/>
            <w:gridSpan w:val="2"/>
          </w:tcPr>
          <w:p w14:paraId="1E07A05B" w14:textId="77777777" w:rsidR="004D021B" w:rsidRPr="001F2D84" w:rsidRDefault="004D021B">
            <w:pPr>
              <w:pBdr>
                <w:top w:val="nil"/>
                <w:left w:val="nil"/>
                <w:bottom w:val="nil"/>
                <w:right w:val="nil"/>
                <w:between w:val="nil"/>
              </w:pBdr>
            </w:pPr>
          </w:p>
        </w:tc>
      </w:tr>
    </w:tbl>
    <w:p w14:paraId="75140F17" w14:textId="77777777" w:rsidR="004D021B" w:rsidRPr="001F2D84" w:rsidRDefault="005233FC">
      <w:pPr>
        <w:pBdr>
          <w:top w:val="nil"/>
          <w:left w:val="nil"/>
          <w:bottom w:val="nil"/>
          <w:right w:val="nil"/>
          <w:between w:val="nil"/>
        </w:pBdr>
        <w:jc w:val="center"/>
        <w:rPr>
          <w:b/>
        </w:rPr>
      </w:pPr>
      <w:r w:rsidRPr="001F2D84">
        <w:rPr>
          <w:b/>
        </w:rPr>
        <w:lastRenderedPageBreak/>
        <w:t>II. Jautājumi, par kuriem saskaņošanā vienošanās ir panākta</w:t>
      </w:r>
    </w:p>
    <w:p w14:paraId="1D93D154" w14:textId="77777777" w:rsidR="004D021B" w:rsidRPr="001F2D84" w:rsidRDefault="004D021B">
      <w:pPr>
        <w:pBdr>
          <w:top w:val="nil"/>
          <w:left w:val="nil"/>
          <w:bottom w:val="nil"/>
          <w:right w:val="nil"/>
          <w:between w:val="nil"/>
        </w:pBdr>
        <w:ind w:firstLine="720"/>
        <w:jc w:val="both"/>
      </w:pPr>
    </w:p>
    <w:tbl>
      <w:tblPr>
        <w:tblStyle w:val="a2"/>
        <w:tblW w:w="15026" w:type="dxa"/>
        <w:tblInd w:w="-60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3209"/>
        <w:gridCol w:w="4106"/>
        <w:gridCol w:w="2971"/>
        <w:gridCol w:w="4173"/>
      </w:tblGrid>
      <w:tr w:rsidR="001F2D84" w:rsidRPr="001F2D84" w14:paraId="6D09B4B5" w14:textId="77777777" w:rsidTr="00C860FE">
        <w:tc>
          <w:tcPr>
            <w:tcW w:w="567" w:type="dxa"/>
            <w:tcBorders>
              <w:top w:val="single" w:sz="6" w:space="0" w:color="000000"/>
              <w:left w:val="single" w:sz="6" w:space="0" w:color="000000"/>
              <w:bottom w:val="single" w:sz="6" w:space="0" w:color="000000"/>
              <w:right w:val="single" w:sz="6" w:space="0" w:color="000000"/>
            </w:tcBorders>
            <w:vAlign w:val="center"/>
          </w:tcPr>
          <w:p w14:paraId="4AD2539D" w14:textId="77777777" w:rsidR="004D021B" w:rsidRPr="000E6AD3" w:rsidRDefault="005233FC" w:rsidP="000E6AD3">
            <w:pPr>
              <w:pBdr>
                <w:top w:val="nil"/>
                <w:left w:val="nil"/>
                <w:bottom w:val="nil"/>
                <w:right w:val="nil"/>
                <w:between w:val="nil"/>
              </w:pBdr>
              <w:jc w:val="both"/>
            </w:pPr>
            <w:r w:rsidRPr="000E6AD3">
              <w:t>Nr. p.k</w:t>
            </w:r>
          </w:p>
        </w:tc>
        <w:tc>
          <w:tcPr>
            <w:tcW w:w="3209" w:type="dxa"/>
            <w:tcBorders>
              <w:top w:val="single" w:sz="6" w:space="0" w:color="000000"/>
              <w:left w:val="single" w:sz="6" w:space="0" w:color="000000"/>
              <w:bottom w:val="single" w:sz="6" w:space="0" w:color="000000"/>
              <w:right w:val="single" w:sz="6" w:space="0" w:color="000000"/>
            </w:tcBorders>
            <w:vAlign w:val="center"/>
          </w:tcPr>
          <w:p w14:paraId="01DE8E8C" w14:textId="77777777" w:rsidR="004D021B" w:rsidRPr="000E6AD3" w:rsidRDefault="005233FC" w:rsidP="000E6AD3">
            <w:pPr>
              <w:pBdr>
                <w:top w:val="nil"/>
                <w:left w:val="nil"/>
                <w:bottom w:val="nil"/>
                <w:right w:val="nil"/>
                <w:between w:val="nil"/>
              </w:pBdr>
              <w:ind w:firstLine="12"/>
              <w:jc w:val="both"/>
            </w:pPr>
            <w:r w:rsidRPr="000E6AD3">
              <w:t>Saskaņošanai nosūtītā projekta redakcija (konkrēta punkta (panta) redakcija)</w:t>
            </w:r>
          </w:p>
        </w:tc>
        <w:tc>
          <w:tcPr>
            <w:tcW w:w="4106" w:type="dxa"/>
            <w:tcBorders>
              <w:top w:val="single" w:sz="6" w:space="0" w:color="000000"/>
              <w:left w:val="single" w:sz="6" w:space="0" w:color="000000"/>
              <w:bottom w:val="single" w:sz="6" w:space="0" w:color="000000"/>
              <w:right w:val="single" w:sz="6" w:space="0" w:color="000000"/>
            </w:tcBorders>
            <w:vAlign w:val="center"/>
          </w:tcPr>
          <w:p w14:paraId="520F4289" w14:textId="77777777" w:rsidR="004D021B" w:rsidRPr="000E6AD3" w:rsidRDefault="005233FC" w:rsidP="000E6AD3">
            <w:pPr>
              <w:pBdr>
                <w:top w:val="nil"/>
                <w:left w:val="nil"/>
                <w:bottom w:val="nil"/>
                <w:right w:val="nil"/>
                <w:between w:val="nil"/>
              </w:pBdr>
              <w:ind w:right="3"/>
              <w:jc w:val="both"/>
            </w:pPr>
            <w:r w:rsidRPr="000E6AD3">
              <w:t>Atzinumā norādītais ministrijas (citas institūcijas) iebildums, kā arī saskaņošanā papildus izteiktais iebildums par projekta konkrēto punktu (pantu)</w:t>
            </w:r>
          </w:p>
        </w:tc>
        <w:tc>
          <w:tcPr>
            <w:tcW w:w="2971" w:type="dxa"/>
            <w:tcBorders>
              <w:top w:val="single" w:sz="6" w:space="0" w:color="000000"/>
              <w:left w:val="single" w:sz="6" w:space="0" w:color="000000"/>
              <w:bottom w:val="single" w:sz="6" w:space="0" w:color="000000"/>
              <w:right w:val="single" w:sz="6" w:space="0" w:color="000000"/>
            </w:tcBorders>
            <w:vAlign w:val="center"/>
          </w:tcPr>
          <w:p w14:paraId="2E786C06" w14:textId="77777777" w:rsidR="004D021B" w:rsidRPr="000E6AD3" w:rsidRDefault="005233FC" w:rsidP="000E6AD3">
            <w:pPr>
              <w:pBdr>
                <w:top w:val="nil"/>
                <w:left w:val="nil"/>
                <w:bottom w:val="nil"/>
                <w:right w:val="nil"/>
                <w:between w:val="nil"/>
              </w:pBdr>
              <w:ind w:firstLine="21"/>
              <w:jc w:val="both"/>
            </w:pPr>
            <w:r w:rsidRPr="000E6AD3">
              <w:t>Atbildīgās ministrijas norāde par to, ka iebildums ir ņemts vērā, vai informācija par saskaņošanā panākto alternatīvo risinājumu</w:t>
            </w:r>
          </w:p>
        </w:tc>
        <w:tc>
          <w:tcPr>
            <w:tcW w:w="4173" w:type="dxa"/>
            <w:tcBorders>
              <w:top w:val="single" w:sz="4" w:space="0" w:color="000000"/>
              <w:left w:val="single" w:sz="4" w:space="0" w:color="000000"/>
              <w:bottom w:val="single" w:sz="4" w:space="0" w:color="000000"/>
            </w:tcBorders>
            <w:vAlign w:val="center"/>
          </w:tcPr>
          <w:p w14:paraId="5CD4DC06" w14:textId="77777777" w:rsidR="004D021B" w:rsidRPr="000E6AD3" w:rsidRDefault="005233FC" w:rsidP="000E6AD3">
            <w:pPr>
              <w:jc w:val="both"/>
            </w:pPr>
            <w:r w:rsidRPr="000E6AD3">
              <w:t>Projekta attiecīgā punkta (panta) galīgā redakcija</w:t>
            </w:r>
          </w:p>
        </w:tc>
      </w:tr>
      <w:tr w:rsidR="001F2D84" w:rsidRPr="001F2D84" w14:paraId="3757792C"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28667E7D" w14:textId="77777777" w:rsidR="004D021B" w:rsidRPr="000E6AD3" w:rsidRDefault="005233FC" w:rsidP="000E6AD3">
            <w:pPr>
              <w:pBdr>
                <w:top w:val="nil"/>
                <w:left w:val="nil"/>
                <w:bottom w:val="nil"/>
                <w:right w:val="nil"/>
                <w:between w:val="nil"/>
              </w:pBdr>
              <w:jc w:val="both"/>
            </w:pPr>
            <w:r w:rsidRPr="000E6AD3">
              <w:t>1</w:t>
            </w:r>
          </w:p>
        </w:tc>
        <w:tc>
          <w:tcPr>
            <w:tcW w:w="3209" w:type="dxa"/>
            <w:tcBorders>
              <w:top w:val="single" w:sz="6" w:space="0" w:color="000000"/>
              <w:left w:val="single" w:sz="6" w:space="0" w:color="000000"/>
              <w:bottom w:val="single" w:sz="6" w:space="0" w:color="000000"/>
              <w:right w:val="single" w:sz="6" w:space="0" w:color="000000"/>
            </w:tcBorders>
          </w:tcPr>
          <w:p w14:paraId="7F0F4943" w14:textId="77777777" w:rsidR="004D021B" w:rsidRPr="000E6AD3" w:rsidRDefault="005233FC" w:rsidP="000E6AD3">
            <w:pPr>
              <w:pBdr>
                <w:top w:val="nil"/>
                <w:left w:val="nil"/>
                <w:bottom w:val="nil"/>
                <w:right w:val="nil"/>
                <w:between w:val="nil"/>
              </w:pBdr>
              <w:ind w:firstLine="720"/>
              <w:jc w:val="both"/>
            </w:pPr>
            <w:r w:rsidRPr="000E6AD3">
              <w:t>2</w:t>
            </w:r>
          </w:p>
        </w:tc>
        <w:tc>
          <w:tcPr>
            <w:tcW w:w="4106" w:type="dxa"/>
            <w:tcBorders>
              <w:top w:val="single" w:sz="6" w:space="0" w:color="000000"/>
              <w:left w:val="single" w:sz="6" w:space="0" w:color="000000"/>
              <w:bottom w:val="single" w:sz="6" w:space="0" w:color="000000"/>
              <w:right w:val="single" w:sz="6" w:space="0" w:color="000000"/>
            </w:tcBorders>
          </w:tcPr>
          <w:p w14:paraId="087A96F7" w14:textId="77777777" w:rsidR="004D021B" w:rsidRPr="000E6AD3" w:rsidRDefault="005233FC" w:rsidP="000E6AD3">
            <w:pPr>
              <w:pBdr>
                <w:top w:val="nil"/>
                <w:left w:val="nil"/>
                <w:bottom w:val="nil"/>
                <w:right w:val="nil"/>
                <w:between w:val="nil"/>
              </w:pBdr>
              <w:ind w:firstLine="720"/>
              <w:jc w:val="both"/>
            </w:pPr>
            <w:r w:rsidRPr="000E6AD3">
              <w:t>3</w:t>
            </w:r>
          </w:p>
        </w:tc>
        <w:tc>
          <w:tcPr>
            <w:tcW w:w="2971" w:type="dxa"/>
            <w:tcBorders>
              <w:top w:val="single" w:sz="6" w:space="0" w:color="000000"/>
              <w:left w:val="single" w:sz="6" w:space="0" w:color="000000"/>
              <w:bottom w:val="single" w:sz="6" w:space="0" w:color="000000"/>
              <w:right w:val="single" w:sz="6" w:space="0" w:color="000000"/>
            </w:tcBorders>
          </w:tcPr>
          <w:p w14:paraId="61FE2C83" w14:textId="77777777" w:rsidR="004D021B" w:rsidRPr="000E6AD3" w:rsidRDefault="005233FC" w:rsidP="000E6AD3">
            <w:pPr>
              <w:pBdr>
                <w:top w:val="nil"/>
                <w:left w:val="nil"/>
                <w:bottom w:val="nil"/>
                <w:right w:val="nil"/>
                <w:between w:val="nil"/>
              </w:pBdr>
              <w:ind w:firstLine="720"/>
              <w:jc w:val="both"/>
            </w:pPr>
            <w:r w:rsidRPr="000E6AD3">
              <w:t>4</w:t>
            </w:r>
          </w:p>
        </w:tc>
        <w:tc>
          <w:tcPr>
            <w:tcW w:w="4173" w:type="dxa"/>
            <w:tcBorders>
              <w:top w:val="single" w:sz="4" w:space="0" w:color="000000"/>
              <w:left w:val="single" w:sz="4" w:space="0" w:color="000000"/>
              <w:bottom w:val="single" w:sz="4" w:space="0" w:color="000000"/>
            </w:tcBorders>
          </w:tcPr>
          <w:p w14:paraId="6EFE92ED" w14:textId="77777777" w:rsidR="004D021B" w:rsidRPr="000E6AD3" w:rsidRDefault="005233FC" w:rsidP="000E6AD3">
            <w:pPr>
              <w:jc w:val="both"/>
            </w:pPr>
            <w:r w:rsidRPr="000E6AD3">
              <w:t>5</w:t>
            </w:r>
          </w:p>
        </w:tc>
      </w:tr>
      <w:tr w:rsidR="00ED1145" w:rsidRPr="000F409E" w14:paraId="13470A5D"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72A53F0B" w14:textId="77777777" w:rsidR="00ED1145" w:rsidRPr="000E6AD3" w:rsidRDefault="00E92E5D" w:rsidP="000E6AD3">
            <w:pPr>
              <w:pBdr>
                <w:top w:val="nil"/>
                <w:left w:val="nil"/>
                <w:bottom w:val="nil"/>
                <w:right w:val="nil"/>
                <w:between w:val="nil"/>
              </w:pBdr>
              <w:jc w:val="both"/>
            </w:pPr>
            <w:r w:rsidRPr="000E6AD3">
              <w:t>1.</w:t>
            </w:r>
          </w:p>
        </w:tc>
        <w:tc>
          <w:tcPr>
            <w:tcW w:w="3209" w:type="dxa"/>
            <w:tcBorders>
              <w:top w:val="single" w:sz="6" w:space="0" w:color="000000"/>
              <w:left w:val="single" w:sz="6" w:space="0" w:color="000000"/>
              <w:bottom w:val="single" w:sz="6" w:space="0" w:color="000000"/>
              <w:right w:val="single" w:sz="6" w:space="0" w:color="000000"/>
            </w:tcBorders>
          </w:tcPr>
          <w:p w14:paraId="487081A1" w14:textId="3CCA69C4" w:rsidR="00ED1145" w:rsidRPr="000E6AD3" w:rsidRDefault="00E92E5D" w:rsidP="000E6AD3">
            <w:pPr>
              <w:pBdr>
                <w:top w:val="nil"/>
                <w:left w:val="nil"/>
                <w:bottom w:val="nil"/>
                <w:right w:val="nil"/>
                <w:between w:val="nil"/>
              </w:pBdr>
              <w:jc w:val="both"/>
            </w:pPr>
            <w:r w:rsidRPr="000E6AD3">
              <w:rPr>
                <w:iCs/>
              </w:rPr>
              <w:t xml:space="preserve">Projekta anotācijas I sadaļas </w:t>
            </w:r>
            <w:r w:rsidR="007E3924" w:rsidRPr="000E6AD3">
              <w:rPr>
                <w:iCs/>
              </w:rPr>
              <w:t>2.</w:t>
            </w:r>
            <w:r w:rsidRPr="000E6AD3">
              <w:rPr>
                <w:iCs/>
              </w:rPr>
              <w:t> punkt</w:t>
            </w:r>
            <w:r w:rsidR="007E3924" w:rsidRPr="000E6AD3">
              <w:rPr>
                <w:iCs/>
              </w:rPr>
              <w:t>s</w:t>
            </w:r>
          </w:p>
        </w:tc>
        <w:tc>
          <w:tcPr>
            <w:tcW w:w="4106" w:type="dxa"/>
            <w:tcBorders>
              <w:top w:val="single" w:sz="6" w:space="0" w:color="000000"/>
              <w:left w:val="single" w:sz="6" w:space="0" w:color="000000"/>
              <w:bottom w:val="single" w:sz="6" w:space="0" w:color="000000"/>
              <w:right w:val="single" w:sz="6" w:space="0" w:color="000000"/>
            </w:tcBorders>
          </w:tcPr>
          <w:p w14:paraId="1F29E86A" w14:textId="77777777" w:rsidR="00E92E5D" w:rsidRPr="000E6AD3" w:rsidRDefault="00E92E5D" w:rsidP="000E6AD3">
            <w:pPr>
              <w:suppressAutoHyphens/>
              <w:ind w:firstLine="720"/>
              <w:contextualSpacing/>
              <w:jc w:val="both"/>
              <w:outlineLvl w:val="0"/>
              <w:rPr>
                <w:iCs/>
              </w:rPr>
            </w:pPr>
            <w:r w:rsidRPr="000E6AD3">
              <w:rPr>
                <w:b/>
                <w:bCs/>
                <w:lang w:eastAsia="zh-CN"/>
              </w:rPr>
              <w:t>Tieslietu ministrija</w:t>
            </w:r>
            <w:r w:rsidRPr="000E6AD3">
              <w:rPr>
                <w:lang w:eastAsia="zh-CN"/>
              </w:rPr>
              <w:t xml:space="preserve"> </w:t>
            </w:r>
          </w:p>
          <w:p w14:paraId="304B411A" w14:textId="489A3368" w:rsidR="001972E1" w:rsidRPr="000E6AD3" w:rsidRDefault="001972E1" w:rsidP="000E6AD3">
            <w:pPr>
              <w:tabs>
                <w:tab w:val="left" w:pos="1276"/>
              </w:tabs>
              <w:jc w:val="both"/>
              <w:outlineLvl w:val="0"/>
              <w:rPr>
                <w:iCs/>
              </w:rPr>
            </w:pPr>
            <w:r w:rsidRPr="000E6AD3">
              <w:t xml:space="preserve">1.Noteikumu projekts paredz grozīt Ministru kabineta 2018. gada 27. novembra noteikumu Nr. 747 </w:t>
            </w:r>
            <w:r w:rsidRPr="000E6AD3">
              <w:rPr>
                <w:iCs/>
              </w:rPr>
              <w:t>"</w:t>
            </w:r>
            <w:r w:rsidRPr="000E6AD3">
              <w:t>Noteikumi par valsts pamatizglītības standartu un pamatizglītības programmu paraugiem</w:t>
            </w:r>
            <w:r w:rsidRPr="000E6AD3">
              <w:rPr>
                <w:iCs/>
              </w:rPr>
              <w:t xml:space="preserve">" (turpmāk – MK noteikumi Nr. 747) </w:t>
            </w:r>
            <w:r w:rsidRPr="000E6AD3">
              <w:t xml:space="preserve">15. pielikuma 35. punktu un 16. pielikuma 32. punktu. </w:t>
            </w:r>
            <w:r w:rsidRPr="000E6AD3">
              <w:rPr>
                <w:iCs/>
              </w:rPr>
              <w:t xml:space="preserve">Vēršam uzmanību, ka līdzīgs regulējums ir paredzēts arī MK noteikumu Nr. 747 11., 12. un 14. pielikumā. </w:t>
            </w:r>
          </w:p>
          <w:p w14:paraId="520D4308" w14:textId="77777777" w:rsidR="001972E1" w:rsidRPr="000E6AD3" w:rsidRDefault="001972E1" w:rsidP="000E6AD3">
            <w:pPr>
              <w:ind w:firstLine="851"/>
              <w:jc w:val="both"/>
              <w:outlineLvl w:val="0"/>
              <w:rPr>
                <w:iCs/>
              </w:rPr>
            </w:pPr>
            <w:r w:rsidRPr="000E6AD3">
              <w:rPr>
                <w:iCs/>
              </w:rPr>
              <w:t xml:space="preserve">Lūdzam izvērtēt attiecīgu grozījumu nepieciešamību arī minētajos pielikumos vai sniegt skaidrojumu anotācijā atbilstoši </w:t>
            </w:r>
            <w:r w:rsidRPr="000E6AD3">
              <w:t xml:space="preserve">Ministru kabineta 2009. gada 15. decembra instrukcijas Nr. 19 </w:t>
            </w:r>
            <w:r w:rsidRPr="000E6AD3">
              <w:rPr>
                <w:iCs/>
              </w:rPr>
              <w:t>"</w:t>
            </w:r>
            <w:r w:rsidRPr="000E6AD3">
              <w:t>Tiesību akta projekta sākotnējās ietekmes izvērtēšanas kārtība</w:t>
            </w:r>
            <w:r w:rsidRPr="000E6AD3">
              <w:rPr>
                <w:iCs/>
              </w:rPr>
              <w:t xml:space="preserve">" (turpmāk – Instrukcija Nr. 19) 14. punktam, atspoguļojot informāciju, kāpēc citi programmu paraugi netiek grozīti, jo tie šobrīd paredz līdzīgu regulējumu, kas faktiski ierobežo izglītības iestāžu </w:t>
            </w:r>
            <w:r w:rsidRPr="000E6AD3">
              <w:rPr>
                <w:iCs/>
              </w:rPr>
              <w:lastRenderedPageBreak/>
              <w:t>iespējas nodrošināt skolēniem pamatizglītības ieguvi atbilstoši viņu spējām.</w:t>
            </w:r>
          </w:p>
          <w:p w14:paraId="61D179C6" w14:textId="77777777" w:rsidR="001972E1" w:rsidRPr="000E6AD3" w:rsidRDefault="001972E1" w:rsidP="000E6AD3">
            <w:pPr>
              <w:ind w:firstLine="851"/>
              <w:jc w:val="both"/>
              <w:outlineLvl w:val="0"/>
              <w:rPr>
                <w:iCs/>
              </w:rPr>
            </w:pPr>
            <w:r w:rsidRPr="000E6AD3">
              <w:rPr>
                <w:iCs/>
              </w:rPr>
              <w:t>Vienlaikus lūdzam anotācijā atspoguļot informāciju, kā minētie grozījumi ietekmēs esošās izglītības programmas, kā arī pašas izglītības iestādes, ņemot vērā, ka atbilstoši Izglītības likuma 33. panta otrajai daļai i</w:t>
            </w:r>
            <w:r w:rsidRPr="000E6AD3">
              <w:rPr>
                <w:shd w:val="clear" w:color="auto" w:fill="FFFFFF"/>
              </w:rPr>
              <w:t xml:space="preserve">zglītības programmas atbilstoši valsts pirmsskolas izglītības vadlīnijām vai valsts izglītības standartiem un normatīviem izstrādā izglītības iestāde, </w:t>
            </w:r>
            <w:r w:rsidRPr="000E6AD3">
              <w:rPr>
                <w:u w:val="single"/>
                <w:shd w:val="clear" w:color="auto" w:fill="FFFFFF"/>
              </w:rPr>
              <w:t>saskaņojot ar tās dibinātāju</w:t>
            </w:r>
            <w:r w:rsidRPr="000E6AD3">
              <w:rPr>
                <w:shd w:val="clear" w:color="auto" w:fill="FFFFFF"/>
              </w:rPr>
              <w:t>.</w:t>
            </w:r>
          </w:p>
          <w:p w14:paraId="42DFB668" w14:textId="77777777" w:rsidR="00ED1145" w:rsidRPr="000E6AD3" w:rsidRDefault="00ED1145" w:rsidP="000E6AD3">
            <w:pPr>
              <w:tabs>
                <w:tab w:val="left" w:pos="1134"/>
              </w:tabs>
              <w:jc w:val="both"/>
            </w:pPr>
          </w:p>
        </w:tc>
        <w:tc>
          <w:tcPr>
            <w:tcW w:w="2971" w:type="dxa"/>
            <w:tcBorders>
              <w:top w:val="single" w:sz="6" w:space="0" w:color="000000"/>
              <w:left w:val="single" w:sz="6" w:space="0" w:color="000000"/>
              <w:bottom w:val="single" w:sz="6" w:space="0" w:color="000000"/>
              <w:right w:val="single" w:sz="6" w:space="0" w:color="000000"/>
            </w:tcBorders>
          </w:tcPr>
          <w:p w14:paraId="22FF528A" w14:textId="4D416658" w:rsidR="007E3924" w:rsidRPr="000E6AD3" w:rsidRDefault="008C5CE5" w:rsidP="000E6AD3">
            <w:pPr>
              <w:pBdr>
                <w:top w:val="nil"/>
                <w:left w:val="nil"/>
                <w:bottom w:val="nil"/>
                <w:right w:val="nil"/>
                <w:between w:val="nil"/>
              </w:pBdr>
              <w:ind w:firstLine="720"/>
              <w:jc w:val="both"/>
              <w:rPr>
                <w:b/>
                <w:bCs/>
              </w:rPr>
            </w:pPr>
            <w:r w:rsidRPr="000E6AD3">
              <w:rPr>
                <w:b/>
                <w:bCs/>
              </w:rPr>
              <w:lastRenderedPageBreak/>
              <w:t>Ņemts vērā</w:t>
            </w:r>
          </w:p>
        </w:tc>
        <w:tc>
          <w:tcPr>
            <w:tcW w:w="4173" w:type="dxa"/>
            <w:tcBorders>
              <w:top w:val="single" w:sz="4" w:space="0" w:color="000000"/>
              <w:left w:val="single" w:sz="4" w:space="0" w:color="000000"/>
              <w:bottom w:val="single" w:sz="4" w:space="0" w:color="000000"/>
            </w:tcBorders>
          </w:tcPr>
          <w:p w14:paraId="35FC728F" w14:textId="77777777" w:rsidR="00ED1145" w:rsidRDefault="004522C1" w:rsidP="000E6AD3">
            <w:pPr>
              <w:jc w:val="both"/>
              <w:rPr>
                <w:iCs/>
              </w:rPr>
            </w:pPr>
            <w:r w:rsidRPr="000E6AD3">
              <w:rPr>
                <w:iCs/>
              </w:rPr>
              <w:t xml:space="preserve">Precizēts projekta anotācijas I sadaļas </w:t>
            </w:r>
            <w:r w:rsidR="007E3924" w:rsidRPr="000E6AD3">
              <w:rPr>
                <w:iCs/>
              </w:rPr>
              <w:t>2.</w:t>
            </w:r>
            <w:r w:rsidRPr="000E6AD3">
              <w:rPr>
                <w:iCs/>
              </w:rPr>
              <w:t> punkt</w:t>
            </w:r>
            <w:r w:rsidR="007E3924" w:rsidRPr="000E6AD3">
              <w:rPr>
                <w:iCs/>
              </w:rPr>
              <w:t>s</w:t>
            </w:r>
            <w:r w:rsidR="007D1B5F">
              <w:rPr>
                <w:iCs/>
              </w:rPr>
              <w:t>:</w:t>
            </w:r>
          </w:p>
          <w:p w14:paraId="2014F0D2" w14:textId="77777777" w:rsidR="00D93F8D" w:rsidRPr="00D93F8D" w:rsidRDefault="00D93F8D" w:rsidP="00D93F8D">
            <w:pPr>
              <w:jc w:val="both"/>
              <w:rPr>
                <w:iCs/>
              </w:rPr>
            </w:pPr>
            <w:r w:rsidRPr="00D93F8D">
              <w:rPr>
                <w:iCs/>
              </w:rPr>
              <w:t xml:space="preserve">Minētie grozījumi ir nepieciešami tikai Noteikumu 15. un 16. pielikumā, jo šīs izglītības programmas paredz individualizētu mācību saturu un atbalstu atbilstoši skolēnu spējām, attīstības līmenim un veselības stāvoklim, un apgūstamais mācību saturs, prasmes un mācīšanās dinamika nav tik atšķirīga dažādās skolēnu grupās un vecumposmos. Piemēram, speciālās pamatizglītības programmas skolēniem ar garīgās attīstības traucējumiem paraugs (Noteikumu 15.pielikums) paredz atsevišķu tematu atvieglotu saturu un tā integrēšanu citos mācību priekšmetos Dabaszinātņu un Tehnoloģiju mācību jomās, savukārt speciālās pamatizglītības programmas skolēniem ar smagiem garīgās attīstības traucējumiem vai vairākiem smagiem attīstības traucējumiem paraugs (Noteikumu 16.pielikums) paredz katram </w:t>
            </w:r>
            <w:r w:rsidRPr="00D93F8D">
              <w:rPr>
                <w:iCs/>
              </w:rPr>
              <w:lastRenderedPageBreak/>
              <w:t>skolēnam individuālā izglītības programmas apguves plāna izstrādi un īstenošanu. Individuālo izglītības programmas apguves plānu izstrādes nepieciešamību šiem skolēniem paredz arī Vispārējās izglītības likuma 50. panta otrā daļa. Papildus norādāms, ka arī šādā gadījumā izglītības iestādēm būs saistošs normatīvajos aktos par kārtību, kādā izglītojamie tiek uzņemti vispārējās izglītības programmās, speciālajās izglītības iestādēs un speciālajās pirmsskolas izglītības grupās un atskaitīti no tām, kā arī pārcelti uz nākamo klasi noteiktais maksimāli vienā klasē pieļaujamais izglītojamo skaits.</w:t>
            </w:r>
          </w:p>
          <w:p w14:paraId="380E2FA8" w14:textId="5E6765A7" w:rsidR="007D1B5F" w:rsidRPr="000E6AD3" w:rsidRDefault="00D93F8D" w:rsidP="00D93F8D">
            <w:pPr>
              <w:jc w:val="both"/>
            </w:pPr>
            <w:r w:rsidRPr="00D93F8D">
              <w:rPr>
                <w:iCs/>
              </w:rPr>
              <w:t>Vienlaikus citās pamatizglītības programmās izglītības kvalitātes nodrošināšanai, skolēnu un pedagogu interešu ievērošanai būtu saglabājams Noteikumos noteiktais ierobežojums apvienot  ne vairāk kā divu viena izglītības posma klašu skolēnus. Minētais ierobežojums ir nepieciešams, lai nepieļautu līdz šim praksē konstatētās situācijas, kad izglītības iestādes nepamatoti, tostarp finanšu resursu ekonomikas nolūkā, nenodrošinot izglītojamo intereses, ir apvienojušas vairāku klašu izglītojamos dažādos izglītības posmos, kas kopumā apgrūtinājis gan izglītības satura īstenošanu, gan tā apguvi.</w:t>
            </w:r>
          </w:p>
        </w:tc>
      </w:tr>
      <w:tr w:rsidR="00E92E5D" w:rsidRPr="000F409E" w14:paraId="1F1F0F79"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27654C75" w14:textId="0F13A8E7" w:rsidR="00E92E5D" w:rsidRPr="000E6AD3" w:rsidRDefault="001972E1" w:rsidP="000E6AD3">
            <w:pPr>
              <w:pBdr>
                <w:top w:val="nil"/>
                <w:left w:val="nil"/>
                <w:bottom w:val="nil"/>
                <w:right w:val="nil"/>
                <w:between w:val="nil"/>
              </w:pBdr>
              <w:jc w:val="both"/>
            </w:pPr>
            <w:r w:rsidRPr="000E6AD3">
              <w:lastRenderedPageBreak/>
              <w:t>2.</w:t>
            </w:r>
          </w:p>
        </w:tc>
        <w:tc>
          <w:tcPr>
            <w:tcW w:w="3209" w:type="dxa"/>
            <w:tcBorders>
              <w:top w:val="single" w:sz="6" w:space="0" w:color="000000"/>
              <w:left w:val="single" w:sz="6" w:space="0" w:color="000000"/>
              <w:bottom w:val="single" w:sz="6" w:space="0" w:color="000000"/>
              <w:right w:val="single" w:sz="6" w:space="0" w:color="000000"/>
            </w:tcBorders>
          </w:tcPr>
          <w:p w14:paraId="7432E098" w14:textId="42F51E23" w:rsidR="00E92E5D" w:rsidRPr="000E6AD3" w:rsidRDefault="00E92E5D" w:rsidP="000E6AD3">
            <w:pPr>
              <w:pBdr>
                <w:top w:val="nil"/>
                <w:left w:val="nil"/>
                <w:bottom w:val="nil"/>
                <w:right w:val="nil"/>
                <w:between w:val="nil"/>
              </w:pBdr>
              <w:jc w:val="both"/>
              <w:rPr>
                <w:iCs/>
              </w:rPr>
            </w:pPr>
            <w:r w:rsidRPr="000E6AD3">
              <w:rPr>
                <w:iCs/>
              </w:rPr>
              <w:t xml:space="preserve">Projekta anotācijas </w:t>
            </w:r>
            <w:r w:rsidR="001972E1" w:rsidRPr="000E6AD3">
              <w:rPr>
                <w:iCs/>
              </w:rPr>
              <w:t>I</w:t>
            </w:r>
            <w:r w:rsidRPr="000E6AD3">
              <w:rPr>
                <w:iCs/>
              </w:rPr>
              <w:t>I sadaļa</w:t>
            </w:r>
            <w:r w:rsidR="008E57AD" w:rsidRPr="000E6AD3">
              <w:rPr>
                <w:iCs/>
              </w:rPr>
              <w:t>s 2.punkts</w:t>
            </w:r>
          </w:p>
        </w:tc>
        <w:tc>
          <w:tcPr>
            <w:tcW w:w="4106" w:type="dxa"/>
            <w:tcBorders>
              <w:top w:val="single" w:sz="6" w:space="0" w:color="000000"/>
              <w:left w:val="single" w:sz="6" w:space="0" w:color="000000"/>
              <w:bottom w:val="single" w:sz="6" w:space="0" w:color="000000"/>
              <w:right w:val="single" w:sz="6" w:space="0" w:color="000000"/>
            </w:tcBorders>
          </w:tcPr>
          <w:p w14:paraId="5EDF1AFB" w14:textId="77777777" w:rsidR="00E92E5D" w:rsidRPr="000E6AD3" w:rsidRDefault="00E92E5D" w:rsidP="000E6AD3">
            <w:pPr>
              <w:suppressAutoHyphens/>
              <w:ind w:firstLine="720"/>
              <w:contextualSpacing/>
              <w:jc w:val="both"/>
              <w:outlineLvl w:val="0"/>
              <w:rPr>
                <w:iCs/>
              </w:rPr>
            </w:pPr>
            <w:r w:rsidRPr="000E6AD3">
              <w:rPr>
                <w:b/>
                <w:bCs/>
                <w:lang w:eastAsia="zh-CN"/>
              </w:rPr>
              <w:t>Tieslietu ministrija</w:t>
            </w:r>
          </w:p>
          <w:p w14:paraId="62DE7865" w14:textId="0AC59B7D" w:rsidR="00E92E5D" w:rsidRPr="000E6AD3" w:rsidRDefault="001972E1" w:rsidP="000E6AD3">
            <w:pPr>
              <w:tabs>
                <w:tab w:val="left" w:pos="851"/>
                <w:tab w:val="center" w:pos="1276"/>
              </w:tabs>
              <w:suppressAutoHyphens/>
              <w:jc w:val="both"/>
              <w:rPr>
                <w:lang w:eastAsia="zh-CN"/>
              </w:rPr>
            </w:pPr>
            <w:r w:rsidRPr="000E6AD3">
              <w:rPr>
                <w:lang w:eastAsia="zh-CN"/>
              </w:rPr>
              <w:t xml:space="preserve">2.Lūdzam precizēt anotācijas II sadaļas 2. punktu, jo </w:t>
            </w:r>
            <w:r w:rsidRPr="000E6AD3">
              <w:t>noteikumu projekts paredz izmaiņas veicamajās darbībās, kas attiecas uz klašu apvienošanu.</w:t>
            </w:r>
          </w:p>
        </w:tc>
        <w:tc>
          <w:tcPr>
            <w:tcW w:w="2971" w:type="dxa"/>
            <w:tcBorders>
              <w:top w:val="single" w:sz="6" w:space="0" w:color="000000"/>
              <w:left w:val="single" w:sz="6" w:space="0" w:color="000000"/>
              <w:bottom w:val="single" w:sz="6" w:space="0" w:color="000000"/>
              <w:right w:val="single" w:sz="6" w:space="0" w:color="000000"/>
            </w:tcBorders>
          </w:tcPr>
          <w:p w14:paraId="5A5B676F" w14:textId="57390F1B" w:rsidR="00CF083B" w:rsidRPr="000E6AD3" w:rsidRDefault="008E57AD" w:rsidP="000E6AD3">
            <w:pPr>
              <w:pStyle w:val="NoSpacing"/>
              <w:jc w:val="center"/>
              <w:rPr>
                <w:b/>
                <w:bCs/>
              </w:rPr>
            </w:pPr>
            <w:r w:rsidRPr="000E6AD3">
              <w:rPr>
                <w:b/>
                <w:bCs/>
              </w:rPr>
              <w:t>Ņemts vērā</w:t>
            </w:r>
          </w:p>
        </w:tc>
        <w:tc>
          <w:tcPr>
            <w:tcW w:w="4173" w:type="dxa"/>
            <w:tcBorders>
              <w:top w:val="single" w:sz="4" w:space="0" w:color="000000"/>
              <w:left w:val="single" w:sz="4" w:space="0" w:color="000000"/>
              <w:bottom w:val="single" w:sz="4" w:space="0" w:color="000000"/>
            </w:tcBorders>
          </w:tcPr>
          <w:p w14:paraId="0969DB95" w14:textId="5AB30A8E" w:rsidR="00E92E5D" w:rsidRPr="000E6AD3" w:rsidRDefault="00A87C85" w:rsidP="000E6AD3">
            <w:pPr>
              <w:jc w:val="both"/>
              <w:rPr>
                <w:iCs/>
              </w:rPr>
            </w:pPr>
            <w:r w:rsidRPr="000E6AD3">
              <w:t xml:space="preserve">Precizēta </w:t>
            </w:r>
            <w:r w:rsidR="007E7844" w:rsidRPr="000E6AD3">
              <w:rPr>
                <w:iCs/>
              </w:rPr>
              <w:t>p</w:t>
            </w:r>
            <w:r w:rsidRPr="000E6AD3">
              <w:rPr>
                <w:iCs/>
              </w:rPr>
              <w:t xml:space="preserve">rojekta anotācijas </w:t>
            </w:r>
            <w:r w:rsidR="008E57AD" w:rsidRPr="000E6AD3">
              <w:rPr>
                <w:iCs/>
              </w:rPr>
              <w:t>I</w:t>
            </w:r>
            <w:r w:rsidRPr="000E6AD3">
              <w:rPr>
                <w:iCs/>
              </w:rPr>
              <w:t>I sadaļa</w:t>
            </w:r>
            <w:r w:rsidR="008E57AD" w:rsidRPr="000E6AD3">
              <w:rPr>
                <w:iCs/>
              </w:rPr>
              <w:t>s 2.punkts</w:t>
            </w:r>
          </w:p>
          <w:p w14:paraId="7F9C02A9" w14:textId="746271B6" w:rsidR="008E57AD" w:rsidRPr="000E6AD3" w:rsidRDefault="00D93F8D" w:rsidP="000E6AD3">
            <w:pPr>
              <w:jc w:val="both"/>
            </w:pPr>
            <w:r w:rsidRPr="00D93F8D">
              <w:t>Izglītības iestādēm nebūs jāpārskata līdz šim jau izveidotās apvienotās klases speciālās pamatizglītības programmas skolēniem ar garīgās attīstības traucējumiem un speciālās pamatizglītības programmas skolēniem ar smagiem garīgās attīstības traucējumiem vai vairākiem smagiem attīstības traucējumiem, tādējādi primāri tiks nodrošinātas minēto izglītojamo fiziskajām un garīgajām spējām, attīstības līmenim un veselības stāvoklim atbilstošākā pamatizglītības ieguve.</w:t>
            </w:r>
          </w:p>
        </w:tc>
      </w:tr>
      <w:tr w:rsidR="001972E1" w:rsidRPr="000F409E" w14:paraId="36F96FEC"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19009FE6" w14:textId="41F8A4FA" w:rsidR="001972E1" w:rsidRPr="000E6AD3" w:rsidRDefault="001972E1" w:rsidP="000E6AD3">
            <w:pPr>
              <w:pBdr>
                <w:top w:val="nil"/>
                <w:left w:val="nil"/>
                <w:bottom w:val="nil"/>
                <w:right w:val="nil"/>
                <w:between w:val="nil"/>
              </w:pBdr>
              <w:jc w:val="both"/>
            </w:pPr>
            <w:r w:rsidRPr="000E6AD3">
              <w:t>3.</w:t>
            </w:r>
          </w:p>
        </w:tc>
        <w:tc>
          <w:tcPr>
            <w:tcW w:w="3209" w:type="dxa"/>
            <w:tcBorders>
              <w:top w:val="single" w:sz="6" w:space="0" w:color="000000"/>
              <w:left w:val="single" w:sz="6" w:space="0" w:color="000000"/>
              <w:bottom w:val="single" w:sz="6" w:space="0" w:color="000000"/>
              <w:right w:val="single" w:sz="6" w:space="0" w:color="000000"/>
            </w:tcBorders>
          </w:tcPr>
          <w:p w14:paraId="4802FE5E" w14:textId="30C99619" w:rsidR="001972E1" w:rsidRPr="000E6AD3" w:rsidRDefault="003D7C09" w:rsidP="000E6AD3">
            <w:pPr>
              <w:pBdr>
                <w:top w:val="nil"/>
                <w:left w:val="nil"/>
                <w:bottom w:val="nil"/>
                <w:right w:val="nil"/>
                <w:between w:val="nil"/>
              </w:pBdr>
              <w:jc w:val="both"/>
              <w:rPr>
                <w:iCs/>
              </w:rPr>
            </w:pPr>
            <w:r w:rsidRPr="000E6AD3">
              <w:rPr>
                <w:iCs/>
              </w:rPr>
              <w:t>Projekta anotācija</w:t>
            </w:r>
            <w:r w:rsidR="00C03E3C">
              <w:rPr>
                <w:iCs/>
              </w:rPr>
              <w:t>s</w:t>
            </w:r>
            <w:r w:rsidR="002C10EE">
              <w:rPr>
                <w:iCs/>
              </w:rPr>
              <w:t xml:space="preserve"> VI.sadaļa</w:t>
            </w:r>
          </w:p>
        </w:tc>
        <w:tc>
          <w:tcPr>
            <w:tcW w:w="4106" w:type="dxa"/>
            <w:tcBorders>
              <w:top w:val="single" w:sz="6" w:space="0" w:color="000000"/>
              <w:left w:val="single" w:sz="6" w:space="0" w:color="000000"/>
              <w:bottom w:val="single" w:sz="6" w:space="0" w:color="000000"/>
              <w:right w:val="single" w:sz="6" w:space="0" w:color="000000"/>
            </w:tcBorders>
          </w:tcPr>
          <w:p w14:paraId="3982CE8F" w14:textId="77777777" w:rsidR="001972E1" w:rsidRPr="000E6AD3" w:rsidRDefault="001972E1" w:rsidP="000E6AD3">
            <w:pPr>
              <w:suppressAutoHyphens/>
              <w:ind w:firstLine="720"/>
              <w:contextualSpacing/>
              <w:jc w:val="both"/>
              <w:outlineLvl w:val="0"/>
              <w:rPr>
                <w:b/>
                <w:bCs/>
                <w:lang w:eastAsia="zh-CN"/>
              </w:rPr>
            </w:pPr>
            <w:r w:rsidRPr="000E6AD3">
              <w:rPr>
                <w:b/>
                <w:bCs/>
                <w:lang w:eastAsia="zh-CN"/>
              </w:rPr>
              <w:t>Tieslietu ministrija</w:t>
            </w:r>
          </w:p>
          <w:p w14:paraId="35E53564" w14:textId="1D4441FC" w:rsidR="001972E1" w:rsidRPr="000E6AD3" w:rsidRDefault="001972E1" w:rsidP="000E6AD3">
            <w:pPr>
              <w:tabs>
                <w:tab w:val="left" w:pos="1134"/>
              </w:tabs>
              <w:jc w:val="both"/>
            </w:pPr>
            <w:bookmarkStart w:id="1" w:name="_Hlk513706981"/>
            <w:r w:rsidRPr="000E6AD3">
              <w:rPr>
                <w:rFonts w:eastAsia="Calibri"/>
              </w:rPr>
              <w:t xml:space="preserve">3.No noteikumu projekta anotācijas var secināt, ka sabiedrības līdzdalība noteikumu projekta izstrādē netika nodrošināta atbilstoši </w:t>
            </w:r>
            <w:r w:rsidRPr="000E6AD3">
              <w:t xml:space="preserve">Instrukcijas Nr. 19 3. punktam un VII nodaļai, kā arī </w:t>
            </w:r>
            <w:r w:rsidRPr="000E6AD3">
              <w:rPr>
                <w:rFonts w:eastAsia="Calibri"/>
              </w:rPr>
              <w:t>Ministru kabineta 2009. gada 25. augusta noteikumu Nr. 970 "Sabiedrības līdzdalības kārtība attīstības plānošanas procesā" 5. punktam. Ievērojot minēto, kā arī to, ka šie grozījumi skar mācību procesa organizēšanu izglītības iestādēs jau šajā mācību gadā, lūdzam anotācijā skaidrot, vai ir notikušas konsultācijas ar izglītības iestādēm un vai tās atbalsta paredzētos grozījumus noteikumu projektā.</w:t>
            </w:r>
            <w:bookmarkEnd w:id="1"/>
          </w:p>
        </w:tc>
        <w:tc>
          <w:tcPr>
            <w:tcW w:w="2971" w:type="dxa"/>
            <w:tcBorders>
              <w:top w:val="single" w:sz="6" w:space="0" w:color="000000"/>
              <w:left w:val="single" w:sz="6" w:space="0" w:color="000000"/>
              <w:bottom w:val="single" w:sz="6" w:space="0" w:color="000000"/>
              <w:right w:val="single" w:sz="6" w:space="0" w:color="000000"/>
            </w:tcBorders>
          </w:tcPr>
          <w:p w14:paraId="02DA0E9E" w14:textId="0043569E" w:rsidR="001972E1" w:rsidRDefault="002C10EE" w:rsidP="000E6AD3">
            <w:pPr>
              <w:pStyle w:val="NoSpacing"/>
              <w:jc w:val="center"/>
              <w:rPr>
                <w:b/>
                <w:bCs/>
              </w:rPr>
            </w:pPr>
            <w:r>
              <w:rPr>
                <w:b/>
                <w:bCs/>
              </w:rPr>
              <w:t>Ņemts vērā</w:t>
            </w:r>
          </w:p>
          <w:p w14:paraId="353DFD9E" w14:textId="325EAEAF" w:rsidR="008C5CE5" w:rsidRPr="003D7C09" w:rsidRDefault="008C5CE5" w:rsidP="00D93F8D">
            <w:pPr>
              <w:pStyle w:val="NoSpacing"/>
              <w:jc w:val="both"/>
              <w:rPr>
                <w:iCs/>
              </w:rPr>
            </w:pPr>
          </w:p>
        </w:tc>
        <w:tc>
          <w:tcPr>
            <w:tcW w:w="4173" w:type="dxa"/>
            <w:tcBorders>
              <w:top w:val="single" w:sz="4" w:space="0" w:color="000000"/>
              <w:left w:val="single" w:sz="4" w:space="0" w:color="000000"/>
              <w:bottom w:val="single" w:sz="4" w:space="0" w:color="000000"/>
            </w:tcBorders>
          </w:tcPr>
          <w:p w14:paraId="26376A65" w14:textId="181C689B" w:rsidR="001972E1" w:rsidRPr="000E6AD3" w:rsidRDefault="003D7C09" w:rsidP="000E6AD3">
            <w:pPr>
              <w:jc w:val="both"/>
            </w:pPr>
            <w:r w:rsidRPr="003D7C09">
              <w:t>Projekta anotācija</w:t>
            </w:r>
            <w:r w:rsidR="002C10EE">
              <w:t>s VI. sadaļa</w:t>
            </w:r>
          </w:p>
        </w:tc>
      </w:tr>
      <w:tr w:rsidR="004E3633" w:rsidRPr="000E6AD3" w14:paraId="67F6DCA8" w14:textId="77777777" w:rsidTr="00C860FE">
        <w:trPr>
          <w:gridAfter w:val="1"/>
          <w:wAfter w:w="4173" w:type="dxa"/>
        </w:trPr>
        <w:tc>
          <w:tcPr>
            <w:tcW w:w="3776" w:type="dxa"/>
            <w:gridSpan w:val="2"/>
            <w:tcBorders>
              <w:top w:val="nil"/>
              <w:left w:val="nil"/>
              <w:bottom w:val="nil"/>
              <w:right w:val="nil"/>
            </w:tcBorders>
          </w:tcPr>
          <w:p w14:paraId="05A15506" w14:textId="77777777" w:rsidR="004D021B" w:rsidRPr="000E6AD3" w:rsidRDefault="004D021B" w:rsidP="000E6AD3">
            <w:pPr>
              <w:pBdr>
                <w:top w:val="nil"/>
                <w:left w:val="nil"/>
                <w:bottom w:val="nil"/>
                <w:right w:val="nil"/>
                <w:between w:val="nil"/>
              </w:pBdr>
              <w:jc w:val="both"/>
            </w:pPr>
          </w:p>
        </w:tc>
        <w:tc>
          <w:tcPr>
            <w:tcW w:w="7077" w:type="dxa"/>
            <w:gridSpan w:val="2"/>
            <w:tcBorders>
              <w:top w:val="nil"/>
              <w:left w:val="nil"/>
              <w:bottom w:val="nil"/>
              <w:right w:val="nil"/>
            </w:tcBorders>
          </w:tcPr>
          <w:p w14:paraId="19478646" w14:textId="77777777" w:rsidR="004D021B" w:rsidRPr="000E6AD3" w:rsidRDefault="005233FC" w:rsidP="000E6AD3">
            <w:pPr>
              <w:pBdr>
                <w:top w:val="nil"/>
                <w:left w:val="nil"/>
                <w:bottom w:val="nil"/>
                <w:right w:val="nil"/>
                <w:between w:val="nil"/>
              </w:pBdr>
              <w:jc w:val="both"/>
            </w:pPr>
            <w:r w:rsidRPr="000E6AD3">
              <w:t>  </w:t>
            </w:r>
          </w:p>
        </w:tc>
      </w:tr>
      <w:tr w:rsidR="004E3633" w:rsidRPr="000E6AD3" w14:paraId="726B700C" w14:textId="77777777" w:rsidTr="00C860FE">
        <w:trPr>
          <w:gridAfter w:val="1"/>
          <w:wAfter w:w="4173" w:type="dxa"/>
        </w:trPr>
        <w:tc>
          <w:tcPr>
            <w:tcW w:w="3776" w:type="dxa"/>
            <w:gridSpan w:val="2"/>
            <w:tcBorders>
              <w:top w:val="nil"/>
              <w:left w:val="nil"/>
              <w:bottom w:val="nil"/>
              <w:right w:val="nil"/>
            </w:tcBorders>
          </w:tcPr>
          <w:p w14:paraId="047BFFD6" w14:textId="77777777" w:rsidR="004D021B" w:rsidRPr="000E6AD3" w:rsidRDefault="004D021B" w:rsidP="000E6AD3">
            <w:pPr>
              <w:pBdr>
                <w:top w:val="nil"/>
                <w:left w:val="nil"/>
                <w:bottom w:val="nil"/>
                <w:right w:val="nil"/>
                <w:between w:val="nil"/>
              </w:pBdr>
              <w:ind w:firstLine="720"/>
              <w:jc w:val="both"/>
            </w:pPr>
          </w:p>
        </w:tc>
        <w:tc>
          <w:tcPr>
            <w:tcW w:w="7077" w:type="dxa"/>
            <w:gridSpan w:val="2"/>
            <w:tcBorders>
              <w:top w:val="single" w:sz="6" w:space="0" w:color="000000"/>
              <w:left w:val="nil"/>
              <w:bottom w:val="nil"/>
              <w:right w:val="nil"/>
            </w:tcBorders>
          </w:tcPr>
          <w:p w14:paraId="24127050" w14:textId="77777777" w:rsidR="004D021B" w:rsidRPr="000E6AD3" w:rsidRDefault="005233FC" w:rsidP="000E6AD3">
            <w:pPr>
              <w:pBdr>
                <w:top w:val="nil"/>
                <w:left w:val="nil"/>
                <w:bottom w:val="nil"/>
                <w:right w:val="nil"/>
                <w:between w:val="nil"/>
              </w:pBdr>
              <w:ind w:firstLine="720"/>
              <w:jc w:val="both"/>
            </w:pPr>
            <w:r w:rsidRPr="000E6AD3">
              <w:t>(paraksts)*</w:t>
            </w:r>
          </w:p>
        </w:tc>
      </w:tr>
    </w:tbl>
    <w:p w14:paraId="1EB66509" w14:textId="77777777" w:rsidR="004D021B" w:rsidRPr="001F2D84" w:rsidRDefault="004D021B">
      <w:pPr>
        <w:pBdr>
          <w:top w:val="nil"/>
          <w:left w:val="nil"/>
          <w:bottom w:val="nil"/>
          <w:right w:val="nil"/>
          <w:between w:val="nil"/>
        </w:pBdr>
        <w:ind w:firstLine="720"/>
        <w:jc w:val="both"/>
      </w:pPr>
    </w:p>
    <w:p w14:paraId="564EDAAB" w14:textId="77777777" w:rsidR="004D021B" w:rsidRPr="001F2D84" w:rsidRDefault="005233FC">
      <w:pPr>
        <w:pBdr>
          <w:top w:val="nil"/>
          <w:left w:val="nil"/>
          <w:bottom w:val="nil"/>
          <w:right w:val="nil"/>
          <w:between w:val="nil"/>
        </w:pBdr>
        <w:ind w:firstLine="720"/>
        <w:jc w:val="both"/>
      </w:pPr>
      <w:r w:rsidRPr="001F2D84">
        <w:t>Piezīme. * Dokumenta rekvizītu "paraksts" neaizpilda, ja elektroniskais dokuments ir sagatavots atbilstoši normatīvajiem aktiem par elektronisko dokumentu noformēšanu.</w:t>
      </w:r>
    </w:p>
    <w:p w14:paraId="2A27A824" w14:textId="6AAA5603" w:rsidR="004D021B" w:rsidRPr="001F2D84" w:rsidRDefault="00290114">
      <w:pPr>
        <w:pBdr>
          <w:top w:val="nil"/>
          <w:left w:val="nil"/>
          <w:bottom w:val="nil"/>
          <w:right w:val="nil"/>
          <w:between w:val="nil"/>
        </w:pBdr>
        <w:ind w:firstLine="720"/>
      </w:pPr>
      <w:r>
        <w:t>Ineta Upeniece</w:t>
      </w:r>
    </w:p>
    <w:tbl>
      <w:tblPr>
        <w:tblStyle w:val="a4"/>
        <w:tblW w:w="8268" w:type="dxa"/>
        <w:tblLayout w:type="fixed"/>
        <w:tblLook w:val="0000" w:firstRow="0" w:lastRow="0" w:firstColumn="0" w:lastColumn="0" w:noHBand="0" w:noVBand="0"/>
      </w:tblPr>
      <w:tblGrid>
        <w:gridCol w:w="8268"/>
      </w:tblGrid>
      <w:tr w:rsidR="001F2D84" w:rsidRPr="001F2D84" w14:paraId="5B721699" w14:textId="77777777">
        <w:tc>
          <w:tcPr>
            <w:tcW w:w="8268" w:type="dxa"/>
            <w:tcBorders>
              <w:top w:val="single" w:sz="4" w:space="0" w:color="000000"/>
            </w:tcBorders>
          </w:tcPr>
          <w:p w14:paraId="4E6A34A2" w14:textId="77777777" w:rsidR="004D021B" w:rsidRPr="001F2D84" w:rsidRDefault="005233FC">
            <w:pPr>
              <w:jc w:val="center"/>
            </w:pPr>
            <w:r w:rsidRPr="001F2D84">
              <w:t>(par projektu atbildīgās amatpersonas vārds un uzvārds)</w:t>
            </w:r>
          </w:p>
        </w:tc>
      </w:tr>
      <w:tr w:rsidR="001F2D84" w:rsidRPr="001F2D84" w14:paraId="389CC4B7" w14:textId="77777777">
        <w:tc>
          <w:tcPr>
            <w:tcW w:w="8268" w:type="dxa"/>
            <w:tcBorders>
              <w:bottom w:val="single" w:sz="4" w:space="0" w:color="000000"/>
            </w:tcBorders>
          </w:tcPr>
          <w:p w14:paraId="42D9CD10" w14:textId="0CDD5999" w:rsidR="004D021B" w:rsidRPr="001F2D84" w:rsidRDefault="005233FC">
            <w:pPr>
              <w:pBdr>
                <w:top w:val="nil"/>
                <w:left w:val="nil"/>
                <w:bottom w:val="nil"/>
                <w:right w:val="nil"/>
                <w:between w:val="nil"/>
              </w:pBdr>
            </w:pPr>
            <w:r w:rsidRPr="001F2D84">
              <w:t>Valsts izglītības satura centra Vispārējās izglītības departamenta Vispārējās izglītības satura nodrošinājuma nodaļas vadītāja</w:t>
            </w:r>
            <w:r w:rsidR="00145BFF">
              <w:t xml:space="preserve"> </w:t>
            </w:r>
          </w:p>
        </w:tc>
      </w:tr>
      <w:tr w:rsidR="001F2D84" w:rsidRPr="001F2D84" w14:paraId="5F166B64" w14:textId="77777777">
        <w:tc>
          <w:tcPr>
            <w:tcW w:w="8268" w:type="dxa"/>
            <w:tcBorders>
              <w:top w:val="single" w:sz="4" w:space="0" w:color="000000"/>
            </w:tcBorders>
          </w:tcPr>
          <w:p w14:paraId="71337B84" w14:textId="77777777" w:rsidR="004D021B" w:rsidRPr="001F2D84" w:rsidRDefault="005233FC">
            <w:pPr>
              <w:jc w:val="center"/>
            </w:pPr>
            <w:r w:rsidRPr="001F2D84">
              <w:t>(amats)</w:t>
            </w:r>
          </w:p>
        </w:tc>
      </w:tr>
      <w:tr w:rsidR="001F2D84" w:rsidRPr="001F2D84" w14:paraId="221F7231" w14:textId="77777777">
        <w:tc>
          <w:tcPr>
            <w:tcW w:w="8268" w:type="dxa"/>
            <w:tcBorders>
              <w:bottom w:val="single" w:sz="4" w:space="0" w:color="000000"/>
            </w:tcBorders>
          </w:tcPr>
          <w:p w14:paraId="7A22BFA7" w14:textId="0748583C" w:rsidR="004D021B" w:rsidRPr="001F2D84" w:rsidRDefault="005233FC">
            <w:r w:rsidRPr="001F2D84">
              <w:t xml:space="preserve">Tālrunis </w:t>
            </w:r>
            <w:r w:rsidR="00290114" w:rsidRPr="00290114">
              <w:t>67814244</w:t>
            </w:r>
            <w:r w:rsidRPr="001F2D84">
              <w:t>, fakss 7223801</w:t>
            </w:r>
          </w:p>
        </w:tc>
      </w:tr>
      <w:tr w:rsidR="001F2D84" w:rsidRPr="001F2D84" w14:paraId="7A96F991" w14:textId="77777777">
        <w:tc>
          <w:tcPr>
            <w:tcW w:w="8268" w:type="dxa"/>
            <w:tcBorders>
              <w:top w:val="single" w:sz="4" w:space="0" w:color="000000"/>
            </w:tcBorders>
          </w:tcPr>
          <w:p w14:paraId="2B6C737B" w14:textId="77777777" w:rsidR="004D021B" w:rsidRPr="001F2D84" w:rsidRDefault="005233FC">
            <w:pPr>
              <w:jc w:val="center"/>
            </w:pPr>
            <w:r w:rsidRPr="001F2D84">
              <w:t>(tālruņa un faksa numurs)</w:t>
            </w:r>
          </w:p>
        </w:tc>
      </w:tr>
      <w:tr w:rsidR="001F2D84" w:rsidRPr="001F2D84" w14:paraId="19487933" w14:textId="77777777">
        <w:tc>
          <w:tcPr>
            <w:tcW w:w="8268" w:type="dxa"/>
            <w:tcBorders>
              <w:bottom w:val="single" w:sz="4" w:space="0" w:color="000000"/>
            </w:tcBorders>
          </w:tcPr>
          <w:p w14:paraId="0CF11F3F" w14:textId="02295F88" w:rsidR="004D021B" w:rsidRPr="001F2D84" w:rsidRDefault="00290114">
            <w:r>
              <w:t>ineta</w:t>
            </w:r>
            <w:r w:rsidR="005233FC" w:rsidRPr="001F2D84">
              <w:t>.</w:t>
            </w:r>
            <w:r>
              <w:t>upeniece</w:t>
            </w:r>
            <w:r w:rsidR="005233FC" w:rsidRPr="001F2D84">
              <w:t>@visc.gov.lv</w:t>
            </w:r>
          </w:p>
        </w:tc>
      </w:tr>
      <w:tr w:rsidR="004D021B" w:rsidRPr="001F2D84" w14:paraId="18D6CFE0" w14:textId="77777777">
        <w:tc>
          <w:tcPr>
            <w:tcW w:w="8268" w:type="dxa"/>
            <w:tcBorders>
              <w:top w:val="single" w:sz="4" w:space="0" w:color="000000"/>
            </w:tcBorders>
          </w:tcPr>
          <w:p w14:paraId="0C5E4DAE" w14:textId="77777777" w:rsidR="004D021B" w:rsidRPr="001F2D84" w:rsidRDefault="005233FC">
            <w:pPr>
              <w:jc w:val="center"/>
            </w:pPr>
            <w:r w:rsidRPr="001F2D84">
              <w:t>(e-pasta adrese)</w:t>
            </w:r>
          </w:p>
        </w:tc>
      </w:tr>
    </w:tbl>
    <w:p w14:paraId="03F178AE" w14:textId="7E6D32B2" w:rsidR="004D021B" w:rsidRDefault="004D021B">
      <w:pPr>
        <w:pBdr>
          <w:top w:val="nil"/>
          <w:left w:val="nil"/>
          <w:bottom w:val="nil"/>
          <w:right w:val="nil"/>
          <w:between w:val="nil"/>
        </w:pBdr>
      </w:pPr>
    </w:p>
    <w:p w14:paraId="3E3ED9A4" w14:textId="77777777" w:rsidR="004E3633" w:rsidRPr="001F2D84" w:rsidRDefault="004E3633">
      <w:pPr>
        <w:pBdr>
          <w:top w:val="nil"/>
          <w:left w:val="nil"/>
          <w:bottom w:val="nil"/>
          <w:right w:val="nil"/>
          <w:between w:val="nil"/>
        </w:pBdr>
      </w:pPr>
    </w:p>
    <w:sectPr w:rsidR="004E3633" w:rsidRPr="001F2D84" w:rsidSect="0047490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993" w:left="1701"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160C" w14:textId="77777777" w:rsidR="00AE6953" w:rsidRDefault="00AE6953">
      <w:r>
        <w:separator/>
      </w:r>
    </w:p>
  </w:endnote>
  <w:endnote w:type="continuationSeparator" w:id="0">
    <w:p w14:paraId="393518E4" w14:textId="77777777" w:rsidR="00AE6953" w:rsidRDefault="00A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1206" w14:textId="77777777" w:rsidR="00883788" w:rsidRDefault="00883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B4B4" w14:textId="2FF47158" w:rsidR="008E7503" w:rsidRPr="00242A1B" w:rsidRDefault="00242A1B" w:rsidP="00242A1B">
    <w:pPr>
      <w:pStyle w:val="Footer"/>
    </w:pPr>
    <w:r w:rsidRPr="00242A1B">
      <w:rPr>
        <w:color w:val="000000"/>
        <w:sz w:val="22"/>
        <w:szCs w:val="22"/>
      </w:rPr>
      <w:t>IZMI</w:t>
    </w:r>
    <w:r w:rsidR="001448C8">
      <w:rPr>
        <w:color w:val="000000"/>
        <w:sz w:val="22"/>
        <w:szCs w:val="22"/>
      </w:rPr>
      <w:t>ZZ</w:t>
    </w:r>
    <w:bookmarkStart w:id="2" w:name="_GoBack"/>
    <w:bookmarkEnd w:id="2"/>
    <w:r w:rsidR="002C10EE">
      <w:rPr>
        <w:color w:val="000000"/>
        <w:sz w:val="22"/>
        <w:szCs w:val="22"/>
      </w:rPr>
      <w:t>_09</w:t>
    </w:r>
    <w:r w:rsidR="000E2159">
      <w:rPr>
        <w:color w:val="000000"/>
        <w:sz w:val="22"/>
        <w:szCs w:val="22"/>
      </w:rPr>
      <w:t>09</w:t>
    </w:r>
    <w:r w:rsidRPr="00242A1B">
      <w:rPr>
        <w:color w:val="000000"/>
        <w:sz w:val="22"/>
        <w:szCs w:val="22"/>
      </w:rPr>
      <w:t>20_</w:t>
    </w:r>
    <w:r w:rsidR="00883788" w:rsidRPr="00883788">
      <w:rPr>
        <w:color w:val="000000"/>
        <w:sz w:val="22"/>
        <w:szCs w:val="22"/>
      </w:rPr>
      <w:t>Groz747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E5CE" w14:textId="2C53823F" w:rsidR="008E7503" w:rsidRPr="00242A1B" w:rsidRDefault="00242A1B" w:rsidP="00242A1B">
    <w:pPr>
      <w:pStyle w:val="Footer"/>
    </w:pPr>
    <w:r w:rsidRPr="00242A1B">
      <w:rPr>
        <w:color w:val="000000"/>
        <w:sz w:val="22"/>
        <w:szCs w:val="22"/>
      </w:rPr>
      <w:t>IZMI</w:t>
    </w:r>
    <w:r w:rsidR="001448C8">
      <w:rPr>
        <w:color w:val="000000"/>
        <w:sz w:val="22"/>
        <w:szCs w:val="22"/>
      </w:rPr>
      <w:t>ZZ</w:t>
    </w:r>
    <w:r w:rsidR="00C237C3">
      <w:rPr>
        <w:color w:val="000000"/>
        <w:sz w:val="22"/>
        <w:szCs w:val="22"/>
      </w:rPr>
      <w:t>_0</w:t>
    </w:r>
    <w:r w:rsidR="002C10EE">
      <w:rPr>
        <w:color w:val="000000"/>
        <w:sz w:val="22"/>
        <w:szCs w:val="22"/>
      </w:rPr>
      <w:t>9</w:t>
    </w:r>
    <w:r w:rsidR="00C237C3">
      <w:rPr>
        <w:color w:val="000000"/>
        <w:sz w:val="22"/>
        <w:szCs w:val="22"/>
      </w:rPr>
      <w:t>09</w:t>
    </w:r>
    <w:r w:rsidRPr="00242A1B">
      <w:rPr>
        <w:color w:val="000000"/>
        <w:sz w:val="22"/>
        <w:szCs w:val="22"/>
      </w:rPr>
      <w:t>20_</w:t>
    </w:r>
    <w:r w:rsidR="00883788" w:rsidRPr="00883788">
      <w:rPr>
        <w:color w:val="000000"/>
        <w:sz w:val="22"/>
        <w:szCs w:val="22"/>
      </w:rPr>
      <w:t>Groz747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63C7" w14:textId="77777777" w:rsidR="00AE6953" w:rsidRDefault="00AE6953">
      <w:r>
        <w:separator/>
      </w:r>
    </w:p>
  </w:footnote>
  <w:footnote w:type="continuationSeparator" w:id="0">
    <w:p w14:paraId="3CEDA5BC" w14:textId="77777777" w:rsidR="00AE6953" w:rsidRDefault="00AE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3376" w14:textId="77777777" w:rsidR="008E7503" w:rsidRDefault="008E750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24EEE23" w14:textId="77777777" w:rsidR="008E7503" w:rsidRDefault="008E750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33F9" w14:textId="77777777" w:rsidR="008E7503" w:rsidRDefault="008E750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448C8">
      <w:rPr>
        <w:noProof/>
        <w:color w:val="000000"/>
      </w:rPr>
      <w:t>5</w:t>
    </w:r>
    <w:r>
      <w:rPr>
        <w:color w:val="000000"/>
      </w:rPr>
      <w:fldChar w:fldCharType="end"/>
    </w:r>
  </w:p>
  <w:p w14:paraId="2EA0974C" w14:textId="77777777" w:rsidR="008E7503" w:rsidRDefault="008E750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FC57" w14:textId="77777777" w:rsidR="00883788" w:rsidRDefault="00883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2D4"/>
    <w:multiLevelType w:val="multilevel"/>
    <w:tmpl w:val="14D8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F34232"/>
    <w:multiLevelType w:val="multilevel"/>
    <w:tmpl w:val="90101A68"/>
    <w:lvl w:ilvl="0">
      <w:start w:val="1"/>
      <w:numFmt w:val="decimal"/>
      <w:lvlText w:val="%1."/>
      <w:lvlJc w:val="left"/>
      <w:pPr>
        <w:ind w:left="786" w:hanging="360"/>
      </w:pPr>
      <w:rPr>
        <w:rFonts w:ascii="Times New Roman" w:eastAsia="Times New Roman"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84CC0"/>
    <w:multiLevelType w:val="multilevel"/>
    <w:tmpl w:val="4C607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02088"/>
    <w:multiLevelType w:val="multilevel"/>
    <w:tmpl w:val="6B3C5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9B18FA"/>
    <w:multiLevelType w:val="multilevel"/>
    <w:tmpl w:val="DEACF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C550363"/>
    <w:multiLevelType w:val="multilevel"/>
    <w:tmpl w:val="3798438E"/>
    <w:lvl w:ilvl="0">
      <w:start w:val="1"/>
      <w:numFmt w:val="decimal"/>
      <w:lvlText w:val="%1."/>
      <w:lvlJc w:val="left"/>
      <w:pPr>
        <w:ind w:left="360" w:hanging="360"/>
      </w:pPr>
      <w:rPr>
        <w:rFonts w:ascii="Times" w:eastAsia="Times" w:hAnsi="Times"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450175D"/>
    <w:multiLevelType w:val="multilevel"/>
    <w:tmpl w:val="F3E06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88139B"/>
    <w:multiLevelType w:val="multilevel"/>
    <w:tmpl w:val="86F2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1E35C7"/>
    <w:multiLevelType w:val="hybridMultilevel"/>
    <w:tmpl w:val="80B6332E"/>
    <w:lvl w:ilvl="0" w:tplc="D77A1846">
      <w:start w:val="1"/>
      <w:numFmt w:val="decimal"/>
      <w:lvlText w:val="%1."/>
      <w:lvlJc w:val="left"/>
      <w:pPr>
        <w:ind w:left="1211" w:hanging="360"/>
      </w:pPr>
      <w:rPr>
        <w:rFonts w:ascii="Times New Roman" w:eastAsia="Calibri" w:hAnsi="Times New Roman" w:cs="Times New Roman" w:hint="default"/>
        <w:sz w:val="24"/>
        <w:szCs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1B"/>
    <w:rsid w:val="0001704A"/>
    <w:rsid w:val="000505D5"/>
    <w:rsid w:val="00057426"/>
    <w:rsid w:val="00065A41"/>
    <w:rsid w:val="00066015"/>
    <w:rsid w:val="00073374"/>
    <w:rsid w:val="00073F2D"/>
    <w:rsid w:val="00090730"/>
    <w:rsid w:val="000B7FDA"/>
    <w:rsid w:val="000C04F8"/>
    <w:rsid w:val="000D1C77"/>
    <w:rsid w:val="000E2159"/>
    <w:rsid w:val="000E6AD3"/>
    <w:rsid w:val="000F409E"/>
    <w:rsid w:val="00101E5A"/>
    <w:rsid w:val="00106059"/>
    <w:rsid w:val="00110259"/>
    <w:rsid w:val="001162DE"/>
    <w:rsid w:val="0012337E"/>
    <w:rsid w:val="001244D5"/>
    <w:rsid w:val="00126388"/>
    <w:rsid w:val="0013201D"/>
    <w:rsid w:val="001373C6"/>
    <w:rsid w:val="001448C8"/>
    <w:rsid w:val="00145BFF"/>
    <w:rsid w:val="00146DC5"/>
    <w:rsid w:val="00176E78"/>
    <w:rsid w:val="00185178"/>
    <w:rsid w:val="00187674"/>
    <w:rsid w:val="001972E1"/>
    <w:rsid w:val="001A5305"/>
    <w:rsid w:val="001B1F14"/>
    <w:rsid w:val="001F2D84"/>
    <w:rsid w:val="001F5304"/>
    <w:rsid w:val="001F7A30"/>
    <w:rsid w:val="00225EB2"/>
    <w:rsid w:val="002375A0"/>
    <w:rsid w:val="00237DEF"/>
    <w:rsid w:val="002423A6"/>
    <w:rsid w:val="00242A1B"/>
    <w:rsid w:val="00245D98"/>
    <w:rsid w:val="0028124F"/>
    <w:rsid w:val="002856E6"/>
    <w:rsid w:val="00287409"/>
    <w:rsid w:val="00290114"/>
    <w:rsid w:val="002920DD"/>
    <w:rsid w:val="00297C9F"/>
    <w:rsid w:val="002A2E2D"/>
    <w:rsid w:val="002A76D5"/>
    <w:rsid w:val="002B59F2"/>
    <w:rsid w:val="002C0BDA"/>
    <w:rsid w:val="002C10EE"/>
    <w:rsid w:val="002C1CD5"/>
    <w:rsid w:val="002D2D3C"/>
    <w:rsid w:val="002D4DBB"/>
    <w:rsid w:val="002F1611"/>
    <w:rsid w:val="00305524"/>
    <w:rsid w:val="00313227"/>
    <w:rsid w:val="003361DE"/>
    <w:rsid w:val="00346643"/>
    <w:rsid w:val="00392A17"/>
    <w:rsid w:val="003C396E"/>
    <w:rsid w:val="003D2644"/>
    <w:rsid w:val="003D40F7"/>
    <w:rsid w:val="003D56A9"/>
    <w:rsid w:val="003D753D"/>
    <w:rsid w:val="003D7C09"/>
    <w:rsid w:val="004025E4"/>
    <w:rsid w:val="00415FA3"/>
    <w:rsid w:val="00423169"/>
    <w:rsid w:val="00423BAB"/>
    <w:rsid w:val="00426A01"/>
    <w:rsid w:val="00435F93"/>
    <w:rsid w:val="0044425A"/>
    <w:rsid w:val="0044638F"/>
    <w:rsid w:val="004522C1"/>
    <w:rsid w:val="00462608"/>
    <w:rsid w:val="00470B4F"/>
    <w:rsid w:val="004718DF"/>
    <w:rsid w:val="00474909"/>
    <w:rsid w:val="004816DB"/>
    <w:rsid w:val="00482D74"/>
    <w:rsid w:val="0048310E"/>
    <w:rsid w:val="00485858"/>
    <w:rsid w:val="00486428"/>
    <w:rsid w:val="00487402"/>
    <w:rsid w:val="00493AD1"/>
    <w:rsid w:val="004B081C"/>
    <w:rsid w:val="004D021B"/>
    <w:rsid w:val="004E3633"/>
    <w:rsid w:val="004E79EB"/>
    <w:rsid w:val="004F7CAC"/>
    <w:rsid w:val="005057CC"/>
    <w:rsid w:val="005114CA"/>
    <w:rsid w:val="0051770D"/>
    <w:rsid w:val="005233FC"/>
    <w:rsid w:val="005407ED"/>
    <w:rsid w:val="00541BCE"/>
    <w:rsid w:val="00550925"/>
    <w:rsid w:val="00560B32"/>
    <w:rsid w:val="0056680C"/>
    <w:rsid w:val="00567E71"/>
    <w:rsid w:val="005705A4"/>
    <w:rsid w:val="00570BA0"/>
    <w:rsid w:val="00570D1F"/>
    <w:rsid w:val="00570E06"/>
    <w:rsid w:val="00575E74"/>
    <w:rsid w:val="00576D91"/>
    <w:rsid w:val="00582B62"/>
    <w:rsid w:val="005B11FF"/>
    <w:rsid w:val="005C339E"/>
    <w:rsid w:val="005D158E"/>
    <w:rsid w:val="005D7D3D"/>
    <w:rsid w:val="005E31CE"/>
    <w:rsid w:val="005E754B"/>
    <w:rsid w:val="00612E26"/>
    <w:rsid w:val="0062761E"/>
    <w:rsid w:val="006440D0"/>
    <w:rsid w:val="00652724"/>
    <w:rsid w:val="00660A15"/>
    <w:rsid w:val="00671719"/>
    <w:rsid w:val="00672268"/>
    <w:rsid w:val="006765E6"/>
    <w:rsid w:val="006838F3"/>
    <w:rsid w:val="00687697"/>
    <w:rsid w:val="00691DBE"/>
    <w:rsid w:val="006B7389"/>
    <w:rsid w:val="006C54EC"/>
    <w:rsid w:val="006D3D70"/>
    <w:rsid w:val="006D3F98"/>
    <w:rsid w:val="006D6FB3"/>
    <w:rsid w:val="006D768F"/>
    <w:rsid w:val="006E4824"/>
    <w:rsid w:val="00703FC6"/>
    <w:rsid w:val="00721FFD"/>
    <w:rsid w:val="00735A09"/>
    <w:rsid w:val="00736370"/>
    <w:rsid w:val="00743CDE"/>
    <w:rsid w:val="00744EFE"/>
    <w:rsid w:val="007636E3"/>
    <w:rsid w:val="0078182F"/>
    <w:rsid w:val="0078764B"/>
    <w:rsid w:val="00791974"/>
    <w:rsid w:val="007A3E77"/>
    <w:rsid w:val="007A44AE"/>
    <w:rsid w:val="007A5153"/>
    <w:rsid w:val="007B0539"/>
    <w:rsid w:val="007C7B97"/>
    <w:rsid w:val="007D1B5F"/>
    <w:rsid w:val="007E2CC5"/>
    <w:rsid w:val="007E30B7"/>
    <w:rsid w:val="007E3924"/>
    <w:rsid w:val="007E6C1D"/>
    <w:rsid w:val="007E7450"/>
    <w:rsid w:val="007E7844"/>
    <w:rsid w:val="007F3288"/>
    <w:rsid w:val="007F4B12"/>
    <w:rsid w:val="00800E8D"/>
    <w:rsid w:val="0081383E"/>
    <w:rsid w:val="00823F6A"/>
    <w:rsid w:val="0085390D"/>
    <w:rsid w:val="00853B04"/>
    <w:rsid w:val="00883788"/>
    <w:rsid w:val="00890522"/>
    <w:rsid w:val="00893098"/>
    <w:rsid w:val="008934E1"/>
    <w:rsid w:val="00896E61"/>
    <w:rsid w:val="008A3FF3"/>
    <w:rsid w:val="008A6AD8"/>
    <w:rsid w:val="008B4088"/>
    <w:rsid w:val="008C4439"/>
    <w:rsid w:val="008C5CE5"/>
    <w:rsid w:val="008C6B15"/>
    <w:rsid w:val="008D7DED"/>
    <w:rsid w:val="008E1019"/>
    <w:rsid w:val="008E43E4"/>
    <w:rsid w:val="008E57AD"/>
    <w:rsid w:val="008E7503"/>
    <w:rsid w:val="00901D4C"/>
    <w:rsid w:val="009020DC"/>
    <w:rsid w:val="00924A9C"/>
    <w:rsid w:val="009474C7"/>
    <w:rsid w:val="00961797"/>
    <w:rsid w:val="009754CE"/>
    <w:rsid w:val="00975C40"/>
    <w:rsid w:val="00976035"/>
    <w:rsid w:val="0097649B"/>
    <w:rsid w:val="009B53D7"/>
    <w:rsid w:val="009C4619"/>
    <w:rsid w:val="009E6230"/>
    <w:rsid w:val="009F51B8"/>
    <w:rsid w:val="00A06B54"/>
    <w:rsid w:val="00A41FA2"/>
    <w:rsid w:val="00A60BDF"/>
    <w:rsid w:val="00A615BE"/>
    <w:rsid w:val="00A67E96"/>
    <w:rsid w:val="00A80628"/>
    <w:rsid w:val="00A87C85"/>
    <w:rsid w:val="00A977D3"/>
    <w:rsid w:val="00AA126A"/>
    <w:rsid w:val="00AA2DD5"/>
    <w:rsid w:val="00AA362D"/>
    <w:rsid w:val="00AB2729"/>
    <w:rsid w:val="00AB722E"/>
    <w:rsid w:val="00AC7AF8"/>
    <w:rsid w:val="00AD3124"/>
    <w:rsid w:val="00AE6953"/>
    <w:rsid w:val="00AF60DA"/>
    <w:rsid w:val="00B04E9C"/>
    <w:rsid w:val="00B1161F"/>
    <w:rsid w:val="00B13BC9"/>
    <w:rsid w:val="00B22C00"/>
    <w:rsid w:val="00B22E14"/>
    <w:rsid w:val="00B371DA"/>
    <w:rsid w:val="00B40E51"/>
    <w:rsid w:val="00B44B95"/>
    <w:rsid w:val="00B47379"/>
    <w:rsid w:val="00B9231E"/>
    <w:rsid w:val="00BA5BA1"/>
    <w:rsid w:val="00BC52F4"/>
    <w:rsid w:val="00BD5553"/>
    <w:rsid w:val="00BE0065"/>
    <w:rsid w:val="00BE3FBA"/>
    <w:rsid w:val="00BE7D2C"/>
    <w:rsid w:val="00BF5920"/>
    <w:rsid w:val="00BF5EC4"/>
    <w:rsid w:val="00BF718E"/>
    <w:rsid w:val="00BF795B"/>
    <w:rsid w:val="00BF7A9C"/>
    <w:rsid w:val="00C03E3C"/>
    <w:rsid w:val="00C06381"/>
    <w:rsid w:val="00C22323"/>
    <w:rsid w:val="00C237C3"/>
    <w:rsid w:val="00C27669"/>
    <w:rsid w:val="00C40DC7"/>
    <w:rsid w:val="00C64DCC"/>
    <w:rsid w:val="00C860FE"/>
    <w:rsid w:val="00CB0E7D"/>
    <w:rsid w:val="00CC4990"/>
    <w:rsid w:val="00CD4C09"/>
    <w:rsid w:val="00CF083B"/>
    <w:rsid w:val="00CF2FB4"/>
    <w:rsid w:val="00D06396"/>
    <w:rsid w:val="00D06A16"/>
    <w:rsid w:val="00D07604"/>
    <w:rsid w:val="00D07E17"/>
    <w:rsid w:val="00D200C4"/>
    <w:rsid w:val="00D2085C"/>
    <w:rsid w:val="00D211FE"/>
    <w:rsid w:val="00D27660"/>
    <w:rsid w:val="00D535EA"/>
    <w:rsid w:val="00D61721"/>
    <w:rsid w:val="00D766D6"/>
    <w:rsid w:val="00D80DC1"/>
    <w:rsid w:val="00D93F8D"/>
    <w:rsid w:val="00DA4F89"/>
    <w:rsid w:val="00DA6019"/>
    <w:rsid w:val="00DB52FC"/>
    <w:rsid w:val="00DB66F4"/>
    <w:rsid w:val="00DB67AE"/>
    <w:rsid w:val="00DC3EB5"/>
    <w:rsid w:val="00DC63E0"/>
    <w:rsid w:val="00DE6208"/>
    <w:rsid w:val="00DE787E"/>
    <w:rsid w:val="00E133FC"/>
    <w:rsid w:val="00E160D0"/>
    <w:rsid w:val="00E1776C"/>
    <w:rsid w:val="00E20124"/>
    <w:rsid w:val="00E22623"/>
    <w:rsid w:val="00E537D9"/>
    <w:rsid w:val="00E56D7A"/>
    <w:rsid w:val="00E74093"/>
    <w:rsid w:val="00E845DF"/>
    <w:rsid w:val="00E92E5D"/>
    <w:rsid w:val="00EC21F0"/>
    <w:rsid w:val="00EC2580"/>
    <w:rsid w:val="00EC43DC"/>
    <w:rsid w:val="00ED1145"/>
    <w:rsid w:val="00ED1D15"/>
    <w:rsid w:val="00ED2565"/>
    <w:rsid w:val="00ED3E02"/>
    <w:rsid w:val="00ED67DE"/>
    <w:rsid w:val="00ED7B89"/>
    <w:rsid w:val="00EE1E56"/>
    <w:rsid w:val="00EE52CB"/>
    <w:rsid w:val="00F04C52"/>
    <w:rsid w:val="00F30532"/>
    <w:rsid w:val="00F34466"/>
    <w:rsid w:val="00F365E6"/>
    <w:rsid w:val="00F42AB8"/>
    <w:rsid w:val="00F44D4B"/>
    <w:rsid w:val="00F66CB6"/>
    <w:rsid w:val="00F777A7"/>
    <w:rsid w:val="00F81410"/>
    <w:rsid w:val="00F85665"/>
    <w:rsid w:val="00F86F29"/>
    <w:rsid w:val="00F90C61"/>
    <w:rsid w:val="00F91FEA"/>
    <w:rsid w:val="00F92DDA"/>
    <w:rsid w:val="00F94556"/>
    <w:rsid w:val="00FA105C"/>
    <w:rsid w:val="00FA2D92"/>
    <w:rsid w:val="00FA6E45"/>
    <w:rsid w:val="00FC5B7A"/>
    <w:rsid w:val="00FD598B"/>
    <w:rsid w:val="00FD7F26"/>
    <w:rsid w:val="00FE4532"/>
    <w:rsid w:val="00FF487D"/>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AAC10D"/>
  <w15:docId w15:val="{F833F753-3502-4F99-8BCD-6929B5F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40D0"/>
  </w:style>
  <w:style w:type="paragraph" w:styleId="Heading1">
    <w:name w:val="heading 1"/>
    <w:basedOn w:val="Normal"/>
    <w:next w:val="Normal"/>
    <w:pPr>
      <w:spacing w:before="100" w:after="10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5D7D3D"/>
    <w:pPr>
      <w:tabs>
        <w:tab w:val="center" w:pos="4153"/>
        <w:tab w:val="right" w:pos="8306"/>
      </w:tabs>
    </w:pPr>
  </w:style>
  <w:style w:type="character" w:customStyle="1" w:styleId="FooterChar">
    <w:name w:val="Footer Char"/>
    <w:basedOn w:val="DefaultParagraphFont"/>
    <w:link w:val="Footer"/>
    <w:uiPriority w:val="99"/>
    <w:rsid w:val="005D7D3D"/>
  </w:style>
  <w:style w:type="paragraph" w:styleId="Header">
    <w:name w:val="header"/>
    <w:basedOn w:val="Normal"/>
    <w:link w:val="HeaderChar"/>
    <w:uiPriority w:val="99"/>
    <w:unhideWhenUsed/>
    <w:rsid w:val="005D7D3D"/>
    <w:pPr>
      <w:tabs>
        <w:tab w:val="center" w:pos="4153"/>
        <w:tab w:val="right" w:pos="8306"/>
      </w:tabs>
    </w:pPr>
  </w:style>
  <w:style w:type="character" w:customStyle="1" w:styleId="HeaderChar">
    <w:name w:val="Header Char"/>
    <w:basedOn w:val="DefaultParagraphFont"/>
    <w:link w:val="Header"/>
    <w:uiPriority w:val="99"/>
    <w:rsid w:val="005D7D3D"/>
  </w:style>
  <w:style w:type="character" w:styleId="CommentReference">
    <w:name w:val="annotation reference"/>
    <w:basedOn w:val="DefaultParagraphFont"/>
    <w:uiPriority w:val="99"/>
    <w:semiHidden/>
    <w:unhideWhenUsed/>
    <w:rsid w:val="00176E78"/>
    <w:rPr>
      <w:sz w:val="16"/>
      <w:szCs w:val="16"/>
    </w:rPr>
  </w:style>
  <w:style w:type="paragraph" w:styleId="CommentText">
    <w:name w:val="annotation text"/>
    <w:basedOn w:val="Normal"/>
    <w:link w:val="CommentTextChar"/>
    <w:uiPriority w:val="99"/>
    <w:unhideWhenUsed/>
    <w:rsid w:val="00176E78"/>
    <w:rPr>
      <w:sz w:val="20"/>
      <w:szCs w:val="20"/>
    </w:rPr>
  </w:style>
  <w:style w:type="character" w:customStyle="1" w:styleId="CommentTextChar">
    <w:name w:val="Comment Text Char"/>
    <w:basedOn w:val="DefaultParagraphFont"/>
    <w:link w:val="CommentText"/>
    <w:uiPriority w:val="99"/>
    <w:rsid w:val="00176E78"/>
    <w:rPr>
      <w:sz w:val="20"/>
      <w:szCs w:val="20"/>
    </w:rPr>
  </w:style>
  <w:style w:type="paragraph" w:styleId="CommentSubject">
    <w:name w:val="annotation subject"/>
    <w:basedOn w:val="CommentText"/>
    <w:next w:val="CommentText"/>
    <w:link w:val="CommentSubjectChar"/>
    <w:uiPriority w:val="99"/>
    <w:semiHidden/>
    <w:unhideWhenUsed/>
    <w:rsid w:val="00176E78"/>
    <w:rPr>
      <w:b/>
      <w:bCs/>
    </w:rPr>
  </w:style>
  <w:style w:type="character" w:customStyle="1" w:styleId="CommentSubjectChar">
    <w:name w:val="Comment Subject Char"/>
    <w:basedOn w:val="CommentTextChar"/>
    <w:link w:val="CommentSubject"/>
    <w:uiPriority w:val="99"/>
    <w:semiHidden/>
    <w:rsid w:val="00176E78"/>
    <w:rPr>
      <w:b/>
      <w:bCs/>
      <w:sz w:val="20"/>
      <w:szCs w:val="20"/>
    </w:rPr>
  </w:style>
  <w:style w:type="paragraph" w:styleId="BalloonText">
    <w:name w:val="Balloon Text"/>
    <w:basedOn w:val="Normal"/>
    <w:link w:val="BalloonTextChar"/>
    <w:uiPriority w:val="99"/>
    <w:semiHidden/>
    <w:unhideWhenUsed/>
    <w:rsid w:val="00176E78"/>
    <w:rPr>
      <w:rFonts w:ascii="Tahoma" w:hAnsi="Tahoma" w:cs="Tahoma"/>
      <w:sz w:val="16"/>
      <w:szCs w:val="16"/>
    </w:rPr>
  </w:style>
  <w:style w:type="character" w:customStyle="1" w:styleId="BalloonTextChar">
    <w:name w:val="Balloon Text Char"/>
    <w:basedOn w:val="DefaultParagraphFont"/>
    <w:link w:val="BalloonText"/>
    <w:uiPriority w:val="99"/>
    <w:semiHidden/>
    <w:rsid w:val="00176E78"/>
    <w:rPr>
      <w:rFonts w:ascii="Tahoma" w:hAnsi="Tahoma" w:cs="Tahoma"/>
      <w:sz w:val="16"/>
      <w:szCs w:val="16"/>
    </w:rPr>
  </w:style>
  <w:style w:type="paragraph" w:customStyle="1" w:styleId="tv213">
    <w:name w:val="tv213"/>
    <w:basedOn w:val="Normal"/>
    <w:rsid w:val="00B22C00"/>
    <w:pPr>
      <w:spacing w:before="100" w:beforeAutospacing="1" w:after="100" w:afterAutospacing="1"/>
    </w:pPr>
  </w:style>
  <w:style w:type="paragraph" w:styleId="NoSpacing">
    <w:name w:val="No Spacing"/>
    <w:uiPriority w:val="1"/>
    <w:qFormat/>
    <w:rsid w:val="00A80628"/>
  </w:style>
  <w:style w:type="character" w:styleId="Hyperlink">
    <w:name w:val="Hyperlink"/>
    <w:uiPriority w:val="99"/>
    <w:unhideWhenUsed/>
    <w:rsid w:val="00CF083B"/>
    <w:rPr>
      <w:color w:val="0563C1"/>
      <w:u w:val="single"/>
    </w:rPr>
  </w:style>
  <w:style w:type="table" w:styleId="TableGrid">
    <w:name w:val="Table Grid"/>
    <w:basedOn w:val="TableNormal"/>
    <w:uiPriority w:val="59"/>
    <w:rsid w:val="004E3633"/>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Akapit z listą BS,H&amp;P List Paragraph,Strip"/>
    <w:basedOn w:val="Normal"/>
    <w:link w:val="ListParagraphChar"/>
    <w:uiPriority w:val="34"/>
    <w:qFormat/>
    <w:rsid w:val="001972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1972E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9845">
      <w:bodyDiv w:val="1"/>
      <w:marLeft w:val="0"/>
      <w:marRight w:val="0"/>
      <w:marTop w:val="0"/>
      <w:marBottom w:val="0"/>
      <w:divBdr>
        <w:top w:val="none" w:sz="0" w:space="0" w:color="auto"/>
        <w:left w:val="none" w:sz="0" w:space="0" w:color="auto"/>
        <w:bottom w:val="none" w:sz="0" w:space="0" w:color="auto"/>
        <w:right w:val="none" w:sz="0" w:space="0" w:color="auto"/>
      </w:divBdr>
    </w:div>
    <w:div w:id="436295083">
      <w:bodyDiv w:val="1"/>
      <w:marLeft w:val="0"/>
      <w:marRight w:val="0"/>
      <w:marTop w:val="0"/>
      <w:marBottom w:val="0"/>
      <w:divBdr>
        <w:top w:val="none" w:sz="0" w:space="0" w:color="auto"/>
        <w:left w:val="none" w:sz="0" w:space="0" w:color="auto"/>
        <w:bottom w:val="none" w:sz="0" w:space="0" w:color="auto"/>
        <w:right w:val="none" w:sz="0" w:space="0" w:color="auto"/>
      </w:divBdr>
    </w:div>
    <w:div w:id="779645194">
      <w:bodyDiv w:val="1"/>
      <w:marLeft w:val="0"/>
      <w:marRight w:val="0"/>
      <w:marTop w:val="0"/>
      <w:marBottom w:val="0"/>
      <w:divBdr>
        <w:top w:val="none" w:sz="0" w:space="0" w:color="auto"/>
        <w:left w:val="none" w:sz="0" w:space="0" w:color="auto"/>
        <w:bottom w:val="none" w:sz="0" w:space="0" w:color="auto"/>
        <w:right w:val="none" w:sz="0" w:space="0" w:color="auto"/>
      </w:divBdr>
    </w:div>
    <w:div w:id="867110128">
      <w:bodyDiv w:val="1"/>
      <w:marLeft w:val="0"/>
      <w:marRight w:val="0"/>
      <w:marTop w:val="0"/>
      <w:marBottom w:val="0"/>
      <w:divBdr>
        <w:top w:val="none" w:sz="0" w:space="0" w:color="auto"/>
        <w:left w:val="none" w:sz="0" w:space="0" w:color="auto"/>
        <w:bottom w:val="none" w:sz="0" w:space="0" w:color="auto"/>
        <w:right w:val="none" w:sz="0" w:space="0" w:color="auto"/>
      </w:divBdr>
    </w:div>
    <w:div w:id="1281574010">
      <w:bodyDiv w:val="1"/>
      <w:marLeft w:val="0"/>
      <w:marRight w:val="0"/>
      <w:marTop w:val="0"/>
      <w:marBottom w:val="0"/>
      <w:divBdr>
        <w:top w:val="none" w:sz="0" w:space="0" w:color="auto"/>
        <w:left w:val="none" w:sz="0" w:space="0" w:color="auto"/>
        <w:bottom w:val="none" w:sz="0" w:space="0" w:color="auto"/>
        <w:right w:val="none" w:sz="0" w:space="0" w:color="auto"/>
      </w:divBdr>
    </w:div>
    <w:div w:id="132226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9266-7AA8-46D0-AAEC-2E43D96A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4519</Words>
  <Characters>2576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„Noteikumi par valsts pamatizglītības standartu un pamatizglītības programmu paraugiem”</vt:lpstr>
      <vt:lpstr>Izziņa par atzinumos sniegtajiem iebildumiem Ministru kabineta noteikumu projektam „Noteikumi par valsts pamatizglītības standartu un pamatizglītības programmu paraugiem”</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„Noteikumi par valsts pamatizglītības standartu un pamatizglītības programmu paraugiem”</dc:title>
  <dc:creator>Liene Zeile</dc:creator>
  <dc:description>T.67814439</dc:description>
  <cp:lastModifiedBy>Ivars Zemļanskis</cp:lastModifiedBy>
  <cp:revision>26</cp:revision>
  <dcterms:created xsi:type="dcterms:W3CDTF">2020-06-13T11:59:00Z</dcterms:created>
  <dcterms:modified xsi:type="dcterms:W3CDTF">2020-09-09T09:11:00Z</dcterms:modified>
</cp:coreProperties>
</file>