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2" w:rsidRDefault="00203143">
      <w:pPr>
        <w:pStyle w:val="Standarduser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Ministru  kabineta noteikumu projekta “Grozījums Ministru kabineta 2016. gada 17.maija noteikumos Nr. 297 „Kārtība, kādā Valsts ugunsdzēsības un glābšanas dienests veic un vada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ugunsgrēku dzēšanu un glābšanas darbus” sākotnējās ietekmes novērtējuma ziņojums (anotācija)</w:t>
      </w:r>
    </w:p>
    <w:p w:rsidR="00AD68F2" w:rsidRDefault="00AD68F2">
      <w:pPr>
        <w:pStyle w:val="Standarduser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AD68F2" w:rsidRDefault="00AD68F2">
      <w:pPr>
        <w:pStyle w:val="Standarduser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5482"/>
      </w:tblGrid>
      <w:tr w:rsidR="00AD68F2" w:rsidTr="007E4582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18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6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5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/>
              <w:ind w:firstLine="367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Ministru kabineta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2009.gada 15.decembra instrukcijas Nr.19 „Tiesību akta projekta sākotnējās ietekmes izvērtēšanas kārtība” 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punktam kopsavilkums nav aizpildāms.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p w:rsidR="00AD68F2" w:rsidRDefault="00AD68F2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108"/>
        <w:gridCol w:w="5477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2020. gada 23. jūnijā stājās spēkā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Administratīvo teritoriju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apdzīvoto vietu likums, kas paredz jaunu apdzīvotas vietas veidu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mazciemu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kā arī nosaka pilsētām  jaunu iedalījumu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novada pilsētas. Ministru kabineta 2016. gada 17. maija noteikumi Nr. 297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„Kārtība, kādā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ugunsdzēsības un glābšanas dienests veic un vada ugunsgrēku dzēšanu un glābšanas darbus” neatbilst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Administratīvo teritoriju un apdzīvoto vietu likuma ieviestajām izmaiņām, tādēļ ir grozāmi.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esību akta projekts izstrādāts, tiesiskā regulējuma mērķis un būtība</w:t>
            </w:r>
          </w:p>
          <w:p w:rsidR="00AD68F2" w:rsidRDefault="00AD68F2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68F2" w:rsidRDefault="00AD68F2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68F2" w:rsidRDefault="00AD68F2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68F2" w:rsidRDefault="00AD68F2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68F2" w:rsidRDefault="00AD68F2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68F2" w:rsidRDefault="00AD68F2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D68F2" w:rsidRDefault="00AD68F2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ind w:firstLine="349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Valsts ugunsdzēsības un glābšanas dienests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 glābšanas darbus saskaņā ar Ministru kabineta 2016.gada 17.maija noteikumiem Nr.297 “Kārtība, kādā Valsts ugunsdzēsības un glābšanas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dienests veic un vada ugunsgrēku dzēšanu un glābšanas darbus” (turpmāk – noteikumi Nr.297). Turklāt noteikumi Nr.297 nosaka arī Valsts ugunsdzēsības un glābšanas dienesta apakšvienību ierašanās laiku notikuma vietā.</w:t>
            </w:r>
          </w:p>
          <w:p w:rsidR="00AD68F2" w:rsidRDefault="00203143">
            <w:pPr>
              <w:pStyle w:val="Standarduser"/>
              <w:ind w:firstLine="3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atbilstoši noteikumos Nr.297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noteiktajam,   pēc izbraukšanas no Valsts ugunsdzēsības un glābšanas dienesta tuvākā apakšvienība notikuma vietā ierodas:   republikas pilsētā, pilsētā un ciemā, kur atrodas Valsts ugunsdzēsības un glābšanas dienesta apakšvienība -  astoņu minūšu laikā.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vukārt tādā pilsētā, ciemā, novada un pagasta teritorijā, kur neatrodas Valsts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ugunsdzēsības un glābšanas dienesta apakšvienība, ierašanās notikuma vietā ir 23 minūšu laikā.</w:t>
            </w:r>
          </w:p>
          <w:p w:rsidR="00AD68F2" w:rsidRDefault="00203143">
            <w:pPr>
              <w:pStyle w:val="Standarduser"/>
              <w:spacing w:after="0" w:line="240" w:lineRule="auto"/>
              <w:ind w:firstLine="3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teritoriju un apdzīvoto vietu likums (turpmāk - Likums), kas stājās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2020. gada 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23. jūnijā, izšķir šādus apdzīvotu vietu veidus: 1) pilsētas, 2) ciemi, 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mazciemi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4) viensētas. Pilsētas ar Likumu sīkāk tiek iedalītas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novadu pilsētās. Attiecībā uz ciemiem Likuma Pārejas noteikumu 15. punkts nosaka,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o 2021. gada 1. jūlija adrešu reģistrā reģistrētie ciemi, kuriem teritorijas plānojumā nav noteiktas ciema robežas, uzskatāmi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mazciemiem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, un Valsts zemes dienests veic attiecīgas izmaiņas adrešu reģistrā. Līdz ar to pastāv iespēja, ka ciems, kurā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uz tiesību akta projekta izstrādes dienu atrodas Valsts ugunsdzēsības un glābšanas dienesta daļa vai postenis, pēc 2021. gada 1. jūlija būs uzskatāms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mazciemu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Noteikumos Nr. 297 nav atrunāts cik ilgā laikā apakšvienībai jāierodas notikuma vietā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mazciemā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atrodas Valsts ugunsdzēsības un glābšanas dienesta daļa vai postenis, kā arī 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</w:t>
            </w:r>
            <w:proofErr w:type="spellStart"/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mazciemā</w:t>
            </w:r>
            <w:proofErr w:type="spellEnd"/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neatrodas 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daļa vai postenis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Turklāt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Nr. 297 satur norādi uz republikas pilsētām - pilsētu veidu, kuru, atšķirībā no iepriekšējā tiesiskā regulējuma, Likums neparedz. Tiesību akta projekts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zstrādāts, lai nodrošinātu Noteikumu Nr. 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atbilstību Administratīvo teritoriju un apdzīvoto vietu likumam, atsakoties no termina republikas pilsēta un nosakot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  pēc izbraukšanas no Valsts ugunsdzēsības un glābšanas dienesta tuvākā apakšvienība notiku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 vietā ierodas pilsētā, ciemā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mazciemā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 atrodas Valsts ugunsdzēsības un glābšanas dienesta apakšvienība astoņu minūšu laikā. Savukārt pilsētā, ciemā, </w:t>
            </w:r>
            <w:proofErr w:type="spellStart"/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mazciemā</w:t>
            </w:r>
            <w:proofErr w:type="spellEnd"/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pagastā vai citā novada teritorijā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 neatrodas Valsts ugunsdzēsības un glābšanas dienesta apakšvienī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ba, ierašanās notikuma vietā ir 23 minūšu laikā.</w:t>
            </w:r>
          </w:p>
          <w:p w:rsidR="00AD68F2" w:rsidRDefault="00203143" w:rsidP="002F1F2F">
            <w:pPr>
              <w:pStyle w:val="Standarduser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Tiesību akta projekts stājas spēkā 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2021.gada 1.jūlijā.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28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  <w:p w:rsidR="00AD68F2" w:rsidRDefault="00AD68F2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lv-LV"/>
              </w:rPr>
            </w:pP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Cita 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informācija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108"/>
        <w:gridCol w:w="5477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4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31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Tiesiskā regulējuma 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ietekme uz tautsaimniecību un administratīvo slogu</w:t>
            </w:r>
          </w:p>
        </w:tc>
        <w:tc>
          <w:tcPr>
            <w:tcW w:w="54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4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4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4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V. Tiesību akta projekta atbilstība Latvijas Republikas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starptautiskajām saistībām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108"/>
        <w:gridCol w:w="5477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kvantitatīvi un kvalitatīvi </w:t>
            </w:r>
            <w:r>
              <w:rPr>
                <w:rFonts w:ascii="Times New Roman" w:hAnsi="Times New Roman"/>
                <w:sz w:val="24"/>
                <w:szCs w:val="24"/>
              </w:rPr>
              <w:t>nepasliktina sabiedrības iespēju saņemt pakalpojumus. Tādejādi sabiedrības līdzdalības un komunikācijas aktivitātes netiks veiktas.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AD68F2" w:rsidRDefault="00203143">
      <w:pPr>
        <w:pStyle w:val="Standarduser"/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108"/>
        <w:gridCol w:w="5477"/>
      </w:tblGrid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918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68F2" w:rsidRDefault="00203143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VII.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ugunsdzēsības un glābšanas dienests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Jaunu 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institūciju izveide, esošu institūciju likvidācija vai reorganizācija, to ietekme uz institūcijas cilvēkresursiem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projekts nemaina iesaistīto institūciju kompetenci.</w:t>
            </w:r>
          </w:p>
        </w:tc>
      </w:tr>
      <w:tr w:rsidR="00AD68F2" w:rsidTr="007E4582">
        <w:tblPrEx>
          <w:tblCellMar>
            <w:top w:w="0" w:type="dxa"/>
            <w:bottom w:w="0" w:type="dxa"/>
          </w:tblCellMar>
        </w:tblPrEx>
        <w:tc>
          <w:tcPr>
            <w:tcW w:w="5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4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68F2" w:rsidRDefault="00203143">
            <w:pPr>
              <w:pStyle w:val="Standardus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AD68F2" w:rsidRDefault="00AD68F2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F2" w:rsidRDefault="00203143">
      <w:pPr>
        <w:pStyle w:val="naisf"/>
        <w:spacing w:before="0" w:after="0"/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ab/>
        <w:t xml:space="preserve"> S. </w:t>
      </w:r>
      <w:proofErr w:type="spellStart"/>
      <w:r>
        <w:t>Ģirģens</w:t>
      </w:r>
      <w:proofErr w:type="spellEnd"/>
    </w:p>
    <w:p w:rsidR="00AD68F2" w:rsidRDefault="00AD68F2">
      <w:pPr>
        <w:pStyle w:val="naisf"/>
        <w:spacing w:before="0" w:after="0"/>
        <w:ind w:firstLine="0"/>
      </w:pPr>
    </w:p>
    <w:p w:rsidR="00AD68F2" w:rsidRDefault="00AD68F2">
      <w:pPr>
        <w:pStyle w:val="naisf"/>
        <w:spacing w:before="0" w:after="0"/>
        <w:ind w:firstLine="0"/>
      </w:pPr>
    </w:p>
    <w:p w:rsidR="00AD68F2" w:rsidRDefault="00203143">
      <w:pPr>
        <w:pStyle w:val="naisf"/>
        <w:spacing w:before="0" w:after="0"/>
        <w:ind w:firstLine="0"/>
      </w:pPr>
      <w:r>
        <w:t xml:space="preserve">Vīza: Iekšlietu ministrijas valsts sekretārs </w:t>
      </w:r>
      <w:r>
        <w:tab/>
      </w:r>
      <w:r>
        <w:tab/>
      </w:r>
      <w:r>
        <w:tab/>
        <w:t>D. Trofimovs</w:t>
      </w:r>
    </w:p>
    <w:p w:rsidR="00AD68F2" w:rsidRDefault="00AD68F2">
      <w:pPr>
        <w:pStyle w:val="naisf"/>
        <w:spacing w:before="0" w:after="0"/>
        <w:ind w:firstLine="0"/>
      </w:pPr>
    </w:p>
    <w:p w:rsidR="00AD68F2" w:rsidRDefault="00AD68F2">
      <w:pPr>
        <w:pStyle w:val="Standarduser"/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8F2" w:rsidRDefault="00AD68F2">
      <w:pPr>
        <w:pStyle w:val="Standarduser"/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8F2" w:rsidRDefault="00AD68F2">
      <w:pPr>
        <w:pStyle w:val="Standarduser"/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8F2" w:rsidRDefault="00AD68F2">
      <w:pPr>
        <w:pStyle w:val="Standarduser"/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8F2" w:rsidRDefault="00AD68F2">
      <w:pPr>
        <w:pStyle w:val="Standarduser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8F2" w:rsidRDefault="00203143">
      <w:pPr>
        <w:pStyle w:val="Nosaukums"/>
        <w:jc w:val="left"/>
      </w:pPr>
      <w:r>
        <w:rPr>
          <w:b w:val="0"/>
          <w:color w:val="000000"/>
          <w:sz w:val="20"/>
        </w:rPr>
        <w:t>24.07.2020 15:37</w:t>
      </w:r>
    </w:p>
    <w:p w:rsidR="00AD68F2" w:rsidRDefault="002F1F2F">
      <w:pPr>
        <w:pStyle w:val="Nosaukums"/>
        <w:jc w:val="left"/>
      </w:pPr>
      <w:r>
        <w:rPr>
          <w:b w:val="0"/>
          <w:color w:val="000000"/>
          <w:sz w:val="20"/>
        </w:rPr>
        <w:t>754</w:t>
      </w:r>
    </w:p>
    <w:p w:rsidR="00AD68F2" w:rsidRDefault="00AD68F2">
      <w:pPr>
        <w:pStyle w:val="Nosaukums"/>
        <w:jc w:val="left"/>
        <w:rPr>
          <w:b w:val="0"/>
          <w:color w:val="000000"/>
          <w:sz w:val="20"/>
        </w:rPr>
      </w:pPr>
    </w:p>
    <w:p w:rsidR="00AD68F2" w:rsidRDefault="00203143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Zāģeris 67075943</w:t>
      </w:r>
    </w:p>
    <w:p w:rsidR="00AD68F2" w:rsidRDefault="00203143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kaspars.zageris@vugd.gov.lv</w:t>
      </w:r>
    </w:p>
    <w:p w:rsidR="00AD68F2" w:rsidRDefault="00AD68F2">
      <w:pPr>
        <w:pStyle w:val="Standarduser"/>
        <w:tabs>
          <w:tab w:val="left" w:pos="6237"/>
        </w:tabs>
        <w:spacing w:after="0" w:line="240" w:lineRule="auto"/>
      </w:pPr>
    </w:p>
    <w:sectPr w:rsidR="00AD68F2">
      <w:headerReference w:type="default" r:id="rId7"/>
      <w:footerReference w:type="default" r:id="rId8"/>
      <w:footerReference w:type="first" r:id="rId9"/>
      <w:pgSz w:w="11906" w:h="16838"/>
      <w:pgMar w:top="1134" w:right="1021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43" w:rsidRDefault="00203143">
      <w:r>
        <w:separator/>
      </w:r>
    </w:p>
  </w:endnote>
  <w:endnote w:type="continuationSeparator" w:id="0">
    <w:p w:rsidR="00203143" w:rsidRDefault="0020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4E" w:rsidRDefault="00203143">
    <w:pPr>
      <w:pStyle w:val="Kjene"/>
      <w:jc w:val="both"/>
    </w:pPr>
    <w:r>
      <w:rPr>
        <w:rFonts w:ascii="Times New Roman" w:hAnsi="Times New Roman"/>
        <w:sz w:val="20"/>
      </w:rPr>
      <w:t>MK_Anot_groz_Nr297; Ministru kabineta noteikumu projekts „</w:t>
    </w:r>
    <w:r>
      <w:rPr>
        <w:rFonts w:ascii="Times New Roman" w:hAnsi="Times New Roman"/>
        <w:bCs/>
        <w:sz w:val="20"/>
      </w:rPr>
      <w:t xml:space="preserve">Grozījums </w:t>
    </w:r>
    <w:r>
      <w:rPr>
        <w:rFonts w:ascii="Times New Roman" w:hAnsi="Times New Roman"/>
        <w:bCs/>
        <w:sz w:val="20"/>
        <w:lang w:eastAsia="lv-LV"/>
      </w:rPr>
      <w:t>Ministru kabineta 2016.gada 17.maija noteikumos Nr.297 “Kārtība, kādā Valsts ugunsdzēsības u</w:t>
    </w:r>
    <w:r>
      <w:rPr>
        <w:rFonts w:ascii="Times New Roman" w:hAnsi="Times New Roman"/>
        <w:bCs/>
        <w:sz w:val="20"/>
        <w:lang w:eastAsia="lv-LV"/>
      </w:rPr>
      <w:t>n glābšanas dienests veic un vada ugunsgrēku dzēšanu un glābšanas darbus</w:t>
    </w:r>
    <w:r>
      <w:rPr>
        <w:rFonts w:ascii="Times New Roman" w:hAnsi="Times New Roman"/>
        <w:bCs/>
        <w:sz w:val="20"/>
      </w:rPr>
      <w:t>””</w:t>
    </w:r>
    <w:r>
      <w:rPr>
        <w:rFonts w:ascii="Times New Roman" w:hAnsi="Times New Roman"/>
        <w:sz w:val="20"/>
      </w:rPr>
      <w:t xml:space="preserve"> sākotnējās ietekmes novērtējuma ziņojums (anotācija)</w:t>
    </w:r>
  </w:p>
  <w:p w:rsidR="00C9144E" w:rsidRDefault="0020314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4E" w:rsidRDefault="00203143">
    <w:pPr>
      <w:pStyle w:val="Galvene"/>
      <w:rPr>
        <w:rFonts w:ascii="Times New Roman" w:hAnsi="Times New Roman"/>
        <w:sz w:val="24"/>
        <w:szCs w:val="24"/>
      </w:rPr>
    </w:pPr>
  </w:p>
  <w:p w:rsidR="00C9144E" w:rsidRDefault="00203143">
    <w:pPr>
      <w:pStyle w:val="Standarduser"/>
    </w:pPr>
  </w:p>
  <w:p w:rsidR="00C9144E" w:rsidRDefault="00203143">
    <w:pPr>
      <w:pStyle w:val="Kjene"/>
    </w:pPr>
  </w:p>
  <w:p w:rsidR="00C9144E" w:rsidRDefault="00203143">
    <w:pPr>
      <w:pStyle w:val="Standarduser"/>
    </w:pPr>
  </w:p>
  <w:p w:rsidR="00C9144E" w:rsidRDefault="00203143">
    <w:pPr>
      <w:pStyle w:val="Kjene"/>
      <w:jc w:val="both"/>
    </w:pPr>
    <w:r>
      <w:rPr>
        <w:rFonts w:ascii="Times New Roman" w:hAnsi="Times New Roman"/>
        <w:sz w:val="20"/>
      </w:rPr>
      <w:t>MK_Anot_groz_Nr297; Ministru kabineta noteikumu projekts „</w:t>
    </w:r>
    <w:r>
      <w:rPr>
        <w:rFonts w:ascii="Times New Roman" w:hAnsi="Times New Roman"/>
        <w:bCs/>
        <w:sz w:val="20"/>
      </w:rPr>
      <w:t xml:space="preserve">Grozījums </w:t>
    </w:r>
    <w:r>
      <w:rPr>
        <w:rFonts w:ascii="Times New Roman" w:hAnsi="Times New Roman"/>
        <w:bCs/>
        <w:sz w:val="20"/>
        <w:lang w:eastAsia="lv-LV"/>
      </w:rPr>
      <w:t xml:space="preserve">Ministru kabineta 2016.gada 17.maija noteikumos Nr.297 </w:t>
    </w:r>
    <w:r>
      <w:rPr>
        <w:rFonts w:ascii="Times New Roman" w:hAnsi="Times New Roman"/>
        <w:bCs/>
        <w:sz w:val="20"/>
        <w:lang w:eastAsia="lv-LV"/>
      </w:rPr>
      <w:t>“Kārtība, kādā Valsts ugunsdzēsības un glābšanas dienests veic un vada ugunsgrēku dzēšanu un glābšanas darbus</w:t>
    </w:r>
    <w:r>
      <w:rPr>
        <w:rFonts w:ascii="Times New Roman" w:hAnsi="Times New Roman"/>
        <w:bCs/>
        <w:sz w:val="20"/>
      </w:rPr>
      <w:t>””</w:t>
    </w:r>
    <w:r>
      <w:rPr>
        <w:rFonts w:ascii="Times New Roman" w:hAnsi="Times New Roman"/>
        <w:sz w:val="20"/>
      </w:rPr>
      <w:t xml:space="preserve"> sākotnējās ietekmes novērtējuma ziņojums (anotācija)</w:t>
    </w:r>
  </w:p>
  <w:p w:rsidR="00C9144E" w:rsidRDefault="0020314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43" w:rsidRDefault="00203143">
      <w:r>
        <w:rPr>
          <w:color w:val="000000"/>
        </w:rPr>
        <w:separator/>
      </w:r>
    </w:p>
  </w:footnote>
  <w:footnote w:type="continuationSeparator" w:id="0">
    <w:p w:rsidR="00203143" w:rsidRDefault="0020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4E" w:rsidRDefault="00203143">
    <w:pPr>
      <w:pStyle w:val="Galvene"/>
      <w:jc w:val="center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fldChar w:fldCharType="begin"/>
    </w:r>
    <w:r>
      <w:rPr>
        <w:rFonts w:ascii="Times New Roman" w:hAnsi="Times New Roman" w:cs="Times New Roman"/>
        <w:sz w:val="24"/>
        <w:szCs w:val="20"/>
      </w:rPr>
      <w:instrText xml:space="preserve"> PAGE </w:instrText>
    </w:r>
    <w:r>
      <w:rPr>
        <w:rFonts w:ascii="Times New Roman" w:hAnsi="Times New Roman" w:cs="Times New Roman"/>
        <w:sz w:val="24"/>
        <w:szCs w:val="20"/>
      </w:rPr>
      <w:fldChar w:fldCharType="separate"/>
    </w:r>
    <w:r w:rsidR="002F1F2F">
      <w:rPr>
        <w:rFonts w:ascii="Times New Roman" w:hAnsi="Times New Roman" w:cs="Times New Roman"/>
        <w:noProof/>
        <w:sz w:val="24"/>
        <w:szCs w:val="20"/>
      </w:rPr>
      <w:t>2</w:t>
    </w:r>
    <w:r>
      <w:rPr>
        <w:rFonts w:ascii="Times New Roman" w:hAnsi="Times New Roman" w:cs="Times New Roman"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1367"/>
    <w:multiLevelType w:val="multilevel"/>
    <w:tmpl w:val="34F4ECA0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F942BA3"/>
    <w:multiLevelType w:val="multilevel"/>
    <w:tmpl w:val="9FD2D3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68F2"/>
    <w:rsid w:val="00203143"/>
    <w:rsid w:val="002F1F2F"/>
    <w:rsid w:val="007E4582"/>
    <w:rsid w:val="00A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F513B-8D9D-444B-86D9-E66B76C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Standarduser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araksts">
    <w:name w:val="List"/>
    <w:basedOn w:val="Textbodyuser"/>
    <w:rPr>
      <w:rFonts w:cs="Lucida Sans"/>
      <w:sz w:val="24"/>
    </w:rPr>
  </w:style>
  <w:style w:type="paragraph" w:styleId="Parakstszemobjekta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160" w:line="259" w:lineRule="auto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labojumupamats">
    <w:name w:val="labojumu_pamats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andFooter">
    <w:name w:val="Header and Footer"/>
    <w:basedOn w:val="Standarduser"/>
  </w:style>
  <w:style w:type="paragraph" w:styleId="Galvene">
    <w:name w:val="header"/>
    <w:basedOn w:val="Standarduser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Standarduser"/>
    <w:pPr>
      <w:tabs>
        <w:tab w:val="center" w:pos="4153"/>
        <w:tab w:val="right" w:pos="8306"/>
      </w:tabs>
      <w:spacing w:after="0" w:line="240" w:lineRule="auto"/>
    </w:pPr>
  </w:style>
  <w:style w:type="paragraph" w:styleId="Balonteksts">
    <w:name w:val="Balloon Text"/>
    <w:basedOn w:val="Standarduser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naisf">
    <w:name w:val="naisf"/>
    <w:basedOn w:val="Standarduser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eksts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paragraph" w:styleId="Sarakstarindkopa">
    <w:name w:val="List Paragraph"/>
    <w:basedOn w:val="Standarduser"/>
    <w:pPr>
      <w:ind w:left="720"/>
    </w:pPr>
  </w:style>
  <w:style w:type="paragraph" w:styleId="Nosaukums">
    <w:name w:val="Title"/>
    <w:basedOn w:val="Standarduser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iknoteik">
    <w:name w:val="lik_noteik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leContents">
    <w:name w:val="Table Contents"/>
    <w:basedOn w:val="Standarduser"/>
    <w:pPr>
      <w:suppressLineNumbers/>
    </w:pPr>
  </w:style>
  <w:style w:type="character" w:customStyle="1" w:styleId="apple-converted-space">
    <w:name w:val="apple-converted-space"/>
    <w:basedOn w:val="Noklusjumarindkopasfonts"/>
  </w:style>
  <w:style w:type="character" w:customStyle="1" w:styleId="Internetlinkuser">
    <w:name w:val="Internet link (user)"/>
    <w:basedOn w:val="Noklusjumarindkopasfonts"/>
    <w:rPr>
      <w:color w:val="0000FF"/>
      <w:u w:val="single"/>
    </w:rPr>
  </w:style>
  <w:style w:type="character" w:customStyle="1" w:styleId="GalveneRakstz">
    <w:name w:val="Galvene Rakstz."/>
    <w:basedOn w:val="Noklusjumarindkopasfonts"/>
  </w:style>
  <w:style w:type="character" w:customStyle="1" w:styleId="KjeneRakstz">
    <w:name w:val="Kājene Rakstz."/>
    <w:basedOn w:val="Noklusjumarindkopasfonts"/>
  </w:style>
  <w:style w:type="character" w:styleId="Vietturateksts">
    <w:name w:val="Placeholder Text"/>
    <w:basedOn w:val="Noklusjumarindkopasfonts"/>
    <w:rPr>
      <w:color w:val="808080"/>
    </w:rPr>
  </w:style>
  <w:style w:type="character" w:customStyle="1" w:styleId="VisitedInternetLink">
    <w:name w:val="Visited Internet Link"/>
    <w:basedOn w:val="Noklusjumarindkopasfonts"/>
    <w:rPr>
      <w:color w:val="954F72"/>
      <w:u w:val="single"/>
    </w:rPr>
  </w:style>
  <w:style w:type="character" w:customStyle="1" w:styleId="BalontekstsRakstz">
    <w:name w:val="Balonteksts Rakstz."/>
    <w:basedOn w:val="Noklusjumarindkopasfonts"/>
    <w:rPr>
      <w:rFonts w:ascii="Tahoma" w:eastAsia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rPr>
      <w:sz w:val="20"/>
      <w:szCs w:val="20"/>
    </w:rPr>
  </w:style>
  <w:style w:type="character" w:customStyle="1" w:styleId="KomentratmaRakstz">
    <w:name w:val="Komentāra tēma Rakstz."/>
    <w:basedOn w:val="KomentratekstsRakstz"/>
    <w:rPr>
      <w:b/>
      <w:bCs/>
      <w:sz w:val="20"/>
      <w:szCs w:val="20"/>
    </w:rPr>
  </w:style>
  <w:style w:type="character" w:customStyle="1" w:styleId="NosaukumsRakstz">
    <w:name w:val="Nosaukums Rakstz."/>
    <w:basedOn w:val="Noklusjumarindkopasfonts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numbering" w:customStyle="1" w:styleId="NoList">
    <w:name w:val="No List"/>
    <w:basedOn w:val="Bezsaraksta"/>
    <w:pPr>
      <w:numPr>
        <w:numId w:val="1"/>
      </w:numPr>
    </w:pPr>
  </w:style>
  <w:style w:type="numbering" w:customStyle="1" w:styleId="WWNum1">
    <w:name w:val="WWNum1"/>
    <w:basedOn w:val="Bezsarak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3812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VUGD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K.Zāģeris</dc:creator>
  <cp:lastModifiedBy>Kaspars Zāģeris</cp:lastModifiedBy>
  <cp:revision>3</cp:revision>
  <cp:lastPrinted>2019-03-15T06:21:00Z</cp:lastPrinted>
  <dcterms:created xsi:type="dcterms:W3CDTF">2020-09-03T07:55:00Z</dcterms:created>
  <dcterms:modified xsi:type="dcterms:W3CDTF">2020-09-03T08:16:00Z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VUGD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