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84F" w:rsidP="00060E1F" w:rsidRDefault="003D0C2E" w14:paraId="7C06A6F2" w14:textId="77777777">
      <w:pPr>
        <w:keepNext/>
        <w:jc w:val="center"/>
        <w:rPr>
          <w:rFonts w:eastAsia="Calibri" w:cs="Times New Roman"/>
          <w:b/>
          <w:spacing w:val="-2"/>
          <w:sz w:val="24"/>
          <w:szCs w:val="24"/>
          <w:lang w:eastAsia="lv-LV"/>
        </w:rPr>
      </w:pPr>
      <w:r w:rsidRPr="00B424B4">
        <w:rPr>
          <w:rFonts w:eastAsia="Times New Roman" w:cs="Times New Roman"/>
          <w:b/>
          <w:bCs/>
          <w:sz w:val="24"/>
          <w:szCs w:val="24"/>
          <w:lang w:eastAsia="lv-LV"/>
        </w:rPr>
        <w:t>Ministru kabine</w:t>
      </w:r>
      <w:r w:rsidR="00AF4C1E">
        <w:rPr>
          <w:rFonts w:eastAsia="Times New Roman" w:cs="Times New Roman"/>
          <w:b/>
          <w:bCs/>
          <w:sz w:val="24"/>
          <w:szCs w:val="24"/>
          <w:lang w:eastAsia="lv-LV"/>
        </w:rPr>
        <w:t xml:space="preserve">ta </w:t>
      </w:r>
      <w:r w:rsidR="00D649AA">
        <w:rPr>
          <w:rFonts w:eastAsia="Times New Roman" w:cs="Times New Roman"/>
          <w:b/>
          <w:bCs/>
          <w:sz w:val="24"/>
          <w:szCs w:val="24"/>
          <w:lang w:eastAsia="lv-LV"/>
        </w:rPr>
        <w:t>rīkojuma</w:t>
      </w:r>
      <w:r w:rsidR="00AF4C1E">
        <w:rPr>
          <w:rFonts w:eastAsia="Times New Roman" w:cs="Times New Roman"/>
          <w:b/>
          <w:bCs/>
          <w:sz w:val="24"/>
          <w:szCs w:val="24"/>
          <w:lang w:eastAsia="lv-LV"/>
        </w:rPr>
        <w:t xml:space="preserve"> projekta „</w:t>
      </w:r>
      <w:r w:rsidR="00D649AA">
        <w:rPr>
          <w:rFonts w:eastAsia="Times New Roman" w:cs="Times New Roman"/>
          <w:b/>
          <w:bCs/>
          <w:sz w:val="24"/>
          <w:szCs w:val="24"/>
          <w:lang w:eastAsia="lv-LV"/>
        </w:rPr>
        <w:t>Par apropriācijas pārdali</w:t>
      </w:r>
      <w:r w:rsidRPr="007C4216" w:rsidR="007C4216">
        <w:rPr>
          <w:rFonts w:eastAsia="Calibri" w:cs="Times New Roman"/>
          <w:b/>
          <w:spacing w:val="-2"/>
          <w:sz w:val="24"/>
          <w:szCs w:val="24"/>
          <w:lang w:eastAsia="lv-LV"/>
        </w:rPr>
        <w:t>”</w:t>
      </w:r>
      <w:r w:rsidR="00060E1F">
        <w:rPr>
          <w:rFonts w:eastAsia="Calibri" w:cs="Times New Roman"/>
          <w:b/>
          <w:spacing w:val="-2"/>
          <w:sz w:val="24"/>
          <w:szCs w:val="24"/>
          <w:lang w:eastAsia="lv-LV"/>
        </w:rPr>
        <w:t xml:space="preserve"> </w:t>
      </w:r>
    </w:p>
    <w:p w:rsidRPr="00B424B4" w:rsidR="002C021A" w:rsidP="00060E1F" w:rsidRDefault="003D0C2E" w14:paraId="1F180C23" w14:textId="4782B280">
      <w:pPr>
        <w:keepNext/>
        <w:jc w:val="center"/>
        <w:rPr>
          <w:rFonts w:eastAsia="Times New Roman" w:cs="Times New Roman"/>
          <w:b/>
          <w:bCs/>
          <w:sz w:val="24"/>
          <w:szCs w:val="24"/>
          <w:lang w:eastAsia="lv-LV"/>
        </w:rPr>
      </w:pPr>
      <w:r w:rsidRPr="00B424B4">
        <w:rPr>
          <w:rFonts w:eastAsia="Times New Roman" w:cs="Times New Roman"/>
          <w:b/>
          <w:bCs/>
          <w:sz w:val="24"/>
          <w:szCs w:val="24"/>
          <w:lang w:eastAsia="lv-LV"/>
        </w:rPr>
        <w:t>sākotnējās ietekmes novērtējuma ziņojums (anotācija)</w:t>
      </w:r>
    </w:p>
    <w:p w:rsidRPr="00B424B4" w:rsidR="00714C03" w:rsidP="002C021A" w:rsidRDefault="00714C03" w14:paraId="4B860B1D" w14:textId="77777777">
      <w:pPr>
        <w:shd w:val="clear" w:color="auto" w:fill="FFFFFF"/>
        <w:jc w:val="center"/>
        <w:rPr>
          <w:rFonts w:eastAsia="Times New Roman" w:cs="Times New Roman"/>
          <w:b/>
          <w:bCs/>
          <w:sz w:val="24"/>
          <w:szCs w:val="24"/>
          <w:lang w:eastAsia="lv-LV"/>
        </w:rPr>
      </w:pPr>
    </w:p>
    <w:tbl>
      <w:tblPr>
        <w:tblW w:w="5125"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098"/>
        <w:gridCol w:w="6190"/>
      </w:tblGrid>
      <w:tr w:rsidRPr="00BB6673" w:rsidR="00674C1E" w:rsidTr="00E277B1" w14:paraId="1F257B83" w14:textId="77777777">
        <w:trPr>
          <w:cantSplit/>
        </w:trPr>
        <w:tc>
          <w:tcPr>
            <w:tcW w:w="9355" w:type="dxa"/>
            <w:gridSpan w:val="2"/>
            <w:shd w:val="clear" w:color="auto" w:fill="FFFFFF"/>
            <w:vAlign w:val="center"/>
            <w:hideMark/>
          </w:tcPr>
          <w:p w:rsidRPr="008E74F3" w:rsidR="00B244F6" w:rsidP="00F652E4" w:rsidRDefault="00B244F6" w14:paraId="3CDA5617" w14:textId="77777777">
            <w:pPr>
              <w:jc w:val="center"/>
              <w:rPr>
                <w:rFonts w:cs="Times New Roman"/>
                <w:b/>
                <w:iCs/>
                <w:sz w:val="24"/>
                <w:szCs w:val="24"/>
              </w:rPr>
            </w:pPr>
            <w:r w:rsidRPr="008E74F3">
              <w:rPr>
                <w:rFonts w:cs="Times New Roman"/>
                <w:b/>
                <w:iCs/>
                <w:sz w:val="24"/>
                <w:szCs w:val="24"/>
              </w:rPr>
              <w:t>Tiesību akta projekta anotācijas kopsavilkums</w:t>
            </w:r>
          </w:p>
        </w:tc>
      </w:tr>
      <w:tr w:rsidRPr="00B424B4" w:rsidR="00674C1E" w:rsidTr="00DA28F9" w14:paraId="7EA896E8" w14:textId="77777777">
        <w:trPr>
          <w:cantSplit/>
        </w:trPr>
        <w:tc>
          <w:tcPr>
            <w:tcW w:w="3119" w:type="dxa"/>
            <w:shd w:val="clear" w:color="auto" w:fill="FFFFFF"/>
            <w:hideMark/>
          </w:tcPr>
          <w:p w:rsidRPr="00B424B4" w:rsidR="00B244F6" w:rsidP="00F652E4" w:rsidRDefault="00B244F6" w14:paraId="7C000B2E" w14:textId="77777777">
            <w:pPr>
              <w:rPr>
                <w:rFonts w:cs="Times New Roman"/>
                <w:iCs/>
                <w:sz w:val="24"/>
                <w:szCs w:val="24"/>
              </w:rPr>
            </w:pPr>
            <w:r w:rsidRPr="00B424B4">
              <w:rPr>
                <w:rFonts w:cs="Times New Roman"/>
                <w:iCs/>
                <w:sz w:val="24"/>
                <w:szCs w:val="24"/>
              </w:rPr>
              <w:t>Mērķis, risinājums un projekta spēkā stāšanās laiks (500 zīmes bez atstarpēm)</w:t>
            </w:r>
          </w:p>
        </w:tc>
        <w:tc>
          <w:tcPr>
            <w:tcW w:w="6236" w:type="dxa"/>
            <w:shd w:val="clear" w:color="auto" w:fill="FFFFFF"/>
            <w:hideMark/>
          </w:tcPr>
          <w:p w:rsidRPr="00C776AB" w:rsidR="00F34F51" w:rsidP="00F34F51" w:rsidRDefault="008E74F3" w14:paraId="3411430F" w14:textId="28DE4C53">
            <w:pPr>
              <w:pStyle w:val="NormalWeb"/>
              <w:spacing w:before="0" w:beforeAutospacing="0" w:after="0" w:afterAutospacing="0"/>
              <w:jc w:val="both"/>
              <w:rPr>
                <w:rFonts w:ascii="Times New Roman" w:hAnsi="Times New Roman" w:cs="Times New Roman"/>
                <w:sz w:val="24"/>
                <w:szCs w:val="24"/>
              </w:rPr>
            </w:pPr>
            <w:r w:rsidRPr="008E74F3">
              <w:rPr>
                <w:rFonts w:ascii="Times New Roman" w:hAnsi="Times New Roman" w:cs="Times New Roman"/>
                <w:sz w:val="24"/>
                <w:szCs w:val="24"/>
              </w:rPr>
              <w:t xml:space="preserve">Ministru kabineta rīkojuma </w:t>
            </w:r>
            <w:r>
              <w:rPr>
                <w:rFonts w:ascii="Times New Roman" w:hAnsi="Times New Roman" w:cs="Times New Roman"/>
                <w:sz w:val="24"/>
                <w:szCs w:val="24"/>
              </w:rPr>
              <w:t>p</w:t>
            </w:r>
            <w:r w:rsidRPr="00C776AB" w:rsidR="00F34F51">
              <w:rPr>
                <w:rFonts w:ascii="Times New Roman" w:hAnsi="Times New Roman" w:cs="Times New Roman"/>
                <w:sz w:val="24"/>
                <w:szCs w:val="24"/>
              </w:rPr>
              <w:t>rojekts “Par apropriācijas pārdali”</w:t>
            </w:r>
            <w:r>
              <w:rPr>
                <w:rFonts w:ascii="Times New Roman" w:hAnsi="Times New Roman" w:cs="Times New Roman"/>
                <w:sz w:val="24"/>
                <w:szCs w:val="24"/>
              </w:rPr>
              <w:t xml:space="preserve"> (turpmāk – rīkojuma projekts)</w:t>
            </w:r>
            <w:r w:rsidRPr="00C776AB" w:rsidR="00F34F51">
              <w:rPr>
                <w:rFonts w:ascii="Times New Roman" w:hAnsi="Times New Roman" w:cs="Times New Roman"/>
                <w:sz w:val="24"/>
                <w:szCs w:val="24"/>
              </w:rPr>
              <w:t xml:space="preserve"> </w:t>
            </w:r>
            <w:r w:rsidR="00F34F51">
              <w:rPr>
                <w:rFonts w:ascii="Times New Roman" w:hAnsi="Times New Roman" w:cs="Times New Roman"/>
                <w:sz w:val="24"/>
                <w:szCs w:val="24"/>
              </w:rPr>
              <w:t xml:space="preserve">paredz </w:t>
            </w:r>
            <w:r w:rsidRPr="00C776AB" w:rsidR="00F34F51">
              <w:rPr>
                <w:rFonts w:ascii="Times New Roman" w:hAnsi="Times New Roman" w:cs="Times New Roman"/>
                <w:sz w:val="24"/>
                <w:szCs w:val="24"/>
              </w:rPr>
              <w:t xml:space="preserve">2020.gadā </w:t>
            </w:r>
            <w:r w:rsidR="00F34F51">
              <w:rPr>
                <w:rFonts w:ascii="Times New Roman" w:hAnsi="Times New Roman" w:cs="Times New Roman"/>
                <w:sz w:val="24"/>
                <w:szCs w:val="24"/>
              </w:rPr>
              <w:t xml:space="preserve">Satiksmes ministrijas </w:t>
            </w:r>
            <w:r w:rsidRPr="00C776AB" w:rsidR="00F34F51">
              <w:rPr>
                <w:rFonts w:ascii="Times New Roman" w:hAnsi="Times New Roman" w:cs="Times New Roman"/>
                <w:sz w:val="24"/>
                <w:szCs w:val="24"/>
              </w:rPr>
              <w:t xml:space="preserve">valsts budžeta programmas apakšprogrammā 31.07.00 “Dotācijas sabiedriskā transporta pakalpojumu sniedzējiem ar braukšanas maksas atvieglojumiem saistīto zaudējumu segšanai” piešķirtos līdzekļus 3 077 517 </w:t>
            </w:r>
            <w:r w:rsidRPr="00F34F51" w:rsidR="00F34F51">
              <w:rPr>
                <w:rFonts w:ascii="Times New Roman" w:hAnsi="Times New Roman" w:cs="Times New Roman"/>
                <w:i/>
                <w:iCs/>
                <w:sz w:val="24"/>
                <w:szCs w:val="24"/>
              </w:rPr>
              <w:t>euro</w:t>
            </w:r>
            <w:r w:rsidRPr="00C776AB" w:rsidR="00F34F51">
              <w:rPr>
                <w:rFonts w:ascii="Times New Roman" w:hAnsi="Times New Roman" w:cs="Times New Roman"/>
                <w:sz w:val="24"/>
                <w:szCs w:val="24"/>
              </w:rPr>
              <w:t xml:space="preserve"> apmērā pārdalīt uz Satiksmes ministrijas budžeta apakšprogrammu 31.06.00 “Dotācija zaudējumu segšanai sabiedriskā transporta pakalpojumu sniedzējiem”, lai nodrošinātu normatīvajos aktos noteikto zaudējumu kompensēšanu sabiedriskā transporta pakalpojumu sniedzējiem 2020.gadā.</w:t>
            </w:r>
          </w:p>
          <w:p w:rsidRPr="00B424B4" w:rsidR="00AE7449" w:rsidP="00F34F51" w:rsidRDefault="00AE7449" w14:paraId="28B9E590" w14:textId="43CB05EA">
            <w:pPr>
              <w:jc w:val="both"/>
              <w:rPr>
                <w:rFonts w:eastAsia="Times New Roman" w:cs="Times New Roman"/>
                <w:sz w:val="24"/>
                <w:szCs w:val="24"/>
                <w:lang w:eastAsia="lv-LV"/>
              </w:rPr>
            </w:pPr>
          </w:p>
        </w:tc>
      </w:tr>
    </w:tbl>
    <w:p w:rsidRPr="00B424B4" w:rsidR="00B244F6" w:rsidP="002C021A" w:rsidRDefault="00B244F6" w14:paraId="24B23B11" w14:textId="77777777">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Pr="00B424B4" w:rsidR="00674C1E" w:rsidTr="00F652E4" w14:paraId="2229590F" w14:textId="77777777">
        <w:trPr>
          <w:trHeight w:val="24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E6BD5" w:rsidR="002C021A" w:rsidP="002C021A" w:rsidRDefault="002C021A" w14:paraId="6490CD85" w14:textId="77777777">
            <w:pPr>
              <w:jc w:val="center"/>
              <w:rPr>
                <w:rFonts w:eastAsia="Times New Roman" w:cs="Times New Roman"/>
                <w:b/>
                <w:bCs/>
                <w:sz w:val="24"/>
                <w:szCs w:val="24"/>
                <w:lang w:eastAsia="lv-LV"/>
              </w:rPr>
            </w:pPr>
            <w:r w:rsidRPr="000E6BD5">
              <w:rPr>
                <w:rFonts w:eastAsia="Times New Roman" w:cs="Times New Roman"/>
                <w:b/>
                <w:bCs/>
                <w:sz w:val="24"/>
                <w:szCs w:val="24"/>
                <w:lang w:eastAsia="lv-LV"/>
              </w:rPr>
              <w:t>I. Tiesību akta projekta izstrādes nepieciešamība</w:t>
            </w:r>
          </w:p>
        </w:tc>
      </w:tr>
      <w:tr w:rsidRPr="00B424B4" w:rsidR="003F75BD" w:rsidTr="000F7ADA" w14:paraId="58A5F723" w14:textId="77777777">
        <w:trPr>
          <w:trHeight w:val="197"/>
        </w:trPr>
        <w:tc>
          <w:tcPr>
            <w:tcW w:w="303"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274A63F3" w14:textId="77777777">
            <w:pPr>
              <w:jc w:val="center"/>
              <w:rPr>
                <w:rFonts w:eastAsia="Times New Roman" w:cs="Times New Roman"/>
                <w:sz w:val="24"/>
                <w:szCs w:val="24"/>
                <w:lang w:eastAsia="lv-LV"/>
              </w:rPr>
            </w:pPr>
            <w:r w:rsidRPr="000E6BD5">
              <w:rPr>
                <w:rFonts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6BE93066" w14:textId="77777777">
            <w:pPr>
              <w:rPr>
                <w:rFonts w:eastAsia="Times New Roman" w:cs="Times New Roman"/>
                <w:sz w:val="24"/>
                <w:szCs w:val="24"/>
                <w:lang w:eastAsia="lv-LV"/>
              </w:rPr>
            </w:pPr>
            <w:r w:rsidRPr="000E6BD5">
              <w:rPr>
                <w:rFonts w:eastAsia="Times New Roman" w:cs="Times New Roman"/>
                <w:sz w:val="24"/>
                <w:szCs w:val="24"/>
                <w:lang w:eastAsia="lv-LV"/>
              </w:rPr>
              <w:t>Pamatojums</w:t>
            </w:r>
          </w:p>
        </w:tc>
        <w:tc>
          <w:tcPr>
            <w:tcW w:w="3333" w:type="pct"/>
            <w:tcBorders>
              <w:top w:val="outset" w:color="414142" w:sz="6" w:space="0"/>
              <w:left w:val="outset" w:color="414142" w:sz="6" w:space="0"/>
              <w:bottom w:val="outset" w:color="414142" w:sz="6" w:space="0"/>
              <w:right w:val="outset" w:color="414142" w:sz="6" w:space="0"/>
            </w:tcBorders>
            <w:hideMark/>
          </w:tcPr>
          <w:p w:rsidRPr="003F75BD" w:rsidR="003F75BD" w:rsidP="00A2645B" w:rsidRDefault="00F05F3D" w14:paraId="6BF2B210" w14:textId="197DCD91">
            <w:pPr>
              <w:jc w:val="both"/>
              <w:rPr>
                <w:sz w:val="24"/>
                <w:szCs w:val="24"/>
              </w:rPr>
            </w:pPr>
            <w:r>
              <w:rPr>
                <w:sz w:val="24"/>
                <w:szCs w:val="24"/>
              </w:rPr>
              <w:t>R</w:t>
            </w:r>
            <w:r w:rsidR="00A2645B">
              <w:rPr>
                <w:sz w:val="24"/>
                <w:szCs w:val="24"/>
              </w:rPr>
              <w:t xml:space="preserve">īkojuma projekts sagatavots </w:t>
            </w:r>
            <w:r w:rsidRPr="003F75BD" w:rsidR="003F75BD">
              <w:rPr>
                <w:sz w:val="24"/>
                <w:szCs w:val="24"/>
              </w:rPr>
              <w:t>pēc Satiksmes ministrijas iniciatīvas</w:t>
            </w:r>
            <w:r w:rsidR="00A2645B">
              <w:rPr>
                <w:sz w:val="24"/>
                <w:szCs w:val="24"/>
              </w:rPr>
              <w:t xml:space="preserve">, ievērojot Likuma par budžetu un finanšu vadību 9.panta </w:t>
            </w:r>
            <w:r w:rsidRPr="00A2645B" w:rsidR="00A2645B">
              <w:rPr>
                <w:sz w:val="24"/>
                <w:szCs w:val="24"/>
              </w:rPr>
              <w:t>13</w:t>
            </w:r>
            <w:r>
              <w:rPr>
                <w:sz w:val="24"/>
                <w:szCs w:val="24"/>
              </w:rPr>
              <w:t>.</w:t>
            </w:r>
            <w:r w:rsidRPr="00481EAA" w:rsidR="00A2645B">
              <w:rPr>
                <w:sz w:val="24"/>
                <w:szCs w:val="24"/>
                <w:vertAlign w:val="superscript"/>
              </w:rPr>
              <w:t>2</w:t>
            </w:r>
            <w:r w:rsidR="00A2645B">
              <w:rPr>
                <w:sz w:val="24"/>
                <w:szCs w:val="24"/>
              </w:rPr>
              <w:t xml:space="preserve"> daļas 1.punkta un 13</w:t>
            </w:r>
            <w:r>
              <w:rPr>
                <w:sz w:val="24"/>
                <w:szCs w:val="24"/>
              </w:rPr>
              <w:t>.</w:t>
            </w:r>
            <w:r w:rsidRPr="00481EAA" w:rsidR="00A2645B">
              <w:rPr>
                <w:sz w:val="24"/>
                <w:szCs w:val="24"/>
                <w:vertAlign w:val="superscript"/>
              </w:rPr>
              <w:t>3</w:t>
            </w:r>
            <w:r w:rsidR="00A2645B">
              <w:rPr>
                <w:sz w:val="24"/>
                <w:szCs w:val="24"/>
              </w:rPr>
              <w:t xml:space="preserve"> daļas 3.punktā noteikto</w:t>
            </w:r>
            <w:r w:rsidRPr="003F75BD" w:rsidR="003F75BD">
              <w:rPr>
                <w:sz w:val="24"/>
                <w:szCs w:val="24"/>
              </w:rPr>
              <w:t>.</w:t>
            </w:r>
          </w:p>
        </w:tc>
      </w:tr>
      <w:tr w:rsidRPr="00C776AB" w:rsidR="003F75BD" w:rsidTr="003D0C2E" w14:paraId="45F144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C776AB" w:rsidR="003F75BD" w:rsidP="003F75BD" w:rsidRDefault="003F75BD" w14:paraId="7206E622" w14:textId="77777777">
            <w:pPr>
              <w:jc w:val="center"/>
              <w:rPr>
                <w:rFonts w:eastAsia="Times New Roman" w:cs="Times New Roman"/>
                <w:sz w:val="24"/>
                <w:szCs w:val="24"/>
                <w:lang w:eastAsia="lv-LV"/>
              </w:rPr>
            </w:pPr>
            <w:r w:rsidRPr="00C776AB">
              <w:rPr>
                <w:rFonts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C776AB" w:rsidR="003F75BD" w:rsidP="003F75BD" w:rsidRDefault="003F75BD" w14:paraId="0DB7A030" w14:textId="77777777">
            <w:pPr>
              <w:rPr>
                <w:rFonts w:eastAsia="Times New Roman" w:cs="Times New Roman"/>
                <w:sz w:val="24"/>
                <w:szCs w:val="24"/>
                <w:lang w:eastAsia="lv-LV"/>
              </w:rPr>
            </w:pPr>
            <w:r w:rsidRPr="00C776AB">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color="414142" w:sz="6" w:space="0"/>
              <w:left w:val="outset" w:color="414142" w:sz="6" w:space="0"/>
              <w:bottom w:val="outset" w:color="414142" w:sz="6" w:space="0"/>
              <w:right w:val="outset" w:color="414142" w:sz="6" w:space="0"/>
            </w:tcBorders>
          </w:tcPr>
          <w:p w:rsidRPr="00C776AB" w:rsidR="003F75BD" w:rsidP="00E659CA" w:rsidRDefault="008E74F3" w14:paraId="1F7EECDF" w14:textId="139736DC">
            <w:pPr>
              <w:pStyle w:val="NormalWeb"/>
              <w:spacing w:before="0" w:beforeAutospacing="0" w:after="0" w:afterAutospacing="0"/>
              <w:ind w:firstLine="247"/>
              <w:jc w:val="both"/>
              <w:rPr>
                <w:rFonts w:ascii="Times New Roman" w:hAnsi="Times New Roman" w:cs="Times New Roman"/>
                <w:sz w:val="24"/>
                <w:szCs w:val="24"/>
              </w:rPr>
            </w:pPr>
            <w:r>
              <w:rPr>
                <w:rFonts w:ascii="Times New Roman" w:hAnsi="Times New Roman" w:cs="Times New Roman"/>
                <w:sz w:val="24"/>
                <w:szCs w:val="24"/>
              </w:rPr>
              <w:t>R</w:t>
            </w:r>
            <w:r w:rsidRPr="00C776AB" w:rsidR="003F75BD">
              <w:rPr>
                <w:rFonts w:ascii="Times New Roman" w:hAnsi="Times New Roman" w:cs="Times New Roman"/>
                <w:sz w:val="24"/>
                <w:szCs w:val="24"/>
              </w:rPr>
              <w:t xml:space="preserve">īkojuma projekts </w:t>
            </w:r>
            <w:r w:rsidR="00E659CA">
              <w:rPr>
                <w:rFonts w:ascii="Times New Roman" w:hAnsi="Times New Roman" w:cs="Times New Roman"/>
                <w:sz w:val="24"/>
                <w:szCs w:val="24"/>
              </w:rPr>
              <w:t xml:space="preserve">paredz </w:t>
            </w:r>
            <w:r w:rsidRPr="00C776AB" w:rsidR="003F75BD">
              <w:rPr>
                <w:rFonts w:ascii="Times New Roman" w:hAnsi="Times New Roman" w:cs="Times New Roman"/>
                <w:sz w:val="24"/>
                <w:szCs w:val="24"/>
              </w:rPr>
              <w:t>2020.gadā valsts budžeta programmas 31.00.00 “Sabiedriskais transports” apakšprogrammā 31.07.00 “Dotācijas sabiedriskā transporta pakalpojumu sniedzējiem ar braukšanas maksas atvieglojumiem saistīto zaudējumu segšanai”  (turpmāk – apakšprogramma 31.07.00) piešķirtos valsts budžeta līdzekļus 3 077 517 euro apmērā pārdalīt normatīvajos aktos noteiktajā kārtībā uz Satiksmes ministrijas budžeta apakšprogrammu 31.06.00 “Dotācija zaudējumu segšanai sabiedriskā transporta pakalpojumu sniedzējiem” (turpmāk – apakšprogramma 31.06.00), lai nodrošinātu normatīvajos aktos noteikto zaudējumu kompensēšanu sabiedriskā transporta pakalpojumu sniedzējiem 2020.gadā.</w:t>
            </w:r>
          </w:p>
          <w:p w:rsidRPr="00C776AB" w:rsidR="003F75BD" w:rsidP="00E659CA" w:rsidRDefault="003F75BD" w14:paraId="4150E2EB" w14:textId="2DF8EB51">
            <w:pPr>
              <w:ind w:firstLine="247"/>
              <w:jc w:val="both"/>
              <w:rPr>
                <w:rFonts w:cs="Times New Roman"/>
                <w:sz w:val="24"/>
                <w:szCs w:val="24"/>
              </w:rPr>
            </w:pPr>
            <w:r w:rsidRPr="00C776AB">
              <w:rPr>
                <w:rFonts w:cs="Times New Roman"/>
                <w:sz w:val="24"/>
                <w:szCs w:val="24"/>
              </w:rPr>
              <w:t xml:space="preserve">Atbilstoši likumam “Par valsts budžetu 2020.gadam” valsts budžeta programmā 31.00.00 Sabiedriskais transports apakšprogrammā 31.06.00 ir paredzēti līdzekļi 40 953 076 </w:t>
            </w:r>
            <w:r w:rsidRPr="00F34F51">
              <w:rPr>
                <w:rFonts w:cs="Times New Roman"/>
                <w:i/>
                <w:iCs/>
                <w:sz w:val="24"/>
                <w:szCs w:val="24"/>
              </w:rPr>
              <w:t>euro</w:t>
            </w:r>
            <w:r w:rsidRPr="00C776AB">
              <w:rPr>
                <w:rFonts w:cs="Times New Roman"/>
                <w:sz w:val="24"/>
                <w:szCs w:val="24"/>
              </w:rPr>
              <w:t xml:space="preserve"> un apakšprogrammā 31.07.00 ir paredzēti līdzekļi 20 650 442 </w:t>
            </w:r>
            <w:r w:rsidRPr="004837F5">
              <w:rPr>
                <w:rFonts w:cs="Times New Roman"/>
                <w:i/>
                <w:iCs/>
                <w:sz w:val="24"/>
                <w:szCs w:val="24"/>
              </w:rPr>
              <w:t>euro</w:t>
            </w:r>
            <w:r w:rsidRPr="00C776AB">
              <w:rPr>
                <w:rFonts w:cs="Times New Roman"/>
                <w:sz w:val="24"/>
                <w:szCs w:val="24"/>
              </w:rPr>
              <w:t>.</w:t>
            </w:r>
          </w:p>
          <w:p w:rsidRPr="00C776AB" w:rsidR="00FF2A08" w:rsidP="00E659CA" w:rsidRDefault="003F75BD" w14:paraId="50962D7F" w14:textId="6F282C02">
            <w:pPr>
              <w:ind w:firstLine="247"/>
              <w:jc w:val="both"/>
              <w:rPr>
                <w:rFonts w:cs="Times New Roman"/>
                <w:sz w:val="24"/>
                <w:szCs w:val="24"/>
              </w:rPr>
            </w:pPr>
            <w:r w:rsidRPr="00C776AB">
              <w:rPr>
                <w:rFonts w:cs="Times New Roman"/>
                <w:noProof/>
                <w:sz w:val="24"/>
                <w:szCs w:val="24"/>
              </w:rPr>
              <w:t>Ievērojot to, ka valstī ārkārtējās situācijas laikā (no 2020.gada 12.marta līdz 9.jūnijam), kā arī pēc tās, būtiski ir mainījies pasažieru skaits (tostarp arī personu, k</w:t>
            </w:r>
            <w:r w:rsidR="008E74F3">
              <w:rPr>
                <w:rFonts w:cs="Times New Roman"/>
                <w:noProof/>
                <w:sz w:val="24"/>
                <w:szCs w:val="24"/>
              </w:rPr>
              <w:t>urām</w:t>
            </w:r>
            <w:r w:rsidRPr="00C776AB">
              <w:rPr>
                <w:rFonts w:cs="Times New Roman"/>
                <w:noProof/>
                <w:sz w:val="24"/>
                <w:szCs w:val="24"/>
              </w:rPr>
              <w:t xml:space="preserve"> noteikti braukšanas maksas atvieglojumi), pēc 2020.gada 1.pusgada rezultātu apkopošanas ir konstatēts, ka </w:t>
            </w:r>
            <w:r w:rsidRPr="00C776AB" w:rsidR="00FF2A08">
              <w:rPr>
                <w:rFonts w:cs="Times New Roman"/>
                <w:noProof/>
                <w:sz w:val="24"/>
                <w:szCs w:val="24"/>
              </w:rPr>
              <w:t xml:space="preserve">reģionālās nozīmes pārvadājumos ar autobusiem un vilcieniem pārvadāto personu ar braukšanas maksas atvieglojumiem 2020.gada 1.pusgadā salīdzinot ar tādu pašu periodu 2019.gadā samazinājies par 32%, savukārt republikas pilsētu pārvadājumos pārvadāto personu ar invaliditāti skaits sarucis par 30%. Līdz ar to arī samazinājušies kompensējamie zaudējumi par personām ar braukšanas maksas atvieglojumiem un </w:t>
            </w:r>
            <w:r w:rsidRPr="00C776AB">
              <w:rPr>
                <w:rFonts w:cs="Times New Roman"/>
                <w:sz w:val="24"/>
                <w:szCs w:val="24"/>
              </w:rPr>
              <w:t xml:space="preserve">apakšprogrammā 31.07.00 </w:t>
            </w:r>
            <w:r w:rsidRPr="00C776AB" w:rsidR="00FF2A08">
              <w:rPr>
                <w:rFonts w:cs="Times New Roman"/>
                <w:sz w:val="24"/>
                <w:szCs w:val="24"/>
              </w:rPr>
              <w:t>kopējais gadā paredzētais finansējums nebūs nepieciešams pilnā apmērā.</w:t>
            </w:r>
          </w:p>
          <w:p w:rsidRPr="00F34F51" w:rsidR="003F75BD" w:rsidP="00AB738B" w:rsidRDefault="002A554B" w14:paraId="65553F72" w14:textId="054AB8EA">
            <w:pPr>
              <w:ind w:firstLine="247"/>
              <w:jc w:val="both"/>
              <w:rPr>
                <w:sz w:val="24"/>
                <w:szCs w:val="24"/>
              </w:rPr>
            </w:pPr>
            <w:r w:rsidRPr="00F34F51">
              <w:rPr>
                <w:rFonts w:cs="Times New Roman"/>
                <w:sz w:val="24"/>
                <w:szCs w:val="24"/>
              </w:rPr>
              <w:lastRenderedPageBreak/>
              <w:t>Aprēķinātā k</w:t>
            </w:r>
            <w:r w:rsidRPr="00F34F51" w:rsidR="003F75BD">
              <w:rPr>
                <w:rFonts w:cs="Times New Roman"/>
                <w:sz w:val="24"/>
                <w:szCs w:val="24"/>
              </w:rPr>
              <w:t>ompensācija par personu ar braukšanas maksas atvieglojumiem pārvadāšanu, tostarp kompensējamais pievienotās vērtības nodoklis</w:t>
            </w:r>
            <w:r w:rsidRPr="00F34F51">
              <w:rPr>
                <w:rFonts w:cs="Times New Roman"/>
                <w:sz w:val="24"/>
                <w:szCs w:val="24"/>
              </w:rPr>
              <w:t>, reģionālās nozīmes pārvadājumos</w:t>
            </w:r>
            <w:r w:rsidRPr="00F34F51" w:rsidR="00C67C4C">
              <w:rPr>
                <w:rFonts w:cs="Times New Roman"/>
                <w:sz w:val="24"/>
                <w:szCs w:val="24"/>
              </w:rPr>
              <w:t xml:space="preserve"> uz</w:t>
            </w:r>
            <w:r w:rsidRPr="00F34F51" w:rsidR="003F75BD">
              <w:rPr>
                <w:rFonts w:cs="Times New Roman"/>
                <w:sz w:val="24"/>
                <w:szCs w:val="24"/>
              </w:rPr>
              <w:t xml:space="preserve"> 2020.gada </w:t>
            </w:r>
            <w:r w:rsidRPr="00F34F51" w:rsidR="00E659CA">
              <w:rPr>
                <w:rFonts w:cs="Times New Roman"/>
                <w:sz w:val="24"/>
                <w:szCs w:val="24"/>
              </w:rPr>
              <w:t>30.jūniju</w:t>
            </w:r>
            <w:r w:rsidRPr="00F34F51" w:rsidR="00954DD6">
              <w:rPr>
                <w:rFonts w:cs="Times New Roman"/>
                <w:sz w:val="24"/>
                <w:szCs w:val="24"/>
              </w:rPr>
              <w:t xml:space="preserve"> ir </w:t>
            </w:r>
            <w:r w:rsidRPr="00F34F51">
              <w:rPr>
                <w:rFonts w:cs="Times New Roman"/>
                <w:sz w:val="24"/>
                <w:szCs w:val="24"/>
              </w:rPr>
              <w:t xml:space="preserve">3 855 033 </w:t>
            </w:r>
            <w:r w:rsidRPr="00F34F51">
              <w:rPr>
                <w:rFonts w:cs="Times New Roman"/>
                <w:i/>
                <w:iCs/>
                <w:sz w:val="24"/>
                <w:szCs w:val="24"/>
              </w:rPr>
              <w:t>euro</w:t>
            </w:r>
            <w:r w:rsidRPr="00F34F51">
              <w:rPr>
                <w:rFonts w:cs="Times New Roman"/>
                <w:sz w:val="24"/>
                <w:szCs w:val="24"/>
              </w:rPr>
              <w:t xml:space="preserve">, bet </w:t>
            </w:r>
            <w:r w:rsidRPr="00F34F51" w:rsidR="00954DD6">
              <w:rPr>
                <w:rFonts w:cs="Times New Roman"/>
                <w:sz w:val="24"/>
                <w:szCs w:val="24"/>
              </w:rPr>
              <w:t>avansā izmaksāt</w:t>
            </w:r>
            <w:r w:rsidRPr="00F34F51">
              <w:rPr>
                <w:rFonts w:cs="Times New Roman"/>
                <w:sz w:val="24"/>
                <w:szCs w:val="24"/>
              </w:rPr>
              <w:t>a</w:t>
            </w:r>
            <w:r w:rsidRPr="00F34F51" w:rsidR="00954DD6">
              <w:rPr>
                <w:rFonts w:cs="Times New Roman"/>
                <w:sz w:val="24"/>
                <w:szCs w:val="24"/>
              </w:rPr>
              <w:t xml:space="preserve">s </w:t>
            </w:r>
            <w:r w:rsidRPr="00F34F51">
              <w:rPr>
                <w:rFonts w:cs="Times New Roman"/>
                <w:sz w:val="24"/>
                <w:szCs w:val="24"/>
              </w:rPr>
              <w:t>dotācijas</w:t>
            </w:r>
            <w:r w:rsidR="008E74F3">
              <w:rPr>
                <w:rFonts w:cs="Times New Roman"/>
                <w:sz w:val="24"/>
                <w:szCs w:val="24"/>
              </w:rPr>
              <w:t xml:space="preserve"> </w:t>
            </w:r>
            <w:r w:rsidRPr="00F34F51">
              <w:rPr>
                <w:rFonts w:cs="Times New Roman"/>
                <w:sz w:val="24"/>
                <w:szCs w:val="24"/>
              </w:rPr>
              <w:t>4 698 472,80</w:t>
            </w:r>
            <w:r w:rsidRPr="00F34F51" w:rsidR="00E659CA">
              <w:rPr>
                <w:rFonts w:cs="Times New Roman"/>
                <w:sz w:val="24"/>
                <w:szCs w:val="24"/>
              </w:rPr>
              <w:t xml:space="preserve"> </w:t>
            </w:r>
            <w:r w:rsidRPr="00F34F51" w:rsidR="00954DD6">
              <w:rPr>
                <w:rFonts w:cs="Times New Roman"/>
                <w:i/>
                <w:iCs/>
                <w:sz w:val="24"/>
                <w:szCs w:val="24"/>
              </w:rPr>
              <w:t>euro</w:t>
            </w:r>
            <w:r w:rsidRPr="00F34F51">
              <w:rPr>
                <w:rFonts w:cs="Times New Roman"/>
                <w:sz w:val="24"/>
                <w:szCs w:val="24"/>
              </w:rPr>
              <w:t xml:space="preserve">, tādējādi radot pārmaksu 0,843 milj. </w:t>
            </w:r>
            <w:r w:rsidRPr="00F34F51">
              <w:rPr>
                <w:rFonts w:cs="Times New Roman"/>
                <w:i/>
                <w:iCs/>
                <w:sz w:val="24"/>
                <w:szCs w:val="24"/>
              </w:rPr>
              <w:t>euro.</w:t>
            </w:r>
            <w:r w:rsidR="00AB738B">
              <w:rPr>
                <w:rFonts w:cs="Times New Roman"/>
                <w:i/>
                <w:iCs/>
                <w:sz w:val="24"/>
                <w:szCs w:val="24"/>
              </w:rPr>
              <w:t xml:space="preserve"> </w:t>
            </w:r>
            <w:r w:rsidRPr="00F34F51" w:rsidR="00086693">
              <w:rPr>
                <w:rFonts w:cs="Times New Roman"/>
                <w:sz w:val="24"/>
                <w:szCs w:val="24"/>
              </w:rPr>
              <w:t>Attiecīgi z</w:t>
            </w:r>
            <w:r w:rsidRPr="00F34F51" w:rsidR="00954DD6">
              <w:rPr>
                <w:rFonts w:cs="Times New Roman"/>
                <w:sz w:val="24"/>
                <w:szCs w:val="24"/>
              </w:rPr>
              <w:t xml:space="preserve">audējumi, kas radušies pilsētas nozīmes maršrutos par personu ar invaliditāti pārvadāšanu, </w:t>
            </w:r>
            <w:r w:rsidR="008E74F3">
              <w:rPr>
                <w:rFonts w:cs="Times New Roman"/>
                <w:sz w:val="24"/>
                <w:szCs w:val="24"/>
              </w:rPr>
              <w:t>tostarp</w:t>
            </w:r>
            <w:r w:rsidRPr="00F34F51" w:rsidR="00954DD6">
              <w:rPr>
                <w:rFonts w:cs="Times New Roman"/>
                <w:sz w:val="24"/>
                <w:szCs w:val="24"/>
              </w:rPr>
              <w:t xml:space="preserve"> kompensējamā pievienotās vērtības nodokļa summa</w:t>
            </w:r>
            <w:r w:rsidRPr="00F34F51" w:rsidR="00C67C4C">
              <w:rPr>
                <w:rFonts w:cs="Times New Roman"/>
                <w:sz w:val="24"/>
                <w:szCs w:val="24"/>
              </w:rPr>
              <w:t xml:space="preserve"> uz</w:t>
            </w:r>
            <w:r w:rsidRPr="00F34F51" w:rsidR="00954DD6">
              <w:rPr>
                <w:rFonts w:cs="Times New Roman"/>
                <w:sz w:val="24"/>
                <w:szCs w:val="24"/>
              </w:rPr>
              <w:t xml:space="preserve"> 2020.gada </w:t>
            </w:r>
            <w:r w:rsidRPr="00F34F51" w:rsidR="00086693">
              <w:rPr>
                <w:rFonts w:cs="Times New Roman"/>
                <w:sz w:val="24"/>
                <w:szCs w:val="24"/>
              </w:rPr>
              <w:t>30.jūniju, ir aprēķināti</w:t>
            </w:r>
            <w:r w:rsidRPr="00F34F51" w:rsidR="00954DD6">
              <w:rPr>
                <w:rFonts w:cs="Times New Roman"/>
                <w:sz w:val="24"/>
                <w:szCs w:val="24"/>
              </w:rPr>
              <w:t xml:space="preserve"> </w:t>
            </w:r>
            <w:r w:rsidRPr="00F34F51" w:rsidR="00086693">
              <w:rPr>
                <w:rFonts w:cs="Times New Roman"/>
                <w:sz w:val="24"/>
                <w:szCs w:val="24"/>
              </w:rPr>
              <w:t xml:space="preserve">3 710 540,80 </w:t>
            </w:r>
            <w:r w:rsidRPr="00F34F51" w:rsidR="00086693">
              <w:rPr>
                <w:rFonts w:cs="Times New Roman"/>
                <w:i/>
                <w:iCs/>
                <w:sz w:val="24"/>
                <w:szCs w:val="24"/>
              </w:rPr>
              <w:t>euro</w:t>
            </w:r>
            <w:r w:rsidRPr="00F34F51" w:rsidR="00086693">
              <w:rPr>
                <w:rFonts w:cs="Times New Roman"/>
                <w:sz w:val="24"/>
                <w:szCs w:val="24"/>
              </w:rPr>
              <w:t xml:space="preserve">, </w:t>
            </w:r>
            <w:r w:rsidRPr="00F34F51" w:rsidR="00954DD6">
              <w:rPr>
                <w:rFonts w:cs="Times New Roman"/>
                <w:sz w:val="24"/>
                <w:szCs w:val="24"/>
              </w:rPr>
              <w:t>avansā izmaksāt</w:t>
            </w:r>
            <w:r w:rsidRPr="00F34F51" w:rsidR="00086693">
              <w:rPr>
                <w:rFonts w:cs="Times New Roman"/>
                <w:sz w:val="24"/>
                <w:szCs w:val="24"/>
              </w:rPr>
              <w:t>a</w:t>
            </w:r>
            <w:r w:rsidRPr="00F34F51" w:rsidR="00954DD6">
              <w:rPr>
                <w:rFonts w:cs="Times New Roman"/>
                <w:sz w:val="24"/>
                <w:szCs w:val="24"/>
              </w:rPr>
              <w:t xml:space="preserve">s </w:t>
            </w:r>
            <w:r w:rsidRPr="00F34F51" w:rsidR="00086693">
              <w:rPr>
                <w:rFonts w:cs="Times New Roman"/>
                <w:sz w:val="24"/>
                <w:szCs w:val="24"/>
              </w:rPr>
              <w:t>dotācijas 5 203</w:t>
            </w:r>
            <w:r w:rsidR="00F34F51">
              <w:rPr>
                <w:rFonts w:cs="Times New Roman"/>
                <w:sz w:val="24"/>
                <w:szCs w:val="24"/>
              </w:rPr>
              <w:t> </w:t>
            </w:r>
            <w:r w:rsidRPr="00F34F51" w:rsidR="00086693">
              <w:rPr>
                <w:rFonts w:cs="Times New Roman"/>
                <w:sz w:val="24"/>
                <w:szCs w:val="24"/>
              </w:rPr>
              <w:t>917</w:t>
            </w:r>
            <w:r w:rsidR="00F34F51">
              <w:rPr>
                <w:rFonts w:cs="Times New Roman"/>
                <w:sz w:val="24"/>
                <w:szCs w:val="24"/>
              </w:rPr>
              <w:t xml:space="preserve"> </w:t>
            </w:r>
            <w:r w:rsidRPr="00F34F51" w:rsidR="00954DD6">
              <w:rPr>
                <w:i/>
                <w:iCs/>
                <w:sz w:val="24"/>
                <w:szCs w:val="24"/>
              </w:rPr>
              <w:t>euro</w:t>
            </w:r>
            <w:r w:rsidRPr="00F34F51" w:rsidR="00086693">
              <w:rPr>
                <w:sz w:val="24"/>
                <w:szCs w:val="24"/>
              </w:rPr>
              <w:t xml:space="preserve">, </w:t>
            </w:r>
            <w:r w:rsidRPr="00F34F51" w:rsidR="003F75BD">
              <w:rPr>
                <w:sz w:val="24"/>
                <w:szCs w:val="24"/>
              </w:rPr>
              <w:t xml:space="preserve">veidojot kopējo pārmaksu </w:t>
            </w:r>
            <w:r w:rsidRPr="00F34F51" w:rsidR="00086693">
              <w:rPr>
                <w:sz w:val="24"/>
                <w:szCs w:val="24"/>
              </w:rPr>
              <w:t xml:space="preserve">pilsētu </w:t>
            </w:r>
            <w:r w:rsidRPr="00F34F51" w:rsidR="003F75BD">
              <w:rPr>
                <w:sz w:val="24"/>
                <w:szCs w:val="24"/>
              </w:rPr>
              <w:t xml:space="preserve">satiksmē </w:t>
            </w:r>
            <w:r w:rsidRPr="00F34F51" w:rsidR="00086693">
              <w:rPr>
                <w:sz w:val="24"/>
                <w:szCs w:val="24"/>
              </w:rPr>
              <w:t>1,493 milj.</w:t>
            </w:r>
            <w:r w:rsidRPr="00F34F51" w:rsidR="00954DD6">
              <w:rPr>
                <w:sz w:val="24"/>
                <w:szCs w:val="24"/>
              </w:rPr>
              <w:t xml:space="preserve"> </w:t>
            </w:r>
            <w:r w:rsidRPr="00F34F51" w:rsidR="00954DD6">
              <w:rPr>
                <w:i/>
                <w:iCs/>
                <w:sz w:val="24"/>
                <w:szCs w:val="24"/>
              </w:rPr>
              <w:t>euro</w:t>
            </w:r>
            <w:r w:rsidRPr="00F34F51" w:rsidR="00F34F51">
              <w:rPr>
                <w:i/>
                <w:iCs/>
                <w:sz w:val="24"/>
                <w:szCs w:val="24"/>
              </w:rPr>
              <w:t>.</w:t>
            </w:r>
          </w:p>
          <w:p w:rsidRPr="00C776AB" w:rsidR="003F75BD" w:rsidP="00E659CA" w:rsidRDefault="003F75BD" w14:paraId="126FEE2B" w14:textId="0A4401FB">
            <w:pPr>
              <w:pStyle w:val="ListParagraph"/>
              <w:tabs>
                <w:tab w:val="left" w:pos="1134"/>
              </w:tabs>
              <w:ind w:left="0" w:firstLine="247"/>
              <w:contextualSpacing w:val="0"/>
              <w:jc w:val="both"/>
              <w:rPr>
                <w:rFonts w:cs="Times New Roman"/>
                <w:sz w:val="24"/>
                <w:szCs w:val="24"/>
              </w:rPr>
            </w:pPr>
            <w:r w:rsidRPr="00F34F51">
              <w:rPr>
                <w:rFonts w:cs="Times New Roman"/>
                <w:sz w:val="24"/>
                <w:szCs w:val="24"/>
              </w:rPr>
              <w:t xml:space="preserve">Saskaņā ar </w:t>
            </w:r>
            <w:r w:rsidRPr="008E74F3" w:rsidR="008E74F3">
              <w:rPr>
                <w:rFonts w:cs="Times New Roman"/>
                <w:sz w:val="24"/>
                <w:szCs w:val="24"/>
              </w:rPr>
              <w:t>VSIA “Autotransporta direkcija”</w:t>
            </w:r>
            <w:r w:rsidR="008E74F3">
              <w:rPr>
                <w:rFonts w:cs="Times New Roman"/>
                <w:sz w:val="24"/>
                <w:szCs w:val="24"/>
              </w:rPr>
              <w:t xml:space="preserve"> (turpmāk – Autotransporta direkcija)</w:t>
            </w:r>
            <w:r w:rsidRPr="008E74F3" w:rsidR="008E74F3">
              <w:rPr>
                <w:rFonts w:cs="Times New Roman"/>
                <w:sz w:val="24"/>
                <w:szCs w:val="24"/>
              </w:rPr>
              <w:t xml:space="preserve"> </w:t>
            </w:r>
            <w:r w:rsidRPr="00C776AB">
              <w:rPr>
                <w:rFonts w:cs="Times New Roman"/>
                <w:sz w:val="24"/>
                <w:szCs w:val="24"/>
              </w:rPr>
              <w:t>prognozēm, pārvadāto pasažieru plūsma (</w:t>
            </w:r>
            <w:r w:rsidR="008E74F3">
              <w:rPr>
                <w:rFonts w:cs="Times New Roman"/>
                <w:sz w:val="24"/>
                <w:szCs w:val="24"/>
              </w:rPr>
              <w:t>tostarp</w:t>
            </w:r>
            <w:r w:rsidRPr="00C776AB">
              <w:rPr>
                <w:rFonts w:cs="Times New Roman"/>
                <w:sz w:val="24"/>
                <w:szCs w:val="24"/>
              </w:rPr>
              <w:t xml:space="preserve"> pasažieru ar braukšanas maksas atvieglojumiem) reģionālās nozīmes pārvadājumos ar ārkārtējās situācijas pārtraukšanu un atsākoties mācībām septembrī atjaunosies pakāpeniski un 2020.gada 1.pusgadā izveidojusies valsts budžeta dotāciju pārmaksa izlīdzināsies gada griezumā. Turklāt kompensācija par personu ar braukšanas maksas atvieglojumiem pārvadāšanu ir jāskata kontekstā ar kopējo zaudējumu apjomu reģionālās nozīmes pārvadātājiem, jo minētā kompensācija kompensē daļu no kopējiem zaudējumiem, kas sakarā ar ārkārtējo situāciju un tās sekām, ir palielinājušies. Tādējādi radusies pārmaksa reģionālajā satiksmē kompensē apakšprogrammā 31.06.00 nepietiekamo finanšu līdzekļu apmēru. </w:t>
            </w:r>
          </w:p>
          <w:p w:rsidRPr="00C776AB" w:rsidR="003F75BD" w:rsidP="00E659CA" w:rsidRDefault="003F75BD" w14:paraId="6B109912" w14:textId="399979E5">
            <w:pPr>
              <w:ind w:firstLine="247"/>
              <w:jc w:val="both"/>
              <w:rPr>
                <w:rFonts w:cs="Times New Roman"/>
                <w:sz w:val="24"/>
                <w:szCs w:val="24"/>
              </w:rPr>
            </w:pPr>
            <w:r w:rsidRPr="00C776AB">
              <w:rPr>
                <w:rFonts w:cs="Times New Roman"/>
                <w:sz w:val="24"/>
                <w:szCs w:val="24"/>
              </w:rPr>
              <w:t xml:space="preserve">Savukārt republikas pilsētu pašvaldībām par personu ar invaliditāti pārvadāšanu jau ir izveidojusies pārmaksa par 2019.gadu vismaz 420 913 </w:t>
            </w:r>
            <w:r w:rsidRPr="004837F5" w:rsidR="00FF2A08">
              <w:rPr>
                <w:rFonts w:cs="Times New Roman"/>
                <w:i/>
                <w:iCs/>
                <w:sz w:val="24"/>
                <w:szCs w:val="24"/>
              </w:rPr>
              <w:t>euro</w:t>
            </w:r>
            <w:r w:rsidRPr="00C776AB">
              <w:rPr>
                <w:rFonts w:cs="Times New Roman"/>
                <w:sz w:val="24"/>
                <w:szCs w:val="24"/>
              </w:rPr>
              <w:t xml:space="preserve"> apmērā, kā arī par 2020.gada 1.pusgadu izveidojusies dotāciju pārmaksa 1,49 milj. </w:t>
            </w:r>
            <w:r w:rsidRPr="00F34F51" w:rsidR="00FF2A08">
              <w:rPr>
                <w:rFonts w:cs="Times New Roman"/>
                <w:i/>
                <w:iCs/>
                <w:sz w:val="24"/>
                <w:szCs w:val="24"/>
              </w:rPr>
              <w:t>euro</w:t>
            </w:r>
            <w:r w:rsidRPr="00C776AB">
              <w:rPr>
                <w:rFonts w:cs="Times New Roman"/>
                <w:sz w:val="24"/>
                <w:szCs w:val="24"/>
              </w:rPr>
              <w:t xml:space="preserve"> apmērā</w:t>
            </w:r>
            <w:r w:rsidR="00086693">
              <w:rPr>
                <w:rFonts w:cs="Times New Roman"/>
                <w:sz w:val="24"/>
                <w:szCs w:val="24"/>
              </w:rPr>
              <w:t>, tādējādi potenciāli radot atlikumu 31.07.00 apakšprogrammā</w:t>
            </w:r>
            <w:r w:rsidRPr="00C776AB">
              <w:rPr>
                <w:rFonts w:cs="Times New Roman"/>
                <w:sz w:val="24"/>
                <w:szCs w:val="24"/>
              </w:rPr>
              <w:t xml:space="preserve">. </w:t>
            </w:r>
            <w:r w:rsidRPr="005A48E1">
              <w:rPr>
                <w:rFonts w:cs="Times New Roman"/>
                <w:sz w:val="24"/>
                <w:szCs w:val="24"/>
              </w:rPr>
              <w:t>Līdz ar to</w:t>
            </w:r>
            <w:r w:rsidRPr="005A48E1" w:rsidR="00042E3D">
              <w:rPr>
                <w:rFonts w:cs="Times New Roman"/>
                <w:sz w:val="24"/>
                <w:szCs w:val="24"/>
              </w:rPr>
              <w:t xml:space="preserve">, saskaņā ar </w:t>
            </w:r>
            <w:r w:rsidRPr="005A48E1">
              <w:rPr>
                <w:rFonts w:cs="Times New Roman"/>
                <w:sz w:val="24"/>
                <w:szCs w:val="24"/>
              </w:rPr>
              <w:t>Autotransporta direkcija</w:t>
            </w:r>
            <w:r w:rsidRPr="005A48E1" w:rsidR="00042E3D">
              <w:rPr>
                <w:rFonts w:cs="Times New Roman"/>
                <w:sz w:val="24"/>
                <w:szCs w:val="24"/>
              </w:rPr>
              <w:t>s</w:t>
            </w:r>
            <w:r w:rsidRPr="005A48E1">
              <w:rPr>
                <w:rFonts w:cs="Times New Roman"/>
                <w:sz w:val="24"/>
                <w:szCs w:val="24"/>
              </w:rPr>
              <w:t xml:space="preserve"> prognozē</w:t>
            </w:r>
            <w:r w:rsidRPr="005A48E1" w:rsidR="00042E3D">
              <w:rPr>
                <w:rFonts w:cs="Times New Roman"/>
                <w:sz w:val="24"/>
                <w:szCs w:val="24"/>
              </w:rPr>
              <w:t>m</w:t>
            </w:r>
            <w:r w:rsidRPr="005A48E1" w:rsidR="002D68AF">
              <w:rPr>
                <w:rFonts w:cs="Times New Roman"/>
                <w:sz w:val="24"/>
                <w:szCs w:val="24"/>
              </w:rPr>
              <w:t>,</w:t>
            </w:r>
            <w:r w:rsidRPr="005A48E1">
              <w:rPr>
                <w:rFonts w:cs="Times New Roman"/>
                <w:sz w:val="24"/>
                <w:szCs w:val="24"/>
              </w:rPr>
              <w:t xml:space="preserve"> turpmākos mēnešos personu ar invaliditāti pārvadājumu izmaiņas republikas pilsētu pārvadājumos, ir aprēķinā</w:t>
            </w:r>
            <w:r w:rsidRPr="005A48E1" w:rsidR="005A48E1">
              <w:rPr>
                <w:rFonts w:cs="Times New Roman"/>
                <w:sz w:val="24"/>
                <w:szCs w:val="24"/>
              </w:rPr>
              <w:t>ts</w:t>
            </w:r>
            <w:r w:rsidRPr="005A48E1">
              <w:rPr>
                <w:rFonts w:cs="Times New Roman"/>
                <w:sz w:val="24"/>
                <w:szCs w:val="24"/>
              </w:rPr>
              <w:t xml:space="preserve">, ka kopējais neapgūtais finansējums 2020.gadā apakšprogrammas 31.07.00 </w:t>
            </w:r>
            <w:r w:rsidRPr="005A48E1" w:rsidR="00D64516">
              <w:rPr>
                <w:rFonts w:cs="Times New Roman"/>
                <w:sz w:val="24"/>
                <w:szCs w:val="24"/>
              </w:rPr>
              <w:t>ekonomiskās klasifikācijas kod</w:t>
            </w:r>
            <w:r w:rsidRPr="005A48E1" w:rsidR="005A48E1">
              <w:rPr>
                <w:rFonts w:cs="Times New Roman"/>
                <w:sz w:val="24"/>
                <w:szCs w:val="24"/>
              </w:rPr>
              <w:t>a</w:t>
            </w:r>
            <w:r w:rsidRPr="005A48E1" w:rsidR="00D64516">
              <w:rPr>
                <w:rFonts w:cs="Times New Roman"/>
                <w:sz w:val="24"/>
                <w:szCs w:val="24"/>
              </w:rPr>
              <w:t xml:space="preserve"> (</w:t>
            </w:r>
            <w:r w:rsidRPr="005A48E1" w:rsidR="005A48E1">
              <w:rPr>
                <w:rFonts w:cs="Times New Roman"/>
                <w:sz w:val="24"/>
                <w:szCs w:val="24"/>
              </w:rPr>
              <w:t xml:space="preserve">turpmāk - </w:t>
            </w:r>
            <w:r w:rsidRPr="005A48E1">
              <w:rPr>
                <w:rFonts w:cs="Times New Roman"/>
                <w:sz w:val="24"/>
                <w:szCs w:val="24"/>
              </w:rPr>
              <w:t>EKK</w:t>
            </w:r>
            <w:r w:rsidRPr="005A48E1" w:rsidR="00D64516">
              <w:rPr>
                <w:rFonts w:cs="Times New Roman"/>
                <w:sz w:val="24"/>
                <w:szCs w:val="24"/>
              </w:rPr>
              <w:t>)</w:t>
            </w:r>
            <w:r w:rsidRPr="005A48E1">
              <w:rPr>
                <w:rFonts w:cs="Times New Roman"/>
                <w:sz w:val="24"/>
                <w:szCs w:val="24"/>
              </w:rPr>
              <w:t xml:space="preserve"> </w:t>
            </w:r>
            <w:r w:rsidRPr="00C776AB">
              <w:rPr>
                <w:rFonts w:cs="Times New Roman"/>
                <w:sz w:val="24"/>
                <w:szCs w:val="24"/>
              </w:rPr>
              <w:t xml:space="preserve">7460 </w:t>
            </w:r>
            <w:r w:rsidR="005A48E1">
              <w:rPr>
                <w:rFonts w:cs="Times New Roman"/>
                <w:sz w:val="24"/>
                <w:szCs w:val="24"/>
              </w:rPr>
              <w:t>“</w:t>
            </w:r>
            <w:r w:rsidRPr="00C776AB">
              <w:rPr>
                <w:rFonts w:cs="Times New Roman"/>
                <w:sz w:val="24"/>
                <w:szCs w:val="24"/>
              </w:rPr>
              <w:t xml:space="preserve">Pārējie valsts budžeta uzturēšanas izdevumu </w:t>
            </w:r>
            <w:r w:rsidRPr="005A48E1">
              <w:rPr>
                <w:rFonts w:cs="Times New Roman"/>
                <w:sz w:val="24"/>
                <w:szCs w:val="24"/>
              </w:rPr>
              <w:t>transferti</w:t>
            </w:r>
            <w:r w:rsidRPr="00C776AB">
              <w:rPr>
                <w:rFonts w:cs="Times New Roman"/>
                <w:sz w:val="24"/>
                <w:szCs w:val="24"/>
              </w:rPr>
              <w:t xml:space="preserve"> pašvaldībām</w:t>
            </w:r>
            <w:r w:rsidR="005A48E1">
              <w:rPr>
                <w:rFonts w:cs="Times New Roman"/>
                <w:sz w:val="24"/>
                <w:szCs w:val="24"/>
              </w:rPr>
              <w:t>”</w:t>
            </w:r>
            <w:r w:rsidRPr="00C776AB">
              <w:rPr>
                <w:rFonts w:cs="Times New Roman"/>
                <w:sz w:val="24"/>
                <w:szCs w:val="24"/>
              </w:rPr>
              <w:t xml:space="preserve"> varētu </w:t>
            </w:r>
            <w:r w:rsidRPr="005A48E1">
              <w:rPr>
                <w:rFonts w:cs="Times New Roman"/>
                <w:sz w:val="24"/>
                <w:szCs w:val="24"/>
              </w:rPr>
              <w:t>sasniegt</w:t>
            </w:r>
            <w:r w:rsidRPr="00C776AB">
              <w:rPr>
                <w:rFonts w:cs="Times New Roman"/>
                <w:b/>
                <w:bCs/>
                <w:sz w:val="24"/>
                <w:szCs w:val="24"/>
              </w:rPr>
              <w:t xml:space="preserve"> 3 077 517 </w:t>
            </w:r>
            <w:r w:rsidRPr="00F34F51" w:rsidR="00FF2A08">
              <w:rPr>
                <w:rFonts w:cs="Times New Roman"/>
                <w:b/>
                <w:bCs/>
                <w:i/>
                <w:iCs/>
                <w:sz w:val="24"/>
                <w:szCs w:val="24"/>
              </w:rPr>
              <w:t>euro</w:t>
            </w:r>
            <w:r w:rsidR="005A48E1">
              <w:rPr>
                <w:rFonts w:cs="Times New Roman"/>
                <w:b/>
                <w:bCs/>
                <w:i/>
                <w:iCs/>
                <w:sz w:val="24"/>
                <w:szCs w:val="24"/>
              </w:rPr>
              <w:t>.</w:t>
            </w:r>
            <w:r w:rsidRPr="00C776AB">
              <w:rPr>
                <w:rFonts w:cs="Times New Roman"/>
                <w:b/>
                <w:bCs/>
                <w:sz w:val="24"/>
                <w:szCs w:val="24"/>
              </w:rPr>
              <w:t xml:space="preserve"> </w:t>
            </w:r>
          </w:p>
          <w:p w:rsidR="00C67C4C" w:rsidP="00E659CA" w:rsidRDefault="003F75BD" w14:paraId="37FB4498" w14:textId="0BAE755B">
            <w:pPr>
              <w:ind w:firstLine="247"/>
              <w:jc w:val="both"/>
              <w:rPr>
                <w:rFonts w:cs="Times New Roman"/>
                <w:sz w:val="24"/>
                <w:szCs w:val="24"/>
              </w:rPr>
            </w:pPr>
            <w:r w:rsidRPr="00C776AB">
              <w:rPr>
                <w:rFonts w:cs="Times New Roman"/>
                <w:sz w:val="24"/>
                <w:szCs w:val="24"/>
              </w:rPr>
              <w:t xml:space="preserve">Vienlaikus Autotransporta direkcija ir </w:t>
            </w:r>
            <w:r w:rsidRPr="00C776AB" w:rsidR="00C776AB">
              <w:rPr>
                <w:rFonts w:cs="Times New Roman"/>
                <w:sz w:val="24"/>
                <w:szCs w:val="24"/>
              </w:rPr>
              <w:t xml:space="preserve">aprēķinājusi, </w:t>
            </w:r>
            <w:r w:rsidRPr="00C776AB">
              <w:rPr>
                <w:rFonts w:cs="Times New Roman"/>
                <w:sz w:val="24"/>
                <w:szCs w:val="24"/>
              </w:rPr>
              <w:t xml:space="preserve">ka kopējie zaudējumi apakšprogrammā 31.06.00 sakarā ar sabiedriskā transporta pakalpojumu nodrošināšanu ārkārtējās situācijas laikā, ir pieauguši. </w:t>
            </w:r>
          </w:p>
          <w:p w:rsidRPr="00C776AB" w:rsidR="003F75BD" w:rsidP="00E659CA" w:rsidRDefault="003F75BD" w14:paraId="76CD433E" w14:textId="1CBC8ED9">
            <w:pPr>
              <w:ind w:firstLine="247"/>
              <w:jc w:val="both"/>
              <w:rPr>
                <w:rFonts w:cs="Times New Roman"/>
                <w:noProof/>
                <w:sz w:val="24"/>
                <w:szCs w:val="24"/>
              </w:rPr>
            </w:pPr>
            <w:r w:rsidRPr="00C776AB">
              <w:rPr>
                <w:rFonts w:cs="Times New Roman"/>
                <w:noProof/>
                <w:sz w:val="24"/>
                <w:szCs w:val="24"/>
              </w:rPr>
              <w:t xml:space="preserve">Lai kompensētu sabiedriskā transporta pakalpojumu sniedzējiem radītos zaudējumu ārkārtējās situācijas laikā, Ministru kabinets ar </w:t>
            </w:r>
            <w:r w:rsidRPr="00C776AB">
              <w:rPr>
                <w:rFonts w:cs="Times New Roman"/>
                <w:sz w:val="24"/>
                <w:szCs w:val="24"/>
              </w:rPr>
              <w:t xml:space="preserve">2020.gada 15.jūlija rīkojumu Nr.381 “Par finanšu līdzekļu piešķiršanu no valsts budžeta programmas 02.00.00 “Līdzekļi neparedzētiem gadījumiem”” piešķīra papildu finansējumu 6 325 393 </w:t>
            </w:r>
            <w:r w:rsidRPr="00F34F51" w:rsidR="00FF2A08">
              <w:rPr>
                <w:rFonts w:cs="Times New Roman"/>
                <w:i/>
                <w:iCs/>
                <w:sz w:val="24"/>
                <w:szCs w:val="24"/>
              </w:rPr>
              <w:t>euro</w:t>
            </w:r>
            <w:r w:rsidRPr="00C776AB">
              <w:rPr>
                <w:rFonts w:cs="Times New Roman"/>
                <w:sz w:val="24"/>
                <w:szCs w:val="24"/>
              </w:rPr>
              <w:t xml:space="preserve">. Ņemot vērā gan papildu piešķirto finansējumu, gan no 2019.gada uzkrātās pārmaksas, ir </w:t>
            </w:r>
            <w:r w:rsidRPr="00C776AB" w:rsidR="00C776AB">
              <w:rPr>
                <w:rFonts w:cs="Times New Roman"/>
                <w:sz w:val="24"/>
                <w:szCs w:val="24"/>
              </w:rPr>
              <w:t>prognozēts</w:t>
            </w:r>
            <w:r w:rsidRPr="00C776AB">
              <w:rPr>
                <w:rFonts w:cs="Times New Roman"/>
                <w:sz w:val="24"/>
                <w:szCs w:val="24"/>
              </w:rPr>
              <w:t xml:space="preserve">, ka 31.06.00 apakšprogrammā, ievērojot minētajā </w:t>
            </w:r>
            <w:r w:rsidRPr="00C776AB">
              <w:rPr>
                <w:rFonts w:cs="Times New Roman"/>
                <w:sz w:val="24"/>
                <w:szCs w:val="24"/>
              </w:rPr>
              <w:lastRenderedPageBreak/>
              <w:t xml:space="preserve">apakšprogrammā paredzēto finansējumu 2020.gadam, nesegtais zaudējumu apjoms sasniegs 20 717 107 </w:t>
            </w:r>
            <w:r w:rsidRPr="00F34F51" w:rsidR="00FF2A08">
              <w:rPr>
                <w:rFonts w:cs="Times New Roman"/>
                <w:i/>
                <w:iCs/>
                <w:sz w:val="24"/>
                <w:szCs w:val="24"/>
              </w:rPr>
              <w:t>euro</w:t>
            </w:r>
            <w:r w:rsidRPr="00C776AB">
              <w:rPr>
                <w:rFonts w:cs="Times New Roman"/>
                <w:sz w:val="24"/>
                <w:szCs w:val="24"/>
              </w:rPr>
              <w:t>:</w:t>
            </w:r>
          </w:p>
          <w:p w:rsidRPr="00C776AB" w:rsidR="003F75BD" w:rsidP="00C776AB" w:rsidRDefault="003F75BD" w14:paraId="3B999D88" w14:textId="20D84CDF">
            <w:pPr>
              <w:pStyle w:val="ListParagraph"/>
              <w:numPr>
                <w:ilvl w:val="0"/>
                <w:numId w:val="16"/>
              </w:numPr>
              <w:ind w:left="388" w:hanging="283"/>
              <w:jc w:val="both"/>
              <w:rPr>
                <w:rFonts w:cs="Times New Roman"/>
                <w:sz w:val="24"/>
                <w:szCs w:val="24"/>
              </w:rPr>
            </w:pPr>
            <w:r w:rsidRPr="00C776AB">
              <w:rPr>
                <w:rFonts w:cs="Times New Roman"/>
                <w:sz w:val="24"/>
                <w:szCs w:val="24"/>
              </w:rPr>
              <w:t xml:space="preserve">EKK 3000 </w:t>
            </w:r>
            <w:r w:rsidR="005A48E1">
              <w:rPr>
                <w:rFonts w:cs="Times New Roman"/>
                <w:sz w:val="24"/>
                <w:szCs w:val="24"/>
              </w:rPr>
              <w:t>“</w:t>
            </w:r>
            <w:r w:rsidRPr="00C776AB">
              <w:rPr>
                <w:rFonts w:cs="Times New Roman"/>
                <w:sz w:val="24"/>
                <w:szCs w:val="24"/>
              </w:rPr>
              <w:t>Subsīdijas un dotācijas</w:t>
            </w:r>
            <w:r w:rsidR="005A48E1">
              <w:rPr>
                <w:rFonts w:cs="Times New Roman"/>
                <w:sz w:val="24"/>
                <w:szCs w:val="24"/>
              </w:rPr>
              <w:t>”</w:t>
            </w:r>
            <w:r w:rsidRPr="00C776AB">
              <w:rPr>
                <w:rFonts w:cs="Times New Roman"/>
                <w:sz w:val="24"/>
                <w:szCs w:val="24"/>
              </w:rPr>
              <w:t xml:space="preserve"> </w:t>
            </w:r>
            <w:r w:rsidRPr="00C776AB">
              <w:rPr>
                <w:rFonts w:cs="Times New Roman"/>
                <w:b/>
                <w:sz w:val="24"/>
                <w:szCs w:val="24"/>
              </w:rPr>
              <w:t xml:space="preserve">19 510 644 </w:t>
            </w:r>
            <w:r w:rsidRPr="00954DD6" w:rsidR="00FF2A08">
              <w:rPr>
                <w:rFonts w:cs="Times New Roman"/>
                <w:b/>
                <w:i/>
                <w:iCs/>
                <w:sz w:val="24"/>
                <w:szCs w:val="24"/>
              </w:rPr>
              <w:t>euro</w:t>
            </w:r>
            <w:r w:rsidRPr="00C776AB">
              <w:rPr>
                <w:rFonts w:cs="Times New Roman"/>
                <w:sz w:val="24"/>
                <w:szCs w:val="24"/>
              </w:rPr>
              <w:t xml:space="preserve"> (pārvadājumi ar autobusiem un pa dzelzceļu);</w:t>
            </w:r>
          </w:p>
          <w:p w:rsidRPr="00D64516" w:rsidR="003F75BD" w:rsidP="00D64516" w:rsidRDefault="003F75BD" w14:paraId="0F3D3590" w14:textId="0A0CFFC7">
            <w:pPr>
              <w:pStyle w:val="ListParagraph"/>
              <w:numPr>
                <w:ilvl w:val="0"/>
                <w:numId w:val="16"/>
              </w:numPr>
              <w:ind w:left="388" w:hanging="283"/>
              <w:jc w:val="both"/>
              <w:rPr>
                <w:rFonts w:cs="Times New Roman"/>
                <w:sz w:val="24"/>
                <w:szCs w:val="24"/>
              </w:rPr>
            </w:pPr>
            <w:r w:rsidRPr="00C776AB">
              <w:rPr>
                <w:rFonts w:cs="Times New Roman"/>
                <w:sz w:val="24"/>
                <w:szCs w:val="24"/>
              </w:rPr>
              <w:t xml:space="preserve">EKK 7460 </w:t>
            </w:r>
            <w:r w:rsidR="005A48E1">
              <w:rPr>
                <w:rFonts w:cs="Times New Roman"/>
                <w:sz w:val="24"/>
                <w:szCs w:val="24"/>
              </w:rPr>
              <w:t>“</w:t>
            </w:r>
            <w:r w:rsidRPr="00C776AB">
              <w:rPr>
                <w:rFonts w:cs="Times New Roman"/>
                <w:sz w:val="24"/>
                <w:szCs w:val="24"/>
              </w:rPr>
              <w:t>Pārējie valsts budžeta uzturēšanas izdevumu transferti pašvaldībām</w:t>
            </w:r>
            <w:r w:rsidR="005A48E1">
              <w:rPr>
                <w:rFonts w:cs="Times New Roman"/>
                <w:sz w:val="24"/>
                <w:szCs w:val="24"/>
              </w:rPr>
              <w:t>”</w:t>
            </w:r>
            <w:r w:rsidR="00D64516">
              <w:rPr>
                <w:rFonts w:cs="Times New Roman"/>
                <w:sz w:val="24"/>
                <w:szCs w:val="24"/>
              </w:rPr>
              <w:t xml:space="preserve"> </w:t>
            </w:r>
            <w:r w:rsidRPr="00D64516">
              <w:rPr>
                <w:rFonts w:cs="Times New Roman"/>
                <w:b/>
                <w:sz w:val="24"/>
                <w:szCs w:val="24"/>
              </w:rPr>
              <w:t xml:space="preserve">1 206 463 </w:t>
            </w:r>
            <w:r w:rsidRPr="00D64516" w:rsidR="00FF2A08">
              <w:rPr>
                <w:rFonts w:cs="Times New Roman"/>
                <w:b/>
                <w:i/>
                <w:iCs/>
                <w:sz w:val="24"/>
                <w:szCs w:val="24"/>
              </w:rPr>
              <w:t>euro</w:t>
            </w:r>
            <w:r w:rsidRPr="00D64516">
              <w:rPr>
                <w:rFonts w:cs="Times New Roman"/>
                <w:b/>
                <w:sz w:val="24"/>
                <w:szCs w:val="24"/>
              </w:rPr>
              <w:t xml:space="preserve"> </w:t>
            </w:r>
            <w:r w:rsidRPr="00D64516">
              <w:rPr>
                <w:rFonts w:cs="Times New Roman"/>
                <w:sz w:val="24"/>
                <w:szCs w:val="24"/>
              </w:rPr>
              <w:t>(pārvadājumi pilsētas nozīmes maršrutu tīklā – 30% ārpus pilsētas administratīvās teritorijas).</w:t>
            </w:r>
          </w:p>
          <w:p w:rsidRPr="00C776AB" w:rsidR="003F75BD" w:rsidP="00E659CA" w:rsidRDefault="003F75BD" w14:paraId="3A3C8FE8" w14:textId="4E908C03">
            <w:pPr>
              <w:ind w:firstLine="247"/>
              <w:jc w:val="both"/>
              <w:rPr>
                <w:rFonts w:cs="Times New Roman"/>
                <w:sz w:val="24"/>
                <w:szCs w:val="24"/>
              </w:rPr>
            </w:pPr>
            <w:r w:rsidRPr="00C776AB">
              <w:rPr>
                <w:rFonts w:cs="Times New Roman"/>
                <w:sz w:val="24"/>
                <w:szCs w:val="24"/>
              </w:rPr>
              <w:t>Līdz ar to apropriācijas pārdales rezultātā</w:t>
            </w:r>
            <w:r w:rsidR="00D64516">
              <w:rPr>
                <w:rFonts w:cs="Times New Roman"/>
                <w:sz w:val="24"/>
                <w:szCs w:val="24"/>
              </w:rPr>
              <w:t>,</w:t>
            </w:r>
            <w:r w:rsidRPr="00C776AB">
              <w:rPr>
                <w:rFonts w:cs="Times New Roman"/>
                <w:sz w:val="24"/>
                <w:szCs w:val="24"/>
              </w:rPr>
              <w:t xml:space="preserve"> pārceļot neapgūtos līdzekļus no apakšprogrammas 31.07.00. uz apakšprogrammu 31.06.00</w:t>
            </w:r>
            <w:r w:rsidR="00D64516">
              <w:rPr>
                <w:rFonts w:cs="Times New Roman"/>
                <w:sz w:val="24"/>
                <w:szCs w:val="24"/>
              </w:rPr>
              <w:t>,</w:t>
            </w:r>
            <w:r w:rsidRPr="00C776AB">
              <w:rPr>
                <w:rFonts w:cs="Times New Roman"/>
                <w:sz w:val="24"/>
                <w:szCs w:val="24"/>
              </w:rPr>
              <w:t xml:space="preserve"> varētu tikt segti pilnā apmērā radušies nesegtie zaudējumi, kas ir ārpus pilsētas administratīvās teritorijas, ja šī  maršruta daļa ir vairāk nekā 30% no kopējā maršruta garuma, kā arī nodrošināta daļēja zaudējumu kompensēšana reģionālās nozīmes pārvadājumos ar autobusiem</w:t>
            </w:r>
            <w:r w:rsidRPr="00C776AB" w:rsidR="00FF2A08">
              <w:rPr>
                <w:rFonts w:cs="Times New Roman"/>
                <w:sz w:val="24"/>
                <w:szCs w:val="24"/>
              </w:rPr>
              <w:t>.</w:t>
            </w:r>
            <w:r w:rsidRPr="00C776AB">
              <w:rPr>
                <w:rFonts w:cs="Times New Roman"/>
                <w:sz w:val="24"/>
                <w:szCs w:val="24"/>
              </w:rPr>
              <w:t xml:space="preserve"> </w:t>
            </w:r>
          </w:p>
          <w:p w:rsidRPr="00C776AB" w:rsidR="003F75BD" w:rsidP="00E659CA" w:rsidRDefault="003F75BD" w14:paraId="2D306117" w14:textId="7D2A4BF6">
            <w:pPr>
              <w:ind w:firstLine="247"/>
              <w:jc w:val="both"/>
              <w:rPr>
                <w:rFonts w:cs="Times New Roman"/>
                <w:sz w:val="24"/>
                <w:szCs w:val="24"/>
              </w:rPr>
            </w:pPr>
            <w:r w:rsidRPr="00C776AB">
              <w:rPr>
                <w:rFonts w:cs="Times New Roman"/>
                <w:sz w:val="24"/>
                <w:szCs w:val="24"/>
              </w:rPr>
              <w:t xml:space="preserve">Saskaņā ar Ministru kabineta </w:t>
            </w:r>
            <w:r w:rsidRPr="00C776AB" w:rsidR="00D64516">
              <w:rPr>
                <w:rFonts w:cs="Times New Roman"/>
                <w:sz w:val="24"/>
                <w:szCs w:val="24"/>
              </w:rPr>
              <w:t xml:space="preserve">2015.gada 28.jūlija </w:t>
            </w:r>
            <w:r w:rsidRPr="00C776AB">
              <w:rPr>
                <w:rFonts w:cs="Times New Roman"/>
                <w:sz w:val="24"/>
                <w:szCs w:val="24"/>
              </w:rPr>
              <w:t xml:space="preserve">noteikumu Nr.435 “Kārtība, kādā nosaka un kompensē ar sabiedriskā transporta pakalpojumu sniegšanu saistītos zaudējumus un izdevumus un nosaka sabiedriskā transporta pakalpojuma tarifu” (turpmāk – MK noteikumi Nr.435) 21.punktu, ja republikas pilsētas pašvaldība vai Autotransporta direkcija pēc kompensācijas izmaksas par pārskata periodu (ceturksni, kalendāra gadu) ir ietaupījusi no valsts budžeta piešķirto finansējumu, republikas pilsētas pašvaldība vai Autotransporta direkcija minētos līdzekļus novirza zaudējumu segšanai nākamajos pārskata periodos (ceturksnī, kalendāra gadā). </w:t>
            </w:r>
          </w:p>
          <w:p w:rsidRPr="00C776AB" w:rsidR="003F75BD" w:rsidP="00E659CA" w:rsidRDefault="003F75BD" w14:paraId="34097ACF" w14:textId="628293A8">
            <w:pPr>
              <w:ind w:firstLine="247"/>
              <w:jc w:val="both"/>
              <w:rPr>
                <w:rFonts w:cs="Times New Roman"/>
                <w:sz w:val="24"/>
                <w:szCs w:val="24"/>
              </w:rPr>
            </w:pPr>
            <w:r w:rsidRPr="00C776AB">
              <w:rPr>
                <w:rFonts w:cs="Times New Roman"/>
                <w:sz w:val="24"/>
                <w:szCs w:val="24"/>
              </w:rPr>
              <w:t>Saskaņā ar Likuma par budžetu un finanšu vadību 9.panta trīspadsmitās daļas 1.punktu</w:t>
            </w:r>
            <w:r w:rsidR="00D64516">
              <w:rPr>
                <w:rFonts w:cs="Times New Roman"/>
                <w:sz w:val="24"/>
                <w:szCs w:val="24"/>
              </w:rPr>
              <w:t>,</w:t>
            </w:r>
            <w:r w:rsidRPr="00C776AB">
              <w:rPr>
                <w:rFonts w:cs="Times New Roman"/>
                <w:sz w:val="24"/>
                <w:szCs w:val="24"/>
              </w:rPr>
              <w:t xml:space="preserve"> Ministru kabineta 2018.gada 17.jūlija noteikumiem Nr.421 “Kārtība, kādā veic gadskārtējā valsts budžeta likumā noteiktās apropriācijas izmaiņas” un MK noteikumu Nr.435 21.punktu</w:t>
            </w:r>
            <w:r w:rsidRPr="00C776AB" w:rsidR="00042E3D">
              <w:rPr>
                <w:rFonts w:cs="Times New Roman"/>
                <w:sz w:val="24"/>
                <w:szCs w:val="24"/>
              </w:rPr>
              <w:t xml:space="preserve"> nepieciešams</w:t>
            </w:r>
            <w:r w:rsidRPr="00C776AB">
              <w:rPr>
                <w:rFonts w:cs="Times New Roman"/>
                <w:sz w:val="24"/>
                <w:szCs w:val="24"/>
              </w:rPr>
              <w:t xml:space="preserve"> 2020.gada noteiktās apropriācijas ietvaros veikt pārdali starp izdevumu EKK un budžeta programmas 31.00.00 „Sabiedriskais transports” apakšprogrammām – valsts budžeta apakšprogrammā 31.07.00 EKK 7460 </w:t>
            </w:r>
            <w:r w:rsidR="005A48E1">
              <w:rPr>
                <w:rFonts w:cs="Times New Roman"/>
                <w:sz w:val="24"/>
                <w:szCs w:val="24"/>
              </w:rPr>
              <w:t>“</w:t>
            </w:r>
            <w:r w:rsidRPr="005A48E1">
              <w:rPr>
                <w:rFonts w:cs="Times New Roman"/>
                <w:sz w:val="24"/>
                <w:szCs w:val="24"/>
              </w:rPr>
              <w:t xml:space="preserve">Pārējie </w:t>
            </w:r>
            <w:r w:rsidRPr="00C776AB">
              <w:rPr>
                <w:rFonts w:cs="Times New Roman"/>
                <w:sz w:val="24"/>
                <w:szCs w:val="24"/>
              </w:rPr>
              <w:t>valsts budžeta uzturēšanas izdevumu transferti pašvaldībām</w:t>
            </w:r>
            <w:r w:rsidR="005A48E1">
              <w:rPr>
                <w:rFonts w:cs="Times New Roman"/>
                <w:sz w:val="24"/>
                <w:szCs w:val="24"/>
              </w:rPr>
              <w:t>”</w:t>
            </w:r>
            <w:r w:rsidRPr="00C776AB">
              <w:rPr>
                <w:rFonts w:cs="Times New Roman"/>
                <w:sz w:val="24"/>
                <w:szCs w:val="24"/>
              </w:rPr>
              <w:t xml:space="preserve"> plānotos neapgūtos valsts budžeta līdzekļus no finansēšanas plāna </w:t>
            </w:r>
            <w:r w:rsidRPr="00C776AB">
              <w:rPr>
                <w:rFonts w:cs="Times New Roman"/>
                <w:b/>
                <w:bCs/>
                <w:sz w:val="24"/>
                <w:szCs w:val="24"/>
              </w:rPr>
              <w:t>3 077</w:t>
            </w:r>
            <w:r w:rsidRPr="00C776AB" w:rsidR="00C776AB">
              <w:rPr>
                <w:rFonts w:cs="Times New Roman"/>
                <w:b/>
                <w:bCs/>
                <w:sz w:val="24"/>
                <w:szCs w:val="24"/>
              </w:rPr>
              <w:t> </w:t>
            </w:r>
            <w:r w:rsidRPr="00C776AB">
              <w:rPr>
                <w:rFonts w:cs="Times New Roman"/>
                <w:b/>
                <w:bCs/>
                <w:sz w:val="24"/>
                <w:szCs w:val="24"/>
              </w:rPr>
              <w:t>517</w:t>
            </w:r>
            <w:r w:rsidRPr="00C776AB" w:rsidR="00C776AB">
              <w:rPr>
                <w:rFonts w:cs="Times New Roman"/>
                <w:b/>
                <w:bCs/>
                <w:sz w:val="24"/>
                <w:szCs w:val="24"/>
              </w:rPr>
              <w:t xml:space="preserve"> </w:t>
            </w:r>
            <w:r w:rsidRPr="00C776AB" w:rsidR="00C776AB">
              <w:rPr>
                <w:rFonts w:cs="Times New Roman"/>
                <w:b/>
                <w:bCs/>
                <w:i/>
                <w:iCs/>
                <w:sz w:val="24"/>
                <w:szCs w:val="24"/>
              </w:rPr>
              <w:t>euro</w:t>
            </w:r>
            <w:r w:rsidRPr="00C776AB">
              <w:rPr>
                <w:rFonts w:cs="Times New Roman"/>
                <w:sz w:val="24"/>
                <w:szCs w:val="24"/>
              </w:rPr>
              <w:t xml:space="preserve"> apmērā pārdalīt normatīvajos aktos noteiktajā kārtībā uz:</w:t>
            </w:r>
          </w:p>
          <w:p w:rsidRPr="00C776AB" w:rsidR="003F75BD" w:rsidP="00E659CA" w:rsidRDefault="00E659CA" w14:paraId="6AB92DAA" w14:textId="10B58490">
            <w:pPr>
              <w:ind w:firstLine="247"/>
              <w:jc w:val="both"/>
              <w:rPr>
                <w:rFonts w:cs="Times New Roman"/>
                <w:b/>
                <w:bCs/>
                <w:sz w:val="24"/>
                <w:szCs w:val="24"/>
              </w:rPr>
            </w:pPr>
            <w:r>
              <w:rPr>
                <w:rFonts w:cs="Times New Roman"/>
                <w:sz w:val="24"/>
                <w:szCs w:val="24"/>
              </w:rPr>
              <w:t xml:space="preserve">- </w:t>
            </w:r>
            <w:r w:rsidRPr="00C776AB" w:rsidR="003F75BD">
              <w:rPr>
                <w:rFonts w:cs="Times New Roman"/>
                <w:sz w:val="24"/>
                <w:szCs w:val="24"/>
              </w:rPr>
              <w:t xml:space="preserve">apakšprogrammu 31.06.00 EKK 3000 </w:t>
            </w:r>
            <w:r w:rsidR="005A48E1">
              <w:rPr>
                <w:rFonts w:cs="Times New Roman"/>
                <w:sz w:val="24"/>
                <w:szCs w:val="24"/>
              </w:rPr>
              <w:t>“</w:t>
            </w:r>
            <w:r w:rsidRPr="00C776AB" w:rsidR="003F75BD">
              <w:rPr>
                <w:rFonts w:cs="Times New Roman"/>
                <w:sz w:val="24"/>
                <w:szCs w:val="24"/>
              </w:rPr>
              <w:t>Subsīdijas un dotācijas</w:t>
            </w:r>
            <w:r w:rsidR="005A48E1">
              <w:rPr>
                <w:rFonts w:cs="Times New Roman"/>
                <w:sz w:val="24"/>
                <w:szCs w:val="24"/>
              </w:rPr>
              <w:t>”</w:t>
            </w:r>
            <w:r w:rsidRPr="00C776AB" w:rsidR="003F75BD">
              <w:rPr>
                <w:rFonts w:cs="Times New Roman"/>
                <w:sz w:val="24"/>
                <w:szCs w:val="24"/>
              </w:rPr>
              <w:t xml:space="preserve"> – </w:t>
            </w:r>
            <w:r w:rsidRPr="00C776AB" w:rsidR="003F75BD">
              <w:rPr>
                <w:rFonts w:cs="Times New Roman"/>
                <w:b/>
                <w:bCs/>
                <w:sz w:val="24"/>
                <w:szCs w:val="24"/>
              </w:rPr>
              <w:t>1 871 054 </w:t>
            </w:r>
            <w:r w:rsidRPr="00C776AB" w:rsidR="00C776AB">
              <w:rPr>
                <w:rFonts w:cs="Times New Roman"/>
                <w:b/>
                <w:bCs/>
                <w:i/>
                <w:iCs/>
                <w:sz w:val="24"/>
                <w:szCs w:val="24"/>
              </w:rPr>
              <w:t>euro</w:t>
            </w:r>
            <w:r w:rsidRPr="00C776AB" w:rsidR="003F75BD">
              <w:rPr>
                <w:rFonts w:cs="Times New Roman"/>
                <w:b/>
                <w:bCs/>
                <w:sz w:val="24"/>
                <w:szCs w:val="24"/>
              </w:rPr>
              <w:t>;</w:t>
            </w:r>
          </w:p>
          <w:p w:rsidRPr="00C776AB" w:rsidR="003F75BD" w:rsidP="00E659CA" w:rsidRDefault="00042E3D" w14:paraId="58446121" w14:textId="3BDD503B">
            <w:pPr>
              <w:ind w:firstLine="247"/>
              <w:jc w:val="both"/>
              <w:rPr>
                <w:rFonts w:cs="Times New Roman"/>
                <w:sz w:val="24"/>
                <w:szCs w:val="24"/>
              </w:rPr>
            </w:pPr>
            <w:r w:rsidRPr="00C776AB">
              <w:rPr>
                <w:rFonts w:cs="Times New Roman"/>
                <w:sz w:val="24"/>
                <w:szCs w:val="24"/>
              </w:rPr>
              <w:t>-</w:t>
            </w:r>
            <w:r w:rsidR="00E659CA">
              <w:rPr>
                <w:rFonts w:cs="Times New Roman"/>
                <w:sz w:val="24"/>
                <w:szCs w:val="24"/>
              </w:rPr>
              <w:t xml:space="preserve"> </w:t>
            </w:r>
            <w:r w:rsidRPr="00C776AB" w:rsidR="003F75BD">
              <w:rPr>
                <w:rFonts w:cs="Times New Roman"/>
                <w:sz w:val="24"/>
                <w:szCs w:val="24"/>
              </w:rPr>
              <w:t xml:space="preserve">apakšprogrammu 31.06.00 EKK 7460 </w:t>
            </w:r>
            <w:r w:rsidR="005A48E1">
              <w:rPr>
                <w:rFonts w:cs="Times New Roman"/>
                <w:sz w:val="24"/>
                <w:szCs w:val="24"/>
              </w:rPr>
              <w:t>“</w:t>
            </w:r>
            <w:r w:rsidRPr="00C776AB" w:rsidR="003F75BD">
              <w:rPr>
                <w:rFonts w:cs="Times New Roman"/>
                <w:sz w:val="24"/>
                <w:szCs w:val="24"/>
              </w:rPr>
              <w:t>Pārējie valsts budžeta uzturēšanas izdevumu transferti pašvaldībām</w:t>
            </w:r>
            <w:r w:rsidR="005A48E1">
              <w:rPr>
                <w:rFonts w:cs="Times New Roman"/>
                <w:sz w:val="24"/>
                <w:szCs w:val="24"/>
              </w:rPr>
              <w:t>”</w:t>
            </w:r>
            <w:r w:rsidRPr="00C776AB" w:rsidR="003F75BD">
              <w:rPr>
                <w:rFonts w:cs="Times New Roman"/>
                <w:sz w:val="24"/>
                <w:szCs w:val="24"/>
              </w:rPr>
              <w:t xml:space="preserve"> – </w:t>
            </w:r>
            <w:r w:rsidRPr="00C776AB" w:rsidR="003F75BD">
              <w:rPr>
                <w:rFonts w:cs="Times New Roman"/>
                <w:b/>
                <w:bCs/>
                <w:sz w:val="24"/>
                <w:szCs w:val="24"/>
              </w:rPr>
              <w:t xml:space="preserve">1 206 463 </w:t>
            </w:r>
            <w:r w:rsidRPr="00C776AB" w:rsidR="00C776AB">
              <w:rPr>
                <w:rFonts w:cs="Times New Roman"/>
                <w:b/>
                <w:bCs/>
                <w:i/>
                <w:iCs/>
                <w:sz w:val="24"/>
                <w:szCs w:val="24"/>
              </w:rPr>
              <w:t>euro</w:t>
            </w:r>
            <w:r w:rsidRPr="00C776AB" w:rsidR="003F75BD">
              <w:rPr>
                <w:rFonts w:cs="Times New Roman"/>
                <w:sz w:val="24"/>
                <w:szCs w:val="24"/>
              </w:rPr>
              <w:t>.</w:t>
            </w:r>
          </w:p>
          <w:p w:rsidRPr="00C776AB" w:rsidR="00C776AB" w:rsidP="00042E3D" w:rsidRDefault="00C776AB" w14:paraId="00AB47E1" w14:textId="3B1B0984">
            <w:pPr>
              <w:jc w:val="both"/>
              <w:rPr>
                <w:rFonts w:eastAsia="Times New Roman" w:cs="Times New Roman"/>
                <w:sz w:val="24"/>
                <w:szCs w:val="24"/>
                <w:lang w:eastAsia="lv-LV"/>
              </w:rPr>
            </w:pPr>
            <w:r w:rsidRPr="00C776AB">
              <w:rPr>
                <w:rFonts w:eastAsia="Calibri"/>
                <w:sz w:val="24"/>
                <w:szCs w:val="24"/>
              </w:rPr>
              <w:t xml:space="preserve">Finansējuma pārdale tiek veikta </w:t>
            </w:r>
            <w:r w:rsidRPr="00C776AB">
              <w:rPr>
                <w:sz w:val="24"/>
                <w:szCs w:val="24"/>
              </w:rPr>
              <w:t>valsts budžeta programmas 31.00.00 “Sabiedriskais transports”</w:t>
            </w:r>
            <w:r w:rsidRPr="00C776AB">
              <w:rPr>
                <w:i/>
                <w:sz w:val="24"/>
                <w:szCs w:val="24"/>
              </w:rPr>
              <w:t xml:space="preserve"> </w:t>
            </w:r>
            <w:r w:rsidRPr="00C776AB">
              <w:rPr>
                <w:sz w:val="24"/>
                <w:szCs w:val="24"/>
              </w:rPr>
              <w:t>ietvarā, tas nemaina kopējo situāciju attiecībā uz sabiedriskā transporta nozarē trūkstošo finansējumu.</w:t>
            </w:r>
          </w:p>
        </w:tc>
      </w:tr>
      <w:tr w:rsidRPr="00B424B4" w:rsidR="003F75BD" w:rsidTr="000F7ADA" w14:paraId="460B08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53EA346F" w14:textId="2F9ADDD8">
            <w:pPr>
              <w:jc w:val="center"/>
              <w:rPr>
                <w:rFonts w:eastAsia="Times New Roman" w:cs="Times New Roman"/>
                <w:sz w:val="24"/>
                <w:szCs w:val="24"/>
                <w:lang w:eastAsia="lv-LV"/>
              </w:rPr>
            </w:pP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5AEA6D33" w14:textId="77777777">
            <w:pPr>
              <w:rPr>
                <w:rFonts w:eastAsia="Times New Roman" w:cs="Times New Roman"/>
                <w:sz w:val="24"/>
                <w:szCs w:val="24"/>
                <w:lang w:eastAsia="lv-LV"/>
              </w:rPr>
            </w:pPr>
            <w:r w:rsidRPr="000E6BD5">
              <w:rPr>
                <w:rFonts w:eastAsia="Times New Roman" w:cs="Times New Roman"/>
                <w:sz w:val="24"/>
                <w:szCs w:val="24"/>
                <w:lang w:eastAsia="lv-LV"/>
              </w:rPr>
              <w:t>Projekta izstrādē iesaistītās institūcijas un publiskas personas kapitālsabiedrības</w:t>
            </w:r>
          </w:p>
        </w:tc>
        <w:tc>
          <w:tcPr>
            <w:tcW w:w="3333"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6E6C266D" w14:textId="32AAB6D3">
            <w:pPr>
              <w:rPr>
                <w:rFonts w:eastAsia="Times New Roman" w:cs="Times New Roman"/>
                <w:sz w:val="24"/>
                <w:szCs w:val="24"/>
                <w:lang w:eastAsia="lv-LV"/>
              </w:rPr>
            </w:pPr>
            <w:r w:rsidRPr="000E6BD5">
              <w:rPr>
                <w:rFonts w:eastAsia="Times New Roman" w:cs="Times New Roman"/>
                <w:sz w:val="24"/>
                <w:szCs w:val="24"/>
                <w:lang w:eastAsia="lv-LV"/>
              </w:rPr>
              <w:t xml:space="preserve">Satiksmes ministrija, </w:t>
            </w:r>
            <w:r w:rsidR="00FF2A08">
              <w:rPr>
                <w:rFonts w:eastAsia="Times New Roman" w:cs="Times New Roman"/>
                <w:sz w:val="24"/>
                <w:szCs w:val="24"/>
                <w:lang w:eastAsia="lv-LV"/>
              </w:rPr>
              <w:t>VSIA “Autotransporta direkcija”</w:t>
            </w:r>
            <w:r w:rsidRPr="000E6BD5">
              <w:rPr>
                <w:rFonts w:eastAsia="Times New Roman" w:cs="Times New Roman"/>
                <w:sz w:val="24"/>
                <w:szCs w:val="24"/>
                <w:lang w:eastAsia="lv-LV"/>
              </w:rPr>
              <w:t>.</w:t>
            </w:r>
          </w:p>
        </w:tc>
      </w:tr>
      <w:tr w:rsidRPr="00B424B4" w:rsidR="003F75BD" w:rsidTr="000F7ADA" w14:paraId="1411776E" w14:textId="77777777">
        <w:tc>
          <w:tcPr>
            <w:tcW w:w="303"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305E6FC7" w14:textId="77777777">
            <w:pPr>
              <w:jc w:val="center"/>
              <w:rPr>
                <w:rFonts w:eastAsia="Times New Roman" w:cs="Times New Roman"/>
                <w:sz w:val="24"/>
                <w:szCs w:val="24"/>
                <w:lang w:eastAsia="lv-LV"/>
              </w:rPr>
            </w:pPr>
            <w:r w:rsidRPr="000E6BD5">
              <w:rPr>
                <w:rFonts w:eastAsia="Times New Roman" w:cs="Times New Roman"/>
                <w:sz w:val="24"/>
                <w:szCs w:val="24"/>
                <w:lang w:eastAsia="lv-LV"/>
              </w:rPr>
              <w:lastRenderedPageBreak/>
              <w:t>4.</w:t>
            </w: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31F2F910" w14:textId="77777777">
            <w:pPr>
              <w:rPr>
                <w:rFonts w:eastAsia="Times New Roman" w:cs="Times New Roman"/>
                <w:sz w:val="24"/>
                <w:szCs w:val="24"/>
                <w:lang w:eastAsia="lv-LV"/>
              </w:rPr>
            </w:pPr>
            <w:r w:rsidRPr="000E6BD5">
              <w:rPr>
                <w:rFonts w:eastAsia="Times New Roman" w:cs="Times New Roman"/>
                <w:sz w:val="24"/>
                <w:szCs w:val="24"/>
                <w:lang w:eastAsia="lv-LV"/>
              </w:rPr>
              <w:t>Cita informācija</w:t>
            </w:r>
          </w:p>
        </w:tc>
        <w:tc>
          <w:tcPr>
            <w:tcW w:w="3333" w:type="pct"/>
            <w:tcBorders>
              <w:top w:val="outset" w:color="414142" w:sz="6" w:space="0"/>
              <w:left w:val="outset" w:color="414142" w:sz="6" w:space="0"/>
              <w:bottom w:val="outset" w:color="414142" w:sz="6" w:space="0"/>
              <w:right w:val="outset" w:color="414142" w:sz="6" w:space="0"/>
            </w:tcBorders>
            <w:hideMark/>
          </w:tcPr>
          <w:p w:rsidRPr="000E6BD5" w:rsidR="003F75BD" w:rsidP="003F75BD" w:rsidRDefault="003F75BD" w14:paraId="5149B780" w14:textId="77777777">
            <w:pPr>
              <w:rPr>
                <w:rFonts w:eastAsia="Times New Roman" w:cs="Times New Roman"/>
                <w:sz w:val="24"/>
                <w:szCs w:val="24"/>
                <w:lang w:eastAsia="lv-LV"/>
              </w:rPr>
            </w:pPr>
            <w:r w:rsidRPr="000E6BD5">
              <w:rPr>
                <w:rFonts w:eastAsia="Times New Roman" w:cs="Times New Roman"/>
                <w:sz w:val="24"/>
                <w:szCs w:val="24"/>
                <w:lang w:eastAsia="lv-LV"/>
              </w:rPr>
              <w:t>Nav.</w:t>
            </w:r>
          </w:p>
        </w:tc>
      </w:tr>
    </w:tbl>
    <w:p w:rsidR="002C021A" w:rsidP="002C021A" w:rsidRDefault="002C021A" w14:paraId="7D1F66D6" w14:textId="739AF14B">
      <w:pPr>
        <w:shd w:val="clear" w:color="auto" w:fill="FFFFFF"/>
        <w:ind w:firstLine="300"/>
        <w:rPr>
          <w:rFonts w:eastAsia="Times New Roman" w:cs="Times New Roman"/>
          <w:sz w:val="24"/>
          <w:szCs w:val="24"/>
          <w:lang w:eastAsia="lv-LV"/>
        </w:rPr>
      </w:pPr>
    </w:p>
    <w:p w:rsidRPr="00B424B4" w:rsidR="00821079" w:rsidP="002C021A" w:rsidRDefault="00821079" w14:paraId="1A27BB64" w14:textId="77777777">
      <w:pPr>
        <w:shd w:val="clear" w:color="auto" w:fill="FFFFFF"/>
        <w:ind w:firstLine="300"/>
        <w:rPr>
          <w:rFonts w:eastAsia="Times New Roman" w:cs="Times New Roman"/>
          <w:sz w:val="24"/>
          <w:szCs w:val="24"/>
          <w:lang w:eastAsia="lv-LV"/>
        </w:rPr>
      </w:pPr>
    </w:p>
    <w:tbl>
      <w:tblPr>
        <w:tblW w:w="5302"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602"/>
      </w:tblGrid>
      <w:tr w:rsidRPr="00B424B4" w:rsidR="00674C1E" w:rsidTr="00AB738B" w14:paraId="316FF436" w14:textId="77777777">
        <w:trPr>
          <w:trHeight w:val="22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8B9229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II. Tiesību akta projekta ietekme uz sabiedrību, tautsaimniecības attīstību un administratīvo slogu</w:t>
            </w:r>
          </w:p>
        </w:tc>
      </w:tr>
      <w:tr w:rsidRPr="00B424B4" w:rsidR="00821079" w:rsidTr="00AB738B" w14:paraId="231B7C8D" w14:textId="77777777">
        <w:trPr>
          <w:trHeight w:val="298"/>
        </w:trPr>
        <w:tc>
          <w:tcPr>
            <w:tcW w:w="5000" w:type="pct"/>
            <w:tcBorders>
              <w:top w:val="outset" w:color="414142" w:sz="6" w:space="0"/>
              <w:left w:val="outset" w:color="414142" w:sz="6" w:space="0"/>
              <w:right w:val="outset" w:color="414142" w:sz="6" w:space="0"/>
            </w:tcBorders>
          </w:tcPr>
          <w:p w:rsidRPr="00B424B4" w:rsidR="00821079" w:rsidP="00821079" w:rsidRDefault="00821079" w14:paraId="1649AA6B" w14:textId="3353D2F8">
            <w:pPr>
              <w:jc w:val="center"/>
              <w:rPr>
                <w:rFonts w:eastAsia="Times New Roman" w:cs="Times New Roman"/>
                <w:sz w:val="24"/>
                <w:szCs w:val="24"/>
                <w:lang w:eastAsia="lv-LV"/>
              </w:rPr>
            </w:pPr>
            <w:r>
              <w:rPr>
                <w:rFonts w:eastAsia="Times New Roman" w:cs="Times New Roman"/>
                <w:sz w:val="24"/>
                <w:szCs w:val="24"/>
                <w:lang w:eastAsia="lv-LV"/>
              </w:rPr>
              <w:t>Projekts šo jomu neskar.</w:t>
            </w:r>
          </w:p>
        </w:tc>
      </w:tr>
    </w:tbl>
    <w:p w:rsidR="008C6F55" w:rsidP="008C6F55" w:rsidRDefault="002C021A" w14:paraId="1C8F5BC4" w14:textId="014CA999">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p w:rsidR="00821079" w:rsidP="008C6F55" w:rsidRDefault="00821079" w14:paraId="751303E2" w14:textId="77777777">
      <w:pPr>
        <w:shd w:val="clear" w:color="auto" w:fill="FFFFFF"/>
        <w:ind w:firstLine="300"/>
        <w:rPr>
          <w:rFonts w:eastAsia="Times New Roman" w:cs="Times New Roman"/>
          <w:sz w:val="24"/>
          <w:szCs w:val="24"/>
          <w:lang w:eastAsia="lv-LV"/>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342"/>
        <w:gridCol w:w="1276"/>
        <w:gridCol w:w="8"/>
        <w:gridCol w:w="1126"/>
        <w:gridCol w:w="1134"/>
        <w:gridCol w:w="8"/>
        <w:gridCol w:w="1126"/>
        <w:gridCol w:w="709"/>
        <w:gridCol w:w="992"/>
      </w:tblGrid>
      <w:tr w:rsidRPr="00821079" w:rsidR="00FF293C" w:rsidTr="00AB738B" w14:paraId="28180B30" w14:textId="77777777">
        <w:trPr>
          <w:trHeight w:val="212"/>
        </w:trPr>
        <w:tc>
          <w:tcPr>
            <w:tcW w:w="9498" w:type="dxa"/>
            <w:gridSpan w:val="10"/>
            <w:tcBorders>
              <w:top w:val="single" w:color="auto" w:sz="4" w:space="0"/>
              <w:left w:val="single" w:color="auto" w:sz="4" w:space="0"/>
              <w:bottom w:val="single" w:color="auto" w:sz="4" w:space="0"/>
              <w:right w:val="single" w:color="auto" w:sz="4" w:space="0"/>
            </w:tcBorders>
            <w:shd w:val="clear" w:color="auto" w:fill="auto"/>
            <w:hideMark/>
          </w:tcPr>
          <w:p w:rsidRPr="00821079" w:rsidR="00FF293C" w:rsidP="007F6CD9" w:rsidRDefault="00FF293C" w14:paraId="7E5BF021" w14:textId="77777777">
            <w:pPr>
              <w:jc w:val="center"/>
              <w:rPr>
                <w:b/>
                <w:bCs/>
                <w:sz w:val="24"/>
                <w:szCs w:val="24"/>
              </w:rPr>
            </w:pPr>
            <w:r w:rsidRPr="00821079">
              <w:rPr>
                <w:b/>
                <w:bCs/>
                <w:sz w:val="24"/>
                <w:szCs w:val="24"/>
              </w:rPr>
              <w:t>III. Tiesību akta projekta ietekme uz valsts budžetu un pašvaldību budžetiem</w:t>
            </w:r>
          </w:p>
        </w:tc>
      </w:tr>
      <w:tr w:rsidRPr="00825345" w:rsidR="00FF293C" w:rsidTr="00AB738B" w14:paraId="1587A96C"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FF293C" w:rsidP="007F6CD9" w:rsidRDefault="00FF293C" w14:paraId="3D720B2D" w14:textId="77777777">
            <w:pPr>
              <w:jc w:val="center"/>
              <w:rPr>
                <w:bCs/>
                <w:sz w:val="22"/>
              </w:rPr>
            </w:pPr>
            <w:r w:rsidRPr="00342C9C">
              <w:rPr>
                <w:bCs/>
                <w:sz w:val="22"/>
              </w:rPr>
              <w:t>Rādītāji</w:t>
            </w:r>
          </w:p>
        </w:tc>
        <w:tc>
          <w:tcPr>
            <w:tcW w:w="2626"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5B2395E9" w14:textId="7DF57FBB">
            <w:pPr>
              <w:jc w:val="center"/>
              <w:rPr>
                <w:bCs/>
                <w:sz w:val="24"/>
                <w:szCs w:val="24"/>
              </w:rPr>
            </w:pPr>
            <w:r w:rsidRPr="00821079">
              <w:rPr>
                <w:bCs/>
                <w:sz w:val="24"/>
                <w:szCs w:val="24"/>
              </w:rPr>
              <w:t>2020. gads</w:t>
            </w:r>
          </w:p>
        </w:tc>
        <w:tc>
          <w:tcPr>
            <w:tcW w:w="5095" w:type="dxa"/>
            <w:gridSpan w:val="6"/>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7F3B004E" w14:textId="77777777">
            <w:pPr>
              <w:jc w:val="center"/>
              <w:rPr>
                <w:sz w:val="24"/>
                <w:szCs w:val="24"/>
              </w:rPr>
            </w:pPr>
            <w:r w:rsidRPr="00821079">
              <w:rPr>
                <w:sz w:val="24"/>
                <w:szCs w:val="24"/>
              </w:rPr>
              <w:t>Turpmākie trīs gadi (</w:t>
            </w:r>
            <w:r w:rsidRPr="00821079">
              <w:rPr>
                <w:i/>
                <w:iCs/>
                <w:sz w:val="24"/>
                <w:szCs w:val="24"/>
              </w:rPr>
              <w:t>euro</w:t>
            </w:r>
            <w:r w:rsidRPr="00821079">
              <w:rPr>
                <w:sz w:val="24"/>
                <w:szCs w:val="24"/>
              </w:rPr>
              <w:t>)</w:t>
            </w:r>
          </w:p>
        </w:tc>
      </w:tr>
      <w:tr w:rsidRPr="00825345" w:rsidR="00FF293C" w:rsidTr="00481EAA" w14:paraId="0882170D"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F293C" w:rsidP="007F6CD9" w:rsidRDefault="00FF293C" w14:paraId="107B5C18" w14:textId="77777777">
            <w:pPr>
              <w:jc w:val="center"/>
              <w:rPr>
                <w:bCs/>
                <w:sz w:val="22"/>
              </w:rPr>
            </w:pPr>
          </w:p>
        </w:tc>
        <w:tc>
          <w:tcPr>
            <w:tcW w:w="2626"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21079" w:rsidR="00FF293C" w:rsidP="007F6CD9" w:rsidRDefault="00FF293C" w14:paraId="6788BF9C" w14:textId="77777777">
            <w:pPr>
              <w:jc w:val="center"/>
              <w:rPr>
                <w:bCs/>
                <w:sz w:val="24"/>
                <w:szCs w:val="24"/>
              </w:rPr>
            </w:pPr>
          </w:p>
        </w:tc>
        <w:tc>
          <w:tcPr>
            <w:tcW w:w="2268" w:type="dxa"/>
            <w:gridSpan w:val="3"/>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042BBB09" w14:textId="50A609E1">
            <w:pPr>
              <w:jc w:val="center"/>
              <w:rPr>
                <w:bCs/>
                <w:sz w:val="24"/>
                <w:szCs w:val="24"/>
              </w:rPr>
            </w:pPr>
            <w:r w:rsidRPr="00821079">
              <w:rPr>
                <w:bCs/>
                <w:sz w:val="24"/>
                <w:szCs w:val="24"/>
              </w:rPr>
              <w:t>2021</w:t>
            </w:r>
          </w:p>
        </w:tc>
        <w:tc>
          <w:tcPr>
            <w:tcW w:w="183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1CB3094F" w14:textId="0278FEBC">
            <w:pPr>
              <w:jc w:val="center"/>
              <w:rPr>
                <w:bCs/>
                <w:sz w:val="24"/>
                <w:szCs w:val="24"/>
              </w:rPr>
            </w:pPr>
            <w:r w:rsidRPr="00821079">
              <w:rPr>
                <w:bCs/>
                <w:sz w:val="24"/>
                <w:szCs w:val="24"/>
              </w:rPr>
              <w:t>2022</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1B78E8A7" w14:textId="50FEEA77">
            <w:pPr>
              <w:jc w:val="center"/>
              <w:rPr>
                <w:bCs/>
                <w:sz w:val="24"/>
                <w:szCs w:val="24"/>
              </w:rPr>
            </w:pPr>
            <w:r w:rsidRPr="00821079">
              <w:rPr>
                <w:bCs/>
                <w:sz w:val="24"/>
                <w:szCs w:val="24"/>
              </w:rPr>
              <w:t>2023</w:t>
            </w:r>
          </w:p>
        </w:tc>
      </w:tr>
      <w:tr w:rsidRPr="00825345" w:rsidR="00FF293C" w:rsidTr="00481EAA" w14:paraId="1D61B9D7"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F293C" w:rsidP="007F6CD9" w:rsidRDefault="00FF293C" w14:paraId="01BB1309" w14:textId="77777777">
            <w:pPr>
              <w:jc w:val="center"/>
              <w:rPr>
                <w:b/>
                <w:bCs/>
                <w:sz w:val="22"/>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00D5F46C" w14:textId="77777777">
            <w:pPr>
              <w:jc w:val="center"/>
              <w:rPr>
                <w:sz w:val="20"/>
                <w:szCs w:val="20"/>
              </w:rPr>
            </w:pPr>
            <w:r w:rsidRPr="00342C9C">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2B0E96E6" w14:textId="77777777">
            <w:pPr>
              <w:jc w:val="center"/>
              <w:rPr>
                <w:sz w:val="20"/>
                <w:szCs w:val="20"/>
              </w:rPr>
            </w:pPr>
            <w:r w:rsidRPr="00342C9C">
              <w:rPr>
                <w:sz w:val="20"/>
                <w:szCs w:val="20"/>
              </w:rPr>
              <w:t>izmaiņas kārtējā gadā, salīdzinot ar valsts budžetu kārtējam gadam</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69BFC0D9" w14:textId="77777777">
            <w:pPr>
              <w:jc w:val="center"/>
              <w:rPr>
                <w:sz w:val="20"/>
                <w:szCs w:val="20"/>
              </w:rPr>
            </w:pPr>
            <w:r w:rsidRPr="00342C9C">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7C5646F1" w14:textId="4CE2E2B5">
            <w:pPr>
              <w:jc w:val="center"/>
              <w:rPr>
                <w:sz w:val="20"/>
                <w:szCs w:val="20"/>
              </w:rPr>
            </w:pPr>
            <w:r w:rsidRPr="00342C9C">
              <w:rPr>
                <w:sz w:val="20"/>
                <w:szCs w:val="20"/>
              </w:rPr>
              <w:t>izmaiņas, salīdzinot ar vidēja termiņa budžeta ietvaru 20</w:t>
            </w:r>
            <w:r w:rsidR="00B73758">
              <w:rPr>
                <w:sz w:val="20"/>
                <w:szCs w:val="20"/>
              </w:rPr>
              <w:t>2</w:t>
            </w:r>
            <w:r w:rsidR="006C16BB">
              <w:rPr>
                <w:sz w:val="20"/>
                <w:szCs w:val="20"/>
              </w:rPr>
              <w:t>1</w:t>
            </w:r>
            <w:r w:rsidRPr="00342C9C">
              <w:rPr>
                <w:sz w:val="20"/>
                <w:szCs w:val="20"/>
              </w:rPr>
              <w:t>. gadam</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14EC88AF" w14:textId="77777777">
            <w:pPr>
              <w:jc w:val="center"/>
              <w:rPr>
                <w:sz w:val="20"/>
                <w:szCs w:val="20"/>
              </w:rPr>
            </w:pPr>
            <w:r w:rsidRPr="00342C9C">
              <w:rPr>
                <w:sz w:val="20"/>
                <w:szCs w:val="20"/>
              </w:rPr>
              <w:t>saskaņā ar vidēja termiņa budžeta ietvaru</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5144623D" w14:textId="649C7FE4">
            <w:pPr>
              <w:jc w:val="center"/>
              <w:rPr>
                <w:sz w:val="20"/>
                <w:szCs w:val="20"/>
              </w:rPr>
            </w:pPr>
            <w:r w:rsidRPr="00342C9C">
              <w:rPr>
                <w:sz w:val="20"/>
                <w:szCs w:val="20"/>
              </w:rPr>
              <w:t xml:space="preserve">izmaiņas, </w:t>
            </w:r>
            <w:r w:rsidRPr="00342C9C">
              <w:rPr>
                <w:sz w:val="18"/>
                <w:szCs w:val="18"/>
              </w:rPr>
              <w:t>salīdzino</w:t>
            </w:r>
            <w:r w:rsidRPr="00342C9C">
              <w:rPr>
                <w:sz w:val="20"/>
                <w:szCs w:val="20"/>
              </w:rPr>
              <w:t>t ar vidēja termiņa budžeta ietvaru 202</w:t>
            </w:r>
            <w:r w:rsidR="006C16BB">
              <w:rPr>
                <w:sz w:val="20"/>
                <w:szCs w:val="20"/>
              </w:rPr>
              <w:t>2</w:t>
            </w:r>
            <w:r w:rsidRPr="00342C9C">
              <w:rPr>
                <w:sz w:val="20"/>
                <w:szCs w:val="20"/>
              </w:rPr>
              <w:t>.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47798EA2" w14:textId="294E9A61">
            <w:pPr>
              <w:jc w:val="center"/>
              <w:rPr>
                <w:sz w:val="20"/>
                <w:szCs w:val="20"/>
              </w:rPr>
            </w:pPr>
            <w:r w:rsidRPr="00342C9C">
              <w:rPr>
                <w:sz w:val="20"/>
                <w:szCs w:val="20"/>
              </w:rPr>
              <w:t>izmaiņas, salīdzinot ar vidēja termiņa budžeta ietvaru 202</w:t>
            </w:r>
            <w:r w:rsidR="00B73758">
              <w:rPr>
                <w:sz w:val="20"/>
                <w:szCs w:val="20"/>
              </w:rPr>
              <w:t>2</w:t>
            </w:r>
            <w:r w:rsidRPr="00342C9C">
              <w:rPr>
                <w:sz w:val="20"/>
                <w:szCs w:val="20"/>
              </w:rPr>
              <w:t>. gadam</w:t>
            </w:r>
          </w:p>
        </w:tc>
      </w:tr>
      <w:tr w:rsidRPr="00825345" w:rsidR="00FF293C" w:rsidTr="00481EAA" w14:paraId="34B82D2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4923308A" w14:textId="77777777">
            <w:pPr>
              <w:jc w:val="center"/>
              <w:rPr>
                <w:sz w:val="22"/>
              </w:rPr>
            </w:pPr>
            <w:r w:rsidRPr="00342C9C">
              <w:rPr>
                <w:sz w:val="22"/>
              </w:rPr>
              <w:t>1</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660A0A41" w14:textId="77777777">
            <w:pPr>
              <w:jc w:val="center"/>
              <w:rPr>
                <w:sz w:val="20"/>
                <w:szCs w:val="20"/>
              </w:rPr>
            </w:pPr>
            <w:r w:rsidRPr="00B34F99">
              <w:rPr>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2A383D93" w14:textId="77777777">
            <w:pPr>
              <w:jc w:val="center"/>
              <w:rPr>
                <w:sz w:val="20"/>
                <w:szCs w:val="20"/>
              </w:rPr>
            </w:pPr>
            <w:r w:rsidRPr="00B34F99">
              <w:rPr>
                <w:sz w:val="20"/>
                <w:szCs w:val="20"/>
              </w:rPr>
              <w:t>3</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4A9F01B3" w14:textId="77777777">
            <w:pPr>
              <w:jc w:val="center"/>
              <w:rPr>
                <w:sz w:val="20"/>
                <w:szCs w:val="20"/>
              </w:rPr>
            </w:pPr>
            <w:r w:rsidRPr="00B34F99">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51110CF0" w14:textId="77777777">
            <w:pPr>
              <w:jc w:val="center"/>
              <w:rPr>
                <w:sz w:val="20"/>
                <w:szCs w:val="20"/>
              </w:rPr>
            </w:pPr>
            <w:r w:rsidRPr="00B34F99">
              <w:rPr>
                <w:sz w:val="20"/>
                <w:szCs w:val="20"/>
              </w:rPr>
              <w:t>5</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162A3605" w14:textId="77777777">
            <w:pPr>
              <w:jc w:val="center"/>
              <w:rPr>
                <w:sz w:val="20"/>
                <w:szCs w:val="20"/>
              </w:rPr>
            </w:pPr>
            <w:r w:rsidRPr="00B34F99">
              <w:rPr>
                <w:sz w:val="20"/>
                <w:szCs w:val="20"/>
              </w:rPr>
              <w:t>6</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6C6727B1" w14:textId="77777777">
            <w:pPr>
              <w:jc w:val="center"/>
              <w:rPr>
                <w:sz w:val="20"/>
                <w:szCs w:val="20"/>
              </w:rPr>
            </w:pPr>
            <w:r w:rsidRPr="00B34F99">
              <w:rPr>
                <w:sz w:val="20"/>
                <w:szCs w:val="20"/>
              </w:rPr>
              <w:t>7</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4C6AB540" w14:textId="77777777">
            <w:pPr>
              <w:jc w:val="center"/>
              <w:rPr>
                <w:sz w:val="20"/>
                <w:szCs w:val="20"/>
              </w:rPr>
            </w:pPr>
            <w:r w:rsidRPr="00B34F99">
              <w:rPr>
                <w:sz w:val="20"/>
                <w:szCs w:val="20"/>
              </w:rPr>
              <w:t>8</w:t>
            </w:r>
          </w:p>
        </w:tc>
      </w:tr>
      <w:tr w:rsidRPr="00825345" w:rsidR="00D90870" w:rsidTr="00481EAA" w14:paraId="625EBA87"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342C9C" w:rsidR="00D90870" w:rsidP="00D90870" w:rsidRDefault="00D90870" w14:paraId="18A8B691" w14:textId="77777777">
            <w:pPr>
              <w:rPr>
                <w:sz w:val="22"/>
              </w:rPr>
            </w:pPr>
            <w:r w:rsidRPr="00342C9C">
              <w:rPr>
                <w:sz w:val="22"/>
              </w:rPr>
              <w:t>1. Budžeta ieņēmumi</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C776AB" w14:paraId="1B708F27" w14:textId="0D63A5B6">
            <w:pPr>
              <w:jc w:val="center"/>
              <w:rPr>
                <w:sz w:val="20"/>
                <w:szCs w:val="20"/>
              </w:rPr>
            </w:pPr>
            <w:r>
              <w:rPr>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483080AB" w14:textId="2252832B">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C776AB" w14:paraId="07C4EE20" w14:textId="21A8F1C0">
            <w:pPr>
              <w:jc w:val="center"/>
              <w:rPr>
                <w:sz w:val="20"/>
                <w:szCs w:val="20"/>
              </w:rPr>
            </w:pPr>
            <w:r>
              <w:rPr>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28EFF879" w14:textId="1C919D70">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C776AB" w14:paraId="191C124D" w14:textId="1B0D09F2">
            <w:pPr>
              <w:spacing w:before="120"/>
              <w:jc w:val="center"/>
              <w:rPr>
                <w:sz w:val="20"/>
                <w:szCs w:val="20"/>
              </w:rPr>
            </w:pPr>
            <w:r>
              <w:rPr>
                <w:sz w:val="20"/>
                <w:szCs w:val="20"/>
              </w:rPr>
              <w:t>61 603 518</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D90870" w:rsidP="00D90870" w:rsidRDefault="00D90870" w14:paraId="64F6CD5E" w14:textId="7F0B0CA9">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86478D" w14:paraId="6B316E3B" w14:textId="492A188D">
            <w:pPr>
              <w:jc w:val="center"/>
              <w:rPr>
                <w:sz w:val="20"/>
                <w:szCs w:val="20"/>
              </w:rPr>
            </w:pPr>
            <w:r>
              <w:rPr>
                <w:sz w:val="20"/>
                <w:szCs w:val="20"/>
              </w:rPr>
              <w:t>0</w:t>
            </w:r>
          </w:p>
        </w:tc>
      </w:tr>
      <w:tr w:rsidRPr="00825345" w:rsidR="00D90870" w:rsidTr="00481EAA" w14:paraId="23D4B7E9"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726B8DD" w14:textId="77777777">
            <w:pPr>
              <w:rPr>
                <w:sz w:val="22"/>
              </w:rPr>
            </w:pPr>
            <w:r w:rsidRPr="00342C9C">
              <w:rPr>
                <w:sz w:val="22"/>
              </w:rPr>
              <w:t>1.1. valsts pamatbudžets, tai skaitā ieņēmumi no maksas pakalpojumiem un citi pašu ieņēmumi</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538EDEBC" w14:textId="22AB6B1A">
            <w:pPr>
              <w:jc w:val="center"/>
              <w:rPr>
                <w:sz w:val="20"/>
                <w:szCs w:val="20"/>
              </w:rPr>
            </w:pPr>
            <w:r>
              <w:rPr>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2B03B414" w14:textId="11CC0B6E">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48203EAE" w14:textId="0446146D">
            <w:pPr>
              <w:jc w:val="center"/>
              <w:rPr>
                <w:sz w:val="20"/>
                <w:szCs w:val="20"/>
              </w:rPr>
            </w:pPr>
            <w:r>
              <w:rPr>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181163C4" w14:textId="1AAD34F2">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Pr>
          <w:p w:rsidRPr="00342C9C" w:rsidR="00D90870" w:rsidP="00ED21D4" w:rsidRDefault="0086478D" w14:paraId="6E2D25C6" w14:textId="462935AE">
            <w:pPr>
              <w:spacing w:before="960"/>
              <w:jc w:val="center"/>
              <w:rPr>
                <w:sz w:val="20"/>
                <w:szCs w:val="20"/>
              </w:rPr>
            </w:pPr>
            <w:r>
              <w:rPr>
                <w:sz w:val="20"/>
                <w:szCs w:val="20"/>
              </w:rPr>
              <w:t>61 603 518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50F1962" w14:textId="7570126E">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86478D" w14:paraId="3F4DB991" w14:textId="6EFCACB1">
            <w:pPr>
              <w:jc w:val="center"/>
              <w:rPr>
                <w:sz w:val="20"/>
                <w:szCs w:val="20"/>
              </w:rPr>
            </w:pPr>
            <w:r>
              <w:rPr>
                <w:sz w:val="20"/>
                <w:szCs w:val="20"/>
              </w:rPr>
              <w:t>0</w:t>
            </w:r>
          </w:p>
        </w:tc>
      </w:tr>
      <w:tr w:rsidRPr="00825345" w:rsidR="00D90870" w:rsidTr="00481EAA" w14:paraId="4995465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2A01D05" w14:textId="77777777">
            <w:pPr>
              <w:rPr>
                <w:sz w:val="22"/>
              </w:rPr>
            </w:pPr>
            <w:r w:rsidRPr="00342C9C">
              <w:rPr>
                <w:sz w:val="22"/>
              </w:rPr>
              <w:t>1.2. valsts speciālais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3860535" w14:textId="4596CF54">
            <w:pPr>
              <w:jc w:val="center"/>
              <w:rPr>
                <w:sz w:val="20"/>
                <w:szCs w:val="20"/>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782AB88" w14:textId="1E7DB3E9">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AFB3BC0" w14:textId="295AF463">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3300931" w14:textId="60474219">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4DD91D6" w14:textId="2DE6109E">
            <w:pPr>
              <w:jc w:val="center"/>
              <w:rPr>
                <w:sz w:val="20"/>
                <w:szCs w:val="20"/>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330B44D" w14:textId="327F8D5A">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E81EE07" w14:textId="0ACB68CD">
            <w:pPr>
              <w:jc w:val="center"/>
              <w:rPr>
                <w:sz w:val="20"/>
                <w:szCs w:val="20"/>
              </w:rPr>
            </w:pPr>
            <w:r>
              <w:rPr>
                <w:sz w:val="20"/>
                <w:szCs w:val="20"/>
              </w:rPr>
              <w:t>0</w:t>
            </w:r>
          </w:p>
        </w:tc>
      </w:tr>
      <w:tr w:rsidRPr="00825345" w:rsidR="00D90870" w:rsidTr="00481EAA" w14:paraId="2B476CC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EB8D34B" w14:textId="77777777">
            <w:pPr>
              <w:rPr>
                <w:sz w:val="22"/>
              </w:rPr>
            </w:pPr>
            <w:r w:rsidRPr="00342C9C">
              <w:rPr>
                <w:sz w:val="22"/>
              </w:rPr>
              <w:t>1.3. pašvaldību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38ED3F8" w14:textId="23733FE8">
            <w:pPr>
              <w:jc w:val="center"/>
              <w:rPr>
                <w:sz w:val="20"/>
                <w:szCs w:val="20"/>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9667DF9" w14:textId="59B59065">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BFBB218" w14:textId="36E503FF">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1EC0721" w14:textId="5C28E5BB">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6DA509B" w14:textId="345C4D6A">
            <w:pPr>
              <w:jc w:val="center"/>
              <w:rPr>
                <w:sz w:val="20"/>
                <w:szCs w:val="20"/>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0533F6C" w14:textId="5FA9F878">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4B4E87B" w14:textId="274D7A5C">
            <w:pPr>
              <w:jc w:val="center"/>
              <w:rPr>
                <w:sz w:val="20"/>
                <w:szCs w:val="20"/>
              </w:rPr>
            </w:pPr>
            <w:r>
              <w:rPr>
                <w:sz w:val="20"/>
                <w:szCs w:val="20"/>
              </w:rPr>
              <w:t>0</w:t>
            </w:r>
          </w:p>
        </w:tc>
      </w:tr>
      <w:tr w:rsidRPr="00825345" w:rsidR="00D90870" w:rsidTr="00481EAA" w14:paraId="6D95775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E25140A" w14:textId="77777777">
            <w:pPr>
              <w:rPr>
                <w:sz w:val="22"/>
              </w:rPr>
            </w:pPr>
            <w:r w:rsidRPr="00342C9C">
              <w:rPr>
                <w:sz w:val="22"/>
              </w:rPr>
              <w:t>2. Budžeta izdevumi</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1F7EA63E" w14:textId="55FECBCE">
            <w:pPr>
              <w:jc w:val="center"/>
              <w:rPr>
                <w:sz w:val="20"/>
                <w:szCs w:val="20"/>
              </w:rPr>
            </w:pPr>
            <w:r>
              <w:rPr>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58BC4D7F" w14:textId="25715D51">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4AF5EB16" w14:textId="0D8FB629">
            <w:pPr>
              <w:spacing w:before="120"/>
              <w:jc w:val="center"/>
              <w:rPr>
                <w:sz w:val="20"/>
                <w:szCs w:val="20"/>
              </w:rPr>
            </w:pPr>
            <w:r>
              <w:rPr>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57487EB0" w14:textId="28021C63">
            <w:pPr>
              <w:spacing w:before="120"/>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1330FBA9" w14:textId="4756DF40">
            <w:pPr>
              <w:spacing w:before="120"/>
              <w:jc w:val="center"/>
              <w:rPr>
                <w:sz w:val="20"/>
                <w:szCs w:val="20"/>
              </w:rPr>
            </w:pPr>
            <w:r>
              <w:rPr>
                <w:sz w:val="20"/>
                <w:szCs w:val="20"/>
              </w:rPr>
              <w:t>61 603 518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9332E14" w14:textId="16ADEC9D">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B7B8B23" w14:textId="799862A4">
            <w:pPr>
              <w:jc w:val="center"/>
              <w:rPr>
                <w:sz w:val="20"/>
                <w:szCs w:val="20"/>
              </w:rPr>
            </w:pPr>
            <w:r>
              <w:rPr>
                <w:sz w:val="20"/>
                <w:szCs w:val="20"/>
              </w:rPr>
              <w:t>0</w:t>
            </w:r>
          </w:p>
        </w:tc>
      </w:tr>
      <w:tr w:rsidRPr="00825345" w:rsidR="00D90870" w:rsidTr="00481EAA" w14:paraId="235AB67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0FEBDF" w14:textId="77777777">
            <w:pPr>
              <w:rPr>
                <w:sz w:val="22"/>
              </w:rPr>
            </w:pPr>
            <w:r w:rsidRPr="00342C9C">
              <w:rPr>
                <w:sz w:val="22"/>
              </w:rPr>
              <w:t>2.1. valsts pamatbudžets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6FD88461" w14:textId="4F3F97BB">
            <w:pPr>
              <w:jc w:val="center"/>
              <w:rPr>
                <w:sz w:val="20"/>
                <w:szCs w:val="20"/>
              </w:rPr>
            </w:pPr>
            <w:r>
              <w:rPr>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05B6A2F" w14:textId="0915B21D">
            <w:pPr>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2E056B1C" w14:textId="6120F199">
            <w:pPr>
              <w:spacing w:before="120"/>
              <w:jc w:val="center"/>
              <w:rPr>
                <w:sz w:val="20"/>
                <w:szCs w:val="20"/>
              </w:rPr>
            </w:pPr>
            <w:r>
              <w:rPr>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20EAE971" w14:textId="7407D98E">
            <w:pPr>
              <w:spacing w:before="120"/>
              <w:jc w:val="center"/>
              <w:rPr>
                <w:sz w:val="20"/>
                <w:szCs w:val="20"/>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86478D" w14:paraId="6F0A467A" w14:textId="2AD24083">
            <w:pPr>
              <w:spacing w:before="120"/>
              <w:jc w:val="center"/>
              <w:rPr>
                <w:sz w:val="20"/>
                <w:szCs w:val="20"/>
              </w:rPr>
            </w:pPr>
            <w:r>
              <w:rPr>
                <w:sz w:val="20"/>
                <w:szCs w:val="20"/>
              </w:rPr>
              <w:t>61 603 518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83E9986" w14:textId="295AEE6C">
            <w:pPr>
              <w:jc w:val="center"/>
              <w:rPr>
                <w:sz w:val="20"/>
                <w:szCs w:val="20"/>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4949667" w14:textId="240F330E">
            <w:pPr>
              <w:jc w:val="center"/>
              <w:rPr>
                <w:sz w:val="20"/>
                <w:szCs w:val="20"/>
              </w:rPr>
            </w:pPr>
            <w:r>
              <w:rPr>
                <w:sz w:val="20"/>
                <w:szCs w:val="20"/>
              </w:rPr>
              <w:t>0</w:t>
            </w:r>
          </w:p>
        </w:tc>
      </w:tr>
      <w:tr w:rsidRPr="0086478D" w:rsidR="0086478D" w:rsidTr="00481EAA" w14:paraId="099B2983"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tcPr>
          <w:p w:rsidRPr="0086478D" w:rsidR="0086478D" w:rsidP="00D90870" w:rsidRDefault="0086478D" w14:paraId="345E4581" w14:textId="6A5F96CF">
            <w:pPr>
              <w:rPr>
                <w:sz w:val="22"/>
              </w:rPr>
            </w:pPr>
            <w:r w:rsidRPr="0086478D">
              <w:rPr>
                <w:sz w:val="22"/>
              </w:rPr>
              <w:t>2.1.1. Satiksmes ministrijas budžeta apakšprogramma 31.07.00.</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1F9D3D4F" w14:textId="57616D5F">
            <w:pPr>
              <w:jc w:val="center"/>
              <w:rPr>
                <w:sz w:val="20"/>
                <w:szCs w:val="20"/>
              </w:rPr>
            </w:pPr>
            <w:r w:rsidRPr="0086478D">
              <w:rPr>
                <w:rFonts w:cs="Times New Roman"/>
                <w:sz w:val="20"/>
                <w:szCs w:val="20"/>
              </w:rPr>
              <w:t>20 650 442 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6E45B233" w14:textId="6126B1E8">
            <w:pPr>
              <w:jc w:val="center"/>
              <w:rPr>
                <w:sz w:val="20"/>
                <w:szCs w:val="20"/>
              </w:rPr>
            </w:pPr>
            <w:r w:rsidRPr="0086478D">
              <w:rPr>
                <w:sz w:val="20"/>
                <w:szCs w:val="20"/>
              </w:rPr>
              <w:t>-</w:t>
            </w:r>
            <w:r w:rsidRPr="0086478D">
              <w:rPr>
                <w:rFonts w:cs="Times New Roman"/>
                <w:sz w:val="20"/>
                <w:szCs w:val="20"/>
              </w:rPr>
              <w:t>3 077 517</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02D238B4"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55D613B3" w14:textId="77777777">
            <w:pPr>
              <w:jc w:val="center"/>
              <w:rPr>
                <w:sz w:val="22"/>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10BEB0B8"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7E8E4288"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329B4462" w14:textId="77777777">
            <w:pPr>
              <w:jc w:val="center"/>
              <w:rPr>
                <w:sz w:val="22"/>
              </w:rPr>
            </w:pPr>
          </w:p>
        </w:tc>
      </w:tr>
      <w:tr w:rsidRPr="0086478D" w:rsidR="0086478D" w:rsidTr="00481EAA" w14:paraId="6D4EF7D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tcPr>
          <w:p w:rsidRPr="0086478D" w:rsidR="0086478D" w:rsidP="00D90870" w:rsidRDefault="0086478D" w14:paraId="44234158" w14:textId="0D7D2282">
            <w:pPr>
              <w:rPr>
                <w:sz w:val="22"/>
              </w:rPr>
            </w:pPr>
            <w:r w:rsidRPr="0086478D">
              <w:rPr>
                <w:sz w:val="22"/>
              </w:rPr>
              <w:t>2.1.2. Satiksmes ministrijas budžeta apakšprogramma 31.06.00.</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178E97C0" w14:textId="2BA02C69">
            <w:pPr>
              <w:jc w:val="center"/>
              <w:rPr>
                <w:sz w:val="20"/>
                <w:szCs w:val="20"/>
              </w:rPr>
            </w:pPr>
            <w:r w:rsidRPr="0086478D">
              <w:rPr>
                <w:rFonts w:cs="Times New Roman"/>
                <w:sz w:val="20"/>
                <w:szCs w:val="20"/>
              </w:rPr>
              <w:t>40 953 076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54605EDD" w14:textId="2483EC9F">
            <w:pPr>
              <w:jc w:val="center"/>
              <w:rPr>
                <w:sz w:val="20"/>
                <w:szCs w:val="20"/>
              </w:rPr>
            </w:pPr>
            <w:r w:rsidRPr="0086478D">
              <w:rPr>
                <w:rFonts w:cs="Times New Roman"/>
                <w:sz w:val="20"/>
                <w:szCs w:val="20"/>
              </w:rPr>
              <w:t>3 077 517</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1024346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57FA3CE3" w14:textId="77777777">
            <w:pPr>
              <w:jc w:val="center"/>
              <w:rPr>
                <w:sz w:val="22"/>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35FEAD87"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0653DE73"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6478D" w:rsidR="0086478D" w:rsidP="00D90870" w:rsidRDefault="0086478D" w14:paraId="5A89A36A" w14:textId="77777777">
            <w:pPr>
              <w:jc w:val="center"/>
              <w:rPr>
                <w:sz w:val="22"/>
              </w:rPr>
            </w:pPr>
          </w:p>
        </w:tc>
      </w:tr>
      <w:tr w:rsidRPr="00825345" w:rsidR="00D90870" w:rsidTr="00481EAA" w14:paraId="209ECAE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B49E21B" w14:textId="77777777">
            <w:pPr>
              <w:rPr>
                <w:sz w:val="22"/>
              </w:rPr>
            </w:pPr>
            <w:r w:rsidRPr="00342C9C">
              <w:rPr>
                <w:sz w:val="22"/>
              </w:rPr>
              <w:lastRenderedPageBreak/>
              <w:t>2.2. valsts speciālais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C73ED23" w14:textId="68F873A9">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65D54ED" w14:textId="729B0C85">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8FA94A" w14:textId="709B7FE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35E67A1" w14:textId="77EE9EED">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7BA6CF8" w14:textId="1E0FD585">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5F34BFF" w14:textId="217831EB">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1B750AC" w14:textId="336ACFA2">
            <w:pPr>
              <w:jc w:val="center"/>
              <w:rPr>
                <w:sz w:val="22"/>
              </w:rPr>
            </w:pPr>
            <w:r>
              <w:rPr>
                <w:sz w:val="20"/>
                <w:szCs w:val="20"/>
              </w:rPr>
              <w:t>0</w:t>
            </w:r>
          </w:p>
        </w:tc>
      </w:tr>
      <w:tr w:rsidRPr="00825345" w:rsidR="00D90870" w:rsidTr="00481EAA" w14:paraId="682FE15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6DBA411" w14:textId="77777777">
            <w:pPr>
              <w:rPr>
                <w:sz w:val="22"/>
              </w:rPr>
            </w:pPr>
            <w:r w:rsidRPr="00342C9C">
              <w:rPr>
                <w:sz w:val="22"/>
              </w:rPr>
              <w:t>2.3. pašvaldību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331DBF8" w14:textId="4B5008CA">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AD090FD" w14:textId="41E0F808">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E56EFDC" w14:textId="65E7765C">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83C9C5E" w14:textId="64CC4F1A">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847ACFF" w14:textId="08A2BD7C">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0C48D61" w14:textId="2BABC832">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F707472" w14:textId="24306931">
            <w:pPr>
              <w:jc w:val="center"/>
              <w:rPr>
                <w:sz w:val="22"/>
              </w:rPr>
            </w:pPr>
            <w:r>
              <w:rPr>
                <w:sz w:val="20"/>
                <w:szCs w:val="20"/>
              </w:rPr>
              <w:t>0</w:t>
            </w:r>
          </w:p>
        </w:tc>
      </w:tr>
      <w:tr w:rsidRPr="00BD0191" w:rsidR="00D90870" w:rsidTr="00481EAA" w14:paraId="4637A280"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FE517EC" w14:textId="77777777">
            <w:pPr>
              <w:rPr>
                <w:sz w:val="22"/>
              </w:rPr>
            </w:pPr>
            <w:r w:rsidRPr="00342C9C">
              <w:rPr>
                <w:sz w:val="22"/>
              </w:rPr>
              <w:t>3. Finansiālā ietekme</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2D368D6" w14:textId="133143B0">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369CB1B" w14:textId="6E9819E1">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CA1C431" w14:textId="59B83784">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06D29" w:rsidR="00D90870" w:rsidP="00A06D29" w:rsidRDefault="00D90870" w14:paraId="14F06F89" w14:textId="0D038518">
            <w:pPr>
              <w:jc w:val="center"/>
              <w:rPr>
                <w:rFonts w:eastAsia="Times New Roman"/>
                <w:sz w:val="22"/>
              </w:rPr>
            </w:pPr>
            <w:r w:rsidRPr="00A06D29">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6F38540" w14:textId="09B43C68">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74BE814" w14:textId="782BE361">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6131C76" w14:textId="7040427B">
            <w:pPr>
              <w:jc w:val="center"/>
              <w:rPr>
                <w:sz w:val="22"/>
              </w:rPr>
            </w:pPr>
            <w:r>
              <w:rPr>
                <w:sz w:val="20"/>
                <w:szCs w:val="20"/>
              </w:rPr>
              <w:t>0</w:t>
            </w:r>
          </w:p>
        </w:tc>
      </w:tr>
      <w:tr w:rsidRPr="00825345" w:rsidR="00D90870" w:rsidTr="00481EAA" w14:paraId="1CCD41B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F61D4DA" w14:textId="77777777">
            <w:pPr>
              <w:rPr>
                <w:sz w:val="22"/>
              </w:rPr>
            </w:pPr>
            <w:r w:rsidRPr="00342C9C">
              <w:rPr>
                <w:sz w:val="22"/>
              </w:rPr>
              <w:t>3.1. valsts pamatbudžets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72F8C8E" w14:textId="34395FAE">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063009DE" w14:textId="5C25B7CF">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BF73ACC" w14:textId="4A211E4C">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697AA4E" w14:textId="5B15ABBB">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36D5877" w14:textId="1CEDB507">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4E796CF" w14:textId="46BEE970">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3916B47" w14:textId="6C436609">
            <w:pPr>
              <w:jc w:val="center"/>
              <w:rPr>
                <w:sz w:val="22"/>
              </w:rPr>
            </w:pPr>
            <w:r>
              <w:rPr>
                <w:sz w:val="20"/>
                <w:szCs w:val="20"/>
              </w:rPr>
              <w:t>0</w:t>
            </w:r>
          </w:p>
        </w:tc>
      </w:tr>
      <w:tr w:rsidRPr="00825345" w:rsidR="00D90870" w:rsidTr="00481EAA" w14:paraId="6AA1E0F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95F92F4" w14:textId="77777777">
            <w:pPr>
              <w:rPr>
                <w:sz w:val="22"/>
              </w:rPr>
            </w:pPr>
            <w:r w:rsidRPr="00342C9C">
              <w:rPr>
                <w:sz w:val="22"/>
              </w:rPr>
              <w:t>3.2. speciālais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2956352" w14:textId="7884A2F3">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81021F9" w14:textId="3B119DCD">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DF4177D" w14:textId="13B0D50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835DB91" w14:textId="228521EC">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5353C9D" w14:textId="3A26AA9C">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663454E" w14:textId="2FFD562A">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96674F5" w14:textId="6D1DA634">
            <w:pPr>
              <w:jc w:val="center"/>
              <w:rPr>
                <w:sz w:val="22"/>
              </w:rPr>
            </w:pPr>
            <w:r>
              <w:rPr>
                <w:sz w:val="20"/>
                <w:szCs w:val="20"/>
              </w:rPr>
              <w:t>0</w:t>
            </w:r>
          </w:p>
        </w:tc>
      </w:tr>
      <w:tr w:rsidRPr="00825345" w:rsidR="00D90870" w:rsidTr="00481EAA" w14:paraId="4271562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F40A7F7" w14:textId="77777777">
            <w:pPr>
              <w:rPr>
                <w:sz w:val="22"/>
              </w:rPr>
            </w:pPr>
            <w:r w:rsidRPr="00342C9C">
              <w:rPr>
                <w:sz w:val="22"/>
              </w:rPr>
              <w:t>3.3. pašvaldību budžets</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E78A411" w14:textId="3997CAEF">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53B0B41" w14:textId="7564A898">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2B5F61" w14:textId="496A6AA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BF6F0DE" w14:textId="245BF81B">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B834C51" w14:textId="606A0EC7">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71386D5" w14:textId="272EDBAC">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3287731" w14:textId="6E25E709">
            <w:pPr>
              <w:jc w:val="center"/>
              <w:rPr>
                <w:sz w:val="22"/>
              </w:rPr>
            </w:pPr>
            <w:r>
              <w:rPr>
                <w:sz w:val="20"/>
                <w:szCs w:val="20"/>
              </w:rPr>
              <w:t>0</w:t>
            </w:r>
          </w:p>
        </w:tc>
      </w:tr>
      <w:tr w:rsidRPr="00825345" w:rsidR="00D90870" w:rsidTr="00481EAA" w14:paraId="20468187"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103480E" w14:textId="77777777">
            <w:pPr>
              <w:rPr>
                <w:sz w:val="22"/>
              </w:rPr>
            </w:pPr>
            <w:r w:rsidRPr="00342C9C">
              <w:rPr>
                <w:sz w:val="22"/>
              </w:rPr>
              <w:t>4. Finanšu līdzekļi papildu izdevumu finansēšanai (kompensējošu izdevumu samazinājumu norāda ar "+" zīmi)</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EFED72" w14:textId="3293909D">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074F646" w14:textId="31A4CFDF">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2189653" w14:textId="462A7DDB">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44BBF26" w14:textId="695BA017">
            <w:pPr>
              <w:jc w:val="center"/>
              <w:rPr>
                <w:sz w:val="22"/>
              </w:rPr>
            </w:pPr>
            <w:r>
              <w:rPr>
                <w:sz w:val="20"/>
                <w:szCs w:val="20"/>
              </w:rPr>
              <w:t>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8F0FC35" w14:textId="45C8A991">
            <w:pPr>
              <w:jc w:val="center"/>
              <w:rPr>
                <w:sz w:val="22"/>
              </w:rPr>
            </w:pPr>
            <w:r>
              <w:rPr>
                <w:sz w:val="20"/>
                <w:szCs w:val="20"/>
              </w:rPr>
              <w:t>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0084A35" w14:textId="71A873DC">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9139BA3" w14:textId="611504E9">
            <w:pPr>
              <w:jc w:val="center"/>
              <w:rPr>
                <w:sz w:val="22"/>
              </w:rPr>
            </w:pPr>
            <w:r>
              <w:rPr>
                <w:sz w:val="20"/>
                <w:szCs w:val="20"/>
              </w:rPr>
              <w:t>0</w:t>
            </w:r>
          </w:p>
        </w:tc>
      </w:tr>
      <w:tr w:rsidRPr="00825345" w:rsidR="00D90870" w:rsidTr="00481EAA" w14:paraId="07CC91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BE3CC31" w14:textId="77777777">
            <w:pPr>
              <w:rPr>
                <w:sz w:val="22"/>
              </w:rPr>
            </w:pPr>
            <w:r w:rsidRPr="00342C9C">
              <w:rPr>
                <w:sz w:val="22"/>
              </w:rPr>
              <w:t>5. Precizēta finansiālā ietekme</w:t>
            </w:r>
          </w:p>
        </w:tc>
        <w:tc>
          <w:tcPr>
            <w:tcW w:w="134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D1D5DD2" w14:textId="77777777">
            <w:pPr>
              <w:jc w:val="center"/>
              <w:rPr>
                <w:sz w:val="22"/>
              </w:rPr>
            </w:pPr>
            <w:r w:rsidRPr="00342C9C">
              <w:rPr>
                <w:sz w:val="22"/>
              </w:rPr>
              <w:t>0</w:t>
            </w:r>
          </w:p>
          <w:p w:rsidRPr="00342C9C" w:rsidR="00D90870" w:rsidP="00D90870" w:rsidRDefault="00D90870" w14:paraId="6AA54250" w14:textId="77777777">
            <w:pPr>
              <w:jc w:val="center"/>
              <w:rPr>
                <w:sz w:val="22"/>
              </w:rPr>
            </w:pPr>
          </w:p>
          <w:p w:rsidRPr="00342C9C" w:rsidR="00D90870" w:rsidP="00D90870" w:rsidRDefault="00D90870" w14:paraId="60EDEF2C" w14:textId="77777777">
            <w:pPr>
              <w:jc w:val="center"/>
              <w:rPr>
                <w:sz w:val="22"/>
              </w:rPr>
            </w:pPr>
          </w:p>
          <w:p w:rsidRPr="00342C9C" w:rsidR="00D90870" w:rsidP="00D90870" w:rsidRDefault="00D90870" w14:paraId="22FD4B58"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A403912" w14:textId="77777777">
            <w:pPr>
              <w:jc w:val="center"/>
              <w:rPr>
                <w:sz w:val="22"/>
              </w:rPr>
            </w:pPr>
            <w:r w:rsidRPr="00342C9C">
              <w:rPr>
                <w:sz w:val="22"/>
              </w:rPr>
              <w:t>0</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CDA5A08" w14:textId="77777777">
            <w:pPr>
              <w:jc w:val="center"/>
              <w:rPr>
                <w:sz w:val="22"/>
              </w:rPr>
            </w:pPr>
            <w:r w:rsidRPr="00342C9C">
              <w:rPr>
                <w:sz w:val="22"/>
              </w:rPr>
              <w:t>0</w:t>
            </w:r>
          </w:p>
          <w:p w:rsidRPr="00342C9C" w:rsidR="00D90870" w:rsidP="00D90870" w:rsidRDefault="00D90870" w14:paraId="1FBCAD5D" w14:textId="77777777">
            <w:pPr>
              <w:jc w:val="center"/>
              <w:rPr>
                <w:sz w:val="22"/>
              </w:rPr>
            </w:pPr>
          </w:p>
          <w:p w:rsidRPr="00342C9C" w:rsidR="00D90870" w:rsidP="00D90870" w:rsidRDefault="00D90870" w14:paraId="24539510"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58A5D35" w14:textId="77777777">
            <w:pPr>
              <w:jc w:val="center"/>
              <w:rPr>
                <w:sz w:val="22"/>
              </w:rPr>
            </w:pPr>
            <w:r w:rsidRPr="00342C9C">
              <w:rPr>
                <w:sz w:val="22"/>
              </w:rPr>
              <w:t>0</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8267E4B" w14:textId="77777777">
            <w:pPr>
              <w:jc w:val="center"/>
              <w:rPr>
                <w:sz w:val="22"/>
              </w:rPr>
            </w:pPr>
            <w:r w:rsidRPr="00342C9C">
              <w:rPr>
                <w:sz w:val="22"/>
              </w:rPr>
              <w:t>0</w:t>
            </w:r>
          </w:p>
          <w:p w:rsidRPr="00342C9C" w:rsidR="00D90870" w:rsidP="00D90870" w:rsidRDefault="00D90870" w14:paraId="17C7B407" w14:textId="77777777">
            <w:pPr>
              <w:jc w:val="center"/>
              <w:rPr>
                <w:sz w:val="22"/>
              </w:rPr>
            </w:pPr>
          </w:p>
          <w:p w:rsidRPr="00342C9C" w:rsidR="00D90870" w:rsidP="00D90870" w:rsidRDefault="00D90870" w14:paraId="63522D88" w14:textId="77777777">
            <w:pPr>
              <w:jc w:val="center"/>
              <w:rPr>
                <w:sz w:val="22"/>
              </w:rPr>
            </w:pPr>
          </w:p>
          <w:p w:rsidRPr="00342C9C" w:rsidR="00D90870" w:rsidP="00D90870" w:rsidRDefault="00D90870" w14:paraId="62A9B510"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3940DEA" w14:textId="77777777">
            <w:pPr>
              <w:jc w:val="center"/>
              <w:rPr>
                <w:sz w:val="22"/>
              </w:rPr>
            </w:pPr>
            <w:r w:rsidRPr="00342C9C">
              <w:rPr>
                <w:sz w:val="22"/>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1E6A174" w14:textId="77777777">
            <w:pPr>
              <w:jc w:val="center"/>
              <w:rPr>
                <w:sz w:val="22"/>
              </w:rPr>
            </w:pPr>
            <w:r w:rsidRPr="00342C9C">
              <w:rPr>
                <w:sz w:val="22"/>
              </w:rPr>
              <w:t>0</w:t>
            </w:r>
          </w:p>
        </w:tc>
      </w:tr>
      <w:tr w:rsidRPr="00825345" w:rsidR="00D90870" w:rsidTr="00481EAA" w14:paraId="2F72FB7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DFC2AC1" w14:textId="77777777">
            <w:pPr>
              <w:rPr>
                <w:sz w:val="22"/>
              </w:rPr>
            </w:pPr>
            <w:r w:rsidRPr="00342C9C">
              <w:rPr>
                <w:sz w:val="22"/>
              </w:rPr>
              <w:t>5.1. valsts pamatbudžets</w:t>
            </w:r>
          </w:p>
        </w:tc>
        <w:tc>
          <w:tcPr>
            <w:tcW w:w="1342"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E010758"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8839255" w14:textId="77777777">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91BF24"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45E9002" w14:textId="77777777">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C784F4"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3445184" w14:textId="77777777">
            <w:pPr>
              <w:jc w:val="center"/>
              <w:rPr>
                <w:sz w:val="22"/>
              </w:rPr>
            </w:pPr>
            <w:r w:rsidRPr="00342C9C">
              <w:rPr>
                <w:sz w:val="22"/>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EF81CBB" w14:textId="77777777">
            <w:pPr>
              <w:jc w:val="center"/>
              <w:rPr>
                <w:sz w:val="22"/>
              </w:rPr>
            </w:pPr>
            <w:r w:rsidRPr="00342C9C">
              <w:rPr>
                <w:sz w:val="22"/>
              </w:rPr>
              <w:t>0</w:t>
            </w:r>
          </w:p>
        </w:tc>
      </w:tr>
      <w:tr w:rsidRPr="00825345" w:rsidR="00D90870" w:rsidTr="00481EAA" w14:paraId="0B1E84CB"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924D8CB" w14:textId="77777777">
            <w:pPr>
              <w:rPr>
                <w:sz w:val="22"/>
              </w:rPr>
            </w:pPr>
            <w:r w:rsidRPr="00342C9C">
              <w:rPr>
                <w:sz w:val="22"/>
              </w:rPr>
              <w:t>5.2. speciālais budžets</w:t>
            </w:r>
          </w:p>
        </w:tc>
        <w:tc>
          <w:tcPr>
            <w:tcW w:w="1342"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59DCD2C"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1D4DA43" w14:textId="77777777">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DC62EE7"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70249B4" w14:textId="77777777">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DD26CE9"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CA8FD69" w14:textId="77777777">
            <w:pPr>
              <w:jc w:val="center"/>
              <w:rPr>
                <w:sz w:val="22"/>
              </w:rPr>
            </w:pPr>
            <w:r w:rsidRPr="00342C9C">
              <w:rPr>
                <w:sz w:val="22"/>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A0E8C06" w14:textId="77777777">
            <w:pPr>
              <w:jc w:val="center"/>
              <w:rPr>
                <w:sz w:val="22"/>
              </w:rPr>
            </w:pPr>
            <w:r w:rsidRPr="00342C9C">
              <w:rPr>
                <w:sz w:val="22"/>
              </w:rPr>
              <w:t>0</w:t>
            </w:r>
          </w:p>
        </w:tc>
      </w:tr>
      <w:tr w:rsidRPr="00825345" w:rsidR="00D90870" w:rsidTr="00481EAA" w14:paraId="3180DFB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CD92595" w14:textId="77777777">
            <w:pPr>
              <w:rPr>
                <w:sz w:val="22"/>
              </w:rPr>
            </w:pPr>
            <w:r w:rsidRPr="00342C9C">
              <w:rPr>
                <w:sz w:val="22"/>
              </w:rPr>
              <w:t>5.3. pašvaldību budžets</w:t>
            </w:r>
          </w:p>
        </w:tc>
        <w:tc>
          <w:tcPr>
            <w:tcW w:w="1342"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18383B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D6010D7" w14:textId="1DA310BC">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972E563"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7D70CA3" w14:textId="13C5CE92">
            <w:pPr>
              <w:jc w:val="center"/>
              <w:rPr>
                <w:sz w:val="22"/>
              </w:rPr>
            </w:pPr>
            <w:r w:rsidRPr="00342C9C">
              <w:rPr>
                <w:sz w:val="22"/>
              </w:rPr>
              <w:t>0</w:t>
            </w:r>
          </w:p>
        </w:tc>
        <w:tc>
          <w:tcPr>
            <w:tcW w:w="1134" w:type="dxa"/>
            <w:gridSpan w:val="2"/>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00CA4DB" w14:textId="77777777">
            <w:pPr>
              <w:jc w:val="center"/>
              <w:rPr>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01D1EA8" w14:textId="26927B73">
            <w:pPr>
              <w:jc w:val="center"/>
              <w:rPr>
                <w:sz w:val="22"/>
              </w:rPr>
            </w:pPr>
            <w:r w:rsidRPr="00342C9C">
              <w:rPr>
                <w:sz w:val="22"/>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82DD63F" w14:textId="5C96BE65">
            <w:pPr>
              <w:jc w:val="center"/>
              <w:rPr>
                <w:sz w:val="22"/>
              </w:rPr>
            </w:pPr>
            <w:r w:rsidRPr="00342C9C">
              <w:rPr>
                <w:sz w:val="22"/>
              </w:rPr>
              <w:t>0</w:t>
            </w:r>
          </w:p>
        </w:tc>
      </w:tr>
      <w:tr w:rsidRPr="00825345" w:rsidR="00D90870" w:rsidTr="00AB738B" w14:paraId="79C25851" w14:textId="77777777">
        <w:trPr>
          <w:trHeight w:val="81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38143FFC" w14:textId="77777777">
            <w:pPr>
              <w:rPr>
                <w:sz w:val="24"/>
                <w:szCs w:val="24"/>
              </w:rPr>
            </w:pPr>
            <w:r w:rsidRPr="00821079">
              <w:rPr>
                <w:sz w:val="24"/>
                <w:szCs w:val="24"/>
              </w:rPr>
              <w:t>6. Detalizēts ieņēmumu un izdevumu aprēķins (ja nepieciešams, detalizētu ieņēmumu un izdevumu aprēķinu var pievienot anotācijas pielikumā)</w:t>
            </w:r>
          </w:p>
        </w:tc>
        <w:tc>
          <w:tcPr>
            <w:tcW w:w="7721" w:type="dxa"/>
            <w:gridSpan w:val="9"/>
            <w:vMerge w:val="restart"/>
            <w:tcBorders>
              <w:top w:val="single" w:color="auto" w:sz="4" w:space="0"/>
              <w:left w:val="single" w:color="auto" w:sz="4" w:space="0"/>
              <w:bottom w:val="single" w:color="auto" w:sz="4" w:space="0"/>
              <w:right w:val="single" w:color="auto" w:sz="4" w:space="0"/>
            </w:tcBorders>
            <w:shd w:val="clear" w:color="auto" w:fill="auto"/>
          </w:tcPr>
          <w:p w:rsidRPr="00AB738B" w:rsidR="0086478D" w:rsidP="0086478D" w:rsidRDefault="0086478D" w14:paraId="064181FC" w14:textId="22F45222">
            <w:pPr>
              <w:jc w:val="both"/>
              <w:rPr>
                <w:rFonts w:cs="Times New Roman"/>
                <w:sz w:val="24"/>
                <w:szCs w:val="24"/>
              </w:rPr>
            </w:pPr>
            <w:bookmarkStart w:name="_Hlk49164430" w:id="0"/>
            <w:r w:rsidRPr="00AB738B">
              <w:rPr>
                <w:sz w:val="24"/>
                <w:szCs w:val="24"/>
              </w:rPr>
              <w:t xml:space="preserve">Piešķirtais finansējums </w:t>
            </w:r>
            <w:r w:rsidRPr="00AB738B">
              <w:rPr>
                <w:rFonts w:cs="Times New Roman"/>
                <w:sz w:val="24"/>
                <w:szCs w:val="24"/>
              </w:rPr>
              <w:t>apakšprogrammā 31.07.00 ir 20 650 442 </w:t>
            </w:r>
            <w:r w:rsidRPr="00AB738B">
              <w:rPr>
                <w:rFonts w:cs="Times New Roman"/>
                <w:i/>
                <w:iCs/>
                <w:sz w:val="24"/>
                <w:szCs w:val="24"/>
              </w:rPr>
              <w:t>euro</w:t>
            </w:r>
            <w:r w:rsidR="00455DE1">
              <w:rPr>
                <w:rFonts w:cs="Times New Roman"/>
                <w:iCs/>
                <w:sz w:val="24"/>
                <w:szCs w:val="24"/>
              </w:rPr>
              <w:t>, tajā skaitā 1</w:t>
            </w:r>
            <w:r w:rsidR="0065451D">
              <w:rPr>
                <w:rFonts w:cs="Times New Roman"/>
                <w:iCs/>
                <w:sz w:val="24"/>
                <w:szCs w:val="24"/>
              </w:rPr>
              <w:t> </w:t>
            </w:r>
            <w:r w:rsidR="00455DE1">
              <w:rPr>
                <w:rFonts w:cs="Times New Roman"/>
                <w:iCs/>
                <w:sz w:val="24"/>
                <w:szCs w:val="24"/>
              </w:rPr>
              <w:t xml:space="preserve">921 </w:t>
            </w:r>
            <w:r w:rsidRPr="0065451D" w:rsidR="00455DE1">
              <w:rPr>
                <w:rFonts w:cs="Times New Roman"/>
                <w:i/>
                <w:iCs/>
                <w:sz w:val="24"/>
                <w:szCs w:val="24"/>
              </w:rPr>
              <w:t>euro</w:t>
            </w:r>
            <w:r w:rsidR="00455DE1">
              <w:rPr>
                <w:rFonts w:cs="Times New Roman"/>
                <w:iCs/>
                <w:sz w:val="24"/>
                <w:szCs w:val="24"/>
              </w:rPr>
              <w:t xml:space="preserve"> norēķiniem par iepriekšējiem periodiem</w:t>
            </w:r>
            <w:r w:rsidRPr="00AB738B">
              <w:rPr>
                <w:rFonts w:cs="Times New Roman"/>
                <w:sz w:val="24"/>
                <w:szCs w:val="24"/>
              </w:rPr>
              <w:t xml:space="preserve">. </w:t>
            </w:r>
            <w:r w:rsidR="008B4C68">
              <w:rPr>
                <w:rFonts w:cs="Times New Roman"/>
                <w:sz w:val="24"/>
                <w:szCs w:val="24"/>
              </w:rPr>
              <w:t>P</w:t>
            </w:r>
            <w:r w:rsidRPr="00AB738B" w:rsidR="00B96670">
              <w:rPr>
                <w:rFonts w:cs="Times New Roman"/>
                <w:sz w:val="24"/>
                <w:szCs w:val="24"/>
              </w:rPr>
              <w:t>rognozētie zaudējumi par personu ar</w:t>
            </w:r>
            <w:r w:rsidRPr="00AB738B">
              <w:rPr>
                <w:rFonts w:cs="Times New Roman"/>
                <w:sz w:val="24"/>
                <w:szCs w:val="24"/>
              </w:rPr>
              <w:t xml:space="preserve"> braukšanas maksas atvieglojumi</w:t>
            </w:r>
            <w:r w:rsidRPr="00AB738B" w:rsidR="00B96670">
              <w:rPr>
                <w:rFonts w:cs="Times New Roman"/>
                <w:sz w:val="24"/>
                <w:szCs w:val="24"/>
              </w:rPr>
              <w:t>em pārvadāšanu</w:t>
            </w:r>
            <w:r w:rsidRPr="00AB738B">
              <w:rPr>
                <w:rFonts w:cs="Times New Roman"/>
                <w:sz w:val="24"/>
                <w:szCs w:val="24"/>
              </w:rPr>
              <w:t xml:space="preserve"> </w:t>
            </w:r>
            <w:r w:rsidR="008B4C68">
              <w:rPr>
                <w:rFonts w:cs="Times New Roman"/>
                <w:sz w:val="24"/>
                <w:szCs w:val="24"/>
              </w:rPr>
              <w:t xml:space="preserve">ir </w:t>
            </w:r>
            <w:r w:rsidRPr="00AB738B" w:rsidR="00B96670">
              <w:rPr>
                <w:rFonts w:cs="Times New Roman"/>
                <w:sz w:val="24"/>
                <w:szCs w:val="24"/>
              </w:rPr>
              <w:t>17 991 917</w:t>
            </w:r>
            <w:r w:rsidRPr="00AB738B" w:rsidR="00A77A2D">
              <w:rPr>
                <w:rFonts w:cs="Times New Roman"/>
                <w:sz w:val="24"/>
                <w:szCs w:val="24"/>
              </w:rPr>
              <w:t xml:space="preserve"> </w:t>
            </w:r>
            <w:r w:rsidRPr="00AB738B" w:rsidR="00A77A2D">
              <w:rPr>
                <w:rFonts w:cs="Times New Roman"/>
                <w:i/>
                <w:iCs/>
                <w:sz w:val="24"/>
                <w:szCs w:val="24"/>
              </w:rPr>
              <w:t>euro</w:t>
            </w:r>
            <w:r w:rsidRPr="00AB738B" w:rsidR="00A77A2D">
              <w:rPr>
                <w:rFonts w:cs="Times New Roman"/>
                <w:sz w:val="24"/>
                <w:szCs w:val="24"/>
              </w:rPr>
              <w:t xml:space="preserve">, </w:t>
            </w:r>
            <w:r w:rsidRPr="00455DE1" w:rsidR="00455DE1">
              <w:rPr>
                <w:rFonts w:cs="Times New Roman"/>
                <w:sz w:val="24"/>
                <w:szCs w:val="24"/>
              </w:rPr>
              <w:t xml:space="preserve">kā arī ir izveidojusies </w:t>
            </w:r>
            <w:r w:rsidRPr="00AB738B" w:rsidR="00A77A2D">
              <w:rPr>
                <w:rFonts w:cs="Times New Roman"/>
                <w:sz w:val="24"/>
                <w:szCs w:val="24"/>
              </w:rPr>
              <w:t xml:space="preserve">pārmaksa par iepriekšējo periodu 420 913 </w:t>
            </w:r>
            <w:r w:rsidRPr="00AB738B" w:rsidR="00A77A2D">
              <w:rPr>
                <w:rFonts w:cs="Times New Roman"/>
                <w:i/>
                <w:iCs/>
                <w:sz w:val="24"/>
                <w:szCs w:val="24"/>
              </w:rPr>
              <w:t>euro</w:t>
            </w:r>
            <w:r w:rsidRPr="00AB738B" w:rsidR="00A77A2D">
              <w:rPr>
                <w:rFonts w:cs="Times New Roman"/>
                <w:sz w:val="24"/>
                <w:szCs w:val="24"/>
              </w:rPr>
              <w:t xml:space="preserve">. </w:t>
            </w:r>
            <w:r w:rsidRPr="00AB738B" w:rsidR="00B96670">
              <w:rPr>
                <w:rFonts w:cs="Times New Roman"/>
                <w:sz w:val="24"/>
                <w:szCs w:val="24"/>
              </w:rPr>
              <w:t>L</w:t>
            </w:r>
            <w:r w:rsidRPr="00AB738B" w:rsidR="00A77A2D">
              <w:rPr>
                <w:rFonts w:cs="Times New Roman"/>
                <w:sz w:val="24"/>
                <w:szCs w:val="24"/>
              </w:rPr>
              <w:t>īdz ar to neapgūtais finansējuma apmērs ir 3 077</w:t>
            </w:r>
            <w:r w:rsidRPr="00AB738B" w:rsidR="00AB738B">
              <w:rPr>
                <w:rFonts w:cs="Times New Roman"/>
                <w:sz w:val="24"/>
                <w:szCs w:val="24"/>
              </w:rPr>
              <w:t> </w:t>
            </w:r>
            <w:r w:rsidRPr="00AB738B" w:rsidR="00A77A2D">
              <w:rPr>
                <w:rFonts w:cs="Times New Roman"/>
                <w:sz w:val="24"/>
                <w:szCs w:val="24"/>
              </w:rPr>
              <w:t>517</w:t>
            </w:r>
            <w:r w:rsidRPr="00AB738B" w:rsidR="00AB738B">
              <w:rPr>
                <w:rFonts w:cs="Times New Roman"/>
                <w:sz w:val="24"/>
                <w:szCs w:val="24"/>
              </w:rPr>
              <w:t xml:space="preserve"> </w:t>
            </w:r>
            <w:r w:rsidRPr="00AB738B" w:rsidR="00A77A2D">
              <w:rPr>
                <w:rFonts w:cs="Times New Roman"/>
                <w:i/>
                <w:iCs/>
                <w:sz w:val="24"/>
                <w:szCs w:val="24"/>
              </w:rPr>
              <w:t>euro</w:t>
            </w:r>
            <w:r w:rsidRPr="00AB738B" w:rsidR="00B96670">
              <w:rPr>
                <w:rFonts w:cs="Times New Roman"/>
                <w:sz w:val="24"/>
                <w:szCs w:val="24"/>
              </w:rPr>
              <w:t>, kas būtu novirzāms 31.06.</w:t>
            </w:r>
            <w:r w:rsidR="008B4C68">
              <w:rPr>
                <w:rFonts w:cs="Times New Roman"/>
                <w:sz w:val="24"/>
                <w:szCs w:val="24"/>
              </w:rPr>
              <w:t xml:space="preserve">00 </w:t>
            </w:r>
            <w:r w:rsidRPr="00AB738B" w:rsidR="00B96670">
              <w:rPr>
                <w:rFonts w:cs="Times New Roman"/>
                <w:sz w:val="24"/>
                <w:szCs w:val="24"/>
              </w:rPr>
              <w:t>apa</w:t>
            </w:r>
            <w:r w:rsidR="008B4C68">
              <w:rPr>
                <w:rFonts w:cs="Times New Roman"/>
                <w:sz w:val="24"/>
                <w:szCs w:val="24"/>
              </w:rPr>
              <w:t>k</w:t>
            </w:r>
            <w:r w:rsidRPr="00AB738B" w:rsidR="00B96670">
              <w:rPr>
                <w:rFonts w:cs="Times New Roman"/>
                <w:sz w:val="24"/>
                <w:szCs w:val="24"/>
              </w:rPr>
              <w:t xml:space="preserve">šprogrammā </w:t>
            </w:r>
            <w:r w:rsidRPr="00AB738B" w:rsidR="00927628">
              <w:rPr>
                <w:rFonts w:cs="Times New Roman"/>
                <w:sz w:val="24"/>
                <w:szCs w:val="24"/>
              </w:rPr>
              <w:t>nesegto zaudējumu maršrutos, kas ir ārpus pilsētas administratīvās teritorijas, ja šī maršruta daļa ir vairāk nekā 30% no kopējā maršruta garuma, kompensēšanai, kā arī daļējai zaudējumu kompensēšanai reģionālās nozīmes pārvadājumos ar autobusiem.</w:t>
            </w:r>
          </w:p>
          <w:bookmarkEnd w:id="0"/>
          <w:p w:rsidRPr="00AB738B" w:rsidR="0086478D" w:rsidP="00D90870" w:rsidRDefault="0086478D" w14:paraId="4E5E715C" w14:textId="1FE40CD5">
            <w:pPr>
              <w:jc w:val="both"/>
              <w:rPr>
                <w:i/>
                <w:iCs/>
                <w:sz w:val="24"/>
                <w:szCs w:val="24"/>
              </w:rPr>
            </w:pPr>
          </w:p>
          <w:tbl>
            <w:tblPr>
              <w:tblW w:w="7611" w:type="dxa"/>
              <w:tblLayout w:type="fixed"/>
              <w:tblLook w:val="04A0" w:firstRow="1" w:lastRow="0" w:firstColumn="1" w:lastColumn="0" w:noHBand="0" w:noVBand="1"/>
            </w:tblPr>
            <w:tblGrid>
              <w:gridCol w:w="2224"/>
              <w:gridCol w:w="1134"/>
              <w:gridCol w:w="993"/>
              <w:gridCol w:w="992"/>
              <w:gridCol w:w="992"/>
              <w:gridCol w:w="1276"/>
            </w:tblGrid>
            <w:tr w:rsidRPr="00AB738B" w:rsidR="00AB738B" w:rsidTr="00996DA7" w14:paraId="5A30CB00" w14:textId="77777777">
              <w:trPr>
                <w:trHeight w:val="1275"/>
              </w:trPr>
              <w:tc>
                <w:tcPr>
                  <w:tcW w:w="222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B738B" w:rsidR="00B96670" w:rsidP="00B96670" w:rsidRDefault="00B96670" w14:paraId="7EBC9877" w14:textId="77777777">
                  <w:pPr>
                    <w:rPr>
                      <w:sz w:val="18"/>
                      <w:szCs w:val="18"/>
                    </w:rPr>
                  </w:pPr>
                  <w:r w:rsidRPr="00AB738B">
                    <w:rPr>
                      <w:sz w:val="18"/>
                      <w:szCs w:val="18"/>
                    </w:rPr>
                    <w:t> </w:t>
                  </w:r>
                </w:p>
              </w:tc>
              <w:tc>
                <w:tcPr>
                  <w:tcW w:w="1134" w:type="dxa"/>
                  <w:tcBorders>
                    <w:top w:val="single" w:color="auto" w:sz="4" w:space="0"/>
                    <w:left w:val="nil"/>
                    <w:bottom w:val="single" w:color="auto" w:sz="4" w:space="0"/>
                    <w:right w:val="single" w:color="auto" w:sz="4" w:space="0"/>
                  </w:tcBorders>
                  <w:shd w:val="clear" w:color="auto" w:fill="auto"/>
                  <w:vAlign w:val="center"/>
                  <w:hideMark/>
                </w:tcPr>
                <w:p w:rsidRPr="00AB738B" w:rsidR="00B96670" w:rsidP="00B96670" w:rsidRDefault="00B96670" w14:paraId="243212D4" w14:textId="77777777">
                  <w:pPr>
                    <w:jc w:val="center"/>
                    <w:rPr>
                      <w:sz w:val="18"/>
                      <w:szCs w:val="18"/>
                    </w:rPr>
                  </w:pPr>
                  <w:r w:rsidRPr="00AB738B">
                    <w:rPr>
                      <w:sz w:val="18"/>
                      <w:szCs w:val="18"/>
                    </w:rPr>
                    <w:t>Valsts budžetā paredzētā summa 2020.gadam</w:t>
                  </w:r>
                </w:p>
              </w:tc>
              <w:tc>
                <w:tcPr>
                  <w:tcW w:w="993" w:type="dxa"/>
                  <w:tcBorders>
                    <w:top w:val="single" w:color="auto" w:sz="4" w:space="0"/>
                    <w:left w:val="nil"/>
                    <w:bottom w:val="single" w:color="auto" w:sz="4" w:space="0"/>
                    <w:right w:val="single" w:color="auto" w:sz="4" w:space="0"/>
                  </w:tcBorders>
                  <w:shd w:val="clear" w:color="auto" w:fill="auto"/>
                  <w:vAlign w:val="center"/>
                  <w:hideMark/>
                </w:tcPr>
                <w:p w:rsidRPr="00AB738B" w:rsidR="00B96670" w:rsidP="00B96670" w:rsidRDefault="00B96670" w14:paraId="300923C3" w14:textId="77777777">
                  <w:pPr>
                    <w:jc w:val="center"/>
                    <w:rPr>
                      <w:sz w:val="18"/>
                      <w:szCs w:val="18"/>
                    </w:rPr>
                  </w:pPr>
                  <w:r w:rsidRPr="00AB738B">
                    <w:rPr>
                      <w:sz w:val="18"/>
                      <w:szCs w:val="18"/>
                    </w:rPr>
                    <w:t>t.sk. norēķiniem par iepriekšējiem periodiem</w:t>
                  </w:r>
                </w:p>
              </w:tc>
              <w:tc>
                <w:tcPr>
                  <w:tcW w:w="992" w:type="dxa"/>
                  <w:tcBorders>
                    <w:top w:val="single" w:color="auto" w:sz="4" w:space="0"/>
                    <w:left w:val="nil"/>
                    <w:bottom w:val="single" w:color="auto" w:sz="4" w:space="0"/>
                    <w:right w:val="single" w:color="auto" w:sz="4" w:space="0"/>
                  </w:tcBorders>
                  <w:shd w:val="clear" w:color="auto" w:fill="auto"/>
                  <w:vAlign w:val="center"/>
                  <w:hideMark/>
                </w:tcPr>
                <w:p w:rsidRPr="00AB738B" w:rsidR="00B96670" w:rsidP="00B96670" w:rsidRDefault="00B96670" w14:paraId="69ADB406" w14:textId="65E2EE50">
                  <w:pPr>
                    <w:jc w:val="center"/>
                    <w:rPr>
                      <w:sz w:val="18"/>
                      <w:szCs w:val="18"/>
                    </w:rPr>
                  </w:pPr>
                  <w:r w:rsidRPr="00AB738B">
                    <w:rPr>
                      <w:sz w:val="18"/>
                      <w:szCs w:val="18"/>
                    </w:rPr>
                    <w:t>Prognoze kompensējamiem zaudējumiem 2020.gadam *</w:t>
                  </w:r>
                </w:p>
              </w:tc>
              <w:tc>
                <w:tcPr>
                  <w:tcW w:w="992" w:type="dxa"/>
                  <w:tcBorders>
                    <w:top w:val="single" w:color="auto" w:sz="4" w:space="0"/>
                    <w:left w:val="nil"/>
                    <w:bottom w:val="single" w:color="auto" w:sz="4" w:space="0"/>
                    <w:right w:val="single" w:color="auto" w:sz="4" w:space="0"/>
                  </w:tcBorders>
                  <w:shd w:val="clear" w:color="auto" w:fill="auto"/>
                  <w:vAlign w:val="center"/>
                  <w:hideMark/>
                </w:tcPr>
                <w:p w:rsidRPr="00AB738B" w:rsidR="00B96670" w:rsidP="00B96670" w:rsidRDefault="00B96670" w14:paraId="47E02F42" w14:textId="77777777">
                  <w:pPr>
                    <w:jc w:val="center"/>
                    <w:rPr>
                      <w:sz w:val="18"/>
                      <w:szCs w:val="18"/>
                    </w:rPr>
                  </w:pPr>
                  <w:r w:rsidRPr="00AB738B">
                    <w:rPr>
                      <w:sz w:val="18"/>
                      <w:szCs w:val="18"/>
                    </w:rPr>
                    <w:t>Iepriekšējo periodu pārmaksas</w:t>
                  </w:r>
                </w:p>
              </w:tc>
              <w:tc>
                <w:tcPr>
                  <w:tcW w:w="1276" w:type="dxa"/>
                  <w:tcBorders>
                    <w:top w:val="single" w:color="auto" w:sz="4" w:space="0"/>
                    <w:left w:val="nil"/>
                    <w:bottom w:val="single" w:color="auto" w:sz="4" w:space="0"/>
                    <w:right w:val="single" w:color="auto" w:sz="4" w:space="0"/>
                  </w:tcBorders>
                  <w:shd w:val="clear" w:color="auto" w:fill="auto"/>
                  <w:vAlign w:val="center"/>
                  <w:hideMark/>
                </w:tcPr>
                <w:p w:rsidRPr="00AB738B" w:rsidR="00B96670" w:rsidP="00B96670" w:rsidRDefault="00B96670" w14:paraId="7E81D216" w14:textId="77777777">
                  <w:pPr>
                    <w:jc w:val="center"/>
                    <w:rPr>
                      <w:sz w:val="18"/>
                      <w:szCs w:val="18"/>
                    </w:rPr>
                  </w:pPr>
                  <w:r w:rsidRPr="00AB738B">
                    <w:rPr>
                      <w:sz w:val="18"/>
                      <w:szCs w:val="18"/>
                    </w:rPr>
                    <w:t>Kopējais finansējuma pārpalikums /iztrūkums</w:t>
                  </w:r>
                </w:p>
                <w:p w:rsidRPr="00AB738B" w:rsidR="00B96670" w:rsidP="00B96670" w:rsidRDefault="00B96670" w14:paraId="55659166" w14:textId="77777777">
                  <w:pPr>
                    <w:jc w:val="center"/>
                    <w:rPr>
                      <w:sz w:val="18"/>
                      <w:szCs w:val="18"/>
                    </w:rPr>
                  </w:pPr>
                  <w:r w:rsidRPr="00AB738B">
                    <w:rPr>
                      <w:sz w:val="18"/>
                      <w:szCs w:val="18"/>
                    </w:rPr>
                    <w:t>(B-C-D+E)</w:t>
                  </w:r>
                </w:p>
                <w:p w:rsidRPr="00AB738B" w:rsidR="00B96670" w:rsidP="00B96670" w:rsidRDefault="00B96670" w14:paraId="3487D630" w14:textId="77777777">
                  <w:pPr>
                    <w:jc w:val="center"/>
                    <w:rPr>
                      <w:sz w:val="18"/>
                      <w:szCs w:val="18"/>
                    </w:rPr>
                  </w:pPr>
                </w:p>
              </w:tc>
            </w:tr>
            <w:tr w:rsidRPr="00AB738B" w:rsidR="00AB738B" w:rsidTr="00996DA7" w14:paraId="0EF90256" w14:textId="77777777">
              <w:trPr>
                <w:trHeight w:val="138"/>
              </w:trPr>
              <w:tc>
                <w:tcPr>
                  <w:tcW w:w="2224" w:type="dxa"/>
                  <w:tcBorders>
                    <w:top w:val="nil"/>
                    <w:left w:val="single" w:color="auto" w:sz="4" w:space="0"/>
                    <w:bottom w:val="single" w:color="auto" w:sz="4" w:space="0"/>
                    <w:right w:val="single" w:color="auto" w:sz="4" w:space="0"/>
                  </w:tcBorders>
                  <w:shd w:val="clear" w:color="auto" w:fill="auto"/>
                  <w:noWrap/>
                  <w:vAlign w:val="center"/>
                </w:tcPr>
                <w:p w:rsidRPr="00AB738B" w:rsidR="00B96670" w:rsidP="00B96670" w:rsidRDefault="00B96670" w14:paraId="1CE8977E" w14:textId="77777777">
                  <w:pPr>
                    <w:jc w:val="center"/>
                    <w:rPr>
                      <w:b/>
                      <w:bCs/>
                      <w:sz w:val="16"/>
                      <w:szCs w:val="16"/>
                    </w:rPr>
                  </w:pPr>
                  <w:r w:rsidRPr="00AB738B">
                    <w:rPr>
                      <w:b/>
                      <w:bCs/>
                      <w:sz w:val="16"/>
                      <w:szCs w:val="16"/>
                    </w:rPr>
                    <w:t>A</w:t>
                  </w:r>
                </w:p>
              </w:tc>
              <w:tc>
                <w:tcPr>
                  <w:tcW w:w="1134" w:type="dxa"/>
                  <w:tcBorders>
                    <w:top w:val="nil"/>
                    <w:left w:val="nil"/>
                    <w:bottom w:val="single" w:color="auto" w:sz="4" w:space="0"/>
                    <w:right w:val="single" w:color="auto" w:sz="4" w:space="0"/>
                  </w:tcBorders>
                  <w:shd w:val="clear" w:color="auto" w:fill="auto"/>
                  <w:noWrap/>
                  <w:vAlign w:val="center"/>
                </w:tcPr>
                <w:p w:rsidRPr="00AB738B" w:rsidR="00B96670" w:rsidP="00B96670" w:rsidRDefault="00B96670" w14:paraId="2208841B" w14:textId="77777777">
                  <w:pPr>
                    <w:jc w:val="center"/>
                    <w:rPr>
                      <w:b/>
                      <w:bCs/>
                      <w:sz w:val="16"/>
                      <w:szCs w:val="16"/>
                    </w:rPr>
                  </w:pPr>
                  <w:r w:rsidRPr="00AB738B">
                    <w:rPr>
                      <w:b/>
                      <w:bCs/>
                      <w:sz w:val="16"/>
                      <w:szCs w:val="16"/>
                    </w:rPr>
                    <w:t>B</w:t>
                  </w:r>
                </w:p>
              </w:tc>
              <w:tc>
                <w:tcPr>
                  <w:tcW w:w="993" w:type="dxa"/>
                  <w:tcBorders>
                    <w:top w:val="nil"/>
                    <w:left w:val="nil"/>
                    <w:bottom w:val="single" w:color="auto" w:sz="4" w:space="0"/>
                    <w:right w:val="single" w:color="auto" w:sz="4" w:space="0"/>
                  </w:tcBorders>
                  <w:shd w:val="clear" w:color="auto" w:fill="auto"/>
                  <w:noWrap/>
                  <w:vAlign w:val="center"/>
                </w:tcPr>
                <w:p w:rsidRPr="00AB738B" w:rsidR="00B96670" w:rsidP="00B96670" w:rsidRDefault="00B96670" w14:paraId="3BC0D6A7" w14:textId="77777777">
                  <w:pPr>
                    <w:jc w:val="center"/>
                    <w:rPr>
                      <w:b/>
                      <w:bCs/>
                      <w:sz w:val="16"/>
                      <w:szCs w:val="16"/>
                    </w:rPr>
                  </w:pPr>
                  <w:r w:rsidRPr="00AB738B">
                    <w:rPr>
                      <w:b/>
                      <w:bCs/>
                      <w:sz w:val="16"/>
                      <w:szCs w:val="16"/>
                    </w:rPr>
                    <w:t>C</w:t>
                  </w:r>
                </w:p>
              </w:tc>
              <w:tc>
                <w:tcPr>
                  <w:tcW w:w="992" w:type="dxa"/>
                  <w:tcBorders>
                    <w:top w:val="nil"/>
                    <w:left w:val="nil"/>
                    <w:bottom w:val="single" w:color="auto" w:sz="4" w:space="0"/>
                    <w:right w:val="single" w:color="auto" w:sz="4" w:space="0"/>
                  </w:tcBorders>
                  <w:shd w:val="clear" w:color="auto" w:fill="auto"/>
                  <w:noWrap/>
                  <w:vAlign w:val="center"/>
                </w:tcPr>
                <w:p w:rsidRPr="00AB738B" w:rsidR="00B96670" w:rsidP="00B96670" w:rsidRDefault="00B96670" w14:paraId="6FF78C26" w14:textId="77777777">
                  <w:pPr>
                    <w:jc w:val="center"/>
                    <w:rPr>
                      <w:b/>
                      <w:bCs/>
                      <w:sz w:val="16"/>
                      <w:szCs w:val="16"/>
                    </w:rPr>
                  </w:pPr>
                  <w:r w:rsidRPr="00AB738B">
                    <w:rPr>
                      <w:b/>
                      <w:bCs/>
                      <w:sz w:val="16"/>
                      <w:szCs w:val="16"/>
                    </w:rPr>
                    <w:t>D</w:t>
                  </w:r>
                </w:p>
              </w:tc>
              <w:tc>
                <w:tcPr>
                  <w:tcW w:w="992" w:type="dxa"/>
                  <w:tcBorders>
                    <w:top w:val="nil"/>
                    <w:left w:val="nil"/>
                    <w:bottom w:val="single" w:color="auto" w:sz="4" w:space="0"/>
                    <w:right w:val="single" w:color="auto" w:sz="4" w:space="0"/>
                  </w:tcBorders>
                  <w:shd w:val="clear" w:color="auto" w:fill="auto"/>
                  <w:noWrap/>
                  <w:vAlign w:val="center"/>
                </w:tcPr>
                <w:p w:rsidRPr="00AB738B" w:rsidR="00B96670" w:rsidP="00B96670" w:rsidRDefault="00B96670" w14:paraId="06C87296" w14:textId="77777777">
                  <w:pPr>
                    <w:jc w:val="center"/>
                    <w:rPr>
                      <w:b/>
                      <w:bCs/>
                      <w:sz w:val="16"/>
                      <w:szCs w:val="16"/>
                    </w:rPr>
                  </w:pPr>
                  <w:r w:rsidRPr="00AB738B">
                    <w:rPr>
                      <w:b/>
                      <w:bCs/>
                      <w:sz w:val="16"/>
                      <w:szCs w:val="16"/>
                    </w:rPr>
                    <w:t>E</w:t>
                  </w:r>
                </w:p>
              </w:tc>
              <w:tc>
                <w:tcPr>
                  <w:tcW w:w="1276" w:type="dxa"/>
                  <w:tcBorders>
                    <w:top w:val="nil"/>
                    <w:left w:val="nil"/>
                    <w:bottom w:val="single" w:color="auto" w:sz="4" w:space="0"/>
                    <w:right w:val="single" w:color="auto" w:sz="4" w:space="0"/>
                  </w:tcBorders>
                  <w:shd w:val="clear" w:color="000000" w:fill="E7E6E6"/>
                  <w:noWrap/>
                  <w:vAlign w:val="center"/>
                </w:tcPr>
                <w:p w:rsidRPr="00AB738B" w:rsidR="00B96670" w:rsidP="00B96670" w:rsidRDefault="00B96670" w14:paraId="52E0A3CE" w14:textId="77777777">
                  <w:pPr>
                    <w:jc w:val="center"/>
                    <w:rPr>
                      <w:b/>
                      <w:bCs/>
                      <w:sz w:val="16"/>
                      <w:szCs w:val="16"/>
                    </w:rPr>
                  </w:pPr>
                  <w:r w:rsidRPr="00AB738B">
                    <w:rPr>
                      <w:b/>
                      <w:bCs/>
                      <w:sz w:val="16"/>
                      <w:szCs w:val="16"/>
                    </w:rPr>
                    <w:t>F</w:t>
                  </w:r>
                </w:p>
              </w:tc>
            </w:tr>
            <w:tr w:rsidRPr="00AB738B" w:rsidR="00AB738B" w:rsidTr="00996DA7" w14:paraId="56DEE376" w14:textId="77777777">
              <w:trPr>
                <w:trHeight w:val="915"/>
              </w:trPr>
              <w:tc>
                <w:tcPr>
                  <w:tcW w:w="2224" w:type="dxa"/>
                  <w:tcBorders>
                    <w:top w:val="nil"/>
                    <w:left w:val="single" w:color="auto" w:sz="4" w:space="0"/>
                    <w:bottom w:val="single" w:color="auto" w:sz="4" w:space="0"/>
                    <w:right w:val="single" w:color="auto" w:sz="4" w:space="0"/>
                  </w:tcBorders>
                  <w:shd w:val="clear" w:color="auto" w:fill="auto"/>
                  <w:noWrap/>
                  <w:vAlign w:val="center"/>
                  <w:hideMark/>
                </w:tcPr>
                <w:p w:rsidRPr="00AB738B" w:rsidR="00B96670" w:rsidP="00B96670" w:rsidRDefault="00B96670" w14:paraId="01DB5152" w14:textId="77777777">
                  <w:pPr>
                    <w:jc w:val="both"/>
                    <w:rPr>
                      <w:b/>
                      <w:bCs/>
                      <w:sz w:val="16"/>
                      <w:szCs w:val="16"/>
                    </w:rPr>
                  </w:pPr>
                  <w:r w:rsidRPr="00AB738B">
                    <w:rPr>
                      <w:b/>
                      <w:bCs/>
                      <w:sz w:val="16"/>
                      <w:szCs w:val="16"/>
                    </w:rPr>
                    <w:t>31.07.00 apakšprogramma “Dotācija sabiedriskā transporta pakalpojumu sniedzējiem ar braukšanas maksas atvieglojumiem saistīto zaudējumu segšanai”</w:t>
                  </w:r>
                </w:p>
              </w:tc>
              <w:tc>
                <w:tcPr>
                  <w:tcW w:w="1134"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55CB737B" w14:textId="77777777">
                  <w:pPr>
                    <w:jc w:val="center"/>
                    <w:rPr>
                      <w:b/>
                      <w:bCs/>
                      <w:sz w:val="16"/>
                      <w:szCs w:val="16"/>
                    </w:rPr>
                  </w:pPr>
                  <w:r w:rsidRPr="00AB738B">
                    <w:rPr>
                      <w:b/>
                      <w:bCs/>
                      <w:sz w:val="16"/>
                      <w:szCs w:val="16"/>
                    </w:rPr>
                    <w:t>20 650 442</w:t>
                  </w:r>
                </w:p>
              </w:tc>
              <w:tc>
                <w:tcPr>
                  <w:tcW w:w="993"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791A1478" w14:textId="77777777">
                  <w:pPr>
                    <w:jc w:val="center"/>
                    <w:rPr>
                      <w:b/>
                      <w:bCs/>
                      <w:sz w:val="16"/>
                      <w:szCs w:val="16"/>
                    </w:rPr>
                  </w:pPr>
                  <w:r w:rsidRPr="00AB738B">
                    <w:rPr>
                      <w:b/>
                      <w:bCs/>
                      <w:sz w:val="16"/>
                      <w:szCs w:val="16"/>
                    </w:rPr>
                    <w:t>1 921</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789027D1" w14:textId="77777777">
                  <w:pPr>
                    <w:jc w:val="center"/>
                    <w:rPr>
                      <w:b/>
                      <w:bCs/>
                      <w:sz w:val="16"/>
                      <w:szCs w:val="16"/>
                    </w:rPr>
                  </w:pPr>
                  <w:r w:rsidRPr="00AB738B">
                    <w:rPr>
                      <w:b/>
                      <w:bCs/>
                      <w:sz w:val="16"/>
                      <w:szCs w:val="16"/>
                    </w:rPr>
                    <w:t>17 991 917</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4D54703D" w14:textId="77777777">
                  <w:pPr>
                    <w:jc w:val="center"/>
                    <w:rPr>
                      <w:b/>
                      <w:bCs/>
                      <w:sz w:val="16"/>
                      <w:szCs w:val="16"/>
                    </w:rPr>
                  </w:pPr>
                  <w:r w:rsidRPr="00AB738B">
                    <w:rPr>
                      <w:b/>
                      <w:bCs/>
                      <w:sz w:val="16"/>
                      <w:szCs w:val="16"/>
                    </w:rPr>
                    <w:t>420 913</w:t>
                  </w:r>
                </w:p>
              </w:tc>
              <w:tc>
                <w:tcPr>
                  <w:tcW w:w="1276" w:type="dxa"/>
                  <w:tcBorders>
                    <w:top w:val="nil"/>
                    <w:left w:val="nil"/>
                    <w:bottom w:val="single" w:color="auto" w:sz="4" w:space="0"/>
                    <w:right w:val="single" w:color="auto" w:sz="4" w:space="0"/>
                  </w:tcBorders>
                  <w:shd w:val="clear" w:color="000000" w:fill="E7E6E6"/>
                  <w:noWrap/>
                  <w:vAlign w:val="center"/>
                  <w:hideMark/>
                </w:tcPr>
                <w:p w:rsidRPr="00AB738B" w:rsidR="00B96670" w:rsidP="00B96670" w:rsidRDefault="00B96670" w14:paraId="3B62C2FB" w14:textId="77777777">
                  <w:pPr>
                    <w:jc w:val="center"/>
                    <w:rPr>
                      <w:b/>
                      <w:bCs/>
                      <w:sz w:val="16"/>
                      <w:szCs w:val="16"/>
                    </w:rPr>
                  </w:pPr>
                  <w:r w:rsidRPr="00AB738B">
                    <w:rPr>
                      <w:b/>
                      <w:bCs/>
                      <w:sz w:val="16"/>
                      <w:szCs w:val="16"/>
                    </w:rPr>
                    <w:t>3 077 517</w:t>
                  </w:r>
                </w:p>
              </w:tc>
            </w:tr>
            <w:tr w:rsidRPr="00AB738B" w:rsidR="00AB738B" w:rsidTr="00996DA7" w14:paraId="2D8589D1" w14:textId="77777777">
              <w:trPr>
                <w:trHeight w:val="300"/>
              </w:trPr>
              <w:tc>
                <w:tcPr>
                  <w:tcW w:w="2224" w:type="dxa"/>
                  <w:tcBorders>
                    <w:top w:val="nil"/>
                    <w:left w:val="single" w:color="auto" w:sz="4" w:space="0"/>
                    <w:bottom w:val="single" w:color="auto" w:sz="4" w:space="0"/>
                    <w:right w:val="single" w:color="auto" w:sz="4" w:space="0"/>
                  </w:tcBorders>
                  <w:shd w:val="clear" w:color="auto" w:fill="auto"/>
                  <w:noWrap/>
                  <w:vAlign w:val="bottom"/>
                  <w:hideMark/>
                </w:tcPr>
                <w:p w:rsidRPr="00AB738B" w:rsidR="00B96670" w:rsidP="00B96670" w:rsidRDefault="00B96670" w14:paraId="3FC8FC43" w14:textId="77777777">
                  <w:pPr>
                    <w:rPr>
                      <w:i/>
                      <w:iCs/>
                      <w:sz w:val="16"/>
                      <w:szCs w:val="16"/>
                    </w:rPr>
                  </w:pPr>
                  <w:r w:rsidRPr="00AB738B">
                    <w:rPr>
                      <w:i/>
                      <w:iCs/>
                      <w:sz w:val="16"/>
                      <w:szCs w:val="16"/>
                    </w:rPr>
                    <w:t xml:space="preserve">EKK 3000 Subsīdijas un dotācijas </w:t>
                  </w:r>
                </w:p>
              </w:tc>
              <w:tc>
                <w:tcPr>
                  <w:tcW w:w="1134"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1C825A61" w14:textId="77777777">
                  <w:pPr>
                    <w:jc w:val="center"/>
                    <w:rPr>
                      <w:sz w:val="16"/>
                      <w:szCs w:val="16"/>
                    </w:rPr>
                  </w:pPr>
                  <w:r w:rsidRPr="00AB738B">
                    <w:rPr>
                      <w:sz w:val="16"/>
                      <w:szCs w:val="16"/>
                    </w:rPr>
                    <w:t>9 400 782</w:t>
                  </w:r>
                </w:p>
              </w:tc>
              <w:tc>
                <w:tcPr>
                  <w:tcW w:w="993"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4FD1EC04" w14:textId="77777777">
                  <w:pPr>
                    <w:jc w:val="center"/>
                    <w:rPr>
                      <w:sz w:val="16"/>
                      <w:szCs w:val="16"/>
                    </w:rPr>
                  </w:pPr>
                  <w:r w:rsidRPr="00AB738B">
                    <w:rPr>
                      <w:sz w:val="16"/>
                      <w:szCs w:val="16"/>
                    </w:rPr>
                    <w:t>1 921</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435838CF" w14:textId="77777777">
                  <w:pPr>
                    <w:jc w:val="center"/>
                    <w:rPr>
                      <w:sz w:val="16"/>
                      <w:szCs w:val="16"/>
                    </w:rPr>
                  </w:pPr>
                  <w:r w:rsidRPr="00AB738B">
                    <w:rPr>
                      <w:sz w:val="16"/>
                      <w:szCs w:val="16"/>
                    </w:rPr>
                    <w:t>9 398 861</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2A88317F" w14:textId="77777777">
                  <w:pPr>
                    <w:jc w:val="center"/>
                    <w:rPr>
                      <w:sz w:val="16"/>
                      <w:szCs w:val="16"/>
                    </w:rPr>
                  </w:pPr>
                </w:p>
              </w:tc>
              <w:tc>
                <w:tcPr>
                  <w:tcW w:w="1276"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45DF95E0" w14:textId="77777777">
                  <w:pPr>
                    <w:jc w:val="center"/>
                    <w:rPr>
                      <w:sz w:val="16"/>
                      <w:szCs w:val="16"/>
                    </w:rPr>
                  </w:pPr>
                  <w:r w:rsidRPr="00AB738B">
                    <w:rPr>
                      <w:sz w:val="16"/>
                      <w:szCs w:val="16"/>
                    </w:rPr>
                    <w:t>0</w:t>
                  </w:r>
                </w:p>
              </w:tc>
            </w:tr>
            <w:tr w:rsidRPr="00AB738B" w:rsidR="00AB738B" w:rsidTr="00996DA7" w14:paraId="5B57C09E" w14:textId="77777777">
              <w:trPr>
                <w:trHeight w:val="225"/>
              </w:trPr>
              <w:tc>
                <w:tcPr>
                  <w:tcW w:w="2224" w:type="dxa"/>
                  <w:tcBorders>
                    <w:top w:val="nil"/>
                    <w:left w:val="single" w:color="auto" w:sz="4" w:space="0"/>
                    <w:bottom w:val="single" w:color="auto" w:sz="4" w:space="0"/>
                    <w:right w:val="single" w:color="auto" w:sz="4" w:space="0"/>
                  </w:tcBorders>
                  <w:shd w:val="clear" w:color="auto" w:fill="auto"/>
                  <w:noWrap/>
                  <w:vAlign w:val="bottom"/>
                  <w:hideMark/>
                </w:tcPr>
                <w:p w:rsidRPr="00AB738B" w:rsidR="00B96670" w:rsidP="00B96670" w:rsidRDefault="00B96670" w14:paraId="7704EFCA" w14:textId="77777777">
                  <w:pPr>
                    <w:jc w:val="right"/>
                    <w:rPr>
                      <w:i/>
                      <w:iCs/>
                      <w:sz w:val="16"/>
                      <w:szCs w:val="16"/>
                    </w:rPr>
                  </w:pPr>
                  <w:r w:rsidRPr="00AB738B">
                    <w:rPr>
                      <w:i/>
                      <w:iCs/>
                      <w:sz w:val="16"/>
                      <w:szCs w:val="16"/>
                    </w:rPr>
                    <w:t>Autobusi</w:t>
                  </w:r>
                </w:p>
              </w:tc>
              <w:tc>
                <w:tcPr>
                  <w:tcW w:w="1134"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1370028F" w14:textId="77777777">
                  <w:pPr>
                    <w:jc w:val="center"/>
                    <w:rPr>
                      <w:sz w:val="16"/>
                      <w:szCs w:val="16"/>
                    </w:rPr>
                  </w:pPr>
                  <w:r w:rsidRPr="00AB738B">
                    <w:rPr>
                      <w:sz w:val="16"/>
                      <w:szCs w:val="16"/>
                    </w:rPr>
                    <w:t>6 860 088</w:t>
                  </w:r>
                </w:p>
              </w:tc>
              <w:tc>
                <w:tcPr>
                  <w:tcW w:w="993"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4B1EEA43" w14:textId="77777777">
                  <w:pPr>
                    <w:jc w:val="center"/>
                    <w:rPr>
                      <w:sz w:val="16"/>
                      <w:szCs w:val="16"/>
                    </w:rPr>
                  </w:pP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7C0DDCA9" w14:textId="77777777">
                  <w:pPr>
                    <w:jc w:val="center"/>
                    <w:rPr>
                      <w:sz w:val="16"/>
                      <w:szCs w:val="16"/>
                    </w:rPr>
                  </w:pPr>
                  <w:r w:rsidRPr="00AB738B">
                    <w:rPr>
                      <w:sz w:val="16"/>
                      <w:szCs w:val="16"/>
                    </w:rPr>
                    <w:t>6 860 088</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3AD734CF" w14:textId="77777777">
                  <w:pPr>
                    <w:jc w:val="center"/>
                    <w:rPr>
                      <w:sz w:val="16"/>
                      <w:szCs w:val="16"/>
                    </w:rPr>
                  </w:pPr>
                </w:p>
              </w:tc>
              <w:tc>
                <w:tcPr>
                  <w:tcW w:w="1276"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6D11B4F3" w14:textId="77777777">
                  <w:pPr>
                    <w:jc w:val="center"/>
                    <w:rPr>
                      <w:sz w:val="16"/>
                      <w:szCs w:val="16"/>
                    </w:rPr>
                  </w:pPr>
                  <w:r w:rsidRPr="00AB738B">
                    <w:rPr>
                      <w:sz w:val="16"/>
                      <w:szCs w:val="16"/>
                    </w:rPr>
                    <w:t>0</w:t>
                  </w:r>
                </w:p>
              </w:tc>
            </w:tr>
            <w:tr w:rsidRPr="00AB738B" w:rsidR="00AB738B" w:rsidTr="00996DA7" w14:paraId="19319C08" w14:textId="77777777">
              <w:trPr>
                <w:trHeight w:val="225"/>
              </w:trPr>
              <w:tc>
                <w:tcPr>
                  <w:tcW w:w="2224" w:type="dxa"/>
                  <w:tcBorders>
                    <w:top w:val="nil"/>
                    <w:left w:val="single" w:color="auto" w:sz="4" w:space="0"/>
                    <w:bottom w:val="single" w:color="auto" w:sz="4" w:space="0"/>
                    <w:right w:val="single" w:color="auto" w:sz="4" w:space="0"/>
                  </w:tcBorders>
                  <w:shd w:val="clear" w:color="auto" w:fill="auto"/>
                  <w:noWrap/>
                  <w:vAlign w:val="bottom"/>
                  <w:hideMark/>
                </w:tcPr>
                <w:p w:rsidRPr="00AB738B" w:rsidR="00B96670" w:rsidP="00B96670" w:rsidRDefault="00B96670" w14:paraId="50854E6E" w14:textId="77777777">
                  <w:pPr>
                    <w:jc w:val="right"/>
                    <w:rPr>
                      <w:i/>
                      <w:iCs/>
                      <w:sz w:val="16"/>
                      <w:szCs w:val="16"/>
                    </w:rPr>
                  </w:pPr>
                  <w:r w:rsidRPr="00AB738B">
                    <w:rPr>
                      <w:i/>
                      <w:iCs/>
                      <w:sz w:val="16"/>
                      <w:szCs w:val="16"/>
                    </w:rPr>
                    <w:t>Vilcieni</w:t>
                  </w:r>
                </w:p>
              </w:tc>
              <w:tc>
                <w:tcPr>
                  <w:tcW w:w="1134"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251EB46B" w14:textId="77777777">
                  <w:pPr>
                    <w:jc w:val="center"/>
                    <w:rPr>
                      <w:sz w:val="16"/>
                      <w:szCs w:val="16"/>
                    </w:rPr>
                  </w:pPr>
                  <w:r w:rsidRPr="00AB738B">
                    <w:rPr>
                      <w:sz w:val="16"/>
                      <w:szCs w:val="16"/>
                    </w:rPr>
                    <w:t>2 540 694</w:t>
                  </w:r>
                </w:p>
              </w:tc>
              <w:tc>
                <w:tcPr>
                  <w:tcW w:w="993"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25FC3A46" w14:textId="77777777">
                  <w:pPr>
                    <w:jc w:val="center"/>
                    <w:rPr>
                      <w:sz w:val="16"/>
                      <w:szCs w:val="16"/>
                    </w:rPr>
                  </w:pPr>
                  <w:r w:rsidRPr="00AB738B">
                    <w:rPr>
                      <w:sz w:val="16"/>
                      <w:szCs w:val="16"/>
                    </w:rPr>
                    <w:t>1 921</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58545B42" w14:textId="77777777">
                  <w:pPr>
                    <w:jc w:val="center"/>
                    <w:rPr>
                      <w:sz w:val="16"/>
                      <w:szCs w:val="16"/>
                    </w:rPr>
                  </w:pPr>
                  <w:r w:rsidRPr="00AB738B">
                    <w:rPr>
                      <w:sz w:val="16"/>
                      <w:szCs w:val="16"/>
                    </w:rPr>
                    <w:t>2 538 773</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373DC5EC" w14:textId="77777777">
                  <w:pPr>
                    <w:jc w:val="center"/>
                    <w:rPr>
                      <w:sz w:val="16"/>
                      <w:szCs w:val="16"/>
                    </w:rPr>
                  </w:pPr>
                </w:p>
              </w:tc>
              <w:tc>
                <w:tcPr>
                  <w:tcW w:w="1276"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57DECB7F" w14:textId="77777777">
                  <w:pPr>
                    <w:jc w:val="center"/>
                    <w:rPr>
                      <w:sz w:val="16"/>
                      <w:szCs w:val="16"/>
                    </w:rPr>
                  </w:pPr>
                  <w:r w:rsidRPr="00AB738B">
                    <w:rPr>
                      <w:sz w:val="16"/>
                      <w:szCs w:val="16"/>
                    </w:rPr>
                    <w:t>0</w:t>
                  </w:r>
                </w:p>
              </w:tc>
            </w:tr>
            <w:tr w:rsidRPr="00AB738B" w:rsidR="00AB738B" w:rsidTr="00996DA7" w14:paraId="68A5015F" w14:textId="77777777">
              <w:trPr>
                <w:trHeight w:val="690"/>
              </w:trPr>
              <w:tc>
                <w:tcPr>
                  <w:tcW w:w="2224" w:type="dxa"/>
                  <w:tcBorders>
                    <w:top w:val="nil"/>
                    <w:left w:val="single" w:color="auto" w:sz="4" w:space="0"/>
                    <w:bottom w:val="single" w:color="auto" w:sz="4" w:space="0"/>
                    <w:right w:val="single" w:color="auto" w:sz="4" w:space="0"/>
                  </w:tcBorders>
                  <w:shd w:val="clear" w:color="auto" w:fill="auto"/>
                  <w:vAlign w:val="bottom"/>
                  <w:hideMark/>
                </w:tcPr>
                <w:p w:rsidRPr="00AB738B" w:rsidR="00B96670" w:rsidP="00B96670" w:rsidRDefault="00B96670" w14:paraId="1F3BB108" w14:textId="77777777">
                  <w:pPr>
                    <w:rPr>
                      <w:i/>
                      <w:iCs/>
                      <w:sz w:val="16"/>
                      <w:szCs w:val="16"/>
                    </w:rPr>
                  </w:pPr>
                  <w:r w:rsidRPr="00AB738B">
                    <w:rPr>
                      <w:i/>
                      <w:iCs/>
                      <w:sz w:val="16"/>
                      <w:szCs w:val="16"/>
                    </w:rPr>
                    <w:lastRenderedPageBreak/>
                    <w:t>EKK 7460 Pārējie valsts budžeta uzturēšanas izdevumu transferti pašvaldībām</w:t>
                  </w:r>
                </w:p>
              </w:tc>
              <w:tc>
                <w:tcPr>
                  <w:tcW w:w="1134"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50033661" w14:textId="77777777">
                  <w:pPr>
                    <w:jc w:val="center"/>
                    <w:rPr>
                      <w:sz w:val="16"/>
                      <w:szCs w:val="16"/>
                    </w:rPr>
                  </w:pPr>
                  <w:r w:rsidRPr="00AB738B">
                    <w:rPr>
                      <w:sz w:val="16"/>
                      <w:szCs w:val="16"/>
                    </w:rPr>
                    <w:t>11 249 660</w:t>
                  </w:r>
                </w:p>
              </w:tc>
              <w:tc>
                <w:tcPr>
                  <w:tcW w:w="993"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264A031A" w14:textId="77777777">
                  <w:pPr>
                    <w:jc w:val="center"/>
                    <w:rPr>
                      <w:sz w:val="16"/>
                      <w:szCs w:val="16"/>
                    </w:rPr>
                  </w:pP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0065CA73" w14:textId="77777777">
                  <w:pPr>
                    <w:jc w:val="center"/>
                    <w:rPr>
                      <w:sz w:val="16"/>
                      <w:szCs w:val="16"/>
                    </w:rPr>
                  </w:pPr>
                  <w:r w:rsidRPr="00AB738B">
                    <w:rPr>
                      <w:sz w:val="16"/>
                      <w:szCs w:val="16"/>
                    </w:rPr>
                    <w:t>8 593 056</w:t>
                  </w:r>
                </w:p>
              </w:tc>
              <w:tc>
                <w:tcPr>
                  <w:tcW w:w="992"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5C1454A0" w14:textId="77777777">
                  <w:pPr>
                    <w:jc w:val="center"/>
                    <w:rPr>
                      <w:sz w:val="16"/>
                      <w:szCs w:val="16"/>
                    </w:rPr>
                  </w:pPr>
                  <w:r w:rsidRPr="00AB738B">
                    <w:rPr>
                      <w:sz w:val="16"/>
                      <w:szCs w:val="16"/>
                    </w:rPr>
                    <w:t>420 913</w:t>
                  </w:r>
                </w:p>
              </w:tc>
              <w:tc>
                <w:tcPr>
                  <w:tcW w:w="1276" w:type="dxa"/>
                  <w:tcBorders>
                    <w:top w:val="nil"/>
                    <w:left w:val="nil"/>
                    <w:bottom w:val="single" w:color="auto" w:sz="4" w:space="0"/>
                    <w:right w:val="single" w:color="auto" w:sz="4" w:space="0"/>
                  </w:tcBorders>
                  <w:shd w:val="clear" w:color="auto" w:fill="auto"/>
                  <w:noWrap/>
                  <w:vAlign w:val="center"/>
                  <w:hideMark/>
                </w:tcPr>
                <w:p w:rsidRPr="00AB738B" w:rsidR="00B96670" w:rsidP="00B96670" w:rsidRDefault="00B96670" w14:paraId="12FF5678" w14:textId="77777777">
                  <w:pPr>
                    <w:jc w:val="center"/>
                    <w:rPr>
                      <w:sz w:val="16"/>
                      <w:szCs w:val="16"/>
                    </w:rPr>
                  </w:pPr>
                  <w:r w:rsidRPr="00AB738B">
                    <w:rPr>
                      <w:sz w:val="16"/>
                      <w:szCs w:val="16"/>
                    </w:rPr>
                    <w:t>3 077 517</w:t>
                  </w:r>
                </w:p>
              </w:tc>
            </w:tr>
          </w:tbl>
          <w:p w:rsidRPr="00AB738B" w:rsidR="00B96670" w:rsidP="00D90870" w:rsidRDefault="00927628" w14:paraId="2BDDE553" w14:textId="02692099">
            <w:pPr>
              <w:jc w:val="both"/>
              <w:rPr>
                <w:i/>
                <w:iCs/>
                <w:sz w:val="24"/>
                <w:szCs w:val="24"/>
              </w:rPr>
            </w:pPr>
            <w:r w:rsidRPr="00AB738B">
              <w:rPr>
                <w:sz w:val="18"/>
                <w:szCs w:val="18"/>
              </w:rPr>
              <w:t>* prognozētie zaudējumi 2020.gadam noteikti, pamatojoties uz 2020.gada 1.pusgada faktiskajiem rezultātiem un prognozējot sabiedriskā transporta pakalpojumu nodrošināšanu līdz gada beigām. Aprēķinos veikts pieņēmums, ka no 2020.gada septembra atsākas mācības izglītības iestādēs.</w:t>
            </w:r>
          </w:p>
          <w:p w:rsidR="00D90870" w:rsidP="00D90870" w:rsidRDefault="00D90870" w14:paraId="277BB2AA" w14:textId="78332D2A">
            <w:pPr>
              <w:jc w:val="both"/>
              <w:rPr>
                <w:sz w:val="24"/>
                <w:szCs w:val="24"/>
              </w:rPr>
            </w:pPr>
          </w:p>
          <w:p w:rsidRPr="00A110E6" w:rsidR="00A110E6" w:rsidP="00A110E6" w:rsidRDefault="00A110E6" w14:paraId="510212ED" w14:textId="7D79D83A">
            <w:pPr>
              <w:jc w:val="both"/>
              <w:rPr>
                <w:iCs/>
                <w:sz w:val="24"/>
                <w:szCs w:val="24"/>
              </w:rPr>
            </w:pPr>
            <w:r>
              <w:rPr>
                <w:iCs/>
                <w:sz w:val="24"/>
                <w:szCs w:val="24"/>
              </w:rPr>
              <w:t xml:space="preserve">Tiek </w:t>
            </w:r>
            <w:r w:rsidRPr="00A110E6">
              <w:rPr>
                <w:iCs/>
                <w:sz w:val="24"/>
                <w:szCs w:val="24"/>
              </w:rPr>
              <w:t xml:space="preserve">prognozēts, ka 31.06.00 apakšprogrammā, ievērojot minētajā apakšprogrammā paredzēto finansējumu 2020.gadam, nesegtais zaudējumu apjoms </w:t>
            </w:r>
            <w:r>
              <w:rPr>
                <w:iCs/>
                <w:sz w:val="24"/>
                <w:szCs w:val="24"/>
              </w:rPr>
              <w:t xml:space="preserve">varētu </w:t>
            </w:r>
            <w:r w:rsidRPr="00A110E6">
              <w:rPr>
                <w:iCs/>
                <w:sz w:val="24"/>
                <w:szCs w:val="24"/>
              </w:rPr>
              <w:t>sasnieg</w:t>
            </w:r>
            <w:r>
              <w:rPr>
                <w:iCs/>
                <w:sz w:val="24"/>
                <w:szCs w:val="24"/>
              </w:rPr>
              <w:t>t</w:t>
            </w:r>
            <w:r w:rsidRPr="00A110E6">
              <w:rPr>
                <w:iCs/>
                <w:sz w:val="24"/>
                <w:szCs w:val="24"/>
              </w:rPr>
              <w:t xml:space="preserve"> 20 717 107 </w:t>
            </w:r>
            <w:r w:rsidRPr="00991372">
              <w:rPr>
                <w:i/>
                <w:iCs/>
                <w:sz w:val="24"/>
                <w:szCs w:val="24"/>
              </w:rPr>
              <w:t>euro</w:t>
            </w:r>
            <w:r>
              <w:rPr>
                <w:iCs/>
                <w:sz w:val="24"/>
                <w:szCs w:val="24"/>
              </w:rPr>
              <w:t>, t.sk.</w:t>
            </w:r>
            <w:r w:rsidRPr="00A110E6">
              <w:rPr>
                <w:iCs/>
                <w:sz w:val="24"/>
                <w:szCs w:val="24"/>
              </w:rPr>
              <w:t>:</w:t>
            </w:r>
          </w:p>
          <w:p w:rsidR="00A110E6" w:rsidP="00A110E6" w:rsidRDefault="00A110E6" w14:paraId="579D0169" w14:textId="77777777">
            <w:pPr>
              <w:pStyle w:val="ListParagraph"/>
              <w:numPr>
                <w:ilvl w:val="0"/>
                <w:numId w:val="17"/>
              </w:numPr>
              <w:jc w:val="both"/>
              <w:rPr>
                <w:iCs/>
                <w:sz w:val="24"/>
                <w:szCs w:val="24"/>
              </w:rPr>
            </w:pPr>
            <w:r w:rsidRPr="00991372">
              <w:rPr>
                <w:iCs/>
                <w:sz w:val="24"/>
                <w:szCs w:val="24"/>
              </w:rPr>
              <w:t xml:space="preserve">EKK 3000 “Subsīdijas un dotācijas” 19 510 644 </w:t>
            </w:r>
            <w:r w:rsidRPr="00481EAA">
              <w:rPr>
                <w:i/>
                <w:iCs/>
                <w:sz w:val="24"/>
                <w:szCs w:val="24"/>
              </w:rPr>
              <w:t>euro</w:t>
            </w:r>
            <w:r w:rsidRPr="00991372">
              <w:rPr>
                <w:iCs/>
                <w:sz w:val="24"/>
                <w:szCs w:val="24"/>
              </w:rPr>
              <w:t xml:space="preserve"> (pārvadājumi ar autobusiem un pa dzelzceļu);</w:t>
            </w:r>
          </w:p>
          <w:p w:rsidR="00A110E6" w:rsidP="00A110E6" w:rsidRDefault="00A110E6" w14:paraId="3D4C07E4" w14:textId="77777777">
            <w:pPr>
              <w:pStyle w:val="ListParagraph"/>
              <w:numPr>
                <w:ilvl w:val="0"/>
                <w:numId w:val="17"/>
              </w:numPr>
              <w:jc w:val="both"/>
              <w:rPr>
                <w:iCs/>
                <w:sz w:val="24"/>
                <w:szCs w:val="24"/>
              </w:rPr>
            </w:pPr>
            <w:r w:rsidRPr="00991372">
              <w:rPr>
                <w:iCs/>
                <w:sz w:val="24"/>
                <w:szCs w:val="24"/>
              </w:rPr>
              <w:t xml:space="preserve">EKK 7460 “Pārējie valsts budžeta uzturēšanas izdevumu transferti pašvaldībām” 1 206 463 </w:t>
            </w:r>
            <w:r w:rsidRPr="00481EAA">
              <w:rPr>
                <w:i/>
                <w:iCs/>
                <w:sz w:val="24"/>
                <w:szCs w:val="24"/>
              </w:rPr>
              <w:t>euro</w:t>
            </w:r>
            <w:r w:rsidRPr="00991372">
              <w:rPr>
                <w:iCs/>
                <w:sz w:val="24"/>
                <w:szCs w:val="24"/>
              </w:rPr>
              <w:t xml:space="preserve"> (pārvadājumi pilsētas nozīmes maršrutu tīklā – 30% ārpus pilsētas administratīvās teritorijas).</w:t>
            </w:r>
          </w:p>
          <w:p w:rsidRPr="00F43914" w:rsidR="00A110E6" w:rsidP="00D90870" w:rsidRDefault="00A110E6" w14:paraId="7BE776B8" w14:textId="6CC67260">
            <w:pPr>
              <w:jc w:val="both"/>
              <w:rPr>
                <w:iCs/>
                <w:sz w:val="24"/>
                <w:szCs w:val="24"/>
              </w:rPr>
            </w:pPr>
            <w:r>
              <w:rPr>
                <w:iCs/>
                <w:sz w:val="24"/>
                <w:szCs w:val="24"/>
              </w:rPr>
              <w:t>Ņemot vērā minēto, līdzekļu ietaupījums 31.07.00 apakšprogrammā ir pārdalāms uz 31.06.00 apakšprogrammu.</w:t>
            </w:r>
          </w:p>
        </w:tc>
      </w:tr>
      <w:tr w:rsidRPr="00825345" w:rsidR="00D90870" w:rsidTr="00AB738B" w14:paraId="0A18B7B0" w14:textId="77777777">
        <w:trPr>
          <w:trHeight w:val="10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2FC315C9" w14:textId="77777777">
            <w:pPr>
              <w:rPr>
                <w:sz w:val="24"/>
                <w:szCs w:val="24"/>
              </w:rPr>
            </w:pPr>
            <w:r w:rsidRPr="00821079">
              <w:rPr>
                <w:sz w:val="24"/>
                <w:szCs w:val="24"/>
              </w:rPr>
              <w:t>6.1. detalizēts ieņēmumu aprēķins</w:t>
            </w:r>
          </w:p>
        </w:tc>
        <w:tc>
          <w:tcPr>
            <w:tcW w:w="7721" w:type="dxa"/>
            <w:gridSpan w:val="9"/>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F4C6C" w:rsidR="00D90870" w:rsidP="00D90870" w:rsidRDefault="00D90870" w14:paraId="6A278B52" w14:textId="77777777"/>
        </w:tc>
      </w:tr>
      <w:tr w:rsidRPr="00825345" w:rsidR="00D90870" w:rsidTr="00AB738B" w14:paraId="7D2D39DE" w14:textId="77777777">
        <w:trPr>
          <w:trHeight w:val="1928"/>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714B87D1" w14:textId="77777777">
            <w:pPr>
              <w:rPr>
                <w:sz w:val="24"/>
                <w:szCs w:val="24"/>
              </w:rPr>
            </w:pPr>
            <w:r w:rsidRPr="00821079">
              <w:rPr>
                <w:sz w:val="24"/>
                <w:szCs w:val="24"/>
              </w:rPr>
              <w:t>6.2. detalizēts izdevumu aprēķins</w:t>
            </w:r>
          </w:p>
        </w:tc>
        <w:tc>
          <w:tcPr>
            <w:tcW w:w="7721" w:type="dxa"/>
            <w:gridSpan w:val="9"/>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F4C6C" w:rsidR="00D90870" w:rsidP="00D90870" w:rsidRDefault="00D90870" w14:paraId="79A6558F" w14:textId="77777777"/>
        </w:tc>
      </w:tr>
      <w:tr w:rsidRPr="00825345" w:rsidR="00D90870" w:rsidTr="00AB738B" w14:paraId="04AB8F8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4B1201A5" w14:textId="77777777">
            <w:pPr>
              <w:rPr>
                <w:sz w:val="24"/>
                <w:szCs w:val="24"/>
              </w:rPr>
            </w:pPr>
            <w:r w:rsidRPr="00821079">
              <w:rPr>
                <w:sz w:val="24"/>
                <w:szCs w:val="24"/>
              </w:rPr>
              <w:t>7. Amata vietu skaita izmaiņas</w:t>
            </w:r>
          </w:p>
        </w:tc>
        <w:tc>
          <w:tcPr>
            <w:tcW w:w="7721" w:type="dxa"/>
            <w:gridSpan w:val="9"/>
            <w:tcBorders>
              <w:top w:val="single" w:color="auto" w:sz="4" w:space="0"/>
              <w:left w:val="single" w:color="auto" w:sz="4" w:space="0"/>
              <w:bottom w:val="single" w:color="auto" w:sz="4" w:space="0"/>
              <w:right w:val="single" w:color="auto" w:sz="4" w:space="0"/>
            </w:tcBorders>
            <w:shd w:val="clear" w:color="auto" w:fill="auto"/>
          </w:tcPr>
          <w:p w:rsidRPr="00821079" w:rsidR="00D90870" w:rsidP="00D90870" w:rsidRDefault="00D90870" w14:paraId="0CD5E47F" w14:textId="77777777">
            <w:pPr>
              <w:rPr>
                <w:sz w:val="24"/>
                <w:szCs w:val="24"/>
              </w:rPr>
            </w:pPr>
            <w:r w:rsidRPr="00821079">
              <w:rPr>
                <w:sz w:val="24"/>
                <w:szCs w:val="24"/>
              </w:rPr>
              <w:t>Nav attiecināms.</w:t>
            </w:r>
          </w:p>
        </w:tc>
      </w:tr>
      <w:tr w:rsidRPr="00A77A2D" w:rsidR="00D90870" w:rsidTr="00AB738B" w14:paraId="2CD46177"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A77A2D" w:rsidR="00D90870" w:rsidP="00D90870" w:rsidRDefault="00D90870" w14:paraId="44AE6BD6" w14:textId="77777777">
            <w:pPr>
              <w:rPr>
                <w:sz w:val="24"/>
                <w:szCs w:val="24"/>
              </w:rPr>
            </w:pPr>
            <w:r w:rsidRPr="00A77A2D">
              <w:rPr>
                <w:sz w:val="24"/>
                <w:szCs w:val="24"/>
              </w:rPr>
              <w:t>8. Cita informācija</w:t>
            </w:r>
          </w:p>
        </w:tc>
        <w:tc>
          <w:tcPr>
            <w:tcW w:w="7721" w:type="dxa"/>
            <w:gridSpan w:val="9"/>
            <w:tcBorders>
              <w:top w:val="single" w:color="auto" w:sz="4" w:space="0"/>
              <w:left w:val="single" w:color="auto" w:sz="4" w:space="0"/>
              <w:bottom w:val="single" w:color="auto" w:sz="4" w:space="0"/>
              <w:right w:val="single" w:color="auto" w:sz="4" w:space="0"/>
            </w:tcBorders>
            <w:shd w:val="clear" w:color="auto" w:fill="auto"/>
            <w:hideMark/>
          </w:tcPr>
          <w:p w:rsidRPr="00A77A2D" w:rsidR="00D90870" w:rsidP="00A77A2D" w:rsidRDefault="00A77A2D" w14:paraId="726BCE40" w14:textId="3D3D4D48">
            <w:pPr>
              <w:jc w:val="both"/>
              <w:rPr>
                <w:sz w:val="24"/>
                <w:szCs w:val="24"/>
              </w:rPr>
            </w:pPr>
            <w:r w:rsidRPr="00A77A2D">
              <w:rPr>
                <w:rFonts w:eastAsia="Calibri"/>
                <w:sz w:val="24"/>
                <w:szCs w:val="24"/>
              </w:rPr>
              <w:t xml:space="preserve">Projektam nav negatīvas ietekmes uz kopējo valsts budžeta bilanci, jo līdzekļi            </w:t>
            </w:r>
            <w:r>
              <w:rPr>
                <w:rFonts w:eastAsia="Calibri"/>
                <w:sz w:val="24"/>
                <w:szCs w:val="24"/>
              </w:rPr>
              <w:t>3 077 517</w:t>
            </w:r>
            <w:r w:rsidRPr="00A77A2D">
              <w:rPr>
                <w:sz w:val="24"/>
                <w:szCs w:val="24"/>
              </w:rPr>
              <w:t xml:space="preserve"> </w:t>
            </w:r>
            <w:r w:rsidRPr="00A77A2D">
              <w:rPr>
                <w:i/>
                <w:sz w:val="24"/>
                <w:szCs w:val="24"/>
              </w:rPr>
              <w:t xml:space="preserve">euro </w:t>
            </w:r>
            <w:r w:rsidRPr="00A77A2D">
              <w:rPr>
                <w:sz w:val="24"/>
                <w:szCs w:val="24"/>
              </w:rPr>
              <w:t xml:space="preserve">apmērā Satiksmes ministrijas valsts budžeta apakšprogrammai 31.06.00 “Dotācija zaudējumu segšanai sabiedriskā transporta pakalpojumu sniedzējiem” tiks pārdalīti no Satiksmes ministrijas valsts budžeta 31.07.00 apakšprogrammas “Dotācija sabiedriskā transporta pakalpojumu sniedzējiem ar braukšanas maksas atvieglojumiem saistīto zaudējumu segšanai”, lai nodrošinātu sabiedriskā transporta nepārtrauktību un segtu </w:t>
            </w:r>
            <w:r w:rsidRPr="00A77A2D">
              <w:rPr>
                <w:rFonts w:eastAsia="Calibri"/>
                <w:sz w:val="24"/>
                <w:szCs w:val="24"/>
              </w:rPr>
              <w:t>zaudējumus sabiedriskā transporta pakalpojumu sniedzējiem.</w:t>
            </w:r>
          </w:p>
        </w:tc>
      </w:tr>
    </w:tbl>
    <w:p w:rsidRPr="00825345" w:rsidR="00FF293C" w:rsidP="00FF293C" w:rsidRDefault="00FF293C" w14:paraId="6AABE194" w14:textId="77777777">
      <w:pPr>
        <w:shd w:val="clear" w:color="auto" w:fill="FFFFFF"/>
        <w:ind w:firstLine="300"/>
        <w:rPr>
          <w:sz w:val="22"/>
        </w:rPr>
      </w:pPr>
      <w:r w:rsidRPr="00825345">
        <w:rPr>
          <w:sz w:val="22"/>
        </w:rPr>
        <w:t> </w:t>
      </w:r>
    </w:p>
    <w:p w:rsidRPr="00B424B4" w:rsidR="00FF293C" w:rsidP="008C6F55" w:rsidRDefault="00FF293C" w14:paraId="34255D0B" w14:textId="77777777">
      <w:pPr>
        <w:shd w:val="clear" w:color="auto" w:fill="FFFFFF"/>
        <w:ind w:firstLine="300"/>
        <w:rPr>
          <w:rFonts w:eastAsia="Times New Roman" w:cs="Times New Roman"/>
          <w:sz w:val="24"/>
          <w:szCs w:val="24"/>
          <w:lang w:eastAsia="lv-LV"/>
        </w:rPr>
      </w:pP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674C1E" w:rsidTr="00F652E4" w14:paraId="4A3FB05C"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24D9954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IV. Tiesību akta projekta ietekme uz spēkā esošo tiesību normu sistēmu</w:t>
            </w:r>
          </w:p>
        </w:tc>
      </w:tr>
      <w:tr w:rsidRPr="00B424B4" w:rsidR="00674C1E" w:rsidTr="00D6738E" w14:paraId="09E157C4" w14:textId="77777777">
        <w:trPr>
          <w:trHeight w:val="235"/>
          <w:jc w:val="center"/>
        </w:trPr>
        <w:tc>
          <w:tcPr>
            <w:tcW w:w="5000" w:type="pct"/>
            <w:tcBorders>
              <w:top w:val="outset" w:color="414142" w:sz="6" w:space="0"/>
              <w:left w:val="outset" w:color="414142" w:sz="6" w:space="0"/>
              <w:right w:val="outset" w:color="414142" w:sz="6" w:space="0"/>
            </w:tcBorders>
          </w:tcPr>
          <w:p w:rsidRPr="00B424B4" w:rsidR="00D6738E" w:rsidP="00D6738E" w:rsidRDefault="00D6738E" w14:paraId="085D99C9"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B68CD" w:rsidRDefault="002C021A" w14:paraId="24F09FF8" w14:textId="39DC1444">
      <w:pPr>
        <w:shd w:val="clear" w:color="auto" w:fill="FFFFFF"/>
        <w:tabs>
          <w:tab w:val="left" w:pos="3170"/>
        </w:tabs>
        <w:ind w:firstLine="300"/>
        <w:rPr>
          <w:rFonts w:eastAsia="Times New Roman" w:cs="Times New Roman"/>
          <w:sz w:val="24"/>
          <w:szCs w:val="24"/>
          <w:lang w:eastAsia="lv-LV"/>
        </w:rPr>
      </w:pPr>
      <w:r w:rsidRPr="00B424B4">
        <w:rPr>
          <w:rFonts w:eastAsia="Times New Roman" w:cs="Times New Roman"/>
          <w:sz w:val="24"/>
          <w:szCs w:val="24"/>
          <w:lang w:eastAsia="lv-LV"/>
        </w:rPr>
        <w:t> </w:t>
      </w:r>
      <w:r w:rsidR="002B68CD">
        <w:rPr>
          <w:rFonts w:eastAsia="Times New Roman" w:cs="Times New Roman"/>
          <w:sz w:val="24"/>
          <w:szCs w:val="24"/>
          <w:lang w:eastAsia="lv-LV"/>
        </w:rPr>
        <w:tab/>
      </w: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78"/>
      </w:tblGrid>
      <w:tr w:rsidRPr="00B424B4" w:rsidR="00674C1E" w:rsidTr="00F652E4" w14:paraId="2D82AE80"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E35B58D"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 Tiesību akta projekta atbilstība Latvijas Republikas starptautiskajām saistībām</w:t>
            </w:r>
          </w:p>
        </w:tc>
      </w:tr>
      <w:tr w:rsidRPr="00B424B4" w:rsidR="00674C1E" w:rsidTr="00827C5B" w14:paraId="3E79273A" w14:textId="77777777">
        <w:trPr>
          <w:trHeight w:val="234"/>
        </w:trPr>
        <w:tc>
          <w:tcPr>
            <w:tcW w:w="5000" w:type="pct"/>
            <w:tcBorders>
              <w:top w:val="outset" w:color="414142" w:sz="6" w:space="0"/>
              <w:left w:val="outset" w:color="414142" w:sz="6" w:space="0"/>
              <w:right w:val="outset" w:color="414142" w:sz="6" w:space="0"/>
            </w:tcBorders>
          </w:tcPr>
          <w:p w:rsidRPr="00B424B4" w:rsidR="00827C5B" w:rsidP="00827C5B" w:rsidRDefault="00827C5B" w14:paraId="096D3AE5"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C021A" w:rsidRDefault="002C021A" w14:paraId="48E2B33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674C1E" w:rsidTr="00F652E4" w14:paraId="341281C1" w14:textId="77777777">
        <w:trPr>
          <w:trHeight w:val="420"/>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C0201F9"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 Sabiedrības līdzdalība un komunikācijas aktivitātes</w:t>
            </w:r>
          </w:p>
        </w:tc>
      </w:tr>
      <w:tr w:rsidRPr="00B424B4" w:rsidR="00821079" w:rsidTr="00821079" w14:paraId="5CE61696" w14:textId="77777777">
        <w:trPr>
          <w:trHeight w:val="380"/>
          <w:jc w:val="center"/>
        </w:trPr>
        <w:tc>
          <w:tcPr>
            <w:tcW w:w="5000" w:type="pct"/>
            <w:tcBorders>
              <w:top w:val="outset" w:color="414142" w:sz="6" w:space="0"/>
              <w:left w:val="outset" w:color="414142" w:sz="6" w:space="0"/>
              <w:right w:val="outset" w:color="414142" w:sz="6" w:space="0"/>
            </w:tcBorders>
          </w:tcPr>
          <w:p w:rsidRPr="00B424B4" w:rsidR="00821079" w:rsidP="00821079" w:rsidRDefault="00821079" w14:paraId="73D21114" w14:textId="7D1F3B6F">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C021A" w:rsidRDefault="002C021A" w14:paraId="0BFB68C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2"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Pr="00B424B4" w:rsidR="00674C1E" w:rsidTr="00F652E4" w14:paraId="60238E50" w14:textId="77777777">
        <w:trPr>
          <w:trHeight w:val="375"/>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46EF29CE"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VII. Tiesību akta projekta izpildes nodrošināšana un tās ietekme uz institūcijām</w:t>
            </w:r>
          </w:p>
        </w:tc>
      </w:tr>
      <w:tr w:rsidRPr="00B424B4" w:rsidR="00674C1E" w:rsidTr="00376737" w14:paraId="672C2D4A" w14:textId="77777777">
        <w:trPr>
          <w:trHeight w:val="42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4F178208" w14:textId="77777777">
            <w:pPr>
              <w:rPr>
                <w:rFonts w:eastAsia="Times New Roman" w:cs="Times New Roman"/>
                <w:sz w:val="24"/>
                <w:szCs w:val="24"/>
                <w:lang w:eastAsia="lv-LV"/>
              </w:rPr>
            </w:pPr>
            <w:r w:rsidRPr="00B424B4">
              <w:rPr>
                <w:rFonts w:eastAsia="Times New Roman" w:cs="Times New Roman"/>
                <w:sz w:val="24"/>
                <w:szCs w:val="24"/>
                <w:lang w:eastAsia="lv-LV"/>
              </w:rPr>
              <w:t>1.</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3E4471E" w14:textId="77777777">
            <w:pPr>
              <w:rPr>
                <w:rFonts w:eastAsia="Times New Roman" w:cs="Times New Roman"/>
                <w:sz w:val="24"/>
                <w:szCs w:val="24"/>
                <w:lang w:eastAsia="lv-LV"/>
              </w:rPr>
            </w:pPr>
            <w:r w:rsidRPr="00B424B4">
              <w:rPr>
                <w:rFonts w:eastAsia="Times New Roman" w:cs="Times New Roman"/>
                <w:sz w:val="24"/>
                <w:szCs w:val="24"/>
                <w:lang w:eastAsia="lv-LV"/>
              </w:rPr>
              <w:t>Projekta izpildē iesaistītās institūcijas</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D64516" w:rsidRDefault="008C6F55" w14:paraId="77893E69" w14:textId="6A2DA869">
            <w:pPr>
              <w:jc w:val="both"/>
              <w:rPr>
                <w:rFonts w:eastAsia="Times New Roman" w:cs="Times New Roman"/>
                <w:sz w:val="24"/>
                <w:szCs w:val="24"/>
                <w:lang w:eastAsia="lv-LV"/>
              </w:rPr>
            </w:pPr>
            <w:r w:rsidRPr="00B424B4">
              <w:rPr>
                <w:rFonts w:eastAsia="Times New Roman" w:cs="Times New Roman"/>
                <w:sz w:val="24"/>
                <w:szCs w:val="24"/>
                <w:lang w:eastAsia="lv-LV"/>
              </w:rPr>
              <w:t>Satiksmes ministrija,</w:t>
            </w:r>
            <w:r w:rsidR="005D2F35">
              <w:rPr>
                <w:rFonts w:eastAsia="Times New Roman" w:cs="Times New Roman"/>
                <w:sz w:val="24"/>
                <w:szCs w:val="24"/>
                <w:lang w:eastAsia="lv-LV"/>
              </w:rPr>
              <w:t xml:space="preserve"> Finanšu ministrija, </w:t>
            </w:r>
            <w:r w:rsidR="00D64516">
              <w:rPr>
                <w:rFonts w:eastAsia="Times New Roman" w:cs="Times New Roman"/>
                <w:sz w:val="24"/>
                <w:szCs w:val="24"/>
                <w:lang w:eastAsia="lv-LV"/>
              </w:rPr>
              <w:t>VSIA “</w:t>
            </w:r>
            <w:r w:rsidR="00C776AB">
              <w:rPr>
                <w:rFonts w:eastAsia="Times New Roman" w:cs="Times New Roman"/>
                <w:sz w:val="24"/>
                <w:szCs w:val="24"/>
                <w:lang w:eastAsia="lv-LV"/>
              </w:rPr>
              <w:t>Autotransporta direkcija</w:t>
            </w:r>
            <w:r w:rsidR="00D64516">
              <w:rPr>
                <w:rFonts w:eastAsia="Times New Roman" w:cs="Times New Roman"/>
                <w:sz w:val="24"/>
                <w:szCs w:val="24"/>
                <w:lang w:eastAsia="lv-LV"/>
              </w:rPr>
              <w:t>”</w:t>
            </w:r>
            <w:r w:rsidR="00C776AB">
              <w:rPr>
                <w:rFonts w:eastAsia="Times New Roman" w:cs="Times New Roman"/>
                <w:sz w:val="24"/>
                <w:szCs w:val="24"/>
                <w:lang w:eastAsia="lv-LV"/>
              </w:rPr>
              <w:t>.</w:t>
            </w:r>
          </w:p>
        </w:tc>
      </w:tr>
      <w:tr w:rsidRPr="00B424B4" w:rsidR="00674C1E" w:rsidTr="00376737" w14:paraId="288EFB6E" w14:textId="77777777">
        <w:trPr>
          <w:trHeight w:val="45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4D2667F" w14:textId="77777777">
            <w:pPr>
              <w:rPr>
                <w:rFonts w:eastAsia="Times New Roman" w:cs="Times New Roman"/>
                <w:sz w:val="24"/>
                <w:szCs w:val="24"/>
                <w:lang w:eastAsia="lv-LV"/>
              </w:rPr>
            </w:pPr>
            <w:r w:rsidRPr="00B424B4">
              <w:rPr>
                <w:rFonts w:eastAsia="Times New Roman" w:cs="Times New Roman"/>
                <w:sz w:val="24"/>
                <w:szCs w:val="24"/>
                <w:lang w:eastAsia="lv-LV"/>
              </w:rPr>
              <w:t>2.</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2C021A" w14:paraId="36B2DE38" w14:textId="77777777">
            <w:pPr>
              <w:jc w:val="both"/>
              <w:rPr>
                <w:rFonts w:eastAsia="Times New Roman" w:cs="Times New Roman"/>
                <w:sz w:val="24"/>
                <w:szCs w:val="24"/>
                <w:lang w:eastAsia="lv-LV"/>
              </w:rPr>
            </w:pPr>
            <w:r w:rsidRPr="00B424B4">
              <w:rPr>
                <w:rFonts w:eastAsia="Times New Roman" w:cs="Times New Roman"/>
                <w:sz w:val="24"/>
                <w:szCs w:val="24"/>
                <w:lang w:eastAsia="lv-LV"/>
              </w:rPr>
              <w:t>Projekta izpildes ietekme uz pārvaldes funkcijām un institucionālo struktūru.</w:t>
            </w:r>
          </w:p>
          <w:p w:rsidRPr="00B424B4" w:rsidR="002C021A" w:rsidP="00FD0DB4" w:rsidRDefault="002C021A" w14:paraId="0703DA25" w14:textId="77777777">
            <w:pPr>
              <w:jc w:val="both"/>
              <w:rPr>
                <w:rFonts w:eastAsia="Times New Roman" w:cs="Times New Roman"/>
                <w:sz w:val="24"/>
                <w:szCs w:val="24"/>
                <w:lang w:eastAsia="lv-LV"/>
              </w:rPr>
            </w:pPr>
            <w:r w:rsidRPr="00B424B4">
              <w:rPr>
                <w:rFonts w:eastAsia="Times New Roman" w:cs="Times New Roman"/>
                <w:sz w:val="24"/>
                <w:szCs w:val="24"/>
                <w:lang w:eastAsia="lv-LV"/>
              </w:rPr>
              <w:t xml:space="preserve">Jaunu institūciju izveide, esošu institūciju likvidācija vai reorganizācija, to ietekme </w:t>
            </w:r>
            <w:r w:rsidRPr="00B424B4">
              <w:rPr>
                <w:rFonts w:eastAsia="Times New Roman" w:cs="Times New Roman"/>
                <w:sz w:val="24"/>
                <w:szCs w:val="24"/>
                <w:lang w:eastAsia="lv-LV"/>
              </w:rPr>
              <w:lastRenderedPageBreak/>
              <w:t>uz institūcijas cilvēkresursiem</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D64516" w14:paraId="4E4C7A3B" w14:textId="584C4972">
            <w:pPr>
              <w:jc w:val="both"/>
              <w:rPr>
                <w:rFonts w:eastAsia="Times New Roman"/>
                <w:sz w:val="24"/>
                <w:szCs w:val="24"/>
                <w:lang w:eastAsia="lv-LV"/>
              </w:rPr>
            </w:pPr>
            <w:r>
              <w:rPr>
                <w:rFonts w:eastAsia="Times New Roman"/>
                <w:sz w:val="24"/>
                <w:szCs w:val="24"/>
                <w:lang w:eastAsia="lv-LV"/>
              </w:rPr>
              <w:lastRenderedPageBreak/>
              <w:t>Rīkojuma p</w:t>
            </w:r>
            <w:r w:rsidRPr="00B424B4" w:rsidR="00376737">
              <w:rPr>
                <w:rFonts w:eastAsia="Times New Roman"/>
                <w:sz w:val="24"/>
                <w:szCs w:val="24"/>
                <w:lang w:eastAsia="lv-LV"/>
              </w:rPr>
              <w:t>rojekta īstenošana tiks veikta esošo cilvēkresursu ietvaros. Saistībā ar projekta izpildi nebūs nepieciešams veidot jaunas institūcijas vai likvidēt vai reorganizēt esošās.</w:t>
            </w:r>
          </w:p>
          <w:p w:rsidRPr="00B424B4" w:rsidR="00A72257" w:rsidP="00FD0DB4" w:rsidRDefault="005A48E1" w14:paraId="3613C8B3" w14:textId="2CD4499E">
            <w:pPr>
              <w:jc w:val="both"/>
              <w:rPr>
                <w:rFonts w:eastAsia="Times New Roman"/>
                <w:sz w:val="24"/>
                <w:szCs w:val="24"/>
                <w:lang w:eastAsia="lv-LV"/>
              </w:rPr>
            </w:pPr>
            <w:r>
              <w:rPr>
                <w:rFonts w:eastAsia="Times New Roman"/>
                <w:sz w:val="24"/>
                <w:szCs w:val="24"/>
                <w:lang w:eastAsia="lv-LV"/>
              </w:rPr>
              <w:t>Rīkojuma p</w:t>
            </w:r>
            <w:r w:rsidRPr="00B424B4" w:rsidR="00A72257">
              <w:rPr>
                <w:rFonts w:eastAsia="Times New Roman"/>
                <w:sz w:val="24"/>
                <w:szCs w:val="24"/>
                <w:lang w:eastAsia="lv-LV"/>
              </w:rPr>
              <w:t>rojekta izpildes ne</w:t>
            </w:r>
            <w:r w:rsidRPr="00B424B4" w:rsidR="00A65561">
              <w:rPr>
                <w:rFonts w:eastAsia="Times New Roman"/>
                <w:sz w:val="24"/>
                <w:szCs w:val="24"/>
                <w:lang w:eastAsia="lv-LV"/>
              </w:rPr>
              <w:t>ietekmē</w:t>
            </w:r>
            <w:r w:rsidRPr="00B424B4" w:rsidR="00A72257">
              <w:rPr>
                <w:rFonts w:eastAsia="Times New Roman"/>
                <w:sz w:val="24"/>
                <w:szCs w:val="24"/>
                <w:lang w:eastAsia="lv-LV"/>
              </w:rPr>
              <w:t>s pārvaldes funkcijas un institucionālo struktūru.</w:t>
            </w:r>
          </w:p>
          <w:p w:rsidRPr="00B424B4" w:rsidR="00A72257" w:rsidP="00FD0DB4" w:rsidRDefault="00A72257" w14:paraId="39D48214" w14:textId="66BBD0F7">
            <w:pPr>
              <w:jc w:val="both"/>
              <w:rPr>
                <w:rFonts w:eastAsia="Times New Roman" w:cs="Times New Roman"/>
                <w:sz w:val="24"/>
                <w:szCs w:val="24"/>
                <w:lang w:eastAsia="lv-LV"/>
              </w:rPr>
            </w:pPr>
          </w:p>
        </w:tc>
      </w:tr>
      <w:tr w:rsidRPr="00B424B4" w:rsidR="002C021A" w:rsidTr="00376737" w14:paraId="1828EC24" w14:textId="77777777">
        <w:trPr>
          <w:trHeight w:val="274"/>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10506D5A" w14:textId="77777777">
            <w:pPr>
              <w:rPr>
                <w:rFonts w:eastAsia="Times New Roman" w:cs="Times New Roman"/>
                <w:sz w:val="24"/>
                <w:szCs w:val="24"/>
                <w:lang w:eastAsia="lv-LV"/>
              </w:rPr>
            </w:pPr>
            <w:r w:rsidRPr="00B424B4">
              <w:rPr>
                <w:rFonts w:eastAsia="Times New Roman" w:cs="Times New Roman"/>
                <w:sz w:val="24"/>
                <w:szCs w:val="24"/>
                <w:lang w:eastAsia="lv-LV"/>
              </w:rPr>
              <w:t>3.</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787FC69F"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376737" w14:paraId="58F3B30D" w14:textId="77777777">
            <w:pPr>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2C021A" w:rsidP="002C021A" w:rsidRDefault="002C021A" w14:paraId="74F7E290" w14:textId="45FD18BC">
      <w:pPr>
        <w:rPr>
          <w:rFonts w:eastAsia="Times New Roman" w:cs="Times New Roman"/>
          <w:sz w:val="24"/>
          <w:szCs w:val="24"/>
          <w:lang w:eastAsia="lv-LV"/>
        </w:rPr>
      </w:pPr>
    </w:p>
    <w:p w:rsidRPr="00B424B4" w:rsidR="002B37F7" w:rsidP="002C021A" w:rsidRDefault="002B37F7" w14:paraId="19AAAFFA" w14:textId="77777777">
      <w:pPr>
        <w:rPr>
          <w:rFonts w:eastAsia="Times New Roman" w:cs="Times New Roman"/>
          <w:sz w:val="24"/>
          <w:szCs w:val="24"/>
          <w:lang w:eastAsia="lv-LV"/>
        </w:rPr>
      </w:pPr>
    </w:p>
    <w:p w:rsidRPr="00B424B4" w:rsidR="00A25A7C" w:rsidP="0096371F" w:rsidRDefault="00A25A7C" w14:paraId="0DB8A000" w14:textId="1D9CA96A">
      <w:pPr>
        <w:jc w:val="both"/>
        <w:rPr>
          <w:sz w:val="24"/>
          <w:szCs w:val="24"/>
          <w:lang w:eastAsia="lv-LV"/>
        </w:rPr>
      </w:pPr>
      <w:r w:rsidRPr="00B424B4">
        <w:rPr>
          <w:sz w:val="24"/>
          <w:szCs w:val="24"/>
          <w:lang w:eastAsia="lv-LV"/>
        </w:rPr>
        <w:t>Satiksmes ministrs</w:t>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00D64516">
        <w:rPr>
          <w:sz w:val="24"/>
          <w:szCs w:val="24"/>
          <w:lang w:eastAsia="lv-LV"/>
        </w:rPr>
        <w:tab/>
      </w:r>
      <w:r w:rsidR="00D64516">
        <w:rPr>
          <w:sz w:val="24"/>
          <w:szCs w:val="24"/>
          <w:lang w:eastAsia="lv-LV"/>
        </w:rPr>
        <w:tab/>
      </w:r>
      <w:r w:rsidRPr="00B424B4" w:rsidR="00F76AFF">
        <w:rPr>
          <w:sz w:val="24"/>
          <w:szCs w:val="24"/>
          <w:lang w:eastAsia="lv-LV"/>
        </w:rPr>
        <w:t>T. Linkaits</w:t>
      </w:r>
    </w:p>
    <w:p w:rsidRPr="00B424B4" w:rsidR="00A25A7C" w:rsidP="0096371F" w:rsidRDefault="00A25A7C" w14:paraId="7EDEC828" w14:textId="77777777">
      <w:pPr>
        <w:jc w:val="both"/>
        <w:rPr>
          <w:sz w:val="24"/>
          <w:szCs w:val="24"/>
          <w:lang w:eastAsia="lv-LV"/>
        </w:rPr>
      </w:pPr>
    </w:p>
    <w:p w:rsidRPr="005D79B2" w:rsidR="00A25A7C" w:rsidP="00897D58" w:rsidRDefault="00781BE4" w14:paraId="3CEAB9C5" w14:textId="708AE1D0">
      <w:pPr>
        <w:jc w:val="both"/>
        <w:rPr>
          <w:rFonts w:cs="Times New Roman"/>
          <w:szCs w:val="28"/>
        </w:rPr>
      </w:pPr>
      <w:r w:rsidRPr="00B424B4">
        <w:rPr>
          <w:sz w:val="24"/>
          <w:szCs w:val="24"/>
          <w:lang w:eastAsia="lv-LV"/>
        </w:rPr>
        <w:t xml:space="preserve">Vīza: </w:t>
      </w:r>
      <w:r w:rsidRPr="00B424B4" w:rsidR="00E7208F">
        <w:rPr>
          <w:sz w:val="24"/>
          <w:szCs w:val="24"/>
          <w:lang w:eastAsia="lv-LV"/>
        </w:rPr>
        <w:t>v</w:t>
      </w:r>
      <w:r w:rsidRPr="00B424B4">
        <w:rPr>
          <w:sz w:val="24"/>
          <w:szCs w:val="24"/>
          <w:lang w:eastAsia="lv-LV"/>
        </w:rPr>
        <w:t>alsts sekretār</w:t>
      </w:r>
      <w:r w:rsidR="00BE742F">
        <w:rPr>
          <w:sz w:val="24"/>
          <w:szCs w:val="24"/>
          <w:lang w:eastAsia="lv-LV"/>
        </w:rPr>
        <w:t>e</w:t>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64516">
        <w:rPr>
          <w:sz w:val="24"/>
          <w:szCs w:val="24"/>
          <w:lang w:eastAsia="lv-LV"/>
        </w:rPr>
        <w:t xml:space="preserve"> </w:t>
      </w:r>
      <w:r w:rsidR="00BE742F">
        <w:rPr>
          <w:sz w:val="24"/>
          <w:szCs w:val="24"/>
          <w:lang w:eastAsia="lv-LV"/>
        </w:rPr>
        <w:t>I. Stepanova</w:t>
      </w:r>
    </w:p>
    <w:sectPr w:rsidRPr="005D79B2" w:rsidR="00A25A7C" w:rsidSect="00B45F49">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D7C9" w14:textId="77777777" w:rsidR="00866509" w:rsidRDefault="00866509" w:rsidP="00A25A7C">
      <w:r>
        <w:separator/>
      </w:r>
    </w:p>
  </w:endnote>
  <w:endnote w:type="continuationSeparator" w:id="0">
    <w:p w14:paraId="155FD815" w14:textId="77777777" w:rsidR="00866509" w:rsidRDefault="00866509" w:rsidP="00A25A7C">
      <w:r>
        <w:continuationSeparator/>
      </w:r>
    </w:p>
  </w:endnote>
  <w:endnote w:type="continuationNotice" w:id="1">
    <w:p w14:paraId="7D036781" w14:textId="77777777" w:rsidR="00866509" w:rsidRDefault="0086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1428" w14:textId="1475CA6B" w:rsidR="00BD5789" w:rsidRPr="00D84BEA" w:rsidRDefault="00D22304" w:rsidP="00D84BEA">
    <w:pPr>
      <w:pStyle w:val="Footer"/>
    </w:pPr>
    <w:r w:rsidRPr="00D22304">
      <w:rPr>
        <w:sz w:val="20"/>
        <w:szCs w:val="20"/>
      </w:rPr>
      <w:t>SMAnot_</w:t>
    </w:r>
    <w:r w:rsidR="00CB35F5">
      <w:rPr>
        <w:sz w:val="20"/>
        <w:szCs w:val="20"/>
      </w:rPr>
      <w:t>0209</w:t>
    </w:r>
    <w:r w:rsidRPr="00D22304">
      <w:rPr>
        <w:sz w:val="20"/>
        <w:szCs w:val="20"/>
      </w:rPr>
      <w:t>20_</w:t>
    </w:r>
    <w:r w:rsidR="00C776AB">
      <w:rPr>
        <w:sz w:val="20"/>
        <w:szCs w:val="20"/>
      </w:rPr>
      <w:t>Sabtr_apr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6AC0" w14:textId="32D00061" w:rsidR="00BD5789" w:rsidRPr="00D22304" w:rsidRDefault="00D22304" w:rsidP="00D22304">
    <w:pPr>
      <w:pStyle w:val="Footer"/>
    </w:pPr>
    <w:r w:rsidRPr="00D22304">
      <w:rPr>
        <w:sz w:val="20"/>
        <w:szCs w:val="20"/>
      </w:rPr>
      <w:t>SMAnot_</w:t>
    </w:r>
    <w:r w:rsidR="00CB35F5">
      <w:rPr>
        <w:sz w:val="20"/>
        <w:szCs w:val="20"/>
      </w:rPr>
      <w:t>0209</w:t>
    </w:r>
    <w:r w:rsidRPr="00D22304">
      <w:rPr>
        <w:sz w:val="20"/>
        <w:szCs w:val="20"/>
      </w:rPr>
      <w:t>20_</w:t>
    </w:r>
    <w:r w:rsidR="00CB35F5">
      <w:rPr>
        <w:sz w:val="20"/>
        <w:szCs w:val="20"/>
      </w:rPr>
      <w:t>Sabtr_</w:t>
    </w:r>
    <w:r w:rsidRPr="00D22304">
      <w:rPr>
        <w:sz w:val="20"/>
        <w:szCs w:val="20"/>
      </w:rPr>
      <w:t>apr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3665" w14:textId="77777777" w:rsidR="00866509" w:rsidRDefault="00866509" w:rsidP="00A25A7C">
      <w:r>
        <w:separator/>
      </w:r>
    </w:p>
  </w:footnote>
  <w:footnote w:type="continuationSeparator" w:id="0">
    <w:p w14:paraId="731958FA" w14:textId="77777777" w:rsidR="00866509" w:rsidRDefault="00866509" w:rsidP="00A25A7C">
      <w:r>
        <w:continuationSeparator/>
      </w:r>
    </w:p>
  </w:footnote>
  <w:footnote w:type="continuationNotice" w:id="1">
    <w:p w14:paraId="3339558D" w14:textId="77777777" w:rsidR="00866509" w:rsidRDefault="00866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179053"/>
      <w:docPartObj>
        <w:docPartGallery w:val="Page Numbers (Top of Page)"/>
        <w:docPartUnique/>
      </w:docPartObj>
    </w:sdtPr>
    <w:sdtEndPr>
      <w:rPr>
        <w:noProof/>
        <w:sz w:val="24"/>
        <w:szCs w:val="24"/>
      </w:rPr>
    </w:sdtEndPr>
    <w:sdtContent>
      <w:p w:rsidRPr="00D2545C" w:rsidR="00BD5789" w:rsidRDefault="00BD5789" w14:paraId="69684101" w14:textId="476A00E1">
        <w:pPr>
          <w:pStyle w:val="Header"/>
          <w:jc w:val="center"/>
          <w:rPr>
            <w:sz w:val="24"/>
            <w:szCs w:val="24"/>
          </w:rPr>
        </w:pPr>
        <w:r w:rsidRPr="00D2545C">
          <w:rPr>
            <w:sz w:val="24"/>
            <w:szCs w:val="24"/>
          </w:rPr>
          <w:fldChar w:fldCharType="begin"/>
        </w:r>
        <w:r w:rsidRPr="00D2545C">
          <w:rPr>
            <w:sz w:val="24"/>
            <w:szCs w:val="24"/>
          </w:rPr>
          <w:instrText xml:space="preserve"> PAGE   \* MERGEFORMAT </w:instrText>
        </w:r>
        <w:r w:rsidRPr="00D2545C">
          <w:rPr>
            <w:sz w:val="24"/>
            <w:szCs w:val="24"/>
          </w:rPr>
          <w:fldChar w:fldCharType="separate"/>
        </w:r>
        <w:r w:rsidR="00A2645B">
          <w:rPr>
            <w:noProof/>
            <w:sz w:val="24"/>
            <w:szCs w:val="24"/>
          </w:rPr>
          <w:t>2</w:t>
        </w:r>
        <w:r w:rsidRPr="00D2545C">
          <w:rPr>
            <w:noProof/>
            <w:sz w:val="24"/>
            <w:szCs w:val="24"/>
          </w:rPr>
          <w:fldChar w:fldCharType="end"/>
        </w:r>
      </w:p>
    </w:sdtContent>
  </w:sdt>
  <w:p w:rsidR="00BD5789" w:rsidRDefault="00BD5789" w14:paraId="5F92B4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6CA7"/>
    <w:multiLevelType w:val="hybridMultilevel"/>
    <w:tmpl w:val="3A067A4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B9F3D76"/>
    <w:multiLevelType w:val="hybridMultilevel"/>
    <w:tmpl w:val="24124B0A"/>
    <w:lvl w:ilvl="0" w:tplc="0C36DA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77783B"/>
    <w:multiLevelType w:val="hybridMultilevel"/>
    <w:tmpl w:val="827A007E"/>
    <w:lvl w:ilvl="0" w:tplc="0426000F">
      <w:start w:val="1"/>
      <w:numFmt w:val="decimal"/>
      <w:lvlText w:val="%1."/>
      <w:lvlJc w:val="left"/>
      <w:pPr>
        <w:ind w:left="1080" w:hanging="360"/>
      </w:pPr>
      <w:rPr>
        <w:rFonts w:hint="default"/>
        <w:i w:val="0"/>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A534DBE"/>
    <w:multiLevelType w:val="hybridMultilevel"/>
    <w:tmpl w:val="68F61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E40F1C"/>
    <w:multiLevelType w:val="hybridMultilevel"/>
    <w:tmpl w:val="668699A2"/>
    <w:lvl w:ilvl="0" w:tplc="7D3498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103624E"/>
    <w:multiLevelType w:val="hybridMultilevel"/>
    <w:tmpl w:val="19A66B4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CB7C50"/>
    <w:multiLevelType w:val="hybridMultilevel"/>
    <w:tmpl w:val="BE04441C"/>
    <w:lvl w:ilvl="0" w:tplc="D0DE564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4E64CB"/>
    <w:multiLevelType w:val="hybridMultilevel"/>
    <w:tmpl w:val="09C8BF7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B1CEE"/>
    <w:multiLevelType w:val="hybridMultilevel"/>
    <w:tmpl w:val="FD68136A"/>
    <w:lvl w:ilvl="0" w:tplc="8B548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110012"/>
    <w:multiLevelType w:val="multilevel"/>
    <w:tmpl w:val="0E02A2E2"/>
    <w:lvl w:ilvl="0">
      <w:start w:val="1"/>
      <w:numFmt w:val="decimal"/>
      <w:lvlText w:val="%1."/>
      <w:lvlJc w:val="left"/>
      <w:pPr>
        <w:tabs>
          <w:tab w:val="num" w:pos="1200"/>
        </w:tabs>
        <w:ind w:left="1200" w:hanging="360"/>
      </w:pPr>
      <w:rPr>
        <w:b w:val="0"/>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F1979D0"/>
    <w:multiLevelType w:val="hybridMultilevel"/>
    <w:tmpl w:val="DBE4439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2" w15:restartNumberingAfterBreak="0">
    <w:nsid w:val="641E0E8C"/>
    <w:multiLevelType w:val="hybridMultilevel"/>
    <w:tmpl w:val="E2EE80CC"/>
    <w:lvl w:ilvl="0" w:tplc="DA8008B8">
      <w:numFmt w:val="bullet"/>
      <w:lvlText w:val="-"/>
      <w:lvlJc w:val="left"/>
      <w:pPr>
        <w:ind w:left="1440" w:hanging="360"/>
      </w:pPr>
      <w:rPr>
        <w:rFonts w:ascii="Calibri" w:eastAsiaTheme="minorHAnsi" w:hAnsi="Calibri" w:cs="Calibri" w:hint="default"/>
        <w: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EF74DFC"/>
    <w:multiLevelType w:val="hybridMultilevel"/>
    <w:tmpl w:val="872400A2"/>
    <w:lvl w:ilvl="0" w:tplc="A3743902">
      <w:numFmt w:val="bullet"/>
      <w:lvlText w:val="-"/>
      <w:lvlJc w:val="left"/>
      <w:pPr>
        <w:ind w:left="1080" w:hanging="360"/>
      </w:pPr>
      <w:rPr>
        <w:rFonts w:ascii="Times New Roman" w:eastAsia="Times New Roman" w:hAnsi="Times New Roman" w:cs="Times New Roman" w:hint="default"/>
        <w:i w:val="0"/>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56F07B2"/>
    <w:multiLevelType w:val="multilevel"/>
    <w:tmpl w:val="F6945036"/>
    <w:lvl w:ilvl="0">
      <w:start w:val="4"/>
      <w:numFmt w:val="decimal"/>
      <w:lvlText w:val="%1."/>
      <w:lvlJc w:val="left"/>
      <w:pPr>
        <w:ind w:left="585" w:hanging="58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5" w15:restartNumberingAfterBreak="0">
    <w:nsid w:val="759A6666"/>
    <w:multiLevelType w:val="hybridMultilevel"/>
    <w:tmpl w:val="56D20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3F310A"/>
    <w:multiLevelType w:val="hybridMultilevel"/>
    <w:tmpl w:val="191CB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15"/>
  </w:num>
  <w:num w:numId="6">
    <w:abstractNumId w:val="6"/>
  </w:num>
  <w:num w:numId="7">
    <w:abstractNumId w:val="4"/>
  </w:num>
  <w:num w:numId="8">
    <w:abstractNumId w:val="7"/>
  </w:num>
  <w:num w:numId="9">
    <w:abstractNumId w:val="8"/>
  </w:num>
  <w:num w:numId="10">
    <w:abstractNumId w:val="5"/>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2"/>
  </w:num>
  <w:num w:numId="15">
    <w:abstractNumId w:val="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094E"/>
    <w:rsid w:val="00021B0C"/>
    <w:rsid w:val="000235E7"/>
    <w:rsid w:val="00023811"/>
    <w:rsid w:val="0002454F"/>
    <w:rsid w:val="00026408"/>
    <w:rsid w:val="000267CF"/>
    <w:rsid w:val="00026AAD"/>
    <w:rsid w:val="000302CF"/>
    <w:rsid w:val="00032F39"/>
    <w:rsid w:val="0003797E"/>
    <w:rsid w:val="00037DD3"/>
    <w:rsid w:val="0004209C"/>
    <w:rsid w:val="00042E3D"/>
    <w:rsid w:val="00045889"/>
    <w:rsid w:val="00046176"/>
    <w:rsid w:val="000466B1"/>
    <w:rsid w:val="00047A83"/>
    <w:rsid w:val="000513DC"/>
    <w:rsid w:val="00051D23"/>
    <w:rsid w:val="000525B6"/>
    <w:rsid w:val="0005625E"/>
    <w:rsid w:val="00056E38"/>
    <w:rsid w:val="00060331"/>
    <w:rsid w:val="00060747"/>
    <w:rsid w:val="00060E1F"/>
    <w:rsid w:val="00062248"/>
    <w:rsid w:val="000640EF"/>
    <w:rsid w:val="00064E73"/>
    <w:rsid w:val="0006510D"/>
    <w:rsid w:val="00065504"/>
    <w:rsid w:val="00065C60"/>
    <w:rsid w:val="00065FEC"/>
    <w:rsid w:val="00070A2A"/>
    <w:rsid w:val="00071126"/>
    <w:rsid w:val="00072107"/>
    <w:rsid w:val="00072E6C"/>
    <w:rsid w:val="00076827"/>
    <w:rsid w:val="00080917"/>
    <w:rsid w:val="000811E0"/>
    <w:rsid w:val="000814EC"/>
    <w:rsid w:val="00081865"/>
    <w:rsid w:val="00081DD0"/>
    <w:rsid w:val="00081E2B"/>
    <w:rsid w:val="00082908"/>
    <w:rsid w:val="00085CCE"/>
    <w:rsid w:val="0008657A"/>
    <w:rsid w:val="00086693"/>
    <w:rsid w:val="000878CD"/>
    <w:rsid w:val="000900BE"/>
    <w:rsid w:val="000914DB"/>
    <w:rsid w:val="00093F23"/>
    <w:rsid w:val="00094427"/>
    <w:rsid w:val="0009530A"/>
    <w:rsid w:val="00096533"/>
    <w:rsid w:val="00096C58"/>
    <w:rsid w:val="000A0172"/>
    <w:rsid w:val="000A022E"/>
    <w:rsid w:val="000A2658"/>
    <w:rsid w:val="000A3991"/>
    <w:rsid w:val="000A43D8"/>
    <w:rsid w:val="000A4C0A"/>
    <w:rsid w:val="000A58E9"/>
    <w:rsid w:val="000A615A"/>
    <w:rsid w:val="000A688F"/>
    <w:rsid w:val="000A6EB2"/>
    <w:rsid w:val="000A72C2"/>
    <w:rsid w:val="000B09F5"/>
    <w:rsid w:val="000B0AEC"/>
    <w:rsid w:val="000B10FE"/>
    <w:rsid w:val="000B24ED"/>
    <w:rsid w:val="000B49A6"/>
    <w:rsid w:val="000B4D6A"/>
    <w:rsid w:val="000B5FED"/>
    <w:rsid w:val="000B705A"/>
    <w:rsid w:val="000B729C"/>
    <w:rsid w:val="000C006F"/>
    <w:rsid w:val="000C085D"/>
    <w:rsid w:val="000C12B1"/>
    <w:rsid w:val="000C1815"/>
    <w:rsid w:val="000C1F67"/>
    <w:rsid w:val="000C24C6"/>
    <w:rsid w:val="000C3613"/>
    <w:rsid w:val="000C56FA"/>
    <w:rsid w:val="000C58B7"/>
    <w:rsid w:val="000C67E1"/>
    <w:rsid w:val="000D1114"/>
    <w:rsid w:val="000D119F"/>
    <w:rsid w:val="000D1549"/>
    <w:rsid w:val="000D2255"/>
    <w:rsid w:val="000D33B0"/>
    <w:rsid w:val="000D7683"/>
    <w:rsid w:val="000D793F"/>
    <w:rsid w:val="000E15FF"/>
    <w:rsid w:val="000E1842"/>
    <w:rsid w:val="000E2CAD"/>
    <w:rsid w:val="000E46EA"/>
    <w:rsid w:val="000E47A9"/>
    <w:rsid w:val="000E4F82"/>
    <w:rsid w:val="000E6BD5"/>
    <w:rsid w:val="000F0B4C"/>
    <w:rsid w:val="000F1BCE"/>
    <w:rsid w:val="000F34B8"/>
    <w:rsid w:val="000F4F5D"/>
    <w:rsid w:val="000F522A"/>
    <w:rsid w:val="000F6560"/>
    <w:rsid w:val="000F6DD9"/>
    <w:rsid w:val="000F7ADA"/>
    <w:rsid w:val="000F7DDD"/>
    <w:rsid w:val="00100190"/>
    <w:rsid w:val="0010042F"/>
    <w:rsid w:val="00100A40"/>
    <w:rsid w:val="00100AEF"/>
    <w:rsid w:val="0010229B"/>
    <w:rsid w:val="00102747"/>
    <w:rsid w:val="00102748"/>
    <w:rsid w:val="00102C1E"/>
    <w:rsid w:val="00103834"/>
    <w:rsid w:val="00104726"/>
    <w:rsid w:val="00106ED4"/>
    <w:rsid w:val="00107048"/>
    <w:rsid w:val="00107FF6"/>
    <w:rsid w:val="00110919"/>
    <w:rsid w:val="00110A69"/>
    <w:rsid w:val="00111D8C"/>
    <w:rsid w:val="00112472"/>
    <w:rsid w:val="001136DC"/>
    <w:rsid w:val="00114022"/>
    <w:rsid w:val="00114463"/>
    <w:rsid w:val="00114EEE"/>
    <w:rsid w:val="0011558E"/>
    <w:rsid w:val="00115F7A"/>
    <w:rsid w:val="0011668F"/>
    <w:rsid w:val="00121A19"/>
    <w:rsid w:val="001221EB"/>
    <w:rsid w:val="00122B47"/>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803"/>
    <w:rsid w:val="00136A03"/>
    <w:rsid w:val="00137D7A"/>
    <w:rsid w:val="0014086B"/>
    <w:rsid w:val="00142475"/>
    <w:rsid w:val="00143023"/>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558"/>
    <w:rsid w:val="00157CA7"/>
    <w:rsid w:val="0016052E"/>
    <w:rsid w:val="001629DF"/>
    <w:rsid w:val="001653F6"/>
    <w:rsid w:val="00165CCC"/>
    <w:rsid w:val="00166A02"/>
    <w:rsid w:val="00166F6D"/>
    <w:rsid w:val="001709E4"/>
    <w:rsid w:val="00171555"/>
    <w:rsid w:val="00174747"/>
    <w:rsid w:val="001748C1"/>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2857"/>
    <w:rsid w:val="0019398A"/>
    <w:rsid w:val="001947B1"/>
    <w:rsid w:val="0019538D"/>
    <w:rsid w:val="00195BC7"/>
    <w:rsid w:val="001961C7"/>
    <w:rsid w:val="00196EBE"/>
    <w:rsid w:val="00197599"/>
    <w:rsid w:val="001A0BEF"/>
    <w:rsid w:val="001A1FE0"/>
    <w:rsid w:val="001A2D11"/>
    <w:rsid w:val="001A2E92"/>
    <w:rsid w:val="001A3258"/>
    <w:rsid w:val="001A498A"/>
    <w:rsid w:val="001A4F77"/>
    <w:rsid w:val="001A5835"/>
    <w:rsid w:val="001A5C51"/>
    <w:rsid w:val="001A60E6"/>
    <w:rsid w:val="001A6385"/>
    <w:rsid w:val="001B02A0"/>
    <w:rsid w:val="001B2723"/>
    <w:rsid w:val="001B2C70"/>
    <w:rsid w:val="001B3165"/>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D640A"/>
    <w:rsid w:val="001D7BC8"/>
    <w:rsid w:val="001E26F4"/>
    <w:rsid w:val="001E2C48"/>
    <w:rsid w:val="001E31A6"/>
    <w:rsid w:val="001E40FB"/>
    <w:rsid w:val="001E4610"/>
    <w:rsid w:val="001E6B18"/>
    <w:rsid w:val="001E6F7D"/>
    <w:rsid w:val="001E7764"/>
    <w:rsid w:val="001E7B81"/>
    <w:rsid w:val="001F13A8"/>
    <w:rsid w:val="001F1892"/>
    <w:rsid w:val="001F2C3E"/>
    <w:rsid w:val="001F3438"/>
    <w:rsid w:val="001F3720"/>
    <w:rsid w:val="001F3F16"/>
    <w:rsid w:val="001F433C"/>
    <w:rsid w:val="001F628D"/>
    <w:rsid w:val="001F706C"/>
    <w:rsid w:val="002006B3"/>
    <w:rsid w:val="00200C9D"/>
    <w:rsid w:val="00200D46"/>
    <w:rsid w:val="00200DB5"/>
    <w:rsid w:val="0020142E"/>
    <w:rsid w:val="00202868"/>
    <w:rsid w:val="00202E41"/>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318"/>
    <w:rsid w:val="002215C6"/>
    <w:rsid w:val="002224F5"/>
    <w:rsid w:val="00222894"/>
    <w:rsid w:val="00222C70"/>
    <w:rsid w:val="00226D69"/>
    <w:rsid w:val="00231347"/>
    <w:rsid w:val="002313BA"/>
    <w:rsid w:val="00233A43"/>
    <w:rsid w:val="00236692"/>
    <w:rsid w:val="00237681"/>
    <w:rsid w:val="00240A73"/>
    <w:rsid w:val="00241018"/>
    <w:rsid w:val="00241CC8"/>
    <w:rsid w:val="00242AD1"/>
    <w:rsid w:val="00242DA1"/>
    <w:rsid w:val="00243ED0"/>
    <w:rsid w:val="0024660D"/>
    <w:rsid w:val="0024712B"/>
    <w:rsid w:val="0024723A"/>
    <w:rsid w:val="002475CA"/>
    <w:rsid w:val="002478E1"/>
    <w:rsid w:val="00247CE8"/>
    <w:rsid w:val="002508E8"/>
    <w:rsid w:val="00251272"/>
    <w:rsid w:val="00251834"/>
    <w:rsid w:val="0025234C"/>
    <w:rsid w:val="00252D2E"/>
    <w:rsid w:val="00256B30"/>
    <w:rsid w:val="00257F71"/>
    <w:rsid w:val="00260809"/>
    <w:rsid w:val="00262D37"/>
    <w:rsid w:val="00264D1C"/>
    <w:rsid w:val="00267C58"/>
    <w:rsid w:val="002700ED"/>
    <w:rsid w:val="002704BF"/>
    <w:rsid w:val="00273CB4"/>
    <w:rsid w:val="0027407E"/>
    <w:rsid w:val="00276411"/>
    <w:rsid w:val="002764E2"/>
    <w:rsid w:val="00277344"/>
    <w:rsid w:val="002821EF"/>
    <w:rsid w:val="00283244"/>
    <w:rsid w:val="00285F32"/>
    <w:rsid w:val="00286164"/>
    <w:rsid w:val="00287752"/>
    <w:rsid w:val="0029054D"/>
    <w:rsid w:val="00290578"/>
    <w:rsid w:val="002908EA"/>
    <w:rsid w:val="00291063"/>
    <w:rsid w:val="00292081"/>
    <w:rsid w:val="00292D8E"/>
    <w:rsid w:val="00293233"/>
    <w:rsid w:val="00293584"/>
    <w:rsid w:val="002977D3"/>
    <w:rsid w:val="002A0371"/>
    <w:rsid w:val="002A1B12"/>
    <w:rsid w:val="002A1D5B"/>
    <w:rsid w:val="002A3793"/>
    <w:rsid w:val="002A4EDD"/>
    <w:rsid w:val="002A53AA"/>
    <w:rsid w:val="002A554B"/>
    <w:rsid w:val="002A5A25"/>
    <w:rsid w:val="002A641B"/>
    <w:rsid w:val="002A6A7F"/>
    <w:rsid w:val="002A7353"/>
    <w:rsid w:val="002A73B9"/>
    <w:rsid w:val="002B07B9"/>
    <w:rsid w:val="002B1BD5"/>
    <w:rsid w:val="002B3026"/>
    <w:rsid w:val="002B37F7"/>
    <w:rsid w:val="002B3FC2"/>
    <w:rsid w:val="002B6156"/>
    <w:rsid w:val="002B6224"/>
    <w:rsid w:val="002B68CD"/>
    <w:rsid w:val="002C021A"/>
    <w:rsid w:val="002C0313"/>
    <w:rsid w:val="002C090C"/>
    <w:rsid w:val="002C109E"/>
    <w:rsid w:val="002C2108"/>
    <w:rsid w:val="002C2170"/>
    <w:rsid w:val="002C25CC"/>
    <w:rsid w:val="002C74B6"/>
    <w:rsid w:val="002D05C4"/>
    <w:rsid w:val="002D13A1"/>
    <w:rsid w:val="002D5B7E"/>
    <w:rsid w:val="002D68AF"/>
    <w:rsid w:val="002E0674"/>
    <w:rsid w:val="002E254D"/>
    <w:rsid w:val="002E2631"/>
    <w:rsid w:val="002E2A71"/>
    <w:rsid w:val="002E2FD7"/>
    <w:rsid w:val="002E4D71"/>
    <w:rsid w:val="002E64AA"/>
    <w:rsid w:val="002E75BE"/>
    <w:rsid w:val="002F0BEA"/>
    <w:rsid w:val="002F1010"/>
    <w:rsid w:val="002F1694"/>
    <w:rsid w:val="002F6485"/>
    <w:rsid w:val="002F6875"/>
    <w:rsid w:val="002F7068"/>
    <w:rsid w:val="00300387"/>
    <w:rsid w:val="00300632"/>
    <w:rsid w:val="0030071F"/>
    <w:rsid w:val="00301D98"/>
    <w:rsid w:val="0030373F"/>
    <w:rsid w:val="003043E9"/>
    <w:rsid w:val="003044D6"/>
    <w:rsid w:val="003062B8"/>
    <w:rsid w:val="003065EB"/>
    <w:rsid w:val="00307A03"/>
    <w:rsid w:val="00311A61"/>
    <w:rsid w:val="00312B55"/>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23D0"/>
    <w:rsid w:val="00332ED5"/>
    <w:rsid w:val="0033485E"/>
    <w:rsid w:val="00334D8F"/>
    <w:rsid w:val="0033609E"/>
    <w:rsid w:val="00336237"/>
    <w:rsid w:val="00336FB3"/>
    <w:rsid w:val="003378B9"/>
    <w:rsid w:val="00337B5E"/>
    <w:rsid w:val="0034113D"/>
    <w:rsid w:val="003411BC"/>
    <w:rsid w:val="00341880"/>
    <w:rsid w:val="00341B2B"/>
    <w:rsid w:val="00341B5F"/>
    <w:rsid w:val="00342028"/>
    <w:rsid w:val="00344838"/>
    <w:rsid w:val="0034583F"/>
    <w:rsid w:val="0034597F"/>
    <w:rsid w:val="00345E37"/>
    <w:rsid w:val="003544F5"/>
    <w:rsid w:val="003563F2"/>
    <w:rsid w:val="00356840"/>
    <w:rsid w:val="00357215"/>
    <w:rsid w:val="003607CA"/>
    <w:rsid w:val="00362069"/>
    <w:rsid w:val="00363F38"/>
    <w:rsid w:val="0036528F"/>
    <w:rsid w:val="00366AFA"/>
    <w:rsid w:val="003678B9"/>
    <w:rsid w:val="00370341"/>
    <w:rsid w:val="00371772"/>
    <w:rsid w:val="00371B98"/>
    <w:rsid w:val="003722C8"/>
    <w:rsid w:val="00372B53"/>
    <w:rsid w:val="00372F8E"/>
    <w:rsid w:val="0037330D"/>
    <w:rsid w:val="00376737"/>
    <w:rsid w:val="003776F7"/>
    <w:rsid w:val="00380227"/>
    <w:rsid w:val="00380DC3"/>
    <w:rsid w:val="00380F94"/>
    <w:rsid w:val="00382F85"/>
    <w:rsid w:val="0038326A"/>
    <w:rsid w:val="0038382B"/>
    <w:rsid w:val="00383B4C"/>
    <w:rsid w:val="00383EA7"/>
    <w:rsid w:val="00384D7C"/>
    <w:rsid w:val="003872AD"/>
    <w:rsid w:val="003872E9"/>
    <w:rsid w:val="003873C1"/>
    <w:rsid w:val="003879E2"/>
    <w:rsid w:val="003911F9"/>
    <w:rsid w:val="00391637"/>
    <w:rsid w:val="003916A9"/>
    <w:rsid w:val="0039270F"/>
    <w:rsid w:val="00393138"/>
    <w:rsid w:val="00394E32"/>
    <w:rsid w:val="003952E9"/>
    <w:rsid w:val="00396340"/>
    <w:rsid w:val="00397D92"/>
    <w:rsid w:val="003A105E"/>
    <w:rsid w:val="003A1A63"/>
    <w:rsid w:val="003A349E"/>
    <w:rsid w:val="003A3602"/>
    <w:rsid w:val="003A39BB"/>
    <w:rsid w:val="003A3F1B"/>
    <w:rsid w:val="003A7712"/>
    <w:rsid w:val="003A7FEB"/>
    <w:rsid w:val="003B2257"/>
    <w:rsid w:val="003B2532"/>
    <w:rsid w:val="003B3A6D"/>
    <w:rsid w:val="003B3C19"/>
    <w:rsid w:val="003B3F3C"/>
    <w:rsid w:val="003B6141"/>
    <w:rsid w:val="003B6798"/>
    <w:rsid w:val="003C4D96"/>
    <w:rsid w:val="003C7022"/>
    <w:rsid w:val="003D0C2E"/>
    <w:rsid w:val="003D0E81"/>
    <w:rsid w:val="003D30D5"/>
    <w:rsid w:val="003D3D02"/>
    <w:rsid w:val="003D4344"/>
    <w:rsid w:val="003D4E2B"/>
    <w:rsid w:val="003D5B15"/>
    <w:rsid w:val="003D6A3B"/>
    <w:rsid w:val="003D6D23"/>
    <w:rsid w:val="003E03A3"/>
    <w:rsid w:val="003E3051"/>
    <w:rsid w:val="003E451B"/>
    <w:rsid w:val="003E6C5E"/>
    <w:rsid w:val="003E6FAB"/>
    <w:rsid w:val="003E7C5D"/>
    <w:rsid w:val="003E7F25"/>
    <w:rsid w:val="003F0548"/>
    <w:rsid w:val="003F2728"/>
    <w:rsid w:val="003F3430"/>
    <w:rsid w:val="003F412A"/>
    <w:rsid w:val="003F55D9"/>
    <w:rsid w:val="003F6040"/>
    <w:rsid w:val="003F65FA"/>
    <w:rsid w:val="003F68CF"/>
    <w:rsid w:val="003F753F"/>
    <w:rsid w:val="003F75BD"/>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36"/>
    <w:rsid w:val="004156C0"/>
    <w:rsid w:val="00415F1B"/>
    <w:rsid w:val="00420D06"/>
    <w:rsid w:val="00420DE8"/>
    <w:rsid w:val="00420EFA"/>
    <w:rsid w:val="00421AED"/>
    <w:rsid w:val="00421E2A"/>
    <w:rsid w:val="0042216A"/>
    <w:rsid w:val="004227F0"/>
    <w:rsid w:val="00422F57"/>
    <w:rsid w:val="004256F7"/>
    <w:rsid w:val="004267CD"/>
    <w:rsid w:val="00426C09"/>
    <w:rsid w:val="004277A9"/>
    <w:rsid w:val="00427833"/>
    <w:rsid w:val="00430893"/>
    <w:rsid w:val="00431559"/>
    <w:rsid w:val="0043157D"/>
    <w:rsid w:val="00431E1A"/>
    <w:rsid w:val="004320C3"/>
    <w:rsid w:val="00433DB6"/>
    <w:rsid w:val="0043479E"/>
    <w:rsid w:val="004352A3"/>
    <w:rsid w:val="00435828"/>
    <w:rsid w:val="0043602E"/>
    <w:rsid w:val="004371F7"/>
    <w:rsid w:val="00437B27"/>
    <w:rsid w:val="00437ED3"/>
    <w:rsid w:val="004403BD"/>
    <w:rsid w:val="004411EE"/>
    <w:rsid w:val="00441D12"/>
    <w:rsid w:val="004432AA"/>
    <w:rsid w:val="00443426"/>
    <w:rsid w:val="004435CB"/>
    <w:rsid w:val="00443692"/>
    <w:rsid w:val="0044380D"/>
    <w:rsid w:val="00444B35"/>
    <w:rsid w:val="00444E3E"/>
    <w:rsid w:val="00444EAD"/>
    <w:rsid w:val="00450833"/>
    <w:rsid w:val="0045113E"/>
    <w:rsid w:val="004543C4"/>
    <w:rsid w:val="00455DE1"/>
    <w:rsid w:val="0045605C"/>
    <w:rsid w:val="00456784"/>
    <w:rsid w:val="004600D1"/>
    <w:rsid w:val="00460AEC"/>
    <w:rsid w:val="004631F3"/>
    <w:rsid w:val="00463AB0"/>
    <w:rsid w:val="004652EC"/>
    <w:rsid w:val="00465F95"/>
    <w:rsid w:val="004665A3"/>
    <w:rsid w:val="00466EE9"/>
    <w:rsid w:val="00467D24"/>
    <w:rsid w:val="00471B17"/>
    <w:rsid w:val="004722DC"/>
    <w:rsid w:val="004725BA"/>
    <w:rsid w:val="00472C70"/>
    <w:rsid w:val="00474BCA"/>
    <w:rsid w:val="004751F5"/>
    <w:rsid w:val="00477174"/>
    <w:rsid w:val="00477E35"/>
    <w:rsid w:val="004804C7"/>
    <w:rsid w:val="00481E81"/>
    <w:rsid w:val="00481EAA"/>
    <w:rsid w:val="004824B1"/>
    <w:rsid w:val="004837F5"/>
    <w:rsid w:val="004856DF"/>
    <w:rsid w:val="00487510"/>
    <w:rsid w:val="0049184F"/>
    <w:rsid w:val="00491866"/>
    <w:rsid w:val="00492880"/>
    <w:rsid w:val="004933EA"/>
    <w:rsid w:val="00493FB7"/>
    <w:rsid w:val="00495D42"/>
    <w:rsid w:val="00495FB2"/>
    <w:rsid w:val="00496EE0"/>
    <w:rsid w:val="00497C24"/>
    <w:rsid w:val="004A0B31"/>
    <w:rsid w:val="004A1BCE"/>
    <w:rsid w:val="004A320F"/>
    <w:rsid w:val="004A5CA1"/>
    <w:rsid w:val="004A5F33"/>
    <w:rsid w:val="004A742E"/>
    <w:rsid w:val="004A78D5"/>
    <w:rsid w:val="004B2404"/>
    <w:rsid w:val="004B2D05"/>
    <w:rsid w:val="004B423A"/>
    <w:rsid w:val="004B5069"/>
    <w:rsid w:val="004B5535"/>
    <w:rsid w:val="004B59F1"/>
    <w:rsid w:val="004B668C"/>
    <w:rsid w:val="004B6925"/>
    <w:rsid w:val="004B766A"/>
    <w:rsid w:val="004C0365"/>
    <w:rsid w:val="004C05D3"/>
    <w:rsid w:val="004C16C7"/>
    <w:rsid w:val="004C20E9"/>
    <w:rsid w:val="004C4A52"/>
    <w:rsid w:val="004C6E9F"/>
    <w:rsid w:val="004C7074"/>
    <w:rsid w:val="004C710E"/>
    <w:rsid w:val="004D0644"/>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6855"/>
    <w:rsid w:val="004F7E58"/>
    <w:rsid w:val="0050022A"/>
    <w:rsid w:val="00503664"/>
    <w:rsid w:val="00504104"/>
    <w:rsid w:val="00505A7E"/>
    <w:rsid w:val="00506D87"/>
    <w:rsid w:val="005074F5"/>
    <w:rsid w:val="005077AA"/>
    <w:rsid w:val="00507871"/>
    <w:rsid w:val="005079CF"/>
    <w:rsid w:val="005079EA"/>
    <w:rsid w:val="00507A26"/>
    <w:rsid w:val="00515276"/>
    <w:rsid w:val="00516D46"/>
    <w:rsid w:val="00517DB2"/>
    <w:rsid w:val="00520560"/>
    <w:rsid w:val="00522527"/>
    <w:rsid w:val="00522A92"/>
    <w:rsid w:val="005250E1"/>
    <w:rsid w:val="005261E6"/>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46799"/>
    <w:rsid w:val="00547F9F"/>
    <w:rsid w:val="005502F8"/>
    <w:rsid w:val="00550A63"/>
    <w:rsid w:val="0055151B"/>
    <w:rsid w:val="00551E02"/>
    <w:rsid w:val="00553169"/>
    <w:rsid w:val="00553450"/>
    <w:rsid w:val="00554188"/>
    <w:rsid w:val="00555ACF"/>
    <w:rsid w:val="00556DE2"/>
    <w:rsid w:val="00557F72"/>
    <w:rsid w:val="0056065F"/>
    <w:rsid w:val="0056123A"/>
    <w:rsid w:val="005626EB"/>
    <w:rsid w:val="0056271D"/>
    <w:rsid w:val="00563E12"/>
    <w:rsid w:val="00564894"/>
    <w:rsid w:val="00565BF3"/>
    <w:rsid w:val="00566C8C"/>
    <w:rsid w:val="005670C2"/>
    <w:rsid w:val="005677DE"/>
    <w:rsid w:val="00571EFA"/>
    <w:rsid w:val="00572FF0"/>
    <w:rsid w:val="005736A5"/>
    <w:rsid w:val="0057413F"/>
    <w:rsid w:val="005751E5"/>
    <w:rsid w:val="005752F8"/>
    <w:rsid w:val="00576EE1"/>
    <w:rsid w:val="00581906"/>
    <w:rsid w:val="0058262D"/>
    <w:rsid w:val="005842FC"/>
    <w:rsid w:val="005851B0"/>
    <w:rsid w:val="00585EE6"/>
    <w:rsid w:val="005865E3"/>
    <w:rsid w:val="00591DF9"/>
    <w:rsid w:val="00591F3B"/>
    <w:rsid w:val="00592FF8"/>
    <w:rsid w:val="005934B3"/>
    <w:rsid w:val="005944D0"/>
    <w:rsid w:val="00595039"/>
    <w:rsid w:val="0059586E"/>
    <w:rsid w:val="005966EE"/>
    <w:rsid w:val="005972F0"/>
    <w:rsid w:val="00597866"/>
    <w:rsid w:val="005A07D0"/>
    <w:rsid w:val="005A16E5"/>
    <w:rsid w:val="005A31B8"/>
    <w:rsid w:val="005A3BFA"/>
    <w:rsid w:val="005A4010"/>
    <w:rsid w:val="005A4739"/>
    <w:rsid w:val="005A48E1"/>
    <w:rsid w:val="005A4AB8"/>
    <w:rsid w:val="005A4EC0"/>
    <w:rsid w:val="005A5753"/>
    <w:rsid w:val="005A65FF"/>
    <w:rsid w:val="005A69AF"/>
    <w:rsid w:val="005A70D0"/>
    <w:rsid w:val="005A7540"/>
    <w:rsid w:val="005B0D14"/>
    <w:rsid w:val="005B1641"/>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2F35"/>
    <w:rsid w:val="005D3B0C"/>
    <w:rsid w:val="005D498C"/>
    <w:rsid w:val="005D6032"/>
    <w:rsid w:val="005D6267"/>
    <w:rsid w:val="005D6875"/>
    <w:rsid w:val="005D79B2"/>
    <w:rsid w:val="005E05A6"/>
    <w:rsid w:val="005E1147"/>
    <w:rsid w:val="005E2A9F"/>
    <w:rsid w:val="005E2BC3"/>
    <w:rsid w:val="005E57E9"/>
    <w:rsid w:val="005E6A5D"/>
    <w:rsid w:val="005E765D"/>
    <w:rsid w:val="005F052C"/>
    <w:rsid w:val="005F0BD6"/>
    <w:rsid w:val="005F3082"/>
    <w:rsid w:val="005F36DB"/>
    <w:rsid w:val="005F3BD2"/>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00F9"/>
    <w:rsid w:val="00621B4E"/>
    <w:rsid w:val="00622ED6"/>
    <w:rsid w:val="00623C77"/>
    <w:rsid w:val="0062521C"/>
    <w:rsid w:val="00626B38"/>
    <w:rsid w:val="00627C1C"/>
    <w:rsid w:val="00627FDF"/>
    <w:rsid w:val="006307C2"/>
    <w:rsid w:val="00630868"/>
    <w:rsid w:val="00632DCF"/>
    <w:rsid w:val="006335E1"/>
    <w:rsid w:val="0063461E"/>
    <w:rsid w:val="0063518A"/>
    <w:rsid w:val="00640ECF"/>
    <w:rsid w:val="00642ADC"/>
    <w:rsid w:val="00643B35"/>
    <w:rsid w:val="00643B8E"/>
    <w:rsid w:val="00644FB3"/>
    <w:rsid w:val="00647B6E"/>
    <w:rsid w:val="00651ABE"/>
    <w:rsid w:val="00652362"/>
    <w:rsid w:val="0065451D"/>
    <w:rsid w:val="00654BDB"/>
    <w:rsid w:val="00654EE9"/>
    <w:rsid w:val="006567B1"/>
    <w:rsid w:val="00656C45"/>
    <w:rsid w:val="00656FC4"/>
    <w:rsid w:val="00657FD8"/>
    <w:rsid w:val="006611DD"/>
    <w:rsid w:val="00662991"/>
    <w:rsid w:val="006644D6"/>
    <w:rsid w:val="006647F5"/>
    <w:rsid w:val="0066799F"/>
    <w:rsid w:val="006679E7"/>
    <w:rsid w:val="00670971"/>
    <w:rsid w:val="006713D2"/>
    <w:rsid w:val="0067168E"/>
    <w:rsid w:val="00673A98"/>
    <w:rsid w:val="00674C1E"/>
    <w:rsid w:val="00674CF7"/>
    <w:rsid w:val="006773DE"/>
    <w:rsid w:val="0067759D"/>
    <w:rsid w:val="00680A0A"/>
    <w:rsid w:val="006812B1"/>
    <w:rsid w:val="006820EF"/>
    <w:rsid w:val="00682D66"/>
    <w:rsid w:val="00682FDF"/>
    <w:rsid w:val="00684656"/>
    <w:rsid w:val="0068694B"/>
    <w:rsid w:val="00686F66"/>
    <w:rsid w:val="00687C06"/>
    <w:rsid w:val="006906D8"/>
    <w:rsid w:val="006907A6"/>
    <w:rsid w:val="00690AF7"/>
    <w:rsid w:val="006911E5"/>
    <w:rsid w:val="0069184F"/>
    <w:rsid w:val="00695D13"/>
    <w:rsid w:val="006A0A43"/>
    <w:rsid w:val="006A2AE9"/>
    <w:rsid w:val="006A3811"/>
    <w:rsid w:val="006A5569"/>
    <w:rsid w:val="006A5F7C"/>
    <w:rsid w:val="006A603E"/>
    <w:rsid w:val="006A6184"/>
    <w:rsid w:val="006A6359"/>
    <w:rsid w:val="006A6650"/>
    <w:rsid w:val="006A747E"/>
    <w:rsid w:val="006B0CE7"/>
    <w:rsid w:val="006B1079"/>
    <w:rsid w:val="006B11B3"/>
    <w:rsid w:val="006B1567"/>
    <w:rsid w:val="006B2DC1"/>
    <w:rsid w:val="006B2F3D"/>
    <w:rsid w:val="006B44CB"/>
    <w:rsid w:val="006B5C1D"/>
    <w:rsid w:val="006B6DF2"/>
    <w:rsid w:val="006B7030"/>
    <w:rsid w:val="006B737F"/>
    <w:rsid w:val="006B7B31"/>
    <w:rsid w:val="006C138C"/>
    <w:rsid w:val="006C16BB"/>
    <w:rsid w:val="006C2BC3"/>
    <w:rsid w:val="006C39EC"/>
    <w:rsid w:val="006C4B9D"/>
    <w:rsid w:val="006D48D8"/>
    <w:rsid w:val="006D6325"/>
    <w:rsid w:val="006D75FF"/>
    <w:rsid w:val="006E01DD"/>
    <w:rsid w:val="006E03A4"/>
    <w:rsid w:val="006E24E1"/>
    <w:rsid w:val="006E4BB1"/>
    <w:rsid w:val="006E603C"/>
    <w:rsid w:val="006E6622"/>
    <w:rsid w:val="006E6E0F"/>
    <w:rsid w:val="006F065D"/>
    <w:rsid w:val="006F2B3B"/>
    <w:rsid w:val="006F2BC7"/>
    <w:rsid w:val="006F303E"/>
    <w:rsid w:val="006F3385"/>
    <w:rsid w:val="006F370B"/>
    <w:rsid w:val="006F4143"/>
    <w:rsid w:val="006F428E"/>
    <w:rsid w:val="006F510D"/>
    <w:rsid w:val="006F6BFB"/>
    <w:rsid w:val="006F6F8D"/>
    <w:rsid w:val="007005F8"/>
    <w:rsid w:val="00700A02"/>
    <w:rsid w:val="00702691"/>
    <w:rsid w:val="007030B9"/>
    <w:rsid w:val="00707EE9"/>
    <w:rsid w:val="00710421"/>
    <w:rsid w:val="007110E5"/>
    <w:rsid w:val="00712CE0"/>
    <w:rsid w:val="00714C03"/>
    <w:rsid w:val="00715594"/>
    <w:rsid w:val="007162CA"/>
    <w:rsid w:val="0072057D"/>
    <w:rsid w:val="00720EBA"/>
    <w:rsid w:val="00721159"/>
    <w:rsid w:val="007235A5"/>
    <w:rsid w:val="00724077"/>
    <w:rsid w:val="00724087"/>
    <w:rsid w:val="007251CA"/>
    <w:rsid w:val="007267AF"/>
    <w:rsid w:val="007276B9"/>
    <w:rsid w:val="00727798"/>
    <w:rsid w:val="00730989"/>
    <w:rsid w:val="00732E8E"/>
    <w:rsid w:val="00733A93"/>
    <w:rsid w:val="00733C8B"/>
    <w:rsid w:val="007342F8"/>
    <w:rsid w:val="00734504"/>
    <w:rsid w:val="007355F2"/>
    <w:rsid w:val="00735661"/>
    <w:rsid w:val="00735CD5"/>
    <w:rsid w:val="00737AF9"/>
    <w:rsid w:val="0074001E"/>
    <w:rsid w:val="007404C8"/>
    <w:rsid w:val="00741098"/>
    <w:rsid w:val="0074212B"/>
    <w:rsid w:val="00744C28"/>
    <w:rsid w:val="00745134"/>
    <w:rsid w:val="00746766"/>
    <w:rsid w:val="00747704"/>
    <w:rsid w:val="00747DC7"/>
    <w:rsid w:val="00747F02"/>
    <w:rsid w:val="007510BC"/>
    <w:rsid w:val="00751E1B"/>
    <w:rsid w:val="00753863"/>
    <w:rsid w:val="0075424C"/>
    <w:rsid w:val="0075453C"/>
    <w:rsid w:val="007545B6"/>
    <w:rsid w:val="00754D82"/>
    <w:rsid w:val="007554E3"/>
    <w:rsid w:val="007560B6"/>
    <w:rsid w:val="00757325"/>
    <w:rsid w:val="00762383"/>
    <w:rsid w:val="007636AC"/>
    <w:rsid w:val="00763D8E"/>
    <w:rsid w:val="00766C0B"/>
    <w:rsid w:val="00770BC6"/>
    <w:rsid w:val="00772ACD"/>
    <w:rsid w:val="00772C77"/>
    <w:rsid w:val="007732FD"/>
    <w:rsid w:val="00774AA1"/>
    <w:rsid w:val="00775430"/>
    <w:rsid w:val="007777F3"/>
    <w:rsid w:val="00780708"/>
    <w:rsid w:val="00781BE4"/>
    <w:rsid w:val="00781D3B"/>
    <w:rsid w:val="00782071"/>
    <w:rsid w:val="0078350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5F2A"/>
    <w:rsid w:val="007A645B"/>
    <w:rsid w:val="007A7436"/>
    <w:rsid w:val="007A7FD4"/>
    <w:rsid w:val="007B1116"/>
    <w:rsid w:val="007B229D"/>
    <w:rsid w:val="007B244D"/>
    <w:rsid w:val="007B525A"/>
    <w:rsid w:val="007B5596"/>
    <w:rsid w:val="007B56F1"/>
    <w:rsid w:val="007B7918"/>
    <w:rsid w:val="007C0927"/>
    <w:rsid w:val="007C09B1"/>
    <w:rsid w:val="007C0AFE"/>
    <w:rsid w:val="007C13A8"/>
    <w:rsid w:val="007C1BAA"/>
    <w:rsid w:val="007C21A3"/>
    <w:rsid w:val="007C23A4"/>
    <w:rsid w:val="007C23E5"/>
    <w:rsid w:val="007C24B0"/>
    <w:rsid w:val="007C3FCC"/>
    <w:rsid w:val="007C4216"/>
    <w:rsid w:val="007C6387"/>
    <w:rsid w:val="007D3429"/>
    <w:rsid w:val="007D6928"/>
    <w:rsid w:val="007D6E90"/>
    <w:rsid w:val="007E011B"/>
    <w:rsid w:val="007E0224"/>
    <w:rsid w:val="007E039A"/>
    <w:rsid w:val="007E1939"/>
    <w:rsid w:val="007E392C"/>
    <w:rsid w:val="007E5755"/>
    <w:rsid w:val="007E78D4"/>
    <w:rsid w:val="007F1400"/>
    <w:rsid w:val="007F27E3"/>
    <w:rsid w:val="007F4B45"/>
    <w:rsid w:val="007F4F5E"/>
    <w:rsid w:val="007F5FA1"/>
    <w:rsid w:val="007F68A6"/>
    <w:rsid w:val="007F7967"/>
    <w:rsid w:val="00800962"/>
    <w:rsid w:val="00800D58"/>
    <w:rsid w:val="008018F6"/>
    <w:rsid w:val="00802464"/>
    <w:rsid w:val="00803116"/>
    <w:rsid w:val="0080392D"/>
    <w:rsid w:val="008043CD"/>
    <w:rsid w:val="0080441A"/>
    <w:rsid w:val="00806780"/>
    <w:rsid w:val="00806BC9"/>
    <w:rsid w:val="00807690"/>
    <w:rsid w:val="0081056D"/>
    <w:rsid w:val="008140D6"/>
    <w:rsid w:val="00814230"/>
    <w:rsid w:val="008146C7"/>
    <w:rsid w:val="00814E6E"/>
    <w:rsid w:val="0081681A"/>
    <w:rsid w:val="0082031B"/>
    <w:rsid w:val="00821079"/>
    <w:rsid w:val="0082135E"/>
    <w:rsid w:val="00822971"/>
    <w:rsid w:val="00824859"/>
    <w:rsid w:val="00825357"/>
    <w:rsid w:val="00825D44"/>
    <w:rsid w:val="00826211"/>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46120"/>
    <w:rsid w:val="0085046C"/>
    <w:rsid w:val="00852622"/>
    <w:rsid w:val="00852A2F"/>
    <w:rsid w:val="00853650"/>
    <w:rsid w:val="0085653F"/>
    <w:rsid w:val="008604D7"/>
    <w:rsid w:val="00861817"/>
    <w:rsid w:val="00862CED"/>
    <w:rsid w:val="00862E7D"/>
    <w:rsid w:val="0086332B"/>
    <w:rsid w:val="008641A1"/>
    <w:rsid w:val="0086478D"/>
    <w:rsid w:val="00866509"/>
    <w:rsid w:val="00867569"/>
    <w:rsid w:val="00873695"/>
    <w:rsid w:val="0087799A"/>
    <w:rsid w:val="00877A56"/>
    <w:rsid w:val="00880979"/>
    <w:rsid w:val="00880A74"/>
    <w:rsid w:val="00881D31"/>
    <w:rsid w:val="008853E7"/>
    <w:rsid w:val="00885683"/>
    <w:rsid w:val="00887294"/>
    <w:rsid w:val="008872F9"/>
    <w:rsid w:val="00887B9E"/>
    <w:rsid w:val="00890AC5"/>
    <w:rsid w:val="0089131F"/>
    <w:rsid w:val="00893315"/>
    <w:rsid w:val="008942FF"/>
    <w:rsid w:val="00894EF7"/>
    <w:rsid w:val="0089563F"/>
    <w:rsid w:val="00897009"/>
    <w:rsid w:val="0089799E"/>
    <w:rsid w:val="00897D58"/>
    <w:rsid w:val="008A0E12"/>
    <w:rsid w:val="008A1547"/>
    <w:rsid w:val="008A1918"/>
    <w:rsid w:val="008A1A7F"/>
    <w:rsid w:val="008A1C94"/>
    <w:rsid w:val="008A27E3"/>
    <w:rsid w:val="008A2A90"/>
    <w:rsid w:val="008A2E00"/>
    <w:rsid w:val="008A451F"/>
    <w:rsid w:val="008A5826"/>
    <w:rsid w:val="008A587D"/>
    <w:rsid w:val="008A5C6E"/>
    <w:rsid w:val="008A61FE"/>
    <w:rsid w:val="008A6DD8"/>
    <w:rsid w:val="008A7311"/>
    <w:rsid w:val="008B01C3"/>
    <w:rsid w:val="008B01F2"/>
    <w:rsid w:val="008B05B1"/>
    <w:rsid w:val="008B0B24"/>
    <w:rsid w:val="008B1468"/>
    <w:rsid w:val="008B31FA"/>
    <w:rsid w:val="008B3C25"/>
    <w:rsid w:val="008B4C68"/>
    <w:rsid w:val="008B6EBA"/>
    <w:rsid w:val="008B78F3"/>
    <w:rsid w:val="008B7E45"/>
    <w:rsid w:val="008C3483"/>
    <w:rsid w:val="008C3ED8"/>
    <w:rsid w:val="008C4836"/>
    <w:rsid w:val="008C5110"/>
    <w:rsid w:val="008C5925"/>
    <w:rsid w:val="008C62BD"/>
    <w:rsid w:val="008C659B"/>
    <w:rsid w:val="008C6BA0"/>
    <w:rsid w:val="008C6CA2"/>
    <w:rsid w:val="008C6F55"/>
    <w:rsid w:val="008C7A8B"/>
    <w:rsid w:val="008D0D97"/>
    <w:rsid w:val="008D0F1B"/>
    <w:rsid w:val="008D11C5"/>
    <w:rsid w:val="008D34C8"/>
    <w:rsid w:val="008D5AA9"/>
    <w:rsid w:val="008D5ED8"/>
    <w:rsid w:val="008D711E"/>
    <w:rsid w:val="008E18EA"/>
    <w:rsid w:val="008E1ABA"/>
    <w:rsid w:val="008E20BD"/>
    <w:rsid w:val="008E2DDE"/>
    <w:rsid w:val="008E69EC"/>
    <w:rsid w:val="008E74F3"/>
    <w:rsid w:val="008F0124"/>
    <w:rsid w:val="008F0FBF"/>
    <w:rsid w:val="008F3363"/>
    <w:rsid w:val="008F39F2"/>
    <w:rsid w:val="008F5DDD"/>
    <w:rsid w:val="008F631B"/>
    <w:rsid w:val="008F642C"/>
    <w:rsid w:val="008F6D37"/>
    <w:rsid w:val="008F707C"/>
    <w:rsid w:val="008F7756"/>
    <w:rsid w:val="00900466"/>
    <w:rsid w:val="009008DC"/>
    <w:rsid w:val="00903799"/>
    <w:rsid w:val="0090382F"/>
    <w:rsid w:val="00904449"/>
    <w:rsid w:val="00905FE3"/>
    <w:rsid w:val="00906B81"/>
    <w:rsid w:val="00907B88"/>
    <w:rsid w:val="00907C67"/>
    <w:rsid w:val="00910EB7"/>
    <w:rsid w:val="00911BCF"/>
    <w:rsid w:val="00911CB9"/>
    <w:rsid w:val="00912770"/>
    <w:rsid w:val="00913A70"/>
    <w:rsid w:val="0091592C"/>
    <w:rsid w:val="00915FD7"/>
    <w:rsid w:val="00916277"/>
    <w:rsid w:val="00916D06"/>
    <w:rsid w:val="0091700F"/>
    <w:rsid w:val="009204EC"/>
    <w:rsid w:val="00920A23"/>
    <w:rsid w:val="00922CF6"/>
    <w:rsid w:val="009243C3"/>
    <w:rsid w:val="00925CE2"/>
    <w:rsid w:val="00925FD8"/>
    <w:rsid w:val="009270E9"/>
    <w:rsid w:val="00927628"/>
    <w:rsid w:val="009276F8"/>
    <w:rsid w:val="00933E89"/>
    <w:rsid w:val="009364D3"/>
    <w:rsid w:val="00936DF5"/>
    <w:rsid w:val="00940295"/>
    <w:rsid w:val="00941B5E"/>
    <w:rsid w:val="0094259D"/>
    <w:rsid w:val="00942B55"/>
    <w:rsid w:val="0094303F"/>
    <w:rsid w:val="009431A9"/>
    <w:rsid w:val="009434C2"/>
    <w:rsid w:val="009512B9"/>
    <w:rsid w:val="00952B8F"/>
    <w:rsid w:val="00952BEB"/>
    <w:rsid w:val="00952E8E"/>
    <w:rsid w:val="00953E9B"/>
    <w:rsid w:val="00954DD6"/>
    <w:rsid w:val="00955D12"/>
    <w:rsid w:val="0095664B"/>
    <w:rsid w:val="009607B0"/>
    <w:rsid w:val="00961585"/>
    <w:rsid w:val="00961A8D"/>
    <w:rsid w:val="00961D5D"/>
    <w:rsid w:val="00962105"/>
    <w:rsid w:val="00962331"/>
    <w:rsid w:val="0096309C"/>
    <w:rsid w:val="0096371F"/>
    <w:rsid w:val="00964400"/>
    <w:rsid w:val="00964CF0"/>
    <w:rsid w:val="0096523C"/>
    <w:rsid w:val="00965C01"/>
    <w:rsid w:val="00966043"/>
    <w:rsid w:val="0096650D"/>
    <w:rsid w:val="00966BAF"/>
    <w:rsid w:val="00966FED"/>
    <w:rsid w:val="009679F8"/>
    <w:rsid w:val="00970059"/>
    <w:rsid w:val="00970491"/>
    <w:rsid w:val="00970545"/>
    <w:rsid w:val="00972462"/>
    <w:rsid w:val="00972642"/>
    <w:rsid w:val="00973D1D"/>
    <w:rsid w:val="00976CE9"/>
    <w:rsid w:val="00977DF5"/>
    <w:rsid w:val="00977E9D"/>
    <w:rsid w:val="00980FFD"/>
    <w:rsid w:val="0098157C"/>
    <w:rsid w:val="00982296"/>
    <w:rsid w:val="0098261A"/>
    <w:rsid w:val="00982661"/>
    <w:rsid w:val="00985928"/>
    <w:rsid w:val="00986150"/>
    <w:rsid w:val="00986610"/>
    <w:rsid w:val="00986EA6"/>
    <w:rsid w:val="0099180D"/>
    <w:rsid w:val="009950F1"/>
    <w:rsid w:val="009967FD"/>
    <w:rsid w:val="00996990"/>
    <w:rsid w:val="00996A5C"/>
    <w:rsid w:val="00996DA7"/>
    <w:rsid w:val="00997F8F"/>
    <w:rsid w:val="009A1386"/>
    <w:rsid w:val="009A1613"/>
    <w:rsid w:val="009A3489"/>
    <w:rsid w:val="009A38C5"/>
    <w:rsid w:val="009A40BC"/>
    <w:rsid w:val="009A5B20"/>
    <w:rsid w:val="009B02DB"/>
    <w:rsid w:val="009B1469"/>
    <w:rsid w:val="009B2259"/>
    <w:rsid w:val="009B275D"/>
    <w:rsid w:val="009B2C01"/>
    <w:rsid w:val="009B31D1"/>
    <w:rsid w:val="009B33F3"/>
    <w:rsid w:val="009B41E4"/>
    <w:rsid w:val="009B4323"/>
    <w:rsid w:val="009C009D"/>
    <w:rsid w:val="009C00FE"/>
    <w:rsid w:val="009C036B"/>
    <w:rsid w:val="009C1C3D"/>
    <w:rsid w:val="009C1C9A"/>
    <w:rsid w:val="009D01FD"/>
    <w:rsid w:val="009D0B0D"/>
    <w:rsid w:val="009D12E0"/>
    <w:rsid w:val="009D2E12"/>
    <w:rsid w:val="009D3BAF"/>
    <w:rsid w:val="009D4461"/>
    <w:rsid w:val="009D5415"/>
    <w:rsid w:val="009D5C75"/>
    <w:rsid w:val="009D6EE5"/>
    <w:rsid w:val="009E0AB5"/>
    <w:rsid w:val="009E1634"/>
    <w:rsid w:val="009E47FF"/>
    <w:rsid w:val="009E6252"/>
    <w:rsid w:val="009E62A0"/>
    <w:rsid w:val="009E62D4"/>
    <w:rsid w:val="009E7408"/>
    <w:rsid w:val="009E77B6"/>
    <w:rsid w:val="009F0CDA"/>
    <w:rsid w:val="009F1E2D"/>
    <w:rsid w:val="009F1FD8"/>
    <w:rsid w:val="009F279C"/>
    <w:rsid w:val="009F3069"/>
    <w:rsid w:val="009F35DD"/>
    <w:rsid w:val="009F3BE0"/>
    <w:rsid w:val="009F3E87"/>
    <w:rsid w:val="009F5E65"/>
    <w:rsid w:val="009F73C0"/>
    <w:rsid w:val="009F7F88"/>
    <w:rsid w:val="00A01F95"/>
    <w:rsid w:val="00A02603"/>
    <w:rsid w:val="00A02640"/>
    <w:rsid w:val="00A04EBE"/>
    <w:rsid w:val="00A05D94"/>
    <w:rsid w:val="00A05EA5"/>
    <w:rsid w:val="00A06878"/>
    <w:rsid w:val="00A06D29"/>
    <w:rsid w:val="00A06E3E"/>
    <w:rsid w:val="00A07607"/>
    <w:rsid w:val="00A079C2"/>
    <w:rsid w:val="00A1008C"/>
    <w:rsid w:val="00A10A9C"/>
    <w:rsid w:val="00A10C7A"/>
    <w:rsid w:val="00A110E6"/>
    <w:rsid w:val="00A11D16"/>
    <w:rsid w:val="00A1230D"/>
    <w:rsid w:val="00A1322B"/>
    <w:rsid w:val="00A15ACB"/>
    <w:rsid w:val="00A16DE4"/>
    <w:rsid w:val="00A17316"/>
    <w:rsid w:val="00A20A19"/>
    <w:rsid w:val="00A22037"/>
    <w:rsid w:val="00A228E0"/>
    <w:rsid w:val="00A22D5D"/>
    <w:rsid w:val="00A237CB"/>
    <w:rsid w:val="00A23C4C"/>
    <w:rsid w:val="00A251A8"/>
    <w:rsid w:val="00A25A7C"/>
    <w:rsid w:val="00A25AA6"/>
    <w:rsid w:val="00A25E72"/>
    <w:rsid w:val="00A2645B"/>
    <w:rsid w:val="00A26F69"/>
    <w:rsid w:val="00A27313"/>
    <w:rsid w:val="00A301C3"/>
    <w:rsid w:val="00A3174F"/>
    <w:rsid w:val="00A31A51"/>
    <w:rsid w:val="00A31CD4"/>
    <w:rsid w:val="00A32225"/>
    <w:rsid w:val="00A324C6"/>
    <w:rsid w:val="00A32AA3"/>
    <w:rsid w:val="00A34D85"/>
    <w:rsid w:val="00A365A0"/>
    <w:rsid w:val="00A369CC"/>
    <w:rsid w:val="00A415DD"/>
    <w:rsid w:val="00A41B78"/>
    <w:rsid w:val="00A44A0E"/>
    <w:rsid w:val="00A45E43"/>
    <w:rsid w:val="00A46B5A"/>
    <w:rsid w:val="00A478D6"/>
    <w:rsid w:val="00A518B1"/>
    <w:rsid w:val="00A5426A"/>
    <w:rsid w:val="00A54613"/>
    <w:rsid w:val="00A548F4"/>
    <w:rsid w:val="00A55E07"/>
    <w:rsid w:val="00A57206"/>
    <w:rsid w:val="00A60902"/>
    <w:rsid w:val="00A61B8E"/>
    <w:rsid w:val="00A6218A"/>
    <w:rsid w:val="00A6331F"/>
    <w:rsid w:val="00A644B2"/>
    <w:rsid w:val="00A65561"/>
    <w:rsid w:val="00A70370"/>
    <w:rsid w:val="00A70881"/>
    <w:rsid w:val="00A7146D"/>
    <w:rsid w:val="00A72257"/>
    <w:rsid w:val="00A73152"/>
    <w:rsid w:val="00A732DE"/>
    <w:rsid w:val="00A753F5"/>
    <w:rsid w:val="00A755A8"/>
    <w:rsid w:val="00A769F4"/>
    <w:rsid w:val="00A7723C"/>
    <w:rsid w:val="00A77A2D"/>
    <w:rsid w:val="00A805F4"/>
    <w:rsid w:val="00A82C8E"/>
    <w:rsid w:val="00A82D03"/>
    <w:rsid w:val="00A84163"/>
    <w:rsid w:val="00A85941"/>
    <w:rsid w:val="00A85AC9"/>
    <w:rsid w:val="00A86391"/>
    <w:rsid w:val="00A86FA6"/>
    <w:rsid w:val="00A87FE7"/>
    <w:rsid w:val="00A90B5B"/>
    <w:rsid w:val="00A918C2"/>
    <w:rsid w:val="00A9555A"/>
    <w:rsid w:val="00AA1CAE"/>
    <w:rsid w:val="00AA1E34"/>
    <w:rsid w:val="00AA20B4"/>
    <w:rsid w:val="00AA20FA"/>
    <w:rsid w:val="00AA22D1"/>
    <w:rsid w:val="00AA238D"/>
    <w:rsid w:val="00AA4710"/>
    <w:rsid w:val="00AA5B8A"/>
    <w:rsid w:val="00AA7B68"/>
    <w:rsid w:val="00AB0870"/>
    <w:rsid w:val="00AB1258"/>
    <w:rsid w:val="00AB1477"/>
    <w:rsid w:val="00AB1D4C"/>
    <w:rsid w:val="00AB26F5"/>
    <w:rsid w:val="00AB48E2"/>
    <w:rsid w:val="00AB4D2D"/>
    <w:rsid w:val="00AB544B"/>
    <w:rsid w:val="00AB5572"/>
    <w:rsid w:val="00AB5B3A"/>
    <w:rsid w:val="00AB5B8D"/>
    <w:rsid w:val="00AB611A"/>
    <w:rsid w:val="00AB61C2"/>
    <w:rsid w:val="00AB738B"/>
    <w:rsid w:val="00AC2423"/>
    <w:rsid w:val="00AC294D"/>
    <w:rsid w:val="00AC2ADB"/>
    <w:rsid w:val="00AC2FC8"/>
    <w:rsid w:val="00AC350C"/>
    <w:rsid w:val="00AC65FA"/>
    <w:rsid w:val="00AC7036"/>
    <w:rsid w:val="00AC7296"/>
    <w:rsid w:val="00AC7AB7"/>
    <w:rsid w:val="00AD20B6"/>
    <w:rsid w:val="00AD2790"/>
    <w:rsid w:val="00AD5D8A"/>
    <w:rsid w:val="00AD60D0"/>
    <w:rsid w:val="00AD70FF"/>
    <w:rsid w:val="00AD75BA"/>
    <w:rsid w:val="00AD7720"/>
    <w:rsid w:val="00AD7E04"/>
    <w:rsid w:val="00AD7E90"/>
    <w:rsid w:val="00AE02CD"/>
    <w:rsid w:val="00AE03F1"/>
    <w:rsid w:val="00AE051B"/>
    <w:rsid w:val="00AE1F88"/>
    <w:rsid w:val="00AE21E7"/>
    <w:rsid w:val="00AE2A5C"/>
    <w:rsid w:val="00AE2C5D"/>
    <w:rsid w:val="00AE31AA"/>
    <w:rsid w:val="00AE3882"/>
    <w:rsid w:val="00AE447E"/>
    <w:rsid w:val="00AE6508"/>
    <w:rsid w:val="00AE7449"/>
    <w:rsid w:val="00AF00F4"/>
    <w:rsid w:val="00AF4C1E"/>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2F8F"/>
    <w:rsid w:val="00B12FC7"/>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264EB"/>
    <w:rsid w:val="00B317F3"/>
    <w:rsid w:val="00B31A35"/>
    <w:rsid w:val="00B32371"/>
    <w:rsid w:val="00B33859"/>
    <w:rsid w:val="00B33938"/>
    <w:rsid w:val="00B3447A"/>
    <w:rsid w:val="00B349C3"/>
    <w:rsid w:val="00B34DD6"/>
    <w:rsid w:val="00B36913"/>
    <w:rsid w:val="00B37890"/>
    <w:rsid w:val="00B378C9"/>
    <w:rsid w:val="00B40812"/>
    <w:rsid w:val="00B40857"/>
    <w:rsid w:val="00B4198E"/>
    <w:rsid w:val="00B42016"/>
    <w:rsid w:val="00B423CD"/>
    <w:rsid w:val="00B42455"/>
    <w:rsid w:val="00B424B4"/>
    <w:rsid w:val="00B424CD"/>
    <w:rsid w:val="00B42AE4"/>
    <w:rsid w:val="00B438B3"/>
    <w:rsid w:val="00B44E77"/>
    <w:rsid w:val="00B45B3A"/>
    <w:rsid w:val="00B45F49"/>
    <w:rsid w:val="00B4747E"/>
    <w:rsid w:val="00B4768D"/>
    <w:rsid w:val="00B50335"/>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3758"/>
    <w:rsid w:val="00B7413C"/>
    <w:rsid w:val="00B75294"/>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1B92"/>
    <w:rsid w:val="00B94F56"/>
    <w:rsid w:val="00B95500"/>
    <w:rsid w:val="00B95A59"/>
    <w:rsid w:val="00B964D8"/>
    <w:rsid w:val="00B96670"/>
    <w:rsid w:val="00BA09AB"/>
    <w:rsid w:val="00BA1F03"/>
    <w:rsid w:val="00BA2117"/>
    <w:rsid w:val="00BA2BEF"/>
    <w:rsid w:val="00BA5D72"/>
    <w:rsid w:val="00BA602A"/>
    <w:rsid w:val="00BA6612"/>
    <w:rsid w:val="00BB0247"/>
    <w:rsid w:val="00BB1070"/>
    <w:rsid w:val="00BB1230"/>
    <w:rsid w:val="00BB22AB"/>
    <w:rsid w:val="00BB28CD"/>
    <w:rsid w:val="00BB3559"/>
    <w:rsid w:val="00BB564C"/>
    <w:rsid w:val="00BB5B80"/>
    <w:rsid w:val="00BB63B5"/>
    <w:rsid w:val="00BB6673"/>
    <w:rsid w:val="00BB705E"/>
    <w:rsid w:val="00BB7A39"/>
    <w:rsid w:val="00BC2076"/>
    <w:rsid w:val="00BC2EDF"/>
    <w:rsid w:val="00BC41BC"/>
    <w:rsid w:val="00BC4EA8"/>
    <w:rsid w:val="00BC5A75"/>
    <w:rsid w:val="00BC5CB0"/>
    <w:rsid w:val="00BC6AA2"/>
    <w:rsid w:val="00BC6C37"/>
    <w:rsid w:val="00BC7A63"/>
    <w:rsid w:val="00BD1639"/>
    <w:rsid w:val="00BD2326"/>
    <w:rsid w:val="00BD2C9D"/>
    <w:rsid w:val="00BD31E3"/>
    <w:rsid w:val="00BD4467"/>
    <w:rsid w:val="00BD466C"/>
    <w:rsid w:val="00BD48F5"/>
    <w:rsid w:val="00BD5789"/>
    <w:rsid w:val="00BD5E2C"/>
    <w:rsid w:val="00BD7754"/>
    <w:rsid w:val="00BE0965"/>
    <w:rsid w:val="00BE0B23"/>
    <w:rsid w:val="00BE1BFB"/>
    <w:rsid w:val="00BE3EA7"/>
    <w:rsid w:val="00BE3EEF"/>
    <w:rsid w:val="00BE4377"/>
    <w:rsid w:val="00BE503B"/>
    <w:rsid w:val="00BE5BFB"/>
    <w:rsid w:val="00BE5C89"/>
    <w:rsid w:val="00BE603D"/>
    <w:rsid w:val="00BE66F2"/>
    <w:rsid w:val="00BE6940"/>
    <w:rsid w:val="00BE742F"/>
    <w:rsid w:val="00BF032C"/>
    <w:rsid w:val="00BF0569"/>
    <w:rsid w:val="00BF0833"/>
    <w:rsid w:val="00BF1A72"/>
    <w:rsid w:val="00BF4FF4"/>
    <w:rsid w:val="00BF6395"/>
    <w:rsid w:val="00BF6750"/>
    <w:rsid w:val="00BF714A"/>
    <w:rsid w:val="00C00B95"/>
    <w:rsid w:val="00C00F63"/>
    <w:rsid w:val="00C03420"/>
    <w:rsid w:val="00C03E8B"/>
    <w:rsid w:val="00C04162"/>
    <w:rsid w:val="00C0562B"/>
    <w:rsid w:val="00C07263"/>
    <w:rsid w:val="00C10664"/>
    <w:rsid w:val="00C11368"/>
    <w:rsid w:val="00C117D8"/>
    <w:rsid w:val="00C11AEB"/>
    <w:rsid w:val="00C11B40"/>
    <w:rsid w:val="00C12378"/>
    <w:rsid w:val="00C1508A"/>
    <w:rsid w:val="00C159A8"/>
    <w:rsid w:val="00C15C8D"/>
    <w:rsid w:val="00C173A2"/>
    <w:rsid w:val="00C20202"/>
    <w:rsid w:val="00C20974"/>
    <w:rsid w:val="00C22EEC"/>
    <w:rsid w:val="00C2332E"/>
    <w:rsid w:val="00C23CE0"/>
    <w:rsid w:val="00C2429A"/>
    <w:rsid w:val="00C24ADC"/>
    <w:rsid w:val="00C24E0C"/>
    <w:rsid w:val="00C25124"/>
    <w:rsid w:val="00C25671"/>
    <w:rsid w:val="00C256F8"/>
    <w:rsid w:val="00C26CCC"/>
    <w:rsid w:val="00C26DEB"/>
    <w:rsid w:val="00C27C0A"/>
    <w:rsid w:val="00C302A7"/>
    <w:rsid w:val="00C30474"/>
    <w:rsid w:val="00C31E6F"/>
    <w:rsid w:val="00C366F5"/>
    <w:rsid w:val="00C4068D"/>
    <w:rsid w:val="00C41DFA"/>
    <w:rsid w:val="00C4333B"/>
    <w:rsid w:val="00C46354"/>
    <w:rsid w:val="00C46CEA"/>
    <w:rsid w:val="00C5028B"/>
    <w:rsid w:val="00C5296E"/>
    <w:rsid w:val="00C531BA"/>
    <w:rsid w:val="00C566FA"/>
    <w:rsid w:val="00C5674C"/>
    <w:rsid w:val="00C56A78"/>
    <w:rsid w:val="00C56ED7"/>
    <w:rsid w:val="00C56F5F"/>
    <w:rsid w:val="00C575D7"/>
    <w:rsid w:val="00C57846"/>
    <w:rsid w:val="00C602A6"/>
    <w:rsid w:val="00C605CD"/>
    <w:rsid w:val="00C60A07"/>
    <w:rsid w:val="00C61E97"/>
    <w:rsid w:val="00C6221D"/>
    <w:rsid w:val="00C6266D"/>
    <w:rsid w:val="00C6353A"/>
    <w:rsid w:val="00C6496D"/>
    <w:rsid w:val="00C65182"/>
    <w:rsid w:val="00C658D4"/>
    <w:rsid w:val="00C65B9E"/>
    <w:rsid w:val="00C66303"/>
    <w:rsid w:val="00C67AA1"/>
    <w:rsid w:val="00C67C4C"/>
    <w:rsid w:val="00C776AB"/>
    <w:rsid w:val="00C77981"/>
    <w:rsid w:val="00C77A18"/>
    <w:rsid w:val="00C80F37"/>
    <w:rsid w:val="00C810FD"/>
    <w:rsid w:val="00C811EB"/>
    <w:rsid w:val="00C815F2"/>
    <w:rsid w:val="00C8350C"/>
    <w:rsid w:val="00C83DD1"/>
    <w:rsid w:val="00C83E7F"/>
    <w:rsid w:val="00C8419A"/>
    <w:rsid w:val="00C85BB3"/>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35F5"/>
    <w:rsid w:val="00CB447E"/>
    <w:rsid w:val="00CB4488"/>
    <w:rsid w:val="00CB4CD5"/>
    <w:rsid w:val="00CB573B"/>
    <w:rsid w:val="00CB58E4"/>
    <w:rsid w:val="00CB603F"/>
    <w:rsid w:val="00CB6E64"/>
    <w:rsid w:val="00CB78C8"/>
    <w:rsid w:val="00CB7C84"/>
    <w:rsid w:val="00CC02E8"/>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D7EB8"/>
    <w:rsid w:val="00CE19DA"/>
    <w:rsid w:val="00CE1B64"/>
    <w:rsid w:val="00CE35C5"/>
    <w:rsid w:val="00CE3A2D"/>
    <w:rsid w:val="00CE527A"/>
    <w:rsid w:val="00CE7E91"/>
    <w:rsid w:val="00CF130C"/>
    <w:rsid w:val="00CF191E"/>
    <w:rsid w:val="00CF1BA1"/>
    <w:rsid w:val="00CF1DC2"/>
    <w:rsid w:val="00CF55D5"/>
    <w:rsid w:val="00CF56FD"/>
    <w:rsid w:val="00CF5CAC"/>
    <w:rsid w:val="00CF7F8F"/>
    <w:rsid w:val="00D00317"/>
    <w:rsid w:val="00D01307"/>
    <w:rsid w:val="00D033F6"/>
    <w:rsid w:val="00D03677"/>
    <w:rsid w:val="00D04BF3"/>
    <w:rsid w:val="00D04F54"/>
    <w:rsid w:val="00D063E1"/>
    <w:rsid w:val="00D064D7"/>
    <w:rsid w:val="00D0699D"/>
    <w:rsid w:val="00D069D0"/>
    <w:rsid w:val="00D0739C"/>
    <w:rsid w:val="00D079F1"/>
    <w:rsid w:val="00D10386"/>
    <w:rsid w:val="00D1135D"/>
    <w:rsid w:val="00D1157B"/>
    <w:rsid w:val="00D11B5A"/>
    <w:rsid w:val="00D121FF"/>
    <w:rsid w:val="00D14688"/>
    <w:rsid w:val="00D205D2"/>
    <w:rsid w:val="00D21AB4"/>
    <w:rsid w:val="00D22304"/>
    <w:rsid w:val="00D23824"/>
    <w:rsid w:val="00D23C60"/>
    <w:rsid w:val="00D2455C"/>
    <w:rsid w:val="00D24EC5"/>
    <w:rsid w:val="00D2545C"/>
    <w:rsid w:val="00D31853"/>
    <w:rsid w:val="00D33D74"/>
    <w:rsid w:val="00D33F51"/>
    <w:rsid w:val="00D35718"/>
    <w:rsid w:val="00D35B08"/>
    <w:rsid w:val="00D36272"/>
    <w:rsid w:val="00D364CD"/>
    <w:rsid w:val="00D36ED4"/>
    <w:rsid w:val="00D42737"/>
    <w:rsid w:val="00D42C6F"/>
    <w:rsid w:val="00D448D9"/>
    <w:rsid w:val="00D45DA5"/>
    <w:rsid w:val="00D462DC"/>
    <w:rsid w:val="00D46DF4"/>
    <w:rsid w:val="00D47609"/>
    <w:rsid w:val="00D47A7D"/>
    <w:rsid w:val="00D51835"/>
    <w:rsid w:val="00D52F9C"/>
    <w:rsid w:val="00D533BB"/>
    <w:rsid w:val="00D53838"/>
    <w:rsid w:val="00D54FFC"/>
    <w:rsid w:val="00D5609F"/>
    <w:rsid w:val="00D5617D"/>
    <w:rsid w:val="00D6191F"/>
    <w:rsid w:val="00D619C2"/>
    <w:rsid w:val="00D6318E"/>
    <w:rsid w:val="00D6442A"/>
    <w:rsid w:val="00D64516"/>
    <w:rsid w:val="00D649AA"/>
    <w:rsid w:val="00D6553C"/>
    <w:rsid w:val="00D65AF1"/>
    <w:rsid w:val="00D66049"/>
    <w:rsid w:val="00D67006"/>
    <w:rsid w:val="00D6738E"/>
    <w:rsid w:val="00D675D8"/>
    <w:rsid w:val="00D67F17"/>
    <w:rsid w:val="00D71291"/>
    <w:rsid w:val="00D716D2"/>
    <w:rsid w:val="00D717AE"/>
    <w:rsid w:val="00D727A6"/>
    <w:rsid w:val="00D76624"/>
    <w:rsid w:val="00D7721F"/>
    <w:rsid w:val="00D80731"/>
    <w:rsid w:val="00D8258D"/>
    <w:rsid w:val="00D842A9"/>
    <w:rsid w:val="00D847CE"/>
    <w:rsid w:val="00D84BEA"/>
    <w:rsid w:val="00D84D77"/>
    <w:rsid w:val="00D8558A"/>
    <w:rsid w:val="00D85E1C"/>
    <w:rsid w:val="00D873DD"/>
    <w:rsid w:val="00D8762C"/>
    <w:rsid w:val="00D904FC"/>
    <w:rsid w:val="00D90870"/>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47C5"/>
    <w:rsid w:val="00DB5192"/>
    <w:rsid w:val="00DB52A0"/>
    <w:rsid w:val="00DB55ED"/>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2F8B"/>
    <w:rsid w:val="00DD336E"/>
    <w:rsid w:val="00DD33DC"/>
    <w:rsid w:val="00DD39BD"/>
    <w:rsid w:val="00DD4207"/>
    <w:rsid w:val="00DD6303"/>
    <w:rsid w:val="00DD7391"/>
    <w:rsid w:val="00DD7FDB"/>
    <w:rsid w:val="00DE0E0E"/>
    <w:rsid w:val="00DE0F64"/>
    <w:rsid w:val="00DE24ED"/>
    <w:rsid w:val="00DE39A7"/>
    <w:rsid w:val="00DE4011"/>
    <w:rsid w:val="00DE5ABB"/>
    <w:rsid w:val="00DE6863"/>
    <w:rsid w:val="00DE7623"/>
    <w:rsid w:val="00DF023F"/>
    <w:rsid w:val="00DF175C"/>
    <w:rsid w:val="00DF24D7"/>
    <w:rsid w:val="00DF2657"/>
    <w:rsid w:val="00DF5533"/>
    <w:rsid w:val="00DF7280"/>
    <w:rsid w:val="00E00A39"/>
    <w:rsid w:val="00E02541"/>
    <w:rsid w:val="00E03818"/>
    <w:rsid w:val="00E0687A"/>
    <w:rsid w:val="00E06DC9"/>
    <w:rsid w:val="00E06F90"/>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1695"/>
    <w:rsid w:val="00E32F24"/>
    <w:rsid w:val="00E340EE"/>
    <w:rsid w:val="00E34BC2"/>
    <w:rsid w:val="00E36AB7"/>
    <w:rsid w:val="00E37687"/>
    <w:rsid w:val="00E37936"/>
    <w:rsid w:val="00E405EB"/>
    <w:rsid w:val="00E40B08"/>
    <w:rsid w:val="00E43220"/>
    <w:rsid w:val="00E457BB"/>
    <w:rsid w:val="00E45C69"/>
    <w:rsid w:val="00E45E54"/>
    <w:rsid w:val="00E473F2"/>
    <w:rsid w:val="00E47476"/>
    <w:rsid w:val="00E51250"/>
    <w:rsid w:val="00E51926"/>
    <w:rsid w:val="00E524DB"/>
    <w:rsid w:val="00E536D9"/>
    <w:rsid w:val="00E54BB5"/>
    <w:rsid w:val="00E55DC0"/>
    <w:rsid w:val="00E563AF"/>
    <w:rsid w:val="00E61A14"/>
    <w:rsid w:val="00E6279D"/>
    <w:rsid w:val="00E6350A"/>
    <w:rsid w:val="00E63A65"/>
    <w:rsid w:val="00E6539E"/>
    <w:rsid w:val="00E659CA"/>
    <w:rsid w:val="00E675B8"/>
    <w:rsid w:val="00E6789F"/>
    <w:rsid w:val="00E67F49"/>
    <w:rsid w:val="00E7017D"/>
    <w:rsid w:val="00E70DF1"/>
    <w:rsid w:val="00E71B04"/>
    <w:rsid w:val="00E7208F"/>
    <w:rsid w:val="00E72C18"/>
    <w:rsid w:val="00E735C8"/>
    <w:rsid w:val="00E74900"/>
    <w:rsid w:val="00E752C9"/>
    <w:rsid w:val="00E81753"/>
    <w:rsid w:val="00E81B8A"/>
    <w:rsid w:val="00E81FE6"/>
    <w:rsid w:val="00E8280B"/>
    <w:rsid w:val="00E84132"/>
    <w:rsid w:val="00E84993"/>
    <w:rsid w:val="00E862C6"/>
    <w:rsid w:val="00E87D4A"/>
    <w:rsid w:val="00E906BA"/>
    <w:rsid w:val="00E914C0"/>
    <w:rsid w:val="00E9532C"/>
    <w:rsid w:val="00E96078"/>
    <w:rsid w:val="00EA0AE1"/>
    <w:rsid w:val="00EA13A2"/>
    <w:rsid w:val="00EA21D6"/>
    <w:rsid w:val="00EA2A6E"/>
    <w:rsid w:val="00EA31EF"/>
    <w:rsid w:val="00EA383D"/>
    <w:rsid w:val="00EA476F"/>
    <w:rsid w:val="00EA4C04"/>
    <w:rsid w:val="00EA6A86"/>
    <w:rsid w:val="00EB1A99"/>
    <w:rsid w:val="00EB5028"/>
    <w:rsid w:val="00EB7019"/>
    <w:rsid w:val="00EB7467"/>
    <w:rsid w:val="00EB7749"/>
    <w:rsid w:val="00EC03F0"/>
    <w:rsid w:val="00EC0771"/>
    <w:rsid w:val="00EC0F58"/>
    <w:rsid w:val="00EC2259"/>
    <w:rsid w:val="00EC304D"/>
    <w:rsid w:val="00EC3158"/>
    <w:rsid w:val="00EC3C19"/>
    <w:rsid w:val="00EC4578"/>
    <w:rsid w:val="00EC48CE"/>
    <w:rsid w:val="00EC65D8"/>
    <w:rsid w:val="00EC7482"/>
    <w:rsid w:val="00ED07CE"/>
    <w:rsid w:val="00ED1802"/>
    <w:rsid w:val="00ED1F25"/>
    <w:rsid w:val="00ED21D4"/>
    <w:rsid w:val="00ED3138"/>
    <w:rsid w:val="00ED6D82"/>
    <w:rsid w:val="00ED6EC3"/>
    <w:rsid w:val="00ED7323"/>
    <w:rsid w:val="00ED77E5"/>
    <w:rsid w:val="00EE0BCD"/>
    <w:rsid w:val="00EE1AEE"/>
    <w:rsid w:val="00EE2753"/>
    <w:rsid w:val="00EE58AC"/>
    <w:rsid w:val="00EE7A25"/>
    <w:rsid w:val="00EF0889"/>
    <w:rsid w:val="00EF0A5A"/>
    <w:rsid w:val="00EF1404"/>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524"/>
    <w:rsid w:val="00F02FC2"/>
    <w:rsid w:val="00F044A4"/>
    <w:rsid w:val="00F044D8"/>
    <w:rsid w:val="00F04BA2"/>
    <w:rsid w:val="00F0519A"/>
    <w:rsid w:val="00F05F3D"/>
    <w:rsid w:val="00F07FA1"/>
    <w:rsid w:val="00F101B6"/>
    <w:rsid w:val="00F11690"/>
    <w:rsid w:val="00F13342"/>
    <w:rsid w:val="00F1334D"/>
    <w:rsid w:val="00F155E4"/>
    <w:rsid w:val="00F20819"/>
    <w:rsid w:val="00F21014"/>
    <w:rsid w:val="00F23136"/>
    <w:rsid w:val="00F239CF"/>
    <w:rsid w:val="00F23CF8"/>
    <w:rsid w:val="00F240CF"/>
    <w:rsid w:val="00F241B1"/>
    <w:rsid w:val="00F24A60"/>
    <w:rsid w:val="00F2571F"/>
    <w:rsid w:val="00F26BBA"/>
    <w:rsid w:val="00F26D56"/>
    <w:rsid w:val="00F270BA"/>
    <w:rsid w:val="00F304AF"/>
    <w:rsid w:val="00F313F4"/>
    <w:rsid w:val="00F31504"/>
    <w:rsid w:val="00F3229E"/>
    <w:rsid w:val="00F34425"/>
    <w:rsid w:val="00F34F51"/>
    <w:rsid w:val="00F3564E"/>
    <w:rsid w:val="00F364A4"/>
    <w:rsid w:val="00F37C4B"/>
    <w:rsid w:val="00F4180C"/>
    <w:rsid w:val="00F41C71"/>
    <w:rsid w:val="00F42B8F"/>
    <w:rsid w:val="00F43914"/>
    <w:rsid w:val="00F4407F"/>
    <w:rsid w:val="00F44454"/>
    <w:rsid w:val="00F44F35"/>
    <w:rsid w:val="00F45474"/>
    <w:rsid w:val="00F45EA8"/>
    <w:rsid w:val="00F468EA"/>
    <w:rsid w:val="00F5138D"/>
    <w:rsid w:val="00F51F54"/>
    <w:rsid w:val="00F5212B"/>
    <w:rsid w:val="00F5381A"/>
    <w:rsid w:val="00F53EB4"/>
    <w:rsid w:val="00F56086"/>
    <w:rsid w:val="00F56270"/>
    <w:rsid w:val="00F57CD9"/>
    <w:rsid w:val="00F602B6"/>
    <w:rsid w:val="00F60DA6"/>
    <w:rsid w:val="00F60FE4"/>
    <w:rsid w:val="00F613E3"/>
    <w:rsid w:val="00F6222E"/>
    <w:rsid w:val="00F63C65"/>
    <w:rsid w:val="00F63ED3"/>
    <w:rsid w:val="00F63F31"/>
    <w:rsid w:val="00F651EB"/>
    <w:rsid w:val="00F652E4"/>
    <w:rsid w:val="00F65612"/>
    <w:rsid w:val="00F6656D"/>
    <w:rsid w:val="00F66827"/>
    <w:rsid w:val="00F66890"/>
    <w:rsid w:val="00F67526"/>
    <w:rsid w:val="00F70CF1"/>
    <w:rsid w:val="00F732B6"/>
    <w:rsid w:val="00F73683"/>
    <w:rsid w:val="00F73B1C"/>
    <w:rsid w:val="00F73BFD"/>
    <w:rsid w:val="00F74C9E"/>
    <w:rsid w:val="00F75304"/>
    <w:rsid w:val="00F76AFF"/>
    <w:rsid w:val="00F76E93"/>
    <w:rsid w:val="00F80726"/>
    <w:rsid w:val="00F80AB0"/>
    <w:rsid w:val="00F80BE3"/>
    <w:rsid w:val="00F81977"/>
    <w:rsid w:val="00F82ABA"/>
    <w:rsid w:val="00F83739"/>
    <w:rsid w:val="00F84FE3"/>
    <w:rsid w:val="00F87827"/>
    <w:rsid w:val="00F916B1"/>
    <w:rsid w:val="00F92505"/>
    <w:rsid w:val="00F9272B"/>
    <w:rsid w:val="00F93B6E"/>
    <w:rsid w:val="00F94459"/>
    <w:rsid w:val="00F94CB7"/>
    <w:rsid w:val="00F954FA"/>
    <w:rsid w:val="00F96515"/>
    <w:rsid w:val="00F96EFF"/>
    <w:rsid w:val="00FA1D92"/>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B7FC3"/>
    <w:rsid w:val="00FC062A"/>
    <w:rsid w:val="00FC0BD3"/>
    <w:rsid w:val="00FC2117"/>
    <w:rsid w:val="00FC2647"/>
    <w:rsid w:val="00FC3DC2"/>
    <w:rsid w:val="00FC52E1"/>
    <w:rsid w:val="00FC6053"/>
    <w:rsid w:val="00FC662B"/>
    <w:rsid w:val="00FD06DE"/>
    <w:rsid w:val="00FD0DB4"/>
    <w:rsid w:val="00FD14D0"/>
    <w:rsid w:val="00FD2122"/>
    <w:rsid w:val="00FD2358"/>
    <w:rsid w:val="00FD3092"/>
    <w:rsid w:val="00FD5FD6"/>
    <w:rsid w:val="00FE0394"/>
    <w:rsid w:val="00FE1126"/>
    <w:rsid w:val="00FE243E"/>
    <w:rsid w:val="00FE253E"/>
    <w:rsid w:val="00FE5BEF"/>
    <w:rsid w:val="00FE7CCC"/>
    <w:rsid w:val="00FF179D"/>
    <w:rsid w:val="00FF2867"/>
    <w:rsid w:val="00FF293C"/>
    <w:rsid w:val="00FF2A08"/>
    <w:rsid w:val="00FF2DC9"/>
    <w:rsid w:val="00FF3729"/>
    <w:rsid w:val="00FF3BBC"/>
    <w:rsid w:val="00FF4A39"/>
    <w:rsid w:val="00FF5117"/>
    <w:rsid w:val="00FF5122"/>
    <w:rsid w:val="00FF644E"/>
    <w:rsid w:val="00FF772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aliases w:val="2"/>
    <w:basedOn w:val="Normal"/>
    <w:link w:val="ListParagraphChar"/>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143023"/>
    <w:rPr>
      <w:color w:val="605E5C"/>
      <w:shd w:val="clear" w:color="auto" w:fill="E1DFDD"/>
    </w:rPr>
  </w:style>
  <w:style w:type="character" w:customStyle="1" w:styleId="UnresolvedMention3">
    <w:name w:val="Unresolved Mention3"/>
    <w:basedOn w:val="DefaultParagraphFont"/>
    <w:uiPriority w:val="99"/>
    <w:semiHidden/>
    <w:unhideWhenUsed/>
    <w:rsid w:val="00E7208F"/>
    <w:rPr>
      <w:color w:val="605E5C"/>
      <w:shd w:val="clear" w:color="auto" w:fill="E1DFDD"/>
    </w:rPr>
  </w:style>
  <w:style w:type="character" w:customStyle="1" w:styleId="ListParagraphChar">
    <w:name w:val="List Paragraph Char"/>
    <w:aliases w:val="2 Char"/>
    <w:link w:val="ListParagraph"/>
    <w:uiPriority w:val="34"/>
    <w:locked/>
    <w:rsid w:val="00FF293C"/>
  </w:style>
  <w:style w:type="paragraph" w:styleId="BodyText">
    <w:name w:val="Body Text"/>
    <w:basedOn w:val="Normal"/>
    <w:link w:val="BodyTextChar"/>
    <w:rsid w:val="00FE253E"/>
    <w:pPr>
      <w:jc w:val="both"/>
    </w:pPr>
    <w:rPr>
      <w:rFonts w:eastAsia="Times New Roman" w:cs="Times New Roman"/>
      <w:sz w:val="24"/>
      <w:szCs w:val="24"/>
    </w:rPr>
  </w:style>
  <w:style w:type="character" w:customStyle="1" w:styleId="BodyTextChar">
    <w:name w:val="Body Text Char"/>
    <w:basedOn w:val="DefaultParagraphFont"/>
    <w:link w:val="BodyText"/>
    <w:rsid w:val="00FE253E"/>
    <w:rPr>
      <w:rFonts w:eastAsia="Times New Roman" w:cs="Times New Roman"/>
      <w:sz w:val="24"/>
      <w:szCs w:val="24"/>
    </w:rPr>
  </w:style>
  <w:style w:type="paragraph" w:styleId="Revision">
    <w:name w:val="Revision"/>
    <w:hidden/>
    <w:uiPriority w:val="99"/>
    <w:semiHidden/>
    <w:rsid w:val="00A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7360">
      <w:bodyDiv w:val="1"/>
      <w:marLeft w:val="0"/>
      <w:marRight w:val="0"/>
      <w:marTop w:val="0"/>
      <w:marBottom w:val="0"/>
      <w:divBdr>
        <w:top w:val="none" w:sz="0" w:space="0" w:color="auto"/>
        <w:left w:val="none" w:sz="0" w:space="0" w:color="auto"/>
        <w:bottom w:val="none" w:sz="0" w:space="0" w:color="auto"/>
        <w:right w:val="none" w:sz="0" w:space="0" w:color="auto"/>
      </w:divBdr>
    </w:div>
    <w:div w:id="226693380">
      <w:bodyDiv w:val="1"/>
      <w:marLeft w:val="0"/>
      <w:marRight w:val="0"/>
      <w:marTop w:val="0"/>
      <w:marBottom w:val="0"/>
      <w:divBdr>
        <w:top w:val="none" w:sz="0" w:space="0" w:color="auto"/>
        <w:left w:val="none" w:sz="0" w:space="0" w:color="auto"/>
        <w:bottom w:val="none" w:sz="0" w:space="0" w:color="auto"/>
        <w:right w:val="none" w:sz="0" w:space="0" w:color="auto"/>
      </w:divBdr>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 w:id="421151564">
      <w:bodyDiv w:val="1"/>
      <w:marLeft w:val="0"/>
      <w:marRight w:val="0"/>
      <w:marTop w:val="0"/>
      <w:marBottom w:val="0"/>
      <w:divBdr>
        <w:top w:val="none" w:sz="0" w:space="0" w:color="auto"/>
        <w:left w:val="none" w:sz="0" w:space="0" w:color="auto"/>
        <w:bottom w:val="none" w:sz="0" w:space="0" w:color="auto"/>
        <w:right w:val="none" w:sz="0" w:space="0" w:color="auto"/>
      </w:divBdr>
    </w:div>
    <w:div w:id="489754091">
      <w:bodyDiv w:val="1"/>
      <w:marLeft w:val="0"/>
      <w:marRight w:val="0"/>
      <w:marTop w:val="0"/>
      <w:marBottom w:val="0"/>
      <w:divBdr>
        <w:top w:val="none" w:sz="0" w:space="0" w:color="auto"/>
        <w:left w:val="none" w:sz="0" w:space="0" w:color="auto"/>
        <w:bottom w:val="none" w:sz="0" w:space="0" w:color="auto"/>
        <w:right w:val="none" w:sz="0" w:space="0" w:color="auto"/>
      </w:divBdr>
    </w:div>
    <w:div w:id="515844659">
      <w:bodyDiv w:val="1"/>
      <w:marLeft w:val="0"/>
      <w:marRight w:val="0"/>
      <w:marTop w:val="0"/>
      <w:marBottom w:val="0"/>
      <w:divBdr>
        <w:top w:val="none" w:sz="0" w:space="0" w:color="auto"/>
        <w:left w:val="none" w:sz="0" w:space="0" w:color="auto"/>
        <w:bottom w:val="none" w:sz="0" w:space="0" w:color="auto"/>
        <w:right w:val="none" w:sz="0" w:space="0" w:color="auto"/>
      </w:divBdr>
    </w:div>
    <w:div w:id="779031574">
      <w:bodyDiv w:val="1"/>
      <w:marLeft w:val="0"/>
      <w:marRight w:val="0"/>
      <w:marTop w:val="0"/>
      <w:marBottom w:val="0"/>
      <w:divBdr>
        <w:top w:val="none" w:sz="0" w:space="0" w:color="auto"/>
        <w:left w:val="none" w:sz="0" w:space="0" w:color="auto"/>
        <w:bottom w:val="none" w:sz="0" w:space="0" w:color="auto"/>
        <w:right w:val="none" w:sz="0" w:space="0" w:color="auto"/>
      </w:divBdr>
    </w:div>
    <w:div w:id="788167216">
      <w:bodyDiv w:val="1"/>
      <w:marLeft w:val="0"/>
      <w:marRight w:val="0"/>
      <w:marTop w:val="0"/>
      <w:marBottom w:val="0"/>
      <w:divBdr>
        <w:top w:val="none" w:sz="0" w:space="0" w:color="auto"/>
        <w:left w:val="none" w:sz="0" w:space="0" w:color="auto"/>
        <w:bottom w:val="none" w:sz="0" w:space="0" w:color="auto"/>
        <w:right w:val="none" w:sz="0" w:space="0" w:color="auto"/>
      </w:divBdr>
    </w:div>
    <w:div w:id="935862187">
      <w:bodyDiv w:val="1"/>
      <w:marLeft w:val="0"/>
      <w:marRight w:val="0"/>
      <w:marTop w:val="0"/>
      <w:marBottom w:val="0"/>
      <w:divBdr>
        <w:top w:val="none" w:sz="0" w:space="0" w:color="auto"/>
        <w:left w:val="none" w:sz="0" w:space="0" w:color="auto"/>
        <w:bottom w:val="none" w:sz="0" w:space="0" w:color="auto"/>
        <w:right w:val="none" w:sz="0" w:space="0" w:color="auto"/>
      </w:divBdr>
    </w:div>
    <w:div w:id="1058629026">
      <w:bodyDiv w:val="1"/>
      <w:marLeft w:val="0"/>
      <w:marRight w:val="0"/>
      <w:marTop w:val="0"/>
      <w:marBottom w:val="0"/>
      <w:divBdr>
        <w:top w:val="none" w:sz="0" w:space="0" w:color="auto"/>
        <w:left w:val="none" w:sz="0" w:space="0" w:color="auto"/>
        <w:bottom w:val="none" w:sz="0" w:space="0" w:color="auto"/>
        <w:right w:val="none" w:sz="0" w:space="0" w:color="auto"/>
      </w:divBdr>
    </w:div>
    <w:div w:id="1101293889">
      <w:bodyDiv w:val="1"/>
      <w:marLeft w:val="0"/>
      <w:marRight w:val="0"/>
      <w:marTop w:val="0"/>
      <w:marBottom w:val="0"/>
      <w:divBdr>
        <w:top w:val="none" w:sz="0" w:space="0" w:color="auto"/>
        <w:left w:val="none" w:sz="0" w:space="0" w:color="auto"/>
        <w:bottom w:val="none" w:sz="0" w:space="0" w:color="auto"/>
        <w:right w:val="none" w:sz="0" w:space="0" w:color="auto"/>
      </w:divBdr>
    </w:div>
    <w:div w:id="1244875009">
      <w:bodyDiv w:val="1"/>
      <w:marLeft w:val="0"/>
      <w:marRight w:val="0"/>
      <w:marTop w:val="0"/>
      <w:marBottom w:val="0"/>
      <w:divBdr>
        <w:top w:val="none" w:sz="0" w:space="0" w:color="auto"/>
        <w:left w:val="none" w:sz="0" w:space="0" w:color="auto"/>
        <w:bottom w:val="none" w:sz="0" w:space="0" w:color="auto"/>
        <w:right w:val="none" w:sz="0" w:space="0" w:color="auto"/>
      </w:divBdr>
    </w:div>
    <w:div w:id="1315256750">
      <w:bodyDiv w:val="1"/>
      <w:marLeft w:val="0"/>
      <w:marRight w:val="0"/>
      <w:marTop w:val="0"/>
      <w:marBottom w:val="0"/>
      <w:divBdr>
        <w:top w:val="none" w:sz="0" w:space="0" w:color="auto"/>
        <w:left w:val="none" w:sz="0" w:space="0" w:color="auto"/>
        <w:bottom w:val="none" w:sz="0" w:space="0" w:color="auto"/>
        <w:right w:val="none" w:sz="0" w:space="0" w:color="auto"/>
      </w:divBdr>
    </w:div>
    <w:div w:id="17230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8" ma:contentTypeDescription="Izveidot jaunu dokumentu." ma:contentTypeScope="" ma:versionID="5d248411b957e9fd10439394d44c110d">
  <xsd:schema xmlns:xsd="http://www.w3.org/2001/XMLSchema" xmlns:xs="http://www.w3.org/2001/XMLSchema" xmlns:p="http://schemas.microsoft.com/office/2006/metadata/properties" xmlns:ns3="8f51c5f5-4888-45b6-ae89-3ab7f03c8af1" targetNamespace="http://schemas.microsoft.com/office/2006/metadata/properties" ma:root="true" ma:fieldsID="1526dad29d05b307245e370959dbfff9" ns3:_="">
    <xsd:import namespace="8f51c5f5-4888-45b6-ae89-3ab7f03c8a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31117-B519-48FD-B209-467B9F29E48F}">
  <ds:schemaRefs>
    <ds:schemaRef ds:uri="http://schemas.openxmlformats.org/officeDocument/2006/bibliography"/>
  </ds:schemaRefs>
</ds:datastoreItem>
</file>

<file path=customXml/itemProps2.xml><?xml version="1.0" encoding="utf-8"?>
<ds:datastoreItem xmlns:ds="http://schemas.openxmlformats.org/officeDocument/2006/customXml" ds:itemID="{3458D28C-42DE-4920-9FD6-85FB002B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BC277-73D5-4ADD-A6D4-9CD90DE6FC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959F3-7086-467B-9719-19CF5CC96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9139</Words>
  <Characters>5210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creator>Dana.Ziemele-Adricka@sam.gov.lv</dc:creator>
  <dc:description>dana.ziemele-adricka@sam.gov.lv, 67028036</dc:description>
  <cp:lastModifiedBy>Ineta Vula</cp:lastModifiedBy>
  <cp:revision>12</cp:revision>
  <cp:lastPrinted>2020-03-05T09:25:00Z</cp:lastPrinted>
  <dcterms:created xsi:type="dcterms:W3CDTF">2020-08-31T11:52:00Z</dcterms:created>
  <dcterms:modified xsi:type="dcterms:W3CDTF">2020-09-02T08:34:00Z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