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0A83"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4B0A83">
          <w:rPr>
            <w:b/>
            <w:sz w:val="28"/>
            <w:szCs w:val="28"/>
          </w:rPr>
          <w:t>Izziņa</w:t>
        </w:r>
      </w:smartTag>
      <w:r w:rsidRPr="004B0A83">
        <w:rPr>
          <w:b/>
          <w:sz w:val="28"/>
          <w:szCs w:val="28"/>
        </w:rPr>
        <w:t xml:space="preserve"> par atzinumos sniegtajiem iebildumiem</w:t>
      </w:r>
    </w:p>
    <w:p w:rsidRPr="00815F1B" w:rsidR="000A531F" w:rsidP="00815F1B" w:rsidRDefault="000A531F" w14:paraId="458B585A" w14:textId="6A48FA32">
      <w:pPr>
        <w:jc w:val="center"/>
        <w:rPr>
          <w:b/>
          <w:sz w:val="28"/>
        </w:rPr>
      </w:pPr>
      <w:r w:rsidRPr="00F71C64">
        <w:rPr>
          <w:b/>
          <w:sz w:val="28"/>
        </w:rPr>
        <w:t>Min</w:t>
      </w:r>
      <w:r w:rsidR="00705DBC">
        <w:rPr>
          <w:b/>
          <w:sz w:val="28"/>
        </w:rPr>
        <w:t xml:space="preserve">istru kabineta rīkojuma </w:t>
      </w:r>
      <w:r w:rsidRPr="0004107A" w:rsidR="00705DBC">
        <w:rPr>
          <w:b/>
          <w:sz w:val="28"/>
          <w:szCs w:val="28"/>
        </w:rPr>
        <w:t>projektam</w:t>
      </w:r>
      <w:r w:rsidRPr="0004107A" w:rsidR="0004107A">
        <w:rPr>
          <w:b/>
          <w:sz w:val="28"/>
          <w:szCs w:val="28"/>
        </w:rPr>
        <w:t xml:space="preserve"> “Par Rīgas pilsētas pašvaldībai piederošā nekustamā īpašuma Gaviezes ielā 6A, Rīgā, daļas pārņemšanu valsts īpašumā”</w:t>
      </w:r>
      <w:r w:rsidRPr="00F71C64">
        <w:rPr>
          <w:b/>
          <w:sz w:val="28"/>
        </w:rPr>
        <w:t xml:space="preserve"> </w:t>
      </w:r>
      <w:r w:rsidR="00472DBE">
        <w:rPr>
          <w:b/>
          <w:sz w:val="28"/>
          <w:szCs w:val="28"/>
        </w:rPr>
        <w:t>(VSS-</w:t>
      </w:r>
      <w:r w:rsidR="0004107A">
        <w:rPr>
          <w:b/>
          <w:sz w:val="28"/>
          <w:szCs w:val="28"/>
        </w:rPr>
        <w:t>573</w:t>
      </w:r>
      <w:r w:rsidR="00472DBE">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560019" w14:paraId="325B19CA" w14:textId="77777777">
        <w:tc>
          <w:tcPr>
            <w:tcW w:w="648" w:type="dxa"/>
            <w:vAlign w:val="center"/>
          </w:tcPr>
          <w:p w:rsidRPr="00390339" w:rsidR="000A531F" w:rsidP="00560019" w:rsidRDefault="000A531F" w14:paraId="3A493631" w14:textId="77777777">
            <w:pPr>
              <w:jc w:val="center"/>
              <w:rPr>
                <w:sz w:val="20"/>
                <w:szCs w:val="20"/>
              </w:rPr>
            </w:pPr>
            <w:proofErr w:type="spellStart"/>
            <w:r w:rsidRPr="00390339">
              <w:rPr>
                <w:sz w:val="20"/>
                <w:szCs w:val="20"/>
              </w:rPr>
              <w:t>Nr.p.k</w:t>
            </w:r>
            <w:proofErr w:type="spellEnd"/>
            <w:r w:rsidRPr="00390339">
              <w:rPr>
                <w:sz w:val="20"/>
                <w:szCs w:val="20"/>
              </w:rPr>
              <w:t>.</w:t>
            </w:r>
          </w:p>
        </w:tc>
        <w:tc>
          <w:tcPr>
            <w:tcW w:w="1980" w:type="dxa"/>
            <w:vAlign w:val="center"/>
          </w:tcPr>
          <w:p w:rsidRPr="00390339" w:rsidR="000A531F" w:rsidP="00560019" w:rsidRDefault="000A531F" w14:paraId="25B0D616" w14:textId="77777777">
            <w:pPr>
              <w:jc w:val="center"/>
              <w:rPr>
                <w:sz w:val="20"/>
                <w:szCs w:val="20"/>
              </w:rPr>
            </w:pPr>
            <w:r w:rsidRPr="00390339">
              <w:rPr>
                <w:sz w:val="20"/>
                <w:szCs w:val="20"/>
              </w:rPr>
              <w:t>Saskaņošanai nosūtītā projekta redakcija (konkrēta punkta (panta) redakcija)</w:t>
            </w:r>
          </w:p>
        </w:tc>
        <w:tc>
          <w:tcPr>
            <w:tcW w:w="4500" w:type="dxa"/>
            <w:vAlign w:val="center"/>
          </w:tcPr>
          <w:p w:rsidRPr="00390339" w:rsidR="000A531F" w:rsidP="00560019" w:rsidRDefault="000A531F" w14:paraId="0C11CD22" w14:textId="77777777">
            <w:pPr>
              <w:jc w:val="center"/>
              <w:rPr>
                <w:sz w:val="20"/>
                <w:szCs w:val="20"/>
              </w:rPr>
            </w:pPr>
            <w:r w:rsidRPr="00390339">
              <w:rPr>
                <w:sz w:val="20"/>
                <w:szCs w:val="20"/>
              </w:rPr>
              <w:t>Atzinumā norādītais ministrijas (citas institūcijas) iebildums, kā arī saskaņošanā papildus izteiktais iebildums par projekta konkrēto punktu (pantu)</w:t>
            </w:r>
          </w:p>
        </w:tc>
        <w:tc>
          <w:tcPr>
            <w:tcW w:w="3240" w:type="dxa"/>
            <w:vAlign w:val="center"/>
          </w:tcPr>
          <w:p w:rsidRPr="00390339" w:rsidR="000A531F" w:rsidP="00560019" w:rsidRDefault="000A531F" w14:paraId="21F73B3D" w14:textId="77777777">
            <w:pPr>
              <w:jc w:val="center"/>
              <w:rPr>
                <w:sz w:val="20"/>
                <w:szCs w:val="20"/>
              </w:rPr>
            </w:pPr>
            <w:r w:rsidRPr="00390339">
              <w:rPr>
                <w:sz w:val="20"/>
                <w:szCs w:val="20"/>
              </w:rPr>
              <w:t>Atbildīgās ministrijas pamatojums iebilduma noraidījumam</w:t>
            </w:r>
          </w:p>
        </w:tc>
        <w:tc>
          <w:tcPr>
            <w:tcW w:w="1620" w:type="dxa"/>
            <w:vAlign w:val="center"/>
          </w:tcPr>
          <w:p w:rsidRPr="00390339" w:rsidR="000A531F" w:rsidP="00560019" w:rsidRDefault="000A531F" w14:paraId="24A85B3E" w14:textId="77777777">
            <w:pPr>
              <w:jc w:val="center"/>
              <w:rPr>
                <w:sz w:val="20"/>
                <w:szCs w:val="20"/>
              </w:rPr>
            </w:pPr>
            <w:r w:rsidRPr="00390339">
              <w:rPr>
                <w:sz w:val="20"/>
                <w:szCs w:val="20"/>
              </w:rPr>
              <w:t>Atzinuma sniedzēja uzturētais iebildums, ja tas atšķiras no atzinumā norādītā iebilduma pamatojuma</w:t>
            </w:r>
          </w:p>
        </w:tc>
        <w:tc>
          <w:tcPr>
            <w:tcW w:w="2186" w:type="dxa"/>
            <w:vAlign w:val="center"/>
          </w:tcPr>
          <w:p w:rsidRPr="00390339" w:rsidR="000A531F" w:rsidP="00560019" w:rsidRDefault="000A531F" w14:paraId="69C12952" w14:textId="77777777">
            <w:pPr>
              <w:jc w:val="center"/>
              <w:rPr>
                <w:sz w:val="20"/>
                <w:szCs w:val="20"/>
              </w:rPr>
            </w:pPr>
            <w:r w:rsidRPr="00390339">
              <w:rPr>
                <w:sz w:val="20"/>
                <w:szCs w:val="20"/>
              </w:rPr>
              <w:t>Projekta attiecīgā punkta (panta) galīgā redakcija</w:t>
            </w:r>
          </w:p>
        </w:tc>
      </w:tr>
      <w:tr w:rsidRPr="00B945F5" w:rsidR="000A531F" w:rsidTr="00560019" w14:paraId="5ED8EFBD" w14:textId="77777777">
        <w:tc>
          <w:tcPr>
            <w:tcW w:w="648" w:type="dxa"/>
          </w:tcPr>
          <w:p w:rsidR="000A531F" w:rsidP="00560019" w:rsidRDefault="000A531F" w14:paraId="6BF91C8B" w14:textId="77777777">
            <w:pPr>
              <w:jc w:val="center"/>
            </w:pPr>
            <w:r>
              <w:t>1.</w:t>
            </w:r>
          </w:p>
        </w:tc>
        <w:tc>
          <w:tcPr>
            <w:tcW w:w="1980" w:type="dxa"/>
          </w:tcPr>
          <w:p w:rsidR="000A531F" w:rsidP="00560019" w:rsidRDefault="000A531F" w14:paraId="4EC8E93F" w14:textId="77777777">
            <w:pPr>
              <w:jc w:val="center"/>
            </w:pPr>
            <w:r>
              <w:t>2.</w:t>
            </w:r>
          </w:p>
        </w:tc>
        <w:tc>
          <w:tcPr>
            <w:tcW w:w="4500" w:type="dxa"/>
          </w:tcPr>
          <w:p w:rsidR="000A531F" w:rsidP="00560019" w:rsidRDefault="000A531F" w14:paraId="0CA8ED55" w14:textId="77777777">
            <w:pPr>
              <w:jc w:val="center"/>
            </w:pPr>
            <w:r>
              <w:t>3.</w:t>
            </w:r>
          </w:p>
        </w:tc>
        <w:tc>
          <w:tcPr>
            <w:tcW w:w="3240" w:type="dxa"/>
          </w:tcPr>
          <w:p w:rsidR="000A531F" w:rsidP="00560019" w:rsidRDefault="000A531F" w14:paraId="47A58861" w14:textId="77777777">
            <w:pPr>
              <w:jc w:val="center"/>
            </w:pPr>
            <w:r>
              <w:t>4.</w:t>
            </w:r>
          </w:p>
        </w:tc>
        <w:tc>
          <w:tcPr>
            <w:tcW w:w="1620" w:type="dxa"/>
          </w:tcPr>
          <w:p w:rsidR="000A531F" w:rsidP="00560019" w:rsidRDefault="000A531F" w14:paraId="346DDB6A" w14:textId="77777777">
            <w:pPr>
              <w:jc w:val="center"/>
            </w:pPr>
            <w:r>
              <w:t>5.</w:t>
            </w:r>
          </w:p>
        </w:tc>
        <w:tc>
          <w:tcPr>
            <w:tcW w:w="2186" w:type="dxa"/>
          </w:tcPr>
          <w:p w:rsidR="000A531F" w:rsidP="00560019" w:rsidRDefault="000A531F" w14:paraId="758733BE" w14:textId="77777777">
            <w:pPr>
              <w:jc w:val="center"/>
            </w:pPr>
            <w:r>
              <w:t>6.</w:t>
            </w:r>
          </w:p>
        </w:tc>
      </w:tr>
    </w:tbl>
    <w:p w:rsidRPr="0053729A" w:rsidR="000A531F" w:rsidP="00390339" w:rsidRDefault="000A531F" w14:paraId="0C266C57" w14:textId="77777777">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560019" w:rsidRDefault="000A531F" w14:paraId="39170A04" w14:textId="77777777">
            <w:r w:rsidRPr="003A7944">
              <w:t>Datums</w:t>
            </w:r>
          </w:p>
        </w:tc>
        <w:tc>
          <w:tcPr>
            <w:tcW w:w="10507" w:type="dxa"/>
            <w:gridSpan w:val="2"/>
            <w:vAlign w:val="bottom"/>
          </w:tcPr>
          <w:p w:rsidR="00D201AD" w:rsidP="000A531F" w:rsidRDefault="00D201AD" w14:paraId="44D8C74B" w14:textId="42D14FE8">
            <w:r w:rsidRPr="00431ADB">
              <w:t xml:space="preserve">2020.gada </w:t>
            </w:r>
            <w:r w:rsidR="00431ADB">
              <w:t>28</w:t>
            </w:r>
            <w:r w:rsidRPr="00431ADB" w:rsidR="001F03E8">
              <w:t>.j</w:t>
            </w:r>
            <w:r w:rsidRPr="00431ADB" w:rsidR="00472DBE">
              <w:t>ūlij</w:t>
            </w:r>
            <w:r w:rsidR="00431ADB">
              <w:t xml:space="preserve">s </w:t>
            </w:r>
            <w:r w:rsidRPr="00431ADB">
              <w:t>(elektroniskā saskaņošana).</w:t>
            </w:r>
          </w:p>
          <w:p w:rsidRPr="0055501B" w:rsidR="00C00371" w:rsidP="000A531F" w:rsidRDefault="00C00371" w14:paraId="43E80F13" w14:textId="0468C81A">
            <w:pPr>
              <w:rPr>
                <w:highlight w:val="yellow"/>
              </w:rPr>
            </w:pPr>
            <w:r w:rsidRPr="00C00371">
              <w:t>2020.gada 24.augusts (elektroniskā saskaņošana).</w:t>
            </w:r>
          </w:p>
        </w:tc>
      </w:tr>
      <w:tr w:rsidRPr="003A7944" w:rsidR="000A531F" w:rsidTr="00906110" w14:paraId="22190A4E" w14:textId="77777777">
        <w:trPr>
          <w:trHeight w:val="340"/>
        </w:trPr>
        <w:tc>
          <w:tcPr>
            <w:tcW w:w="3663" w:type="dxa"/>
            <w:vMerge w:val="restart"/>
          </w:tcPr>
          <w:p w:rsidRPr="003A7944" w:rsidR="000A531F" w:rsidP="00560019" w:rsidRDefault="000A531F" w14:paraId="17E64ED7" w14:textId="77777777">
            <w:r w:rsidRPr="003A7944">
              <w:t>Saskaņošanas dalībnieki</w:t>
            </w:r>
          </w:p>
        </w:tc>
        <w:tc>
          <w:tcPr>
            <w:tcW w:w="10507" w:type="dxa"/>
            <w:gridSpan w:val="2"/>
            <w:vAlign w:val="bottom"/>
          </w:tcPr>
          <w:p w:rsidRPr="00310E6C" w:rsidR="000A531F" w:rsidP="0072110C" w:rsidRDefault="000A531F" w14:paraId="796B3D3B" w14:textId="77777777">
            <w:pPr>
              <w:ind w:left="72"/>
            </w:pPr>
            <w:r w:rsidRPr="00310E6C">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10E6C" w:rsidR="00FC51C5" w:rsidP="0072110C" w:rsidRDefault="00FC51C5" w14:paraId="4B06BFC0" w14:textId="77777777">
            <w:pPr>
              <w:ind w:left="72"/>
            </w:pPr>
            <w:r w:rsidRPr="00310E6C">
              <w:t>Finanšu ministrija</w:t>
            </w:r>
          </w:p>
        </w:tc>
      </w:tr>
      <w:tr w:rsidRPr="003A7944" w:rsidR="000A531F" w:rsidTr="00906110" w14:paraId="0EEC5C18" w14:textId="77777777">
        <w:trPr>
          <w:trHeight w:val="340"/>
        </w:trPr>
        <w:tc>
          <w:tcPr>
            <w:tcW w:w="3663" w:type="dxa"/>
            <w:vMerge/>
          </w:tcPr>
          <w:p w:rsidRPr="003A7944" w:rsidR="000A531F" w:rsidP="00560019" w:rsidRDefault="000A531F" w14:paraId="0AEBEF60" w14:textId="77777777"/>
        </w:tc>
        <w:tc>
          <w:tcPr>
            <w:tcW w:w="10507" w:type="dxa"/>
            <w:gridSpan w:val="2"/>
            <w:vAlign w:val="bottom"/>
          </w:tcPr>
          <w:p w:rsidRPr="003A7944" w:rsidR="000A531F" w:rsidP="00560019" w:rsidRDefault="0004107A" w14:paraId="184AF6D7" w14:textId="158B206E">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560019" w:rsidRDefault="000A531F" w14:paraId="1C95AADC" w14:textId="77777777"/>
        </w:tc>
        <w:tc>
          <w:tcPr>
            <w:tcW w:w="10507" w:type="dxa"/>
            <w:gridSpan w:val="2"/>
            <w:vAlign w:val="bottom"/>
          </w:tcPr>
          <w:p w:rsidRPr="003A7944" w:rsidR="000A531F" w:rsidP="00560019" w:rsidRDefault="0004107A" w14:paraId="34C87EDB" w14:textId="299D137D">
            <w:pPr>
              <w:ind w:left="72"/>
            </w:pPr>
            <w:r>
              <w:t>Latvijas Pašvaldību savienība</w:t>
            </w:r>
          </w:p>
        </w:tc>
      </w:tr>
      <w:tr w:rsidRPr="003A7944" w:rsidR="000A531F" w:rsidTr="00906110" w14:paraId="50297B32" w14:textId="77777777">
        <w:trPr>
          <w:trHeight w:val="629"/>
        </w:trPr>
        <w:tc>
          <w:tcPr>
            <w:tcW w:w="6132" w:type="dxa"/>
            <w:gridSpan w:val="2"/>
            <w:vAlign w:val="bottom"/>
          </w:tcPr>
          <w:p w:rsidRPr="003A7944" w:rsidR="000A531F" w:rsidP="00560019"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560019" w:rsidR="007F5237" w:rsidP="00D47019" w:rsidRDefault="007F5237" w14:paraId="32D2DBC8" w14:textId="77777777"/>
          <w:p w:rsidR="005C709A" w:rsidP="00D47019" w:rsidRDefault="005C709A" w14:paraId="1459DFB7" w14:textId="6A9A842D">
            <w:pPr>
              <w:rPr>
                <w:lang w:eastAsia="en-US"/>
              </w:rPr>
            </w:pPr>
            <w:r w:rsidRPr="00560019">
              <w:t>Tieslietu ministrija</w:t>
            </w:r>
            <w:r w:rsidRPr="00560019" w:rsidR="00671DB5">
              <w:t>s</w:t>
            </w:r>
          </w:p>
          <w:p w:rsidRPr="00DD195F" w:rsidR="00DD195F" w:rsidP="00D47019" w:rsidRDefault="00DD195F" w14:paraId="11A709A3" w14:textId="3D84DF84"/>
        </w:tc>
      </w:tr>
      <w:tr w:rsidRPr="003A7944" w:rsidR="000A531F" w:rsidTr="00906110" w14:paraId="0DDF6A41" w14:textId="77777777">
        <w:trPr>
          <w:trHeight w:val="80"/>
        </w:trPr>
        <w:tc>
          <w:tcPr>
            <w:tcW w:w="6132" w:type="dxa"/>
            <w:gridSpan w:val="2"/>
            <w:vAlign w:val="bottom"/>
          </w:tcPr>
          <w:p w:rsidRPr="003A7944" w:rsidR="000A531F" w:rsidP="00560019"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560019" w:rsidRDefault="000A531F" w14:paraId="4B68C877" w14:textId="77777777"/>
        </w:tc>
      </w:tr>
    </w:tbl>
    <w:p w:rsidR="00AE76EB" w:rsidP="0004107A" w:rsidRDefault="00AE76EB" w14:paraId="797CA628" w14:textId="77777777">
      <w:pPr>
        <w:pStyle w:val="naisf"/>
        <w:spacing w:before="0" w:after="0"/>
        <w:ind w:firstLine="0"/>
        <w:rPr>
          <w:b/>
          <w:sz w:val="28"/>
          <w:szCs w:val="28"/>
        </w:rPr>
      </w:pPr>
    </w:p>
    <w:p w:rsidR="00C73711" w:rsidP="00390339" w:rsidRDefault="000A531F" w14:paraId="7FB632DB" w14:textId="208716A6">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83" w:type="dxa"/>
        <w:tblLayout w:type="fixed"/>
        <w:tblLook w:val="04A0" w:firstRow="1" w:lastRow="0" w:firstColumn="1" w:lastColumn="0" w:noHBand="0" w:noVBand="1"/>
      </w:tblPr>
      <w:tblGrid>
        <w:gridCol w:w="675"/>
        <w:gridCol w:w="1872"/>
        <w:gridCol w:w="3969"/>
        <w:gridCol w:w="3118"/>
        <w:gridCol w:w="4549"/>
      </w:tblGrid>
      <w:tr w:rsidR="005D403F" w:rsidTr="005D3CB6"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1872" w:type="dxa"/>
          </w:tcPr>
          <w:p w:rsidR="005D403F" w:rsidP="005D403F" w:rsidRDefault="005D403F" w14:paraId="267E306B" w14:textId="77777777">
            <w:pPr>
              <w:pStyle w:val="naisf"/>
              <w:spacing w:before="0" w:after="0"/>
              <w:ind w:firstLine="0"/>
              <w:jc w:val="center"/>
            </w:pPr>
            <w:r w:rsidRPr="00930695">
              <w:t xml:space="preserve">Saskaņošanai nosūtītā projekta </w:t>
            </w:r>
            <w:r w:rsidRPr="00930695">
              <w:lastRenderedPageBreak/>
              <w:t>redakcija (konkrēta punkta (panta) redakcija)</w:t>
            </w:r>
          </w:p>
        </w:tc>
        <w:tc>
          <w:tcPr>
            <w:tcW w:w="3969" w:type="dxa"/>
          </w:tcPr>
          <w:p w:rsidR="005D403F" w:rsidP="005D403F" w:rsidRDefault="005D403F" w14:paraId="52143616" w14:textId="77777777">
            <w:pPr>
              <w:pStyle w:val="naisf"/>
              <w:spacing w:before="0" w:after="0"/>
              <w:ind w:firstLine="0"/>
              <w:jc w:val="center"/>
            </w:pPr>
            <w:r w:rsidRPr="00930695">
              <w:lastRenderedPageBreak/>
              <w:t xml:space="preserve">Atzinumā norādītais ministrijas (citas institūcijas) iebildums, kā arī </w:t>
            </w:r>
            <w:r w:rsidRPr="00930695">
              <w:lastRenderedPageBreak/>
              <w:t>saskaņošanā papildus izteiktais iebildums par projekta konkrēto punktu (pantu)</w:t>
            </w:r>
          </w:p>
        </w:tc>
        <w:tc>
          <w:tcPr>
            <w:tcW w:w="3118" w:type="dxa"/>
          </w:tcPr>
          <w:p w:rsidR="005D403F" w:rsidP="005D403F" w:rsidRDefault="005D403F" w14:paraId="6C6BD330" w14:textId="77777777">
            <w:pPr>
              <w:pStyle w:val="naisf"/>
              <w:spacing w:before="0" w:after="0"/>
              <w:ind w:firstLine="0"/>
              <w:jc w:val="center"/>
            </w:pPr>
            <w:r w:rsidRPr="00930695">
              <w:lastRenderedPageBreak/>
              <w:t xml:space="preserve">Atbildīgās ministrijas norāde par to, ka iebildums ir ņemts </w:t>
            </w:r>
            <w:r w:rsidRPr="00930695">
              <w:lastRenderedPageBreak/>
              <w:t>vērā, vai informācija par saskaņošanā panākto alternatīvo risinājumu</w:t>
            </w:r>
          </w:p>
        </w:tc>
        <w:tc>
          <w:tcPr>
            <w:tcW w:w="4549" w:type="dxa"/>
          </w:tcPr>
          <w:p w:rsidR="005D403F" w:rsidP="005D403F" w:rsidRDefault="005D403F" w14:paraId="7F91D989" w14:textId="77777777">
            <w:pPr>
              <w:pStyle w:val="naisf"/>
              <w:spacing w:before="0" w:after="0"/>
              <w:ind w:firstLine="0"/>
              <w:jc w:val="center"/>
            </w:pPr>
            <w:r w:rsidRPr="00930695">
              <w:lastRenderedPageBreak/>
              <w:t>Projekta attiecīgā punkta (panta) galīgā redakcija</w:t>
            </w:r>
          </w:p>
        </w:tc>
      </w:tr>
      <w:tr w:rsidR="00FB757D" w:rsidTr="002739FD" w14:paraId="0E0879EE" w14:textId="77777777">
        <w:trPr>
          <w:trHeight w:val="379"/>
        </w:trPr>
        <w:tc>
          <w:tcPr>
            <w:tcW w:w="14183" w:type="dxa"/>
            <w:gridSpan w:val="5"/>
            <w:vAlign w:val="center"/>
          </w:tcPr>
          <w:p w:rsidRPr="00671DB5" w:rsidR="00FB757D" w:rsidP="00671DB5" w:rsidRDefault="00FB757D" w14:paraId="421DD887" w14:textId="70561B19">
            <w:pPr>
              <w:jc w:val="center"/>
              <w:rPr>
                <w:highlight w:val="yellow"/>
                <w:lang w:eastAsia="en-US"/>
              </w:rPr>
            </w:pPr>
            <w:r w:rsidRPr="00DD195F">
              <w:rPr>
                <w:b/>
                <w:bCs/>
                <w:lang w:eastAsia="en-US"/>
              </w:rPr>
              <w:t>Tieslietu ministrija</w:t>
            </w:r>
            <w:r w:rsidRPr="00DD195F">
              <w:rPr>
                <w:lang w:eastAsia="en-US"/>
              </w:rPr>
              <w:t xml:space="preserve"> </w:t>
            </w:r>
          </w:p>
        </w:tc>
      </w:tr>
      <w:tr w:rsidR="001914B9" w:rsidTr="005D3CB6" w14:paraId="031ABAFE" w14:textId="77777777">
        <w:tc>
          <w:tcPr>
            <w:tcW w:w="675" w:type="dxa"/>
          </w:tcPr>
          <w:p w:rsidR="001914B9" w:rsidP="005D403F" w:rsidRDefault="00313F64" w14:paraId="45BCAAD6" w14:textId="1DDC29F9">
            <w:pPr>
              <w:pStyle w:val="naisf"/>
              <w:spacing w:before="0" w:after="0"/>
              <w:ind w:firstLine="0"/>
              <w:jc w:val="center"/>
            </w:pPr>
            <w:r>
              <w:t>1</w:t>
            </w:r>
            <w:r w:rsidR="00F63B2E">
              <w:t xml:space="preserve">. </w:t>
            </w:r>
          </w:p>
        </w:tc>
        <w:tc>
          <w:tcPr>
            <w:tcW w:w="1872" w:type="dxa"/>
          </w:tcPr>
          <w:p w:rsidRPr="00BB085E" w:rsidR="00EC74F1" w:rsidP="004021B9" w:rsidRDefault="001D5C47" w14:paraId="71F2A4BD" w14:textId="5E118193">
            <w:pPr>
              <w:jc w:val="both"/>
              <w:rPr>
                <w:szCs w:val="28"/>
              </w:rPr>
            </w:pPr>
            <w:r>
              <w:rPr>
                <w:szCs w:val="28"/>
              </w:rPr>
              <w:t>R</w:t>
            </w:r>
            <w:r w:rsidRPr="001D5C47">
              <w:rPr>
                <w:szCs w:val="28"/>
              </w:rPr>
              <w:t>īkojuma projekta anotācijas I sadaļas 2.punkts</w:t>
            </w:r>
            <w:r>
              <w:rPr>
                <w:szCs w:val="28"/>
              </w:rPr>
              <w:t>.</w:t>
            </w:r>
          </w:p>
        </w:tc>
        <w:tc>
          <w:tcPr>
            <w:tcW w:w="3969" w:type="dxa"/>
          </w:tcPr>
          <w:p w:rsidR="00431ADB" w:rsidP="00431ADB" w:rsidRDefault="00431ADB" w14:paraId="72D08CAB" w14:textId="1EA798F5">
            <w:pPr>
              <w:jc w:val="both"/>
              <w:rPr>
                <w:lang w:eastAsia="en-US"/>
              </w:rPr>
            </w:pPr>
            <w:r w:rsidRPr="00431ADB">
              <w:rPr>
                <w:b/>
                <w:bCs/>
              </w:rPr>
              <w:t>Tieslietu ministrija</w:t>
            </w:r>
            <w:r w:rsidRPr="00560019">
              <w:t xml:space="preserve"> </w:t>
            </w:r>
            <w:r w:rsidR="004B0A83">
              <w:t>(</w:t>
            </w:r>
            <w:r w:rsidRPr="00560019">
              <w:rPr>
                <w:lang w:eastAsia="en-US"/>
              </w:rPr>
              <w:t>2020.gada 2</w:t>
            </w:r>
            <w:r>
              <w:rPr>
                <w:lang w:eastAsia="en-US"/>
              </w:rPr>
              <w:t>2</w:t>
            </w:r>
            <w:r w:rsidRPr="00560019">
              <w:rPr>
                <w:lang w:eastAsia="en-US"/>
              </w:rPr>
              <w:t>.jū</w:t>
            </w:r>
            <w:r>
              <w:rPr>
                <w:lang w:eastAsia="en-US"/>
              </w:rPr>
              <w:t>lija</w:t>
            </w:r>
            <w:r w:rsidRPr="00560019">
              <w:rPr>
                <w:lang w:eastAsia="en-US"/>
              </w:rPr>
              <w:t xml:space="preserve"> atzinums Nr.1-9.1/</w:t>
            </w:r>
            <w:r>
              <w:rPr>
                <w:lang w:eastAsia="en-US"/>
              </w:rPr>
              <w:t>790</w:t>
            </w:r>
            <w:r w:rsidR="004B0A83">
              <w:rPr>
                <w:lang w:eastAsia="en-US"/>
              </w:rPr>
              <w:t>)</w:t>
            </w:r>
          </w:p>
          <w:p w:rsidRPr="00431ADB" w:rsidR="00431ADB" w:rsidP="00431ADB" w:rsidRDefault="00431ADB" w14:paraId="0B2EB7C4" w14:textId="77777777">
            <w:pPr>
              <w:ind w:firstLine="720"/>
              <w:jc w:val="both"/>
            </w:pPr>
            <w:r w:rsidRPr="00431ADB">
              <w:t>Projekta 2.3.apakšpunktā paredzēts noteikt, ka Satiksmes ministrija saskaņā ar Publiskas personas mantas atsavināšanas likuma 42.panta otro daļu nekustamo īpašumu bez atlīdzības nodod Rīgas pilsētas pašvaldībai, ja tas vairs netiek izmantots šā rīkojuma 2.1.apakšpunktā minētās funkcijas nodrošināšanai.</w:t>
            </w:r>
          </w:p>
          <w:p w:rsidRPr="00431ADB" w:rsidR="00431ADB" w:rsidP="00431ADB" w:rsidRDefault="00431ADB" w14:paraId="1A4CA0DD" w14:textId="77777777">
            <w:pPr>
              <w:ind w:firstLine="720"/>
              <w:jc w:val="both"/>
              <w:rPr>
                <w:szCs w:val="28"/>
              </w:rPr>
            </w:pPr>
            <w:r w:rsidRPr="00431ADB">
              <w:rPr>
                <w:szCs w:val="28"/>
              </w:rPr>
              <w:t xml:space="preserve">Ministrija norāda, ka saskaņā ar Dzelzceļa likuma 15.panta otro daļu šā likuma </w:t>
            </w:r>
            <w:hyperlink w:history="1" w:anchor="p6" r:id="rId8">
              <w:r w:rsidRPr="00431ADB">
                <w:rPr>
                  <w:szCs w:val="28"/>
                </w:rPr>
                <w:t>6.pantā</w:t>
              </w:r>
            </w:hyperlink>
            <w:r w:rsidRPr="00431ADB">
              <w:rPr>
                <w:szCs w:val="28"/>
              </w:rPr>
              <w:t xml:space="preserve"> minētais valsts publiskās lietošanas dzelzceļa infrastruktūras pārvaldītājs tam valdījumā nodoto valstij piederošo vai piekrītošo zemi (šā panta pirmā daļa) var nodot lietošanā vai apgrūtināt ar servitūtiem ēku, būvju, virszemes vai pazemes komunikāciju celtniecībai vai citas saimnieciskās darbības veikšanai. Līdz ar to nākotnē var izveidoties situācija, kurā valstij būs apgrūtinoši izpildīt projekta 2.3.apakšpunktā noteikto pienākumu.</w:t>
            </w:r>
          </w:p>
          <w:p w:rsidRPr="00431ADB" w:rsidR="00F63B2E" w:rsidP="00431ADB" w:rsidRDefault="00431ADB" w14:paraId="0E3C08C4" w14:textId="636C5A37">
            <w:pPr>
              <w:ind w:firstLine="720"/>
              <w:jc w:val="both"/>
              <w:rPr>
                <w:rFonts w:ascii="Calibri" w:hAnsi="Calibri" w:cs="Calibri"/>
                <w:color w:val="201F1E"/>
                <w:sz w:val="22"/>
                <w:szCs w:val="22"/>
                <w:shd w:val="clear" w:color="auto" w:fill="FFFFFF"/>
              </w:rPr>
            </w:pPr>
            <w:r w:rsidRPr="00431ADB">
              <w:rPr>
                <w:szCs w:val="28"/>
              </w:rPr>
              <w:lastRenderedPageBreak/>
              <w:t>Ievērojot minēto, ministrija lūdz izvērtēt un papildināt anotāciju ar informāciju par citiem iespējamajiem nekustamā īpašuma atsavināšanas veidiem, kas neuzliktu par pienākumu konkrēta nosacījuma iestāšanās gadījumā nodot to atpakaļ Rīgas pilsētas pašvaldībai un attiecīgi ļautu valstij ar to brīvi rīkoties.</w:t>
            </w:r>
          </w:p>
        </w:tc>
        <w:tc>
          <w:tcPr>
            <w:tcW w:w="3118" w:type="dxa"/>
          </w:tcPr>
          <w:p w:rsidR="0069122A" w:rsidP="004B0A83" w:rsidRDefault="0069122A" w14:paraId="78482406" w14:textId="22816A9B">
            <w:pPr>
              <w:pStyle w:val="naisf"/>
              <w:spacing w:before="0" w:after="0"/>
              <w:ind w:firstLine="0"/>
              <w:jc w:val="center"/>
              <w:rPr>
                <w:rFonts w:eastAsia="Calibri"/>
                <w:b/>
                <w:lang w:eastAsia="en-US"/>
              </w:rPr>
            </w:pPr>
            <w:r>
              <w:rPr>
                <w:rFonts w:eastAsia="Calibri"/>
                <w:b/>
                <w:lang w:eastAsia="en-US"/>
              </w:rPr>
              <w:lastRenderedPageBreak/>
              <w:t>Iebildums ir ņemts vērā.</w:t>
            </w:r>
          </w:p>
          <w:p w:rsidRPr="00CC3B5F" w:rsidR="00CC3B5F" w:rsidP="00CC3B5F" w:rsidRDefault="00CC3B5F" w14:paraId="3247B2CD" w14:textId="0CB797CF">
            <w:pPr>
              <w:pStyle w:val="naisf"/>
              <w:spacing w:before="0" w:after="0"/>
              <w:ind w:firstLine="316"/>
              <w:rPr>
                <w:rFonts w:eastAsia="Calibri"/>
                <w:b/>
                <w:lang w:eastAsia="en-US"/>
              </w:rPr>
            </w:pPr>
          </w:p>
        </w:tc>
        <w:tc>
          <w:tcPr>
            <w:tcW w:w="4549" w:type="dxa"/>
          </w:tcPr>
          <w:p w:rsidRPr="005A37FE" w:rsidR="00431ADB" w:rsidP="00CC3B5F" w:rsidRDefault="004B0A83" w14:paraId="524FEED3" w14:textId="6EC3BD6B">
            <w:pPr>
              <w:pStyle w:val="naisf"/>
              <w:spacing w:before="0" w:after="0"/>
              <w:ind w:firstLine="0"/>
              <w:rPr>
                <w:rFonts w:eastAsia="Calibri"/>
                <w:bCs/>
                <w:lang w:eastAsia="en-US"/>
              </w:rPr>
            </w:pPr>
            <w:r w:rsidRPr="005A37FE">
              <w:rPr>
                <w:rFonts w:eastAsia="Calibri"/>
                <w:bCs/>
                <w:lang w:eastAsia="en-US"/>
              </w:rPr>
              <w:t>P</w:t>
            </w:r>
            <w:r w:rsidRPr="005A37FE">
              <w:rPr>
                <w:rFonts w:eastAsia="Calibri"/>
                <w:bCs/>
                <w:lang w:eastAsia="en-US"/>
              </w:rPr>
              <w:t>apildināt</w:t>
            </w:r>
            <w:r w:rsidRPr="005A37FE">
              <w:rPr>
                <w:rFonts w:eastAsia="Calibri"/>
                <w:bCs/>
                <w:lang w:eastAsia="en-US"/>
              </w:rPr>
              <w:t>s rīkojuma projekta a</w:t>
            </w:r>
            <w:r w:rsidRPr="005A37FE" w:rsidR="00CC3B5F">
              <w:rPr>
                <w:rFonts w:eastAsia="Calibri"/>
                <w:bCs/>
                <w:lang w:eastAsia="en-US"/>
              </w:rPr>
              <w:t>notācijas I sadaļas 2.punkts</w:t>
            </w:r>
            <w:r w:rsidRPr="005A37FE" w:rsidR="005D3CB6">
              <w:rPr>
                <w:rFonts w:eastAsia="Calibri"/>
                <w:bCs/>
                <w:lang w:eastAsia="en-US"/>
              </w:rPr>
              <w:t xml:space="preserve"> (3.lapa)</w:t>
            </w:r>
            <w:r w:rsidRPr="005A37FE">
              <w:rPr>
                <w:rFonts w:eastAsia="Calibri"/>
                <w:bCs/>
                <w:lang w:eastAsia="en-US"/>
              </w:rPr>
              <w:t>:</w:t>
            </w:r>
          </w:p>
          <w:p w:rsidRPr="005A37FE" w:rsidR="005D3CB6" w:rsidP="005D3CB6" w:rsidRDefault="004B0A83" w14:paraId="5BF84D2D" w14:textId="08B77ADE">
            <w:pPr>
              <w:ind w:firstLine="217"/>
              <w:jc w:val="both"/>
              <w:rPr>
                <w:bCs/>
              </w:rPr>
            </w:pPr>
            <w:r w:rsidRPr="005A37FE">
              <w:rPr>
                <w:bCs/>
              </w:rPr>
              <w:t>“</w:t>
            </w:r>
            <w:r w:rsidRPr="005A37FE" w:rsidR="005D3CB6">
              <w:rPr>
                <w:bCs/>
              </w:rPr>
              <w:t>Rīkojuma projekts ir izstrādāts, pamatojoties uz Publiskas personas mantas atsavināšanas likumu. Šā likuma 3.panta otrajā daļā ir noteikts, ka publisku personu mantas atsavināšanas pamatveids ir mantas pārdošana izsolē. Citus mantas atsavināšanas veidus var izmantot tikai šajā likumā paredzētajos gadījumos.</w:t>
            </w:r>
          </w:p>
          <w:p w:rsidRPr="005A37FE" w:rsidR="005D3CB6" w:rsidP="005D3CB6" w:rsidRDefault="005D3CB6" w14:paraId="5FB5AEC8" w14:textId="77777777">
            <w:pPr>
              <w:ind w:firstLine="217"/>
              <w:jc w:val="both"/>
              <w:rPr>
                <w:bCs/>
              </w:rPr>
            </w:pPr>
            <w:r w:rsidRPr="005A37FE">
              <w:rPr>
                <w:bCs/>
              </w:rPr>
              <w:t xml:space="preserve">Tādējādi ir piemērots Publiskas personas mantas atsavināšanas likuma 42.panta otrās daļas regulējums. </w:t>
            </w:r>
          </w:p>
          <w:p w:rsidRPr="005A37FE" w:rsidR="005D3CB6" w:rsidP="005D3CB6" w:rsidRDefault="005D3CB6" w14:paraId="57FF1D06" w14:textId="751089CE">
            <w:pPr>
              <w:ind w:firstLine="217"/>
              <w:jc w:val="both"/>
              <w:rPr>
                <w:bCs/>
              </w:rPr>
            </w:pPr>
            <w:r w:rsidRPr="005A37FE">
              <w:rPr>
                <w:bCs/>
              </w:rPr>
              <w:t>Pēc zemes reformas laikā veiktās zemes īpašuma tiesību sakārtošanas atvasinātas publiskas personas un valsts savstarpējā rīcība ar zemes īpašumiem ir pieļaujama bezatlīdzības nodošanas kārtībā.  Neskatoties uz to, ka Dzelzceļa likuma 15.panta pirmā daļa nosaka, ka zeme valsts publiskās lietošanas dzelzceļa infrastruktūras zemes nodalījuma joslā ir valsts īpašums, zemes īpašuma tiesības starp atvasinātu publisku personu un valsti vairs nav pārskatāmas.</w:t>
            </w:r>
          </w:p>
          <w:p w:rsidRPr="005A37FE" w:rsidR="005D3CB6" w:rsidP="005D3CB6" w:rsidRDefault="005D3CB6" w14:paraId="0F7651A2" w14:textId="455141C5">
            <w:pPr>
              <w:ind w:firstLine="217"/>
              <w:jc w:val="both"/>
              <w:rPr>
                <w:bCs/>
              </w:rPr>
            </w:pPr>
            <w:r w:rsidRPr="005A37FE">
              <w:rPr>
                <w:bCs/>
              </w:rPr>
              <w:t xml:space="preserve">Saistībā ar Rail </w:t>
            </w:r>
            <w:proofErr w:type="spellStart"/>
            <w:r w:rsidRPr="005A37FE">
              <w:rPr>
                <w:bCs/>
              </w:rPr>
              <w:t>Baltica</w:t>
            </w:r>
            <w:proofErr w:type="spellEnd"/>
            <w:r w:rsidRPr="005A37FE">
              <w:rPr>
                <w:bCs/>
              </w:rPr>
              <w:t xml:space="preserve"> projektu ir grozīts Dzelzceļa likuma 15.panta regulējums, kas papildināts ar 2</w:t>
            </w:r>
            <w:r w:rsidRPr="005A37FE" w:rsidR="005A37FE">
              <w:rPr>
                <w:bCs/>
              </w:rPr>
              <w:t>.</w:t>
            </w:r>
            <w:r w:rsidRPr="005A37FE">
              <w:rPr>
                <w:bCs/>
                <w:vertAlign w:val="superscript"/>
              </w:rPr>
              <w:t>2</w:t>
            </w:r>
            <w:r w:rsidRPr="005A37FE">
              <w:rPr>
                <w:bCs/>
              </w:rPr>
              <w:t xml:space="preserve"> daļu</w:t>
            </w:r>
            <w:r w:rsidRPr="005A37FE" w:rsidR="005A37FE">
              <w:rPr>
                <w:bCs/>
              </w:rPr>
              <w:t>, proti, j</w:t>
            </w:r>
            <w:r w:rsidRPr="005A37FE">
              <w:rPr>
                <w:bCs/>
              </w:rPr>
              <w:t xml:space="preserve">a valstij </w:t>
            </w:r>
            <w:r w:rsidRPr="005A37FE">
              <w:rPr>
                <w:bCs/>
              </w:rPr>
              <w:lastRenderedPageBreak/>
              <w:t xml:space="preserve">piederošā vai piekrītošā zeme un uz tās esošās ēkas (būves) vai citai publiskai personai, valsts kapitālsabiedrībai vai valsts izšķirošā ietekmē esošai kapitālsabiedrībai piederošā zeme un uz tās esošās ēkas (būves) ir nepieciešamas valstij piederošas publiskās lietošanas dzelzceļa infrastruktūras būvniecībai, uz šo īpašumu pastāv lietošanas tiesību aprobežojums.  </w:t>
            </w:r>
          </w:p>
          <w:p w:rsidRPr="005A37FE" w:rsidR="00EC74F1" w:rsidP="005D3CB6" w:rsidRDefault="005D3CB6" w14:paraId="24AFB0B4" w14:textId="63791BA3">
            <w:pPr>
              <w:ind w:firstLine="217"/>
              <w:jc w:val="both"/>
              <w:rPr>
                <w:bCs/>
              </w:rPr>
            </w:pPr>
            <w:r w:rsidRPr="005A37FE">
              <w:rPr>
                <w:bCs/>
              </w:rPr>
              <w:t xml:space="preserve">Līdz ar to atsevišķos gadījumos </w:t>
            </w:r>
            <w:r w:rsidRPr="005A37FE" w:rsidR="005448A1">
              <w:rPr>
                <w:bCs/>
              </w:rPr>
              <w:t xml:space="preserve">Rail </w:t>
            </w:r>
            <w:proofErr w:type="spellStart"/>
            <w:r w:rsidRPr="005A37FE" w:rsidR="005448A1">
              <w:rPr>
                <w:bCs/>
              </w:rPr>
              <w:t>Baltica</w:t>
            </w:r>
            <w:proofErr w:type="spellEnd"/>
            <w:r w:rsidRPr="005A37FE" w:rsidR="005448A1">
              <w:rPr>
                <w:bCs/>
              </w:rPr>
              <w:t xml:space="preserve"> projekta īstenošana uz atvasinātas publiskas personas zemes </w:t>
            </w:r>
            <w:r w:rsidRPr="005A37FE">
              <w:rPr>
                <w:bCs/>
              </w:rPr>
              <w:t>būs iespējama, pamatojoties uz lietošanas tiesību aprobežojumu.</w:t>
            </w:r>
            <w:r w:rsidRPr="005A37FE" w:rsidR="001D5C47">
              <w:rPr>
                <w:bCs/>
              </w:rPr>
              <w:t>”</w:t>
            </w:r>
            <w:r w:rsidRPr="005A37FE">
              <w:rPr>
                <w:bCs/>
              </w:rPr>
              <w:t xml:space="preserve"> </w:t>
            </w:r>
            <w:r w:rsidRPr="005A37FE" w:rsidR="005448A1">
              <w:rPr>
                <w:bCs/>
              </w:rPr>
              <w:t xml:space="preserve"> </w:t>
            </w:r>
          </w:p>
        </w:tc>
      </w:tr>
      <w:tr w:rsidR="009F579B" w:rsidTr="005D3CB6" w14:paraId="039EB843" w14:textId="77777777">
        <w:tc>
          <w:tcPr>
            <w:tcW w:w="675" w:type="dxa"/>
          </w:tcPr>
          <w:p w:rsidR="009F579B" w:rsidP="005D403F" w:rsidRDefault="00C00371" w14:paraId="36E875BD" w14:textId="55B869A2">
            <w:pPr>
              <w:pStyle w:val="naisf"/>
              <w:spacing w:before="0" w:after="0"/>
              <w:ind w:firstLine="0"/>
              <w:jc w:val="center"/>
            </w:pPr>
            <w:r>
              <w:lastRenderedPageBreak/>
              <w:t>2.</w:t>
            </w:r>
          </w:p>
        </w:tc>
        <w:tc>
          <w:tcPr>
            <w:tcW w:w="1872" w:type="dxa"/>
          </w:tcPr>
          <w:p w:rsidRPr="00BB085E" w:rsidR="009F579B" w:rsidP="004021B9" w:rsidRDefault="00DF743C" w14:paraId="0EF99A05" w14:textId="71E72BA6">
            <w:pPr>
              <w:jc w:val="both"/>
              <w:rPr>
                <w:szCs w:val="28"/>
              </w:rPr>
            </w:pPr>
            <w:r w:rsidRPr="00DF743C">
              <w:rPr>
                <w:szCs w:val="28"/>
              </w:rPr>
              <w:t>Rīkojuma projekta anotācijas I sadaļas 2.punkts.</w:t>
            </w:r>
          </w:p>
        </w:tc>
        <w:tc>
          <w:tcPr>
            <w:tcW w:w="3969" w:type="dxa"/>
          </w:tcPr>
          <w:p w:rsidRPr="00DF743C" w:rsidR="009F579B" w:rsidP="009F579B" w:rsidRDefault="009F579B" w14:paraId="5656094D" w14:textId="4060F4D7">
            <w:pPr>
              <w:jc w:val="both"/>
              <w:rPr>
                <w:rFonts w:eastAsia="Calibri"/>
                <w:color w:val="201F1E"/>
                <w:shd w:val="clear" w:color="auto" w:fill="FFFFFF"/>
              </w:rPr>
            </w:pPr>
            <w:r w:rsidRPr="00DF743C">
              <w:rPr>
                <w:rFonts w:eastAsia="Calibri"/>
                <w:b/>
                <w:bCs/>
                <w:color w:val="201F1E"/>
                <w:shd w:val="clear" w:color="auto" w:fill="FFFFFF"/>
              </w:rPr>
              <w:t>Tieslietu ministrija</w:t>
            </w:r>
            <w:r w:rsidRPr="00DF743C">
              <w:rPr>
                <w:rFonts w:eastAsia="Calibri"/>
                <w:color w:val="201F1E"/>
                <w:shd w:val="clear" w:color="auto" w:fill="FFFFFF"/>
              </w:rPr>
              <w:t xml:space="preserve"> </w:t>
            </w:r>
            <w:r w:rsidRPr="00DF743C" w:rsidR="00DF743C">
              <w:rPr>
                <w:rFonts w:eastAsia="Calibri"/>
                <w:color w:val="201F1E"/>
                <w:shd w:val="clear" w:color="auto" w:fill="FFFFFF"/>
              </w:rPr>
              <w:t xml:space="preserve">(2020.gada </w:t>
            </w:r>
            <w:r w:rsidRPr="00DF743C">
              <w:rPr>
                <w:rFonts w:eastAsia="Calibri"/>
                <w:color w:val="201F1E"/>
                <w:shd w:val="clear" w:color="auto" w:fill="FFFFFF"/>
              </w:rPr>
              <w:t xml:space="preserve">4.augusta e-pasta </w:t>
            </w:r>
            <w:r w:rsidRPr="00DF743C" w:rsidR="00DF743C">
              <w:rPr>
                <w:rFonts w:eastAsia="Calibri"/>
                <w:color w:val="201F1E"/>
                <w:shd w:val="clear" w:color="auto" w:fill="FFFFFF"/>
              </w:rPr>
              <w:t>ziņojums)</w:t>
            </w:r>
          </w:p>
          <w:p w:rsidRPr="00DF743C" w:rsidR="009F579B" w:rsidP="009F579B" w:rsidRDefault="009F579B" w14:paraId="2199D197" w14:textId="05598528">
            <w:pPr>
              <w:ind w:firstLine="720"/>
              <w:jc w:val="both"/>
              <w:rPr>
                <w:rFonts w:eastAsia="Calibri"/>
                <w:color w:val="000000"/>
                <w:shd w:val="clear" w:color="auto" w:fill="FFFFFF"/>
              </w:rPr>
            </w:pPr>
            <w:r w:rsidRPr="00DF743C">
              <w:rPr>
                <w:rFonts w:eastAsia="Calibri"/>
                <w:color w:val="201F1E"/>
                <w:shd w:val="clear" w:color="auto" w:fill="FFFFFF"/>
              </w:rPr>
              <w:t xml:space="preserve">Saskaņā ar Dzelzceļa likuma 15.panta otro daļu šā likuma </w:t>
            </w:r>
            <w:hyperlink w:history="1" w:anchor="p6" r:id="rId9">
              <w:r w:rsidRPr="00DF743C">
                <w:rPr>
                  <w:rFonts w:eastAsia="Calibri"/>
                  <w:color w:val="201F1E"/>
                  <w:u w:val="single"/>
                  <w:shd w:val="clear" w:color="auto" w:fill="FFFFFF"/>
                </w:rPr>
                <w:t>6.pantā</w:t>
              </w:r>
            </w:hyperlink>
            <w:r w:rsidRPr="00DF743C">
              <w:rPr>
                <w:rFonts w:eastAsia="Calibri"/>
                <w:color w:val="201F1E"/>
                <w:shd w:val="clear" w:color="auto" w:fill="FFFFFF"/>
              </w:rPr>
              <w:t xml:space="preserve"> minētais valsts publiskās lietošanas dzelzceļa infrastruktūras pārvaldītājs tam valdījumā nodoto valstij piederošo vai piekrītošo zemi (šā panta pirmā daļa) var nodot lietošanā vai apgrūtināt ar servitūtiem ēku, būvju, virszemes vai pazemes komunikāciju celtniecībai vai citas saimnieciskās darbības veikšanai. Līdz ar to nākotnē var izveidoties situācija, kurā valstij būs apgrūtinoši izpildīt projekta 2.3.apakšpunktā noteikto pienākumu.</w:t>
            </w:r>
          </w:p>
          <w:p w:rsidRPr="00DF743C" w:rsidR="009F579B" w:rsidP="009F579B" w:rsidRDefault="009F579B" w14:paraId="250A48FA" w14:textId="77777777">
            <w:pPr>
              <w:ind w:firstLine="720"/>
              <w:jc w:val="both"/>
              <w:rPr>
                <w:rFonts w:eastAsia="Calibri"/>
                <w:color w:val="000000"/>
                <w:shd w:val="clear" w:color="auto" w:fill="FFFFFF"/>
              </w:rPr>
            </w:pPr>
            <w:r w:rsidRPr="00DF743C">
              <w:rPr>
                <w:rFonts w:eastAsia="Calibri"/>
                <w:color w:val="201F1E"/>
                <w:shd w:val="clear" w:color="auto" w:fill="FFFFFF"/>
              </w:rPr>
              <w:t>Ministrija arī norāda, k</w:t>
            </w:r>
            <w:r w:rsidRPr="00DF743C">
              <w:rPr>
                <w:rFonts w:eastAsia="Calibri"/>
              </w:rPr>
              <w:t xml:space="preserve">a izziņā par atzinumos izteiktajiem </w:t>
            </w:r>
            <w:r w:rsidRPr="00DF743C">
              <w:rPr>
                <w:rFonts w:eastAsia="Calibri"/>
              </w:rPr>
              <w:lastRenderedPageBreak/>
              <w:t>iebildumiem Satiksmes ministrijas norādītā Dzelzceļa likuma 15.panta 2.</w:t>
            </w:r>
            <w:r w:rsidRPr="00DF743C">
              <w:rPr>
                <w:rFonts w:eastAsia="Calibri"/>
                <w:vertAlign w:val="superscript"/>
              </w:rPr>
              <w:t>2 </w:t>
            </w:r>
            <w:r w:rsidRPr="00DF743C">
              <w:rPr>
                <w:rFonts w:eastAsia="Calibri"/>
              </w:rPr>
              <w:t>daļa nerisina minēto problēmu.</w:t>
            </w:r>
          </w:p>
          <w:p w:rsidRPr="009F579B" w:rsidR="009F579B" w:rsidP="009F579B" w:rsidRDefault="009F579B" w14:paraId="18967ACD" w14:textId="6F32A7BA">
            <w:pPr>
              <w:ind w:firstLine="720"/>
              <w:jc w:val="both"/>
              <w:rPr>
                <w:rFonts w:eastAsia="Calibri"/>
                <w:color w:val="000000"/>
                <w:shd w:val="clear" w:color="auto" w:fill="FFFFFF"/>
              </w:rPr>
            </w:pPr>
            <w:r w:rsidRPr="00DF743C">
              <w:rPr>
                <w:rFonts w:eastAsia="Calibri"/>
                <w:color w:val="201F1E"/>
                <w:shd w:val="clear" w:color="auto" w:fill="FFFFFF"/>
              </w:rPr>
              <w:t>Ievērojot minēto, ministrija lūdz izvērtēt un papildināt anotāciju ar informāciju par citiem iespējamajiem nekustamā īpašuma atsavināšanas veidiem, kas neuzliktu par pienākumu konkrēta nosacījuma iestāšanās gadījumā nodot to atpakaļ Rīgas pilsētas pašvaldībai un attiecīgi ļautu valstij ar to brīvi rīkoties.</w:t>
            </w:r>
            <w:r w:rsidRPr="009F579B">
              <w:rPr>
                <w:rFonts w:ascii="Calibri" w:hAnsi="Calibri" w:eastAsia="Calibri" w:cs="Calibri"/>
                <w:sz w:val="22"/>
                <w:szCs w:val="22"/>
              </w:rPr>
              <w:t> </w:t>
            </w:r>
          </w:p>
        </w:tc>
        <w:tc>
          <w:tcPr>
            <w:tcW w:w="3118" w:type="dxa"/>
          </w:tcPr>
          <w:p w:rsidRPr="00AD6581" w:rsidR="009F579B" w:rsidP="00621D32" w:rsidRDefault="00AD6581" w14:paraId="5FF1BACD" w14:textId="4403E4B6">
            <w:pPr>
              <w:pStyle w:val="naisf"/>
              <w:spacing w:before="0" w:after="0"/>
              <w:ind w:firstLine="0"/>
              <w:jc w:val="center"/>
              <w:rPr>
                <w:rFonts w:eastAsia="Calibri"/>
                <w:bCs/>
                <w:lang w:eastAsia="en-US"/>
              </w:rPr>
            </w:pPr>
            <w:r>
              <w:rPr>
                <w:rFonts w:eastAsia="Calibri"/>
                <w:b/>
                <w:lang w:eastAsia="en-US"/>
              </w:rPr>
              <w:lastRenderedPageBreak/>
              <w:t>Iebildums ņemts vērā.</w:t>
            </w:r>
          </w:p>
        </w:tc>
        <w:tc>
          <w:tcPr>
            <w:tcW w:w="4549" w:type="dxa"/>
          </w:tcPr>
          <w:p w:rsidR="00DF743C" w:rsidP="008102C1" w:rsidRDefault="00DF743C" w14:paraId="09CC1EE5" w14:textId="77777777">
            <w:pPr>
              <w:ind w:firstLine="217"/>
              <w:jc w:val="both"/>
              <w:rPr>
                <w:bCs/>
              </w:rPr>
            </w:pPr>
            <w:r w:rsidRPr="00DF743C">
              <w:rPr>
                <w:bCs/>
              </w:rPr>
              <w:t>Papildināts rīkojuma projekta anotācijas I sadaļas 2.punkts</w:t>
            </w:r>
            <w:r>
              <w:rPr>
                <w:bCs/>
              </w:rPr>
              <w:t>:</w:t>
            </w:r>
          </w:p>
          <w:p w:rsidRPr="001D5C47" w:rsidR="008102C1" w:rsidP="008102C1" w:rsidRDefault="00DF743C" w14:paraId="438F423E" w14:textId="7DD3F99A">
            <w:pPr>
              <w:ind w:firstLine="217"/>
              <w:jc w:val="both"/>
              <w:rPr>
                <w:bCs/>
              </w:rPr>
            </w:pPr>
            <w:r>
              <w:rPr>
                <w:bCs/>
              </w:rPr>
              <w:t>“</w:t>
            </w:r>
            <w:r w:rsidRPr="001D5C47" w:rsidR="008102C1">
              <w:rPr>
                <w:bCs/>
              </w:rPr>
              <w:t>Satiksmes ministrija ir izvērtējusi arī iespēju veikt nekustamo īpašumu maiņas darījumu ar Rīgas pilsētas pašvaldību un konstatējusi, ka tai nav maiņas darījumam piemērotu nekustamo īpašumu.</w:t>
            </w:r>
            <w:r>
              <w:rPr>
                <w:bCs/>
              </w:rPr>
              <w:t>”</w:t>
            </w:r>
          </w:p>
          <w:p w:rsidRPr="001D5C47" w:rsidR="009F579B" w:rsidP="00CC3B5F" w:rsidRDefault="009F579B" w14:paraId="57982A61" w14:textId="77777777">
            <w:pPr>
              <w:pStyle w:val="naisf"/>
              <w:spacing w:before="0" w:after="0"/>
              <w:ind w:firstLine="0"/>
              <w:rPr>
                <w:rFonts w:eastAsia="Calibri"/>
                <w:bCs/>
                <w:lang w:eastAsia="en-US"/>
              </w:rPr>
            </w:pPr>
          </w:p>
        </w:tc>
      </w:tr>
    </w:tbl>
    <w:p w:rsidR="00A53FF0" w:rsidP="000A531F" w:rsidRDefault="00A53FF0" w14:paraId="0863A114" w14:textId="67610C33">
      <w:pPr>
        <w:jc w:val="both"/>
      </w:pPr>
    </w:p>
    <w:p w:rsidR="00D24FD5" w:rsidP="000A531F" w:rsidRDefault="00D24FD5" w14:paraId="111DE5D5" w14:textId="77777777">
      <w:pPr>
        <w:jc w:val="both"/>
      </w:pPr>
    </w:p>
    <w:p w:rsidRPr="00EA0FF1" w:rsidR="000A531F" w:rsidP="000A531F" w:rsidRDefault="000A531F" w14:paraId="53C4EB95" w14:textId="6547A3CB">
      <w:pPr>
        <w:jc w:val="both"/>
      </w:pPr>
      <w:r w:rsidRPr="00EA0FF1">
        <w:t>Atbildīgā amatpersona __________________________________________</w:t>
      </w:r>
    </w:p>
    <w:p w:rsidRPr="001F03E8" w:rsidR="000A531F" w:rsidP="000A531F" w:rsidRDefault="001B0C1E" w14:paraId="448E9A74" w14:textId="77777777">
      <w:pPr>
        <w:jc w:val="both"/>
      </w:pPr>
      <w:r w:rsidRPr="001F03E8">
        <w:t>Sandra Siliņa</w:t>
      </w:r>
      <w:r w:rsidRPr="001F03E8" w:rsidR="000A531F">
        <w:t>, Satiksmes ministrijas Juridiskā departamenta</w:t>
      </w:r>
    </w:p>
    <w:p w:rsidRPr="001F03E8" w:rsidR="000A531F" w:rsidP="000A531F" w:rsidRDefault="000A531F" w14:paraId="2DC8407D" w14:textId="77777777">
      <w:pPr>
        <w:jc w:val="both"/>
      </w:pPr>
      <w:r w:rsidRPr="001F03E8">
        <w:t>Nekustamo īpašumu nodaļas vecākā referente</w:t>
      </w:r>
    </w:p>
    <w:p w:rsidR="005F3723" w:rsidP="00390339" w:rsidRDefault="001B0C1E" w14:paraId="2D2820F1" w14:textId="01DD5053">
      <w:pPr>
        <w:jc w:val="both"/>
      </w:pPr>
      <w:r w:rsidRPr="001F03E8">
        <w:t>Tālr.67028031</w:t>
      </w:r>
      <w:r w:rsidRPr="001F03E8" w:rsidR="000A531F">
        <w:t xml:space="preserve">, e-pasts: </w:t>
      </w:r>
      <w:r w:rsidRPr="001F03E8">
        <w:t>sandra.silina</w:t>
      </w:r>
      <w:r w:rsidRPr="001F03E8" w:rsidR="000A531F">
        <w:t>@sam.gov.lv</w:t>
      </w:r>
      <w:r w:rsidRPr="00EA0FF1" w:rsidR="000A531F">
        <w:t xml:space="preserve"> </w:t>
      </w:r>
    </w:p>
    <w:p w:rsidR="00163E4A" w:rsidP="00390339" w:rsidRDefault="00163E4A" w14:paraId="225F3CD9" w14:textId="3AAE0942">
      <w:pPr>
        <w:jc w:val="both"/>
      </w:pPr>
    </w:p>
    <w:p w:rsidR="00163E4A" w:rsidP="00390339" w:rsidRDefault="00163E4A" w14:paraId="41A5EAD7" w14:textId="49370A57">
      <w:pPr>
        <w:jc w:val="both"/>
      </w:pPr>
      <w:r>
        <w:t>Dace Pelne, SIA “Eiropas dzelzceļa līnijas” Projektu ieviešanas un vadības departamenta</w:t>
      </w:r>
    </w:p>
    <w:p w:rsidR="00163E4A" w:rsidP="00390339" w:rsidRDefault="00163E4A" w14:paraId="5F947AE1" w14:textId="5CAD5DAD">
      <w:pPr>
        <w:jc w:val="both"/>
      </w:pPr>
      <w:r>
        <w:t>Nekustamā īpašuma speciāliste</w:t>
      </w:r>
    </w:p>
    <w:p w:rsidR="00163E4A" w:rsidP="00390339" w:rsidRDefault="00163E4A" w14:paraId="6706E5C8" w14:textId="36AD29E5">
      <w:pPr>
        <w:jc w:val="both"/>
      </w:pPr>
      <w:r>
        <w:t>Tālr. 68806209, e-pasts: dace.pelne@edzl.lv</w:t>
      </w:r>
    </w:p>
    <w:sectPr w:rsidR="00163E4A" w:rsidSect="00560019">
      <w:headerReference w:type="even" r:id="rId10"/>
      <w:headerReference w:type="default" r:id="rId11"/>
      <w:footerReference w:type="default" r:id="rId12"/>
      <w:footerReference w:type="first" r:id="rId13"/>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6D07B" w14:textId="77777777" w:rsidR="00CE36C6" w:rsidRDefault="00CE36C6" w:rsidP="000A531F">
      <w:r>
        <w:separator/>
      </w:r>
    </w:p>
  </w:endnote>
  <w:endnote w:type="continuationSeparator" w:id="0">
    <w:p w14:paraId="08D286D1" w14:textId="77777777" w:rsidR="00CE36C6" w:rsidRDefault="00CE36C6"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610AB938" w:rsidR="00560019" w:rsidRPr="00FC51C5" w:rsidRDefault="00560019" w:rsidP="00FC51C5">
    <w:pPr>
      <w:jc w:val="both"/>
      <w:rPr>
        <w:bCs/>
        <w:sz w:val="20"/>
        <w:szCs w:val="20"/>
        <w:lang w:eastAsia="ko-KR"/>
      </w:rPr>
    </w:pPr>
    <w:r w:rsidRPr="00472DBE">
      <w:rPr>
        <w:sz w:val="20"/>
        <w:szCs w:val="20"/>
      </w:rPr>
      <w:t>SMizz_</w:t>
    </w:r>
    <w:r w:rsidR="00472DBE" w:rsidRPr="00472DBE">
      <w:rPr>
        <w:sz w:val="20"/>
        <w:szCs w:val="20"/>
      </w:rPr>
      <w:t>2</w:t>
    </w:r>
    <w:r w:rsidR="0004107A">
      <w:rPr>
        <w:sz w:val="20"/>
        <w:szCs w:val="20"/>
      </w:rPr>
      <w:t>4</w:t>
    </w:r>
    <w:r w:rsidR="001F03E8" w:rsidRPr="00472DBE">
      <w:rPr>
        <w:sz w:val="20"/>
        <w:szCs w:val="20"/>
      </w:rPr>
      <w:t>0</w:t>
    </w:r>
    <w:r w:rsidR="00472DBE" w:rsidRPr="00472DBE">
      <w:rPr>
        <w:sz w:val="20"/>
        <w:szCs w:val="20"/>
      </w:rPr>
      <w:t>7</w:t>
    </w:r>
    <w:r w:rsidRPr="00472DBE">
      <w:rPr>
        <w:sz w:val="20"/>
        <w:szCs w:val="20"/>
      </w:rPr>
      <w:t>20_</w:t>
    </w:r>
    <w:r w:rsidR="00472DBE" w:rsidRPr="00472DBE">
      <w:rPr>
        <w:sz w:val="20"/>
        <w:szCs w:val="20"/>
      </w:rPr>
      <w:t xml:space="preserve"> </w:t>
    </w:r>
    <w:r w:rsidR="0004107A">
      <w:rPr>
        <w:sz w:val="20"/>
        <w:szCs w:val="20"/>
      </w:rPr>
      <w:t>VSS_573</w:t>
    </w:r>
  </w:p>
  <w:p w14:paraId="0E9B010F" w14:textId="77777777" w:rsidR="00560019" w:rsidRPr="00570BB9" w:rsidRDefault="00560019" w:rsidP="0056001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0F49" w14:textId="5F6E5C93" w:rsidR="00560019" w:rsidRPr="00E15A76" w:rsidRDefault="0004107A" w:rsidP="00E65AF3">
    <w:pPr>
      <w:jc w:val="both"/>
      <w:rPr>
        <w:bCs/>
        <w:sz w:val="20"/>
        <w:szCs w:val="20"/>
      </w:rPr>
    </w:pPr>
    <w:r w:rsidRPr="0004107A">
      <w:rPr>
        <w:sz w:val="20"/>
        <w:szCs w:val="20"/>
      </w:rPr>
      <w:t>SMizz_240720_VSS_573</w:t>
    </w:r>
  </w:p>
  <w:p w14:paraId="627254F6" w14:textId="77777777" w:rsidR="00560019" w:rsidRPr="0022701B" w:rsidRDefault="00560019" w:rsidP="0056001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CFFFB" w14:textId="77777777" w:rsidR="00CE36C6" w:rsidRDefault="00CE36C6" w:rsidP="000A531F">
      <w:r>
        <w:separator/>
      </w:r>
    </w:p>
  </w:footnote>
  <w:footnote w:type="continuationSeparator" w:id="0">
    <w:p w14:paraId="0E9010E9" w14:textId="77777777" w:rsidR="00CE36C6" w:rsidRDefault="00CE36C6"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019" w:rsidP="00560019" w:rsidRDefault="00560019"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019" w:rsidRDefault="00560019"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019" w:rsidP="00560019" w:rsidRDefault="00560019"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0019" w:rsidRDefault="00560019"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07A"/>
    <w:rsid w:val="0004179C"/>
    <w:rsid w:val="00054FE8"/>
    <w:rsid w:val="0006139E"/>
    <w:rsid w:val="00065F70"/>
    <w:rsid w:val="00070584"/>
    <w:rsid w:val="000954B4"/>
    <w:rsid w:val="000A39DD"/>
    <w:rsid w:val="000A531F"/>
    <w:rsid w:val="000B045E"/>
    <w:rsid w:val="000B5ECF"/>
    <w:rsid w:val="000C140C"/>
    <w:rsid w:val="00120A54"/>
    <w:rsid w:val="0013486B"/>
    <w:rsid w:val="0014495C"/>
    <w:rsid w:val="001616A0"/>
    <w:rsid w:val="00161C98"/>
    <w:rsid w:val="00163E4A"/>
    <w:rsid w:val="001832D1"/>
    <w:rsid w:val="00185895"/>
    <w:rsid w:val="001914B9"/>
    <w:rsid w:val="001B0C1E"/>
    <w:rsid w:val="001B4F15"/>
    <w:rsid w:val="001D5C47"/>
    <w:rsid w:val="001E1A14"/>
    <w:rsid w:val="001E350D"/>
    <w:rsid w:val="001E4E30"/>
    <w:rsid w:val="001F03E8"/>
    <w:rsid w:val="001F380D"/>
    <w:rsid w:val="001F5E0D"/>
    <w:rsid w:val="00203435"/>
    <w:rsid w:val="00212734"/>
    <w:rsid w:val="00212D1C"/>
    <w:rsid w:val="0021718F"/>
    <w:rsid w:val="002230AC"/>
    <w:rsid w:val="00236459"/>
    <w:rsid w:val="00251198"/>
    <w:rsid w:val="00261BAD"/>
    <w:rsid w:val="00264C2F"/>
    <w:rsid w:val="00270D5D"/>
    <w:rsid w:val="002710B5"/>
    <w:rsid w:val="002739FD"/>
    <w:rsid w:val="00283C11"/>
    <w:rsid w:val="00287A40"/>
    <w:rsid w:val="00290A24"/>
    <w:rsid w:val="002B2520"/>
    <w:rsid w:val="002B2BD5"/>
    <w:rsid w:val="002C47B5"/>
    <w:rsid w:val="002D3C34"/>
    <w:rsid w:val="002D588B"/>
    <w:rsid w:val="002D7A98"/>
    <w:rsid w:val="002E51C4"/>
    <w:rsid w:val="00302611"/>
    <w:rsid w:val="00304936"/>
    <w:rsid w:val="00307E7E"/>
    <w:rsid w:val="003101D8"/>
    <w:rsid w:val="00310E6C"/>
    <w:rsid w:val="00313F64"/>
    <w:rsid w:val="00320DDA"/>
    <w:rsid w:val="00326543"/>
    <w:rsid w:val="003501C0"/>
    <w:rsid w:val="00380B98"/>
    <w:rsid w:val="00385EC6"/>
    <w:rsid w:val="00390339"/>
    <w:rsid w:val="0039170A"/>
    <w:rsid w:val="003C1E3D"/>
    <w:rsid w:val="003D2373"/>
    <w:rsid w:val="003D37F3"/>
    <w:rsid w:val="003E112E"/>
    <w:rsid w:val="004021B9"/>
    <w:rsid w:val="00402889"/>
    <w:rsid w:val="00405454"/>
    <w:rsid w:val="00410A66"/>
    <w:rsid w:val="004227B4"/>
    <w:rsid w:val="004273F5"/>
    <w:rsid w:val="00427AAB"/>
    <w:rsid w:val="00431A7C"/>
    <w:rsid w:val="00431ADB"/>
    <w:rsid w:val="004401DB"/>
    <w:rsid w:val="00444A47"/>
    <w:rsid w:val="00453894"/>
    <w:rsid w:val="00457251"/>
    <w:rsid w:val="00472DBE"/>
    <w:rsid w:val="00474825"/>
    <w:rsid w:val="00481D67"/>
    <w:rsid w:val="00483870"/>
    <w:rsid w:val="00485BEE"/>
    <w:rsid w:val="00486CEF"/>
    <w:rsid w:val="004911C0"/>
    <w:rsid w:val="00491E1F"/>
    <w:rsid w:val="00493AC9"/>
    <w:rsid w:val="0049672C"/>
    <w:rsid w:val="004A3325"/>
    <w:rsid w:val="004A3842"/>
    <w:rsid w:val="004A4217"/>
    <w:rsid w:val="004B0A83"/>
    <w:rsid w:val="004F65A9"/>
    <w:rsid w:val="005023AC"/>
    <w:rsid w:val="00511A74"/>
    <w:rsid w:val="00517539"/>
    <w:rsid w:val="00523477"/>
    <w:rsid w:val="0053729A"/>
    <w:rsid w:val="005448A1"/>
    <w:rsid w:val="00546049"/>
    <w:rsid w:val="005503B3"/>
    <w:rsid w:val="0055501B"/>
    <w:rsid w:val="00557845"/>
    <w:rsid w:val="00557BA5"/>
    <w:rsid w:val="00560019"/>
    <w:rsid w:val="005617F5"/>
    <w:rsid w:val="00562EF2"/>
    <w:rsid w:val="0057339C"/>
    <w:rsid w:val="005776CA"/>
    <w:rsid w:val="00580CD2"/>
    <w:rsid w:val="005A09B3"/>
    <w:rsid w:val="005A37FE"/>
    <w:rsid w:val="005A5CE7"/>
    <w:rsid w:val="005B5C10"/>
    <w:rsid w:val="005C28F5"/>
    <w:rsid w:val="005C2EFA"/>
    <w:rsid w:val="005C709A"/>
    <w:rsid w:val="005D3CB6"/>
    <w:rsid w:val="005D403F"/>
    <w:rsid w:val="005D6A8D"/>
    <w:rsid w:val="005F3723"/>
    <w:rsid w:val="005F3CFA"/>
    <w:rsid w:val="005F437F"/>
    <w:rsid w:val="005F4B79"/>
    <w:rsid w:val="00602FC3"/>
    <w:rsid w:val="00606571"/>
    <w:rsid w:val="00621D32"/>
    <w:rsid w:val="006338AA"/>
    <w:rsid w:val="00640D28"/>
    <w:rsid w:val="006523CA"/>
    <w:rsid w:val="00671DB5"/>
    <w:rsid w:val="006854E4"/>
    <w:rsid w:val="0069122A"/>
    <w:rsid w:val="00693260"/>
    <w:rsid w:val="006B04E7"/>
    <w:rsid w:val="006B0DE0"/>
    <w:rsid w:val="006B3025"/>
    <w:rsid w:val="006C196E"/>
    <w:rsid w:val="006C4AF1"/>
    <w:rsid w:val="006C703C"/>
    <w:rsid w:val="006D534A"/>
    <w:rsid w:val="006D7996"/>
    <w:rsid w:val="006E1F6A"/>
    <w:rsid w:val="00705DBC"/>
    <w:rsid w:val="00707579"/>
    <w:rsid w:val="00716F47"/>
    <w:rsid w:val="007210AF"/>
    <w:rsid w:val="0072704D"/>
    <w:rsid w:val="00732176"/>
    <w:rsid w:val="007469D5"/>
    <w:rsid w:val="00757582"/>
    <w:rsid w:val="00764E51"/>
    <w:rsid w:val="00770AD8"/>
    <w:rsid w:val="00783E6E"/>
    <w:rsid w:val="007A38FD"/>
    <w:rsid w:val="007A67A2"/>
    <w:rsid w:val="007A6F0F"/>
    <w:rsid w:val="007B0C72"/>
    <w:rsid w:val="007C21FF"/>
    <w:rsid w:val="007C24D1"/>
    <w:rsid w:val="007D3819"/>
    <w:rsid w:val="007E2611"/>
    <w:rsid w:val="007F0A92"/>
    <w:rsid w:val="007F39E0"/>
    <w:rsid w:val="007F5214"/>
    <w:rsid w:val="007F5237"/>
    <w:rsid w:val="007F7190"/>
    <w:rsid w:val="008102C1"/>
    <w:rsid w:val="008138C6"/>
    <w:rsid w:val="00815F1B"/>
    <w:rsid w:val="00840AC1"/>
    <w:rsid w:val="008454B7"/>
    <w:rsid w:val="00845C31"/>
    <w:rsid w:val="0085769C"/>
    <w:rsid w:val="00857BEB"/>
    <w:rsid w:val="00861F81"/>
    <w:rsid w:val="00863A75"/>
    <w:rsid w:val="008655DA"/>
    <w:rsid w:val="00867BA8"/>
    <w:rsid w:val="00883069"/>
    <w:rsid w:val="00887A13"/>
    <w:rsid w:val="008973CB"/>
    <w:rsid w:val="008A3BA3"/>
    <w:rsid w:val="008B1CF5"/>
    <w:rsid w:val="008B43A4"/>
    <w:rsid w:val="008C2198"/>
    <w:rsid w:val="008C7596"/>
    <w:rsid w:val="008D3595"/>
    <w:rsid w:val="008D74D3"/>
    <w:rsid w:val="008D7795"/>
    <w:rsid w:val="008E5699"/>
    <w:rsid w:val="0090000D"/>
    <w:rsid w:val="00906110"/>
    <w:rsid w:val="0091003F"/>
    <w:rsid w:val="00914225"/>
    <w:rsid w:val="00930695"/>
    <w:rsid w:val="00940187"/>
    <w:rsid w:val="0094059F"/>
    <w:rsid w:val="00955F6B"/>
    <w:rsid w:val="009637BC"/>
    <w:rsid w:val="009702A1"/>
    <w:rsid w:val="00971B02"/>
    <w:rsid w:val="00972C39"/>
    <w:rsid w:val="00974FA1"/>
    <w:rsid w:val="00975516"/>
    <w:rsid w:val="00977DFB"/>
    <w:rsid w:val="00981152"/>
    <w:rsid w:val="009903D9"/>
    <w:rsid w:val="0099571E"/>
    <w:rsid w:val="009D0DE2"/>
    <w:rsid w:val="009D6B36"/>
    <w:rsid w:val="009E3E80"/>
    <w:rsid w:val="009E64EB"/>
    <w:rsid w:val="009E765A"/>
    <w:rsid w:val="009E7D11"/>
    <w:rsid w:val="009F579B"/>
    <w:rsid w:val="00A02737"/>
    <w:rsid w:val="00A15FF0"/>
    <w:rsid w:val="00A20ADA"/>
    <w:rsid w:val="00A20F86"/>
    <w:rsid w:val="00A25DCC"/>
    <w:rsid w:val="00A34347"/>
    <w:rsid w:val="00A36F3C"/>
    <w:rsid w:val="00A53FF0"/>
    <w:rsid w:val="00A67E47"/>
    <w:rsid w:val="00A91A94"/>
    <w:rsid w:val="00AA30C8"/>
    <w:rsid w:val="00AA4796"/>
    <w:rsid w:val="00AA6CE9"/>
    <w:rsid w:val="00AB2D31"/>
    <w:rsid w:val="00AC59EC"/>
    <w:rsid w:val="00AD0322"/>
    <w:rsid w:val="00AD080E"/>
    <w:rsid w:val="00AD3972"/>
    <w:rsid w:val="00AD6446"/>
    <w:rsid w:val="00AD6581"/>
    <w:rsid w:val="00AE76EB"/>
    <w:rsid w:val="00AF34CA"/>
    <w:rsid w:val="00AF7C82"/>
    <w:rsid w:val="00B13F24"/>
    <w:rsid w:val="00B14512"/>
    <w:rsid w:val="00B33DAC"/>
    <w:rsid w:val="00B44F89"/>
    <w:rsid w:val="00B45DE0"/>
    <w:rsid w:val="00B57532"/>
    <w:rsid w:val="00B641E0"/>
    <w:rsid w:val="00B65773"/>
    <w:rsid w:val="00B67C4E"/>
    <w:rsid w:val="00B87422"/>
    <w:rsid w:val="00B90BD6"/>
    <w:rsid w:val="00B93C32"/>
    <w:rsid w:val="00BA5981"/>
    <w:rsid w:val="00BA5B5C"/>
    <w:rsid w:val="00BB085E"/>
    <w:rsid w:val="00BB2506"/>
    <w:rsid w:val="00BB5CE6"/>
    <w:rsid w:val="00BC0E1F"/>
    <w:rsid w:val="00BF46D9"/>
    <w:rsid w:val="00BF56C6"/>
    <w:rsid w:val="00C00371"/>
    <w:rsid w:val="00C00E70"/>
    <w:rsid w:val="00C03748"/>
    <w:rsid w:val="00C24317"/>
    <w:rsid w:val="00C319A3"/>
    <w:rsid w:val="00C36BF0"/>
    <w:rsid w:val="00C56DAD"/>
    <w:rsid w:val="00C708D6"/>
    <w:rsid w:val="00C73711"/>
    <w:rsid w:val="00C759D4"/>
    <w:rsid w:val="00C77313"/>
    <w:rsid w:val="00C80A32"/>
    <w:rsid w:val="00C908F5"/>
    <w:rsid w:val="00CA0484"/>
    <w:rsid w:val="00CA5300"/>
    <w:rsid w:val="00CA590E"/>
    <w:rsid w:val="00CC0355"/>
    <w:rsid w:val="00CC3B5F"/>
    <w:rsid w:val="00CD3D34"/>
    <w:rsid w:val="00CD59D2"/>
    <w:rsid w:val="00CE36C6"/>
    <w:rsid w:val="00CF228A"/>
    <w:rsid w:val="00D17E2B"/>
    <w:rsid w:val="00D201AD"/>
    <w:rsid w:val="00D24FD5"/>
    <w:rsid w:val="00D47019"/>
    <w:rsid w:val="00D55FAD"/>
    <w:rsid w:val="00D56DC4"/>
    <w:rsid w:val="00D66F4C"/>
    <w:rsid w:val="00D7217B"/>
    <w:rsid w:val="00D84BD2"/>
    <w:rsid w:val="00DA2FA4"/>
    <w:rsid w:val="00DA5A2A"/>
    <w:rsid w:val="00DB23E3"/>
    <w:rsid w:val="00DC002D"/>
    <w:rsid w:val="00DC28A7"/>
    <w:rsid w:val="00DD195F"/>
    <w:rsid w:val="00DF3EEC"/>
    <w:rsid w:val="00DF59E7"/>
    <w:rsid w:val="00DF5CFC"/>
    <w:rsid w:val="00DF743C"/>
    <w:rsid w:val="00E15A76"/>
    <w:rsid w:val="00E41B15"/>
    <w:rsid w:val="00E51EB0"/>
    <w:rsid w:val="00E65AF3"/>
    <w:rsid w:val="00E8355F"/>
    <w:rsid w:val="00E84317"/>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477A"/>
    <w:rsid w:val="00EE4B10"/>
    <w:rsid w:val="00EE7A2F"/>
    <w:rsid w:val="00EF1302"/>
    <w:rsid w:val="00EF21E1"/>
    <w:rsid w:val="00F07B97"/>
    <w:rsid w:val="00F13317"/>
    <w:rsid w:val="00F13F94"/>
    <w:rsid w:val="00F34D14"/>
    <w:rsid w:val="00F54A5F"/>
    <w:rsid w:val="00F5533C"/>
    <w:rsid w:val="00F57C7D"/>
    <w:rsid w:val="00F62623"/>
    <w:rsid w:val="00F6373F"/>
    <w:rsid w:val="00F63B2E"/>
    <w:rsid w:val="00F77C0F"/>
    <w:rsid w:val="00F87749"/>
    <w:rsid w:val="00FB1252"/>
    <w:rsid w:val="00FB757D"/>
    <w:rsid w:val="00FC51C5"/>
    <w:rsid w:val="00FC5D51"/>
    <w:rsid w:val="00FE3966"/>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CommentText">
    <w:name w:val="annotation text"/>
    <w:basedOn w:val="Normal"/>
    <w:link w:val="CommentTextChar"/>
    <w:uiPriority w:val="99"/>
    <w:semiHidden/>
    <w:unhideWhenUsed/>
    <w:rsid w:val="00883069"/>
    <w:rPr>
      <w:sz w:val="20"/>
      <w:szCs w:val="20"/>
    </w:rPr>
  </w:style>
  <w:style w:type="character" w:customStyle="1" w:styleId="CommentTextChar">
    <w:name w:val="Comment Text Char"/>
    <w:basedOn w:val="DefaultParagraphFont"/>
    <w:link w:val="CommentText"/>
    <w:uiPriority w:val="99"/>
    <w:semiHidden/>
    <w:rsid w:val="0088306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069"/>
    <w:rPr>
      <w:b/>
      <w:bCs/>
    </w:rPr>
  </w:style>
  <w:style w:type="character" w:customStyle="1" w:styleId="CommentSubjectChar">
    <w:name w:val="Comment Subject Char"/>
    <w:basedOn w:val="CommentTextChar"/>
    <w:link w:val="CommentSubject"/>
    <w:uiPriority w:val="99"/>
    <w:semiHidden/>
    <w:rsid w:val="00883069"/>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7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77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CC4B-F951-426D-86D7-0555A9E9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4198</Words>
  <Characters>2394</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projekts “Par Rīgas pilsētas pašvaldībai piederošā nekustamā īpašuma Gaviezes ielā 6A, Rīgā, daļas pārņemšanu valsts īpašumā”</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Rīgas pilsētas pašvaldībai piederošā nekustamā īpašuma Gaviezes ielā 6A, Rīgā, daļas pārņemšanu valsts īpašumā”</dc:title>
  <dc:creator>Sandra.Silina@sam.gov.lv;Satiksmes ministrijas Juridiskā departamenta Nekustamo īpašumu nodaļas vecākā referente;tālr. 67028031;SIA "Eiropas dzelzceļa līnijas" Nekustamā īpašuma atsavināšanas departamenta nekustamā īpašuma speciāliste Dace Pelne;68806209;dace.pelne@edzl.lv</dc:creator>
  <cp:keywords>Izziņa</cp:keywords>
  <dc:description>dace.pelne@edzl.lv, 68806209; sandra.silina@sam.gov.lv, 67028031</dc:description>
  <cp:lastModifiedBy>Ineta Vula</cp:lastModifiedBy>
  <cp:revision>33</cp:revision>
  <cp:lastPrinted>2018-07-23T10:08:00Z</cp:lastPrinted>
  <dcterms:created xsi:type="dcterms:W3CDTF">2020-07-15T07:40:00Z</dcterms:created>
  <dcterms:modified xsi:type="dcterms:W3CDTF">2020-09-02T11:42:00Z</dcterms:modified>
</cp:coreProperties>
</file>