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B2A" w:rsidP="00A060DC" w:rsidRDefault="00FA5CD7" w14:paraId="5C4C8BCF" w14:textId="77777777">
      <w:pPr>
        <w:pStyle w:val="naisnod"/>
        <w:spacing w:before="0" w:after="0"/>
      </w:pPr>
      <w:r>
        <w:t xml:space="preserve"> </w:t>
      </w:r>
      <w:r w:rsidRPr="000B38B7" w:rsidR="00A060DC">
        <w:t>Izziņa par atzinumos sniegtajiem iebildumiem</w:t>
      </w:r>
      <w:r w:rsidRPr="00543675" w:rsidR="00543675">
        <w:t xml:space="preserve"> </w:t>
      </w:r>
    </w:p>
    <w:p w:rsidRPr="000B38B7" w:rsidR="00A060DC" w:rsidP="00A060DC" w:rsidRDefault="00543675" w14:paraId="59C41D59" w14:textId="1CC568A7">
      <w:pPr>
        <w:pStyle w:val="naisnod"/>
        <w:spacing w:before="0" w:after="0"/>
      </w:pPr>
      <w:r w:rsidRPr="000B38B7">
        <w:t>Likumprojekts "Grozījumi Ieslodzījuma vietu pārvaldes likumā"</w:t>
      </w:r>
    </w:p>
    <w:p w:rsidRPr="000B38B7" w:rsidR="00A060DC" w:rsidP="00543675" w:rsidRDefault="00A060DC" w14:paraId="4556370B" w14:textId="77777777">
      <w:pPr>
        <w:pStyle w:val="naisf"/>
        <w:spacing w:before="0" w:after="0"/>
        <w:ind w:firstLine="0"/>
      </w:pPr>
    </w:p>
    <w:p w:rsidR="00A060DC" w:rsidP="00A060DC" w:rsidRDefault="00A060DC" w14:paraId="178A8D6C" w14:textId="5FD5A210">
      <w:pPr>
        <w:pStyle w:val="naisf"/>
        <w:spacing w:before="0" w:after="0"/>
        <w:ind w:firstLine="0"/>
        <w:jc w:val="center"/>
        <w:rPr>
          <w:b/>
        </w:rPr>
      </w:pPr>
      <w:r w:rsidRPr="000B38B7">
        <w:rPr>
          <w:b/>
        </w:rPr>
        <w:t>I. Jautājumi, par kuriem saskaņošanā vienošanās nav panākta</w:t>
      </w:r>
    </w:p>
    <w:p w:rsidRPr="000B38B7" w:rsidR="00B44B27" w:rsidP="00A060DC" w:rsidRDefault="00B44B27" w14:paraId="21B7184E" w14:textId="77777777">
      <w:pPr>
        <w:pStyle w:val="naisf"/>
        <w:spacing w:before="0" w:after="0"/>
        <w:ind w:firstLine="0"/>
        <w:jc w:val="center"/>
        <w:rPr>
          <w:b/>
        </w:rPr>
      </w:pPr>
    </w:p>
    <w:tbl>
      <w:tblPr>
        <w:tblW w:w="14317" w:type="dxa"/>
        <w:tblInd w:w="-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93"/>
        <w:gridCol w:w="1984"/>
        <w:gridCol w:w="3119"/>
        <w:gridCol w:w="3402"/>
        <w:gridCol w:w="2693"/>
        <w:gridCol w:w="2126"/>
      </w:tblGrid>
      <w:tr w:rsidRPr="000B38B7" w:rsidR="000B38B7" w:rsidTr="00714153" w14:paraId="4F778313" w14:textId="77777777">
        <w:tc>
          <w:tcPr>
            <w:tcW w:w="993" w:type="dxa"/>
            <w:tcBorders>
              <w:top w:val="single" w:color="000000" w:sz="6" w:space="0"/>
              <w:left w:val="single" w:color="000000" w:sz="6" w:space="0"/>
              <w:bottom w:val="single" w:color="000000" w:sz="6" w:space="0"/>
              <w:right w:val="single" w:color="000000" w:sz="6" w:space="0"/>
            </w:tcBorders>
            <w:vAlign w:val="center"/>
          </w:tcPr>
          <w:p w:rsidRPr="000B38B7" w:rsidR="00A060DC" w:rsidP="005E6CCE" w:rsidRDefault="00A060DC" w14:paraId="361F91C8" w14:textId="77777777">
            <w:pPr>
              <w:pStyle w:val="naisc"/>
              <w:spacing w:before="0" w:after="0"/>
            </w:pPr>
            <w:r w:rsidRPr="000B38B7">
              <w:t>Nr. p.k.</w:t>
            </w:r>
          </w:p>
        </w:tc>
        <w:tc>
          <w:tcPr>
            <w:tcW w:w="1984" w:type="dxa"/>
            <w:tcBorders>
              <w:top w:val="single" w:color="000000" w:sz="6" w:space="0"/>
              <w:left w:val="single" w:color="000000" w:sz="6" w:space="0"/>
              <w:bottom w:val="single" w:color="000000" w:sz="6" w:space="0"/>
              <w:right w:val="single" w:color="000000" w:sz="6" w:space="0"/>
            </w:tcBorders>
            <w:vAlign w:val="center"/>
          </w:tcPr>
          <w:p w:rsidRPr="000B38B7" w:rsidR="00A060DC" w:rsidP="005E6CCE" w:rsidRDefault="00A060DC" w14:paraId="74288410" w14:textId="77777777">
            <w:pPr>
              <w:pStyle w:val="naisc"/>
              <w:spacing w:before="0" w:after="0"/>
              <w:ind w:firstLine="12"/>
            </w:pPr>
            <w:r w:rsidRPr="000B38B7">
              <w:t>Saskaņošanai nosūtītā projekta redakcija (konkrēta punkta (panta) redakcija)</w:t>
            </w:r>
          </w:p>
        </w:tc>
        <w:tc>
          <w:tcPr>
            <w:tcW w:w="3119" w:type="dxa"/>
            <w:tcBorders>
              <w:top w:val="single" w:color="000000" w:sz="6" w:space="0"/>
              <w:left w:val="single" w:color="000000" w:sz="6" w:space="0"/>
              <w:bottom w:val="single" w:color="000000" w:sz="6" w:space="0"/>
              <w:right w:val="single" w:color="000000" w:sz="6" w:space="0"/>
            </w:tcBorders>
            <w:vAlign w:val="center"/>
          </w:tcPr>
          <w:p w:rsidRPr="000B38B7" w:rsidR="00A060DC" w:rsidP="005E6CCE" w:rsidRDefault="00A060DC" w14:paraId="515F54EB" w14:textId="77777777">
            <w:pPr>
              <w:pStyle w:val="naisc"/>
              <w:spacing w:before="0" w:after="0"/>
              <w:ind w:right="3"/>
            </w:pPr>
            <w:r w:rsidRPr="000B38B7">
              <w:t>Atzinumā norādītais ministrijas (citas institūcijas) iebildums, kā arī saskaņošanā papildus izteiktais iebildums par projekta konkrēto punktu (pantu)</w:t>
            </w:r>
          </w:p>
        </w:tc>
        <w:tc>
          <w:tcPr>
            <w:tcW w:w="3402" w:type="dxa"/>
            <w:tcBorders>
              <w:top w:val="single" w:color="000000" w:sz="6" w:space="0"/>
              <w:left w:val="single" w:color="000000" w:sz="6" w:space="0"/>
              <w:bottom w:val="single" w:color="000000" w:sz="6" w:space="0"/>
              <w:right w:val="single" w:color="000000" w:sz="6" w:space="0"/>
            </w:tcBorders>
            <w:vAlign w:val="center"/>
          </w:tcPr>
          <w:p w:rsidRPr="000B38B7" w:rsidR="00A060DC" w:rsidP="005E6CCE" w:rsidRDefault="00A060DC" w14:paraId="5149A5FE" w14:textId="77777777">
            <w:pPr>
              <w:pStyle w:val="naisc"/>
              <w:spacing w:before="0" w:after="0"/>
              <w:ind w:firstLine="21"/>
            </w:pPr>
            <w:r w:rsidRPr="000B38B7">
              <w:t>Atbildīgās ministrijas pamatojums iebilduma noraidījumam</w:t>
            </w:r>
          </w:p>
        </w:tc>
        <w:tc>
          <w:tcPr>
            <w:tcW w:w="2693" w:type="dxa"/>
            <w:tcBorders>
              <w:top w:val="single" w:color="auto" w:sz="4" w:space="0"/>
              <w:left w:val="single" w:color="auto" w:sz="4" w:space="0"/>
              <w:bottom w:val="single" w:color="auto" w:sz="4" w:space="0"/>
              <w:right w:val="single" w:color="auto" w:sz="4" w:space="0"/>
            </w:tcBorders>
            <w:vAlign w:val="center"/>
          </w:tcPr>
          <w:p w:rsidRPr="000B38B7" w:rsidR="00A060DC" w:rsidP="005E6CCE" w:rsidRDefault="00A060DC" w14:paraId="1171ED53" w14:textId="77777777">
            <w:pPr>
              <w:jc w:val="center"/>
            </w:pPr>
            <w:r w:rsidRPr="000B38B7">
              <w:t>Atzinuma sniedzēja uzturētais iebildums, ja tas atšķiras no atzinumā norādītā iebilduma pamatojuma</w:t>
            </w:r>
          </w:p>
        </w:tc>
        <w:tc>
          <w:tcPr>
            <w:tcW w:w="2126" w:type="dxa"/>
            <w:tcBorders>
              <w:top w:val="single" w:color="auto" w:sz="4" w:space="0"/>
              <w:left w:val="single" w:color="auto" w:sz="4" w:space="0"/>
              <w:bottom w:val="single" w:color="auto" w:sz="4" w:space="0"/>
            </w:tcBorders>
            <w:vAlign w:val="center"/>
          </w:tcPr>
          <w:p w:rsidRPr="000B38B7" w:rsidR="00A060DC" w:rsidP="005E6CCE" w:rsidRDefault="00A060DC" w14:paraId="5AAA39C8" w14:textId="77777777">
            <w:pPr>
              <w:jc w:val="center"/>
            </w:pPr>
            <w:r w:rsidRPr="000B38B7">
              <w:t>Projekta attiecīgā punkta (panta) galīgā redakcija</w:t>
            </w:r>
          </w:p>
        </w:tc>
      </w:tr>
      <w:tr w:rsidRPr="000B38B7" w:rsidR="000B38B7" w:rsidTr="00714153" w14:paraId="0B71A15D" w14:textId="77777777">
        <w:tc>
          <w:tcPr>
            <w:tcW w:w="993" w:type="dxa"/>
            <w:tcBorders>
              <w:top w:val="single" w:color="000000" w:sz="6" w:space="0"/>
              <w:left w:val="single" w:color="000000" w:sz="6" w:space="0"/>
              <w:bottom w:val="single" w:color="000000" w:sz="6" w:space="0"/>
              <w:right w:val="single" w:color="000000" w:sz="6" w:space="0"/>
            </w:tcBorders>
          </w:tcPr>
          <w:p w:rsidRPr="000B38B7" w:rsidR="00A060DC" w:rsidP="005E6CCE" w:rsidRDefault="00A060DC" w14:paraId="36EC4C71" w14:textId="77777777">
            <w:pPr>
              <w:pStyle w:val="naisc"/>
              <w:spacing w:before="0" w:after="0"/>
              <w:rPr>
                <w:sz w:val="20"/>
                <w:szCs w:val="20"/>
              </w:rPr>
            </w:pPr>
            <w:r w:rsidRPr="000B38B7">
              <w:rPr>
                <w:sz w:val="20"/>
                <w:szCs w:val="20"/>
              </w:rPr>
              <w:t>1</w:t>
            </w:r>
          </w:p>
        </w:tc>
        <w:tc>
          <w:tcPr>
            <w:tcW w:w="1984" w:type="dxa"/>
            <w:tcBorders>
              <w:top w:val="single" w:color="000000" w:sz="6" w:space="0"/>
              <w:left w:val="single" w:color="000000" w:sz="6" w:space="0"/>
              <w:bottom w:val="single" w:color="000000" w:sz="6" w:space="0"/>
              <w:right w:val="single" w:color="000000" w:sz="6" w:space="0"/>
            </w:tcBorders>
          </w:tcPr>
          <w:p w:rsidRPr="000B38B7" w:rsidR="00A060DC" w:rsidP="005E6CCE" w:rsidRDefault="00A060DC" w14:paraId="223D4B0B" w14:textId="77777777">
            <w:pPr>
              <w:pStyle w:val="naisc"/>
              <w:spacing w:before="0" w:after="0"/>
              <w:rPr>
                <w:sz w:val="20"/>
                <w:szCs w:val="20"/>
              </w:rPr>
            </w:pPr>
            <w:r w:rsidRPr="000B38B7">
              <w:rPr>
                <w:sz w:val="20"/>
                <w:szCs w:val="20"/>
              </w:rPr>
              <w:t>2</w:t>
            </w:r>
          </w:p>
        </w:tc>
        <w:tc>
          <w:tcPr>
            <w:tcW w:w="3119" w:type="dxa"/>
            <w:tcBorders>
              <w:top w:val="single" w:color="000000" w:sz="6" w:space="0"/>
              <w:left w:val="single" w:color="000000" w:sz="6" w:space="0"/>
              <w:bottom w:val="single" w:color="000000" w:sz="6" w:space="0"/>
              <w:right w:val="single" w:color="000000" w:sz="6" w:space="0"/>
            </w:tcBorders>
          </w:tcPr>
          <w:p w:rsidRPr="000B38B7" w:rsidR="00A060DC" w:rsidP="005E6CCE" w:rsidRDefault="00A060DC" w14:paraId="24749D1F" w14:textId="77777777">
            <w:pPr>
              <w:pStyle w:val="naisc"/>
              <w:spacing w:before="0" w:after="0"/>
              <w:rPr>
                <w:sz w:val="20"/>
                <w:szCs w:val="20"/>
              </w:rPr>
            </w:pPr>
            <w:r w:rsidRPr="000B38B7">
              <w:rPr>
                <w:sz w:val="20"/>
                <w:szCs w:val="20"/>
              </w:rPr>
              <w:t>3</w:t>
            </w:r>
          </w:p>
        </w:tc>
        <w:tc>
          <w:tcPr>
            <w:tcW w:w="3402" w:type="dxa"/>
            <w:tcBorders>
              <w:top w:val="single" w:color="000000" w:sz="6" w:space="0"/>
              <w:left w:val="single" w:color="000000" w:sz="6" w:space="0"/>
              <w:bottom w:val="single" w:color="000000" w:sz="6" w:space="0"/>
              <w:right w:val="single" w:color="000000" w:sz="6" w:space="0"/>
            </w:tcBorders>
          </w:tcPr>
          <w:p w:rsidRPr="000B38B7" w:rsidR="00A060DC" w:rsidP="005E6CCE" w:rsidRDefault="00A060DC" w14:paraId="28BC639D" w14:textId="77777777">
            <w:pPr>
              <w:pStyle w:val="naisc"/>
              <w:spacing w:before="0" w:after="0"/>
              <w:rPr>
                <w:sz w:val="20"/>
                <w:szCs w:val="20"/>
              </w:rPr>
            </w:pPr>
            <w:r w:rsidRPr="000B38B7">
              <w:rPr>
                <w:sz w:val="20"/>
                <w:szCs w:val="20"/>
              </w:rPr>
              <w:t>4</w:t>
            </w:r>
          </w:p>
        </w:tc>
        <w:tc>
          <w:tcPr>
            <w:tcW w:w="2693" w:type="dxa"/>
            <w:tcBorders>
              <w:top w:val="single" w:color="auto" w:sz="4" w:space="0"/>
              <w:left w:val="single" w:color="auto" w:sz="4" w:space="0"/>
              <w:bottom w:val="single" w:color="auto" w:sz="4" w:space="0"/>
              <w:right w:val="single" w:color="auto" w:sz="4" w:space="0"/>
            </w:tcBorders>
          </w:tcPr>
          <w:p w:rsidRPr="000B38B7" w:rsidR="00A060DC" w:rsidP="005E6CCE" w:rsidRDefault="00A060DC" w14:paraId="5E463E19" w14:textId="77777777">
            <w:pPr>
              <w:jc w:val="center"/>
              <w:rPr>
                <w:sz w:val="20"/>
                <w:szCs w:val="20"/>
              </w:rPr>
            </w:pPr>
            <w:r w:rsidRPr="000B38B7">
              <w:rPr>
                <w:sz w:val="20"/>
                <w:szCs w:val="20"/>
              </w:rPr>
              <w:t>5</w:t>
            </w:r>
          </w:p>
        </w:tc>
        <w:tc>
          <w:tcPr>
            <w:tcW w:w="2126" w:type="dxa"/>
            <w:tcBorders>
              <w:top w:val="single" w:color="auto" w:sz="4" w:space="0"/>
              <w:left w:val="single" w:color="auto" w:sz="4" w:space="0"/>
              <w:bottom w:val="single" w:color="auto" w:sz="4" w:space="0"/>
            </w:tcBorders>
          </w:tcPr>
          <w:p w:rsidRPr="000B38B7" w:rsidR="00A060DC" w:rsidP="005E6CCE" w:rsidRDefault="00A060DC" w14:paraId="47C92A89" w14:textId="77777777">
            <w:pPr>
              <w:jc w:val="center"/>
              <w:rPr>
                <w:sz w:val="20"/>
                <w:szCs w:val="20"/>
              </w:rPr>
            </w:pPr>
            <w:r w:rsidRPr="000B38B7">
              <w:rPr>
                <w:sz w:val="20"/>
                <w:szCs w:val="20"/>
              </w:rPr>
              <w:t>6</w:t>
            </w:r>
          </w:p>
        </w:tc>
      </w:tr>
    </w:tbl>
    <w:p w:rsidR="009B1C51" w:rsidP="005042F4" w:rsidRDefault="009B1C51" w14:paraId="1A62214C" w14:textId="77777777">
      <w:pPr>
        <w:ind w:left="142"/>
        <w:jc w:val="both"/>
        <w:rPr>
          <w:b/>
        </w:rPr>
      </w:pPr>
    </w:p>
    <w:p w:rsidRPr="000B38B7" w:rsidR="00AB62AC" w:rsidP="005042F4" w:rsidRDefault="00AB62AC" w14:paraId="435EAF55" w14:textId="32FC76B1">
      <w:pPr>
        <w:ind w:left="142"/>
        <w:jc w:val="both"/>
        <w:rPr>
          <w:b/>
        </w:rPr>
      </w:pPr>
      <w:r w:rsidRPr="000B38B7">
        <w:rPr>
          <w:b/>
        </w:rPr>
        <w:t>Informācija par starpministriju (starpinstitūciju) sanāksmi vai elektronisko saskaņošanu</w:t>
      </w:r>
    </w:p>
    <w:p w:rsidRPr="000B38B7" w:rsidR="00AB62AC" w:rsidP="00AB62AC" w:rsidRDefault="00AB62AC" w14:paraId="22792C6B" w14:textId="77777777">
      <w:pPr>
        <w:jc w:val="both"/>
        <w:rPr>
          <w:b/>
        </w:rPr>
      </w:pPr>
    </w:p>
    <w:tbl>
      <w:tblPr>
        <w:tblW w:w="14217" w:type="dxa"/>
        <w:tblLook w:val="00A0" w:firstRow="1" w:lastRow="0" w:firstColumn="1" w:lastColumn="0" w:noHBand="0" w:noVBand="0"/>
      </w:tblPr>
      <w:tblGrid>
        <w:gridCol w:w="5387"/>
        <w:gridCol w:w="8830"/>
      </w:tblGrid>
      <w:tr w:rsidRPr="000B38B7" w:rsidR="000B38B7" w:rsidTr="00C642FD" w14:paraId="46A6AF33" w14:textId="77777777">
        <w:tc>
          <w:tcPr>
            <w:tcW w:w="5387" w:type="dxa"/>
          </w:tcPr>
          <w:p w:rsidRPr="000B38B7" w:rsidR="00AB62AC" w:rsidP="00C642FD" w:rsidRDefault="00AB62AC" w14:paraId="1DA9C4DD" w14:textId="77777777">
            <w:pPr>
              <w:jc w:val="both"/>
            </w:pPr>
            <w:r w:rsidRPr="000B38B7">
              <w:t>Datums</w:t>
            </w:r>
          </w:p>
        </w:tc>
        <w:tc>
          <w:tcPr>
            <w:tcW w:w="8830" w:type="dxa"/>
            <w:tcBorders>
              <w:bottom w:val="single" w:color="auto" w:sz="4" w:space="0"/>
            </w:tcBorders>
          </w:tcPr>
          <w:p w:rsidRPr="00C55801" w:rsidR="00E6739C" w:rsidP="00DF223C" w:rsidRDefault="00E6739C" w14:paraId="3959F42E" w14:textId="76C0E1D5">
            <w:pPr>
              <w:ind w:left="39" w:hanging="39"/>
              <w:jc w:val="both"/>
            </w:pPr>
            <w:r w:rsidRPr="00C55801">
              <w:t>20</w:t>
            </w:r>
            <w:r>
              <w:t>20</w:t>
            </w:r>
            <w:r w:rsidRPr="00C55801">
              <w:t>. gada 1</w:t>
            </w:r>
            <w:r>
              <w:t xml:space="preserve">0. jūnijs </w:t>
            </w:r>
          </w:p>
          <w:p w:rsidRPr="000B38B7" w:rsidR="00E6739C" w:rsidP="00E6739C" w:rsidRDefault="00E6739C" w14:paraId="2486137F" w14:textId="60A4A1B0">
            <w:pPr>
              <w:jc w:val="both"/>
            </w:pPr>
            <w:r w:rsidRPr="00C55801">
              <w:t>20</w:t>
            </w:r>
            <w:r>
              <w:t>20</w:t>
            </w:r>
            <w:r w:rsidRPr="00C55801">
              <w:t xml:space="preserve">. gada </w:t>
            </w:r>
            <w:r>
              <w:t xml:space="preserve">7. jūlijs </w:t>
            </w:r>
          </w:p>
        </w:tc>
      </w:tr>
      <w:tr w:rsidRPr="000B38B7" w:rsidR="000B38B7" w:rsidTr="00DF223C" w14:paraId="0BDDB4B6" w14:textId="77777777">
        <w:trPr>
          <w:trHeight w:val="966"/>
        </w:trPr>
        <w:tc>
          <w:tcPr>
            <w:tcW w:w="5387" w:type="dxa"/>
          </w:tcPr>
          <w:p w:rsidRPr="000B38B7" w:rsidR="00AB62AC" w:rsidP="00C642FD" w:rsidRDefault="00AB62AC" w14:paraId="039C1CFC" w14:textId="77777777">
            <w:pPr>
              <w:jc w:val="both"/>
            </w:pPr>
          </w:p>
          <w:p w:rsidRPr="000B38B7" w:rsidR="00AB62AC" w:rsidP="00C642FD" w:rsidRDefault="00AB62AC" w14:paraId="1710A0C7" w14:textId="77777777">
            <w:pPr>
              <w:jc w:val="both"/>
            </w:pPr>
            <w:r w:rsidRPr="000B38B7">
              <w:t>Saskaņošanas dalībnieki</w:t>
            </w:r>
          </w:p>
        </w:tc>
        <w:tc>
          <w:tcPr>
            <w:tcW w:w="8830" w:type="dxa"/>
            <w:tcBorders>
              <w:bottom w:val="single" w:color="auto" w:sz="4" w:space="0"/>
            </w:tcBorders>
          </w:tcPr>
          <w:p w:rsidRPr="000B38B7" w:rsidR="00AB62AC" w:rsidP="00C642FD" w:rsidRDefault="00AB62AC" w14:paraId="73F4B2BA" w14:textId="77777777">
            <w:pPr>
              <w:pStyle w:val="Paraststmeklis"/>
              <w:spacing w:before="0" w:beforeAutospacing="0" w:after="0" w:afterAutospacing="0"/>
              <w:jc w:val="both"/>
            </w:pPr>
          </w:p>
          <w:p w:rsidRPr="00DF223C" w:rsidR="00DF223C" w:rsidP="00DF223C" w:rsidRDefault="000807EF" w14:paraId="0D7991DE" w14:textId="14A4A63B">
            <w:pPr>
              <w:widowControl w:val="0"/>
              <w:jc w:val="both"/>
              <w:rPr>
                <w:rFonts w:eastAsia="Calibri"/>
                <w:bCs/>
              </w:rPr>
            </w:pPr>
            <w:r w:rsidRPr="00714153">
              <w:rPr>
                <w:rFonts w:eastAsia="Calibri"/>
                <w:bCs/>
              </w:rPr>
              <w:t>Finanšu ministrija, Aizsardzības ministrija, Iekšlietu ministrija, Veselības ministrija, Latvijas Brīvo arodbiedrību savienība, Korupcijas novēršanas un apkarošanas birojs</w:t>
            </w:r>
          </w:p>
        </w:tc>
      </w:tr>
      <w:tr w:rsidRPr="000B38B7" w:rsidR="002756AC" w:rsidTr="00C642FD" w14:paraId="4DA7B02C" w14:textId="77777777">
        <w:tc>
          <w:tcPr>
            <w:tcW w:w="5387" w:type="dxa"/>
          </w:tcPr>
          <w:p w:rsidRPr="00C55801" w:rsidR="002756AC" w:rsidP="002756AC" w:rsidRDefault="002756AC" w14:paraId="78705A9D" w14:textId="77777777">
            <w:pPr>
              <w:jc w:val="both"/>
            </w:pPr>
          </w:p>
          <w:p w:rsidRPr="000B38B7" w:rsidR="002756AC" w:rsidP="002756AC" w:rsidRDefault="002756AC" w14:paraId="35D9DC42" w14:textId="09512144">
            <w:pPr>
              <w:jc w:val="both"/>
            </w:pPr>
            <w:r w:rsidRPr="00C55801">
              <w:t>Saskaņošanas dalībnieki izskatīja šādu ministriju (citu institūciju) iebildumus</w:t>
            </w:r>
          </w:p>
        </w:tc>
        <w:tc>
          <w:tcPr>
            <w:tcW w:w="8830" w:type="dxa"/>
            <w:tcBorders>
              <w:bottom w:val="single" w:color="auto" w:sz="4" w:space="0"/>
            </w:tcBorders>
          </w:tcPr>
          <w:p w:rsidRPr="000B38B7" w:rsidR="002756AC" w:rsidP="002756AC" w:rsidRDefault="002756AC" w14:paraId="01E39F68" w14:textId="77777777">
            <w:pPr>
              <w:pStyle w:val="Paraststmeklis"/>
              <w:spacing w:before="0" w:beforeAutospacing="0" w:after="0" w:afterAutospacing="0"/>
              <w:jc w:val="both"/>
            </w:pPr>
          </w:p>
          <w:p w:rsidR="002756AC" w:rsidP="002756AC" w:rsidRDefault="00241C4E" w14:paraId="3DA86D0D" w14:textId="2860BAB6">
            <w:pPr>
              <w:pStyle w:val="Paraststmeklis"/>
              <w:spacing w:before="0" w:beforeAutospacing="0" w:after="0" w:afterAutospacing="0"/>
              <w:jc w:val="both"/>
            </w:pPr>
            <w:r w:rsidRPr="00C55801">
              <w:t>20</w:t>
            </w:r>
            <w:r>
              <w:t>20</w:t>
            </w:r>
            <w:r w:rsidRPr="00C55801">
              <w:t>. gada 1</w:t>
            </w:r>
            <w:r>
              <w:t xml:space="preserve">0. jūnijs - </w:t>
            </w:r>
            <w:r w:rsidR="002756AC">
              <w:t>Aizsardzības ministrijas, Iekšlietu ministrijas, Veselības ministrijas, Korupcijas novēršanas un apkarošanas biroja iebildumi</w:t>
            </w:r>
            <w:r>
              <w:t>.</w:t>
            </w:r>
          </w:p>
          <w:p w:rsidRPr="000B38B7" w:rsidR="002756AC" w:rsidP="002756AC" w:rsidRDefault="00241C4E" w14:paraId="1466FA94" w14:textId="1F76C7C2">
            <w:pPr>
              <w:pStyle w:val="Paraststmeklis"/>
              <w:spacing w:before="0" w:beforeAutospacing="0" w:after="0" w:afterAutospacing="0"/>
              <w:jc w:val="both"/>
            </w:pPr>
            <w:r w:rsidRPr="00C55801">
              <w:t>20</w:t>
            </w:r>
            <w:r>
              <w:t>20</w:t>
            </w:r>
            <w:r w:rsidRPr="00C55801">
              <w:t xml:space="preserve">. gada </w:t>
            </w:r>
            <w:r>
              <w:t>7. jūlijs</w:t>
            </w:r>
            <w:r w:rsidR="002756AC">
              <w:t xml:space="preserve"> - Korupcijas novēršanas un apkarošanas biroja iebildum</w:t>
            </w:r>
            <w:r>
              <w:t>s</w:t>
            </w:r>
            <w:r w:rsidR="002756AC">
              <w:t>.</w:t>
            </w:r>
          </w:p>
        </w:tc>
      </w:tr>
      <w:tr w:rsidRPr="000B38B7" w:rsidR="00241C4E" w:rsidTr="00C642FD" w14:paraId="1A61C111" w14:textId="77777777">
        <w:tc>
          <w:tcPr>
            <w:tcW w:w="5387" w:type="dxa"/>
          </w:tcPr>
          <w:p w:rsidR="00241C4E" w:rsidP="00241C4E" w:rsidRDefault="00241C4E" w14:paraId="71400674" w14:textId="77777777">
            <w:pPr>
              <w:ind w:right="204"/>
              <w:jc w:val="both"/>
            </w:pPr>
          </w:p>
          <w:p w:rsidRPr="000B38B7" w:rsidR="00241C4E" w:rsidP="00241C4E" w:rsidRDefault="00241C4E" w14:paraId="69429155" w14:textId="1933BF56">
            <w:pPr>
              <w:ind w:right="204"/>
              <w:jc w:val="both"/>
            </w:pPr>
            <w:r w:rsidRPr="00C55801">
              <w:t>Ministrijas (citas institūcijas), kuras nav ieradušās uz sanāksmi vai kuras nav atbildējušas uz uzaicinājumu piedalīties elektroniskajā saskaņošanā</w:t>
            </w:r>
          </w:p>
        </w:tc>
        <w:tc>
          <w:tcPr>
            <w:tcW w:w="8830" w:type="dxa"/>
            <w:tcBorders>
              <w:top w:val="single" w:color="auto" w:sz="4" w:space="0"/>
            </w:tcBorders>
          </w:tcPr>
          <w:p w:rsidRPr="00C55801" w:rsidR="00241C4E" w:rsidP="0031204D" w:rsidRDefault="00241C4E" w14:paraId="5C18D2E1" w14:textId="77777777">
            <w:pPr>
              <w:jc w:val="both"/>
            </w:pPr>
          </w:p>
          <w:p w:rsidRPr="002E6B33" w:rsidR="00B077E9" w:rsidP="0031204D" w:rsidRDefault="00241C4E" w14:paraId="1E674C77" w14:textId="0AC185C0">
            <w:pPr>
              <w:jc w:val="both"/>
            </w:pPr>
            <w:r w:rsidRPr="00C55801">
              <w:t>20</w:t>
            </w:r>
            <w:r>
              <w:t>20</w:t>
            </w:r>
            <w:r w:rsidRPr="00C55801">
              <w:t>. gada 1</w:t>
            </w:r>
            <w:r>
              <w:t>0. jūnij</w:t>
            </w:r>
            <w:r w:rsidR="00EA406C">
              <w:t>s</w:t>
            </w:r>
            <w:r>
              <w:t xml:space="preserve"> </w:t>
            </w:r>
            <w:r w:rsidR="00EA406C">
              <w:t>-</w:t>
            </w:r>
            <w:r w:rsidR="00B077E9">
              <w:t xml:space="preserve"> </w:t>
            </w:r>
            <w:r w:rsidRPr="002E6B33" w:rsidR="00B077E9">
              <w:t>Finanš</w:t>
            </w:r>
            <w:r w:rsidR="00B077E9">
              <w:t xml:space="preserve">u </w:t>
            </w:r>
            <w:r w:rsidRPr="002E6B33" w:rsidR="00B077E9">
              <w:t>ministrij</w:t>
            </w:r>
            <w:r w:rsidR="00B077E9">
              <w:t>a</w:t>
            </w:r>
            <w:r w:rsidRPr="002E6B33" w:rsidR="00B077E9">
              <w:t xml:space="preserve"> atzinumu nesniedza. </w:t>
            </w:r>
          </w:p>
          <w:p w:rsidRPr="00C55801" w:rsidR="00241C4E" w:rsidP="0031204D" w:rsidRDefault="00241C4E" w14:paraId="380E8C6D" w14:textId="77777777">
            <w:pPr>
              <w:jc w:val="both"/>
            </w:pPr>
          </w:p>
          <w:p w:rsidR="00DF223C" w:rsidP="0031204D" w:rsidRDefault="00DF223C" w14:paraId="6A24E661" w14:textId="2DC03EED">
            <w:pPr>
              <w:jc w:val="both"/>
            </w:pPr>
            <w:r w:rsidRPr="00C55801">
              <w:t>20</w:t>
            </w:r>
            <w:r>
              <w:t>20</w:t>
            </w:r>
            <w:r w:rsidRPr="00C55801">
              <w:t xml:space="preserve">. gada </w:t>
            </w:r>
            <w:r>
              <w:t xml:space="preserve">7. jūlijs </w:t>
            </w:r>
            <w:r w:rsidR="00EA406C">
              <w:t>-</w:t>
            </w:r>
            <w:r w:rsidRPr="00C55801" w:rsidR="00241C4E">
              <w:t xml:space="preserve"> uz aicinājumu saskaņot </w:t>
            </w:r>
            <w:r w:rsidR="00EA406C">
              <w:t>likumprojektu</w:t>
            </w:r>
            <w:r w:rsidRPr="00C55801" w:rsidR="00241C4E">
              <w:t>, atbild</w:t>
            </w:r>
            <w:r>
              <w:t xml:space="preserve">e netika saņemta </w:t>
            </w:r>
            <w:r w:rsidRPr="002E6B33">
              <w:t>no Finanšu ministrijas, Aizsardzības ministrijas, Iekšlietu ministrijas.</w:t>
            </w:r>
          </w:p>
          <w:p w:rsidRPr="000B38B7" w:rsidR="00241C4E" w:rsidP="0031204D" w:rsidRDefault="00DF223C" w14:paraId="265B5F3F" w14:textId="5DE8285E">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r>
    </w:tbl>
    <w:p w:rsidR="009B1C51" w:rsidP="00A060DC" w:rsidRDefault="009B1C51" w14:paraId="4DCEAB3C" w14:textId="77777777">
      <w:pPr>
        <w:pStyle w:val="naisf"/>
        <w:spacing w:before="0" w:after="0"/>
        <w:ind w:firstLine="0"/>
        <w:jc w:val="center"/>
        <w:rPr>
          <w:b/>
        </w:rPr>
      </w:pPr>
    </w:p>
    <w:p w:rsidR="009B1C51" w:rsidP="00A060DC" w:rsidRDefault="009B1C51" w14:paraId="7025A106" w14:textId="433AC37E">
      <w:pPr>
        <w:pStyle w:val="naisf"/>
        <w:spacing w:before="0" w:after="0"/>
        <w:ind w:firstLine="0"/>
        <w:jc w:val="center"/>
        <w:rPr>
          <w:b/>
        </w:rPr>
      </w:pPr>
    </w:p>
    <w:p w:rsidR="0090540D" w:rsidP="00A060DC" w:rsidRDefault="0090540D" w14:paraId="406A97DC" w14:textId="77777777">
      <w:pPr>
        <w:pStyle w:val="naisf"/>
        <w:spacing w:before="0" w:after="0"/>
        <w:ind w:firstLine="0"/>
        <w:jc w:val="center"/>
        <w:rPr>
          <w:b/>
        </w:rPr>
      </w:pPr>
    </w:p>
    <w:p w:rsidR="009B1C51" w:rsidP="00A060DC" w:rsidRDefault="009B1C51" w14:paraId="70675E5E" w14:textId="77777777">
      <w:pPr>
        <w:pStyle w:val="naisf"/>
        <w:spacing w:before="0" w:after="0"/>
        <w:ind w:firstLine="0"/>
        <w:jc w:val="center"/>
        <w:rPr>
          <w:b/>
        </w:rPr>
      </w:pPr>
    </w:p>
    <w:p w:rsidR="00A060DC" w:rsidP="00A060DC" w:rsidRDefault="00A060DC" w14:paraId="0E23F0E2" w14:textId="25CE6A80">
      <w:pPr>
        <w:pStyle w:val="naisf"/>
        <w:spacing w:before="0" w:after="0"/>
        <w:ind w:firstLine="0"/>
        <w:jc w:val="center"/>
        <w:rPr>
          <w:b/>
        </w:rPr>
      </w:pPr>
      <w:r w:rsidRPr="000B38B7">
        <w:rPr>
          <w:b/>
        </w:rPr>
        <w:t>II. Jautājumi, par kuriem saskaņošanā vienošanās ir panākta</w:t>
      </w:r>
    </w:p>
    <w:p w:rsidRPr="000B38B7" w:rsidR="00B44B27" w:rsidP="00A060DC" w:rsidRDefault="00B44B27" w14:paraId="7AD88790" w14:textId="77777777">
      <w:pPr>
        <w:pStyle w:val="naisf"/>
        <w:spacing w:before="0" w:after="0"/>
        <w:ind w:firstLine="0"/>
        <w:jc w:val="center"/>
        <w:rPr>
          <w:b/>
        </w:rPr>
      </w:pPr>
    </w:p>
    <w:tbl>
      <w:tblPr>
        <w:tblW w:w="14317" w:type="dxa"/>
        <w:tblInd w:w="-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51"/>
        <w:gridCol w:w="2551"/>
        <w:gridCol w:w="5245"/>
        <w:gridCol w:w="2977"/>
        <w:gridCol w:w="2693"/>
      </w:tblGrid>
      <w:tr w:rsidRPr="000B38B7" w:rsidR="000B38B7" w:rsidTr="00F625E7" w14:paraId="0F72371E" w14:textId="77777777">
        <w:tc>
          <w:tcPr>
            <w:tcW w:w="851" w:type="dxa"/>
            <w:tcBorders>
              <w:top w:val="single" w:color="000000" w:sz="6" w:space="0"/>
              <w:left w:val="single" w:color="000000" w:sz="6" w:space="0"/>
              <w:bottom w:val="single" w:color="000000" w:sz="6" w:space="0"/>
              <w:right w:val="single" w:color="000000" w:sz="6" w:space="0"/>
            </w:tcBorders>
            <w:vAlign w:val="center"/>
          </w:tcPr>
          <w:p w:rsidRPr="000B38B7" w:rsidR="00A060DC" w:rsidP="005E6CCE" w:rsidRDefault="00A060DC" w14:paraId="1785163C" w14:textId="77777777">
            <w:pPr>
              <w:pStyle w:val="naisc"/>
              <w:spacing w:before="0" w:after="0"/>
            </w:pPr>
            <w:r w:rsidRPr="000B38B7">
              <w:t>Nr. p.k.</w:t>
            </w:r>
          </w:p>
        </w:tc>
        <w:tc>
          <w:tcPr>
            <w:tcW w:w="2551" w:type="dxa"/>
            <w:tcBorders>
              <w:top w:val="single" w:color="000000" w:sz="6" w:space="0"/>
              <w:left w:val="single" w:color="000000" w:sz="6" w:space="0"/>
              <w:bottom w:val="single" w:color="000000" w:sz="6" w:space="0"/>
              <w:right w:val="single" w:color="000000" w:sz="6" w:space="0"/>
            </w:tcBorders>
            <w:vAlign w:val="center"/>
          </w:tcPr>
          <w:p w:rsidRPr="000B38B7" w:rsidR="00A060DC" w:rsidP="005E6CCE" w:rsidRDefault="00A060DC" w14:paraId="67B2A8D4" w14:textId="77777777">
            <w:pPr>
              <w:pStyle w:val="naisc"/>
              <w:spacing w:before="0" w:after="0"/>
              <w:ind w:firstLine="12"/>
            </w:pPr>
            <w:r w:rsidRPr="000B38B7">
              <w:t>Saskaņošanai nosūtītā projekta redakcija (konkrēta punkta (panta) redakcija)</w:t>
            </w:r>
          </w:p>
        </w:tc>
        <w:tc>
          <w:tcPr>
            <w:tcW w:w="5245" w:type="dxa"/>
            <w:tcBorders>
              <w:top w:val="single" w:color="000000" w:sz="6" w:space="0"/>
              <w:left w:val="single" w:color="000000" w:sz="6" w:space="0"/>
              <w:bottom w:val="single" w:color="000000" w:sz="6" w:space="0"/>
              <w:right w:val="single" w:color="000000" w:sz="6" w:space="0"/>
            </w:tcBorders>
            <w:vAlign w:val="center"/>
          </w:tcPr>
          <w:p w:rsidRPr="000B38B7" w:rsidR="00A060DC" w:rsidP="005E6CCE" w:rsidRDefault="00A060DC" w14:paraId="4C03AD39" w14:textId="77777777">
            <w:pPr>
              <w:pStyle w:val="naisc"/>
              <w:spacing w:before="0" w:after="0"/>
              <w:ind w:right="3"/>
            </w:pPr>
            <w:r w:rsidRPr="000B38B7">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0B38B7" w:rsidR="00A060DC" w:rsidP="005E6CCE" w:rsidRDefault="00A060DC" w14:paraId="4419463D" w14:textId="77777777">
            <w:pPr>
              <w:pStyle w:val="naisc"/>
              <w:spacing w:before="0" w:after="0"/>
              <w:ind w:firstLine="21"/>
            </w:pPr>
            <w:r w:rsidRPr="000B38B7">
              <w:t>Atbildīgās ministrijas norāde par to, ka iebildums ir ņemts vērā, vai informācija par saskaņošanā panākto alternatīvo risinājumu</w:t>
            </w:r>
          </w:p>
        </w:tc>
        <w:tc>
          <w:tcPr>
            <w:tcW w:w="2693" w:type="dxa"/>
            <w:tcBorders>
              <w:top w:val="single" w:color="auto" w:sz="4" w:space="0"/>
              <w:left w:val="single" w:color="auto" w:sz="4" w:space="0"/>
              <w:bottom w:val="single" w:color="auto" w:sz="4" w:space="0"/>
            </w:tcBorders>
            <w:vAlign w:val="center"/>
          </w:tcPr>
          <w:p w:rsidRPr="000B38B7" w:rsidR="00A060DC" w:rsidP="005E6CCE" w:rsidRDefault="00A060DC" w14:paraId="18A86688" w14:textId="77777777">
            <w:pPr>
              <w:jc w:val="center"/>
            </w:pPr>
            <w:r w:rsidRPr="000B38B7">
              <w:t>Projekta attiecīgā punkta (panta) galīgā redakcija</w:t>
            </w:r>
          </w:p>
        </w:tc>
      </w:tr>
      <w:tr w:rsidRPr="000B38B7" w:rsidR="000B38B7" w:rsidTr="00F625E7" w14:paraId="4E298DCD" w14:textId="77777777">
        <w:tc>
          <w:tcPr>
            <w:tcW w:w="851" w:type="dxa"/>
            <w:tcBorders>
              <w:top w:val="single" w:color="000000" w:sz="6" w:space="0"/>
              <w:left w:val="single" w:color="000000" w:sz="6" w:space="0"/>
              <w:bottom w:val="single" w:color="000000" w:sz="6" w:space="0"/>
              <w:right w:val="single" w:color="000000" w:sz="6" w:space="0"/>
            </w:tcBorders>
          </w:tcPr>
          <w:p w:rsidRPr="000B38B7" w:rsidR="00A060DC" w:rsidP="005E6CCE" w:rsidRDefault="00A060DC" w14:paraId="2BB926DB" w14:textId="77777777">
            <w:pPr>
              <w:pStyle w:val="naisc"/>
              <w:spacing w:before="0" w:after="0"/>
              <w:rPr>
                <w:sz w:val="20"/>
                <w:szCs w:val="20"/>
              </w:rPr>
            </w:pPr>
            <w:r w:rsidRPr="000B38B7">
              <w:rPr>
                <w:sz w:val="20"/>
                <w:szCs w:val="20"/>
              </w:rPr>
              <w:t>1</w:t>
            </w:r>
          </w:p>
        </w:tc>
        <w:tc>
          <w:tcPr>
            <w:tcW w:w="2551" w:type="dxa"/>
            <w:tcBorders>
              <w:top w:val="single" w:color="000000" w:sz="6" w:space="0"/>
              <w:left w:val="single" w:color="000000" w:sz="6" w:space="0"/>
              <w:bottom w:val="single" w:color="000000" w:sz="6" w:space="0"/>
              <w:right w:val="single" w:color="000000" w:sz="6" w:space="0"/>
            </w:tcBorders>
          </w:tcPr>
          <w:p w:rsidRPr="000B38B7" w:rsidR="00A060DC" w:rsidP="005E6CCE" w:rsidRDefault="00A060DC" w14:paraId="791478CC" w14:textId="77777777">
            <w:pPr>
              <w:pStyle w:val="naisc"/>
              <w:spacing w:before="0" w:after="0"/>
              <w:rPr>
                <w:sz w:val="20"/>
                <w:szCs w:val="20"/>
              </w:rPr>
            </w:pPr>
            <w:r w:rsidRPr="000B38B7">
              <w:rPr>
                <w:sz w:val="20"/>
                <w:szCs w:val="20"/>
              </w:rPr>
              <w:t>2</w:t>
            </w:r>
          </w:p>
        </w:tc>
        <w:tc>
          <w:tcPr>
            <w:tcW w:w="5245" w:type="dxa"/>
            <w:tcBorders>
              <w:top w:val="single" w:color="000000" w:sz="6" w:space="0"/>
              <w:left w:val="single" w:color="000000" w:sz="6" w:space="0"/>
              <w:bottom w:val="single" w:color="000000" w:sz="6" w:space="0"/>
              <w:right w:val="single" w:color="000000" w:sz="6" w:space="0"/>
            </w:tcBorders>
          </w:tcPr>
          <w:p w:rsidRPr="000B38B7" w:rsidR="00A060DC" w:rsidP="005E6CCE" w:rsidRDefault="00A060DC" w14:paraId="216B10C3" w14:textId="77777777">
            <w:pPr>
              <w:pStyle w:val="naisc"/>
              <w:spacing w:before="0" w:after="0"/>
              <w:rPr>
                <w:sz w:val="20"/>
                <w:szCs w:val="20"/>
              </w:rPr>
            </w:pPr>
            <w:r w:rsidRPr="000B38B7">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0B38B7" w:rsidR="00A060DC" w:rsidP="005E6CCE" w:rsidRDefault="00A060DC" w14:paraId="236EDCFD" w14:textId="77777777">
            <w:pPr>
              <w:pStyle w:val="naisc"/>
              <w:spacing w:before="0" w:after="0"/>
              <w:rPr>
                <w:sz w:val="20"/>
                <w:szCs w:val="20"/>
              </w:rPr>
            </w:pPr>
            <w:r w:rsidRPr="000B38B7">
              <w:rPr>
                <w:sz w:val="20"/>
                <w:szCs w:val="20"/>
              </w:rPr>
              <w:t>4</w:t>
            </w:r>
          </w:p>
        </w:tc>
        <w:tc>
          <w:tcPr>
            <w:tcW w:w="2693" w:type="dxa"/>
            <w:tcBorders>
              <w:top w:val="single" w:color="auto" w:sz="4" w:space="0"/>
              <w:left w:val="single" w:color="auto" w:sz="4" w:space="0"/>
              <w:bottom w:val="single" w:color="auto" w:sz="4" w:space="0"/>
            </w:tcBorders>
          </w:tcPr>
          <w:p w:rsidRPr="000B38B7" w:rsidR="00A060DC" w:rsidP="005E6CCE" w:rsidRDefault="00A060DC" w14:paraId="6F2088B6" w14:textId="77777777">
            <w:pPr>
              <w:jc w:val="center"/>
              <w:rPr>
                <w:sz w:val="20"/>
                <w:szCs w:val="20"/>
              </w:rPr>
            </w:pPr>
            <w:r w:rsidRPr="000B38B7">
              <w:rPr>
                <w:sz w:val="20"/>
                <w:szCs w:val="20"/>
              </w:rPr>
              <w:t>5</w:t>
            </w:r>
          </w:p>
        </w:tc>
      </w:tr>
      <w:tr w:rsidRPr="000B38B7" w:rsidR="00B1485D" w:rsidTr="00714153" w14:paraId="5BB26D8B" w14:textId="77777777">
        <w:tc>
          <w:tcPr>
            <w:tcW w:w="14317" w:type="dxa"/>
            <w:gridSpan w:val="5"/>
            <w:tcBorders>
              <w:top w:val="single" w:color="000000" w:sz="6" w:space="0"/>
              <w:left w:val="single" w:color="000000" w:sz="6" w:space="0"/>
              <w:bottom w:val="single" w:color="000000" w:sz="6" w:space="0"/>
            </w:tcBorders>
          </w:tcPr>
          <w:p w:rsidRPr="00B1485D" w:rsidR="00B1485D" w:rsidP="005E6CCE" w:rsidRDefault="00B1485D" w14:paraId="1268DB51" w14:textId="38F6D3A8">
            <w:pPr>
              <w:jc w:val="center"/>
              <w:rPr>
                <w:b/>
                <w:bCs/>
              </w:rPr>
            </w:pPr>
            <w:r w:rsidRPr="00B1485D">
              <w:rPr>
                <w:b/>
                <w:bCs/>
              </w:rPr>
              <w:t>Veselības ministrijas 2020.</w:t>
            </w:r>
            <w:r w:rsidR="00062B2A">
              <w:rPr>
                <w:b/>
                <w:bCs/>
              </w:rPr>
              <w:t> </w:t>
            </w:r>
            <w:r w:rsidRPr="00B1485D">
              <w:rPr>
                <w:b/>
                <w:bCs/>
              </w:rPr>
              <w:t>gada 8.</w:t>
            </w:r>
            <w:r w:rsidR="00062B2A">
              <w:rPr>
                <w:b/>
                <w:bCs/>
              </w:rPr>
              <w:t> </w:t>
            </w:r>
            <w:r w:rsidRPr="00B1485D">
              <w:rPr>
                <w:b/>
                <w:bCs/>
              </w:rPr>
              <w:t>marta atzinums Nr.</w:t>
            </w:r>
            <w:r w:rsidR="00062B2A">
              <w:rPr>
                <w:b/>
                <w:bCs/>
              </w:rPr>
              <w:t> </w:t>
            </w:r>
            <w:r w:rsidRPr="00B1485D">
              <w:rPr>
                <w:b/>
                <w:bCs/>
              </w:rPr>
              <w:t>01-09/1181</w:t>
            </w:r>
          </w:p>
        </w:tc>
      </w:tr>
      <w:tr w:rsidRPr="000B38B7" w:rsidR="00504E80" w:rsidTr="00F625E7" w14:paraId="5D5826C7" w14:textId="77777777">
        <w:tc>
          <w:tcPr>
            <w:tcW w:w="851" w:type="dxa"/>
            <w:tcBorders>
              <w:top w:val="single" w:color="000000" w:sz="6" w:space="0"/>
              <w:left w:val="single" w:color="000000" w:sz="6" w:space="0"/>
              <w:bottom w:val="single" w:color="000000" w:sz="6" w:space="0"/>
              <w:right w:val="single" w:color="000000" w:sz="6" w:space="0"/>
            </w:tcBorders>
          </w:tcPr>
          <w:p w:rsidRPr="004751BB" w:rsidR="00504E80" w:rsidP="005E6CCE" w:rsidRDefault="004751BB" w14:paraId="06F100F1" w14:textId="2BD0706E">
            <w:pPr>
              <w:pStyle w:val="naisc"/>
              <w:spacing w:before="0" w:after="0"/>
            </w:pPr>
            <w:r w:rsidRPr="004751BB">
              <w:t>1.</w:t>
            </w:r>
          </w:p>
          <w:p w:rsidR="00504E80" w:rsidP="005E6CCE" w:rsidRDefault="00504E80" w14:paraId="1B704690" w14:textId="77777777">
            <w:pPr>
              <w:pStyle w:val="naisc"/>
              <w:spacing w:before="0" w:after="0"/>
              <w:rPr>
                <w:sz w:val="20"/>
                <w:szCs w:val="20"/>
              </w:rPr>
            </w:pPr>
          </w:p>
          <w:p w:rsidRPr="000B38B7" w:rsidR="00504E80" w:rsidP="005E6CCE" w:rsidRDefault="00504E80" w14:paraId="3B8E7162" w14:textId="66BDD3B9">
            <w:pPr>
              <w:pStyle w:val="naisc"/>
              <w:spacing w:before="0" w:after="0"/>
              <w:rPr>
                <w:sz w:val="20"/>
                <w:szCs w:val="20"/>
              </w:rPr>
            </w:pPr>
          </w:p>
        </w:tc>
        <w:tc>
          <w:tcPr>
            <w:tcW w:w="2551" w:type="dxa"/>
            <w:tcBorders>
              <w:top w:val="single" w:color="000000" w:sz="6" w:space="0"/>
              <w:left w:val="single" w:color="000000" w:sz="6" w:space="0"/>
              <w:bottom w:val="single" w:color="000000" w:sz="6" w:space="0"/>
              <w:right w:val="single" w:color="000000" w:sz="6" w:space="0"/>
            </w:tcBorders>
          </w:tcPr>
          <w:p w:rsidRPr="000B38B7" w:rsidR="004751BB" w:rsidP="004751BB" w:rsidRDefault="004751BB" w14:paraId="4CCF6788" w14:textId="118227A9">
            <w:pPr>
              <w:pStyle w:val="naisc"/>
              <w:spacing w:before="0" w:after="0"/>
              <w:jc w:val="left"/>
            </w:pPr>
            <w:r w:rsidRPr="000B38B7">
              <w:t>Likumprojekta 1.</w:t>
            </w:r>
            <w:r w:rsidR="00062B2A">
              <w:t> </w:t>
            </w:r>
            <w:r w:rsidRPr="000B38B7">
              <w:t>pants un anotācijas I sadaļas 2.</w:t>
            </w:r>
            <w:r w:rsidR="004D5513">
              <w:t> </w:t>
            </w:r>
            <w:r w:rsidRPr="000B38B7">
              <w:t xml:space="preserve">punkts </w:t>
            </w:r>
          </w:p>
          <w:p w:rsidRPr="000B38B7" w:rsidR="00504E80" w:rsidP="005E6CCE" w:rsidRDefault="00504E80" w14:paraId="62A0A1FA" w14:textId="77777777">
            <w:pPr>
              <w:pStyle w:val="naisc"/>
              <w:spacing w:before="0" w:after="0"/>
              <w:rPr>
                <w:sz w:val="20"/>
                <w:szCs w:val="20"/>
              </w:rPr>
            </w:pPr>
          </w:p>
        </w:tc>
        <w:tc>
          <w:tcPr>
            <w:tcW w:w="5245" w:type="dxa"/>
            <w:tcBorders>
              <w:top w:val="single" w:color="000000" w:sz="6" w:space="0"/>
              <w:left w:val="single" w:color="000000" w:sz="6" w:space="0"/>
              <w:bottom w:val="single" w:color="000000" w:sz="6" w:space="0"/>
              <w:right w:val="single" w:color="000000" w:sz="6" w:space="0"/>
            </w:tcBorders>
          </w:tcPr>
          <w:p w:rsidRPr="000B38B7" w:rsidR="00504E80" w:rsidP="00504E80" w:rsidRDefault="00504E80" w14:paraId="6E018A7F" w14:textId="678CDC1F">
            <w:pPr>
              <w:ind w:firstLine="317"/>
              <w:contextualSpacing/>
              <w:jc w:val="both"/>
              <w:rPr>
                <w:bCs/>
              </w:rPr>
            </w:pPr>
            <w:r w:rsidRPr="000B38B7">
              <w:rPr>
                <w:bCs/>
              </w:rPr>
              <w:t>Likumprojektā iekļautais grozījums Ieslodzījuma vietu pārvaldes likumā (turpmāk – likums), kas paredz 22.</w:t>
            </w:r>
            <w:r w:rsidR="004D5513">
              <w:rPr>
                <w:bCs/>
              </w:rPr>
              <w:t xml:space="preserve"> </w:t>
            </w:r>
            <w:r w:rsidRPr="000B38B7">
              <w:rPr>
                <w:bCs/>
              </w:rPr>
              <w:t>panta pirmo daļu papildināt ar 10. punktu (likumprojekta 2.</w:t>
            </w:r>
            <w:r w:rsidR="004D5513">
              <w:rPr>
                <w:bCs/>
              </w:rPr>
              <w:t xml:space="preserve"> </w:t>
            </w:r>
            <w:r w:rsidRPr="000B38B7">
              <w:rPr>
                <w:bCs/>
              </w:rPr>
              <w:t>pants), neatbilst Pacientu tiesību likumā, kā arī Eiropas Parlamenta un Padomes 2016.</w:t>
            </w:r>
            <w:r w:rsidR="004D5513">
              <w:rPr>
                <w:bCs/>
              </w:rPr>
              <w:t xml:space="preserve"> </w:t>
            </w:r>
            <w:r w:rsidRPr="000B38B7">
              <w:rPr>
                <w:bCs/>
              </w:rPr>
              <w:t>gada 27.</w:t>
            </w:r>
            <w:r w:rsidR="004D5513">
              <w:rPr>
                <w:bCs/>
              </w:rPr>
              <w:t xml:space="preserve"> </w:t>
            </w:r>
            <w:r w:rsidRPr="000B38B7">
              <w:rPr>
                <w:bCs/>
              </w:rPr>
              <w:t>aprīļa regulā (ES) 2016/679 par fizisku personu aizsardzību attiecībā uz personas datu apstrādi un šādu datu brīvu apriti un ar ko atceļ Direktīvu 95/46/EK (turpmāk – Datu regula) noteiktajiem datu apstrādes principiem.</w:t>
            </w:r>
          </w:p>
          <w:p w:rsidRPr="000B38B7" w:rsidR="00504E80" w:rsidP="00504E80" w:rsidRDefault="00504E80" w14:paraId="4C2B185B" w14:textId="289C5360">
            <w:pPr>
              <w:ind w:firstLine="317"/>
              <w:contextualSpacing/>
              <w:jc w:val="both"/>
              <w:rPr>
                <w:bCs/>
              </w:rPr>
            </w:pPr>
            <w:r w:rsidRPr="000B38B7">
              <w:rPr>
                <w:bCs/>
              </w:rPr>
              <w:t>Saskaņā ar Pacientu tiesību likuma 10.</w:t>
            </w:r>
            <w:r w:rsidR="006020C5">
              <w:rPr>
                <w:bCs/>
              </w:rPr>
              <w:t xml:space="preserve"> </w:t>
            </w:r>
            <w:r w:rsidRPr="000B38B7">
              <w:rPr>
                <w:bCs/>
              </w:rPr>
              <w:t xml:space="preserve">panta pirmo un otro daļu informācija, kas attiecas uz identificētu vai identificējamu pacientu, ir aizsargājama saskaņā ar fizisko personu datu aizsardzību regulējošiem normatīvajiem aktiem, vienlaikus nodrošinot, ka informāciju par pacientu izpauž tikai ar personas rakstveida piekrišanu. Pēc iepriekš minētā secināms, ka informācija, kas saistīta ar personas (pacienta) veselības stāvokli, uzskatāma par īpaši aizsargājamu. Līdz ar to institūciju loks un </w:t>
            </w:r>
            <w:r w:rsidRPr="000B38B7">
              <w:rPr>
                <w:bCs/>
              </w:rPr>
              <w:lastRenderedPageBreak/>
              <w:t>tām pieejamās informācijas apjoms tiek pakļauts ierobežojumiem. Proti, pieeja šādai informācijai tiek nodrošināta tikai tādām institūcijām, kuras veic steidzamas un neatliekamas darbības konkrētu personu interešu aizsardzībai un tiesībpārkāpumu novēršanai vai kuru funkciju izpilde ir tieši saistīta ar informācijas par pacientu apstrādi, nodrošinot veselības aprūpes pakalpojumu sniegšanu. Vienlaikus informējam, ka minētie grozījumi neatbilst Pacientu tiesību aizsardzības likuma 10.</w:t>
            </w:r>
            <w:r w:rsidRPr="000B38B7">
              <w:t> </w:t>
            </w:r>
            <w:r w:rsidRPr="000B38B7">
              <w:rPr>
                <w:bCs/>
              </w:rPr>
              <w:t xml:space="preserve">panta piektajai daļai. </w:t>
            </w:r>
            <w:r w:rsidRPr="00306919">
              <w:rPr>
                <w:bCs/>
              </w:rPr>
              <w:t>Proti, Pacientu tiesību aizsardzības likums neparedz tiesības Ieslodzījumu vietu pārvaldē nodarbinātajām amatpersonām pieprasīt informāciju par pacientu kompetencē ietilpstošo uzdevuma veikšanai.</w:t>
            </w:r>
          </w:p>
          <w:p w:rsidRPr="000B38B7" w:rsidR="00504E80" w:rsidP="00504E80" w:rsidRDefault="00504E80" w14:paraId="2C523C64" w14:textId="126256EB">
            <w:pPr>
              <w:ind w:firstLine="317"/>
              <w:contextualSpacing/>
              <w:jc w:val="both"/>
              <w:rPr>
                <w:bCs/>
              </w:rPr>
            </w:pPr>
            <w:r w:rsidRPr="000B38B7">
              <w:rPr>
                <w:bCs/>
              </w:rPr>
              <w:t>Tāpat norādām, ka likumprojekts un tā anotācija nesniedz pietiekamu personas datu aizsardzības izvērtējumu, atbilstoši Datu aizsardzības regulas 35. </w:t>
            </w:r>
            <w:r w:rsidR="00D7513A">
              <w:rPr>
                <w:bCs/>
              </w:rPr>
              <w:t xml:space="preserve"> </w:t>
            </w:r>
            <w:r w:rsidRPr="000B38B7">
              <w:rPr>
                <w:bCs/>
              </w:rPr>
              <w:t xml:space="preserve">pantā noteiktajam. Proti, piedāvātie grozījumi nenorāda skaidru datu apstrādes </w:t>
            </w:r>
            <w:r w:rsidRPr="00306919">
              <w:rPr>
                <w:bCs/>
              </w:rPr>
              <w:t xml:space="preserve">mērķi, likumprojektā nav norādīts tas pacienta </w:t>
            </w:r>
            <w:r w:rsidRPr="00973F56">
              <w:rPr>
                <w:bCs/>
              </w:rPr>
              <w:t xml:space="preserve">datu apjoms, kas ir minimāli nepieciešams konkrētā mērķa sasniegšanai, nav norādes par šādu datu glabāšanu, kā arī nav sniegts novērtējums par apstrādes darbību </w:t>
            </w:r>
            <w:r w:rsidRPr="006A1A55">
              <w:rPr>
                <w:bCs/>
              </w:rPr>
              <w:t>nepieciešamību</w:t>
            </w:r>
            <w:r w:rsidRPr="000B38B7">
              <w:rPr>
                <w:bCs/>
              </w:rPr>
              <w:t xml:space="preserve"> un </w:t>
            </w:r>
            <w:r w:rsidRPr="00306919">
              <w:rPr>
                <w:bCs/>
              </w:rPr>
              <w:t>samērīgumu</w:t>
            </w:r>
            <w:r w:rsidRPr="000B38B7">
              <w:rPr>
                <w:bCs/>
              </w:rPr>
              <w:t xml:space="preserve"> attiecībā uz nolūkiem.</w:t>
            </w:r>
          </w:p>
          <w:p w:rsidRPr="000B38B7" w:rsidR="00504E80" w:rsidP="008620A0" w:rsidRDefault="00504E80" w14:paraId="4772EACE" w14:textId="380421F3">
            <w:pPr>
              <w:pStyle w:val="naisc"/>
              <w:spacing w:before="0" w:after="0"/>
              <w:ind w:firstLine="454"/>
              <w:jc w:val="both"/>
              <w:rPr>
                <w:sz w:val="20"/>
                <w:szCs w:val="20"/>
              </w:rPr>
            </w:pPr>
            <w:r w:rsidRPr="000B38B7">
              <w:rPr>
                <w:bCs/>
              </w:rPr>
              <w:t>Pamatojoties uz iepriekš minēto, Veselības ministrija iebilst pret likumprojekta 2.</w:t>
            </w:r>
            <w:r w:rsidR="00C94103">
              <w:rPr>
                <w:bCs/>
              </w:rPr>
              <w:t xml:space="preserve"> </w:t>
            </w:r>
            <w:r w:rsidRPr="000B38B7">
              <w:rPr>
                <w:bCs/>
              </w:rPr>
              <w:t>pantā iekļauto grozījumu, kas paredz papildināt Ieslodzījuma vietu pārvades likuma 22.</w:t>
            </w:r>
            <w:r w:rsidR="00C94103">
              <w:rPr>
                <w:bCs/>
              </w:rPr>
              <w:t xml:space="preserve"> </w:t>
            </w:r>
            <w:r w:rsidRPr="000B38B7">
              <w:rPr>
                <w:bCs/>
              </w:rPr>
              <w:t>panta pirmo daļu ar 10.</w:t>
            </w:r>
            <w:r w:rsidR="00D7513A">
              <w:rPr>
                <w:bCs/>
              </w:rPr>
              <w:t xml:space="preserve"> </w:t>
            </w:r>
            <w:r w:rsidRPr="000B38B7">
              <w:rPr>
                <w:bCs/>
              </w:rPr>
              <w:t>punktu un lūdz to izslēgt no likumprojekta, attiecīgi precizējot likumprojektu un tā anotāciju.</w:t>
            </w:r>
          </w:p>
        </w:tc>
        <w:tc>
          <w:tcPr>
            <w:tcW w:w="2977" w:type="dxa"/>
            <w:tcBorders>
              <w:top w:val="single" w:color="000000" w:sz="6" w:space="0"/>
              <w:left w:val="single" w:color="000000" w:sz="6" w:space="0"/>
              <w:bottom w:val="single" w:color="000000" w:sz="6" w:space="0"/>
              <w:right w:val="single" w:color="000000" w:sz="6" w:space="0"/>
            </w:tcBorders>
          </w:tcPr>
          <w:p w:rsidRPr="004751BB" w:rsidR="00504E80" w:rsidP="005E6CCE" w:rsidRDefault="004751BB" w14:paraId="1EA6CBC3" w14:textId="7D366FAA">
            <w:pPr>
              <w:pStyle w:val="naisc"/>
              <w:spacing w:before="0" w:after="0"/>
              <w:rPr>
                <w:b/>
                <w:bCs/>
              </w:rPr>
            </w:pPr>
            <w:r w:rsidRPr="004751BB">
              <w:rPr>
                <w:b/>
                <w:bCs/>
              </w:rPr>
              <w:lastRenderedPageBreak/>
              <w:t>Ņemts vērā</w:t>
            </w:r>
          </w:p>
        </w:tc>
        <w:tc>
          <w:tcPr>
            <w:tcW w:w="2693" w:type="dxa"/>
            <w:tcBorders>
              <w:top w:val="single" w:color="auto" w:sz="4" w:space="0"/>
              <w:left w:val="single" w:color="auto" w:sz="4" w:space="0"/>
              <w:bottom w:val="single" w:color="auto" w:sz="4" w:space="0"/>
            </w:tcBorders>
          </w:tcPr>
          <w:p w:rsidRPr="000B38B7" w:rsidR="00504E80" w:rsidP="005B104A" w:rsidRDefault="005B104A" w14:paraId="7FE3B308" w14:textId="73D834E8">
            <w:pPr>
              <w:jc w:val="both"/>
              <w:rPr>
                <w:sz w:val="20"/>
                <w:szCs w:val="20"/>
              </w:rPr>
            </w:pPr>
            <w:r w:rsidRPr="000B38B7">
              <w:rPr>
                <w:bCs/>
              </w:rPr>
              <w:t>Likumprojektā iekļautais grozījums Ieslodzījuma vietu pārvaldes likumā, kas paredz 22.</w:t>
            </w:r>
            <w:r w:rsidR="00062B2A">
              <w:rPr>
                <w:bCs/>
              </w:rPr>
              <w:t> </w:t>
            </w:r>
            <w:r w:rsidRPr="000B38B7">
              <w:rPr>
                <w:bCs/>
              </w:rPr>
              <w:t>panta pirmo daļu papildināt ar 1</w:t>
            </w:r>
            <w:r w:rsidR="0093361D">
              <w:rPr>
                <w:bCs/>
              </w:rPr>
              <w:t>1</w:t>
            </w:r>
            <w:r w:rsidRPr="000B38B7">
              <w:rPr>
                <w:bCs/>
              </w:rPr>
              <w:t>.</w:t>
            </w:r>
            <w:r w:rsidR="004D5513">
              <w:rPr>
                <w:bCs/>
              </w:rPr>
              <w:t> </w:t>
            </w:r>
            <w:r w:rsidRPr="000B38B7">
              <w:rPr>
                <w:bCs/>
              </w:rPr>
              <w:t>punktu (likumprojekta 2.</w:t>
            </w:r>
            <w:r w:rsidR="00062B2A">
              <w:rPr>
                <w:bCs/>
              </w:rPr>
              <w:t> </w:t>
            </w:r>
            <w:r w:rsidRPr="000B38B7">
              <w:rPr>
                <w:bCs/>
              </w:rPr>
              <w:t>pants)</w:t>
            </w:r>
            <w:r w:rsidR="008620A0">
              <w:rPr>
                <w:bCs/>
              </w:rPr>
              <w:t>,</w:t>
            </w:r>
            <w:r>
              <w:rPr>
                <w:bCs/>
              </w:rPr>
              <w:t xml:space="preserve"> svītrots</w:t>
            </w:r>
          </w:p>
        </w:tc>
      </w:tr>
      <w:tr w:rsidRPr="000B38B7" w:rsidR="000B38B7" w:rsidTr="00714153" w14:paraId="30125095" w14:textId="77777777">
        <w:tc>
          <w:tcPr>
            <w:tcW w:w="14317" w:type="dxa"/>
            <w:gridSpan w:val="5"/>
            <w:tcBorders>
              <w:top w:val="single" w:color="000000" w:sz="6" w:space="0"/>
              <w:left w:val="single" w:color="000000" w:sz="6" w:space="0"/>
              <w:bottom w:val="single" w:color="000000" w:sz="6" w:space="0"/>
            </w:tcBorders>
          </w:tcPr>
          <w:p w:rsidRPr="000B38B7" w:rsidR="005C5DE4" w:rsidP="005E6CCE" w:rsidRDefault="004D7A25" w14:paraId="2B31C9AA" w14:textId="22295883">
            <w:pPr>
              <w:jc w:val="center"/>
              <w:rPr>
                <w:sz w:val="20"/>
                <w:szCs w:val="20"/>
              </w:rPr>
            </w:pPr>
            <w:r w:rsidRPr="000B38B7">
              <w:rPr>
                <w:b/>
              </w:rPr>
              <w:lastRenderedPageBreak/>
              <w:t>Korupcijas novēršanas un apkarošanas biroja 2020.</w:t>
            </w:r>
            <w:r w:rsidR="00062B2A">
              <w:rPr>
                <w:b/>
              </w:rPr>
              <w:t> </w:t>
            </w:r>
            <w:r w:rsidRPr="000B38B7">
              <w:rPr>
                <w:b/>
              </w:rPr>
              <w:t>gada 5.</w:t>
            </w:r>
            <w:r w:rsidR="00062B2A">
              <w:rPr>
                <w:b/>
              </w:rPr>
              <w:t> </w:t>
            </w:r>
            <w:r w:rsidRPr="000B38B7">
              <w:rPr>
                <w:b/>
              </w:rPr>
              <w:t>marta atzinums Nr.</w:t>
            </w:r>
            <w:r w:rsidR="00062B2A">
              <w:rPr>
                <w:b/>
              </w:rPr>
              <w:t> </w:t>
            </w:r>
            <w:r w:rsidRPr="000B38B7">
              <w:rPr>
                <w:b/>
              </w:rPr>
              <w:t>1/1251</w:t>
            </w:r>
          </w:p>
        </w:tc>
      </w:tr>
      <w:tr w:rsidRPr="000B38B7" w:rsidR="000B38B7" w:rsidTr="00F625E7" w14:paraId="68F1AF84" w14:textId="77777777">
        <w:tc>
          <w:tcPr>
            <w:tcW w:w="851" w:type="dxa"/>
            <w:tcBorders>
              <w:top w:val="single" w:color="000000" w:sz="6" w:space="0"/>
              <w:left w:val="single" w:color="000000" w:sz="6" w:space="0"/>
              <w:bottom w:val="single" w:color="000000" w:sz="6" w:space="0"/>
              <w:right w:val="single" w:color="000000" w:sz="6" w:space="0"/>
            </w:tcBorders>
          </w:tcPr>
          <w:p w:rsidRPr="000B38B7" w:rsidR="005C5DE4" w:rsidP="004751BB" w:rsidRDefault="004751BB" w14:paraId="49AA2517" w14:textId="3935EB1B">
            <w:pPr>
              <w:pStyle w:val="naisc"/>
              <w:spacing w:before="0" w:after="0"/>
              <w:rPr>
                <w:sz w:val="20"/>
                <w:szCs w:val="20"/>
              </w:rPr>
            </w:pPr>
            <w:r>
              <w:rPr>
                <w:sz w:val="20"/>
                <w:szCs w:val="20"/>
              </w:rPr>
              <w:t>2.</w:t>
            </w:r>
          </w:p>
        </w:tc>
        <w:tc>
          <w:tcPr>
            <w:tcW w:w="2551" w:type="dxa"/>
            <w:tcBorders>
              <w:top w:val="single" w:color="000000" w:sz="6" w:space="0"/>
              <w:left w:val="single" w:color="000000" w:sz="6" w:space="0"/>
              <w:bottom w:val="single" w:color="000000" w:sz="6" w:space="0"/>
              <w:right w:val="single" w:color="000000" w:sz="6" w:space="0"/>
            </w:tcBorders>
          </w:tcPr>
          <w:p w:rsidRPr="000B38B7" w:rsidR="000B38B7" w:rsidP="000B38B7" w:rsidRDefault="000B38B7" w14:paraId="30913025" w14:textId="77777777">
            <w:pPr>
              <w:pStyle w:val="naisf"/>
              <w:spacing w:before="0" w:after="0"/>
              <w:ind w:firstLine="0"/>
            </w:pPr>
            <w:r w:rsidRPr="00063F7D">
              <w:rPr>
                <w:sz w:val="28"/>
                <w:szCs w:val="28"/>
              </w:rPr>
              <w:t>1</w:t>
            </w:r>
            <w:r w:rsidRPr="000B38B7">
              <w:t>. 8. pantā:</w:t>
            </w:r>
          </w:p>
          <w:p w:rsidRPr="000B38B7" w:rsidR="000B38B7" w:rsidP="000B38B7" w:rsidRDefault="000B38B7" w14:paraId="4D10A9E4" w14:textId="77777777">
            <w:pPr>
              <w:pStyle w:val="naisf"/>
              <w:spacing w:before="0" w:after="0"/>
              <w:ind w:firstLine="0"/>
            </w:pPr>
            <w:r w:rsidRPr="000B38B7">
              <w:t>papildināt pirmo daļu ar 9. punktu šādā redakcijā:</w:t>
            </w:r>
          </w:p>
          <w:p w:rsidRPr="000B38B7" w:rsidR="000B38B7" w:rsidP="000B38B7" w:rsidRDefault="000B38B7" w14:paraId="5ABE0187" w14:textId="77777777">
            <w:pPr>
              <w:pStyle w:val="naisf"/>
              <w:spacing w:before="0" w:after="0"/>
              <w:ind w:firstLine="0"/>
            </w:pPr>
            <w:r w:rsidRPr="000B38B7">
              <w:t>"9) Valsts drošības iestādes amatpersonām.";</w:t>
            </w:r>
          </w:p>
          <w:p w:rsidR="000B38B7" w:rsidP="00B452CC" w:rsidRDefault="000B38B7" w14:paraId="7240E9EA" w14:textId="77777777">
            <w:pPr>
              <w:pStyle w:val="naisc"/>
              <w:spacing w:before="0" w:after="0"/>
              <w:jc w:val="left"/>
            </w:pPr>
          </w:p>
          <w:p w:rsidRPr="000B38B7" w:rsidR="005C5DE4" w:rsidP="00B452CC" w:rsidRDefault="000B38B7" w14:paraId="1F5DCFB4" w14:textId="6CF50B2F">
            <w:pPr>
              <w:pStyle w:val="naisc"/>
              <w:spacing w:before="0" w:after="0"/>
              <w:jc w:val="left"/>
            </w:pPr>
            <w:r>
              <w:t>L</w:t>
            </w:r>
            <w:r w:rsidRPr="000B38B7" w:rsidR="004D7A25">
              <w:t>ikumprojekta 1.</w:t>
            </w:r>
            <w:r w:rsidR="00062B2A">
              <w:t> </w:t>
            </w:r>
            <w:r w:rsidRPr="000B38B7" w:rsidR="004D7A25">
              <w:t xml:space="preserve">pants </w:t>
            </w:r>
            <w:r w:rsidRPr="000B38B7" w:rsidR="00D674ED">
              <w:t xml:space="preserve">un anotācijas </w:t>
            </w:r>
            <w:r w:rsidRPr="000B38B7" w:rsidR="00F31D17">
              <w:t>I sadaļas 2.</w:t>
            </w:r>
            <w:r w:rsidR="004D5513">
              <w:t> </w:t>
            </w:r>
            <w:r w:rsidRPr="000B38B7" w:rsidR="00F31D17">
              <w:t xml:space="preserve">punkts </w:t>
            </w:r>
          </w:p>
          <w:p w:rsidRPr="000B38B7" w:rsidR="005C5DE4" w:rsidP="005E6CCE" w:rsidRDefault="005C5DE4" w14:paraId="6CF5F8E4" w14:textId="77777777">
            <w:pPr>
              <w:pStyle w:val="naisc"/>
              <w:spacing w:before="0" w:after="0"/>
              <w:rPr>
                <w:sz w:val="20"/>
                <w:szCs w:val="20"/>
              </w:rPr>
            </w:pPr>
          </w:p>
        </w:tc>
        <w:tc>
          <w:tcPr>
            <w:tcW w:w="5245" w:type="dxa"/>
            <w:tcBorders>
              <w:top w:val="single" w:color="000000" w:sz="6" w:space="0"/>
              <w:left w:val="single" w:color="000000" w:sz="6" w:space="0"/>
              <w:bottom w:val="single" w:color="000000" w:sz="6" w:space="0"/>
              <w:right w:val="single" w:color="000000" w:sz="6" w:space="0"/>
            </w:tcBorders>
          </w:tcPr>
          <w:p w:rsidRPr="000B38B7" w:rsidR="004D7A25" w:rsidP="00A22F30" w:rsidRDefault="004D7A25" w14:paraId="3B5D12EB" w14:textId="73F76554">
            <w:pPr>
              <w:ind w:firstLine="460"/>
              <w:jc w:val="both"/>
            </w:pPr>
            <w:r w:rsidRPr="000B38B7">
              <w:t>Saskaņā ar Korupcijas novēršanas un apkarošanas biroja likuma 2.</w:t>
            </w:r>
            <w:r w:rsidR="00483C0D">
              <w:t xml:space="preserve"> </w:t>
            </w:r>
            <w:r w:rsidRPr="000B38B7">
              <w:t>panta pirmo un trešo daļu Birojs ir tiešās pārvaldes iestāde, kas pilda likumā noteiktās funkcijas korupcijas novēršanā un apkarošanā, un ir operatīvās darbības subjekts. Atbilstoši Kriminālprocesa likuma 386.</w:t>
            </w:r>
            <w:r w:rsidR="00D7513A">
              <w:t xml:space="preserve"> </w:t>
            </w:r>
            <w:r w:rsidRPr="000B38B7">
              <w:t>panta pirmās daļas 6.</w:t>
            </w:r>
            <w:r w:rsidR="00D7513A">
              <w:t> </w:t>
            </w:r>
            <w:r w:rsidRPr="000B38B7">
              <w:t>punktam Birojs ir izmeklēšanas iestāde. Korupcijas novēršanas un apkarošanas biroja likuma 10.</w:t>
            </w:r>
            <w:r w:rsidR="00D7513A">
              <w:t xml:space="preserve"> </w:t>
            </w:r>
            <w:r w:rsidRPr="000B38B7">
              <w:t>panta pirmās daļas 9.</w:t>
            </w:r>
            <w:r w:rsidR="00D7513A">
              <w:t xml:space="preserve"> </w:t>
            </w:r>
            <w:r w:rsidRPr="000B38B7">
              <w:t xml:space="preserve">punkts nosaka, ka Biroja amatpersonai atbilstoši tās kompetencei ir tiesības, uzrādot dienesta apliecību, brīvi apmeklēt valsts pārvaldes un pašvaldību iestādes, kā arī Latvijas teritorijā izvietotās juridiskajām un fiziskajām personām piederošās vai to lietošanā esošās ražošanas telpas, noliktavas, tirdzniecības un citas nedzīvojamās telpas. Tomēr Biroja amatpersonas bez speciālas atļaujas nevar apmeklēt ieslodzījuma vietas. Birojs vērš uzmanību, ka Birojs veic līdzīgas un salīdzināmas funkcijas ar Iekšējās drošības biroja un valsts drošības iestāžu funkcijām. Jānorāda, ka, līdzīgi kā Biroja amatpersonām, tiesībsargam, Iekšējās drošības biroja un valsts drošības iestāžu amatpersonām speciālajos likumos ir noteiktas tiesības, uzrādot dienesta apliecību, brīvi apmeklēt valsts pārvaldes un pašvaldību iestādes. Tomēr šīm amatpersonām likumā ir īpaši paredzētas tiesības </w:t>
            </w:r>
            <w:r w:rsidRPr="000B38B7">
              <w:rPr>
                <w:bCs/>
              </w:rPr>
              <w:t xml:space="preserve">apmeklēt ieslodzījuma vietas, nesaņemot speciālās atļaujas. </w:t>
            </w:r>
            <w:r w:rsidRPr="000B38B7">
              <w:t xml:space="preserve">Tādējādi likumā arī Biroja amatpersonām būtu jāparedz tiesības bez speciālās atļaujas apmeklēt ieslodzījuma vietas Biroja funkciju nodrošināšanai. </w:t>
            </w:r>
          </w:p>
          <w:p w:rsidRPr="000B38B7" w:rsidR="004D7A25" w:rsidP="00A22F30" w:rsidRDefault="004D7A25" w14:paraId="7CAB9344" w14:textId="71354FF9">
            <w:pPr>
              <w:ind w:firstLine="460"/>
              <w:jc w:val="both"/>
            </w:pPr>
            <w:r w:rsidRPr="000B38B7">
              <w:t>Birojs norāda, ka praksē ir iespējamas situācijas, kad Biroja amatpersonām ir nepieciešams brīvi iekļūt ieslodzījuma vietās, piemēram, veicot un īstenojot operatīvās darbības pasākumus vai veicot izmeklēšanas darbības. Tāpat Birojs uzsver, ka, veicot operatīvās darbības pasākumus, var būt situācijas, kad ir nepieciešama tūlītēja rīcība, lai atklātu un novērstu noziedzīgas darbības, bet speciālo atļauju noformēšana šādā gadījumā kavētu šo darbību īstenošanu. Turklāt saskaņā ar Ministru kabineta 2004.</w:t>
            </w:r>
            <w:r w:rsidR="00D7513A">
              <w:t xml:space="preserve"> </w:t>
            </w:r>
            <w:r w:rsidRPr="000B38B7">
              <w:t>gada 26.</w:t>
            </w:r>
            <w:r w:rsidR="00D7513A">
              <w:t xml:space="preserve"> </w:t>
            </w:r>
            <w:r w:rsidRPr="000B38B7">
              <w:t>oktobra noteikumiem Nr.</w:t>
            </w:r>
            <w:r w:rsidR="00D7513A">
              <w:t xml:space="preserve"> </w:t>
            </w:r>
            <w:r w:rsidRPr="000B38B7">
              <w:t>887 "Valsts noslēpuma objektu saraksts" 2.6.3. apakšpunktu par valsts noslēpuma objektu atzīstama informācija par operatīvās darbības subjektu īpaši pilnvaroto struktūrvienību, kas veic speciālo procesuālo aizsardzību un speciālo aizsardzību, operatīvās darbības pasākumus, speciālās izmeklēšanas darbības, izmantojot operatīvās darbības līdzekļus un metodes, personālsastāvu, tajā skaitā šajās struktūrvienībās nodarbināto personu lietas, un dislokāciju (atrašanās vietu).</w:t>
            </w:r>
            <w:r w:rsidRPr="000B38B7">
              <w:rPr>
                <w:rFonts w:ascii="Arial" w:hAnsi="Arial" w:cs="Arial"/>
                <w:sz w:val="20"/>
                <w:szCs w:val="20"/>
              </w:rPr>
              <w:t xml:space="preserve"> </w:t>
            </w:r>
            <w:r w:rsidRPr="000B38B7">
              <w:t>Ievērojot minēto, informācija par Biroja amatpersonām, kuras ir iesaistītas operatīvās darbības pasākumu veikšanā un speciālās izmeklēšanas darbībās, ir slepena un konfidenciāla, tādējādi Biroja amatpersonas nevar būt pakļautas personu datu pārbaudei, vienkāršā kārtībā noformējot speciālo atļauju apmeklēt ieslodzījuma vietas.</w:t>
            </w:r>
          </w:p>
          <w:p w:rsidRPr="000B38B7" w:rsidR="005C5DE4" w:rsidP="00A22F30" w:rsidRDefault="004D7A25" w14:paraId="335A2E20" w14:textId="5BDC179F">
            <w:pPr>
              <w:ind w:firstLine="460"/>
              <w:jc w:val="both"/>
            </w:pPr>
            <w:r w:rsidRPr="000B38B7">
              <w:t>Ņemot vērā minēto un ievērojot vienlīdzības principu, lūdzam likumprojekta 1.pantā ietverto grozījumu likuma 8.</w:t>
            </w:r>
            <w:r w:rsidR="00D7513A">
              <w:t> </w:t>
            </w:r>
            <w:r w:rsidRPr="000B38B7">
              <w:t>panta pirmajā daļā papildināt ar punktu šādā redakcijā: "10) </w:t>
            </w:r>
            <w:bookmarkStart w:name="_Hlk34741367" w:id="0"/>
            <w:r w:rsidRPr="000B38B7">
              <w:t>Korupcijas novēršanas un apkarošanas biroja amatpersonas"</w:t>
            </w:r>
            <w:bookmarkEnd w:id="0"/>
            <w:r w:rsidRPr="000B38B7">
              <w:t xml:space="preserve"> un attiecīgi papildināt anotāciju.</w:t>
            </w:r>
          </w:p>
        </w:tc>
        <w:tc>
          <w:tcPr>
            <w:tcW w:w="2977" w:type="dxa"/>
            <w:tcBorders>
              <w:top w:val="single" w:color="000000" w:sz="6" w:space="0"/>
              <w:left w:val="single" w:color="000000" w:sz="6" w:space="0"/>
              <w:bottom w:val="single" w:color="000000" w:sz="6" w:space="0"/>
              <w:right w:val="single" w:color="000000" w:sz="6" w:space="0"/>
            </w:tcBorders>
          </w:tcPr>
          <w:p w:rsidRPr="000B38B7" w:rsidR="005C5DE4" w:rsidP="0097617A" w:rsidRDefault="004D7A25" w14:paraId="25A85FA9" w14:textId="728682F8">
            <w:pPr>
              <w:pStyle w:val="naisc"/>
              <w:spacing w:before="0" w:after="0"/>
              <w:jc w:val="both"/>
              <w:rPr>
                <w:b/>
                <w:bCs/>
              </w:rPr>
            </w:pPr>
            <w:r w:rsidRPr="000B38B7">
              <w:rPr>
                <w:b/>
                <w:bCs/>
              </w:rPr>
              <w:t xml:space="preserve">Ņemts vērā </w:t>
            </w:r>
          </w:p>
        </w:tc>
        <w:tc>
          <w:tcPr>
            <w:tcW w:w="2693" w:type="dxa"/>
            <w:tcBorders>
              <w:top w:val="single" w:color="auto" w:sz="4" w:space="0"/>
              <w:left w:val="single" w:color="auto" w:sz="4" w:space="0"/>
              <w:bottom w:val="single" w:color="auto" w:sz="4" w:space="0"/>
            </w:tcBorders>
          </w:tcPr>
          <w:p w:rsidRPr="000B38B7" w:rsidR="004D7A25" w:rsidP="004D7A25" w:rsidRDefault="004D7A25" w14:paraId="2D06AB89" w14:textId="77777777">
            <w:pPr>
              <w:pStyle w:val="naisf"/>
              <w:spacing w:before="0" w:after="0"/>
              <w:ind w:firstLine="0"/>
            </w:pPr>
            <w:r w:rsidRPr="000B38B7">
              <w:rPr>
                <w:sz w:val="28"/>
                <w:szCs w:val="28"/>
              </w:rPr>
              <w:t>1</w:t>
            </w:r>
            <w:r w:rsidRPr="000B38B7">
              <w:t>. 8. pantā:</w:t>
            </w:r>
          </w:p>
          <w:p w:rsidRPr="000B38B7" w:rsidR="004D7A25" w:rsidP="004D7A25" w:rsidRDefault="004D7A25" w14:paraId="424E9E93" w14:textId="6FB874B6">
            <w:pPr>
              <w:pStyle w:val="naisf"/>
              <w:spacing w:before="0" w:after="0"/>
              <w:ind w:firstLine="0"/>
            </w:pPr>
            <w:r w:rsidRPr="000B38B7">
              <w:t>papildināt pirmo daļu ar 9. un 10. </w:t>
            </w:r>
            <w:r w:rsidR="00D7513A">
              <w:t xml:space="preserve"> </w:t>
            </w:r>
            <w:r w:rsidRPr="000B38B7">
              <w:t>punktu šādā redakcijā:</w:t>
            </w:r>
          </w:p>
          <w:p w:rsidRPr="000B38B7" w:rsidR="004D7A25" w:rsidP="004D7A25" w:rsidRDefault="004D7A25" w14:paraId="1EF5794E" w14:textId="77777777">
            <w:pPr>
              <w:pStyle w:val="naisf"/>
              <w:spacing w:before="0" w:after="0"/>
              <w:ind w:firstLine="0"/>
            </w:pPr>
            <w:r w:rsidRPr="000B38B7">
              <w:t>"9) Valsts drošības iestādes amatpersonām;</w:t>
            </w:r>
          </w:p>
          <w:p w:rsidR="004D7A25" w:rsidP="004D7A25" w:rsidRDefault="004D7A25" w14:paraId="4A3B59DC" w14:textId="27355A68">
            <w:pPr>
              <w:pStyle w:val="naisf"/>
              <w:spacing w:before="0" w:after="0"/>
              <w:ind w:firstLine="0"/>
            </w:pPr>
            <w:r w:rsidRPr="000B38B7">
              <w:t>10)</w:t>
            </w:r>
            <w:r w:rsidR="00062B2A">
              <w:t> </w:t>
            </w:r>
            <w:r w:rsidRPr="000B38B7">
              <w:t>Korupcijas novēršanas un apkarošanas biroja amatperson</w:t>
            </w:r>
            <w:r w:rsidRPr="000B38B7" w:rsidR="00A64737">
              <w:t>ām</w:t>
            </w:r>
            <w:r w:rsidRPr="000B38B7">
              <w:t>.";</w:t>
            </w:r>
          </w:p>
          <w:p w:rsidR="000B38B7" w:rsidP="004D7A25" w:rsidRDefault="000B38B7" w14:paraId="2C1A5A6A" w14:textId="0A0B6E1E">
            <w:pPr>
              <w:pStyle w:val="naisf"/>
              <w:spacing w:before="0" w:after="0"/>
              <w:ind w:firstLine="0"/>
            </w:pPr>
          </w:p>
          <w:p w:rsidRPr="000B38B7" w:rsidR="000B38B7" w:rsidP="000B38B7" w:rsidRDefault="000B38B7" w14:paraId="49713E0E" w14:textId="7967FA65">
            <w:pPr>
              <w:pStyle w:val="naisc"/>
              <w:spacing w:before="0" w:after="0"/>
              <w:jc w:val="left"/>
            </w:pPr>
            <w:r>
              <w:t>Papildināts l</w:t>
            </w:r>
            <w:r w:rsidRPr="000B38B7">
              <w:t>ikumprojekta 1.</w:t>
            </w:r>
            <w:r w:rsidR="00062B2A">
              <w:t> </w:t>
            </w:r>
            <w:r w:rsidRPr="000B38B7">
              <w:t>pants un anotācijas I</w:t>
            </w:r>
            <w:r w:rsidR="00062B2A">
              <w:t> </w:t>
            </w:r>
            <w:r w:rsidRPr="000B38B7">
              <w:t>sadaļas 2.</w:t>
            </w:r>
            <w:r w:rsidR="00062B2A">
              <w:t> </w:t>
            </w:r>
            <w:r w:rsidRPr="000B38B7">
              <w:t>punkts</w:t>
            </w:r>
            <w:r w:rsidR="009B1C51">
              <w:t>.</w:t>
            </w:r>
            <w:r w:rsidRPr="000B38B7">
              <w:t xml:space="preserve"> </w:t>
            </w:r>
          </w:p>
          <w:p w:rsidRPr="000B38B7" w:rsidR="000B38B7" w:rsidP="004D7A25" w:rsidRDefault="000B38B7" w14:paraId="738C226A" w14:textId="77777777">
            <w:pPr>
              <w:pStyle w:val="naisf"/>
              <w:spacing w:before="0" w:after="0"/>
              <w:ind w:firstLine="0"/>
            </w:pPr>
          </w:p>
          <w:p w:rsidRPr="000B38B7" w:rsidR="005C5DE4" w:rsidP="004D7A25" w:rsidRDefault="005C5DE4" w14:paraId="15A4A8F0" w14:textId="77777777">
            <w:pPr>
              <w:rPr>
                <w:sz w:val="20"/>
                <w:szCs w:val="20"/>
              </w:rPr>
            </w:pPr>
          </w:p>
        </w:tc>
      </w:tr>
      <w:tr w:rsidRPr="000B38B7" w:rsidR="006E759F" w:rsidTr="00714153" w14:paraId="461E30A9" w14:textId="77777777">
        <w:tc>
          <w:tcPr>
            <w:tcW w:w="14317" w:type="dxa"/>
            <w:gridSpan w:val="5"/>
            <w:tcBorders>
              <w:top w:val="single" w:color="000000" w:sz="6" w:space="0"/>
              <w:left w:val="single" w:color="000000" w:sz="6" w:space="0"/>
              <w:bottom w:val="single" w:color="000000" w:sz="6" w:space="0"/>
            </w:tcBorders>
          </w:tcPr>
          <w:p w:rsidRPr="000B38B7" w:rsidR="006E759F" w:rsidP="006E759F" w:rsidRDefault="006E759F" w14:paraId="04A842FA" w14:textId="57FB0ED4">
            <w:pPr>
              <w:pStyle w:val="naisf"/>
              <w:spacing w:before="0" w:after="0"/>
              <w:ind w:firstLine="0"/>
              <w:jc w:val="center"/>
              <w:rPr>
                <w:sz w:val="28"/>
                <w:szCs w:val="28"/>
              </w:rPr>
            </w:pPr>
            <w:r w:rsidRPr="000B38B7">
              <w:rPr>
                <w:b/>
              </w:rPr>
              <w:t>Korupcijas novēršanas un apkarošanas biroja 2020.</w:t>
            </w:r>
            <w:r w:rsidR="00062B2A">
              <w:rPr>
                <w:b/>
              </w:rPr>
              <w:t> </w:t>
            </w:r>
            <w:r w:rsidRPr="000B38B7">
              <w:rPr>
                <w:b/>
              </w:rPr>
              <w:t xml:space="preserve">gada </w:t>
            </w:r>
            <w:r w:rsidR="008B7BE2">
              <w:rPr>
                <w:b/>
              </w:rPr>
              <w:t>17.</w:t>
            </w:r>
            <w:r w:rsidR="00062B2A">
              <w:rPr>
                <w:b/>
              </w:rPr>
              <w:t> </w:t>
            </w:r>
            <w:r w:rsidR="008B7BE2">
              <w:rPr>
                <w:b/>
              </w:rPr>
              <w:t xml:space="preserve">jūnija elektroniskais </w:t>
            </w:r>
            <w:r w:rsidR="00275CC0">
              <w:rPr>
                <w:b/>
              </w:rPr>
              <w:t>paziņojums</w:t>
            </w:r>
          </w:p>
        </w:tc>
      </w:tr>
      <w:tr w:rsidRPr="000B38B7" w:rsidR="006E759F" w:rsidTr="00F625E7" w14:paraId="5BEC7F8E" w14:textId="77777777">
        <w:tc>
          <w:tcPr>
            <w:tcW w:w="851" w:type="dxa"/>
            <w:tcBorders>
              <w:top w:val="single" w:color="000000" w:sz="6" w:space="0"/>
              <w:left w:val="single" w:color="000000" w:sz="6" w:space="0"/>
              <w:bottom w:val="single" w:color="000000" w:sz="6" w:space="0"/>
              <w:right w:val="single" w:color="000000" w:sz="6" w:space="0"/>
            </w:tcBorders>
          </w:tcPr>
          <w:p w:rsidR="006E759F" w:rsidP="004751BB" w:rsidRDefault="006E759F" w14:paraId="421E2D27" w14:textId="77777777">
            <w:pPr>
              <w:pStyle w:val="naisc"/>
              <w:spacing w:before="0" w:after="0"/>
              <w:rPr>
                <w:sz w:val="20"/>
                <w:szCs w:val="20"/>
              </w:rPr>
            </w:pPr>
          </w:p>
        </w:tc>
        <w:tc>
          <w:tcPr>
            <w:tcW w:w="2551" w:type="dxa"/>
            <w:tcBorders>
              <w:top w:val="single" w:color="000000" w:sz="6" w:space="0"/>
              <w:left w:val="single" w:color="000000" w:sz="6" w:space="0"/>
              <w:bottom w:val="single" w:color="000000" w:sz="6" w:space="0"/>
              <w:right w:val="single" w:color="000000" w:sz="6" w:space="0"/>
            </w:tcBorders>
          </w:tcPr>
          <w:p w:rsidRPr="00610149" w:rsidR="006E759F" w:rsidP="008B7BE2" w:rsidRDefault="008B7BE2" w14:paraId="1AB70FF4" w14:textId="32801F38">
            <w:pPr>
              <w:jc w:val="both"/>
            </w:pPr>
            <w:r w:rsidRPr="00AE0799">
              <w:t>4</w:t>
            </w:r>
            <w:r w:rsidRPr="00610149">
              <w:t>. Ministru kabinets līdz 2021. gada 1. augustam izdod šā likuma 24. panta septītajā daļā paredzētos Ministru kabineta noteikumus. Līdz šo noteikumu spēkā stāšanās dienai ir piemērojami Ministru kabineta 2009. gada 27. janvāra noteikumi Nr. 70 "Ieslodzījuma vietu pārvaldes amatpersonu ar speciālajām dienesta pakāpēm dienesta šaujamieroču nēsāšanas un glabāšanas noteikumi", ciktāl tie nav pretrunā ar šo likumu."</w:t>
            </w:r>
          </w:p>
        </w:tc>
        <w:tc>
          <w:tcPr>
            <w:tcW w:w="5245" w:type="dxa"/>
            <w:tcBorders>
              <w:top w:val="single" w:color="000000" w:sz="6" w:space="0"/>
              <w:left w:val="single" w:color="000000" w:sz="6" w:space="0"/>
              <w:bottom w:val="single" w:color="000000" w:sz="6" w:space="0"/>
              <w:right w:val="single" w:color="000000" w:sz="6" w:space="0"/>
            </w:tcBorders>
          </w:tcPr>
          <w:p w:rsidRPr="00610149" w:rsidR="006E759F" w:rsidP="008B7BE2" w:rsidRDefault="008B7BE2" w14:paraId="7BEBD4DC" w14:textId="569D0F25">
            <w:pPr>
              <w:jc w:val="both"/>
            </w:pPr>
            <w:r w:rsidRPr="00610149">
              <w:t>Likumprojekta 6.pantā ietvertais Ieslodzījuma vietu pārvaldes likuma (turpmāk - likums) pārejas noteikumu 4.punkts nosaka, ka Ministru kabinets līdz 2021. gada 1. augustam izdod šā likuma 24. panta septītajā daļā paredzētos Ministru kabineta noteikumus. Līdz šo noteikumu spēkā stāšanās dienai ir piemērojami Ministru kabineta 2009. gada 27. janvāra noteikumi Nr. 70 "Ieslodzījuma vietu pārvaldes amatpersonu ar speciālajām dienesta pakāpēm dienesta šaujamieroču nēsāšanas un glabāšanas noteikumi", ciktāl tie nav pretrunā ar šo likumu. Birojs vērš uzmanību, ka plānotā likuma 24.panta septītā daļa atbilstoši precizējumiem tika svītrota, attiecīgi lūgums precizēt likumprojekta 6.pantu un anotāciju</w:t>
            </w:r>
            <w:r w:rsidRPr="00610149">
              <w:rPr>
                <w:rFonts w:ascii="Arial" w:hAnsi="Arial" w:cs="Arial"/>
              </w:rPr>
              <w:t>.</w:t>
            </w:r>
          </w:p>
        </w:tc>
        <w:tc>
          <w:tcPr>
            <w:tcW w:w="2977" w:type="dxa"/>
            <w:tcBorders>
              <w:top w:val="single" w:color="000000" w:sz="6" w:space="0"/>
              <w:left w:val="single" w:color="000000" w:sz="6" w:space="0"/>
              <w:bottom w:val="single" w:color="000000" w:sz="6" w:space="0"/>
              <w:right w:val="single" w:color="000000" w:sz="6" w:space="0"/>
            </w:tcBorders>
          </w:tcPr>
          <w:p w:rsidRPr="00610149" w:rsidR="006E759F" w:rsidP="0097617A" w:rsidRDefault="008B7BE2" w14:paraId="2151F83B" w14:textId="2CB7063E">
            <w:pPr>
              <w:pStyle w:val="naisc"/>
              <w:spacing w:before="0" w:after="0"/>
              <w:jc w:val="both"/>
              <w:rPr>
                <w:b/>
                <w:bCs/>
              </w:rPr>
            </w:pPr>
            <w:r w:rsidRPr="00610149">
              <w:rPr>
                <w:b/>
                <w:bCs/>
              </w:rPr>
              <w:t>Ņemts vērā</w:t>
            </w:r>
          </w:p>
        </w:tc>
        <w:tc>
          <w:tcPr>
            <w:tcW w:w="2693" w:type="dxa"/>
            <w:tcBorders>
              <w:top w:val="single" w:color="auto" w:sz="4" w:space="0"/>
              <w:left w:val="single" w:color="auto" w:sz="4" w:space="0"/>
              <w:bottom w:val="single" w:color="auto" w:sz="4" w:space="0"/>
            </w:tcBorders>
          </w:tcPr>
          <w:p w:rsidRPr="000B38B7" w:rsidR="008B7BE2" w:rsidP="008B7BE2" w:rsidRDefault="008B7BE2" w14:paraId="4B625D68" w14:textId="43E5DEA6">
            <w:pPr>
              <w:jc w:val="both"/>
            </w:pPr>
            <w:r w:rsidRPr="00610149">
              <w:t>Likumprojekt</w:t>
            </w:r>
            <w:r w:rsidR="00E81212">
              <w:t>ā iekļautais</w:t>
            </w:r>
            <w:r w:rsidRPr="00610149">
              <w:t xml:space="preserve"> </w:t>
            </w:r>
            <w:r w:rsidR="00E81212">
              <w:t>p</w:t>
            </w:r>
            <w:r w:rsidRPr="00610149">
              <w:t>ārejas noteikumu 4.</w:t>
            </w:r>
            <w:r w:rsidR="00E81212">
              <w:t> </w:t>
            </w:r>
            <w:r w:rsidRPr="00610149">
              <w:t xml:space="preserve">punkts svītrots. </w:t>
            </w:r>
            <w:r w:rsidRPr="00610149" w:rsidR="00CB3199">
              <w:t>Attiecīgi precizēta arī anotācija</w:t>
            </w:r>
            <w:r w:rsidRPr="00610149" w:rsidR="00543675">
              <w:t>.</w:t>
            </w:r>
          </w:p>
          <w:p w:rsidRPr="000B38B7" w:rsidR="006E759F" w:rsidP="004D7A25" w:rsidRDefault="006E759F" w14:paraId="60ACB018" w14:textId="77777777">
            <w:pPr>
              <w:pStyle w:val="naisf"/>
              <w:spacing w:before="0" w:after="0"/>
              <w:ind w:firstLine="0"/>
              <w:rPr>
                <w:sz w:val="28"/>
                <w:szCs w:val="28"/>
              </w:rPr>
            </w:pPr>
          </w:p>
        </w:tc>
      </w:tr>
      <w:tr w:rsidRPr="000B38B7" w:rsidR="000B38B7" w:rsidTr="00714153" w14:paraId="33C9F6F2" w14:textId="77777777">
        <w:tc>
          <w:tcPr>
            <w:tcW w:w="14317" w:type="dxa"/>
            <w:gridSpan w:val="5"/>
            <w:tcBorders>
              <w:top w:val="single" w:color="000000" w:sz="6" w:space="0"/>
              <w:left w:val="single" w:color="000000" w:sz="6" w:space="0"/>
              <w:bottom w:val="single" w:color="000000" w:sz="6" w:space="0"/>
            </w:tcBorders>
          </w:tcPr>
          <w:p w:rsidRPr="000B38B7" w:rsidR="00A060DC" w:rsidP="005E6CCE" w:rsidRDefault="009017D2" w14:paraId="1AE73ADD" w14:textId="4D297DD5">
            <w:pPr>
              <w:jc w:val="center"/>
              <w:rPr>
                <w:b/>
                <w:bCs/>
              </w:rPr>
            </w:pPr>
            <w:r w:rsidRPr="000B38B7">
              <w:rPr>
                <w:b/>
                <w:bCs/>
              </w:rPr>
              <w:t>Iekšlietu ministrijas 2020.</w:t>
            </w:r>
            <w:r w:rsidR="00E81212">
              <w:rPr>
                <w:b/>
                <w:bCs/>
              </w:rPr>
              <w:t> </w:t>
            </w:r>
            <w:r w:rsidRPr="000B38B7">
              <w:rPr>
                <w:b/>
                <w:bCs/>
              </w:rPr>
              <w:t>gada 10.</w:t>
            </w:r>
            <w:r w:rsidR="00E81212">
              <w:rPr>
                <w:b/>
                <w:bCs/>
              </w:rPr>
              <w:t> </w:t>
            </w:r>
            <w:r w:rsidRPr="000B38B7">
              <w:rPr>
                <w:b/>
                <w:bCs/>
              </w:rPr>
              <w:t>marta atzinums Nr.</w:t>
            </w:r>
            <w:r w:rsidR="00E81212">
              <w:rPr>
                <w:b/>
                <w:bCs/>
              </w:rPr>
              <w:t> </w:t>
            </w:r>
            <w:r w:rsidRPr="000B38B7">
              <w:rPr>
                <w:b/>
                <w:bCs/>
              </w:rPr>
              <w:t>1-57/602</w:t>
            </w:r>
          </w:p>
        </w:tc>
      </w:tr>
      <w:tr w:rsidRPr="000B38B7" w:rsidR="000B38B7" w:rsidTr="00F625E7" w14:paraId="00E0564F" w14:textId="77777777">
        <w:tc>
          <w:tcPr>
            <w:tcW w:w="851" w:type="dxa"/>
            <w:tcBorders>
              <w:top w:val="single" w:color="000000" w:sz="6" w:space="0"/>
              <w:left w:val="single" w:color="000000" w:sz="6" w:space="0"/>
              <w:bottom w:val="single" w:color="000000" w:sz="6" w:space="0"/>
              <w:right w:val="single" w:color="000000" w:sz="6" w:space="0"/>
            </w:tcBorders>
          </w:tcPr>
          <w:p w:rsidRPr="000B38B7" w:rsidR="0007545D" w:rsidP="005E6CCE" w:rsidRDefault="004751BB" w14:paraId="66136067" w14:textId="7FED938D">
            <w:pPr>
              <w:pStyle w:val="naisc"/>
              <w:spacing w:before="0" w:after="0"/>
            </w:pPr>
            <w:r>
              <w:t>3</w:t>
            </w:r>
            <w:r w:rsidRPr="000B38B7" w:rsidR="0007545D">
              <w:t>.</w:t>
            </w:r>
          </w:p>
        </w:tc>
        <w:tc>
          <w:tcPr>
            <w:tcW w:w="2551" w:type="dxa"/>
            <w:tcBorders>
              <w:top w:val="single" w:color="000000" w:sz="6" w:space="0"/>
              <w:left w:val="single" w:color="000000" w:sz="6" w:space="0"/>
              <w:bottom w:val="single" w:color="000000" w:sz="6" w:space="0"/>
              <w:right w:val="single" w:color="000000" w:sz="6" w:space="0"/>
            </w:tcBorders>
          </w:tcPr>
          <w:p w:rsidRPr="000B38B7" w:rsidR="00F31D17" w:rsidP="00F31D17" w:rsidRDefault="00F31D17" w14:paraId="52FAC7A6" w14:textId="4BCD265A">
            <w:pPr>
              <w:jc w:val="both"/>
            </w:pPr>
            <w:r w:rsidRPr="000B38B7">
              <w:rPr>
                <w:sz w:val="28"/>
                <w:szCs w:val="28"/>
              </w:rPr>
              <w:t>"</w:t>
            </w:r>
            <w:r w:rsidRPr="000B38B7">
              <w:rPr>
                <w:b/>
                <w:bCs/>
              </w:rPr>
              <w:t>24.</w:t>
            </w:r>
            <w:r w:rsidR="00E81212">
              <w:rPr>
                <w:b/>
                <w:bCs/>
              </w:rPr>
              <w:t> </w:t>
            </w:r>
            <w:r w:rsidRPr="000B38B7">
              <w:rPr>
                <w:b/>
                <w:bCs/>
              </w:rPr>
              <w:t>pants. Amatpersonas tiesības pielietot ieroci</w:t>
            </w:r>
          </w:p>
          <w:p w:rsidRPr="000B38B7" w:rsidR="00F31D17" w:rsidP="00F31D17" w:rsidRDefault="00F31D17" w14:paraId="48EA185C" w14:textId="77777777">
            <w:pPr>
              <w:jc w:val="both"/>
            </w:pPr>
          </w:p>
          <w:p w:rsidRPr="000B38B7" w:rsidR="00F31D17" w:rsidP="00F31D17" w:rsidRDefault="00F31D17" w14:paraId="0AD3E394" w14:textId="00016158">
            <w:pPr>
              <w:jc w:val="both"/>
            </w:pPr>
            <w:r w:rsidRPr="000B38B7">
              <w:t>(7) Ministru kabinets nosaka ieroču pārņemšanas, uzskaites, pieņemšanas, izsniegšanas, izmantošanas, pielietošanas, glabāšanas, nēsāšanas, realizēšanas, pārvadāšanas, pārsūtīšanas un iznīcināšanas kārtību."</w:t>
            </w:r>
          </w:p>
          <w:p w:rsidRPr="000B38B7" w:rsidR="0007545D" w:rsidP="005E6CCE" w:rsidRDefault="0007545D" w14:paraId="10663BFE" w14:textId="6644902D">
            <w:pPr>
              <w:pStyle w:val="naisc"/>
              <w:spacing w:before="0" w:after="0"/>
              <w:jc w:val="both"/>
            </w:pPr>
          </w:p>
        </w:tc>
        <w:tc>
          <w:tcPr>
            <w:tcW w:w="5245" w:type="dxa"/>
            <w:tcBorders>
              <w:top w:val="single" w:color="000000" w:sz="6" w:space="0"/>
              <w:left w:val="single" w:color="000000" w:sz="6" w:space="0"/>
              <w:bottom w:val="single" w:color="000000" w:sz="6" w:space="0"/>
              <w:right w:val="single" w:color="000000" w:sz="6" w:space="0"/>
            </w:tcBorders>
          </w:tcPr>
          <w:p w:rsidRPr="000B38B7" w:rsidR="009017D2" w:rsidP="00A22F30" w:rsidRDefault="009017D2" w14:paraId="26DF6642" w14:textId="6B88FB53">
            <w:pPr>
              <w:ind w:firstLine="460"/>
              <w:jc w:val="both"/>
            </w:pPr>
            <w:r w:rsidRPr="000B38B7">
              <w:rPr>
                <w:rFonts w:ascii="Times New Roman ,serif" w:hAnsi="Times New Roman ,serif"/>
              </w:rPr>
              <w:t>Atbilstoši Ministru kabineta 2014.</w:t>
            </w:r>
            <w:r w:rsidR="00483C0D">
              <w:rPr>
                <w:rFonts w:ascii="Times New Roman ,serif" w:hAnsi="Times New Roman ,serif"/>
              </w:rPr>
              <w:t xml:space="preserve"> </w:t>
            </w:r>
            <w:r w:rsidRPr="000B38B7">
              <w:rPr>
                <w:rFonts w:ascii="Times New Roman ,serif" w:hAnsi="Times New Roman ,serif"/>
              </w:rPr>
              <w:t>gada 26.</w:t>
            </w:r>
            <w:r w:rsidR="00483C0D">
              <w:rPr>
                <w:rFonts w:ascii="Times New Roman ,serif" w:hAnsi="Times New Roman ,serif"/>
              </w:rPr>
              <w:t xml:space="preserve"> </w:t>
            </w:r>
            <w:r w:rsidRPr="000B38B7">
              <w:rPr>
                <w:rFonts w:ascii="Times New Roman ,serif" w:hAnsi="Times New Roman ,serif"/>
              </w:rPr>
              <w:t>augusta rīkojuma Nr.</w:t>
            </w:r>
            <w:r w:rsidR="00483C0D">
              <w:rPr>
                <w:rFonts w:ascii="Times New Roman ,serif" w:hAnsi="Times New Roman ,serif"/>
              </w:rPr>
              <w:t xml:space="preserve"> </w:t>
            </w:r>
            <w:r w:rsidRPr="000B38B7">
              <w:rPr>
                <w:rFonts w:ascii="Times New Roman ,serif" w:hAnsi="Times New Roman ,serif"/>
              </w:rPr>
              <w:t>45 "Informatīvais ziņojums "Priekšlikumi ārējo normatīvo aktu grozījumu skaita samazināšanai""  13.6.</w:t>
            </w:r>
            <w:r w:rsidR="00D7513A">
              <w:rPr>
                <w:rFonts w:hint="eastAsia" w:ascii="Times New Roman ,serif" w:hAnsi="Times New Roman ,serif"/>
              </w:rPr>
              <w:t> </w:t>
            </w:r>
            <w:r w:rsidRPr="000B38B7">
              <w:rPr>
                <w:rFonts w:ascii="Times New Roman ,serif" w:hAnsi="Times New Roman ,serif"/>
              </w:rPr>
              <w:t>apakšpunktam atbildīgā ministrija, izstrādājot normatīvā akta projektu, izvērtē tiesiskā regulējuma nepieciešamo līmeni (likums, Ministru kabineta noteikumi, pašvaldību saistošie noteikumi, iekšējais normatīvais akts, individuāls tiesību akts). Vēršam uzmanību, ka šāds uzdevums tika noteikts, pamatojoties uz informatīvajā ziņojumā "Priekšlikumi ārējo normatīvo aktu grozījumu skaita samazināšanai" norādīto: "</w:t>
            </w:r>
            <w:r w:rsidRPr="000B38B7">
              <w:rPr>
                <w:rFonts w:ascii="Times New Roman ,serif" w:hAnsi="Times New Roman ,serif"/>
                <w:i/>
              </w:rPr>
              <w:t xml:space="preserve">Viens no galvenajiem normatīvā akta projekta autora uzdevumiem ir pareiza normatīvā akta veida izvēle, no kuras turpmāk būs atkarīgs arī tiesību normu spēks un adresātu loks. Līdz ar to svarīgi ir atcerēties, ka likumdevējs likumdošanas procesā izlemj svarīgākos jautājumus, bet detalizētāku tiesību normu izstrādāšanu deleģē Ministru kabinetam vai citai valsts institūcijai. Šāda kārtība ne vien padara pašu likumdošanas procesu efektīvāku, jo likumdevējam nav jānodarbojas ar tehnisku jautājumu risināšanu, bet arī ļauj ātrāk un adekvātāk reaģēt uz normatīvā regulējuma pilnveidošanas nepieciešamību. Ministru kabinets vai citas pilnvarotās valsts </w:t>
            </w:r>
            <w:r w:rsidRPr="000B38B7">
              <w:rPr>
                <w:i/>
              </w:rPr>
              <w:t>institūcijas "tehnisko" normu izstrādē visbiežāk ir kompetentākas nekā likumdevējs, un lēmumu pieņemšanas process šajās institūcijās nav tik komplicēts.</w:t>
            </w:r>
            <w:r w:rsidRPr="000B38B7">
              <w:rPr>
                <w:i/>
                <w:vertAlign w:val="superscript"/>
              </w:rPr>
              <w:footnoteReference w:id="1"/>
            </w:r>
          </w:p>
          <w:p w:rsidRPr="000B38B7" w:rsidR="009017D2" w:rsidP="00A22F30" w:rsidRDefault="009017D2" w14:paraId="6362AF6A" w14:textId="6B6F55CA">
            <w:pPr>
              <w:ind w:firstLine="460"/>
              <w:jc w:val="both"/>
            </w:pPr>
            <w:r w:rsidRPr="000B38B7">
              <w:rPr>
                <w:i/>
              </w:rPr>
              <w:t xml:space="preserve">Ņemot vērā minēto, normatīvā akta projekta sagatavotājam projekta izstrādes stadijā rūpīgi jāizvērtē, kāda līmeņa normatīvais regulējums nepieciešams attiecīgajā situācijā – vai esošo situāciju iespējams atrisināt tikai likuma ietvaros vai arī likuma izpildes nodrošināšanai var izdot Ministru kabineta noteikumus, pašvaldību saistošos noteikumus vai iekšējo normatīvo aktu. Papildus minētajam būtu jāvērtē normatīvā regulējuma izmaiņu ietekme uz regulējamo jautājumu loku un attiecīgo nozari kopumā. </w:t>
            </w:r>
          </w:p>
          <w:p w:rsidRPr="000B38B7" w:rsidR="009017D2" w:rsidP="00A22F30" w:rsidRDefault="009017D2" w14:paraId="5BF0739C" w14:textId="59A683E1">
            <w:pPr>
              <w:ind w:firstLine="460"/>
              <w:jc w:val="both"/>
            </w:pPr>
            <w:r w:rsidRPr="000B38B7">
              <w:rPr>
                <w:i/>
              </w:rPr>
              <w:t>Izstrādājot normatīvā akta projektu, jāizvērtē arī normatīvais regulējums, kas ietverams iekšējos, nevis ārējos normatīvajos aktos, kā arī normatīvais regulējums, ko lietderīgāk ietvert pašvaldību saistošajos noteikumos, nevis likumos vai Ministru kabineta noteikumos, līdz ar to radot priekšnosacījumus tiesiskā regulējuma pietuvināšanai vietējiem apstākļiem.</w:t>
            </w:r>
            <w:r w:rsidRPr="000B38B7">
              <w:t>".</w:t>
            </w:r>
          </w:p>
          <w:p w:rsidRPr="000B38B7" w:rsidR="009017D2" w:rsidP="00A22F30" w:rsidRDefault="009017D2" w14:paraId="32901C69" w14:textId="4065A2B0">
            <w:pPr>
              <w:ind w:firstLine="460"/>
              <w:jc w:val="both"/>
            </w:pPr>
            <w:r w:rsidRPr="000B38B7">
              <w:t>Norādām, ka Ieroču aprites likuma 94.</w:t>
            </w:r>
            <w:r w:rsidR="00D7513A">
              <w:t xml:space="preserve"> </w:t>
            </w:r>
            <w:r w:rsidRPr="000B38B7">
              <w:t xml:space="preserve">panta pirmā daļa noteic, ka Nacionālo bruņoto spēku, Iekšlietu ministrijas sistēmas iestāžu, valsts drošības iestāžu, Latvijas Bankas Aizsardzības pārvaldes, Valsts ieņēmumu dienesta, </w:t>
            </w:r>
            <w:r w:rsidRPr="000B38B7">
              <w:rPr>
                <w:u w:val="single"/>
              </w:rPr>
              <w:t>Ieslodzījuma vietu pārvaldes</w:t>
            </w:r>
            <w:r w:rsidRPr="000B38B7">
              <w:t xml:space="preserve">, Korupcijas novēršanas un apkarošanas biroja, Jaunsardzes centra, Nodrošinājuma valsts aģentūras, ostas policijas un pašvaldības policijas valdījumā esošo ieroču, munīcijas un speciālo līdzekļu iegādāšanās, izmantošanas, pielietošanas, glabāšanas, nēsāšanas, realizēšanas, pārvadāšanas un pārsūtīšanas, treniņšaušanas, remonta, kā arī apmācībām nepieciešamo ieroču pārveidošanas kārtību nosaka šo institūciju darbību reglamentējošie normatīvie akti. </w:t>
            </w:r>
          </w:p>
          <w:p w:rsidRPr="000B38B7" w:rsidR="009017D2" w:rsidP="00A22F30" w:rsidRDefault="009017D2" w14:paraId="5D9EC1D5" w14:textId="011EA1C2">
            <w:pPr>
              <w:ind w:firstLine="460"/>
              <w:jc w:val="both"/>
            </w:pPr>
            <w:r w:rsidRPr="000B38B7">
              <w:t>Projekta 4.</w:t>
            </w:r>
            <w:r w:rsidR="00483C0D">
              <w:t xml:space="preserve"> </w:t>
            </w:r>
            <w:r w:rsidRPr="000B38B7">
              <w:t>pantā ietvertā Ieslodzījuma vietu pārvaldes likuma (turpmāk – Likums) 24.</w:t>
            </w:r>
            <w:r w:rsidR="00D7513A">
              <w:t xml:space="preserve"> </w:t>
            </w:r>
            <w:r w:rsidRPr="000B38B7">
              <w:t xml:space="preserve">panta septītā daļa paredz, ka </w:t>
            </w:r>
            <w:bookmarkStart w:name="_Hlk31100137" w:id="1"/>
            <w:r w:rsidRPr="000B38B7">
              <w:t xml:space="preserve">Ministru kabinets nosaka ieroču </w:t>
            </w:r>
            <w:bookmarkStart w:name="_Hlk31100731" w:id="2"/>
            <w:r w:rsidRPr="000B38B7">
              <w:t xml:space="preserve">pārņemšanas, uzskaites, pieņemšanas, izsniegšanas, </w:t>
            </w:r>
            <w:bookmarkEnd w:id="2"/>
            <w:r w:rsidRPr="000B38B7">
              <w:t>izmantošanas, pielietošanas, glabāšanas, nēsāšanas, realizēšanas, pārvadāšanas, pārsūtīšanas un iznīcināšanas kārtību.</w:t>
            </w:r>
            <w:bookmarkEnd w:id="1"/>
            <w:r w:rsidRPr="000B38B7">
              <w:t xml:space="preserve"> Vēršam uzmanību, ka ieroču pārņemšanas, uzskaites, pieņemšanas, izsniegšanas, glabāšanas, nēsāšanas, realizēšanas, pārvadāšanas, pārsūtīšanas un iznīcināšanas kārtība attiecas uz iestādes iekšējo darba organizāciju un, ņemot vērā Ieroču aprites likuma 94.</w:t>
            </w:r>
            <w:r w:rsidR="00D7513A">
              <w:t xml:space="preserve"> </w:t>
            </w:r>
            <w:r w:rsidRPr="000B38B7">
              <w:t>panta pirmajā daļā noteikto, ir ietverama iestādes iekšējā normatīvajā aktā. Savukārt jautājumi, kas attiecas uz ieroča pielietošanu un izmantošanu</w:t>
            </w:r>
            <w:r w:rsidR="00710BAA">
              <w:t>,</w:t>
            </w:r>
            <w:r w:rsidRPr="000B38B7">
              <w:t xml:space="preserve"> jau ir ietverti Projektā.</w:t>
            </w:r>
          </w:p>
          <w:p w:rsidRPr="000B38B7" w:rsidR="0007545D" w:rsidP="009017D2" w:rsidRDefault="009017D2" w14:paraId="6582145C" w14:textId="47668F41">
            <w:pPr>
              <w:tabs>
                <w:tab w:val="left" w:pos="284"/>
                <w:tab w:val="left" w:pos="567"/>
                <w:tab w:val="left" w:pos="1418"/>
              </w:tabs>
              <w:jc w:val="both"/>
              <w:rPr>
                <w:rFonts w:ascii="Times New Roman ,serif" w:hAnsi="Times New Roman ,serif"/>
                <w:sz w:val="28"/>
                <w:szCs w:val="28"/>
              </w:rPr>
            </w:pPr>
            <w:r w:rsidRPr="000B38B7">
              <w:tab/>
            </w:r>
            <w:r w:rsidRPr="000B38B7">
              <w:tab/>
              <w:t>Ņemot vērā minēto, precizēt Projektu.</w:t>
            </w:r>
          </w:p>
        </w:tc>
        <w:tc>
          <w:tcPr>
            <w:tcW w:w="2977" w:type="dxa"/>
            <w:tcBorders>
              <w:top w:val="single" w:color="auto" w:sz="4" w:space="0"/>
              <w:left w:val="single" w:color="auto" w:sz="4" w:space="0"/>
              <w:bottom w:val="single" w:color="auto" w:sz="4" w:space="0"/>
              <w:right w:val="single" w:color="auto" w:sz="4" w:space="0"/>
            </w:tcBorders>
          </w:tcPr>
          <w:p w:rsidRPr="000B38B7" w:rsidR="0007545D" w:rsidP="004375D0" w:rsidRDefault="009017D2" w14:paraId="4A53EC95" w14:textId="0133AE77">
            <w:pPr>
              <w:jc w:val="both"/>
              <w:rPr>
                <w:b/>
                <w:bCs/>
              </w:rPr>
            </w:pPr>
            <w:r w:rsidRPr="000B38B7">
              <w:rPr>
                <w:b/>
                <w:bCs/>
              </w:rPr>
              <w:t>Ņemts vērā</w:t>
            </w:r>
          </w:p>
        </w:tc>
        <w:tc>
          <w:tcPr>
            <w:tcW w:w="2693" w:type="dxa"/>
            <w:tcBorders>
              <w:top w:val="single" w:color="auto" w:sz="4" w:space="0"/>
              <w:left w:val="single" w:color="auto" w:sz="4" w:space="0"/>
              <w:bottom w:val="single" w:color="auto" w:sz="4" w:space="0"/>
            </w:tcBorders>
          </w:tcPr>
          <w:p w:rsidRPr="000B38B7" w:rsidR="0007545D" w:rsidP="00F31D17" w:rsidRDefault="00F31D17" w14:paraId="75AFA7B0" w14:textId="2DF3C053">
            <w:pPr>
              <w:jc w:val="both"/>
            </w:pPr>
            <w:r w:rsidRPr="000B38B7">
              <w:t>Likumprojekt</w:t>
            </w:r>
            <w:r w:rsidR="00E81212">
              <w:t xml:space="preserve">ā iekļautā </w:t>
            </w:r>
            <w:r w:rsidRPr="000B38B7">
              <w:t xml:space="preserve"> 24.</w:t>
            </w:r>
            <w:r w:rsidR="00E81212">
              <w:t> </w:t>
            </w:r>
            <w:r w:rsidRPr="000B38B7">
              <w:t xml:space="preserve">panta septītā daļa svītrota. </w:t>
            </w:r>
          </w:p>
          <w:p w:rsidR="000B38B7" w:rsidP="00F31D17" w:rsidRDefault="000B38B7" w14:paraId="09173FA4" w14:textId="77777777">
            <w:pPr>
              <w:jc w:val="both"/>
            </w:pPr>
          </w:p>
          <w:p w:rsidRPr="000B38B7" w:rsidR="00F31D17" w:rsidP="00F31D17" w:rsidRDefault="00F31D17" w14:paraId="016F48F5" w14:textId="24FDEC94">
            <w:pPr>
              <w:jc w:val="both"/>
            </w:pPr>
            <w:r w:rsidRPr="000B38B7">
              <w:t>Papildināt</w:t>
            </w:r>
            <w:r w:rsidR="00710BAA">
              <w:t>s</w:t>
            </w:r>
            <w:r w:rsidRPr="000B38B7">
              <w:t xml:space="preserve"> likumprojekta anotācijas I sadaļas 2. un 4.</w:t>
            </w:r>
            <w:r w:rsidR="00D7513A">
              <w:t> </w:t>
            </w:r>
            <w:r w:rsidRPr="000B38B7">
              <w:t>punkts</w:t>
            </w:r>
            <w:r w:rsidR="009B1C51">
              <w:t>.</w:t>
            </w:r>
          </w:p>
          <w:p w:rsidRPr="000B38B7" w:rsidR="00F31D17" w:rsidP="005E6CCE" w:rsidRDefault="00F31D17" w14:paraId="12F5F5B8" w14:textId="11514423">
            <w:pPr>
              <w:ind w:left="110" w:firstLine="282"/>
              <w:jc w:val="both"/>
            </w:pPr>
          </w:p>
        </w:tc>
      </w:tr>
      <w:tr w:rsidRPr="000B38B7" w:rsidR="000B38B7" w:rsidTr="00F625E7" w14:paraId="537B9B83" w14:textId="77777777">
        <w:tc>
          <w:tcPr>
            <w:tcW w:w="851" w:type="dxa"/>
            <w:tcBorders>
              <w:top w:val="single" w:color="000000" w:sz="6" w:space="0"/>
              <w:left w:val="single" w:color="000000" w:sz="6" w:space="0"/>
              <w:bottom w:val="single" w:color="000000" w:sz="6" w:space="0"/>
              <w:right w:val="single" w:color="000000" w:sz="6" w:space="0"/>
            </w:tcBorders>
          </w:tcPr>
          <w:p w:rsidRPr="000B38B7" w:rsidR="009017D2" w:rsidP="005E6CCE" w:rsidRDefault="004751BB" w14:paraId="0970B607" w14:textId="0D025D8E">
            <w:pPr>
              <w:pStyle w:val="naisc"/>
              <w:spacing w:before="0" w:after="0"/>
            </w:pPr>
            <w:r>
              <w:t>4</w:t>
            </w:r>
            <w:r w:rsidRPr="000B38B7" w:rsidR="00215DA0">
              <w:t>.</w:t>
            </w:r>
          </w:p>
        </w:tc>
        <w:tc>
          <w:tcPr>
            <w:tcW w:w="2551" w:type="dxa"/>
            <w:tcBorders>
              <w:top w:val="single" w:color="000000" w:sz="6" w:space="0"/>
              <w:left w:val="single" w:color="000000" w:sz="6" w:space="0"/>
              <w:bottom w:val="single" w:color="000000" w:sz="6" w:space="0"/>
              <w:right w:val="single" w:color="000000" w:sz="6" w:space="0"/>
            </w:tcBorders>
          </w:tcPr>
          <w:p w:rsidRPr="000B38B7" w:rsidR="00D463BA" w:rsidP="00D463BA" w:rsidRDefault="00D463BA" w14:paraId="2E6B0909" w14:textId="4E1681E1">
            <w:pPr>
              <w:jc w:val="both"/>
              <w:rPr>
                <w:b/>
                <w:bCs/>
              </w:rPr>
            </w:pPr>
            <w:r w:rsidRPr="000B38B7">
              <w:rPr>
                <w:b/>
              </w:rPr>
              <w:t>24.</w:t>
            </w:r>
            <w:r w:rsidRPr="000B38B7">
              <w:rPr>
                <w:b/>
                <w:vertAlign w:val="superscript"/>
              </w:rPr>
              <w:t>1</w:t>
            </w:r>
            <w:r w:rsidRPr="000B38B7">
              <w:rPr>
                <w:b/>
              </w:rPr>
              <w:t> pants.</w:t>
            </w:r>
            <w:r w:rsidRPr="000B38B7">
              <w:t xml:space="preserve"> </w:t>
            </w:r>
            <w:r w:rsidRPr="000B38B7">
              <w:rPr>
                <w:b/>
              </w:rPr>
              <w:t xml:space="preserve">Iekšlietu ministrijas sistēmas iestāžu amatpersonu un Nacionālo bruņoto spēku personālsastāva </w:t>
            </w:r>
            <w:r w:rsidRPr="000B38B7">
              <w:rPr>
                <w:b/>
                <w:bCs/>
              </w:rPr>
              <w:t>tiesības ieslodzījuma vietā</w:t>
            </w:r>
          </w:p>
          <w:p w:rsidRPr="000B38B7" w:rsidR="00D463BA" w:rsidP="00D463BA" w:rsidRDefault="00D463BA" w14:paraId="60A1EEB0" w14:textId="77777777">
            <w:pPr>
              <w:pStyle w:val="tv213"/>
              <w:spacing w:before="0" w:beforeAutospacing="0" w:after="0" w:afterAutospacing="0"/>
              <w:jc w:val="both"/>
            </w:pPr>
          </w:p>
          <w:p w:rsidRPr="000B38B7" w:rsidR="00D463BA" w:rsidP="00D463BA" w:rsidRDefault="00D463BA" w14:paraId="02530982" w14:textId="3058FB00">
            <w:pPr>
              <w:pStyle w:val="tv213"/>
              <w:spacing w:before="0" w:beforeAutospacing="0" w:after="0" w:afterAutospacing="0"/>
              <w:jc w:val="both"/>
            </w:pPr>
            <w:r w:rsidRPr="000B38B7">
              <w:t xml:space="preserve">(2) Pēc šā panta pirmajā daļā minētās atļaujas saņemšanas Iekšlietu ministrijas sistēmas iestādes amatpersona vai Nacionālo bruņoto spēku personālsastāvs patstāvīgi pieņem lēmumu par speciālo cīņas paņēmienu vai speciālo līdzekļu lietošanu </w:t>
            </w:r>
            <w:r w:rsidRPr="000B38B7">
              <w:rPr>
                <w:u w:val="single"/>
              </w:rPr>
              <w:t>atbilstoši šā likuma 23. pantam, ieroču pielietošanu atbilstoši šā likuma 24. pantam vai tehnisko ierīču lietošanu</w:t>
            </w:r>
            <w:r w:rsidRPr="000B38B7">
              <w:t>."</w:t>
            </w:r>
          </w:p>
          <w:p w:rsidRPr="000B38B7" w:rsidR="009017D2" w:rsidP="005E6CCE" w:rsidRDefault="009017D2" w14:paraId="4403D673" w14:textId="77777777">
            <w:pPr>
              <w:pStyle w:val="naisc"/>
              <w:spacing w:before="0" w:after="0"/>
              <w:jc w:val="both"/>
            </w:pPr>
          </w:p>
        </w:tc>
        <w:tc>
          <w:tcPr>
            <w:tcW w:w="5245" w:type="dxa"/>
            <w:tcBorders>
              <w:top w:val="single" w:color="000000" w:sz="6" w:space="0"/>
              <w:left w:val="single" w:color="000000" w:sz="6" w:space="0"/>
              <w:bottom w:val="single" w:color="000000" w:sz="6" w:space="0"/>
              <w:right w:val="single" w:color="000000" w:sz="6" w:space="0"/>
            </w:tcBorders>
          </w:tcPr>
          <w:p w:rsidRPr="000B38B7" w:rsidR="009017D2" w:rsidP="00A22F30" w:rsidRDefault="009017D2" w14:paraId="2728D035" w14:textId="0F3033AC">
            <w:pPr>
              <w:pStyle w:val="tv213"/>
              <w:spacing w:before="0" w:beforeAutospacing="0" w:after="0" w:afterAutospacing="0"/>
              <w:ind w:firstLine="460"/>
              <w:jc w:val="both"/>
            </w:pPr>
            <w:r w:rsidRPr="000B38B7">
              <w:t>Projekta 5.</w:t>
            </w:r>
            <w:r w:rsidR="00483C0D">
              <w:t xml:space="preserve"> </w:t>
            </w:r>
            <w:r w:rsidRPr="000B38B7">
              <w:t>pantā ietvertā Likuma 24.</w:t>
            </w:r>
            <w:r w:rsidRPr="000B38B7">
              <w:rPr>
                <w:vertAlign w:val="superscript"/>
              </w:rPr>
              <w:t>1 </w:t>
            </w:r>
            <w:r w:rsidRPr="000B38B7">
              <w:t>panta pirmā daļa nosaka, ka, ja ieslodzījuma vietā notiek ķīlnieka sagrābšana, grautiņi, dedzināšana, masu nekārtības vai masveida pretošanās amatpersonām,</w:t>
            </w:r>
            <w:r w:rsidRPr="000B38B7" w:rsidDel="00471908">
              <w:t xml:space="preserve"> </w:t>
            </w:r>
            <w:r w:rsidRPr="000B38B7">
              <w:t>Iekšlietu ministrijas sistēmas iestāžu amatpersonām un Nacionālo bruņoto spēku personālsastāvam ar Pārvaldes priekšnieka vai viņa vietnieka mutvārdu atļauju ir tiesības: 1) iekļūt ieslodzījuma vietā ar ieročiem, speciālajiem līdzekļiem vai tehniskajām ierīcēm; 2) ieslodzījuma vietā pielietot ieročus, lietot speciālos cīņas paņēmienus, speciālos līdzekļus vai tehniskās ierīces.</w:t>
            </w:r>
          </w:p>
          <w:p w:rsidRPr="000B38B7" w:rsidR="009017D2" w:rsidP="00A22F30" w:rsidRDefault="009017D2" w14:paraId="63C85180" w14:textId="70BF401A">
            <w:pPr>
              <w:pStyle w:val="tv213"/>
              <w:spacing w:before="0" w:beforeAutospacing="0" w:after="0" w:afterAutospacing="0"/>
              <w:ind w:firstLine="460"/>
              <w:jc w:val="both"/>
              <w:rPr>
                <w:bCs/>
                <w:shd w:val="clear" w:color="auto" w:fill="FFFFFF"/>
              </w:rPr>
            </w:pPr>
            <w:r w:rsidRPr="000B38B7">
              <w:t>Norādām, ka minētais regulējums nepamatoti ierobežo Iekšlietu ministrijas sistēmas iestāžu tiesības pielietot ieročus, lietot speciālos cīņas paņēmienus un speciālos līdzekļus. Piemēram, Projekts ierobežo likuma "Par policiju" 13. un 14.</w:t>
            </w:r>
            <w:r w:rsidR="00D7513A">
              <w:t> </w:t>
            </w:r>
            <w:r w:rsidRPr="000B38B7">
              <w:t xml:space="preserve">pantā noteiktās policijas darbinieka tiesības, pildot dienesta pienākumus, </w:t>
            </w:r>
            <w:r w:rsidRPr="000B38B7">
              <w:rPr>
                <w:bCs/>
                <w:shd w:val="clear" w:color="auto" w:fill="FFFFFF"/>
              </w:rPr>
              <w:t xml:space="preserve">lietot fizisku spēku, speciālos līdzekļus un tiesības pielietot šaujamieroci, jo saskaņā ar Projektu šādas tiesības </w:t>
            </w:r>
            <w:r w:rsidRPr="000B38B7">
              <w:t>Iekšlietu ministrijas sistēmas iestāžu</w:t>
            </w:r>
            <w:r w:rsidRPr="000B38B7">
              <w:rPr>
                <w:bCs/>
                <w:shd w:val="clear" w:color="auto" w:fill="FFFFFF"/>
              </w:rPr>
              <w:t xml:space="preserve"> amatpersonas varēs īstenot tikai pēc Ieslodzījuma vietu pārvaldes priekšnieka vai viņa vietnieka mutvārdu atļaujas. </w:t>
            </w:r>
          </w:p>
          <w:p w:rsidRPr="000B38B7" w:rsidR="009017D2" w:rsidP="00A22F30" w:rsidRDefault="009017D2" w14:paraId="16EB89F2" w14:textId="13F51C0E">
            <w:pPr>
              <w:pStyle w:val="tv213"/>
              <w:spacing w:before="0" w:beforeAutospacing="0" w:after="0" w:afterAutospacing="0"/>
              <w:ind w:firstLine="460"/>
              <w:jc w:val="both"/>
              <w:rPr>
                <w:bCs/>
                <w:shd w:val="clear" w:color="auto" w:fill="FFFFFF"/>
              </w:rPr>
            </w:pPr>
            <w:r w:rsidRPr="000B38B7">
              <w:rPr>
                <w:bCs/>
                <w:shd w:val="clear" w:color="auto" w:fill="FFFFFF"/>
              </w:rPr>
              <w:t>Ievērojot minēto, lūdzam precizēt Projekta 5.</w:t>
            </w:r>
            <w:r w:rsidR="00710139">
              <w:rPr>
                <w:bCs/>
                <w:shd w:val="clear" w:color="auto" w:fill="FFFFFF"/>
              </w:rPr>
              <w:t xml:space="preserve"> </w:t>
            </w:r>
            <w:r w:rsidRPr="000B38B7">
              <w:rPr>
                <w:bCs/>
                <w:shd w:val="clear" w:color="auto" w:fill="FFFFFF"/>
              </w:rPr>
              <w:t>pantā ietverto Likuma 24.</w:t>
            </w:r>
            <w:r w:rsidRPr="000B38B7">
              <w:rPr>
                <w:bCs/>
                <w:shd w:val="clear" w:color="auto" w:fill="FFFFFF"/>
                <w:vertAlign w:val="superscript"/>
              </w:rPr>
              <w:t>1</w:t>
            </w:r>
            <w:r w:rsidR="00D7513A">
              <w:rPr>
                <w:bCs/>
                <w:shd w:val="clear" w:color="auto" w:fill="FFFFFF"/>
                <w:vertAlign w:val="superscript"/>
              </w:rPr>
              <w:t xml:space="preserve"> </w:t>
            </w:r>
            <w:r w:rsidRPr="000B38B7">
              <w:rPr>
                <w:bCs/>
                <w:shd w:val="clear" w:color="auto" w:fill="FFFFFF"/>
              </w:rPr>
              <w:t xml:space="preserve">panta pirmo daļu. </w:t>
            </w:r>
          </w:p>
          <w:p w:rsidRPr="000B38B7" w:rsidR="009017D2" w:rsidP="00A22F30" w:rsidRDefault="009017D2" w14:paraId="6246E48C" w14:textId="3D41FDCF">
            <w:pPr>
              <w:pStyle w:val="tv213"/>
              <w:spacing w:before="0" w:beforeAutospacing="0" w:after="0" w:afterAutospacing="0"/>
              <w:ind w:firstLine="460"/>
              <w:jc w:val="both"/>
              <w:rPr>
                <w:bCs/>
                <w:shd w:val="clear" w:color="auto" w:fill="FFFFFF"/>
              </w:rPr>
            </w:pPr>
            <w:r w:rsidRPr="000B38B7">
              <w:rPr>
                <w:bCs/>
                <w:shd w:val="clear" w:color="auto" w:fill="FFFFFF"/>
              </w:rPr>
              <w:t>Tāpat nepieciešams precizēt Projekta 5.</w:t>
            </w:r>
            <w:r w:rsidR="00710139">
              <w:rPr>
                <w:bCs/>
                <w:shd w:val="clear" w:color="auto" w:fill="FFFFFF"/>
              </w:rPr>
              <w:t xml:space="preserve"> </w:t>
            </w:r>
            <w:r w:rsidRPr="000B38B7">
              <w:rPr>
                <w:bCs/>
                <w:shd w:val="clear" w:color="auto" w:fill="FFFFFF"/>
              </w:rPr>
              <w:t>pantā ietverto Likuma 24.</w:t>
            </w:r>
            <w:r w:rsidRPr="000B38B7">
              <w:rPr>
                <w:bCs/>
                <w:shd w:val="clear" w:color="auto" w:fill="FFFFFF"/>
                <w:vertAlign w:val="superscript"/>
              </w:rPr>
              <w:t>1</w:t>
            </w:r>
            <w:r w:rsidR="00D7513A">
              <w:rPr>
                <w:bCs/>
                <w:shd w:val="clear" w:color="auto" w:fill="FFFFFF"/>
                <w:vertAlign w:val="superscript"/>
              </w:rPr>
              <w:t xml:space="preserve"> </w:t>
            </w:r>
            <w:r w:rsidRPr="000B38B7">
              <w:rPr>
                <w:bCs/>
                <w:shd w:val="clear" w:color="auto" w:fill="FFFFFF"/>
              </w:rPr>
              <w:t xml:space="preserve">panta otro daļu, kas paredz, ka pēc </w:t>
            </w:r>
            <w:r w:rsidRPr="000B38B7">
              <w:t>šā panta pirmajā daļā minētās atļaujas saņemšanas Iekšlietu ministrijas sistēmas iestādes amatpersona vai Nacionālo bruņoto spēku personālsastāvs patstāvīgi pieņem lēmumu par speciālo cīņas paņēmienu vai speciālo līdzekļu lietošanu atbilstoši šā likuma 23.</w:t>
            </w:r>
            <w:r w:rsidR="00D7513A">
              <w:t xml:space="preserve"> </w:t>
            </w:r>
            <w:r w:rsidRPr="000B38B7">
              <w:t>pantam, ieroču pielietošanu atbilstoši šā likuma 24.</w:t>
            </w:r>
            <w:r w:rsidR="00D7513A">
              <w:t xml:space="preserve"> </w:t>
            </w:r>
            <w:r w:rsidRPr="000B38B7">
              <w:t>pantam vai tehnisko ierīču lietošanu.</w:t>
            </w:r>
            <w:r w:rsidRPr="000B38B7">
              <w:rPr>
                <w:bCs/>
                <w:shd w:val="clear" w:color="auto" w:fill="FFFFFF"/>
              </w:rPr>
              <w:t xml:space="preserve"> </w:t>
            </w:r>
            <w:r w:rsidRPr="000B38B7">
              <w:t xml:space="preserve">Vēršam uzmanību, ka </w:t>
            </w:r>
            <w:r w:rsidRPr="000B38B7">
              <w:rPr>
                <w:bCs/>
                <w:shd w:val="clear" w:color="auto" w:fill="FFFFFF"/>
              </w:rPr>
              <w:t xml:space="preserve">fiziska spēka, speciālo līdzekļu un ieroču pielietošana </w:t>
            </w:r>
            <w:r w:rsidRPr="000B38B7">
              <w:t xml:space="preserve">Iekšlietu ministrijas sistēmas iestāžu amatpersonām ir noteikta šo iestāžu darbību reglamentējošos normatīvajos aktos </w:t>
            </w:r>
            <w:r w:rsidRPr="000B38B7">
              <w:rPr>
                <w:bCs/>
                <w:shd w:val="clear" w:color="auto" w:fill="FFFFFF"/>
              </w:rPr>
              <w:t xml:space="preserve">(piemēram, policijas darbiniekiem – likuma </w:t>
            </w:r>
            <w:r w:rsidRPr="000B38B7" w:rsidR="00215DA0">
              <w:rPr>
                <w:bCs/>
                <w:shd w:val="clear" w:color="auto" w:fill="FFFFFF"/>
              </w:rPr>
              <w:t>"</w:t>
            </w:r>
            <w:r w:rsidRPr="000B38B7">
              <w:rPr>
                <w:bCs/>
                <w:shd w:val="clear" w:color="auto" w:fill="FFFFFF"/>
              </w:rPr>
              <w:t>Par policiju</w:t>
            </w:r>
            <w:r w:rsidRPr="000B38B7" w:rsidR="00215DA0">
              <w:rPr>
                <w:bCs/>
                <w:shd w:val="clear" w:color="auto" w:fill="FFFFFF"/>
              </w:rPr>
              <w:t>"</w:t>
            </w:r>
            <w:r w:rsidRPr="000B38B7">
              <w:rPr>
                <w:bCs/>
                <w:shd w:val="clear" w:color="auto" w:fill="FFFFFF"/>
              </w:rPr>
              <w:t xml:space="preserve"> 13. un 14.</w:t>
            </w:r>
            <w:r w:rsidR="00D7513A">
              <w:rPr>
                <w:bCs/>
                <w:shd w:val="clear" w:color="auto" w:fill="FFFFFF"/>
              </w:rPr>
              <w:t xml:space="preserve"> </w:t>
            </w:r>
            <w:r w:rsidRPr="000B38B7">
              <w:rPr>
                <w:bCs/>
                <w:shd w:val="clear" w:color="auto" w:fill="FFFFFF"/>
              </w:rPr>
              <w:t>pantā).</w:t>
            </w:r>
          </w:p>
        </w:tc>
        <w:tc>
          <w:tcPr>
            <w:tcW w:w="2977" w:type="dxa"/>
            <w:tcBorders>
              <w:top w:val="single" w:color="auto" w:sz="4" w:space="0"/>
              <w:left w:val="single" w:color="auto" w:sz="4" w:space="0"/>
              <w:bottom w:val="single" w:color="auto" w:sz="4" w:space="0"/>
              <w:right w:val="single" w:color="auto" w:sz="4" w:space="0"/>
            </w:tcBorders>
          </w:tcPr>
          <w:p w:rsidRPr="000B38B7" w:rsidR="009017D2" w:rsidP="004375D0" w:rsidRDefault="009017D2" w14:paraId="54BAC8D7" w14:textId="7B82E077">
            <w:pPr>
              <w:jc w:val="both"/>
              <w:rPr>
                <w:b/>
                <w:bCs/>
              </w:rPr>
            </w:pPr>
            <w:r w:rsidRPr="000B38B7">
              <w:rPr>
                <w:b/>
                <w:bCs/>
              </w:rPr>
              <w:t>Ņemts vērā</w:t>
            </w:r>
          </w:p>
        </w:tc>
        <w:tc>
          <w:tcPr>
            <w:tcW w:w="2693" w:type="dxa"/>
            <w:tcBorders>
              <w:top w:val="single" w:color="auto" w:sz="4" w:space="0"/>
              <w:left w:val="single" w:color="auto" w:sz="4" w:space="0"/>
              <w:bottom w:val="single" w:color="auto" w:sz="4" w:space="0"/>
            </w:tcBorders>
          </w:tcPr>
          <w:p w:rsidRPr="00D7513A" w:rsidR="00D7513A" w:rsidP="00D7513A" w:rsidRDefault="00D7513A" w14:paraId="2CB32494" w14:textId="77777777">
            <w:pPr>
              <w:jc w:val="both"/>
              <w:rPr>
                <w:b/>
                <w:bCs/>
              </w:rPr>
            </w:pPr>
            <w:r w:rsidRPr="00D7513A">
              <w:t>"</w:t>
            </w:r>
            <w:r w:rsidRPr="00D7513A">
              <w:rPr>
                <w:b/>
              </w:rPr>
              <w:t>24.</w:t>
            </w:r>
            <w:r w:rsidRPr="00D7513A">
              <w:rPr>
                <w:b/>
                <w:vertAlign w:val="superscript"/>
              </w:rPr>
              <w:t>1</w:t>
            </w:r>
            <w:r w:rsidRPr="00D7513A">
              <w:rPr>
                <w:b/>
              </w:rPr>
              <w:t> pants.</w:t>
            </w:r>
            <w:r w:rsidRPr="00D7513A">
              <w:t xml:space="preserve"> </w:t>
            </w:r>
            <w:r w:rsidRPr="00D7513A">
              <w:rPr>
                <w:b/>
              </w:rPr>
              <w:t xml:space="preserve">Iekšlietu ministrijas sistēmas iestāžu </w:t>
            </w:r>
            <w:r w:rsidRPr="00D7513A">
              <w:rPr>
                <w:b/>
                <w:bCs/>
              </w:rPr>
              <w:t>tiesības ieslodzījuma vietā</w:t>
            </w:r>
          </w:p>
          <w:p w:rsidRPr="00D7513A" w:rsidR="00D7513A" w:rsidP="00D7513A" w:rsidRDefault="00D7513A" w14:paraId="6F8F1648" w14:textId="77777777">
            <w:pPr>
              <w:ind w:firstLine="720"/>
              <w:jc w:val="both"/>
              <w:rPr>
                <w:b/>
                <w:bCs/>
              </w:rPr>
            </w:pPr>
          </w:p>
          <w:p w:rsidRPr="00D7513A" w:rsidR="00D7513A" w:rsidP="00D7513A" w:rsidRDefault="00D7513A" w14:paraId="5F56C429" w14:textId="77777777">
            <w:pPr>
              <w:pStyle w:val="tv213"/>
              <w:spacing w:before="0" w:beforeAutospacing="0" w:after="0" w:afterAutospacing="0"/>
              <w:ind w:firstLine="720"/>
              <w:jc w:val="both"/>
            </w:pPr>
            <w:r w:rsidRPr="00D7513A">
              <w:rPr>
                <w:bCs/>
              </w:rPr>
              <w:t>(1) </w:t>
            </w:r>
            <w:r w:rsidRPr="00D7513A">
              <w:t xml:space="preserve">Ja ieslodzījuma vietā notiek </w:t>
            </w:r>
            <w:bookmarkStart w:name="_Hlk37084674" w:id="3"/>
            <w:r w:rsidRPr="00D7513A">
              <w:t>ķīlnieka sagrābšana, grautiņi, dedzināšana, masu nekārtības vai masveida pretošanās amatpersonām</w:t>
            </w:r>
            <w:bookmarkEnd w:id="3"/>
            <w:r w:rsidRPr="00D7513A">
              <w:t>,</w:t>
            </w:r>
            <w:r w:rsidRPr="00D7513A" w:rsidDel="00471908">
              <w:t xml:space="preserve"> </w:t>
            </w:r>
            <w:r w:rsidRPr="00D7513A">
              <w:t>Iekšlietu ministrijas sistēmas iestāžu amatpersonām ar Pārvaldes priekšnieka vai viņa vietnieka mutvārdu atļauju ir tiesības:</w:t>
            </w:r>
          </w:p>
          <w:p w:rsidRPr="00D7513A" w:rsidR="00D7513A" w:rsidP="00D7513A" w:rsidRDefault="00D7513A" w14:paraId="1EB04A6A" w14:textId="77777777">
            <w:pPr>
              <w:pStyle w:val="tv213"/>
              <w:spacing w:before="0" w:beforeAutospacing="0" w:after="0" w:afterAutospacing="0"/>
              <w:ind w:firstLine="720"/>
              <w:jc w:val="both"/>
            </w:pPr>
            <w:r w:rsidRPr="00D7513A">
              <w:t>1) iekļūt ieslodzījuma vietā ar ieročiem, speciālajiem līdzekļiem vai tehniskajām ierīcēm;</w:t>
            </w:r>
          </w:p>
          <w:p w:rsidRPr="00D7513A" w:rsidR="00D7513A" w:rsidP="00D7513A" w:rsidRDefault="00D7513A" w14:paraId="6C237F19" w14:textId="77777777">
            <w:pPr>
              <w:pStyle w:val="tv213"/>
              <w:spacing w:before="0" w:beforeAutospacing="0" w:after="0" w:afterAutospacing="0"/>
              <w:ind w:firstLine="720"/>
              <w:jc w:val="both"/>
            </w:pPr>
            <w:r w:rsidRPr="00D7513A">
              <w:t>2) ieslodzījuma vietā pielietot ieročus, lietot speciālos cīņas paņēmienus, speciālos līdzekļus vai tehniskās ierīces.</w:t>
            </w:r>
          </w:p>
          <w:p w:rsidRPr="00D7513A" w:rsidR="00D7513A" w:rsidP="00D7513A" w:rsidRDefault="00D7513A" w14:paraId="28CFE3EF" w14:textId="77777777">
            <w:pPr>
              <w:pStyle w:val="tv213"/>
              <w:spacing w:before="0" w:beforeAutospacing="0" w:after="0" w:afterAutospacing="0"/>
              <w:ind w:firstLine="720"/>
              <w:jc w:val="both"/>
            </w:pPr>
          </w:p>
          <w:p w:rsidRPr="00D7513A" w:rsidR="009017D2" w:rsidP="00D7513A" w:rsidRDefault="00D7513A" w14:paraId="1CB7D539" w14:textId="281737C1">
            <w:pPr>
              <w:pStyle w:val="tv213"/>
              <w:spacing w:before="0" w:beforeAutospacing="0" w:after="0" w:afterAutospacing="0"/>
              <w:ind w:firstLine="720"/>
              <w:jc w:val="both"/>
            </w:pPr>
            <w:r w:rsidRPr="00D7513A">
              <w:t>(2) Pēc šā panta pirmajā daļā minētās atļaujas saņemšanas Iekšlietu ministrijas sistēmas iestādes amatpersona patstāvīgi pieņem lēmumu par speciālo cīņas paņēmienu vai speciālo līdzekļu lietošanu."</w:t>
            </w:r>
          </w:p>
        </w:tc>
      </w:tr>
      <w:tr w:rsidRPr="006A1A55" w:rsidR="000B38B7" w:rsidTr="00714153" w14:paraId="11C4D065" w14:textId="77777777">
        <w:tc>
          <w:tcPr>
            <w:tcW w:w="14317" w:type="dxa"/>
            <w:gridSpan w:val="5"/>
            <w:tcBorders>
              <w:top w:val="single" w:color="000000" w:sz="6" w:space="0"/>
              <w:left w:val="single" w:color="000000" w:sz="6" w:space="0"/>
              <w:bottom w:val="single" w:color="000000" w:sz="6" w:space="0"/>
            </w:tcBorders>
          </w:tcPr>
          <w:p w:rsidRPr="006A1A55" w:rsidR="00A060DC" w:rsidP="006A1A55" w:rsidRDefault="00973F56" w14:paraId="395BCC99" w14:textId="06AC54A9">
            <w:pPr>
              <w:jc w:val="center"/>
              <w:rPr>
                <w:b/>
                <w:bCs/>
              </w:rPr>
            </w:pPr>
            <w:r w:rsidRPr="006A1A55">
              <w:rPr>
                <w:b/>
                <w:bCs/>
              </w:rPr>
              <w:t>Aizsardzības ministrijas 2020.</w:t>
            </w:r>
            <w:r w:rsidR="00E81212">
              <w:rPr>
                <w:b/>
                <w:bCs/>
              </w:rPr>
              <w:t> </w:t>
            </w:r>
            <w:r w:rsidRPr="006A1A55">
              <w:rPr>
                <w:b/>
                <w:bCs/>
              </w:rPr>
              <w:t>gada 2</w:t>
            </w:r>
            <w:r w:rsidR="00714153">
              <w:rPr>
                <w:b/>
                <w:bCs/>
              </w:rPr>
              <w:t>0.</w:t>
            </w:r>
            <w:r w:rsidR="00E81212">
              <w:rPr>
                <w:b/>
                <w:bCs/>
              </w:rPr>
              <w:t> </w:t>
            </w:r>
            <w:r w:rsidRPr="006A1A55">
              <w:rPr>
                <w:b/>
                <w:bCs/>
              </w:rPr>
              <w:t xml:space="preserve">marta </w:t>
            </w:r>
            <w:r w:rsidRPr="00714153">
              <w:rPr>
                <w:b/>
                <w:bCs/>
              </w:rPr>
              <w:t>atzinums Nr.</w:t>
            </w:r>
            <w:r w:rsidRPr="00714153" w:rsidR="00E81212">
              <w:rPr>
                <w:b/>
                <w:bCs/>
              </w:rPr>
              <w:t> </w:t>
            </w:r>
            <w:r w:rsidRPr="00714153" w:rsidR="00714153">
              <w:rPr>
                <w:rStyle w:val="dlxnowrap1"/>
                <w:b/>
                <w:bCs/>
              </w:rPr>
              <w:t>MV-N/654</w:t>
            </w:r>
          </w:p>
        </w:tc>
      </w:tr>
      <w:tr w:rsidRPr="00973F56" w:rsidR="00F14957" w:rsidTr="00F625E7" w14:paraId="291E856D" w14:textId="77777777">
        <w:tc>
          <w:tcPr>
            <w:tcW w:w="851" w:type="dxa"/>
            <w:tcBorders>
              <w:top w:val="single" w:color="000000" w:sz="6" w:space="0"/>
              <w:left w:val="single" w:color="000000" w:sz="6" w:space="0"/>
              <w:bottom w:val="single" w:color="000000" w:sz="6" w:space="0"/>
              <w:right w:val="single" w:color="000000" w:sz="6" w:space="0"/>
            </w:tcBorders>
          </w:tcPr>
          <w:p w:rsidRPr="00973F56" w:rsidR="00F14957" w:rsidP="00F14957" w:rsidRDefault="00F14957" w14:paraId="467B6438" w14:textId="5BBCF982">
            <w:pPr>
              <w:pStyle w:val="naisc"/>
              <w:spacing w:before="0" w:after="0"/>
            </w:pPr>
            <w:r>
              <w:t>5</w:t>
            </w:r>
            <w:r w:rsidRPr="00973F56">
              <w:t>.</w:t>
            </w:r>
          </w:p>
        </w:tc>
        <w:tc>
          <w:tcPr>
            <w:tcW w:w="2551" w:type="dxa"/>
            <w:tcBorders>
              <w:top w:val="single" w:color="000000" w:sz="6" w:space="0"/>
              <w:left w:val="single" w:color="000000" w:sz="6" w:space="0"/>
              <w:bottom w:val="single" w:color="000000" w:sz="6" w:space="0"/>
              <w:right w:val="single" w:color="000000" w:sz="6" w:space="0"/>
            </w:tcBorders>
          </w:tcPr>
          <w:p w:rsidRPr="00973F56" w:rsidR="00F14957" w:rsidP="00F14957" w:rsidRDefault="00F14957" w14:paraId="06C094A9" w14:textId="35F83350">
            <w:pPr>
              <w:pStyle w:val="naisc"/>
              <w:spacing w:before="0" w:after="0"/>
              <w:jc w:val="both"/>
            </w:pPr>
          </w:p>
        </w:tc>
        <w:tc>
          <w:tcPr>
            <w:tcW w:w="5245" w:type="dxa"/>
            <w:tcBorders>
              <w:top w:val="single" w:color="000000" w:sz="6" w:space="0"/>
              <w:left w:val="single" w:color="000000" w:sz="6" w:space="0"/>
              <w:bottom w:val="single" w:color="000000" w:sz="6" w:space="0"/>
              <w:right w:val="single" w:color="000000" w:sz="6" w:space="0"/>
            </w:tcBorders>
          </w:tcPr>
          <w:p w:rsidRPr="00973F56" w:rsidR="00F14957" w:rsidP="00F14957" w:rsidRDefault="00F14957" w14:paraId="60999135" w14:textId="77777777">
            <w:pPr>
              <w:pStyle w:val="Bezatstarpm"/>
              <w:ind w:firstLine="457"/>
              <w:contextualSpacing/>
              <w:jc w:val="both"/>
              <w:rPr>
                <w:rFonts w:ascii="Times New Roman" w:hAnsi="Times New Roman"/>
                <w:sz w:val="24"/>
                <w:szCs w:val="24"/>
                <w:lang w:val="lv-LV"/>
              </w:rPr>
            </w:pPr>
            <w:r w:rsidRPr="00973F56">
              <w:rPr>
                <w:rFonts w:ascii="Times New Roman" w:hAnsi="Times New Roman"/>
                <w:sz w:val="24"/>
                <w:szCs w:val="24"/>
                <w:lang w:val="lv-LV"/>
              </w:rPr>
              <w:t>Sagatavotā likumprojekta 24.</w:t>
            </w:r>
            <w:r w:rsidRPr="00973F56">
              <w:rPr>
                <w:rFonts w:ascii="Times New Roman" w:hAnsi="Times New Roman"/>
                <w:sz w:val="24"/>
                <w:szCs w:val="24"/>
                <w:vertAlign w:val="superscript"/>
                <w:lang w:val="lv-LV"/>
              </w:rPr>
              <w:t>1</w:t>
            </w:r>
            <w:r w:rsidRPr="00973F56">
              <w:rPr>
                <w:rFonts w:ascii="Times New Roman" w:hAnsi="Times New Roman"/>
                <w:sz w:val="24"/>
                <w:szCs w:val="24"/>
                <w:lang w:val="lv-LV"/>
              </w:rPr>
              <w:t xml:space="preserve"> panta redakcija neatbilst </w:t>
            </w:r>
            <w:r w:rsidRPr="00F14957">
              <w:rPr>
                <w:rFonts w:ascii="Times New Roman" w:hAnsi="Times New Roman"/>
                <w:sz w:val="24"/>
                <w:szCs w:val="24"/>
                <w:lang w:val="lv-LV"/>
              </w:rPr>
              <w:t>Nacionālo bruņoto spēku (turpmāk – NBS) likuma 6. pantā noteiktajiem NBS uzdevumiem. NBS likuma 6. panta otrā daļa paredz, ka “citu, šajā likumā neparedzētu uzdevumu veikšanā NBS vienības (apakšvienības) drīkst iesaistīt ar Ministru kabineta rīkojumu”.</w:t>
            </w:r>
          </w:p>
          <w:p w:rsidRPr="00973F56" w:rsidR="00F14957" w:rsidP="00F14957" w:rsidRDefault="00F14957" w14:paraId="2513C27B" w14:textId="12805E98">
            <w:pPr>
              <w:pStyle w:val="Bezatstarpm"/>
              <w:ind w:firstLine="457"/>
              <w:contextualSpacing/>
              <w:jc w:val="both"/>
              <w:rPr>
                <w:rFonts w:ascii="Times New Roman" w:hAnsi="Times New Roman"/>
                <w:sz w:val="24"/>
                <w:szCs w:val="24"/>
                <w:lang w:val="lv-LV"/>
              </w:rPr>
            </w:pPr>
            <w:r w:rsidRPr="00973F56">
              <w:rPr>
                <w:rFonts w:ascii="Times New Roman" w:hAnsi="Times New Roman"/>
                <w:sz w:val="24"/>
                <w:szCs w:val="24"/>
                <w:lang w:val="lv-LV"/>
              </w:rPr>
              <w:t>Likumprojekta 24.</w:t>
            </w:r>
            <w:r w:rsidRPr="00973F56">
              <w:rPr>
                <w:rFonts w:ascii="Times New Roman" w:hAnsi="Times New Roman"/>
                <w:sz w:val="24"/>
                <w:szCs w:val="24"/>
                <w:vertAlign w:val="superscript"/>
                <w:lang w:val="lv-LV"/>
              </w:rPr>
              <w:t>1</w:t>
            </w:r>
            <w:r w:rsidRPr="00973F56">
              <w:rPr>
                <w:rFonts w:ascii="Times New Roman" w:hAnsi="Times New Roman"/>
                <w:sz w:val="24"/>
                <w:szCs w:val="24"/>
                <w:lang w:val="lv-LV"/>
              </w:rPr>
              <w:t xml:space="preserve"> pants neatbilst Militārā dienesta likuma 13. un 14. pantā noteiktajiem gadījumiem, kuros karavīrs ir tiesīgs pielietot dienesta šaujamieroci, fizisko spēku un speciālos līdzekļus. </w:t>
            </w:r>
          </w:p>
        </w:tc>
        <w:tc>
          <w:tcPr>
            <w:tcW w:w="2977" w:type="dxa"/>
            <w:tcBorders>
              <w:top w:val="single" w:color="auto" w:sz="4" w:space="0"/>
              <w:left w:val="single" w:color="auto" w:sz="4" w:space="0"/>
              <w:bottom w:val="single" w:color="auto" w:sz="4" w:space="0"/>
              <w:right w:val="single" w:color="auto" w:sz="4" w:space="0"/>
            </w:tcBorders>
          </w:tcPr>
          <w:p w:rsidRPr="00973F56" w:rsidR="00F14957" w:rsidP="00F14957" w:rsidRDefault="00F14957" w14:paraId="0218AD2C" w14:textId="3E1CE58D">
            <w:pPr>
              <w:rPr>
                <w:b/>
                <w:bCs/>
              </w:rPr>
            </w:pPr>
            <w:r w:rsidRPr="00973F56">
              <w:rPr>
                <w:b/>
                <w:bCs/>
              </w:rPr>
              <w:t xml:space="preserve">Ņemts vērā </w:t>
            </w:r>
          </w:p>
        </w:tc>
        <w:tc>
          <w:tcPr>
            <w:tcW w:w="2693" w:type="dxa"/>
            <w:tcBorders>
              <w:top w:val="single" w:color="auto" w:sz="4" w:space="0"/>
              <w:left w:val="single" w:color="auto" w:sz="4" w:space="0"/>
              <w:bottom w:val="single" w:color="auto" w:sz="4" w:space="0"/>
            </w:tcBorders>
          </w:tcPr>
          <w:p w:rsidRPr="002002D1" w:rsidR="002002D1" w:rsidP="00B97C48" w:rsidRDefault="002002D1" w14:paraId="2B4DC999" w14:textId="55ED186B">
            <w:pPr>
              <w:jc w:val="both"/>
              <w:rPr>
                <w:b/>
                <w:bCs/>
              </w:rPr>
            </w:pPr>
            <w:r w:rsidRPr="002002D1">
              <w:rPr>
                <w:b/>
              </w:rPr>
              <w:t>24.</w:t>
            </w:r>
            <w:r w:rsidRPr="002002D1">
              <w:rPr>
                <w:b/>
                <w:vertAlign w:val="superscript"/>
              </w:rPr>
              <w:t>1</w:t>
            </w:r>
            <w:r w:rsidRPr="002002D1">
              <w:rPr>
                <w:b/>
              </w:rPr>
              <w:t> pants.</w:t>
            </w:r>
            <w:r w:rsidRPr="002002D1">
              <w:t xml:space="preserve"> </w:t>
            </w:r>
            <w:r w:rsidRPr="002002D1">
              <w:rPr>
                <w:b/>
              </w:rPr>
              <w:t xml:space="preserve">Iekšlietu ministrijas sistēmas iestāžu </w:t>
            </w:r>
            <w:r w:rsidRPr="002002D1">
              <w:rPr>
                <w:b/>
                <w:bCs/>
              </w:rPr>
              <w:t>tiesības ieslodzījuma vietā</w:t>
            </w:r>
          </w:p>
          <w:p w:rsidRPr="002002D1" w:rsidR="002002D1" w:rsidP="00B97C48" w:rsidRDefault="002002D1" w14:paraId="2B20FCC7" w14:textId="77777777">
            <w:pPr>
              <w:pStyle w:val="tv213"/>
              <w:spacing w:before="0" w:beforeAutospacing="0" w:after="0" w:afterAutospacing="0"/>
              <w:jc w:val="both"/>
            </w:pPr>
            <w:r w:rsidRPr="002002D1">
              <w:rPr>
                <w:bCs/>
              </w:rPr>
              <w:t>(1) </w:t>
            </w:r>
            <w:r w:rsidRPr="002002D1">
              <w:t>Ja ieslodzījuma vietā notiek ķīlnieka sagrābšana, grautiņi, dedzināšana, masu nekārtības vai masveida pretošanās amatpersonām,</w:t>
            </w:r>
            <w:r w:rsidRPr="002002D1" w:rsidDel="00471908">
              <w:t xml:space="preserve"> </w:t>
            </w:r>
            <w:r w:rsidRPr="002002D1">
              <w:t>Iekšlietu ministrijas sistēmas iestāžu amatpersonām ar Pārvaldes priekšnieka vai viņa vietnieka mutvārdu atļauju ir tiesības:</w:t>
            </w:r>
          </w:p>
          <w:p w:rsidRPr="002002D1" w:rsidR="002002D1" w:rsidP="00B97C48" w:rsidRDefault="002002D1" w14:paraId="2B8E3390" w14:textId="77777777">
            <w:pPr>
              <w:pStyle w:val="tv213"/>
              <w:spacing w:before="0" w:beforeAutospacing="0" w:after="0" w:afterAutospacing="0"/>
              <w:jc w:val="both"/>
            </w:pPr>
            <w:r w:rsidRPr="002002D1">
              <w:t>1) iekļūt ieslodzījuma vietā ar ieročiem, speciālajiem līdzekļiem vai tehniskajām ierīcēm;</w:t>
            </w:r>
          </w:p>
          <w:p w:rsidRPr="002002D1" w:rsidR="002002D1" w:rsidP="00B97C48" w:rsidRDefault="002002D1" w14:paraId="4C867E3D" w14:textId="4D606435">
            <w:pPr>
              <w:pStyle w:val="tv213"/>
              <w:spacing w:before="0" w:beforeAutospacing="0" w:after="0" w:afterAutospacing="0"/>
              <w:jc w:val="both"/>
            </w:pPr>
            <w:r w:rsidRPr="002002D1">
              <w:t>2) ieslodzījuma vietā pielietot ieročus, lietot speciālos cīņas paņēmienus, speciālos līdzekļus vai tehniskās ierīces.</w:t>
            </w:r>
          </w:p>
          <w:p w:rsidRPr="002002D1" w:rsidR="00F14957" w:rsidP="00B97C48" w:rsidRDefault="002002D1" w14:paraId="3E785340" w14:textId="03CE92EC">
            <w:pPr>
              <w:pStyle w:val="tv213"/>
              <w:spacing w:before="0" w:beforeAutospacing="0" w:after="0" w:afterAutospacing="0"/>
              <w:jc w:val="both"/>
            </w:pPr>
            <w:r w:rsidRPr="002002D1">
              <w:t>(2) Pēc šā panta pirmajā daļā minētās atļaujas saņemšanas Iekšlietu ministrijas sistēmas iestādes amatpersona patstāvīgi pieņem lēmumu par speciālo cīņas paņēmienu vai speciālo līdzekļu lietošanu.</w:t>
            </w:r>
          </w:p>
        </w:tc>
      </w:tr>
      <w:tr w:rsidRPr="00610149" w:rsidR="00610149" w:rsidTr="00F625E7" w14:paraId="199A71EA" w14:textId="77777777">
        <w:tc>
          <w:tcPr>
            <w:tcW w:w="851" w:type="dxa"/>
            <w:tcBorders>
              <w:top w:val="single" w:color="000000" w:sz="6" w:space="0"/>
              <w:left w:val="single" w:color="000000" w:sz="6" w:space="0"/>
              <w:bottom w:val="single" w:color="000000" w:sz="6" w:space="0"/>
              <w:right w:val="single" w:color="000000" w:sz="6" w:space="0"/>
            </w:tcBorders>
          </w:tcPr>
          <w:p w:rsidRPr="00610149" w:rsidR="00610149" w:rsidP="00F14957" w:rsidRDefault="00610149" w14:paraId="1BF8D445" w14:textId="77777777">
            <w:pPr>
              <w:pStyle w:val="naisc"/>
              <w:spacing w:before="0" w:after="0"/>
            </w:pPr>
          </w:p>
        </w:tc>
        <w:tc>
          <w:tcPr>
            <w:tcW w:w="2551" w:type="dxa"/>
            <w:tcBorders>
              <w:top w:val="single" w:color="000000" w:sz="6" w:space="0"/>
              <w:left w:val="single" w:color="000000" w:sz="6" w:space="0"/>
              <w:bottom w:val="single" w:color="000000" w:sz="6" w:space="0"/>
              <w:right w:val="single" w:color="000000" w:sz="6" w:space="0"/>
            </w:tcBorders>
          </w:tcPr>
          <w:p w:rsidRPr="00610149" w:rsidR="00610149" w:rsidP="00610149" w:rsidRDefault="00610149" w14:paraId="56B797D3" w14:textId="77777777">
            <w:pPr>
              <w:pStyle w:val="naisf"/>
              <w:spacing w:before="0" w:after="0"/>
              <w:ind w:firstLine="0"/>
            </w:pPr>
            <w:r w:rsidRPr="00610149">
              <w:t>1. 8. pantā:</w:t>
            </w:r>
          </w:p>
          <w:p w:rsidRPr="00610149" w:rsidR="00610149" w:rsidP="00610149" w:rsidRDefault="00610149" w14:paraId="5C484D7F" w14:textId="77777777">
            <w:pPr>
              <w:pStyle w:val="naisf"/>
              <w:spacing w:before="0" w:after="0"/>
              <w:ind w:firstLine="0"/>
            </w:pPr>
            <w:r w:rsidRPr="00610149">
              <w:t>papildināt pirmo daļu ar 9. punktu šādā redakcijā:</w:t>
            </w:r>
          </w:p>
          <w:p w:rsidRPr="00610149" w:rsidR="00610149" w:rsidP="00610149" w:rsidRDefault="00610149" w14:paraId="5CD1E4CA" w14:textId="77777777">
            <w:pPr>
              <w:pStyle w:val="naisf"/>
              <w:spacing w:before="0" w:after="0"/>
              <w:ind w:firstLine="0"/>
            </w:pPr>
            <w:r w:rsidRPr="00610149">
              <w:t>9) Valsts drošības iestādes amatpersonām;</w:t>
            </w:r>
          </w:p>
          <w:p w:rsidRPr="00610149" w:rsidR="00610149" w:rsidP="00F14957" w:rsidRDefault="00610149" w14:paraId="33F4294B" w14:textId="77777777">
            <w:pPr>
              <w:pStyle w:val="naisc"/>
              <w:spacing w:before="0" w:after="0"/>
              <w:jc w:val="both"/>
            </w:pPr>
          </w:p>
        </w:tc>
        <w:tc>
          <w:tcPr>
            <w:tcW w:w="5245" w:type="dxa"/>
            <w:tcBorders>
              <w:top w:val="single" w:color="000000" w:sz="6" w:space="0"/>
              <w:left w:val="single" w:color="000000" w:sz="6" w:space="0"/>
              <w:bottom w:val="single" w:color="000000" w:sz="6" w:space="0"/>
              <w:right w:val="single" w:color="000000" w:sz="6" w:space="0"/>
            </w:tcBorders>
          </w:tcPr>
          <w:p w:rsidRPr="00610149" w:rsidR="00610149" w:rsidP="00610149" w:rsidRDefault="00610149" w14:paraId="38E0EE00" w14:textId="378FF4B0">
            <w:pPr>
              <w:pStyle w:val="Bezatstarpm"/>
              <w:contextualSpacing/>
              <w:jc w:val="both"/>
              <w:rPr>
                <w:rFonts w:ascii="Times New Roman" w:hAnsi="Times New Roman"/>
                <w:sz w:val="24"/>
                <w:szCs w:val="24"/>
                <w:lang w:val="lv-LV"/>
              </w:rPr>
            </w:pPr>
            <w:r w:rsidRPr="00610149">
              <w:rPr>
                <w:rFonts w:ascii="Times New Roman" w:hAnsi="Times New Roman"/>
                <w:sz w:val="24"/>
                <w:szCs w:val="24"/>
                <w:lang w:val="lv-LV"/>
              </w:rPr>
              <w:t xml:space="preserve">Likumprojekta 1. pants paredz papildināt Ieslodzījumu vietu pārvaldes likuma 8. panta pirmo daļu ar jaunu 9. punktu, kas valsts drošības iestāžu amatpersonām paredz tiesības bez speciālās atļaujas apmeklēt ieslodzījumu vietas. Valsts drošības iestāžu amatpersonu tiesības iekļūt jebkuram subjektam (gan juridiskām, gan fiziskām personām) piederošās </w:t>
            </w:r>
            <w:r w:rsidRPr="00610149">
              <w:rPr>
                <w:rFonts w:ascii="Times New Roman" w:hAnsi="Times New Roman"/>
                <w:sz w:val="24"/>
                <w:szCs w:val="24"/>
                <w:u w:val="single"/>
                <w:lang w:val="lv-LV"/>
              </w:rPr>
              <w:t>nedzīvojamās</w:t>
            </w:r>
            <w:r w:rsidRPr="00610149">
              <w:rPr>
                <w:rFonts w:ascii="Times New Roman" w:hAnsi="Times New Roman"/>
                <w:sz w:val="24"/>
                <w:szCs w:val="24"/>
                <w:lang w:val="lv-LV"/>
              </w:rPr>
              <w:t xml:space="preserve"> telpās un zemesgabalu teritorijās (izņemot telpas un zemesgabalus, kurām ir eksteritoriāls statuss) nosaka Valsts drošības iestāžu likuma 19. panta pirmās daļas 4. punkts. Tā kā ieslodzījuma vietas nav izņēmums, tad Aizsardzības ministrija neatbalsta šādu tiesību atkārtotu reglamentēšanu, lai izvairītos no valsts drošības iestāžu amatpersonu pilnvaru papildu interpretācijām.</w:t>
            </w:r>
          </w:p>
        </w:tc>
        <w:tc>
          <w:tcPr>
            <w:tcW w:w="2977" w:type="dxa"/>
            <w:tcBorders>
              <w:top w:val="single" w:color="auto" w:sz="4" w:space="0"/>
              <w:left w:val="single" w:color="auto" w:sz="4" w:space="0"/>
              <w:bottom w:val="single" w:color="auto" w:sz="4" w:space="0"/>
              <w:right w:val="single" w:color="auto" w:sz="4" w:space="0"/>
            </w:tcBorders>
          </w:tcPr>
          <w:p w:rsidR="00610149" w:rsidP="00F14957" w:rsidRDefault="00610149" w14:paraId="44E69E50" w14:textId="4A2F8DDA">
            <w:pPr>
              <w:rPr>
                <w:b/>
                <w:bCs/>
              </w:rPr>
            </w:pPr>
            <w:r>
              <w:rPr>
                <w:b/>
                <w:bCs/>
              </w:rPr>
              <w:t xml:space="preserve">Saskaņots </w:t>
            </w:r>
          </w:p>
          <w:p w:rsidRPr="00610149" w:rsidR="00610149" w:rsidP="00AE0799" w:rsidRDefault="00610149" w14:paraId="281741FB" w14:textId="6C9901CA">
            <w:pPr>
              <w:rPr>
                <w:b/>
                <w:bCs/>
              </w:rPr>
            </w:pPr>
          </w:p>
        </w:tc>
        <w:tc>
          <w:tcPr>
            <w:tcW w:w="2693" w:type="dxa"/>
            <w:tcBorders>
              <w:top w:val="single" w:color="auto" w:sz="4" w:space="0"/>
              <w:left w:val="single" w:color="auto" w:sz="4" w:space="0"/>
              <w:bottom w:val="single" w:color="auto" w:sz="4" w:space="0"/>
            </w:tcBorders>
          </w:tcPr>
          <w:p w:rsidRPr="00610149" w:rsidR="00610149" w:rsidP="00610149" w:rsidRDefault="00610149" w14:paraId="19B94AFA" w14:textId="77777777">
            <w:pPr>
              <w:pStyle w:val="naisf"/>
              <w:spacing w:before="0" w:after="0"/>
              <w:ind w:firstLine="0"/>
            </w:pPr>
            <w:r w:rsidRPr="00610149">
              <w:t>1. 8. pantā:</w:t>
            </w:r>
          </w:p>
          <w:p w:rsidRPr="00610149" w:rsidR="00610149" w:rsidP="00610149" w:rsidRDefault="00610149" w14:paraId="747E1C7A" w14:textId="77777777">
            <w:pPr>
              <w:pStyle w:val="naisf"/>
              <w:spacing w:before="0" w:after="0"/>
              <w:ind w:firstLine="0"/>
            </w:pPr>
            <w:r w:rsidRPr="00610149">
              <w:t>papildināt pirmo daļu ar 9. un 10. punktu šādā redakcijā:</w:t>
            </w:r>
          </w:p>
          <w:p w:rsidRPr="00610149" w:rsidR="00610149" w:rsidP="00610149" w:rsidRDefault="00610149" w14:paraId="25177559" w14:textId="77777777">
            <w:pPr>
              <w:pStyle w:val="naisf"/>
              <w:spacing w:before="0" w:after="0"/>
              <w:ind w:firstLine="0"/>
            </w:pPr>
            <w:r w:rsidRPr="00610149">
              <w:t>"9) Valsts drošības iestādes amatpersonām;</w:t>
            </w:r>
          </w:p>
          <w:p w:rsidRPr="00610149" w:rsidR="00610149" w:rsidP="00610149" w:rsidRDefault="00610149" w14:paraId="0FFDA915" w14:textId="7004FB4F">
            <w:pPr>
              <w:pStyle w:val="naisf"/>
              <w:spacing w:before="0" w:after="0"/>
              <w:ind w:firstLine="0"/>
            </w:pPr>
            <w:r w:rsidRPr="00610149">
              <w:t>10)</w:t>
            </w:r>
            <w:r w:rsidR="00E81212">
              <w:t> </w:t>
            </w:r>
            <w:r w:rsidRPr="00610149">
              <w:t>Korupcijas novēršanas un apkarošanas biroja amatpersonām."</w:t>
            </w:r>
          </w:p>
          <w:p w:rsidRPr="00610149" w:rsidR="00610149" w:rsidP="00B97C48" w:rsidRDefault="00610149" w14:paraId="1F4AF4B4" w14:textId="77777777">
            <w:pPr>
              <w:jc w:val="both"/>
              <w:rPr>
                <w:b/>
              </w:rPr>
            </w:pPr>
          </w:p>
        </w:tc>
      </w:tr>
    </w:tbl>
    <w:p w:rsidR="00A060DC" w:rsidP="00A060DC" w:rsidRDefault="00A060DC" w14:paraId="12F16038" w14:textId="33942AE6">
      <w:pPr>
        <w:pStyle w:val="naisf"/>
        <w:spacing w:before="0" w:after="0"/>
        <w:ind w:firstLine="0"/>
        <w:rPr>
          <w:b/>
        </w:rPr>
      </w:pPr>
    </w:p>
    <w:tbl>
      <w:tblPr>
        <w:tblW w:w="9287" w:type="dxa"/>
        <w:tblInd w:w="8" w:type="dxa"/>
        <w:tblLayout w:type="fixed"/>
        <w:tblLook w:val="00A0" w:firstRow="1" w:lastRow="0" w:firstColumn="1" w:lastColumn="0" w:noHBand="0" w:noVBand="0"/>
      </w:tblPr>
      <w:tblGrid>
        <w:gridCol w:w="3108"/>
        <w:gridCol w:w="6179"/>
      </w:tblGrid>
      <w:tr w:rsidRPr="000B38B7" w:rsidR="000B38B7" w:rsidTr="00AE0799" w14:paraId="66017977" w14:textId="77777777">
        <w:tc>
          <w:tcPr>
            <w:tcW w:w="3108" w:type="dxa"/>
          </w:tcPr>
          <w:p w:rsidRPr="000B38B7" w:rsidR="00A060DC" w:rsidP="005E6CCE" w:rsidRDefault="00A060DC" w14:paraId="4A8F37D3" w14:textId="77777777">
            <w:pPr>
              <w:pStyle w:val="naiskr"/>
              <w:spacing w:before="0" w:after="0"/>
            </w:pPr>
            <w:r w:rsidRPr="000B38B7">
              <w:t>Atbildīgā amatpersona</w:t>
            </w:r>
          </w:p>
        </w:tc>
        <w:tc>
          <w:tcPr>
            <w:tcW w:w="6179" w:type="dxa"/>
          </w:tcPr>
          <w:p w:rsidRPr="000B38B7" w:rsidR="00A060DC" w:rsidP="005E6CCE" w:rsidRDefault="00A060DC" w14:paraId="735D8698" w14:textId="77777777">
            <w:pPr>
              <w:pStyle w:val="naiskr"/>
              <w:spacing w:before="0" w:after="0"/>
              <w:ind w:firstLine="720"/>
            </w:pPr>
          </w:p>
        </w:tc>
      </w:tr>
      <w:tr w:rsidRPr="000B38B7" w:rsidR="00A060DC" w:rsidTr="00AE0799" w14:paraId="70543B8C" w14:textId="77777777">
        <w:tc>
          <w:tcPr>
            <w:tcW w:w="3108" w:type="dxa"/>
          </w:tcPr>
          <w:p w:rsidRPr="000B38B7" w:rsidR="00A060DC" w:rsidP="005E6CCE" w:rsidRDefault="00A060DC" w14:paraId="619DBAFF" w14:textId="77777777">
            <w:pPr>
              <w:pStyle w:val="naiskr"/>
              <w:spacing w:before="0" w:after="0"/>
              <w:ind w:firstLine="720"/>
            </w:pPr>
          </w:p>
        </w:tc>
        <w:tc>
          <w:tcPr>
            <w:tcW w:w="6179" w:type="dxa"/>
            <w:tcBorders>
              <w:top w:val="single" w:color="000000" w:sz="6" w:space="0"/>
            </w:tcBorders>
          </w:tcPr>
          <w:p w:rsidRPr="000B38B7" w:rsidR="00A060DC" w:rsidP="005E6CCE" w:rsidRDefault="00A060DC" w14:paraId="7B1BB0A2" w14:textId="77777777">
            <w:pPr>
              <w:pStyle w:val="naisc"/>
              <w:spacing w:before="0" w:after="0"/>
              <w:ind w:firstLine="720"/>
            </w:pPr>
            <w:r w:rsidRPr="000B38B7">
              <w:t>(paraksts)</w:t>
            </w:r>
          </w:p>
        </w:tc>
      </w:tr>
    </w:tbl>
    <w:p w:rsidRPr="00714153" w:rsidR="00A060DC" w:rsidP="00A427AD" w:rsidRDefault="00A060DC" w14:paraId="668ECE40" w14:textId="77777777">
      <w:pPr>
        <w:pStyle w:val="naisf"/>
        <w:spacing w:before="0" w:after="0"/>
        <w:ind w:left="142" w:firstLine="0"/>
      </w:pPr>
      <w:r w:rsidRPr="00714153">
        <w:t>Olga Zeile</w:t>
      </w:r>
    </w:p>
    <w:p w:rsidRPr="00714153" w:rsidR="00A060DC" w:rsidP="00A427AD" w:rsidRDefault="00A060DC" w14:paraId="0F8B54CE" w14:textId="77777777">
      <w:pPr>
        <w:pStyle w:val="naisf"/>
        <w:spacing w:before="0" w:after="0"/>
        <w:ind w:left="142" w:firstLine="0"/>
      </w:pPr>
      <w:r w:rsidRPr="00714153">
        <w:t xml:space="preserve">Tieslietu ministrijas </w:t>
      </w:r>
    </w:p>
    <w:p w:rsidRPr="00714153" w:rsidR="00A060DC" w:rsidP="00A427AD" w:rsidRDefault="00A060DC" w14:paraId="6F41175C" w14:textId="77777777">
      <w:pPr>
        <w:pStyle w:val="naisf"/>
        <w:spacing w:before="0" w:after="0"/>
        <w:ind w:left="142" w:firstLine="0"/>
      </w:pPr>
      <w:r w:rsidRPr="00714153">
        <w:t>Nozaru politikas departamenta direktore</w:t>
      </w:r>
    </w:p>
    <w:p w:rsidRPr="00714153" w:rsidR="00210468" w:rsidP="00A427AD" w:rsidRDefault="00A060DC" w14:paraId="29A3870A" w14:textId="5C3BDB64">
      <w:pPr>
        <w:pStyle w:val="naisf"/>
        <w:spacing w:before="0" w:after="0"/>
        <w:ind w:left="142" w:firstLine="0"/>
        <w:rPr>
          <w:iCs/>
        </w:rPr>
      </w:pPr>
      <w:r w:rsidRPr="00714153">
        <w:rPr>
          <w:iCs/>
        </w:rPr>
        <w:t>67046134, Olga.Zeile@tm.gov.l</w:t>
      </w:r>
      <w:r w:rsidRPr="00714153" w:rsidR="004D6437">
        <w:rPr>
          <w:iCs/>
        </w:rPr>
        <w:t>v</w:t>
      </w:r>
    </w:p>
    <w:sectPr w:rsidRPr="00714153" w:rsidR="00210468" w:rsidSect="00F625E7">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FDD8" w14:textId="77777777" w:rsidR="00B1691F" w:rsidRDefault="00B1691F" w:rsidP="00A060DC">
      <w:r>
        <w:separator/>
      </w:r>
    </w:p>
  </w:endnote>
  <w:endnote w:type="continuationSeparator" w:id="0">
    <w:p w14:paraId="52C76837" w14:textId="77777777" w:rsidR="00B1691F" w:rsidRDefault="00B1691F" w:rsidP="00A0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BB6C3" w14:textId="77777777" w:rsidR="00017C67" w:rsidRDefault="00F625E7" w:rsidP="00017C67">
    <w:pPr>
      <w:rPr>
        <w:sz w:val="22"/>
        <w:szCs w:val="22"/>
      </w:rPr>
    </w:pPr>
  </w:p>
  <w:p w14:paraId="19C5114C" w14:textId="3114BC5F" w:rsidR="009C418E" w:rsidRPr="006C79DC" w:rsidRDefault="009C418E" w:rsidP="009C418E">
    <w:r>
      <w:rPr>
        <w:sz w:val="20"/>
        <w:szCs w:val="20"/>
      </w:rPr>
      <w:t>TMIzz_</w:t>
    </w:r>
    <w:r w:rsidR="00D037C0">
      <w:rPr>
        <w:sz w:val="20"/>
        <w:szCs w:val="20"/>
      </w:rPr>
      <w:t>3</w:t>
    </w:r>
    <w:r w:rsidR="005C4FA1">
      <w:rPr>
        <w:sz w:val="20"/>
        <w:szCs w:val="20"/>
      </w:rPr>
      <w:t>1</w:t>
    </w:r>
    <w:r w:rsidR="000F69D0">
      <w:rPr>
        <w:sz w:val="20"/>
        <w:szCs w:val="20"/>
      </w:rPr>
      <w:t>07</w:t>
    </w:r>
    <w:r>
      <w:rPr>
        <w:sz w:val="20"/>
        <w:szCs w:val="20"/>
      </w:rPr>
      <w:t>20_IeVPlik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6F7B" w14:textId="12DEE42D" w:rsidR="00017C67" w:rsidRPr="006C79DC" w:rsidRDefault="0097617A" w:rsidP="008B4988">
    <w:r>
      <w:rPr>
        <w:sz w:val="20"/>
        <w:szCs w:val="20"/>
      </w:rPr>
      <w:t>TMIzz_</w:t>
    </w:r>
    <w:r w:rsidR="00D037C0">
      <w:rPr>
        <w:sz w:val="20"/>
        <w:szCs w:val="20"/>
      </w:rPr>
      <w:t>3</w:t>
    </w:r>
    <w:r w:rsidR="005C4FA1">
      <w:rPr>
        <w:sz w:val="20"/>
        <w:szCs w:val="20"/>
      </w:rPr>
      <w:t>1</w:t>
    </w:r>
    <w:r w:rsidR="000F69D0">
      <w:rPr>
        <w:sz w:val="20"/>
        <w:szCs w:val="20"/>
      </w:rPr>
      <w:t>07</w:t>
    </w:r>
    <w:r w:rsidR="00314FE3">
      <w:rPr>
        <w:sz w:val="20"/>
        <w:szCs w:val="20"/>
      </w:rPr>
      <w:t>20</w:t>
    </w:r>
    <w:r>
      <w:rPr>
        <w:sz w:val="20"/>
        <w:szCs w:val="20"/>
      </w:rPr>
      <w:t>_</w:t>
    </w:r>
    <w:r w:rsidR="00314FE3">
      <w:rPr>
        <w:sz w:val="20"/>
        <w:szCs w:val="20"/>
      </w:rPr>
      <w:t>IeVPlik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0D845" w14:textId="77777777" w:rsidR="00B1691F" w:rsidRDefault="00B1691F" w:rsidP="00A060DC">
      <w:r>
        <w:separator/>
      </w:r>
    </w:p>
  </w:footnote>
  <w:footnote w:type="continuationSeparator" w:id="0">
    <w:p w14:paraId="53300798" w14:textId="77777777" w:rsidR="00B1691F" w:rsidRDefault="00B1691F" w:rsidP="00A060DC">
      <w:r>
        <w:continuationSeparator/>
      </w:r>
    </w:p>
  </w:footnote>
  <w:footnote w:id="1">
    <w:p w14:paraId="572913F3" w14:textId="77777777" w:rsidR="009017D2" w:rsidRDefault="009017D2" w:rsidP="009017D2">
      <w:pPr>
        <w:pStyle w:val="Vresteksts"/>
        <w:jc w:val="both"/>
      </w:pPr>
      <w:r>
        <w:rPr>
          <w:rStyle w:val="Vresatsauce"/>
        </w:rPr>
        <w:footnoteRef/>
      </w:r>
      <w:r>
        <w:t xml:space="preserve"> </w:t>
      </w:r>
      <w:r w:rsidRPr="00EC6952">
        <w:rPr>
          <w:rFonts w:ascii="Times New Roman" w:hAnsi="Times New Roman"/>
        </w:rPr>
        <w:t xml:space="preserve">Latvijas Republikas </w:t>
      </w:r>
      <w:r w:rsidRPr="00EC6952">
        <w:rPr>
          <w:rFonts w:ascii="Times New Roman" w:hAnsi="Times New Roman"/>
          <w:iCs/>
        </w:rPr>
        <w:t xml:space="preserve">Satversmes tiesas </w:t>
      </w:r>
      <w:r w:rsidRPr="00EC6952">
        <w:rPr>
          <w:rFonts w:ascii="Times New Roman" w:hAnsi="Times New Roman"/>
          <w:bCs/>
        </w:rPr>
        <w:t xml:space="preserve">2007. gada 9. oktobra </w:t>
      </w:r>
      <w:r w:rsidRPr="00EC6952">
        <w:rPr>
          <w:rFonts w:ascii="Times New Roman" w:hAnsi="Times New Roman"/>
          <w:iCs/>
        </w:rPr>
        <w:t xml:space="preserve">sprieduma lietā Nr. </w:t>
      </w:r>
      <w:r w:rsidRPr="00EC6952">
        <w:rPr>
          <w:rFonts w:ascii="Times New Roman" w:hAnsi="Times New Roman"/>
          <w:bCs/>
        </w:rPr>
        <w:t xml:space="preserve">2007-04-03 </w:t>
      </w:r>
      <w:r>
        <w:rPr>
          <w:rFonts w:ascii="Times New Roman" w:hAnsi="Times New Roman"/>
          <w:iCs/>
        </w:rPr>
        <w:t>secinājumu daļas 15.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C67" w:rsidP="00017C67" w:rsidRDefault="0097617A" w14:paraId="54ED202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17C67" w:rsidRDefault="00F625E7" w14:paraId="27F8840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C67" w:rsidP="00017C67" w:rsidRDefault="0097617A" w14:paraId="435EB3EA"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367E0">
      <w:rPr>
        <w:rStyle w:val="Lappusesnumurs"/>
        <w:noProof/>
      </w:rPr>
      <w:t>13</w:t>
    </w:r>
    <w:r>
      <w:rPr>
        <w:rStyle w:val="Lappusesnumurs"/>
      </w:rPr>
      <w:fldChar w:fldCharType="end"/>
    </w:r>
  </w:p>
  <w:p w:rsidR="00017C67" w:rsidP="00DF223C" w:rsidRDefault="00F625E7" w14:paraId="2328E1B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FB43134"/>
    <w:multiLevelType w:val="hybridMultilevel"/>
    <w:tmpl w:val="54F4AC1C"/>
    <w:lvl w:ilvl="0" w:tplc="B0842F06">
      <w:start w:val="1"/>
      <w:numFmt w:val="decimal"/>
      <w:lvlText w:val="%1."/>
      <w:lvlJc w:val="left"/>
      <w:pPr>
        <w:ind w:left="1429" w:hanging="360"/>
      </w:pPr>
    </w:lvl>
    <w:lvl w:ilvl="1" w:tplc="5906CB2A" w:tentative="1">
      <w:start w:val="1"/>
      <w:numFmt w:val="lowerLetter"/>
      <w:lvlText w:val="%2."/>
      <w:lvlJc w:val="left"/>
      <w:pPr>
        <w:ind w:left="2149" w:hanging="360"/>
      </w:pPr>
    </w:lvl>
    <w:lvl w:ilvl="2" w:tplc="BAF004A8" w:tentative="1">
      <w:start w:val="1"/>
      <w:numFmt w:val="lowerRoman"/>
      <w:lvlText w:val="%3."/>
      <w:lvlJc w:val="right"/>
      <w:pPr>
        <w:ind w:left="2869" w:hanging="180"/>
      </w:pPr>
    </w:lvl>
    <w:lvl w:ilvl="3" w:tplc="1EEEDA86" w:tentative="1">
      <w:start w:val="1"/>
      <w:numFmt w:val="decimal"/>
      <w:lvlText w:val="%4."/>
      <w:lvlJc w:val="left"/>
      <w:pPr>
        <w:ind w:left="3589" w:hanging="360"/>
      </w:pPr>
    </w:lvl>
    <w:lvl w:ilvl="4" w:tplc="045235EA" w:tentative="1">
      <w:start w:val="1"/>
      <w:numFmt w:val="lowerLetter"/>
      <w:lvlText w:val="%5."/>
      <w:lvlJc w:val="left"/>
      <w:pPr>
        <w:ind w:left="4309" w:hanging="360"/>
      </w:pPr>
    </w:lvl>
    <w:lvl w:ilvl="5" w:tplc="BE901D3E" w:tentative="1">
      <w:start w:val="1"/>
      <w:numFmt w:val="lowerRoman"/>
      <w:lvlText w:val="%6."/>
      <w:lvlJc w:val="right"/>
      <w:pPr>
        <w:ind w:left="5029" w:hanging="180"/>
      </w:pPr>
    </w:lvl>
    <w:lvl w:ilvl="6" w:tplc="293C593E" w:tentative="1">
      <w:start w:val="1"/>
      <w:numFmt w:val="decimal"/>
      <w:lvlText w:val="%7."/>
      <w:lvlJc w:val="left"/>
      <w:pPr>
        <w:ind w:left="5749" w:hanging="360"/>
      </w:pPr>
    </w:lvl>
    <w:lvl w:ilvl="7" w:tplc="38744D9E" w:tentative="1">
      <w:start w:val="1"/>
      <w:numFmt w:val="lowerLetter"/>
      <w:lvlText w:val="%8."/>
      <w:lvlJc w:val="left"/>
      <w:pPr>
        <w:ind w:left="6469" w:hanging="360"/>
      </w:pPr>
    </w:lvl>
    <w:lvl w:ilvl="8" w:tplc="2332A8C0" w:tentative="1">
      <w:start w:val="1"/>
      <w:numFmt w:val="lowerRoman"/>
      <w:lvlText w:val="%9."/>
      <w:lvlJc w:val="right"/>
      <w:pPr>
        <w:ind w:left="7189" w:hanging="180"/>
      </w:pPr>
    </w:lvl>
  </w:abstractNum>
  <w:abstractNum w:abstractNumId="1" w15:restartNumberingAfterBreak="0">
    <w:nsid w:val="16223F65"/>
    <w:multiLevelType w:val="hybridMultilevel"/>
    <w:tmpl w:val="6A70B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50539A"/>
    <w:multiLevelType w:val="multilevel"/>
    <w:tmpl w:val="29E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5333147D"/>
    <w:multiLevelType w:val="hybridMultilevel"/>
    <w:tmpl w:val="54F4AC1C"/>
    <w:lvl w:ilvl="0" w:tplc="B0842F06">
      <w:start w:val="1"/>
      <w:numFmt w:val="decimal"/>
      <w:lvlText w:val="%1."/>
      <w:lvlJc w:val="left"/>
      <w:pPr>
        <w:ind w:left="1429" w:hanging="360"/>
      </w:pPr>
    </w:lvl>
    <w:lvl w:ilvl="1" w:tplc="5906CB2A" w:tentative="1">
      <w:start w:val="1"/>
      <w:numFmt w:val="lowerLetter"/>
      <w:lvlText w:val="%2."/>
      <w:lvlJc w:val="left"/>
      <w:pPr>
        <w:ind w:left="2149" w:hanging="360"/>
      </w:pPr>
    </w:lvl>
    <w:lvl w:ilvl="2" w:tplc="BAF004A8" w:tentative="1">
      <w:start w:val="1"/>
      <w:numFmt w:val="lowerRoman"/>
      <w:lvlText w:val="%3."/>
      <w:lvlJc w:val="right"/>
      <w:pPr>
        <w:ind w:left="2869" w:hanging="180"/>
      </w:pPr>
    </w:lvl>
    <w:lvl w:ilvl="3" w:tplc="1EEEDA86" w:tentative="1">
      <w:start w:val="1"/>
      <w:numFmt w:val="decimal"/>
      <w:lvlText w:val="%4."/>
      <w:lvlJc w:val="left"/>
      <w:pPr>
        <w:ind w:left="3589" w:hanging="360"/>
      </w:pPr>
    </w:lvl>
    <w:lvl w:ilvl="4" w:tplc="045235EA" w:tentative="1">
      <w:start w:val="1"/>
      <w:numFmt w:val="lowerLetter"/>
      <w:lvlText w:val="%5."/>
      <w:lvlJc w:val="left"/>
      <w:pPr>
        <w:ind w:left="4309" w:hanging="360"/>
      </w:pPr>
    </w:lvl>
    <w:lvl w:ilvl="5" w:tplc="BE901D3E" w:tentative="1">
      <w:start w:val="1"/>
      <w:numFmt w:val="lowerRoman"/>
      <w:lvlText w:val="%6."/>
      <w:lvlJc w:val="right"/>
      <w:pPr>
        <w:ind w:left="5029" w:hanging="180"/>
      </w:pPr>
    </w:lvl>
    <w:lvl w:ilvl="6" w:tplc="293C593E" w:tentative="1">
      <w:start w:val="1"/>
      <w:numFmt w:val="decimal"/>
      <w:lvlText w:val="%7."/>
      <w:lvlJc w:val="left"/>
      <w:pPr>
        <w:ind w:left="5749" w:hanging="360"/>
      </w:pPr>
    </w:lvl>
    <w:lvl w:ilvl="7" w:tplc="38744D9E" w:tentative="1">
      <w:start w:val="1"/>
      <w:numFmt w:val="lowerLetter"/>
      <w:lvlText w:val="%8."/>
      <w:lvlJc w:val="left"/>
      <w:pPr>
        <w:ind w:left="6469" w:hanging="360"/>
      </w:pPr>
    </w:lvl>
    <w:lvl w:ilvl="8" w:tplc="2332A8C0" w:tentative="1">
      <w:start w:val="1"/>
      <w:numFmt w:val="lowerRoman"/>
      <w:lvlText w:val="%9."/>
      <w:lvlJc w:val="right"/>
      <w:pPr>
        <w:ind w:left="7189" w:hanging="180"/>
      </w:pPr>
    </w:lvl>
  </w:abstractNum>
  <w:abstractNum w:abstractNumId="4" w15:restartNumberingAfterBreak="0">
    <w:nsid w:val="638E7E61"/>
    <w:multiLevelType w:val="hybridMultilevel"/>
    <w:tmpl w:val="5408143C"/>
    <w:lvl w:ilvl="0" w:tplc="CA10413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B3564A2"/>
    <w:multiLevelType w:val="hybridMultilevel"/>
    <w:tmpl w:val="D5DCFB6C"/>
    <w:lvl w:ilvl="0" w:tplc="E4342BCA">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DC"/>
    <w:rsid w:val="00021D76"/>
    <w:rsid w:val="0003499A"/>
    <w:rsid w:val="00062B2A"/>
    <w:rsid w:val="0007545D"/>
    <w:rsid w:val="000807EF"/>
    <w:rsid w:val="000B2EA4"/>
    <w:rsid w:val="000B38B7"/>
    <w:rsid w:val="000C1581"/>
    <w:rsid w:val="000E25BE"/>
    <w:rsid w:val="000F69D0"/>
    <w:rsid w:val="00103855"/>
    <w:rsid w:val="001116BB"/>
    <w:rsid w:val="001432D4"/>
    <w:rsid w:val="00155D81"/>
    <w:rsid w:val="002002D1"/>
    <w:rsid w:val="0020071D"/>
    <w:rsid w:val="00201FA2"/>
    <w:rsid w:val="00210468"/>
    <w:rsid w:val="00215DA0"/>
    <w:rsid w:val="00241C4E"/>
    <w:rsid w:val="00256E45"/>
    <w:rsid w:val="00272C60"/>
    <w:rsid w:val="002756AC"/>
    <w:rsid w:val="00275CC0"/>
    <w:rsid w:val="0028122A"/>
    <w:rsid w:val="002F7BA2"/>
    <w:rsid w:val="00306919"/>
    <w:rsid w:val="0031204D"/>
    <w:rsid w:val="00314FE3"/>
    <w:rsid w:val="003367E0"/>
    <w:rsid w:val="003D55E0"/>
    <w:rsid w:val="004375D0"/>
    <w:rsid w:val="00462E37"/>
    <w:rsid w:val="004751BB"/>
    <w:rsid w:val="00483C0D"/>
    <w:rsid w:val="004966E6"/>
    <w:rsid w:val="004D1ACA"/>
    <w:rsid w:val="004D22C9"/>
    <w:rsid w:val="004D5513"/>
    <w:rsid w:val="004D6437"/>
    <w:rsid w:val="004D7A25"/>
    <w:rsid w:val="004E3FC5"/>
    <w:rsid w:val="005042F4"/>
    <w:rsid w:val="00504E80"/>
    <w:rsid w:val="00543675"/>
    <w:rsid w:val="00570FA1"/>
    <w:rsid w:val="0059667B"/>
    <w:rsid w:val="005B104A"/>
    <w:rsid w:val="005C4FA1"/>
    <w:rsid w:val="005C5DE4"/>
    <w:rsid w:val="0060187A"/>
    <w:rsid w:val="006020C5"/>
    <w:rsid w:val="00610149"/>
    <w:rsid w:val="0067420E"/>
    <w:rsid w:val="006A05BF"/>
    <w:rsid w:val="006A1A55"/>
    <w:rsid w:val="006D1A4A"/>
    <w:rsid w:val="006E759F"/>
    <w:rsid w:val="00710139"/>
    <w:rsid w:val="00710BAA"/>
    <w:rsid w:val="00714153"/>
    <w:rsid w:val="00715E46"/>
    <w:rsid w:val="0072271B"/>
    <w:rsid w:val="00755AE6"/>
    <w:rsid w:val="0076643F"/>
    <w:rsid w:val="007858AA"/>
    <w:rsid w:val="00795350"/>
    <w:rsid w:val="007957AD"/>
    <w:rsid w:val="007A1889"/>
    <w:rsid w:val="007D4FB1"/>
    <w:rsid w:val="007E393D"/>
    <w:rsid w:val="00807151"/>
    <w:rsid w:val="00827E77"/>
    <w:rsid w:val="00840A28"/>
    <w:rsid w:val="008620A0"/>
    <w:rsid w:val="00871B58"/>
    <w:rsid w:val="008B1B17"/>
    <w:rsid w:val="008B4988"/>
    <w:rsid w:val="008B7BE2"/>
    <w:rsid w:val="008E23B3"/>
    <w:rsid w:val="009017D2"/>
    <w:rsid w:val="0090540D"/>
    <w:rsid w:val="009245B1"/>
    <w:rsid w:val="0093361D"/>
    <w:rsid w:val="00973F56"/>
    <w:rsid w:val="0097617A"/>
    <w:rsid w:val="009B1C51"/>
    <w:rsid w:val="009C0E7F"/>
    <w:rsid w:val="009C418E"/>
    <w:rsid w:val="00A060DC"/>
    <w:rsid w:val="00A22F30"/>
    <w:rsid w:val="00A427AD"/>
    <w:rsid w:val="00A64737"/>
    <w:rsid w:val="00A755AA"/>
    <w:rsid w:val="00AB62AC"/>
    <w:rsid w:val="00AE0799"/>
    <w:rsid w:val="00B077E9"/>
    <w:rsid w:val="00B1485D"/>
    <w:rsid w:val="00B1691F"/>
    <w:rsid w:val="00B44B27"/>
    <w:rsid w:val="00B452CC"/>
    <w:rsid w:val="00B97C48"/>
    <w:rsid w:val="00BB7DC3"/>
    <w:rsid w:val="00BC6DFC"/>
    <w:rsid w:val="00C2507D"/>
    <w:rsid w:val="00C42DFD"/>
    <w:rsid w:val="00C55088"/>
    <w:rsid w:val="00C5719B"/>
    <w:rsid w:val="00C75F4F"/>
    <w:rsid w:val="00C770FA"/>
    <w:rsid w:val="00C91C8A"/>
    <w:rsid w:val="00C94103"/>
    <w:rsid w:val="00C95E98"/>
    <w:rsid w:val="00CB3199"/>
    <w:rsid w:val="00D037C0"/>
    <w:rsid w:val="00D15E6E"/>
    <w:rsid w:val="00D463BA"/>
    <w:rsid w:val="00D674ED"/>
    <w:rsid w:val="00D731C2"/>
    <w:rsid w:val="00D7513A"/>
    <w:rsid w:val="00DF223C"/>
    <w:rsid w:val="00E6739C"/>
    <w:rsid w:val="00E70416"/>
    <w:rsid w:val="00E81212"/>
    <w:rsid w:val="00EA406C"/>
    <w:rsid w:val="00EE12AF"/>
    <w:rsid w:val="00F14957"/>
    <w:rsid w:val="00F17C6D"/>
    <w:rsid w:val="00F269D0"/>
    <w:rsid w:val="00F31D17"/>
    <w:rsid w:val="00F47934"/>
    <w:rsid w:val="00F625E7"/>
    <w:rsid w:val="00FA5CD7"/>
    <w:rsid w:val="00FB31B3"/>
    <w:rsid w:val="00FD0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CAE0"/>
  <w15:chartTrackingRefBased/>
  <w15:docId w15:val="{22633521-8E31-48C7-AF0A-5DEC2430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60D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A060DC"/>
    <w:pPr>
      <w:spacing w:before="75" w:after="75"/>
      <w:ind w:firstLine="375"/>
      <w:jc w:val="both"/>
    </w:pPr>
  </w:style>
  <w:style w:type="paragraph" w:customStyle="1" w:styleId="naisnod">
    <w:name w:val="naisnod"/>
    <w:basedOn w:val="Parasts"/>
    <w:uiPriority w:val="99"/>
    <w:rsid w:val="00A060DC"/>
    <w:pPr>
      <w:spacing w:before="150" w:after="150"/>
      <w:jc w:val="center"/>
    </w:pPr>
    <w:rPr>
      <w:b/>
      <w:bCs/>
    </w:rPr>
  </w:style>
  <w:style w:type="paragraph" w:customStyle="1" w:styleId="naiskr">
    <w:name w:val="naiskr"/>
    <w:basedOn w:val="Parasts"/>
    <w:rsid w:val="00A060DC"/>
    <w:pPr>
      <w:spacing w:before="75" w:after="75"/>
    </w:pPr>
  </w:style>
  <w:style w:type="paragraph" w:customStyle="1" w:styleId="naisc">
    <w:name w:val="naisc"/>
    <w:basedOn w:val="Parasts"/>
    <w:rsid w:val="00A060DC"/>
    <w:pPr>
      <w:spacing w:before="75" w:after="75"/>
      <w:jc w:val="center"/>
    </w:pPr>
  </w:style>
  <w:style w:type="paragraph" w:styleId="Galvene">
    <w:name w:val="header"/>
    <w:basedOn w:val="Parasts"/>
    <w:link w:val="GalveneRakstz"/>
    <w:uiPriority w:val="99"/>
    <w:rsid w:val="00A060DC"/>
    <w:pPr>
      <w:tabs>
        <w:tab w:val="center" w:pos="4153"/>
        <w:tab w:val="right" w:pos="8306"/>
      </w:tabs>
    </w:pPr>
  </w:style>
  <w:style w:type="character" w:customStyle="1" w:styleId="GalveneRakstz">
    <w:name w:val="Galvene Rakstz."/>
    <w:basedOn w:val="Noklusjumarindkopasfonts"/>
    <w:link w:val="Galvene"/>
    <w:uiPriority w:val="99"/>
    <w:rsid w:val="00A060DC"/>
    <w:rPr>
      <w:rFonts w:ascii="Times New Roman" w:eastAsia="Times New Roman" w:hAnsi="Times New Roman" w:cs="Times New Roman"/>
      <w:sz w:val="24"/>
      <w:szCs w:val="24"/>
      <w:lang w:eastAsia="lv-LV"/>
    </w:rPr>
  </w:style>
  <w:style w:type="character" w:styleId="Lappusesnumurs">
    <w:name w:val="page number"/>
    <w:uiPriority w:val="99"/>
    <w:rsid w:val="00A060DC"/>
    <w:rPr>
      <w:rFonts w:cs="Times New Roman"/>
    </w:rPr>
  </w:style>
  <w:style w:type="paragraph" w:styleId="Kjene">
    <w:name w:val="footer"/>
    <w:basedOn w:val="Parasts"/>
    <w:link w:val="KjeneRakstz"/>
    <w:uiPriority w:val="99"/>
    <w:rsid w:val="00A060DC"/>
    <w:pPr>
      <w:tabs>
        <w:tab w:val="center" w:pos="4153"/>
        <w:tab w:val="right" w:pos="8306"/>
      </w:tabs>
    </w:pPr>
  </w:style>
  <w:style w:type="character" w:customStyle="1" w:styleId="KjeneRakstz">
    <w:name w:val="Kājene Rakstz."/>
    <w:basedOn w:val="Noklusjumarindkopasfonts"/>
    <w:link w:val="Kjene"/>
    <w:uiPriority w:val="99"/>
    <w:rsid w:val="00A060DC"/>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A060DC"/>
    <w:pPr>
      <w:widowControl w:val="0"/>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A060DC"/>
    <w:rPr>
      <w:rFonts w:ascii="Calibri" w:eastAsia="Calibri" w:hAnsi="Calibri" w:cs="Times New Roman"/>
      <w:sz w:val="20"/>
      <w:szCs w:val="20"/>
    </w:rPr>
  </w:style>
  <w:style w:type="character" w:styleId="Vresatsauce">
    <w:name w:val="footnote reference"/>
    <w:uiPriority w:val="99"/>
    <w:semiHidden/>
    <w:unhideWhenUsed/>
    <w:rsid w:val="00A060DC"/>
    <w:rPr>
      <w:vertAlign w:val="superscript"/>
    </w:rPr>
  </w:style>
  <w:style w:type="paragraph" w:styleId="Bezatstarpm">
    <w:name w:val="No Spacing"/>
    <w:uiPriority w:val="1"/>
    <w:qFormat/>
    <w:rsid w:val="00A060DC"/>
    <w:pPr>
      <w:widowControl w:val="0"/>
      <w:spacing w:after="0" w:line="240" w:lineRule="auto"/>
    </w:pPr>
    <w:rPr>
      <w:rFonts w:ascii="Calibri" w:eastAsia="Calibri" w:hAnsi="Calibri" w:cs="Times New Roman"/>
      <w:lang w:val="en-US"/>
    </w:rPr>
  </w:style>
  <w:style w:type="paragraph" w:customStyle="1" w:styleId="tv2131">
    <w:name w:val="tv2131"/>
    <w:basedOn w:val="Parasts"/>
    <w:rsid w:val="00A060DC"/>
    <w:pPr>
      <w:spacing w:line="360" w:lineRule="auto"/>
      <w:ind w:firstLine="300"/>
    </w:pPr>
    <w:rPr>
      <w:color w:val="414142"/>
      <w:sz w:val="20"/>
      <w:szCs w:val="20"/>
    </w:rPr>
  </w:style>
  <w:style w:type="paragraph" w:styleId="Komentrateksts">
    <w:name w:val="annotation text"/>
    <w:basedOn w:val="Parasts"/>
    <w:link w:val="KomentratekstsRakstz"/>
    <w:uiPriority w:val="99"/>
    <w:unhideWhenUsed/>
    <w:rsid w:val="00A060DC"/>
    <w:rPr>
      <w:sz w:val="20"/>
      <w:szCs w:val="20"/>
    </w:rPr>
  </w:style>
  <w:style w:type="character" w:customStyle="1" w:styleId="KomentratekstsRakstz">
    <w:name w:val="Komentāra teksts Rakstz."/>
    <w:basedOn w:val="Noklusjumarindkopasfonts"/>
    <w:link w:val="Komentrateksts"/>
    <w:uiPriority w:val="99"/>
    <w:rsid w:val="00A060DC"/>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155D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5D81"/>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155D81"/>
    <w:rPr>
      <w:sz w:val="16"/>
      <w:szCs w:val="16"/>
    </w:rPr>
  </w:style>
  <w:style w:type="paragraph" w:styleId="Komentratma">
    <w:name w:val="annotation subject"/>
    <w:basedOn w:val="Komentrateksts"/>
    <w:next w:val="Komentrateksts"/>
    <w:link w:val="KomentratmaRakstz"/>
    <w:uiPriority w:val="99"/>
    <w:semiHidden/>
    <w:unhideWhenUsed/>
    <w:rsid w:val="00155D81"/>
    <w:rPr>
      <w:b/>
      <w:bCs/>
    </w:rPr>
  </w:style>
  <w:style w:type="character" w:customStyle="1" w:styleId="KomentratmaRakstz">
    <w:name w:val="Komentāra tēma Rakstz."/>
    <w:basedOn w:val="KomentratekstsRakstz"/>
    <w:link w:val="Komentratma"/>
    <w:uiPriority w:val="99"/>
    <w:semiHidden/>
    <w:rsid w:val="00155D81"/>
    <w:rPr>
      <w:rFonts w:ascii="Times New Roman" w:eastAsia="Times New Roman" w:hAnsi="Times New Roman" w:cs="Times New Roman"/>
      <w:b/>
      <w:bCs/>
      <w:sz w:val="20"/>
      <w:szCs w:val="20"/>
      <w:lang w:eastAsia="lv-LV"/>
    </w:rPr>
  </w:style>
  <w:style w:type="paragraph" w:styleId="Paraststmeklis">
    <w:name w:val="Normal (Web)"/>
    <w:basedOn w:val="Parasts"/>
    <w:uiPriority w:val="99"/>
    <w:rsid w:val="00AB62AC"/>
    <w:pPr>
      <w:spacing w:before="100" w:beforeAutospacing="1" w:after="100" w:afterAutospacing="1"/>
    </w:pPr>
  </w:style>
  <w:style w:type="character" w:customStyle="1" w:styleId="normal1">
    <w:name w:val="normal1"/>
    <w:rsid w:val="00AB62AC"/>
    <w:rPr>
      <w:rFonts w:ascii="Verdana" w:hAnsi="Verdana" w:hint="default"/>
      <w:b w:val="0"/>
      <w:bCs w:val="0"/>
      <w:sz w:val="18"/>
      <w:szCs w:val="18"/>
    </w:rPr>
  </w:style>
  <w:style w:type="paragraph" w:styleId="Sarakstarindkopa">
    <w:name w:val="List Paragraph"/>
    <w:basedOn w:val="Parasts"/>
    <w:uiPriority w:val="34"/>
    <w:qFormat/>
    <w:rsid w:val="009017D2"/>
    <w:pPr>
      <w:widowControl w:val="0"/>
      <w:spacing w:after="200" w:line="276" w:lineRule="auto"/>
      <w:ind w:left="720"/>
      <w:contextualSpacing/>
    </w:pPr>
    <w:rPr>
      <w:rFonts w:ascii="Calibri" w:eastAsia="Calibri" w:hAnsi="Calibri"/>
      <w:sz w:val="22"/>
      <w:szCs w:val="22"/>
      <w:lang w:eastAsia="en-US"/>
    </w:rPr>
  </w:style>
  <w:style w:type="paragraph" w:customStyle="1" w:styleId="tv213">
    <w:name w:val="tv213"/>
    <w:basedOn w:val="Parasts"/>
    <w:rsid w:val="009017D2"/>
    <w:pPr>
      <w:spacing w:before="100" w:beforeAutospacing="1" w:after="100" w:afterAutospacing="1"/>
    </w:pPr>
  </w:style>
  <w:style w:type="paragraph" w:styleId="Vienkrsteksts">
    <w:name w:val="Plain Text"/>
    <w:basedOn w:val="Parasts"/>
    <w:link w:val="VienkrstekstsRakstz"/>
    <w:uiPriority w:val="99"/>
    <w:unhideWhenUsed/>
    <w:rsid w:val="00272C60"/>
    <w:rPr>
      <w:rFonts w:ascii="Calibri" w:eastAsiaTheme="minorHAnsi" w:hAnsi="Calibri" w:cs="Calibri"/>
      <w:sz w:val="22"/>
      <w:szCs w:val="22"/>
      <w:lang w:eastAsia="en-US"/>
    </w:rPr>
  </w:style>
  <w:style w:type="character" w:customStyle="1" w:styleId="VienkrstekstsRakstz">
    <w:name w:val="Vienkāršs teksts Rakstz."/>
    <w:basedOn w:val="Noklusjumarindkopasfonts"/>
    <w:link w:val="Vienkrsteksts"/>
    <w:uiPriority w:val="99"/>
    <w:rsid w:val="00272C60"/>
    <w:rPr>
      <w:rFonts w:ascii="Calibri" w:hAnsi="Calibri" w:cs="Calibri"/>
    </w:rPr>
  </w:style>
  <w:style w:type="character" w:customStyle="1" w:styleId="dlxnowrap1">
    <w:name w:val="dlxnowrap1"/>
    <w:basedOn w:val="Noklusjumarindkopasfonts"/>
    <w:rsid w:val="00973F56"/>
  </w:style>
  <w:style w:type="paragraph" w:customStyle="1" w:styleId="tv2132">
    <w:name w:val="tv2132"/>
    <w:basedOn w:val="Parasts"/>
    <w:rsid w:val="0072271B"/>
    <w:pPr>
      <w:spacing w:line="360" w:lineRule="auto"/>
      <w:ind w:firstLine="300"/>
    </w:pPr>
    <w:rPr>
      <w:color w:val="414142"/>
      <w:sz w:val="20"/>
      <w:szCs w:val="20"/>
    </w:rPr>
  </w:style>
  <w:style w:type="paragraph" w:customStyle="1" w:styleId="print2">
    <w:name w:val="print2"/>
    <w:basedOn w:val="Parasts"/>
    <w:rsid w:val="0072271B"/>
    <w:pPr>
      <w:pBdr>
        <w:bottom w:val="single" w:sz="6" w:space="0" w:color="59595B"/>
      </w:pBdr>
      <w:spacing w:line="435" w:lineRule="atLeast"/>
    </w:pPr>
    <w:rPr>
      <w:b/>
      <w:bCs/>
      <w:color w:val="FFFFFF"/>
      <w:sz w:val="20"/>
      <w:szCs w:val="20"/>
    </w:rPr>
  </w:style>
  <w:style w:type="paragraph" w:customStyle="1" w:styleId="pdf2">
    <w:name w:val="pdf2"/>
    <w:basedOn w:val="Parasts"/>
    <w:rsid w:val="0072271B"/>
    <w:pPr>
      <w:pBdr>
        <w:bottom w:val="single" w:sz="6" w:space="0" w:color="59595B"/>
      </w:pBdr>
      <w:spacing w:line="435" w:lineRule="atLeast"/>
    </w:pPr>
    <w:rPr>
      <w:b/>
      <w:bCs/>
      <w:color w:val="FFFFFF"/>
      <w:sz w:val="20"/>
      <w:szCs w:val="20"/>
    </w:rPr>
  </w:style>
  <w:style w:type="paragraph" w:customStyle="1" w:styleId="pin-nan2">
    <w:name w:val="pin-nan2"/>
    <w:basedOn w:val="Parasts"/>
    <w:rsid w:val="0072271B"/>
    <w:pPr>
      <w:pBdr>
        <w:bottom w:val="single" w:sz="6" w:space="0" w:color="59595B"/>
      </w:pBdr>
      <w:spacing w:line="435" w:lineRule="atLeast"/>
    </w:pPr>
    <w:rPr>
      <w:b/>
      <w:bCs/>
      <w:color w:val="FFFFFF"/>
      <w:sz w:val="20"/>
      <w:szCs w:val="20"/>
    </w:rPr>
  </w:style>
  <w:style w:type="paragraph" w:customStyle="1" w:styleId="quote2">
    <w:name w:val="quote2"/>
    <w:basedOn w:val="Parasts"/>
    <w:rsid w:val="0072271B"/>
    <w:pPr>
      <w:pBdr>
        <w:bottom w:val="single" w:sz="6" w:space="0" w:color="59595B"/>
      </w:pBdr>
      <w:spacing w:line="435" w:lineRule="atLeast"/>
    </w:pPr>
    <w:rPr>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313">
      <w:bodyDiv w:val="1"/>
      <w:marLeft w:val="0"/>
      <w:marRight w:val="0"/>
      <w:marTop w:val="0"/>
      <w:marBottom w:val="0"/>
      <w:divBdr>
        <w:top w:val="none" w:sz="0" w:space="0" w:color="auto"/>
        <w:left w:val="none" w:sz="0" w:space="0" w:color="auto"/>
        <w:bottom w:val="none" w:sz="0" w:space="0" w:color="auto"/>
        <w:right w:val="none" w:sz="0" w:space="0" w:color="auto"/>
      </w:divBdr>
      <w:divsChild>
        <w:div w:id="1659721954">
          <w:marLeft w:val="0"/>
          <w:marRight w:val="0"/>
          <w:marTop w:val="0"/>
          <w:marBottom w:val="0"/>
          <w:divBdr>
            <w:top w:val="none" w:sz="0" w:space="0" w:color="auto"/>
            <w:left w:val="none" w:sz="0" w:space="0" w:color="auto"/>
            <w:bottom w:val="none" w:sz="0" w:space="0" w:color="auto"/>
            <w:right w:val="none" w:sz="0" w:space="0" w:color="auto"/>
          </w:divBdr>
          <w:divsChild>
            <w:div w:id="686490917">
              <w:marLeft w:val="0"/>
              <w:marRight w:val="0"/>
              <w:marTop w:val="0"/>
              <w:marBottom w:val="0"/>
              <w:divBdr>
                <w:top w:val="none" w:sz="0" w:space="0" w:color="auto"/>
                <w:left w:val="none" w:sz="0" w:space="0" w:color="auto"/>
                <w:bottom w:val="none" w:sz="0" w:space="0" w:color="auto"/>
                <w:right w:val="none" w:sz="0" w:space="0" w:color="auto"/>
              </w:divBdr>
              <w:divsChild>
                <w:div w:id="536233319">
                  <w:marLeft w:val="0"/>
                  <w:marRight w:val="0"/>
                  <w:marTop w:val="0"/>
                  <w:marBottom w:val="0"/>
                  <w:divBdr>
                    <w:top w:val="none" w:sz="0" w:space="0" w:color="auto"/>
                    <w:left w:val="none" w:sz="0" w:space="0" w:color="auto"/>
                    <w:bottom w:val="none" w:sz="0" w:space="0" w:color="auto"/>
                    <w:right w:val="none" w:sz="0" w:space="0" w:color="auto"/>
                  </w:divBdr>
                  <w:divsChild>
                    <w:div w:id="1558593298">
                      <w:marLeft w:val="0"/>
                      <w:marRight w:val="0"/>
                      <w:marTop w:val="0"/>
                      <w:marBottom w:val="0"/>
                      <w:divBdr>
                        <w:top w:val="none" w:sz="0" w:space="0" w:color="auto"/>
                        <w:left w:val="none" w:sz="0" w:space="0" w:color="auto"/>
                        <w:bottom w:val="none" w:sz="0" w:space="0" w:color="auto"/>
                        <w:right w:val="none" w:sz="0" w:space="0" w:color="auto"/>
                      </w:divBdr>
                      <w:divsChild>
                        <w:div w:id="2131050115">
                          <w:marLeft w:val="0"/>
                          <w:marRight w:val="0"/>
                          <w:marTop w:val="0"/>
                          <w:marBottom w:val="0"/>
                          <w:divBdr>
                            <w:top w:val="none" w:sz="0" w:space="0" w:color="auto"/>
                            <w:left w:val="none" w:sz="0" w:space="0" w:color="auto"/>
                            <w:bottom w:val="none" w:sz="0" w:space="0" w:color="auto"/>
                            <w:right w:val="none" w:sz="0" w:space="0" w:color="auto"/>
                          </w:divBdr>
                          <w:divsChild>
                            <w:div w:id="197476391">
                              <w:marLeft w:val="0"/>
                              <w:marRight w:val="0"/>
                              <w:marTop w:val="480"/>
                              <w:marBottom w:val="240"/>
                              <w:divBdr>
                                <w:top w:val="none" w:sz="0" w:space="0" w:color="auto"/>
                                <w:left w:val="none" w:sz="0" w:space="0" w:color="auto"/>
                                <w:bottom w:val="none" w:sz="0" w:space="0" w:color="auto"/>
                                <w:right w:val="none" w:sz="0" w:space="0" w:color="auto"/>
                              </w:divBdr>
                            </w:div>
                            <w:div w:id="811868487">
                              <w:marLeft w:val="0"/>
                              <w:marRight w:val="0"/>
                              <w:marTop w:val="0"/>
                              <w:marBottom w:val="567"/>
                              <w:divBdr>
                                <w:top w:val="none" w:sz="0" w:space="0" w:color="auto"/>
                                <w:left w:val="none" w:sz="0" w:space="0" w:color="auto"/>
                                <w:bottom w:val="none" w:sz="0" w:space="0" w:color="auto"/>
                                <w:right w:val="none" w:sz="0" w:space="0" w:color="auto"/>
                              </w:divBdr>
                            </w:div>
                            <w:div w:id="645742659">
                              <w:marLeft w:val="0"/>
                              <w:marRight w:val="0"/>
                              <w:marTop w:val="0"/>
                              <w:marBottom w:val="567"/>
                              <w:divBdr>
                                <w:top w:val="none" w:sz="0" w:space="0" w:color="auto"/>
                                <w:left w:val="none" w:sz="0" w:space="0" w:color="auto"/>
                                <w:bottom w:val="none" w:sz="0" w:space="0" w:color="auto"/>
                                <w:right w:val="none" w:sz="0" w:space="0" w:color="auto"/>
                              </w:divBdr>
                            </w:div>
                            <w:div w:id="571157239">
                              <w:marLeft w:val="0"/>
                              <w:marRight w:val="0"/>
                              <w:marTop w:val="0"/>
                              <w:marBottom w:val="0"/>
                              <w:divBdr>
                                <w:top w:val="none" w:sz="0" w:space="0" w:color="auto"/>
                                <w:left w:val="none" w:sz="0" w:space="0" w:color="auto"/>
                                <w:bottom w:val="none" w:sz="0" w:space="0" w:color="auto"/>
                                <w:right w:val="none" w:sz="0" w:space="0" w:color="auto"/>
                              </w:divBdr>
                              <w:divsChild>
                                <w:div w:id="1381512226">
                                  <w:marLeft w:val="0"/>
                                  <w:marRight w:val="0"/>
                                  <w:marTop w:val="0"/>
                                  <w:marBottom w:val="0"/>
                                  <w:divBdr>
                                    <w:top w:val="none" w:sz="0" w:space="0" w:color="auto"/>
                                    <w:left w:val="none" w:sz="0" w:space="0" w:color="auto"/>
                                    <w:bottom w:val="none" w:sz="0" w:space="0" w:color="auto"/>
                                    <w:right w:val="none" w:sz="0" w:space="0" w:color="auto"/>
                                  </w:divBdr>
                                </w:div>
                                <w:div w:id="432213567">
                                  <w:marLeft w:val="0"/>
                                  <w:marRight w:val="0"/>
                                  <w:marTop w:val="0"/>
                                  <w:marBottom w:val="0"/>
                                  <w:divBdr>
                                    <w:top w:val="none" w:sz="0" w:space="0" w:color="auto"/>
                                    <w:left w:val="none" w:sz="0" w:space="0" w:color="auto"/>
                                    <w:bottom w:val="none" w:sz="0" w:space="0" w:color="auto"/>
                                    <w:right w:val="none" w:sz="0" w:space="0" w:color="auto"/>
                                  </w:divBdr>
                                  <w:divsChild>
                                    <w:div w:id="604532485">
                                      <w:marLeft w:val="0"/>
                                      <w:marRight w:val="0"/>
                                      <w:marTop w:val="0"/>
                                      <w:marBottom w:val="0"/>
                                      <w:divBdr>
                                        <w:top w:val="none" w:sz="0" w:space="0" w:color="auto"/>
                                        <w:left w:val="none" w:sz="0" w:space="0" w:color="auto"/>
                                        <w:bottom w:val="none" w:sz="0" w:space="0" w:color="auto"/>
                                        <w:right w:val="none" w:sz="0" w:space="0" w:color="auto"/>
                                      </w:divBdr>
                                      <w:divsChild>
                                        <w:div w:id="419108398">
                                          <w:marLeft w:val="0"/>
                                          <w:marRight w:val="0"/>
                                          <w:marTop w:val="0"/>
                                          <w:marBottom w:val="0"/>
                                          <w:divBdr>
                                            <w:top w:val="none" w:sz="0" w:space="0" w:color="auto"/>
                                            <w:left w:val="none" w:sz="0" w:space="0" w:color="auto"/>
                                            <w:bottom w:val="none" w:sz="0" w:space="0" w:color="auto"/>
                                            <w:right w:val="none" w:sz="0" w:space="0" w:color="auto"/>
                                          </w:divBdr>
                                        </w:div>
                                        <w:div w:id="1613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FCF5F-2463-4480-B041-DA0823F2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12637</Words>
  <Characters>7204</Characters>
  <Application>Microsoft Office Word</Application>
  <DocSecurity>4</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Tieslietu ministrija</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Diāna Škavronska</dc:creator>
  <cp:keywords/>
  <dc:description>67046125, Diana.Skavronska@tm.gov.lv</dc:description>
  <cp:lastModifiedBy>Diāna Škavronska</cp:lastModifiedBy>
  <cp:revision>2</cp:revision>
  <dcterms:created xsi:type="dcterms:W3CDTF">2020-07-31T06:05:00Z</dcterms:created>
  <dcterms:modified xsi:type="dcterms:W3CDTF">2020-07-31T06:05:00Z</dcterms:modified>
</cp:coreProperties>
</file>