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306"/>
      </w:tblGrid>
      <w:tr w:rsidR="000E4698" w:rsidRPr="00475925" w14:paraId="5209281B" w14:textId="77777777" w:rsidTr="00646210">
        <w:trPr>
          <w:tblCellSpacing w:w="0" w:type="dxa"/>
          <w:jc w:val="center"/>
        </w:trPr>
        <w:tc>
          <w:tcPr>
            <w:tcW w:w="11306" w:type="dxa"/>
            <w:tcBorders>
              <w:top w:val="nil"/>
              <w:left w:val="nil"/>
              <w:bottom w:val="single" w:sz="8" w:space="0" w:color="auto"/>
              <w:right w:val="nil"/>
            </w:tcBorders>
          </w:tcPr>
          <w:p w14:paraId="4FA397F3" w14:textId="542D99C7" w:rsidR="000E4698" w:rsidRPr="00B4147B" w:rsidRDefault="00995997" w:rsidP="00F22566">
            <w:pPr>
              <w:ind w:left="223"/>
              <w:jc w:val="center"/>
              <w:rPr>
                <w:b/>
                <w:color w:val="000000"/>
              </w:rPr>
            </w:pPr>
            <w:r w:rsidRPr="00B4147B">
              <w:rPr>
                <w:b/>
                <w:color w:val="000000"/>
              </w:rPr>
              <w:t>Noteikumu projekts "Grozījumi Ministru kabineta 2012.gada 30.oktobra noteikumos Nr. 740 "Jūras plānojuma izstrādes, ieviešanas un uzraudzības kārtība""</w:t>
            </w:r>
            <w:r w:rsidR="00EB09A5" w:rsidRPr="00B4147B">
              <w:rPr>
                <w:b/>
                <w:color w:val="000000"/>
              </w:rPr>
              <w:t xml:space="preserve"> (turpmāk – noteikumu projekts)</w:t>
            </w:r>
            <w:r w:rsidR="00874B83" w:rsidRPr="00B4147B">
              <w:rPr>
                <w:b/>
                <w:color w:val="000000"/>
              </w:rPr>
              <w:t>, VSS-474</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7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3119"/>
        <w:gridCol w:w="3118"/>
        <w:gridCol w:w="1547"/>
      </w:tblGrid>
      <w:tr w:rsidR="000E4698" w:rsidRPr="00475925" w14:paraId="76CF20BF" w14:textId="77777777" w:rsidTr="00E5754D">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E5754D">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874B83">
            <w:pPr>
              <w:pStyle w:val="naisc"/>
              <w:spacing w:before="0" w:after="0"/>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3119"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E5754D">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3119"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00AD46A1">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37691105" w:rsidR="000E4698" w:rsidRPr="00475925" w:rsidRDefault="00B4147B" w:rsidP="00DD4C6E">
            <w:pPr>
              <w:pStyle w:val="NormalWeb"/>
              <w:spacing w:before="0" w:beforeAutospacing="0" w:after="0" w:afterAutospacing="0"/>
              <w:jc w:val="both"/>
              <w:rPr>
                <w:color w:val="000000"/>
              </w:rPr>
            </w:pPr>
            <w:r>
              <w:rPr>
                <w:color w:val="000000"/>
              </w:rPr>
              <w:t>el</w:t>
            </w:r>
            <w:r w:rsidR="00F77E54" w:rsidRPr="00F77E54">
              <w:rPr>
                <w:color w:val="000000"/>
              </w:rPr>
              <w:t>ektroniskā saskaņošana</w:t>
            </w:r>
            <w:r>
              <w:rPr>
                <w:color w:val="000000"/>
              </w:rPr>
              <w:t xml:space="preserve"> </w:t>
            </w:r>
            <w:r w:rsidR="00DD4C6E" w:rsidRPr="00DD4C6E">
              <w:rPr>
                <w:color w:val="000000"/>
              </w:rPr>
              <w:t>20.07.2020</w:t>
            </w:r>
            <w:r w:rsidR="00DD4C6E">
              <w:rPr>
                <w:color w:val="000000"/>
              </w:rPr>
              <w:t xml:space="preserve"> – 27.07.2020.</w:t>
            </w:r>
          </w:p>
        </w:tc>
      </w:tr>
      <w:tr w:rsidR="000E4698" w:rsidRPr="00475925" w14:paraId="6AE1DB1C" w14:textId="77777777" w:rsidTr="00AD46A1">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00AD46A1">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03E0655D" w:rsidR="009B28BA" w:rsidRPr="00475925" w:rsidRDefault="00013AC6" w:rsidP="00C51E7C">
            <w:pPr>
              <w:pStyle w:val="NormalWeb"/>
              <w:spacing w:before="0" w:beforeAutospacing="0" w:after="0" w:afterAutospacing="0"/>
              <w:jc w:val="both"/>
              <w:rPr>
                <w:color w:val="000000"/>
              </w:rPr>
            </w:pPr>
            <w:r w:rsidRPr="00013AC6">
              <w:rPr>
                <w:color w:val="000000"/>
              </w:rPr>
              <w:t xml:space="preserve">Aizsardzības ministrija, Ārlietu ministrija, Ekonomikas ministrija, Finanšu ministrija, Iekšlietu ministrija, Izglītības un zinātnes ministrija, Kultūras ministrija, </w:t>
            </w:r>
            <w:r w:rsidR="00F77E54" w:rsidRPr="00475925">
              <w:rPr>
                <w:color w:val="000000"/>
              </w:rPr>
              <w:t>Satiksmes ministrija</w:t>
            </w:r>
            <w:r w:rsidR="009A483D">
              <w:rPr>
                <w:color w:val="000000"/>
              </w:rPr>
              <w:t>, Tieslietu ministrija</w:t>
            </w:r>
            <w:r w:rsidR="00C51E7C">
              <w:rPr>
                <w:color w:val="000000"/>
              </w:rPr>
              <w:t>, Zemkopības ministrija un</w:t>
            </w:r>
            <w:r>
              <w:rPr>
                <w:color w:val="000000"/>
              </w:rPr>
              <w:t xml:space="preserve"> </w:t>
            </w:r>
            <w:r w:rsidRPr="00013AC6">
              <w:rPr>
                <w:color w:val="000000"/>
              </w:rPr>
              <w:t xml:space="preserve">Latvijas </w:t>
            </w:r>
            <w:r w:rsidR="00C51E7C">
              <w:rPr>
                <w:color w:val="000000"/>
              </w:rPr>
              <w:t>Pašvaldību savienība</w:t>
            </w:r>
          </w:p>
        </w:tc>
      </w:tr>
    </w:tbl>
    <w:p w14:paraId="52AEB258" w14:textId="77777777" w:rsidR="000E4698" w:rsidRPr="00475925" w:rsidRDefault="000E4698" w:rsidP="00BD17EB">
      <w:pPr>
        <w:pStyle w:val="naiskr"/>
        <w:spacing w:before="0" w:after="0"/>
        <w:jc w:val="both"/>
        <w:rPr>
          <w:color w:val="000000"/>
        </w:rPr>
      </w:pPr>
    </w:p>
    <w:tbl>
      <w:tblPr>
        <w:tblW w:w="13716" w:type="dxa"/>
        <w:tblLook w:val="00A0" w:firstRow="1" w:lastRow="0" w:firstColumn="1" w:lastColumn="0" w:noHBand="0" w:noVBand="0"/>
      </w:tblPr>
      <w:tblGrid>
        <w:gridCol w:w="7479"/>
        <w:gridCol w:w="284"/>
        <w:gridCol w:w="5953"/>
      </w:tblGrid>
      <w:tr w:rsidR="000E4698" w:rsidRPr="00475925" w14:paraId="5377CA2A" w14:textId="77777777" w:rsidTr="00AD46A1">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5953" w:type="dxa"/>
          </w:tcPr>
          <w:p w14:paraId="73064AFD" w14:textId="113F0450" w:rsidR="000E4698" w:rsidRPr="00475925" w:rsidRDefault="009A483D" w:rsidP="00134DB0">
            <w:pPr>
              <w:pStyle w:val="naiskr"/>
              <w:spacing w:before="0" w:after="0"/>
              <w:ind w:left="-108"/>
              <w:jc w:val="both"/>
              <w:rPr>
                <w:color w:val="000000"/>
              </w:rPr>
            </w:pPr>
            <w:r w:rsidRPr="00475925">
              <w:rPr>
                <w:color w:val="000000"/>
              </w:rPr>
              <w:t>Satiksmes ministrija</w:t>
            </w:r>
            <w:r>
              <w:rPr>
                <w:color w:val="000000"/>
              </w:rPr>
              <w:t>, Tieslietu ministrija</w:t>
            </w:r>
          </w:p>
        </w:tc>
      </w:tr>
      <w:tr w:rsidR="000E4698" w:rsidRPr="00475925" w14:paraId="62202386" w14:textId="77777777" w:rsidTr="00E5754D">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6237"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2560C8D4" w14:textId="77777777" w:rsidR="007F503E" w:rsidRDefault="007F503E"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10"/>
        <w:gridCol w:w="4961"/>
        <w:gridCol w:w="2693"/>
        <w:gridCol w:w="4820"/>
      </w:tblGrid>
      <w:tr w:rsidR="000E4698" w:rsidRPr="00475925" w14:paraId="2FCDD50B" w14:textId="77777777" w:rsidTr="00975FBA">
        <w:tc>
          <w:tcPr>
            <w:tcW w:w="704" w:type="dxa"/>
            <w:vAlign w:val="center"/>
          </w:tcPr>
          <w:p w14:paraId="1D3D9B2F" w14:textId="77777777" w:rsidR="000E4698" w:rsidRPr="00475925" w:rsidRDefault="000E4698" w:rsidP="006B3149">
            <w:pPr>
              <w:pStyle w:val="naisc"/>
              <w:spacing w:before="0" w:after="0"/>
              <w:jc w:val="both"/>
            </w:pPr>
            <w:r w:rsidRPr="00475925">
              <w:t>Nr. p.k.</w:t>
            </w:r>
          </w:p>
        </w:tc>
        <w:tc>
          <w:tcPr>
            <w:tcW w:w="2410" w:type="dxa"/>
            <w:vAlign w:val="center"/>
          </w:tcPr>
          <w:p w14:paraId="5F770C33" w14:textId="77777777" w:rsidR="000E4698" w:rsidRPr="00475925" w:rsidRDefault="000E4698" w:rsidP="006B3149">
            <w:pPr>
              <w:pStyle w:val="naisc"/>
              <w:spacing w:before="0" w:after="0"/>
              <w:ind w:firstLine="12"/>
              <w:jc w:val="both"/>
            </w:pPr>
            <w:r w:rsidRPr="00475925">
              <w:t>Saskaņošanai nosūtītā projekta redakcija (konkrēta punkta (panta) redakcija)</w:t>
            </w:r>
          </w:p>
        </w:tc>
        <w:tc>
          <w:tcPr>
            <w:tcW w:w="4961" w:type="dxa"/>
            <w:vAlign w:val="center"/>
          </w:tcPr>
          <w:p w14:paraId="751BEE38" w14:textId="77777777" w:rsidR="000E4698" w:rsidRPr="00475925" w:rsidRDefault="000E4698" w:rsidP="006B3149">
            <w:pPr>
              <w:pStyle w:val="naisc"/>
              <w:spacing w:before="0" w:after="0"/>
              <w:ind w:right="3"/>
              <w:jc w:val="both"/>
            </w:pPr>
            <w:r w:rsidRPr="00475925">
              <w:t>Atzinumā norādītais ministrijas (citas institūcijas) iebildums, kā arī saskaņošanā papildus izteiktais iebildums par projekta konkrēto punktu (pantu)</w:t>
            </w:r>
          </w:p>
        </w:tc>
        <w:tc>
          <w:tcPr>
            <w:tcW w:w="2693" w:type="dxa"/>
            <w:vAlign w:val="center"/>
          </w:tcPr>
          <w:p w14:paraId="4B8ED78C" w14:textId="77777777" w:rsidR="000E4698" w:rsidRPr="00475925" w:rsidRDefault="000E4698" w:rsidP="006B3149">
            <w:pPr>
              <w:pStyle w:val="naisc"/>
              <w:spacing w:before="0" w:after="0"/>
              <w:ind w:firstLine="21"/>
              <w:jc w:val="both"/>
            </w:pPr>
            <w:r w:rsidRPr="00475925">
              <w:t>Atbildīgās ministrijas norāde par to, ka iebildums ir ņemts vērā, vai informācija par saskaņošanā panākto alternatīvo risinājumu</w:t>
            </w:r>
          </w:p>
        </w:tc>
        <w:tc>
          <w:tcPr>
            <w:tcW w:w="4820" w:type="dxa"/>
            <w:vAlign w:val="center"/>
          </w:tcPr>
          <w:p w14:paraId="41F003C8" w14:textId="77777777" w:rsidR="000E4698" w:rsidRPr="00475925" w:rsidRDefault="000E4698" w:rsidP="006B3149">
            <w:pPr>
              <w:jc w:val="both"/>
            </w:pPr>
            <w:r w:rsidRPr="00475925">
              <w:t>Projekta attiecīgā punkta (panta) galīgā redakcija</w:t>
            </w:r>
          </w:p>
        </w:tc>
      </w:tr>
      <w:tr w:rsidR="00874B83" w:rsidRPr="00475925" w14:paraId="507BA446" w14:textId="77777777" w:rsidTr="00975FBA">
        <w:tc>
          <w:tcPr>
            <w:tcW w:w="704" w:type="dxa"/>
          </w:tcPr>
          <w:p w14:paraId="1E81D829" w14:textId="4AEBD379" w:rsidR="00874B83" w:rsidRPr="00475925" w:rsidRDefault="00874B83" w:rsidP="00874B83">
            <w:pPr>
              <w:pStyle w:val="naisc"/>
              <w:spacing w:before="0" w:after="0"/>
            </w:pPr>
            <w:r w:rsidRPr="00475925">
              <w:rPr>
                <w:color w:val="000000"/>
              </w:rPr>
              <w:t>1</w:t>
            </w:r>
          </w:p>
        </w:tc>
        <w:tc>
          <w:tcPr>
            <w:tcW w:w="2410" w:type="dxa"/>
          </w:tcPr>
          <w:p w14:paraId="764E619A" w14:textId="541C98E8" w:rsidR="00874B83" w:rsidRPr="00475925" w:rsidRDefault="00874B83" w:rsidP="00874B83">
            <w:pPr>
              <w:pStyle w:val="naisc"/>
              <w:spacing w:before="0" w:after="0"/>
              <w:ind w:firstLine="12"/>
            </w:pPr>
            <w:r w:rsidRPr="00475925">
              <w:rPr>
                <w:color w:val="000000"/>
              </w:rPr>
              <w:t>2</w:t>
            </w:r>
          </w:p>
        </w:tc>
        <w:tc>
          <w:tcPr>
            <w:tcW w:w="4961" w:type="dxa"/>
          </w:tcPr>
          <w:p w14:paraId="38034070" w14:textId="6822CEDA" w:rsidR="00874B83" w:rsidRPr="00475925" w:rsidRDefault="00874B83" w:rsidP="00874B83">
            <w:pPr>
              <w:pStyle w:val="naisc"/>
              <w:spacing w:before="0" w:after="0"/>
              <w:ind w:right="3"/>
            </w:pPr>
            <w:r w:rsidRPr="00475925">
              <w:rPr>
                <w:color w:val="000000"/>
              </w:rPr>
              <w:t>3</w:t>
            </w:r>
          </w:p>
        </w:tc>
        <w:tc>
          <w:tcPr>
            <w:tcW w:w="2693" w:type="dxa"/>
          </w:tcPr>
          <w:p w14:paraId="6FCBED50" w14:textId="1A66617B" w:rsidR="00874B83" w:rsidRPr="00475925" w:rsidRDefault="00874B83" w:rsidP="00874B83">
            <w:pPr>
              <w:pStyle w:val="naisc"/>
              <w:spacing w:before="0" w:after="0"/>
              <w:ind w:firstLine="21"/>
            </w:pPr>
            <w:r w:rsidRPr="00475925">
              <w:rPr>
                <w:color w:val="000000"/>
              </w:rPr>
              <w:t>4</w:t>
            </w:r>
          </w:p>
        </w:tc>
        <w:tc>
          <w:tcPr>
            <w:tcW w:w="4820" w:type="dxa"/>
          </w:tcPr>
          <w:p w14:paraId="7D5C1417" w14:textId="64B66ED1" w:rsidR="00874B83" w:rsidRPr="00475925" w:rsidRDefault="00874B83" w:rsidP="00874B83">
            <w:pPr>
              <w:jc w:val="center"/>
            </w:pPr>
            <w:r w:rsidRPr="00475925">
              <w:rPr>
                <w:color w:val="000000"/>
              </w:rPr>
              <w:t>5</w:t>
            </w:r>
          </w:p>
        </w:tc>
      </w:tr>
      <w:tr w:rsidR="0050486D" w:rsidRPr="00475925" w14:paraId="372A3F24" w14:textId="77777777" w:rsidTr="00975FBA">
        <w:trPr>
          <w:trHeight w:val="699"/>
        </w:trPr>
        <w:tc>
          <w:tcPr>
            <w:tcW w:w="704" w:type="dxa"/>
          </w:tcPr>
          <w:p w14:paraId="5C921419" w14:textId="77777777" w:rsidR="0050486D" w:rsidRPr="00475925" w:rsidRDefault="0050486D" w:rsidP="0050486D">
            <w:pPr>
              <w:pStyle w:val="naisc"/>
              <w:numPr>
                <w:ilvl w:val="0"/>
                <w:numId w:val="1"/>
              </w:numPr>
              <w:spacing w:before="0" w:after="0"/>
              <w:ind w:left="313"/>
              <w:jc w:val="both"/>
            </w:pPr>
          </w:p>
        </w:tc>
        <w:tc>
          <w:tcPr>
            <w:tcW w:w="2410" w:type="dxa"/>
          </w:tcPr>
          <w:p w14:paraId="6B19F5A5" w14:textId="27977724" w:rsidR="0050486D" w:rsidRPr="00874B83" w:rsidRDefault="0050486D" w:rsidP="0050486D">
            <w:pPr>
              <w:jc w:val="both"/>
              <w:rPr>
                <w:color w:val="000000"/>
              </w:rPr>
            </w:pPr>
            <w:r w:rsidRPr="00874B83">
              <w:rPr>
                <w:color w:val="000000"/>
              </w:rPr>
              <w:t>Noteikumu projekta 1. punkts</w:t>
            </w:r>
          </w:p>
        </w:tc>
        <w:tc>
          <w:tcPr>
            <w:tcW w:w="4961" w:type="dxa"/>
          </w:tcPr>
          <w:p w14:paraId="78C26A7B" w14:textId="1953AB3F" w:rsidR="0050486D" w:rsidRDefault="0050486D" w:rsidP="0050486D">
            <w:pPr>
              <w:pStyle w:val="BodyText2"/>
              <w:tabs>
                <w:tab w:val="left" w:pos="1125"/>
              </w:tabs>
              <w:spacing w:after="0" w:line="240" w:lineRule="auto"/>
              <w:jc w:val="both"/>
            </w:pPr>
            <w:r>
              <w:rPr>
                <w:b/>
              </w:rPr>
              <w:t>Tieslietu</w:t>
            </w:r>
            <w:r w:rsidRPr="00475925">
              <w:t xml:space="preserve"> </w:t>
            </w:r>
            <w:r w:rsidRPr="00475925">
              <w:rPr>
                <w:b/>
              </w:rPr>
              <w:t>ministrija</w:t>
            </w:r>
            <w:r w:rsidRPr="00874B83">
              <w:t xml:space="preserve"> </w:t>
            </w:r>
            <w:r w:rsidR="00121115" w:rsidRPr="00121115">
              <w:t>(</w:t>
            </w:r>
            <w:r w:rsidR="00121115">
              <w:t>3</w:t>
            </w:r>
            <w:r w:rsidR="00121115" w:rsidRPr="00121115">
              <w:t>.07.2020.)</w:t>
            </w:r>
            <w:r w:rsidR="00121115">
              <w:t xml:space="preserve"> </w:t>
            </w:r>
          </w:p>
          <w:p w14:paraId="557BD8AF" w14:textId="77777777" w:rsidR="0050486D" w:rsidRPr="00874B83" w:rsidRDefault="0050486D" w:rsidP="0050486D">
            <w:pPr>
              <w:pStyle w:val="BodyText2"/>
              <w:tabs>
                <w:tab w:val="left" w:pos="1125"/>
              </w:tabs>
              <w:spacing w:after="0" w:line="240" w:lineRule="auto"/>
              <w:jc w:val="both"/>
            </w:pPr>
            <w:r w:rsidRPr="00874B83">
              <w:t>1. Anotācijā norādīts, ka, precizējot spēkā esošo Ministru kabineta 2012.gada 30.oktobra noteikumu Nr.740 “Jūras plānojuma izstrādes, ieviešanas un uzraudzības kārtība” (turpmāk – noteikumi Nr.740) 6. punktu, tiks noteikts, ka pašvaldības jūrā var izstrādāt tematiskos plānojumus Zemes pārvaldības likuma 1. panta pirmajā daļā noteiktajos jūras piekrastes ūdeņos. Savukārt projekta 1.punktā norādīts, ka atsevišķām jūras daļām jūras piekrastes joslā piekrastes pašvaldības var izstrādāt detalizētus tematiskos plānojumus.</w:t>
            </w:r>
          </w:p>
          <w:p w14:paraId="0B348FEA" w14:textId="77777777" w:rsidR="0050486D" w:rsidRPr="00874B83" w:rsidRDefault="0050486D" w:rsidP="0050486D">
            <w:pPr>
              <w:ind w:firstLine="720"/>
            </w:pPr>
            <w:r w:rsidRPr="00874B83">
              <w:t>Zemes pārvaldības likuma 1.panta pirmās daļas 6.punktā noteikts, ka jūras piekrastes josla ir teritorija, kurā ietilpst jūras piekrastes ūdeņi un jūras piekrastes sauszemes daļa. Ievērojot minēto, lūdzam skaidrot uz kādu teritoriju ir plānots attiecināt projekta regulējumu.</w:t>
            </w:r>
          </w:p>
          <w:p w14:paraId="5DF1B0BA" w14:textId="77777777" w:rsidR="0050486D" w:rsidRDefault="0050486D" w:rsidP="0050486D">
            <w:pPr>
              <w:pStyle w:val="BodyText2"/>
              <w:tabs>
                <w:tab w:val="left" w:pos="1125"/>
              </w:tabs>
              <w:spacing w:after="0" w:line="240" w:lineRule="auto"/>
              <w:jc w:val="both"/>
              <w:rPr>
                <w:b/>
              </w:rPr>
            </w:pPr>
          </w:p>
        </w:tc>
        <w:tc>
          <w:tcPr>
            <w:tcW w:w="2693" w:type="dxa"/>
          </w:tcPr>
          <w:p w14:paraId="7A81AB6B" w14:textId="77777777" w:rsidR="0050486D" w:rsidRPr="00475925" w:rsidRDefault="0050486D" w:rsidP="0050486D">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1C15BE18" w14:textId="77777777" w:rsidR="0050486D" w:rsidRPr="00475925" w:rsidRDefault="0050486D" w:rsidP="0050486D">
            <w:pPr>
              <w:pStyle w:val="naisc"/>
              <w:spacing w:before="0" w:after="0"/>
              <w:jc w:val="both"/>
              <w:rPr>
                <w:b/>
              </w:rPr>
            </w:pPr>
          </w:p>
        </w:tc>
        <w:tc>
          <w:tcPr>
            <w:tcW w:w="4820" w:type="dxa"/>
          </w:tcPr>
          <w:p w14:paraId="5B9A168A" w14:textId="77777777" w:rsidR="0050486D" w:rsidRDefault="0050486D" w:rsidP="0050486D">
            <w:pPr>
              <w:shd w:val="clear" w:color="auto" w:fill="FFFFFF"/>
              <w:spacing w:after="120" w:line="24" w:lineRule="atLeast"/>
              <w:jc w:val="both"/>
            </w:pPr>
            <w:r>
              <w:rPr>
                <w:color w:val="000000"/>
              </w:rPr>
              <w:t>Noteikumu projekta pirmais punkts izteikts šādā redakcijā:</w:t>
            </w:r>
          </w:p>
          <w:p w14:paraId="415F90E9" w14:textId="77777777" w:rsidR="0050486D" w:rsidRDefault="0050486D" w:rsidP="0050486D">
            <w:pPr>
              <w:shd w:val="clear" w:color="auto" w:fill="FFFFFF"/>
              <w:spacing w:after="120" w:line="24" w:lineRule="atLeast"/>
              <w:jc w:val="both"/>
            </w:pPr>
            <w:r>
              <w:t>“1. Izteikt 6. un 7. punktu šādā redakcijā:</w:t>
            </w:r>
          </w:p>
          <w:p w14:paraId="0A472040" w14:textId="77777777" w:rsidR="0050486D" w:rsidRDefault="0050486D" w:rsidP="0050486D">
            <w:pPr>
              <w:shd w:val="clear" w:color="auto" w:fill="FFFFFF"/>
              <w:spacing w:after="120" w:line="24" w:lineRule="atLeast"/>
              <w:jc w:val="both"/>
            </w:pPr>
            <w:r>
              <w:t xml:space="preserve">"6. Atsevišķām jūras </w:t>
            </w:r>
            <w:r w:rsidRPr="00510120">
              <w:t>piekrastes ūdeņu</w:t>
            </w:r>
            <w:r>
              <w:t xml:space="preserve"> daļām piekrastes pašvaldības var izstrādāt detalizētus tematiskos plānojumus.</w:t>
            </w:r>
          </w:p>
          <w:p w14:paraId="65ACF66A" w14:textId="77777777" w:rsidR="0050486D" w:rsidRDefault="0050486D" w:rsidP="0050486D">
            <w:pPr>
              <w:shd w:val="clear" w:color="auto" w:fill="FFFFFF"/>
              <w:spacing w:after="120" w:line="24" w:lineRule="atLeast"/>
              <w:jc w:val="both"/>
            </w:pPr>
            <w:r>
              <w:t>7. Jūras plānojuma ieviešanu un uzraudzību nodrošina atbildīgā ministrija sadarbībā ar Daugavpils Universitātes aģentūru "Latvijas Hidroekoloģijas institūts" (turpmāk – Hidroekoloģijas institūts)."”</w:t>
            </w:r>
          </w:p>
          <w:p w14:paraId="37761F11" w14:textId="77777777" w:rsidR="0050486D" w:rsidRDefault="0050486D" w:rsidP="0050486D">
            <w:pPr>
              <w:shd w:val="clear" w:color="auto" w:fill="FFFFFF"/>
              <w:spacing w:after="120" w:line="24" w:lineRule="atLeast"/>
              <w:jc w:val="both"/>
            </w:pPr>
          </w:p>
          <w:p w14:paraId="092A4F20" w14:textId="3CE386B8" w:rsidR="0050486D" w:rsidRDefault="0050486D" w:rsidP="0050486D">
            <w:pPr>
              <w:shd w:val="clear" w:color="auto" w:fill="FFFFFF"/>
              <w:spacing w:after="120" w:line="24" w:lineRule="atLeast"/>
              <w:jc w:val="both"/>
              <w:rPr>
                <w:color w:val="000000"/>
              </w:rPr>
            </w:pPr>
          </w:p>
        </w:tc>
      </w:tr>
      <w:tr w:rsidR="0050486D" w:rsidRPr="00475925" w14:paraId="543C796B" w14:textId="77777777" w:rsidTr="00975FBA">
        <w:trPr>
          <w:trHeight w:val="699"/>
        </w:trPr>
        <w:tc>
          <w:tcPr>
            <w:tcW w:w="704" w:type="dxa"/>
          </w:tcPr>
          <w:p w14:paraId="5E970876" w14:textId="77777777" w:rsidR="0050486D" w:rsidRPr="00475925" w:rsidRDefault="0050486D" w:rsidP="0050486D">
            <w:pPr>
              <w:pStyle w:val="naisc"/>
              <w:numPr>
                <w:ilvl w:val="0"/>
                <w:numId w:val="1"/>
              </w:numPr>
              <w:spacing w:before="0" w:after="0"/>
              <w:ind w:left="313"/>
              <w:jc w:val="both"/>
            </w:pPr>
          </w:p>
        </w:tc>
        <w:tc>
          <w:tcPr>
            <w:tcW w:w="2410" w:type="dxa"/>
          </w:tcPr>
          <w:p w14:paraId="632C84F0" w14:textId="332EE32F" w:rsidR="0050486D" w:rsidRPr="00874B83" w:rsidRDefault="0050486D" w:rsidP="0050486D">
            <w:pPr>
              <w:jc w:val="both"/>
              <w:rPr>
                <w:color w:val="000000"/>
              </w:rPr>
            </w:pPr>
            <w:r w:rsidRPr="00874B83">
              <w:rPr>
                <w:color w:val="000000"/>
              </w:rPr>
              <w:t xml:space="preserve">Noteikumu projekta trešais punkts un anotācijas </w:t>
            </w:r>
            <w:r w:rsidRPr="00874B83">
              <w:t xml:space="preserve"> </w:t>
            </w:r>
            <w:r w:rsidRPr="00874B83">
              <w:rPr>
                <w:color w:val="000000"/>
              </w:rPr>
              <w:t>I sadaļas 2.punkta  apakšsadaļa “2. Jūras plānojuma sastāvdaļas un saturs”</w:t>
            </w:r>
          </w:p>
        </w:tc>
        <w:tc>
          <w:tcPr>
            <w:tcW w:w="4961" w:type="dxa"/>
          </w:tcPr>
          <w:p w14:paraId="3B549E3B" w14:textId="6DEC77FB" w:rsidR="0050486D" w:rsidRDefault="0050486D" w:rsidP="0050486D">
            <w:r>
              <w:rPr>
                <w:b/>
              </w:rPr>
              <w:t>Tieslietu</w:t>
            </w:r>
            <w:r w:rsidRPr="00475925">
              <w:t xml:space="preserve"> </w:t>
            </w:r>
            <w:r w:rsidRPr="00475925">
              <w:rPr>
                <w:b/>
              </w:rPr>
              <w:t>ministrija</w:t>
            </w:r>
            <w:r w:rsidRPr="00874B83">
              <w:t xml:space="preserve"> </w:t>
            </w:r>
            <w:r w:rsidR="00121115" w:rsidRPr="00121115">
              <w:t>(</w:t>
            </w:r>
            <w:r w:rsidR="00121115">
              <w:t>3</w:t>
            </w:r>
            <w:r w:rsidR="00121115" w:rsidRPr="00121115">
              <w:t>.07.2020.)</w:t>
            </w:r>
          </w:p>
          <w:p w14:paraId="1176E9E6" w14:textId="38470417" w:rsidR="0050486D" w:rsidRPr="00874B83" w:rsidRDefault="0050486D" w:rsidP="0050486D">
            <w:pPr>
              <w:rPr>
                <w:iCs/>
              </w:rPr>
            </w:pPr>
            <w:r w:rsidRPr="00874B83">
              <w:t xml:space="preserve">2. </w:t>
            </w:r>
            <w:r w:rsidRPr="00874B83">
              <w:rPr>
                <w:iCs/>
              </w:rPr>
              <w:t xml:space="preserve">Anotācijā norādīts, ka noteikumu Nr.740 13.punktā vārdu “uzdevumi” paredzēts aizstāt ar vārdu “prioritātes”, jo Jūras plānojuma stratēģiskajā daļā pēc konsultācijām ar jūras plānojuma izstrādē iesaistītajām pusēm tika </w:t>
            </w:r>
            <w:r w:rsidRPr="00874B83">
              <w:rPr>
                <w:iCs/>
              </w:rPr>
              <w:lastRenderedPageBreak/>
              <w:t>definētas prioritātes un stratēģiskie mērķi. Uzdevumi un pasākumi to īstenošanai iekļauti jūras telpas izmantošanas daļā.</w:t>
            </w:r>
          </w:p>
          <w:p w14:paraId="19F7CCF6" w14:textId="77777777" w:rsidR="0050486D" w:rsidRPr="00874B83" w:rsidRDefault="0050486D" w:rsidP="0050486D">
            <w:pPr>
              <w:ind w:firstLine="720"/>
              <w:rPr>
                <w:iCs/>
              </w:rPr>
            </w:pPr>
            <w:r w:rsidRPr="00874B83">
              <w:rPr>
                <w:iCs/>
              </w:rPr>
              <w:t xml:space="preserve">Tieslietu ministrija konstatē, ka papildus minētajiem grozījumiem no noteikumu Nr.740 13.punkta paredzēts izslēgt arī tekstu “attīstības vadlīnijas”, līdz ar to būtu nepieciešams papildināt anotāciju, skaidrojot minētā teksta izslēgšanu no noteikumu Nr.740 13.punkta. </w:t>
            </w:r>
          </w:p>
          <w:p w14:paraId="3DF4D583" w14:textId="77777777" w:rsidR="0050486D" w:rsidRPr="00874B83" w:rsidRDefault="0050486D" w:rsidP="0050486D">
            <w:pPr>
              <w:pStyle w:val="BodyText2"/>
              <w:tabs>
                <w:tab w:val="left" w:pos="1125"/>
              </w:tabs>
              <w:spacing w:after="0" w:line="240" w:lineRule="auto"/>
              <w:jc w:val="both"/>
            </w:pPr>
          </w:p>
        </w:tc>
        <w:tc>
          <w:tcPr>
            <w:tcW w:w="2693" w:type="dxa"/>
          </w:tcPr>
          <w:p w14:paraId="2EEBB1C9" w14:textId="77777777" w:rsidR="0050486D" w:rsidRPr="00475925" w:rsidRDefault="0050486D" w:rsidP="0050486D">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74AFD2C3" w14:textId="59D5E2D0" w:rsidR="0050486D" w:rsidRPr="00155E70" w:rsidRDefault="0050486D" w:rsidP="0050486D">
            <w:pPr>
              <w:pStyle w:val="naisc"/>
              <w:spacing w:before="0" w:after="0"/>
              <w:jc w:val="both"/>
            </w:pPr>
          </w:p>
        </w:tc>
        <w:tc>
          <w:tcPr>
            <w:tcW w:w="4820" w:type="dxa"/>
          </w:tcPr>
          <w:p w14:paraId="19A2D541" w14:textId="07A4D284" w:rsidR="0050486D" w:rsidRDefault="0050486D" w:rsidP="0050486D">
            <w:pPr>
              <w:shd w:val="clear" w:color="auto" w:fill="FFFFFF"/>
              <w:spacing w:after="120" w:line="24" w:lineRule="atLeast"/>
              <w:jc w:val="both"/>
            </w:pPr>
            <w:r>
              <w:t xml:space="preserve">Noteikumu anotācijas </w:t>
            </w:r>
            <w:r w:rsidRPr="00D53EB6">
              <w:rPr>
                <w:color w:val="000000"/>
              </w:rPr>
              <w:t xml:space="preserve"> I sadaļas 2.punkta </w:t>
            </w:r>
            <w:r>
              <w:rPr>
                <w:color w:val="000000"/>
              </w:rPr>
              <w:t xml:space="preserve">apakšsadaļas </w:t>
            </w:r>
            <w:r w:rsidRPr="00D53EB6">
              <w:rPr>
                <w:color w:val="000000"/>
              </w:rPr>
              <w:t>“</w:t>
            </w:r>
            <w:r>
              <w:rPr>
                <w:color w:val="000000"/>
              </w:rPr>
              <w:t>2. </w:t>
            </w:r>
            <w:r w:rsidRPr="00D9796C">
              <w:rPr>
                <w:color w:val="000000"/>
              </w:rPr>
              <w:t>Jūras plānojuma sastāvdaļas un saturs</w:t>
            </w:r>
            <w:r w:rsidRPr="00D53EB6">
              <w:rPr>
                <w:color w:val="000000"/>
              </w:rPr>
              <w:t>”</w:t>
            </w:r>
            <w:r>
              <w:rPr>
                <w:color w:val="000000"/>
              </w:rPr>
              <w:t xml:space="preserve">  precizētā rindkopa izteikta šādā redakcijā:</w:t>
            </w:r>
          </w:p>
          <w:p w14:paraId="18356A52" w14:textId="3C08E6CA" w:rsidR="0050486D" w:rsidRDefault="0050486D" w:rsidP="0050486D">
            <w:pPr>
              <w:shd w:val="clear" w:color="auto" w:fill="FFFFFF"/>
              <w:spacing w:after="120" w:line="24" w:lineRule="atLeast"/>
              <w:jc w:val="both"/>
            </w:pPr>
            <w:r>
              <w:lastRenderedPageBreak/>
              <w:t>“</w:t>
            </w:r>
            <w:r w:rsidRPr="005C4499">
              <w:t>Ar noteikumu projektu Ministru kabineta 2012. gada 30. oktobra noteikumos Nr. 740 "Jūras plānojuma izstrādes, ieviešanas un uzraudzības kārtība" 13. punktā vārds “uzdevumi” aizstāts ar vārdu “prioritātes”, jo Jūras plānojuma stratēģiskajā daļā pēc konsultācijām ar jūras plānojuma izstrādē iesaistītajām pusēm tika definētas priori</w:t>
            </w:r>
            <w:r>
              <w:t>tātes</w:t>
            </w:r>
            <w:r>
              <w:rPr>
                <w:iCs/>
              </w:rPr>
              <w:t xml:space="preserve"> </w:t>
            </w:r>
            <w:r w:rsidRPr="00510120">
              <w:rPr>
                <w:iCs/>
              </w:rPr>
              <w:t xml:space="preserve">ar to aprakstu </w:t>
            </w:r>
            <w:r w:rsidRPr="00510120">
              <w:t xml:space="preserve"> un stratēģiskie mērķi.  </w:t>
            </w:r>
            <w:r w:rsidRPr="00510120">
              <w:rPr>
                <w:iCs/>
              </w:rPr>
              <w:t xml:space="preserve"> Savukārt, a</w:t>
            </w:r>
            <w:r w:rsidRPr="00510120">
              <w:t>ttīstības vadlīnijas, uzdevumi un pasākumi</w:t>
            </w:r>
            <w:r w:rsidRPr="005C4499">
              <w:t xml:space="preserve"> to īstenošanai iekļauti jūras telpas izmantošanas daļā.</w:t>
            </w:r>
            <w:r>
              <w:t>”</w:t>
            </w:r>
          </w:p>
        </w:tc>
      </w:tr>
      <w:tr w:rsidR="0050486D" w:rsidRPr="00475925" w14:paraId="60CF72E0" w14:textId="77777777" w:rsidTr="00975FBA">
        <w:trPr>
          <w:trHeight w:val="699"/>
        </w:trPr>
        <w:tc>
          <w:tcPr>
            <w:tcW w:w="704" w:type="dxa"/>
          </w:tcPr>
          <w:p w14:paraId="270AA54C" w14:textId="16DBDFF4" w:rsidR="0050486D" w:rsidRPr="00475925" w:rsidRDefault="0050486D" w:rsidP="0050486D">
            <w:pPr>
              <w:pStyle w:val="naisc"/>
              <w:numPr>
                <w:ilvl w:val="0"/>
                <w:numId w:val="1"/>
              </w:numPr>
              <w:spacing w:before="0" w:after="0"/>
              <w:ind w:left="313"/>
              <w:jc w:val="both"/>
            </w:pPr>
          </w:p>
        </w:tc>
        <w:tc>
          <w:tcPr>
            <w:tcW w:w="2410" w:type="dxa"/>
          </w:tcPr>
          <w:p w14:paraId="5E74248E" w14:textId="631F7A2D" w:rsidR="0050486D" w:rsidRDefault="0050486D" w:rsidP="0050486D">
            <w:pPr>
              <w:jc w:val="both"/>
              <w:rPr>
                <w:color w:val="000000"/>
              </w:rPr>
            </w:pPr>
            <w:r>
              <w:rPr>
                <w:color w:val="000000"/>
              </w:rPr>
              <w:t>Noteikumu projekta anotācijas</w:t>
            </w:r>
            <w:r w:rsidRPr="00475925">
              <w:rPr>
                <w:color w:val="000000"/>
              </w:rPr>
              <w:t xml:space="preserve"> </w:t>
            </w:r>
            <w:r>
              <w:t xml:space="preserve"> </w:t>
            </w:r>
            <w:r w:rsidRPr="00D53EB6">
              <w:rPr>
                <w:color w:val="000000"/>
              </w:rPr>
              <w:t xml:space="preserve">I sadaļas 2.punkta </w:t>
            </w:r>
            <w:r>
              <w:rPr>
                <w:color w:val="000000"/>
              </w:rPr>
              <w:t xml:space="preserve"> apakšsadaļa </w:t>
            </w:r>
            <w:r w:rsidRPr="00D53EB6">
              <w:rPr>
                <w:color w:val="000000"/>
              </w:rPr>
              <w:t>“</w:t>
            </w:r>
            <w:r>
              <w:rPr>
                <w:color w:val="000000"/>
              </w:rPr>
              <w:t>2. </w:t>
            </w:r>
            <w:r w:rsidRPr="00D9796C">
              <w:rPr>
                <w:color w:val="000000"/>
              </w:rPr>
              <w:t>Jūras plānojuma sastāvdaļas un saturs</w:t>
            </w:r>
            <w:r w:rsidRPr="00D53EB6">
              <w:rPr>
                <w:color w:val="000000"/>
              </w:rPr>
              <w:t>”</w:t>
            </w:r>
          </w:p>
        </w:tc>
        <w:tc>
          <w:tcPr>
            <w:tcW w:w="4961" w:type="dxa"/>
          </w:tcPr>
          <w:p w14:paraId="232D4B46" w14:textId="23C3D53E" w:rsidR="0050486D" w:rsidRDefault="0050486D" w:rsidP="0050486D">
            <w:pPr>
              <w:rPr>
                <w:szCs w:val="26"/>
              </w:rPr>
            </w:pPr>
            <w:r>
              <w:rPr>
                <w:b/>
              </w:rPr>
              <w:t>Tieslietu</w:t>
            </w:r>
            <w:r w:rsidRPr="00475925">
              <w:t xml:space="preserve"> </w:t>
            </w:r>
            <w:r w:rsidRPr="00475925">
              <w:rPr>
                <w:b/>
              </w:rPr>
              <w:t>ministrija</w:t>
            </w:r>
            <w:r w:rsidRPr="00874B83">
              <w:rPr>
                <w:szCs w:val="26"/>
              </w:rPr>
              <w:t xml:space="preserve"> </w:t>
            </w:r>
            <w:r w:rsidR="00121115" w:rsidRPr="00121115">
              <w:t>(</w:t>
            </w:r>
            <w:r w:rsidR="00121115">
              <w:t>3</w:t>
            </w:r>
            <w:r w:rsidR="00121115" w:rsidRPr="00121115">
              <w:t>.07.2020.)</w:t>
            </w:r>
          </w:p>
          <w:p w14:paraId="28AB5486" w14:textId="1BAD82CA" w:rsidR="0050486D" w:rsidRPr="000A5403" w:rsidRDefault="0050486D" w:rsidP="0050486D">
            <w:pPr>
              <w:rPr>
                <w:szCs w:val="26"/>
              </w:rPr>
            </w:pPr>
            <w:r w:rsidRPr="00874B83">
              <w:rPr>
                <w:szCs w:val="26"/>
              </w:rPr>
              <w:t xml:space="preserve">3. Projekta 4.punkts paredz papildināt noteikumus Nr.740 ar 14.7. apakšpunktu, nosakot, ka paskaidrojuma daļā ietver esošās situācijas izvērtējumu, kurā iekļauj arī klimata pārmaiņu ietekmju analīzi un ekosistēmu pakalpojumu raksturojumu. Lūdzam anotācijā skaidrot, kas veiks 14.7. apakšpunktā minēto funkciju. </w:t>
            </w:r>
          </w:p>
        </w:tc>
        <w:tc>
          <w:tcPr>
            <w:tcW w:w="2693" w:type="dxa"/>
          </w:tcPr>
          <w:p w14:paraId="17059917" w14:textId="77777777" w:rsidR="0050486D" w:rsidRPr="00475925" w:rsidRDefault="0050486D" w:rsidP="0050486D">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4FD65299" w14:textId="77777777" w:rsidR="0050486D" w:rsidRPr="00475925" w:rsidRDefault="0050486D" w:rsidP="0050486D">
            <w:pPr>
              <w:pStyle w:val="naisc"/>
              <w:spacing w:before="0" w:after="0"/>
              <w:jc w:val="both"/>
              <w:rPr>
                <w:b/>
              </w:rPr>
            </w:pPr>
          </w:p>
        </w:tc>
        <w:tc>
          <w:tcPr>
            <w:tcW w:w="4820" w:type="dxa"/>
          </w:tcPr>
          <w:p w14:paraId="09EEB294" w14:textId="00CB4439" w:rsidR="0050486D" w:rsidRDefault="0050486D" w:rsidP="0050486D">
            <w:pPr>
              <w:shd w:val="clear" w:color="auto" w:fill="FFFFFF"/>
              <w:spacing w:after="120" w:line="24" w:lineRule="atLeast"/>
              <w:jc w:val="both"/>
            </w:pPr>
            <w:r>
              <w:t xml:space="preserve">Noteikumu anotācijas </w:t>
            </w:r>
            <w:r w:rsidRPr="00D53EB6">
              <w:rPr>
                <w:color w:val="000000"/>
              </w:rPr>
              <w:t xml:space="preserve"> I sadaļas 2.punkta </w:t>
            </w:r>
            <w:r>
              <w:rPr>
                <w:color w:val="000000"/>
              </w:rPr>
              <w:t xml:space="preserve">apakšsadaļas </w:t>
            </w:r>
            <w:r w:rsidRPr="00D53EB6">
              <w:rPr>
                <w:color w:val="000000"/>
              </w:rPr>
              <w:t>“</w:t>
            </w:r>
            <w:r>
              <w:rPr>
                <w:color w:val="000000"/>
              </w:rPr>
              <w:t>2. </w:t>
            </w:r>
            <w:r w:rsidRPr="00D9796C">
              <w:rPr>
                <w:color w:val="000000"/>
              </w:rPr>
              <w:t>Jūras plānojuma sastāvdaļas un saturs</w:t>
            </w:r>
            <w:r w:rsidRPr="00D53EB6">
              <w:rPr>
                <w:color w:val="000000"/>
              </w:rPr>
              <w:t>”</w:t>
            </w:r>
            <w:r>
              <w:rPr>
                <w:color w:val="000000"/>
              </w:rPr>
              <w:t xml:space="preserve"> </w:t>
            </w:r>
            <w:r w:rsidRPr="008A5AA8">
              <w:rPr>
                <w:color w:val="000000"/>
              </w:rPr>
              <w:t>skaidrot</w:t>
            </w:r>
            <w:r>
              <w:rPr>
                <w:color w:val="000000"/>
              </w:rPr>
              <w:t>s</w:t>
            </w:r>
            <w:r w:rsidRPr="008A5AA8">
              <w:rPr>
                <w:color w:val="000000"/>
              </w:rPr>
              <w:t>, kas veiks 14.7. apakšpunk</w:t>
            </w:r>
            <w:r>
              <w:rPr>
                <w:color w:val="000000"/>
              </w:rPr>
              <w:t>tā minēto funkciju. Pievienots jauns teikums šādā redakcijā:</w:t>
            </w:r>
          </w:p>
          <w:p w14:paraId="6C2BA114" w14:textId="1104E79F" w:rsidR="0050486D" w:rsidRPr="009878D8" w:rsidRDefault="0050486D" w:rsidP="0050486D">
            <w:pPr>
              <w:shd w:val="clear" w:color="auto" w:fill="FFFFFF"/>
              <w:spacing w:after="120" w:line="24" w:lineRule="atLeast"/>
              <w:jc w:val="both"/>
            </w:pPr>
            <w:r w:rsidRPr="009878D8">
              <w:t>“Klimata pārmaiņu ietekmju analīzi veiks par jūras plānojuma izstrādi atbildīgā ministrija balstoties uz pieejamo informāciju un  ekosistēmu pakalpojumu raksturojumu veiks Hidroekoloģijas institūts, jo Hidroekoloģijas institūts ir atbildīgā institūcija par Jūras plānojuma 6. tabulā  noteiktā uzdevuma 2.2. “Novērtēt jūras ekosistēmas sniegto pakalpojumu izplatību un nodrošinājumu atbilstoši starptautiski pieņemtai metodikai” izpildi.”</w:t>
            </w:r>
          </w:p>
        </w:tc>
      </w:tr>
      <w:tr w:rsidR="0050486D" w:rsidRPr="00475925" w14:paraId="663C84D0" w14:textId="77777777" w:rsidTr="00975FBA">
        <w:trPr>
          <w:trHeight w:val="699"/>
        </w:trPr>
        <w:tc>
          <w:tcPr>
            <w:tcW w:w="704" w:type="dxa"/>
          </w:tcPr>
          <w:p w14:paraId="529B2E8E" w14:textId="77777777" w:rsidR="0050486D" w:rsidRPr="00475925" w:rsidRDefault="0050486D" w:rsidP="0050486D">
            <w:pPr>
              <w:pStyle w:val="naisc"/>
              <w:numPr>
                <w:ilvl w:val="0"/>
                <w:numId w:val="1"/>
              </w:numPr>
              <w:spacing w:before="0" w:after="0"/>
              <w:ind w:left="313"/>
              <w:jc w:val="both"/>
            </w:pPr>
          </w:p>
        </w:tc>
        <w:tc>
          <w:tcPr>
            <w:tcW w:w="2410" w:type="dxa"/>
          </w:tcPr>
          <w:p w14:paraId="2655EECE" w14:textId="61E59232" w:rsidR="0050486D" w:rsidRDefault="0050486D" w:rsidP="0050486D">
            <w:pPr>
              <w:jc w:val="both"/>
              <w:rPr>
                <w:color w:val="000000"/>
              </w:rPr>
            </w:pPr>
            <w:r>
              <w:rPr>
                <w:color w:val="000000"/>
              </w:rPr>
              <w:t xml:space="preserve">Noteikumu </w:t>
            </w:r>
            <w:r w:rsidRPr="00475925">
              <w:rPr>
                <w:color w:val="000000"/>
              </w:rPr>
              <w:t>projekta</w:t>
            </w:r>
            <w:r>
              <w:rPr>
                <w:color w:val="000000"/>
              </w:rPr>
              <w:t xml:space="preserve"> anotācijas</w:t>
            </w:r>
            <w:r w:rsidRPr="00475925">
              <w:rPr>
                <w:color w:val="000000"/>
              </w:rPr>
              <w:t xml:space="preserve"> </w:t>
            </w:r>
            <w:r>
              <w:t xml:space="preserve"> </w:t>
            </w:r>
            <w:r w:rsidRPr="00D53EB6">
              <w:rPr>
                <w:color w:val="000000"/>
              </w:rPr>
              <w:t>I sadaļas 2.punkta rindkopā “3. Ieviešanas uzraudzība”</w:t>
            </w:r>
          </w:p>
        </w:tc>
        <w:tc>
          <w:tcPr>
            <w:tcW w:w="4961" w:type="dxa"/>
          </w:tcPr>
          <w:p w14:paraId="3F268140" w14:textId="08336549" w:rsidR="0050486D" w:rsidRDefault="0050486D" w:rsidP="0050486D">
            <w:pPr>
              <w:pStyle w:val="BodyText2"/>
              <w:tabs>
                <w:tab w:val="left" w:pos="1125"/>
              </w:tabs>
              <w:spacing w:after="0" w:line="240" w:lineRule="auto"/>
              <w:jc w:val="both"/>
            </w:pPr>
            <w:r>
              <w:rPr>
                <w:b/>
              </w:rPr>
              <w:t>Satiksmes</w:t>
            </w:r>
            <w:r w:rsidRPr="00475925">
              <w:t xml:space="preserve"> </w:t>
            </w:r>
            <w:r w:rsidRPr="00475925">
              <w:rPr>
                <w:b/>
              </w:rPr>
              <w:t>ministrija</w:t>
            </w:r>
            <w:r w:rsidRPr="008B50DF">
              <w:t xml:space="preserve"> </w:t>
            </w:r>
            <w:r w:rsidR="00121115" w:rsidRPr="00121115">
              <w:t>(</w:t>
            </w:r>
            <w:r w:rsidR="00121115">
              <w:t>30.06</w:t>
            </w:r>
            <w:r w:rsidR="00121115" w:rsidRPr="00121115">
              <w:t>.2020.)</w:t>
            </w:r>
          </w:p>
          <w:p w14:paraId="49B719EB" w14:textId="207D83E9" w:rsidR="0050486D" w:rsidRPr="00B561AA" w:rsidRDefault="0050486D" w:rsidP="00B561AA">
            <w:pPr>
              <w:pStyle w:val="BodyText2"/>
              <w:tabs>
                <w:tab w:val="left" w:pos="1125"/>
              </w:tabs>
              <w:spacing w:after="0" w:line="240" w:lineRule="auto"/>
              <w:jc w:val="both"/>
            </w:pPr>
            <w:r w:rsidRPr="008B50DF">
              <w:t xml:space="preserve">Lūdzam precizēt noteikumu projekta anotācijas I sadaļas 2.punkta rindkopā “3. Ieviešanas uzraudzība” minēto informāciju, ņemot vērā to, ka saskaņā ar Ministru kabineta 2019. gada 21. maija rīkojuma Nr.232 “Par Jūras plānojumu </w:t>
            </w:r>
            <w:r w:rsidRPr="008B50DF">
              <w:lastRenderedPageBreak/>
              <w:t>Latvijas Republikas iekšējiem jūras ūdeņiem, teritoriālajai jūrai un ekskluzīvās ekonomiskās zonas ūdeņiem līdz 2030.gadam” 2.punktu Vides aizsardzības un reģionālās attīstības ministrija ir noteikta par atbildīgo institūciju plānojum</w:t>
            </w:r>
            <w:r>
              <w:t>ā noteikto uzdevumu īstenošanā</w:t>
            </w:r>
            <w:r w:rsidR="00B561AA">
              <w:t>.</w:t>
            </w:r>
            <w:bookmarkStart w:id="0" w:name="_GoBack"/>
            <w:bookmarkEnd w:id="0"/>
          </w:p>
        </w:tc>
        <w:tc>
          <w:tcPr>
            <w:tcW w:w="2693" w:type="dxa"/>
          </w:tcPr>
          <w:p w14:paraId="05C3B912" w14:textId="77777777" w:rsidR="0050486D" w:rsidRPr="00475925" w:rsidRDefault="0050486D" w:rsidP="0050486D">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409F922C" w14:textId="77777777" w:rsidR="0050486D" w:rsidRPr="00475925" w:rsidRDefault="0050486D" w:rsidP="0050486D">
            <w:pPr>
              <w:pStyle w:val="naisc"/>
              <w:spacing w:before="0" w:after="0"/>
              <w:jc w:val="both"/>
            </w:pPr>
          </w:p>
          <w:p w14:paraId="44B78963" w14:textId="77777777" w:rsidR="0050486D" w:rsidRPr="00475925" w:rsidRDefault="0050486D" w:rsidP="0050486D">
            <w:pPr>
              <w:pStyle w:val="naisc"/>
              <w:spacing w:before="0" w:after="0"/>
              <w:jc w:val="both"/>
            </w:pPr>
          </w:p>
          <w:p w14:paraId="501E67EA" w14:textId="77777777" w:rsidR="0050486D" w:rsidRPr="00475925" w:rsidRDefault="0050486D" w:rsidP="0050486D">
            <w:pPr>
              <w:pStyle w:val="naisc"/>
              <w:spacing w:before="0" w:after="0"/>
              <w:jc w:val="both"/>
            </w:pPr>
          </w:p>
          <w:p w14:paraId="106A3859" w14:textId="77777777" w:rsidR="0050486D" w:rsidRPr="00475925" w:rsidRDefault="0050486D" w:rsidP="0050486D">
            <w:pPr>
              <w:pStyle w:val="naisc"/>
              <w:spacing w:before="0" w:after="0"/>
              <w:jc w:val="both"/>
              <w:rPr>
                <w:b/>
              </w:rPr>
            </w:pPr>
          </w:p>
        </w:tc>
        <w:tc>
          <w:tcPr>
            <w:tcW w:w="4820" w:type="dxa"/>
          </w:tcPr>
          <w:p w14:paraId="4E5D336C" w14:textId="77777777" w:rsidR="0050486D" w:rsidRDefault="0050486D" w:rsidP="0050486D">
            <w:pPr>
              <w:shd w:val="clear" w:color="auto" w:fill="FFFFFF"/>
              <w:spacing w:after="120" w:line="24" w:lineRule="atLeast"/>
              <w:jc w:val="both"/>
              <w:rPr>
                <w:rFonts w:eastAsia="Calibri"/>
                <w:color w:val="000000"/>
                <w:lang w:eastAsia="en-US"/>
              </w:rPr>
            </w:pPr>
            <w:r>
              <w:t>Anotācijas</w:t>
            </w:r>
            <w:r w:rsidRPr="00475925">
              <w:t xml:space="preserve"> projekta </w:t>
            </w:r>
            <w:r>
              <w:t xml:space="preserve"> </w:t>
            </w:r>
            <w:r w:rsidRPr="00C14192">
              <w:rPr>
                <w:rFonts w:eastAsia="Calibri"/>
                <w:color w:val="000000"/>
                <w:lang w:eastAsia="en-US"/>
              </w:rPr>
              <w:t>I sadaļas 2.punkta rindkopā “3. Ieviešanas uzraudzība”</w:t>
            </w:r>
            <w:r>
              <w:rPr>
                <w:rFonts w:eastAsia="Calibri"/>
                <w:color w:val="000000"/>
                <w:lang w:eastAsia="en-US"/>
              </w:rPr>
              <w:t xml:space="preserve"> izteikts šādā redakcijā:</w:t>
            </w:r>
          </w:p>
          <w:p w14:paraId="688A90BF" w14:textId="77777777" w:rsidR="0050486D" w:rsidRPr="00510120" w:rsidRDefault="0050486D" w:rsidP="0050486D">
            <w:pPr>
              <w:shd w:val="clear" w:color="auto" w:fill="FFFFFF"/>
              <w:spacing w:after="120" w:line="24" w:lineRule="atLeast"/>
              <w:jc w:val="both"/>
              <w:rPr>
                <w:color w:val="000000"/>
              </w:rPr>
            </w:pPr>
            <w:r w:rsidRPr="00995997">
              <w:rPr>
                <w:color w:val="000000"/>
              </w:rPr>
              <w:t>"</w:t>
            </w:r>
            <w:r w:rsidRPr="008B50DF">
              <w:rPr>
                <w:szCs w:val="26"/>
              </w:rPr>
              <w:t xml:space="preserve">Spēkā esošo Ministru kabineta 2012. gada 30. oktobra noteikumu Nr. 740 "Jūras plānojuma izstrādes, ieviešanas un uzraudzības kārtība" 30. </w:t>
            </w:r>
            <w:r w:rsidRPr="008B50DF">
              <w:rPr>
                <w:szCs w:val="26"/>
              </w:rPr>
              <w:lastRenderedPageBreak/>
              <w:t xml:space="preserve">punkta redakcija noteic, ka atbildīgā ministrija vismaz reizi sešos gados sadarbībā ar Hidroekoloģijas institūtu un Jūras administrāciju sagatavo informatīvo ziņojumu par jūras plānojuma īstenošanu. Taču atbilstoši MK 2019. gada 22. maija rīkojumā Nr. 232 “Par Jūras plānojumu Latvijas Republikas iekšējiem jūras ūdeņiem, teritoriālajai jūrai un ekskluzīvās ekonomiskās </w:t>
            </w:r>
            <w:r w:rsidRPr="00510120">
              <w:rPr>
                <w:szCs w:val="26"/>
              </w:rPr>
              <w:t>zonas ūdeņiem līdz 2030. gadam” noteiktajam, par Jūras plānojuma īstenošanu atbildīgā ministrija Jūras plānojumā noteiktos uzdevumus īsteno sadarbībā ar rīkojumā noteiktajām ministrijām (Satiksmes ministrija, Zemkopības ministrija, Ekonomikas ministrija, Aizsardzības ministrija un Kultūras ministrija), kurām līdz 2023. gada 1. maijam jāiesniedz Vides aizsardzības un reģionālās attīstības ministrijā informāciju par Jūras plānojumā noteikto uzdevumu īstenošanas gaitu.</w:t>
            </w:r>
            <w:r w:rsidRPr="00510120">
              <w:rPr>
                <w:color w:val="000000"/>
              </w:rPr>
              <w:t>"</w:t>
            </w:r>
          </w:p>
          <w:p w14:paraId="560057FE" w14:textId="77777777" w:rsidR="0050486D" w:rsidRDefault="0050486D" w:rsidP="0050486D">
            <w:pPr>
              <w:shd w:val="clear" w:color="auto" w:fill="FFFFFF"/>
              <w:spacing w:after="120" w:line="24" w:lineRule="atLeast"/>
              <w:jc w:val="both"/>
            </w:pPr>
          </w:p>
        </w:tc>
      </w:tr>
      <w:tr w:rsidR="0050486D" w:rsidRPr="00475925" w14:paraId="7A5A9574" w14:textId="77777777" w:rsidTr="00975FBA">
        <w:trPr>
          <w:trHeight w:val="699"/>
        </w:trPr>
        <w:tc>
          <w:tcPr>
            <w:tcW w:w="704" w:type="dxa"/>
          </w:tcPr>
          <w:p w14:paraId="084F1727" w14:textId="7265E244" w:rsidR="0050486D" w:rsidRPr="00475925" w:rsidRDefault="0050486D" w:rsidP="0050486D">
            <w:pPr>
              <w:pStyle w:val="naisc"/>
              <w:numPr>
                <w:ilvl w:val="0"/>
                <w:numId w:val="1"/>
              </w:numPr>
              <w:spacing w:before="0" w:after="0"/>
              <w:ind w:left="313"/>
              <w:jc w:val="both"/>
            </w:pPr>
          </w:p>
        </w:tc>
        <w:tc>
          <w:tcPr>
            <w:tcW w:w="2410" w:type="dxa"/>
          </w:tcPr>
          <w:p w14:paraId="5D37F40E" w14:textId="4403D916" w:rsidR="0050486D" w:rsidRDefault="0050486D" w:rsidP="0050486D">
            <w:pPr>
              <w:jc w:val="both"/>
              <w:rPr>
                <w:color w:val="000000"/>
              </w:rPr>
            </w:pPr>
            <w:r>
              <w:rPr>
                <w:color w:val="000000"/>
              </w:rPr>
              <w:t xml:space="preserve">Noteikumu </w:t>
            </w:r>
            <w:r w:rsidRPr="00475925">
              <w:rPr>
                <w:color w:val="000000"/>
              </w:rPr>
              <w:t>projekta</w:t>
            </w:r>
            <w:r>
              <w:rPr>
                <w:color w:val="000000"/>
              </w:rPr>
              <w:t xml:space="preserve"> anotācijas</w:t>
            </w:r>
            <w:r w:rsidRPr="00475925">
              <w:rPr>
                <w:color w:val="000000"/>
              </w:rPr>
              <w:t xml:space="preserve"> </w:t>
            </w:r>
            <w:r>
              <w:t xml:space="preserve"> </w:t>
            </w:r>
            <w:r w:rsidRPr="008A5AA8">
              <w:t>II sadaļas 1.punkt</w:t>
            </w:r>
            <w:r>
              <w:t>s</w:t>
            </w:r>
            <w:r w:rsidRPr="008A5AA8">
              <w:t xml:space="preserve"> "Sabiedrības mērķgrupas, kuras tiesiskais regulēju</w:t>
            </w:r>
            <w:r>
              <w:t>ms ietekmē vai varētu ietekmēt"</w:t>
            </w:r>
          </w:p>
        </w:tc>
        <w:tc>
          <w:tcPr>
            <w:tcW w:w="4961" w:type="dxa"/>
          </w:tcPr>
          <w:p w14:paraId="2AD86525" w14:textId="28B7DA1B" w:rsidR="00121115" w:rsidRDefault="00121115" w:rsidP="0050486D">
            <w:pPr>
              <w:rPr>
                <w:szCs w:val="26"/>
              </w:rPr>
            </w:pPr>
            <w:r>
              <w:rPr>
                <w:b/>
              </w:rPr>
              <w:t>Tieslietu</w:t>
            </w:r>
            <w:r w:rsidRPr="00475925">
              <w:t xml:space="preserve"> </w:t>
            </w:r>
            <w:r w:rsidRPr="00475925">
              <w:rPr>
                <w:b/>
              </w:rPr>
              <w:t>ministrija</w:t>
            </w:r>
            <w:r w:rsidRPr="00874B83">
              <w:t xml:space="preserve"> </w:t>
            </w:r>
            <w:r w:rsidRPr="00121115">
              <w:t>(</w:t>
            </w:r>
            <w:r>
              <w:t>3</w:t>
            </w:r>
            <w:r w:rsidRPr="00121115">
              <w:t>.07.2020.)</w:t>
            </w:r>
          </w:p>
          <w:p w14:paraId="399CB53F" w14:textId="77777777" w:rsidR="0050486D" w:rsidRPr="00874B83" w:rsidRDefault="0050486D" w:rsidP="0050486D">
            <w:pPr>
              <w:rPr>
                <w:szCs w:val="26"/>
              </w:rPr>
            </w:pPr>
            <w:r w:rsidRPr="00874B83">
              <w:rPr>
                <w:szCs w:val="26"/>
              </w:rPr>
              <w:t xml:space="preserve">4. Tieslietu ministrija norāda, ka saskaņā ar Ministru kabineta 2009. gada 15. decembra instrukcijas Nr. 19 "Tiesību akta projekta sākotnējās ietekmes izvērtēšanas kārtība"  (turpmāk - instrukcijas Nr. 19) 20.punktu anotācijas II sadaļas 1.punktā ("Sabiedrības mērķgrupas, kuras tiesiskais regulējums ietekmē vai varētu ietekmēt") norāda visas sabiedrības mērķgrupas, uz kurām attiecināms projekta tiesiskais regulējums tiešā un netiešā veidā, t.i., kuru tiesības, pienākumus, finanses vai iespējas projekts ietekmē vai varētu ietekmēt. Ar sabiedrības mērķgrupu saprot jebkuru fizisku vai juridisku personu grupu (tai skaitā valsts un pašvaldību iestādēs nodarbinātos), kuru skar projektā paredzētais regulējums. </w:t>
            </w:r>
          </w:p>
          <w:p w14:paraId="4BE212B2" w14:textId="77777777" w:rsidR="0050486D" w:rsidRPr="00874B83" w:rsidRDefault="0050486D" w:rsidP="0050486D">
            <w:pPr>
              <w:ind w:firstLine="720"/>
              <w:rPr>
                <w:szCs w:val="26"/>
              </w:rPr>
            </w:pPr>
            <w:r w:rsidRPr="00874B83">
              <w:rPr>
                <w:szCs w:val="26"/>
              </w:rPr>
              <w:t xml:space="preserve">Tieslietu ministrijas ieskatā no regulējuma noprotams, ka tiek radīta ietekme uz piekrastes pašvaldībām, privātpersonām un komersantiem, kuru īpašums atrodas piekrastes teritorijā, un netiešā veidā varētu vērtēt ietekmi uz sabiedrību kopumā. Tieslietu ministrijas ieskatā nav skaidrs, kādēļ pie sabiedrības mērķgrupām anotācijā tiek norādītas tikai jūras plānojuma izstrādē un īstenošanā iesaistītas institūcijas. Vēršam uzmanību, ka saskaņā ar instrukcijas Nr. 19 65.punktu, projekta plānojuma izstrādē un īstenošanā iesaistītās institūcijas norāda anotācijas VII sadaļas 2.punktā. Ņemot vērā minēto, lūdzam precizēt projekta anotācijas II sadaļu. </w:t>
            </w:r>
          </w:p>
          <w:p w14:paraId="469AA277" w14:textId="77777777" w:rsidR="0050486D" w:rsidRPr="00121FE5" w:rsidRDefault="0050486D" w:rsidP="0050486D">
            <w:pPr>
              <w:pStyle w:val="BodyText2"/>
              <w:tabs>
                <w:tab w:val="left" w:pos="1125"/>
              </w:tabs>
              <w:spacing w:after="0" w:line="240" w:lineRule="auto"/>
              <w:jc w:val="both"/>
            </w:pPr>
          </w:p>
        </w:tc>
        <w:tc>
          <w:tcPr>
            <w:tcW w:w="2693" w:type="dxa"/>
          </w:tcPr>
          <w:p w14:paraId="18629F67" w14:textId="77777777" w:rsidR="0050486D" w:rsidRPr="00475925" w:rsidRDefault="0050486D" w:rsidP="0050486D">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35577FDB" w14:textId="77777777" w:rsidR="0050486D" w:rsidRPr="00475925" w:rsidRDefault="0050486D" w:rsidP="0050486D">
            <w:pPr>
              <w:pStyle w:val="naisc"/>
              <w:spacing w:before="0" w:after="0"/>
              <w:jc w:val="both"/>
              <w:rPr>
                <w:b/>
              </w:rPr>
            </w:pPr>
          </w:p>
        </w:tc>
        <w:tc>
          <w:tcPr>
            <w:tcW w:w="4820" w:type="dxa"/>
          </w:tcPr>
          <w:p w14:paraId="75A2C6ED" w14:textId="1E2CD0FF" w:rsidR="0050486D" w:rsidRDefault="0050486D" w:rsidP="0050486D">
            <w:pPr>
              <w:shd w:val="clear" w:color="auto" w:fill="FFFFFF"/>
              <w:spacing w:after="120" w:line="24" w:lineRule="atLeast"/>
              <w:jc w:val="both"/>
            </w:pPr>
            <w:r w:rsidRPr="004E7DC5">
              <w:t>Noteikumu projekta anotācijas  II sadaļas 1.punkts "Sabiedrības mērķgrupas, kuras tiesiskais regulējums ietekmē vai varētu ietekmēt"</w:t>
            </w:r>
            <w:r>
              <w:t xml:space="preserve"> precizēts un izteikts šādā redakcijā: </w:t>
            </w:r>
          </w:p>
          <w:p w14:paraId="78D0B91D" w14:textId="3B565F13" w:rsidR="0050486D" w:rsidRDefault="0050486D" w:rsidP="0050486D">
            <w:pPr>
              <w:shd w:val="clear" w:color="auto" w:fill="FFFFFF"/>
              <w:spacing w:after="120" w:line="24" w:lineRule="atLeast"/>
              <w:jc w:val="both"/>
            </w:pPr>
            <w:r>
              <w:rPr>
                <w:iCs/>
              </w:rPr>
              <w:t>“</w:t>
            </w:r>
            <w:r w:rsidRPr="0017091C">
              <w:rPr>
                <w:iCs/>
              </w:rPr>
              <w:t xml:space="preserve">Jūras </w:t>
            </w:r>
            <w:r w:rsidRPr="00510120">
              <w:rPr>
                <w:iCs/>
              </w:rPr>
              <w:t>plānojuma izstrādē un īstenošanā iesaistītās valsts institūcijas un citas organizācijas (Aizsardzības ministrija, Ārlietu ministrija, Dabas aizsardzības pārvalde, Ekonomikas ministrija, Finanšu ministrija, Iekšlietu ministrija, Izglītības un zinātnes ministrija, Kultūras ministrija, Labklājības ministrija, Satiksmes ministrija, Tieslietu ministrija, Veselības ministrija, Veselības inspekcija, Zemkopības ministrija, Pārresoru koordinācijas centrs, Rīgas plānošanas reģions, Kurzemes plānošanas reģions, Daugavpils Universitātes aģentūra Latvijas Hidroekoloģijas institūts, Latvijas Pašvaldību savienība, Latvijas Lielo pilsētu asociācija, Latvijas Brīvo arodbiedrību savienība, Pasaules Dabas Fonds, valsts akciju sabiedrība "Latvijas Jūras administrācija", akciju sabiedrība "Latvenergo", akciju sabiedrība "Augstsprieguma tīkls") piekrastes pašvaldības, privātpersonas un komersanti, kuru īpašums atrodas piekrastes teritorijā vai kuru darbība saistīta ar jūras izmantošanu, un netiešā veidā uz sabiedrību kopumā.”</w:t>
            </w:r>
          </w:p>
        </w:tc>
      </w:tr>
    </w:tbl>
    <w:p w14:paraId="357267E2" w14:textId="1BAE7BC5" w:rsidR="000E4698" w:rsidRPr="00475925" w:rsidRDefault="000E4698" w:rsidP="006B3149">
      <w:pPr>
        <w:pStyle w:val="naisf"/>
        <w:spacing w:before="0" w:after="0"/>
        <w:ind w:firstLine="0"/>
        <w:rPr>
          <w:b/>
          <w:color w:val="000000"/>
        </w:rPr>
      </w:pPr>
    </w:p>
    <w:p w14:paraId="723C42C2" w14:textId="77777777" w:rsidR="000E4698" w:rsidRDefault="000E4698" w:rsidP="00475925">
      <w:pPr>
        <w:pStyle w:val="naisf"/>
        <w:spacing w:before="0" w:after="0"/>
        <w:ind w:firstLine="0"/>
        <w:rPr>
          <w:color w:val="000000"/>
        </w:rPr>
      </w:pPr>
    </w:p>
    <w:p w14:paraId="3F1ABDE9" w14:textId="77777777" w:rsidR="00C846A3" w:rsidRPr="00475925" w:rsidRDefault="00C846A3" w:rsidP="00475925">
      <w:pPr>
        <w:pStyle w:val="naisf"/>
        <w:spacing w:before="0" w:after="0"/>
        <w:ind w:firstLine="0"/>
        <w:rPr>
          <w:color w:val="000000"/>
        </w:rPr>
      </w:pPr>
    </w:p>
    <w:p w14:paraId="4E87F8D0" w14:textId="7471524A" w:rsidR="000E4698" w:rsidRPr="00475925" w:rsidRDefault="000E4698" w:rsidP="00874B83">
      <w:pPr>
        <w:pStyle w:val="naisf"/>
        <w:spacing w:before="0" w:after="0"/>
        <w:rPr>
          <w:color w:val="000000"/>
        </w:rPr>
      </w:pPr>
      <w:r w:rsidRPr="00475925">
        <w:rPr>
          <w:color w:val="000000"/>
        </w:rPr>
        <w:t xml:space="preserve">Atbildīgā amatpersona </w:t>
      </w:r>
    </w:p>
    <w:p w14:paraId="4023680C" w14:textId="77777777" w:rsidR="00947F78" w:rsidRPr="00475925" w:rsidRDefault="00947F78" w:rsidP="0037085C">
      <w:pPr>
        <w:tabs>
          <w:tab w:val="left" w:pos="1725"/>
        </w:tabs>
        <w:jc w:val="both"/>
        <w:rPr>
          <w:color w:val="000000" w:themeColor="text1"/>
          <w:sz w:val="20"/>
          <w:szCs w:val="20"/>
        </w:rPr>
      </w:pPr>
    </w:p>
    <w:p w14:paraId="5970FE44" w14:textId="5B34DEC4" w:rsidR="0037085C" w:rsidRPr="00E838A8" w:rsidRDefault="00E838A8" w:rsidP="0037085C">
      <w:pPr>
        <w:tabs>
          <w:tab w:val="left" w:pos="1725"/>
        </w:tabs>
        <w:jc w:val="both"/>
        <w:rPr>
          <w:color w:val="000000" w:themeColor="text1"/>
          <w:szCs w:val="20"/>
        </w:rPr>
      </w:pPr>
      <w:r w:rsidRPr="00E838A8">
        <w:rPr>
          <w:color w:val="000000" w:themeColor="text1"/>
          <w:szCs w:val="20"/>
        </w:rPr>
        <w:t xml:space="preserve">Mārtiņš </w:t>
      </w:r>
      <w:r w:rsidR="00C30374" w:rsidRPr="00E838A8">
        <w:rPr>
          <w:color w:val="000000" w:themeColor="text1"/>
          <w:szCs w:val="20"/>
        </w:rPr>
        <w:t>Grels</w:t>
      </w:r>
      <w:r w:rsidR="005E624E" w:rsidRPr="00E838A8">
        <w:rPr>
          <w:color w:val="000000" w:themeColor="text1"/>
          <w:szCs w:val="20"/>
        </w:rPr>
        <w:t xml:space="preserve"> </w:t>
      </w:r>
    </w:p>
    <w:p w14:paraId="1652FA9E" w14:textId="3E60589A" w:rsidR="00E838A8" w:rsidRPr="00E838A8" w:rsidRDefault="00E838A8" w:rsidP="00E838A8">
      <w:pPr>
        <w:tabs>
          <w:tab w:val="left" w:pos="1725"/>
        </w:tabs>
        <w:jc w:val="both"/>
        <w:rPr>
          <w:color w:val="000000" w:themeColor="text1"/>
          <w:szCs w:val="20"/>
        </w:rPr>
      </w:pPr>
      <w:r w:rsidRPr="00E838A8">
        <w:rPr>
          <w:color w:val="000000" w:themeColor="text1"/>
          <w:szCs w:val="20"/>
        </w:rPr>
        <w:t xml:space="preserve">Telpiskās plānošanas departamenta Telpiskās plānošanas politikas nodaļas </w:t>
      </w:r>
      <w:r>
        <w:rPr>
          <w:color w:val="000000" w:themeColor="text1"/>
          <w:szCs w:val="20"/>
        </w:rPr>
        <w:t>v</w:t>
      </w:r>
      <w:r w:rsidRPr="00E838A8">
        <w:rPr>
          <w:color w:val="000000" w:themeColor="text1"/>
          <w:szCs w:val="20"/>
        </w:rPr>
        <w:t>ecākais eksperts</w:t>
      </w:r>
    </w:p>
    <w:p w14:paraId="110B9093" w14:textId="4571D4B3" w:rsidR="00854F75" w:rsidRPr="00E838A8" w:rsidRDefault="00E838A8" w:rsidP="00E838A8">
      <w:pPr>
        <w:tabs>
          <w:tab w:val="left" w:pos="1725"/>
        </w:tabs>
        <w:jc w:val="both"/>
        <w:rPr>
          <w:sz w:val="32"/>
        </w:rPr>
      </w:pPr>
      <w:r w:rsidRPr="00E838A8">
        <w:rPr>
          <w:color w:val="000000" w:themeColor="text1"/>
          <w:szCs w:val="20"/>
        </w:rPr>
        <w:t xml:space="preserve">Tālr. </w:t>
      </w:r>
      <w:r w:rsidR="00C30374" w:rsidRPr="00E838A8">
        <w:rPr>
          <w:color w:val="000000" w:themeColor="text1"/>
          <w:szCs w:val="20"/>
        </w:rPr>
        <w:t>66016733</w:t>
      </w:r>
      <w:r>
        <w:rPr>
          <w:color w:val="000000" w:themeColor="text1"/>
          <w:szCs w:val="20"/>
        </w:rPr>
        <w:t xml:space="preserve">, e-pasts: </w:t>
      </w:r>
      <w:hyperlink r:id="rId8" w:history="1">
        <w:r w:rsidR="00C30374" w:rsidRPr="00E838A8">
          <w:rPr>
            <w:rStyle w:val="Hyperlink"/>
            <w:rFonts w:eastAsiaTheme="majorEastAsia"/>
            <w:color w:val="auto"/>
            <w:szCs w:val="20"/>
          </w:rPr>
          <w:t>martins.grels@varam.gov.lv</w:t>
        </w:r>
      </w:hyperlink>
    </w:p>
    <w:p w14:paraId="30C73829" w14:textId="082F9A4D" w:rsidR="00AF23FD" w:rsidRPr="00854F75" w:rsidRDefault="00AF23FD" w:rsidP="00854F75"/>
    <w:sectPr w:rsidR="00AF23FD" w:rsidRPr="00854F75" w:rsidSect="00BD17EB">
      <w:headerReference w:type="default" r:id="rId9"/>
      <w:footerReference w:type="default" r:id="rId10"/>
      <w:footerReference w:type="first" r:id="rId11"/>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001B" w14:textId="77777777" w:rsidR="00A31581" w:rsidRDefault="00A31581" w:rsidP="000E4698">
      <w:r>
        <w:separator/>
      </w:r>
    </w:p>
  </w:endnote>
  <w:endnote w:type="continuationSeparator" w:id="0">
    <w:p w14:paraId="69D80A4A" w14:textId="77777777" w:rsidR="00A31581" w:rsidRDefault="00A31581" w:rsidP="000E4698">
      <w:r>
        <w:continuationSeparator/>
      </w:r>
    </w:p>
  </w:endnote>
  <w:endnote w:type="continuationNotice" w:id="1">
    <w:p w14:paraId="38708411" w14:textId="77777777" w:rsidR="003619B9" w:rsidRDefault="00361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E19D" w14:textId="13818829" w:rsidR="00A31581" w:rsidRPr="00EB09A5" w:rsidRDefault="00A31581" w:rsidP="00EB09A5">
    <w:pPr>
      <w:pStyle w:val="Footer"/>
      <w:rPr>
        <w:sz w:val="20"/>
        <w:szCs w:val="20"/>
      </w:rPr>
    </w:pPr>
    <w:r>
      <w:rPr>
        <w:sz w:val="20"/>
        <w:szCs w:val="20"/>
      </w:rPr>
      <w:t>VARAMIzzina_Juras_plan.474_170720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D26" w14:textId="1E5AC78B" w:rsidR="00A31581" w:rsidRPr="00D83032" w:rsidRDefault="00A31581">
    <w:pPr>
      <w:pStyle w:val="Footer"/>
      <w:rPr>
        <w:sz w:val="20"/>
        <w:szCs w:val="20"/>
      </w:rPr>
    </w:pPr>
    <w:r>
      <w:rPr>
        <w:sz w:val="20"/>
        <w:szCs w:val="20"/>
      </w:rPr>
      <w:t>VARAMIzzina_Juras_plan.474_170720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4E586" w14:textId="77777777" w:rsidR="00A31581" w:rsidRDefault="00A31581" w:rsidP="000E4698">
      <w:r>
        <w:separator/>
      </w:r>
    </w:p>
  </w:footnote>
  <w:footnote w:type="continuationSeparator" w:id="0">
    <w:p w14:paraId="722415BD" w14:textId="77777777" w:rsidR="00A31581" w:rsidRDefault="00A31581" w:rsidP="000E4698">
      <w:r>
        <w:continuationSeparator/>
      </w:r>
    </w:p>
  </w:footnote>
  <w:footnote w:type="continuationNotice" w:id="1">
    <w:p w14:paraId="4D12C492" w14:textId="77777777" w:rsidR="003619B9" w:rsidRDefault="003619B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135098"/>
      <w:docPartObj>
        <w:docPartGallery w:val="Page Numbers (Top of Page)"/>
        <w:docPartUnique/>
      </w:docPartObj>
    </w:sdtPr>
    <w:sdtEndPr>
      <w:rPr>
        <w:noProof/>
      </w:rPr>
    </w:sdtEndPr>
    <w:sdtContent>
      <w:p w14:paraId="7522606C" w14:textId="7DA3730B" w:rsidR="00A31581" w:rsidRDefault="00A31581" w:rsidP="001E08AC">
        <w:pPr>
          <w:pStyle w:val="Header"/>
          <w:jc w:val="center"/>
        </w:pPr>
        <w:r>
          <w:fldChar w:fldCharType="begin"/>
        </w:r>
        <w:r>
          <w:instrText xml:space="preserve"> PAGE   \* MERGEFORMAT </w:instrText>
        </w:r>
        <w:r>
          <w:fldChar w:fldCharType="separate"/>
        </w:r>
        <w:r w:rsidR="00B561AA">
          <w:rPr>
            <w:noProof/>
          </w:rPr>
          <w:t>4</w:t>
        </w:r>
        <w:r>
          <w:rPr>
            <w:noProof/>
          </w:rPr>
          <w:fldChar w:fldCharType="end"/>
        </w:r>
      </w:p>
    </w:sdtContent>
  </w:sdt>
  <w:p w14:paraId="42DA0F36" w14:textId="77777777" w:rsidR="00A31581" w:rsidRPr="00D83032" w:rsidRDefault="00A31581">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7B"/>
    <w:multiLevelType w:val="hybridMultilevel"/>
    <w:tmpl w:val="46FC9B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67713"/>
    <w:multiLevelType w:val="hybridMultilevel"/>
    <w:tmpl w:val="FA94A95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E16433"/>
    <w:multiLevelType w:val="hybridMultilevel"/>
    <w:tmpl w:val="40A8E5FC"/>
    <w:lvl w:ilvl="0" w:tplc="B85E794E">
      <w:start w:val="1"/>
      <w:numFmt w:val="bullet"/>
      <w:lvlText w:val=""/>
      <w:lvlJc w:val="left"/>
      <w:pPr>
        <w:ind w:left="1080" w:hanging="360"/>
      </w:pPr>
      <w:rPr>
        <w:rFonts w:ascii="Symbol" w:hAnsi="Symbol" w:hint="default"/>
      </w:rPr>
    </w:lvl>
    <w:lvl w:ilvl="1" w:tplc="48D69F16" w:tentative="1">
      <w:start w:val="1"/>
      <w:numFmt w:val="bullet"/>
      <w:lvlText w:val="o"/>
      <w:lvlJc w:val="left"/>
      <w:pPr>
        <w:ind w:left="1800" w:hanging="360"/>
      </w:pPr>
      <w:rPr>
        <w:rFonts w:ascii="Courier New" w:hAnsi="Courier New" w:cs="Courier New" w:hint="default"/>
      </w:rPr>
    </w:lvl>
    <w:lvl w:ilvl="2" w:tplc="8D06A3FE" w:tentative="1">
      <w:start w:val="1"/>
      <w:numFmt w:val="bullet"/>
      <w:lvlText w:val=""/>
      <w:lvlJc w:val="left"/>
      <w:pPr>
        <w:ind w:left="2520" w:hanging="360"/>
      </w:pPr>
      <w:rPr>
        <w:rFonts w:ascii="Wingdings" w:hAnsi="Wingdings" w:hint="default"/>
      </w:rPr>
    </w:lvl>
    <w:lvl w:ilvl="3" w:tplc="BED47CD2" w:tentative="1">
      <w:start w:val="1"/>
      <w:numFmt w:val="bullet"/>
      <w:lvlText w:val=""/>
      <w:lvlJc w:val="left"/>
      <w:pPr>
        <w:ind w:left="3240" w:hanging="360"/>
      </w:pPr>
      <w:rPr>
        <w:rFonts w:ascii="Symbol" w:hAnsi="Symbol" w:hint="default"/>
      </w:rPr>
    </w:lvl>
    <w:lvl w:ilvl="4" w:tplc="28F6B59A" w:tentative="1">
      <w:start w:val="1"/>
      <w:numFmt w:val="bullet"/>
      <w:lvlText w:val="o"/>
      <w:lvlJc w:val="left"/>
      <w:pPr>
        <w:ind w:left="3960" w:hanging="360"/>
      </w:pPr>
      <w:rPr>
        <w:rFonts w:ascii="Courier New" w:hAnsi="Courier New" w:cs="Courier New" w:hint="default"/>
      </w:rPr>
    </w:lvl>
    <w:lvl w:ilvl="5" w:tplc="45986BA2" w:tentative="1">
      <w:start w:val="1"/>
      <w:numFmt w:val="bullet"/>
      <w:lvlText w:val=""/>
      <w:lvlJc w:val="left"/>
      <w:pPr>
        <w:ind w:left="4680" w:hanging="360"/>
      </w:pPr>
      <w:rPr>
        <w:rFonts w:ascii="Wingdings" w:hAnsi="Wingdings" w:hint="default"/>
      </w:rPr>
    </w:lvl>
    <w:lvl w:ilvl="6" w:tplc="C7B8629E" w:tentative="1">
      <w:start w:val="1"/>
      <w:numFmt w:val="bullet"/>
      <w:lvlText w:val=""/>
      <w:lvlJc w:val="left"/>
      <w:pPr>
        <w:ind w:left="5400" w:hanging="360"/>
      </w:pPr>
      <w:rPr>
        <w:rFonts w:ascii="Symbol" w:hAnsi="Symbol" w:hint="default"/>
      </w:rPr>
    </w:lvl>
    <w:lvl w:ilvl="7" w:tplc="B43E566E" w:tentative="1">
      <w:start w:val="1"/>
      <w:numFmt w:val="bullet"/>
      <w:lvlText w:val="o"/>
      <w:lvlJc w:val="left"/>
      <w:pPr>
        <w:ind w:left="6120" w:hanging="360"/>
      </w:pPr>
      <w:rPr>
        <w:rFonts w:ascii="Courier New" w:hAnsi="Courier New" w:cs="Courier New" w:hint="default"/>
      </w:rPr>
    </w:lvl>
    <w:lvl w:ilvl="8" w:tplc="3D0C72FA" w:tentative="1">
      <w:start w:val="1"/>
      <w:numFmt w:val="bullet"/>
      <w:lvlText w:val=""/>
      <w:lvlJc w:val="left"/>
      <w:pPr>
        <w:ind w:left="6840" w:hanging="360"/>
      </w:pPr>
      <w:rPr>
        <w:rFonts w:ascii="Wingdings" w:hAnsi="Wingdings" w:hint="default"/>
      </w:rPr>
    </w:lvl>
  </w:abstractNum>
  <w:abstractNum w:abstractNumId="3" w15:restartNumberingAfterBreak="0">
    <w:nsid w:val="0B7E2379"/>
    <w:multiLevelType w:val="hybridMultilevel"/>
    <w:tmpl w:val="2A42B3EE"/>
    <w:lvl w:ilvl="0" w:tplc="567C4670">
      <w:start w:val="1"/>
      <w:numFmt w:val="bullet"/>
      <w:lvlText w:val=""/>
      <w:lvlJc w:val="left"/>
      <w:pPr>
        <w:ind w:left="1571" w:hanging="360"/>
      </w:pPr>
      <w:rPr>
        <w:rFonts w:ascii="Symbol" w:hAnsi="Symbol" w:hint="default"/>
      </w:rPr>
    </w:lvl>
    <w:lvl w:ilvl="1" w:tplc="B830A7C0" w:tentative="1">
      <w:start w:val="1"/>
      <w:numFmt w:val="bullet"/>
      <w:lvlText w:val="o"/>
      <w:lvlJc w:val="left"/>
      <w:pPr>
        <w:ind w:left="2291" w:hanging="360"/>
      </w:pPr>
      <w:rPr>
        <w:rFonts w:ascii="Courier New" w:hAnsi="Courier New" w:cs="Courier New" w:hint="default"/>
      </w:rPr>
    </w:lvl>
    <w:lvl w:ilvl="2" w:tplc="DB9C7272" w:tentative="1">
      <w:start w:val="1"/>
      <w:numFmt w:val="bullet"/>
      <w:lvlText w:val=""/>
      <w:lvlJc w:val="left"/>
      <w:pPr>
        <w:ind w:left="3011" w:hanging="360"/>
      </w:pPr>
      <w:rPr>
        <w:rFonts w:ascii="Wingdings" w:hAnsi="Wingdings" w:hint="default"/>
      </w:rPr>
    </w:lvl>
    <w:lvl w:ilvl="3" w:tplc="019875D0" w:tentative="1">
      <w:start w:val="1"/>
      <w:numFmt w:val="bullet"/>
      <w:lvlText w:val=""/>
      <w:lvlJc w:val="left"/>
      <w:pPr>
        <w:ind w:left="3731" w:hanging="360"/>
      </w:pPr>
      <w:rPr>
        <w:rFonts w:ascii="Symbol" w:hAnsi="Symbol" w:hint="default"/>
      </w:rPr>
    </w:lvl>
    <w:lvl w:ilvl="4" w:tplc="1C5A11A0" w:tentative="1">
      <w:start w:val="1"/>
      <w:numFmt w:val="bullet"/>
      <w:lvlText w:val="o"/>
      <w:lvlJc w:val="left"/>
      <w:pPr>
        <w:ind w:left="4451" w:hanging="360"/>
      </w:pPr>
      <w:rPr>
        <w:rFonts w:ascii="Courier New" w:hAnsi="Courier New" w:cs="Courier New" w:hint="default"/>
      </w:rPr>
    </w:lvl>
    <w:lvl w:ilvl="5" w:tplc="AB126A4E" w:tentative="1">
      <w:start w:val="1"/>
      <w:numFmt w:val="bullet"/>
      <w:lvlText w:val=""/>
      <w:lvlJc w:val="left"/>
      <w:pPr>
        <w:ind w:left="5171" w:hanging="360"/>
      </w:pPr>
      <w:rPr>
        <w:rFonts w:ascii="Wingdings" w:hAnsi="Wingdings" w:hint="default"/>
      </w:rPr>
    </w:lvl>
    <w:lvl w:ilvl="6" w:tplc="B164C2B2" w:tentative="1">
      <w:start w:val="1"/>
      <w:numFmt w:val="bullet"/>
      <w:lvlText w:val=""/>
      <w:lvlJc w:val="left"/>
      <w:pPr>
        <w:ind w:left="5891" w:hanging="360"/>
      </w:pPr>
      <w:rPr>
        <w:rFonts w:ascii="Symbol" w:hAnsi="Symbol" w:hint="default"/>
      </w:rPr>
    </w:lvl>
    <w:lvl w:ilvl="7" w:tplc="A04C2EA0" w:tentative="1">
      <w:start w:val="1"/>
      <w:numFmt w:val="bullet"/>
      <w:lvlText w:val="o"/>
      <w:lvlJc w:val="left"/>
      <w:pPr>
        <w:ind w:left="6611" w:hanging="360"/>
      </w:pPr>
      <w:rPr>
        <w:rFonts w:ascii="Courier New" w:hAnsi="Courier New" w:cs="Courier New" w:hint="default"/>
      </w:rPr>
    </w:lvl>
    <w:lvl w:ilvl="8" w:tplc="01684DD2" w:tentative="1">
      <w:start w:val="1"/>
      <w:numFmt w:val="bullet"/>
      <w:lvlText w:val=""/>
      <w:lvlJc w:val="left"/>
      <w:pPr>
        <w:ind w:left="7331" w:hanging="360"/>
      </w:pPr>
      <w:rPr>
        <w:rFonts w:ascii="Wingdings" w:hAnsi="Wingdings" w:hint="default"/>
      </w:rPr>
    </w:lvl>
  </w:abstractNum>
  <w:abstractNum w:abstractNumId="4" w15:restartNumberingAfterBreak="0">
    <w:nsid w:val="0C1E108B"/>
    <w:multiLevelType w:val="hybridMultilevel"/>
    <w:tmpl w:val="77567B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11F0E3D"/>
    <w:multiLevelType w:val="hybridMultilevel"/>
    <w:tmpl w:val="509A759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72450"/>
    <w:multiLevelType w:val="multilevel"/>
    <w:tmpl w:val="8E30570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A301CE"/>
    <w:multiLevelType w:val="multilevel"/>
    <w:tmpl w:val="038A0DC2"/>
    <w:lvl w:ilvl="0">
      <w:start w:val="5"/>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sz w:val="24"/>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1">
    <w:nsid w:val="13BA7981"/>
    <w:multiLevelType w:val="hybridMultilevel"/>
    <w:tmpl w:val="6F6AD88E"/>
    <w:lvl w:ilvl="0" w:tplc="FFFFFFFF">
      <w:start w:val="1"/>
      <w:numFmt w:val="decimal"/>
      <w:lvlText w:val="%1."/>
      <w:lvlJc w:val="left"/>
      <w:pPr>
        <w:ind w:left="1211" w:hanging="360"/>
      </w:pPr>
      <w:rPr>
        <w:rFonts w:ascii="Times New Roman" w:eastAsia="Calibri" w:hAnsi="Times New Roman" w:cs="Times New Roman"/>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15E4797B"/>
    <w:multiLevelType w:val="hybridMultilevel"/>
    <w:tmpl w:val="9B2A0FB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FE4C2B"/>
    <w:multiLevelType w:val="hybridMultilevel"/>
    <w:tmpl w:val="5A306044"/>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9F7341"/>
    <w:multiLevelType w:val="hybridMultilevel"/>
    <w:tmpl w:val="9EB656F4"/>
    <w:lvl w:ilvl="0" w:tplc="5E3C8BF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E2E7261"/>
    <w:multiLevelType w:val="hybridMultilevel"/>
    <w:tmpl w:val="8CA87EAE"/>
    <w:lvl w:ilvl="0" w:tplc="C5BA1E7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320227"/>
    <w:multiLevelType w:val="hybridMultilevel"/>
    <w:tmpl w:val="5ED0C2F4"/>
    <w:lvl w:ilvl="0" w:tplc="1CDA1696">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4B51A3"/>
    <w:multiLevelType w:val="multilevel"/>
    <w:tmpl w:val="C97E7336"/>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25C8242A"/>
    <w:multiLevelType w:val="hybridMultilevel"/>
    <w:tmpl w:val="733AE6F8"/>
    <w:lvl w:ilvl="0" w:tplc="7BFCF0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4A33B5"/>
    <w:multiLevelType w:val="multilevel"/>
    <w:tmpl w:val="BF3CF4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D57CDD"/>
    <w:multiLevelType w:val="hybridMultilevel"/>
    <w:tmpl w:val="47307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E67CA7"/>
    <w:multiLevelType w:val="hybridMultilevel"/>
    <w:tmpl w:val="ABA4546E"/>
    <w:lvl w:ilvl="0" w:tplc="1CDA169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DC3705"/>
    <w:multiLevelType w:val="hybridMultilevel"/>
    <w:tmpl w:val="6C74FACA"/>
    <w:lvl w:ilvl="0" w:tplc="A8D0C45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6009C4"/>
    <w:multiLevelType w:val="multilevel"/>
    <w:tmpl w:val="A9C2E2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AB7CB0"/>
    <w:multiLevelType w:val="multilevel"/>
    <w:tmpl w:val="96BAD7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2A7C55"/>
    <w:multiLevelType w:val="hybridMultilevel"/>
    <w:tmpl w:val="44747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B631D0"/>
    <w:multiLevelType w:val="hybridMultilevel"/>
    <w:tmpl w:val="6C42C27E"/>
    <w:lvl w:ilvl="0" w:tplc="4C9461B2">
      <w:start w:val="4"/>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7F6D57"/>
    <w:multiLevelType w:val="hybridMultilevel"/>
    <w:tmpl w:val="9A203808"/>
    <w:lvl w:ilvl="0" w:tplc="0426000F">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683020"/>
    <w:multiLevelType w:val="hybridMultilevel"/>
    <w:tmpl w:val="D0C0F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8B66296"/>
    <w:multiLevelType w:val="hybridMultilevel"/>
    <w:tmpl w:val="2174B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D440C14"/>
    <w:multiLevelType w:val="hybridMultilevel"/>
    <w:tmpl w:val="2BD288B8"/>
    <w:lvl w:ilvl="0" w:tplc="1CDA1696">
      <w:start w:val="1"/>
      <w:numFmt w:val="bullet"/>
      <w:lvlText w:val="•"/>
      <w:lvlJc w:val="left"/>
      <w:pPr>
        <w:ind w:left="720" w:hanging="360"/>
      </w:pPr>
      <w:rPr>
        <w:rFonts w:ascii="Arial" w:hAnsi="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F067AA3"/>
    <w:multiLevelType w:val="hybridMultilevel"/>
    <w:tmpl w:val="85C66FA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D2179C"/>
    <w:multiLevelType w:val="multilevel"/>
    <w:tmpl w:val="C30C5BDA"/>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E9F6A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B830F4"/>
    <w:multiLevelType w:val="hybridMultilevel"/>
    <w:tmpl w:val="EB467B58"/>
    <w:lvl w:ilvl="0" w:tplc="43EC0D0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094C5C"/>
    <w:multiLevelType w:val="hybridMultilevel"/>
    <w:tmpl w:val="BDACE222"/>
    <w:lvl w:ilvl="0" w:tplc="CFEC3F64">
      <w:start w:val="1"/>
      <w:numFmt w:val="decimal"/>
      <w:lvlText w:val="%1."/>
      <w:lvlJc w:val="left"/>
      <w:pPr>
        <w:ind w:left="786" w:hanging="360"/>
      </w:pPr>
      <w:rPr>
        <w:rFonts w:hint="default"/>
        <w:b w:val="0"/>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4" w15:restartNumberingAfterBreak="0">
    <w:nsid w:val="51405A18"/>
    <w:multiLevelType w:val="hybridMultilevel"/>
    <w:tmpl w:val="479A683E"/>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4F03171"/>
    <w:multiLevelType w:val="multilevel"/>
    <w:tmpl w:val="F55461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AC2CB3"/>
    <w:multiLevelType w:val="hybridMultilevel"/>
    <w:tmpl w:val="EEFAB3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64946CF"/>
    <w:multiLevelType w:val="hybridMultilevel"/>
    <w:tmpl w:val="6F14AAD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D33277"/>
    <w:multiLevelType w:val="hybridMultilevel"/>
    <w:tmpl w:val="ACAA9EC0"/>
    <w:lvl w:ilvl="0" w:tplc="ABF8F8A8">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F55008"/>
    <w:multiLevelType w:val="multilevel"/>
    <w:tmpl w:val="3E049EAA"/>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40" w15:restartNumberingAfterBreak="0">
    <w:nsid w:val="6F310287"/>
    <w:multiLevelType w:val="hybridMultilevel"/>
    <w:tmpl w:val="00EE09AA"/>
    <w:lvl w:ilvl="0" w:tplc="05DC33E0">
      <w:start w:val="1"/>
      <w:numFmt w:val="decimal"/>
      <w:lvlText w:val="%1)"/>
      <w:lvlJc w:val="left"/>
      <w:pPr>
        <w:ind w:left="360" w:hanging="360"/>
      </w:pPr>
      <w:rPr>
        <w:rFonts w:ascii="Times New Roman" w:eastAsia="Calibr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3205F81"/>
    <w:multiLevelType w:val="hybridMultilevel"/>
    <w:tmpl w:val="371C924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35C5E0C"/>
    <w:multiLevelType w:val="hybridMultilevel"/>
    <w:tmpl w:val="54886540"/>
    <w:lvl w:ilvl="0" w:tplc="042C787A">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3" w15:restartNumberingAfterBreak="0">
    <w:nsid w:val="781052EC"/>
    <w:multiLevelType w:val="hybridMultilevel"/>
    <w:tmpl w:val="B0A673C2"/>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9F34A6"/>
    <w:multiLevelType w:val="multilevel"/>
    <w:tmpl w:val="1B26DC5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5" w15:restartNumberingAfterBreak="0">
    <w:nsid w:val="7F2043EB"/>
    <w:multiLevelType w:val="hybridMultilevel"/>
    <w:tmpl w:val="ACAA9EC0"/>
    <w:lvl w:ilvl="0" w:tplc="ABF8F8A8">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6"/>
  </w:num>
  <w:num w:numId="3">
    <w:abstractNumId w:val="14"/>
  </w:num>
  <w:num w:numId="4">
    <w:abstractNumId w:val="42"/>
  </w:num>
  <w:num w:numId="5">
    <w:abstractNumId w:val="7"/>
  </w:num>
  <w:num w:numId="6">
    <w:abstractNumId w:val="12"/>
  </w:num>
  <w:num w:numId="7">
    <w:abstractNumId w:val="37"/>
  </w:num>
  <w:num w:numId="8">
    <w:abstractNumId w:val="15"/>
  </w:num>
  <w:num w:numId="9">
    <w:abstractNumId w:val="32"/>
  </w:num>
  <w:num w:numId="10">
    <w:abstractNumId w:val="3"/>
  </w:num>
  <w:num w:numId="11">
    <w:abstractNumId w:val="10"/>
  </w:num>
  <w:num w:numId="12">
    <w:abstractNumId w:val="43"/>
  </w:num>
  <w:num w:numId="13">
    <w:abstractNumId w:val="2"/>
  </w:num>
  <w:num w:numId="14">
    <w:abstractNumId w:val="0"/>
  </w:num>
  <w:num w:numId="15">
    <w:abstractNumId w:val="5"/>
  </w:num>
  <w:num w:numId="16">
    <w:abstractNumId w:val="35"/>
  </w:num>
  <w:num w:numId="17">
    <w:abstractNumId w:val="16"/>
  </w:num>
  <w:num w:numId="18">
    <w:abstractNumId w:val="39"/>
  </w:num>
  <w:num w:numId="19">
    <w:abstractNumId w:val="20"/>
  </w:num>
  <w:num w:numId="20">
    <w:abstractNumId w:val="24"/>
  </w:num>
  <w:num w:numId="21">
    <w:abstractNumId w:val="23"/>
  </w:num>
  <w:num w:numId="22">
    <w:abstractNumId w:val="17"/>
  </w:num>
  <w:num w:numId="23">
    <w:abstractNumId w:val="21"/>
  </w:num>
  <w:num w:numId="24">
    <w:abstractNumId w:val="34"/>
  </w:num>
  <w:num w:numId="25">
    <w:abstractNumId w:val="25"/>
  </w:num>
  <w:num w:numId="26">
    <w:abstractNumId w:val="44"/>
  </w:num>
  <w:num w:numId="27">
    <w:abstractNumId w:val="41"/>
  </w:num>
  <w:num w:numId="28">
    <w:abstractNumId w:val="9"/>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6"/>
  </w:num>
  <w:num w:numId="34">
    <w:abstractNumId w:val="22"/>
  </w:num>
  <w:num w:numId="35">
    <w:abstractNumId w:val="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3"/>
  </w:num>
  <w:num w:numId="39">
    <w:abstractNumId w:val="4"/>
  </w:num>
  <w:num w:numId="40">
    <w:abstractNumId w:val="28"/>
  </w:num>
  <w:num w:numId="41">
    <w:abstractNumId w:val="13"/>
  </w:num>
  <w:num w:numId="42">
    <w:abstractNumId w:val="27"/>
  </w:num>
  <w:num w:numId="43">
    <w:abstractNumId w:val="19"/>
  </w:num>
  <w:num w:numId="44">
    <w:abstractNumId w:val="31"/>
  </w:num>
  <w:num w:numId="45">
    <w:abstractNumId w:val="1"/>
  </w:num>
  <w:num w:numId="46">
    <w:abstractNumId w:val="45"/>
  </w:num>
  <w:num w:numId="47">
    <w:abstractNumId w:val="38"/>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8"/>
    <w:rsid w:val="00002DD7"/>
    <w:rsid w:val="00003AEF"/>
    <w:rsid w:val="0000507E"/>
    <w:rsid w:val="0000613A"/>
    <w:rsid w:val="00010726"/>
    <w:rsid w:val="000138C9"/>
    <w:rsid w:val="00013AC6"/>
    <w:rsid w:val="00014D4F"/>
    <w:rsid w:val="00017504"/>
    <w:rsid w:val="000178F8"/>
    <w:rsid w:val="00017F57"/>
    <w:rsid w:val="00027C21"/>
    <w:rsid w:val="00031A5A"/>
    <w:rsid w:val="000366D0"/>
    <w:rsid w:val="000368A7"/>
    <w:rsid w:val="00036F7C"/>
    <w:rsid w:val="00040350"/>
    <w:rsid w:val="00046C75"/>
    <w:rsid w:val="00051836"/>
    <w:rsid w:val="000571F2"/>
    <w:rsid w:val="000608CD"/>
    <w:rsid w:val="00062E3C"/>
    <w:rsid w:val="00063F79"/>
    <w:rsid w:val="000655BB"/>
    <w:rsid w:val="000661B6"/>
    <w:rsid w:val="00084B33"/>
    <w:rsid w:val="00086132"/>
    <w:rsid w:val="00087D88"/>
    <w:rsid w:val="0009238C"/>
    <w:rsid w:val="00092C43"/>
    <w:rsid w:val="000961FB"/>
    <w:rsid w:val="000A38B2"/>
    <w:rsid w:val="000A5403"/>
    <w:rsid w:val="000B0122"/>
    <w:rsid w:val="000B0273"/>
    <w:rsid w:val="000B19ED"/>
    <w:rsid w:val="000B2A07"/>
    <w:rsid w:val="000B71E9"/>
    <w:rsid w:val="000B750B"/>
    <w:rsid w:val="000B7926"/>
    <w:rsid w:val="000C4C95"/>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115"/>
    <w:rsid w:val="00121FE5"/>
    <w:rsid w:val="00122397"/>
    <w:rsid w:val="00124CC6"/>
    <w:rsid w:val="00124E24"/>
    <w:rsid w:val="001275FA"/>
    <w:rsid w:val="00132878"/>
    <w:rsid w:val="00134DB0"/>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3B4D"/>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276D9"/>
    <w:rsid w:val="002348B1"/>
    <w:rsid w:val="00235D70"/>
    <w:rsid w:val="0023639D"/>
    <w:rsid w:val="00241A5F"/>
    <w:rsid w:val="00243109"/>
    <w:rsid w:val="002457E3"/>
    <w:rsid w:val="002461C5"/>
    <w:rsid w:val="00253045"/>
    <w:rsid w:val="00254A5D"/>
    <w:rsid w:val="002568A6"/>
    <w:rsid w:val="00261C7D"/>
    <w:rsid w:val="002626F9"/>
    <w:rsid w:val="00266469"/>
    <w:rsid w:val="00266B6C"/>
    <w:rsid w:val="002717FB"/>
    <w:rsid w:val="0027238C"/>
    <w:rsid w:val="002730CB"/>
    <w:rsid w:val="00274EA9"/>
    <w:rsid w:val="00277EF8"/>
    <w:rsid w:val="00292E4E"/>
    <w:rsid w:val="00297817"/>
    <w:rsid w:val="002A167B"/>
    <w:rsid w:val="002A179E"/>
    <w:rsid w:val="002A2B9A"/>
    <w:rsid w:val="002B061A"/>
    <w:rsid w:val="002B4EAA"/>
    <w:rsid w:val="002B5C96"/>
    <w:rsid w:val="002C3EDD"/>
    <w:rsid w:val="002C59BA"/>
    <w:rsid w:val="002C5FED"/>
    <w:rsid w:val="002D0493"/>
    <w:rsid w:val="002E0F8D"/>
    <w:rsid w:val="002E3C21"/>
    <w:rsid w:val="002E72A4"/>
    <w:rsid w:val="002F1216"/>
    <w:rsid w:val="002F3E95"/>
    <w:rsid w:val="002F61BD"/>
    <w:rsid w:val="003011BD"/>
    <w:rsid w:val="003022B7"/>
    <w:rsid w:val="00302A7A"/>
    <w:rsid w:val="00302E31"/>
    <w:rsid w:val="00305A0D"/>
    <w:rsid w:val="00312855"/>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A57"/>
    <w:rsid w:val="00356D4B"/>
    <w:rsid w:val="003619B9"/>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06E9"/>
    <w:rsid w:val="00392BA4"/>
    <w:rsid w:val="003A0086"/>
    <w:rsid w:val="003A1536"/>
    <w:rsid w:val="003A276B"/>
    <w:rsid w:val="003A37E4"/>
    <w:rsid w:val="003B4053"/>
    <w:rsid w:val="003C0BEE"/>
    <w:rsid w:val="003C3B2A"/>
    <w:rsid w:val="003C566E"/>
    <w:rsid w:val="003C655B"/>
    <w:rsid w:val="003C7A78"/>
    <w:rsid w:val="003D3FFC"/>
    <w:rsid w:val="003D5610"/>
    <w:rsid w:val="003D7124"/>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3984"/>
    <w:rsid w:val="004B50C1"/>
    <w:rsid w:val="004B5CC8"/>
    <w:rsid w:val="004B768E"/>
    <w:rsid w:val="004C26ED"/>
    <w:rsid w:val="004C2CE3"/>
    <w:rsid w:val="004C7A8F"/>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486D"/>
    <w:rsid w:val="005055F5"/>
    <w:rsid w:val="00505783"/>
    <w:rsid w:val="0050627F"/>
    <w:rsid w:val="0050641E"/>
    <w:rsid w:val="00510120"/>
    <w:rsid w:val="005127C9"/>
    <w:rsid w:val="0051419D"/>
    <w:rsid w:val="005166F2"/>
    <w:rsid w:val="00517803"/>
    <w:rsid w:val="005236BE"/>
    <w:rsid w:val="00525DE6"/>
    <w:rsid w:val="0052670C"/>
    <w:rsid w:val="005319DE"/>
    <w:rsid w:val="00532981"/>
    <w:rsid w:val="00534F8E"/>
    <w:rsid w:val="0053564B"/>
    <w:rsid w:val="00541532"/>
    <w:rsid w:val="00542C8B"/>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19F1"/>
    <w:rsid w:val="00583D68"/>
    <w:rsid w:val="0058560A"/>
    <w:rsid w:val="00587851"/>
    <w:rsid w:val="00590DC1"/>
    <w:rsid w:val="005948E9"/>
    <w:rsid w:val="00595707"/>
    <w:rsid w:val="005A4436"/>
    <w:rsid w:val="005A4D45"/>
    <w:rsid w:val="005A6DB3"/>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31165"/>
    <w:rsid w:val="00632837"/>
    <w:rsid w:val="00632BCF"/>
    <w:rsid w:val="00641D8D"/>
    <w:rsid w:val="006432B4"/>
    <w:rsid w:val="006440F1"/>
    <w:rsid w:val="00644E22"/>
    <w:rsid w:val="00645692"/>
    <w:rsid w:val="00646210"/>
    <w:rsid w:val="006505AF"/>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704284"/>
    <w:rsid w:val="00707B2A"/>
    <w:rsid w:val="00710C4E"/>
    <w:rsid w:val="00711799"/>
    <w:rsid w:val="00712828"/>
    <w:rsid w:val="00712A59"/>
    <w:rsid w:val="00713D21"/>
    <w:rsid w:val="007151DC"/>
    <w:rsid w:val="00717837"/>
    <w:rsid w:val="00717A1A"/>
    <w:rsid w:val="00721452"/>
    <w:rsid w:val="00721AA5"/>
    <w:rsid w:val="00722EF6"/>
    <w:rsid w:val="007259B8"/>
    <w:rsid w:val="00731221"/>
    <w:rsid w:val="00731234"/>
    <w:rsid w:val="00733269"/>
    <w:rsid w:val="00733A0D"/>
    <w:rsid w:val="007379DE"/>
    <w:rsid w:val="00737AA8"/>
    <w:rsid w:val="0074297A"/>
    <w:rsid w:val="00742C87"/>
    <w:rsid w:val="00743DC8"/>
    <w:rsid w:val="00755658"/>
    <w:rsid w:val="007637BD"/>
    <w:rsid w:val="00764384"/>
    <w:rsid w:val="00764997"/>
    <w:rsid w:val="00764EB8"/>
    <w:rsid w:val="0076700A"/>
    <w:rsid w:val="0076722F"/>
    <w:rsid w:val="007731CA"/>
    <w:rsid w:val="007739E4"/>
    <w:rsid w:val="00774DBD"/>
    <w:rsid w:val="007752F9"/>
    <w:rsid w:val="0078026E"/>
    <w:rsid w:val="0078647B"/>
    <w:rsid w:val="00787391"/>
    <w:rsid w:val="00790A67"/>
    <w:rsid w:val="00792ADB"/>
    <w:rsid w:val="00794AE3"/>
    <w:rsid w:val="007950DB"/>
    <w:rsid w:val="007A0602"/>
    <w:rsid w:val="007A520F"/>
    <w:rsid w:val="007A59CD"/>
    <w:rsid w:val="007A77B1"/>
    <w:rsid w:val="007B17F6"/>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7F503E"/>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5133"/>
    <w:rsid w:val="008678F1"/>
    <w:rsid w:val="00874B83"/>
    <w:rsid w:val="00877120"/>
    <w:rsid w:val="00880B97"/>
    <w:rsid w:val="00882413"/>
    <w:rsid w:val="00883FD3"/>
    <w:rsid w:val="00885CAA"/>
    <w:rsid w:val="00887DE5"/>
    <w:rsid w:val="008934F7"/>
    <w:rsid w:val="00897048"/>
    <w:rsid w:val="008A3CF2"/>
    <w:rsid w:val="008A5AA8"/>
    <w:rsid w:val="008A605E"/>
    <w:rsid w:val="008B24E0"/>
    <w:rsid w:val="008B50DF"/>
    <w:rsid w:val="008B73F4"/>
    <w:rsid w:val="008B78D3"/>
    <w:rsid w:val="008C0BD2"/>
    <w:rsid w:val="008C2661"/>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5FBA"/>
    <w:rsid w:val="009778EB"/>
    <w:rsid w:val="009808EF"/>
    <w:rsid w:val="009878D8"/>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E6E45"/>
    <w:rsid w:val="009F68DD"/>
    <w:rsid w:val="009F7160"/>
    <w:rsid w:val="00A005D7"/>
    <w:rsid w:val="00A074B3"/>
    <w:rsid w:val="00A104DE"/>
    <w:rsid w:val="00A15409"/>
    <w:rsid w:val="00A155EB"/>
    <w:rsid w:val="00A16050"/>
    <w:rsid w:val="00A171C8"/>
    <w:rsid w:val="00A30EA9"/>
    <w:rsid w:val="00A31581"/>
    <w:rsid w:val="00A31D7F"/>
    <w:rsid w:val="00A331B5"/>
    <w:rsid w:val="00A35AFD"/>
    <w:rsid w:val="00A44861"/>
    <w:rsid w:val="00A461F1"/>
    <w:rsid w:val="00A46BF7"/>
    <w:rsid w:val="00A5002B"/>
    <w:rsid w:val="00A54BE7"/>
    <w:rsid w:val="00A5564D"/>
    <w:rsid w:val="00A60094"/>
    <w:rsid w:val="00A619B3"/>
    <w:rsid w:val="00A636C5"/>
    <w:rsid w:val="00A6386D"/>
    <w:rsid w:val="00A7045E"/>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147B"/>
    <w:rsid w:val="00B42F31"/>
    <w:rsid w:val="00B44CC5"/>
    <w:rsid w:val="00B45CEC"/>
    <w:rsid w:val="00B4604A"/>
    <w:rsid w:val="00B46F25"/>
    <w:rsid w:val="00B476B4"/>
    <w:rsid w:val="00B50FCE"/>
    <w:rsid w:val="00B559A7"/>
    <w:rsid w:val="00B561AA"/>
    <w:rsid w:val="00B61B1A"/>
    <w:rsid w:val="00B6542A"/>
    <w:rsid w:val="00B65780"/>
    <w:rsid w:val="00B66647"/>
    <w:rsid w:val="00B80F28"/>
    <w:rsid w:val="00B8432D"/>
    <w:rsid w:val="00B84864"/>
    <w:rsid w:val="00B86F77"/>
    <w:rsid w:val="00B94220"/>
    <w:rsid w:val="00B942DA"/>
    <w:rsid w:val="00B955B3"/>
    <w:rsid w:val="00BA7731"/>
    <w:rsid w:val="00BB38C8"/>
    <w:rsid w:val="00BB4C4A"/>
    <w:rsid w:val="00BB57EE"/>
    <w:rsid w:val="00BB6984"/>
    <w:rsid w:val="00BB6D27"/>
    <w:rsid w:val="00BC0C9E"/>
    <w:rsid w:val="00BC1E24"/>
    <w:rsid w:val="00BC51B9"/>
    <w:rsid w:val="00BD03C3"/>
    <w:rsid w:val="00BD17EB"/>
    <w:rsid w:val="00BE1813"/>
    <w:rsid w:val="00BE30BF"/>
    <w:rsid w:val="00BE3DD0"/>
    <w:rsid w:val="00BE745F"/>
    <w:rsid w:val="00BE79D5"/>
    <w:rsid w:val="00BF1BD9"/>
    <w:rsid w:val="00BF21A4"/>
    <w:rsid w:val="00BF2FEF"/>
    <w:rsid w:val="00BF5278"/>
    <w:rsid w:val="00BF553B"/>
    <w:rsid w:val="00BF6892"/>
    <w:rsid w:val="00C01447"/>
    <w:rsid w:val="00C12557"/>
    <w:rsid w:val="00C1277C"/>
    <w:rsid w:val="00C133D5"/>
    <w:rsid w:val="00C14192"/>
    <w:rsid w:val="00C14431"/>
    <w:rsid w:val="00C16556"/>
    <w:rsid w:val="00C17358"/>
    <w:rsid w:val="00C17DB8"/>
    <w:rsid w:val="00C20BD6"/>
    <w:rsid w:val="00C261A8"/>
    <w:rsid w:val="00C267DD"/>
    <w:rsid w:val="00C27DEA"/>
    <w:rsid w:val="00C30374"/>
    <w:rsid w:val="00C3267A"/>
    <w:rsid w:val="00C331A6"/>
    <w:rsid w:val="00C340C0"/>
    <w:rsid w:val="00C34220"/>
    <w:rsid w:val="00C34E01"/>
    <w:rsid w:val="00C35D22"/>
    <w:rsid w:val="00C360F0"/>
    <w:rsid w:val="00C41A23"/>
    <w:rsid w:val="00C44D25"/>
    <w:rsid w:val="00C51E7C"/>
    <w:rsid w:val="00C52D79"/>
    <w:rsid w:val="00C5398D"/>
    <w:rsid w:val="00C61FE2"/>
    <w:rsid w:val="00C63233"/>
    <w:rsid w:val="00C64471"/>
    <w:rsid w:val="00C67EF6"/>
    <w:rsid w:val="00C67FC1"/>
    <w:rsid w:val="00C73108"/>
    <w:rsid w:val="00C7518E"/>
    <w:rsid w:val="00C76386"/>
    <w:rsid w:val="00C817CD"/>
    <w:rsid w:val="00C846A3"/>
    <w:rsid w:val="00C8719E"/>
    <w:rsid w:val="00C944B9"/>
    <w:rsid w:val="00C94612"/>
    <w:rsid w:val="00C973CB"/>
    <w:rsid w:val="00C97D5C"/>
    <w:rsid w:val="00CA0682"/>
    <w:rsid w:val="00CA06F5"/>
    <w:rsid w:val="00CA0745"/>
    <w:rsid w:val="00CA1BBD"/>
    <w:rsid w:val="00CA21C5"/>
    <w:rsid w:val="00CA32CD"/>
    <w:rsid w:val="00CA355C"/>
    <w:rsid w:val="00CA58E0"/>
    <w:rsid w:val="00CA5E4F"/>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0606"/>
    <w:rsid w:val="00D1688E"/>
    <w:rsid w:val="00D22E56"/>
    <w:rsid w:val="00D3658E"/>
    <w:rsid w:val="00D411FE"/>
    <w:rsid w:val="00D43ED2"/>
    <w:rsid w:val="00D537F8"/>
    <w:rsid w:val="00D53A93"/>
    <w:rsid w:val="00D53EB6"/>
    <w:rsid w:val="00D53F29"/>
    <w:rsid w:val="00D63525"/>
    <w:rsid w:val="00D64455"/>
    <w:rsid w:val="00D64504"/>
    <w:rsid w:val="00D6453A"/>
    <w:rsid w:val="00D6470C"/>
    <w:rsid w:val="00D65518"/>
    <w:rsid w:val="00D6729B"/>
    <w:rsid w:val="00D71245"/>
    <w:rsid w:val="00D73446"/>
    <w:rsid w:val="00D80EF9"/>
    <w:rsid w:val="00D83032"/>
    <w:rsid w:val="00D90246"/>
    <w:rsid w:val="00D9037C"/>
    <w:rsid w:val="00D91C5D"/>
    <w:rsid w:val="00D963AC"/>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D58"/>
    <w:rsid w:val="00DD2DB2"/>
    <w:rsid w:val="00DD4C6E"/>
    <w:rsid w:val="00DD6318"/>
    <w:rsid w:val="00DE157B"/>
    <w:rsid w:val="00DE2A1D"/>
    <w:rsid w:val="00DE34AE"/>
    <w:rsid w:val="00DE5A00"/>
    <w:rsid w:val="00DE7232"/>
    <w:rsid w:val="00DE7F82"/>
    <w:rsid w:val="00DF0807"/>
    <w:rsid w:val="00DF36FC"/>
    <w:rsid w:val="00E01185"/>
    <w:rsid w:val="00E01A68"/>
    <w:rsid w:val="00E04144"/>
    <w:rsid w:val="00E05061"/>
    <w:rsid w:val="00E11049"/>
    <w:rsid w:val="00E1262A"/>
    <w:rsid w:val="00E13CCB"/>
    <w:rsid w:val="00E1677D"/>
    <w:rsid w:val="00E1696B"/>
    <w:rsid w:val="00E2125A"/>
    <w:rsid w:val="00E22713"/>
    <w:rsid w:val="00E23B77"/>
    <w:rsid w:val="00E23BC0"/>
    <w:rsid w:val="00E24538"/>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5A07"/>
    <w:rsid w:val="00E674D1"/>
    <w:rsid w:val="00E73651"/>
    <w:rsid w:val="00E80585"/>
    <w:rsid w:val="00E838A8"/>
    <w:rsid w:val="00E865FD"/>
    <w:rsid w:val="00E943E6"/>
    <w:rsid w:val="00E94D34"/>
    <w:rsid w:val="00E950F6"/>
    <w:rsid w:val="00E96FB9"/>
    <w:rsid w:val="00E97809"/>
    <w:rsid w:val="00EA0F2D"/>
    <w:rsid w:val="00EA64A9"/>
    <w:rsid w:val="00EA6B25"/>
    <w:rsid w:val="00EB09A5"/>
    <w:rsid w:val="00EC0737"/>
    <w:rsid w:val="00EC1951"/>
    <w:rsid w:val="00EC5DB0"/>
    <w:rsid w:val="00EC5FF2"/>
    <w:rsid w:val="00EC7F8B"/>
    <w:rsid w:val="00ED2838"/>
    <w:rsid w:val="00ED47B5"/>
    <w:rsid w:val="00ED575B"/>
    <w:rsid w:val="00EE403A"/>
    <w:rsid w:val="00EE6A5F"/>
    <w:rsid w:val="00EE6D90"/>
    <w:rsid w:val="00EF0307"/>
    <w:rsid w:val="00F13EE8"/>
    <w:rsid w:val="00F1485C"/>
    <w:rsid w:val="00F16D9C"/>
    <w:rsid w:val="00F17B98"/>
    <w:rsid w:val="00F20EE5"/>
    <w:rsid w:val="00F22566"/>
    <w:rsid w:val="00F22FBE"/>
    <w:rsid w:val="00F23F2F"/>
    <w:rsid w:val="00F25EFB"/>
    <w:rsid w:val="00F27193"/>
    <w:rsid w:val="00F333E7"/>
    <w:rsid w:val="00F34302"/>
    <w:rsid w:val="00F37472"/>
    <w:rsid w:val="00F41855"/>
    <w:rsid w:val="00F435CD"/>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6EFD"/>
    <w:rsid w:val="00FD322C"/>
    <w:rsid w:val="00FD5BFB"/>
    <w:rsid w:val="00FE02D0"/>
    <w:rsid w:val="00FE10CC"/>
    <w:rsid w:val="00FE2976"/>
    <w:rsid w:val="00FF0248"/>
    <w:rsid w:val="00FF155F"/>
    <w:rsid w:val="00FF5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9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uiPriority w:val="99"/>
    <w:rsid w:val="000E4698"/>
    <w:pPr>
      <w:jc w:val="both"/>
    </w:pPr>
    <w:rPr>
      <w:sz w:val="20"/>
      <w:szCs w:val="20"/>
      <w:lang w:eastAsia="en-US"/>
    </w:rPr>
  </w:style>
  <w:style w:type="character" w:customStyle="1" w:styleId="CommentTextChar">
    <w:name w:val="Comment Text Char"/>
    <w:basedOn w:val="DefaultParagraphFont"/>
    <w:link w:val="CommentText"/>
    <w:uiPriority w:val="99"/>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3"/>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 w:id="1663318264">
      <w:bodyDiv w:val="1"/>
      <w:marLeft w:val="0"/>
      <w:marRight w:val="0"/>
      <w:marTop w:val="0"/>
      <w:marBottom w:val="0"/>
      <w:divBdr>
        <w:top w:val="none" w:sz="0" w:space="0" w:color="auto"/>
        <w:left w:val="none" w:sz="0" w:space="0" w:color="auto"/>
        <w:bottom w:val="none" w:sz="0" w:space="0" w:color="auto"/>
        <w:right w:val="none" w:sz="0" w:space="0" w:color="auto"/>
      </w:divBdr>
    </w:div>
    <w:div w:id="17079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grel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8C11-A634-4F9D-B895-12DA181F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6717</Words>
  <Characters>3829</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creator>Mārtiņš Grels</dc:creator>
  <cp:keywords>Jūras plānojums 2030</cp:keywords>
  <dc:description>66016733, martins.grels@varam.gov.lv</dc:description>
  <cp:lastModifiedBy>Marta Ošleja</cp:lastModifiedBy>
  <cp:revision>9</cp:revision>
  <cp:lastPrinted>2020-07-13T13:42:00Z</cp:lastPrinted>
  <dcterms:created xsi:type="dcterms:W3CDTF">2020-07-17T11:09:00Z</dcterms:created>
  <dcterms:modified xsi:type="dcterms:W3CDTF">2020-08-07T11:58:00Z</dcterms:modified>
</cp:coreProperties>
</file>