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3494" w14:textId="77777777" w:rsidR="000B23BA" w:rsidRDefault="00327147"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howingPlcHdr/>
        </w:sdtPr>
        <w:sdtEndPr/>
        <w:sdtContent>
          <w:r w:rsidR="00E90C01" w:rsidRPr="00521D98">
            <w:rPr>
              <w:rStyle w:val="PlaceholderText"/>
              <w:rFonts w:ascii="Times New Roman" w:hAnsi="Times New Roman" w:cs="Times New Roman"/>
              <w:b/>
              <w:color w:val="auto"/>
              <w:sz w:val="24"/>
              <w:szCs w:val="24"/>
            </w:rPr>
            <w:t>Tiesību akta</w:t>
          </w:r>
        </w:sdtContent>
      </w:sdt>
      <w:r w:rsidR="00894C55" w:rsidRPr="00521D98">
        <w:rPr>
          <w:rFonts w:ascii="Times New Roman" w:eastAsia="Times New Roman" w:hAnsi="Times New Roman" w:cs="Times New Roman"/>
          <w:b/>
          <w:bCs/>
          <w:sz w:val="24"/>
          <w:szCs w:val="24"/>
          <w:lang w:eastAsia="lv-LV"/>
        </w:rPr>
        <w:t xml:space="preserve"> projekta</w:t>
      </w:r>
    </w:p>
    <w:p w14:paraId="59AE95EC" w14:textId="73EC6FE4" w:rsidR="00894C55" w:rsidRPr="00521D98" w:rsidRDefault="000B23BA"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6E2083">
        <w:rPr>
          <w:rFonts w:ascii="Times New Roman" w:eastAsia="Times New Roman" w:hAnsi="Times New Roman" w:cs="Times New Roman"/>
          <w:b/>
          <w:iCs/>
          <w:sz w:val="24"/>
          <w:szCs w:val="24"/>
          <w:lang w:eastAsia="lv-LV"/>
        </w:rPr>
        <w:t>”Grozījumi Militārpersonu izdienas pensiju likumā”</w:t>
      </w:r>
      <w:r w:rsidR="003B0BF9" w:rsidRPr="006E2083">
        <w:rPr>
          <w:rFonts w:ascii="Times New Roman" w:eastAsia="Times New Roman" w:hAnsi="Times New Roman" w:cs="Times New Roman"/>
          <w:b/>
          <w:bCs/>
          <w:sz w:val="24"/>
          <w:szCs w:val="24"/>
          <w:lang w:eastAsia="lv-LV"/>
        </w:rPr>
        <w:br/>
      </w:r>
      <w:r w:rsidR="00894C55" w:rsidRPr="00521D98">
        <w:rPr>
          <w:rFonts w:ascii="Times New Roman" w:eastAsia="Times New Roman" w:hAnsi="Times New Roman" w:cs="Times New Roman"/>
          <w:b/>
          <w:bCs/>
          <w:sz w:val="24"/>
          <w:szCs w:val="24"/>
          <w:lang w:eastAsia="lv-LV"/>
        </w:rPr>
        <w:t>sākotnējās ietekmes novērtējuma ziņojums (anotācija)</w:t>
      </w:r>
    </w:p>
    <w:p w14:paraId="19BA6B9C" w14:textId="77777777" w:rsidR="00E5323B" w:rsidRPr="00521D9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Look w:val="04A0" w:firstRow="1" w:lastRow="0" w:firstColumn="1" w:lastColumn="0" w:noHBand="0" w:noVBand="1"/>
      </w:tblPr>
      <w:tblGrid>
        <w:gridCol w:w="3624"/>
        <w:gridCol w:w="5437"/>
      </w:tblGrid>
      <w:tr w:rsidR="0044609B" w:rsidRPr="000734C3" w14:paraId="7B12AF84" w14:textId="77777777" w:rsidTr="00456175">
        <w:tc>
          <w:tcPr>
            <w:tcW w:w="0" w:type="auto"/>
            <w:gridSpan w:val="2"/>
            <w:hideMark/>
          </w:tcPr>
          <w:p w14:paraId="1FBEF03A" w14:textId="77777777" w:rsidR="00655F2C" w:rsidRPr="00521D98" w:rsidRDefault="00E5323B" w:rsidP="00433528">
            <w:pPr>
              <w:jc w:val="cente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Tiesību akta projekta anotācijas kopsavilkums</w:t>
            </w:r>
          </w:p>
        </w:tc>
      </w:tr>
      <w:tr w:rsidR="0044609B" w:rsidRPr="000734C3" w14:paraId="3A7F999D" w14:textId="77777777" w:rsidTr="00456175">
        <w:tc>
          <w:tcPr>
            <w:tcW w:w="1980" w:type="pct"/>
            <w:hideMark/>
          </w:tcPr>
          <w:p w14:paraId="16E461FA" w14:textId="77777777" w:rsidR="00E5323B" w:rsidRPr="00521D98" w:rsidRDefault="00E5323B" w:rsidP="00521D98">
            <w:pPr>
              <w:jc w:val="both"/>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E702D48" w14:textId="7505E1A2" w:rsidR="000B23BA" w:rsidRDefault="00795640" w:rsidP="000B23BA">
            <w:pPr>
              <w:jc w:val="both"/>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Likumprojekta ”Grozījumi Militārpersonu izdienas pensiju likumā” </w:t>
            </w:r>
            <w:r w:rsidR="000734C3" w:rsidRPr="00521D98">
              <w:rPr>
                <w:rFonts w:ascii="Times New Roman" w:eastAsia="Times New Roman" w:hAnsi="Times New Roman" w:cs="Times New Roman"/>
                <w:iCs/>
                <w:sz w:val="24"/>
                <w:szCs w:val="24"/>
                <w:lang w:eastAsia="lv-LV"/>
              </w:rPr>
              <w:t>(turpmāk –</w:t>
            </w:r>
            <w:r w:rsidR="00CA3D9B" w:rsidRPr="00CA3D9B">
              <w:rPr>
                <w:rFonts w:ascii="Times New Roman" w:eastAsia="Times New Roman" w:hAnsi="Times New Roman" w:cs="Times New Roman"/>
                <w:iCs/>
                <w:sz w:val="24"/>
                <w:szCs w:val="24"/>
                <w:lang w:eastAsia="lv-LV"/>
              </w:rPr>
              <w:t xml:space="preserve"> </w:t>
            </w:r>
            <w:r w:rsidR="000734C3" w:rsidRPr="00521D98">
              <w:rPr>
                <w:rFonts w:ascii="Times New Roman" w:eastAsia="Times New Roman" w:hAnsi="Times New Roman" w:cs="Times New Roman"/>
                <w:iCs/>
                <w:sz w:val="24"/>
                <w:szCs w:val="24"/>
                <w:lang w:eastAsia="lv-LV"/>
              </w:rPr>
              <w:t xml:space="preserve">projekts) </w:t>
            </w:r>
            <w:r w:rsidRPr="00521D98">
              <w:rPr>
                <w:rFonts w:ascii="Times New Roman" w:eastAsia="Times New Roman" w:hAnsi="Times New Roman" w:cs="Times New Roman"/>
                <w:iCs/>
                <w:sz w:val="24"/>
                <w:szCs w:val="24"/>
                <w:lang w:eastAsia="lv-LV"/>
              </w:rPr>
              <w:t xml:space="preserve">mērķis ir </w:t>
            </w:r>
            <w:r w:rsidR="000B23BA">
              <w:rPr>
                <w:rFonts w:ascii="Times New Roman" w:eastAsia="Times New Roman" w:hAnsi="Times New Roman" w:cs="Times New Roman"/>
                <w:iCs/>
                <w:sz w:val="24"/>
                <w:szCs w:val="24"/>
                <w:lang w:eastAsia="lv-LV"/>
              </w:rPr>
              <w:t xml:space="preserve">noteikt </w:t>
            </w:r>
            <w:r w:rsidR="00FD0BE2">
              <w:rPr>
                <w:rFonts w:ascii="Times New Roman" w:eastAsia="Times New Roman" w:hAnsi="Times New Roman" w:cs="Times New Roman"/>
                <w:iCs/>
                <w:sz w:val="24"/>
                <w:szCs w:val="24"/>
                <w:lang w:eastAsia="lv-LV"/>
              </w:rPr>
              <w:t>militārpersonas izdienas pensijas izmaksas pārtraukšanu, ja persona militārā dienesta laikā izdarījusi tīšu noziedzīgu nodarījumu, bet par to sodīta pēc atvaļināšanas no dienesta.</w:t>
            </w:r>
          </w:p>
          <w:p w14:paraId="64520B12" w14:textId="3E89A4D9" w:rsidR="00795640" w:rsidRPr="00521D98" w:rsidRDefault="00CA3D9B" w:rsidP="000B23B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95640" w:rsidRPr="00521D98">
              <w:rPr>
                <w:rFonts w:ascii="Times New Roman" w:eastAsia="Times New Roman" w:hAnsi="Times New Roman" w:cs="Times New Roman"/>
                <w:iCs/>
                <w:sz w:val="24"/>
                <w:szCs w:val="24"/>
                <w:lang w:eastAsia="lv-LV"/>
              </w:rPr>
              <w:t>rojekts stāsies spēkā atbilstoši Oficiālo publikāciju un tiesiskās informācijas likuma 7. pantam.</w:t>
            </w:r>
          </w:p>
        </w:tc>
      </w:tr>
    </w:tbl>
    <w:p w14:paraId="4C350156" w14:textId="77777777" w:rsidR="00E5323B" w:rsidRPr="00521D98" w:rsidRDefault="00E5323B"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0734C3" w14:paraId="7F254304" w14:textId="77777777" w:rsidTr="00456175">
        <w:tc>
          <w:tcPr>
            <w:tcW w:w="0" w:type="auto"/>
            <w:gridSpan w:val="3"/>
            <w:hideMark/>
          </w:tcPr>
          <w:p w14:paraId="28813043" w14:textId="77777777" w:rsidR="00655F2C" w:rsidRPr="00521D98" w:rsidRDefault="00E5323B" w:rsidP="00521D98">
            <w:pPr>
              <w:jc w:val="cente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I. Tiesību akta projekta izstrādes nepieciešamība</w:t>
            </w:r>
          </w:p>
        </w:tc>
      </w:tr>
      <w:tr w:rsidR="0044609B" w:rsidRPr="000734C3" w14:paraId="5FD24CA4" w14:textId="77777777" w:rsidTr="00456175">
        <w:tc>
          <w:tcPr>
            <w:tcW w:w="300" w:type="pct"/>
            <w:hideMark/>
          </w:tcPr>
          <w:p w14:paraId="5388F7FF"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1.</w:t>
            </w:r>
          </w:p>
        </w:tc>
        <w:tc>
          <w:tcPr>
            <w:tcW w:w="1700" w:type="pct"/>
            <w:hideMark/>
          </w:tcPr>
          <w:p w14:paraId="489EE21B"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Pamatojums</w:t>
            </w:r>
          </w:p>
        </w:tc>
        <w:tc>
          <w:tcPr>
            <w:tcW w:w="3000" w:type="pct"/>
          </w:tcPr>
          <w:p w14:paraId="1254F1F0" w14:textId="41860148" w:rsidR="00E5323B" w:rsidRPr="00521D98" w:rsidRDefault="00CA3D9B" w:rsidP="00521D98">
            <w:pPr>
              <w:jc w:val="both"/>
              <w:rPr>
                <w:rFonts w:ascii="Times New Roman" w:eastAsia="Times New Roman" w:hAnsi="Times New Roman" w:cs="Times New Roman"/>
                <w:iCs/>
                <w:sz w:val="24"/>
                <w:szCs w:val="24"/>
                <w:lang w:eastAsia="lv-LV"/>
              </w:rPr>
            </w:pPr>
            <w:r w:rsidRPr="00CA3D9B">
              <w:rPr>
                <w:rFonts w:ascii="Times New Roman" w:eastAsia="Times New Roman" w:hAnsi="Times New Roman" w:cs="Times New Roman"/>
                <w:iCs/>
                <w:sz w:val="24"/>
                <w:szCs w:val="24"/>
                <w:lang w:eastAsia="lv-LV"/>
              </w:rPr>
              <w:t>P</w:t>
            </w:r>
            <w:r w:rsidR="000734C3" w:rsidRPr="00521D98">
              <w:rPr>
                <w:rFonts w:ascii="Times New Roman" w:eastAsia="Times New Roman" w:hAnsi="Times New Roman" w:cs="Times New Roman"/>
                <w:iCs/>
                <w:sz w:val="24"/>
                <w:szCs w:val="24"/>
                <w:lang w:eastAsia="lv-LV"/>
              </w:rPr>
              <w:t xml:space="preserve">rojekts ir izstrādāts pēc Aizsardzības ministrijas iniciatīvas. </w:t>
            </w:r>
          </w:p>
        </w:tc>
      </w:tr>
      <w:tr w:rsidR="0044609B" w:rsidRPr="000734C3" w14:paraId="5698C318" w14:textId="77777777" w:rsidTr="00456175">
        <w:tc>
          <w:tcPr>
            <w:tcW w:w="300" w:type="pct"/>
            <w:hideMark/>
          </w:tcPr>
          <w:p w14:paraId="21D32238" w14:textId="5D304161" w:rsidR="0043352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2.</w:t>
            </w:r>
          </w:p>
          <w:p w14:paraId="26168CBE" w14:textId="77777777" w:rsidR="00433528" w:rsidRPr="00433528" w:rsidRDefault="00433528" w:rsidP="00433528">
            <w:pPr>
              <w:rPr>
                <w:rFonts w:ascii="Times New Roman" w:eastAsia="Times New Roman" w:hAnsi="Times New Roman" w:cs="Times New Roman"/>
                <w:sz w:val="24"/>
                <w:szCs w:val="24"/>
                <w:lang w:eastAsia="lv-LV"/>
              </w:rPr>
            </w:pPr>
          </w:p>
          <w:p w14:paraId="1B6CD178" w14:textId="77777777" w:rsidR="00433528" w:rsidRPr="00433528" w:rsidRDefault="00433528" w:rsidP="00433528">
            <w:pPr>
              <w:rPr>
                <w:rFonts w:ascii="Times New Roman" w:eastAsia="Times New Roman" w:hAnsi="Times New Roman" w:cs="Times New Roman"/>
                <w:sz w:val="24"/>
                <w:szCs w:val="24"/>
                <w:lang w:eastAsia="lv-LV"/>
              </w:rPr>
            </w:pPr>
          </w:p>
          <w:p w14:paraId="5413EBDF" w14:textId="77777777" w:rsidR="00433528" w:rsidRPr="00433528" w:rsidRDefault="00433528" w:rsidP="00433528">
            <w:pPr>
              <w:rPr>
                <w:rFonts w:ascii="Times New Roman" w:eastAsia="Times New Roman" w:hAnsi="Times New Roman" w:cs="Times New Roman"/>
                <w:sz w:val="24"/>
                <w:szCs w:val="24"/>
                <w:lang w:eastAsia="lv-LV"/>
              </w:rPr>
            </w:pPr>
          </w:p>
          <w:p w14:paraId="651460ED" w14:textId="77777777" w:rsidR="00433528" w:rsidRPr="00433528" w:rsidRDefault="00433528" w:rsidP="00433528">
            <w:pPr>
              <w:rPr>
                <w:rFonts w:ascii="Times New Roman" w:eastAsia="Times New Roman" w:hAnsi="Times New Roman" w:cs="Times New Roman"/>
                <w:sz w:val="24"/>
                <w:szCs w:val="24"/>
                <w:lang w:eastAsia="lv-LV"/>
              </w:rPr>
            </w:pPr>
          </w:p>
          <w:p w14:paraId="36411A61" w14:textId="77777777" w:rsidR="00433528" w:rsidRPr="00433528" w:rsidRDefault="00433528" w:rsidP="00433528">
            <w:pPr>
              <w:rPr>
                <w:rFonts w:ascii="Times New Roman" w:eastAsia="Times New Roman" w:hAnsi="Times New Roman" w:cs="Times New Roman"/>
                <w:sz w:val="24"/>
                <w:szCs w:val="24"/>
                <w:lang w:eastAsia="lv-LV"/>
              </w:rPr>
            </w:pPr>
          </w:p>
          <w:p w14:paraId="13775847" w14:textId="77777777" w:rsidR="00433528" w:rsidRPr="00433528" w:rsidRDefault="00433528" w:rsidP="00433528">
            <w:pPr>
              <w:rPr>
                <w:rFonts w:ascii="Times New Roman" w:eastAsia="Times New Roman" w:hAnsi="Times New Roman" w:cs="Times New Roman"/>
                <w:sz w:val="24"/>
                <w:szCs w:val="24"/>
                <w:lang w:eastAsia="lv-LV"/>
              </w:rPr>
            </w:pPr>
          </w:p>
          <w:p w14:paraId="779D8AEC" w14:textId="77777777" w:rsidR="00433528" w:rsidRPr="00433528" w:rsidRDefault="00433528" w:rsidP="00433528">
            <w:pPr>
              <w:rPr>
                <w:rFonts w:ascii="Times New Roman" w:eastAsia="Times New Roman" w:hAnsi="Times New Roman" w:cs="Times New Roman"/>
                <w:sz w:val="24"/>
                <w:szCs w:val="24"/>
                <w:lang w:eastAsia="lv-LV"/>
              </w:rPr>
            </w:pPr>
          </w:p>
          <w:p w14:paraId="59466A62" w14:textId="77777777" w:rsidR="00433528" w:rsidRPr="00433528" w:rsidRDefault="00433528" w:rsidP="00433528">
            <w:pPr>
              <w:rPr>
                <w:rFonts w:ascii="Times New Roman" w:eastAsia="Times New Roman" w:hAnsi="Times New Roman" w:cs="Times New Roman"/>
                <w:sz w:val="24"/>
                <w:szCs w:val="24"/>
                <w:lang w:eastAsia="lv-LV"/>
              </w:rPr>
            </w:pPr>
          </w:p>
          <w:p w14:paraId="3453477C" w14:textId="77777777" w:rsidR="00433528" w:rsidRPr="00433528" w:rsidRDefault="00433528" w:rsidP="00433528">
            <w:pPr>
              <w:rPr>
                <w:rFonts w:ascii="Times New Roman" w:eastAsia="Times New Roman" w:hAnsi="Times New Roman" w:cs="Times New Roman"/>
                <w:sz w:val="24"/>
                <w:szCs w:val="24"/>
                <w:lang w:eastAsia="lv-LV"/>
              </w:rPr>
            </w:pPr>
          </w:p>
          <w:p w14:paraId="267FB062" w14:textId="77777777" w:rsidR="00433528" w:rsidRPr="00433528" w:rsidRDefault="00433528" w:rsidP="00433528">
            <w:pPr>
              <w:rPr>
                <w:rFonts w:ascii="Times New Roman" w:eastAsia="Times New Roman" w:hAnsi="Times New Roman" w:cs="Times New Roman"/>
                <w:sz w:val="24"/>
                <w:szCs w:val="24"/>
                <w:lang w:eastAsia="lv-LV"/>
              </w:rPr>
            </w:pPr>
          </w:p>
          <w:p w14:paraId="593E3A61" w14:textId="77777777" w:rsidR="00433528" w:rsidRPr="00433528" w:rsidRDefault="00433528" w:rsidP="00433528">
            <w:pPr>
              <w:rPr>
                <w:rFonts w:ascii="Times New Roman" w:eastAsia="Times New Roman" w:hAnsi="Times New Roman" w:cs="Times New Roman"/>
                <w:sz w:val="24"/>
                <w:szCs w:val="24"/>
                <w:lang w:eastAsia="lv-LV"/>
              </w:rPr>
            </w:pPr>
          </w:p>
          <w:p w14:paraId="4C8D9B82" w14:textId="77777777" w:rsidR="00433528" w:rsidRPr="00433528" w:rsidRDefault="00433528" w:rsidP="00433528">
            <w:pPr>
              <w:rPr>
                <w:rFonts w:ascii="Times New Roman" w:eastAsia="Times New Roman" w:hAnsi="Times New Roman" w:cs="Times New Roman"/>
                <w:sz w:val="24"/>
                <w:szCs w:val="24"/>
                <w:lang w:eastAsia="lv-LV"/>
              </w:rPr>
            </w:pPr>
          </w:p>
          <w:p w14:paraId="0DADF5FD" w14:textId="77777777" w:rsidR="00433528" w:rsidRPr="00433528" w:rsidRDefault="00433528" w:rsidP="00433528">
            <w:pPr>
              <w:rPr>
                <w:rFonts w:ascii="Times New Roman" w:eastAsia="Times New Roman" w:hAnsi="Times New Roman" w:cs="Times New Roman"/>
                <w:sz w:val="24"/>
                <w:szCs w:val="24"/>
                <w:lang w:eastAsia="lv-LV"/>
              </w:rPr>
            </w:pPr>
          </w:p>
          <w:p w14:paraId="78BB712F" w14:textId="77777777" w:rsidR="00433528" w:rsidRPr="00433528" w:rsidRDefault="00433528" w:rsidP="00433528">
            <w:pPr>
              <w:rPr>
                <w:rFonts w:ascii="Times New Roman" w:eastAsia="Times New Roman" w:hAnsi="Times New Roman" w:cs="Times New Roman"/>
                <w:sz w:val="24"/>
                <w:szCs w:val="24"/>
                <w:lang w:eastAsia="lv-LV"/>
              </w:rPr>
            </w:pPr>
          </w:p>
          <w:p w14:paraId="63E59837" w14:textId="77777777" w:rsidR="00433528" w:rsidRPr="00433528" w:rsidRDefault="00433528" w:rsidP="00433528">
            <w:pPr>
              <w:rPr>
                <w:rFonts w:ascii="Times New Roman" w:eastAsia="Times New Roman" w:hAnsi="Times New Roman" w:cs="Times New Roman"/>
                <w:sz w:val="24"/>
                <w:szCs w:val="24"/>
                <w:lang w:eastAsia="lv-LV"/>
              </w:rPr>
            </w:pPr>
          </w:p>
          <w:p w14:paraId="6F4B33F6" w14:textId="77777777" w:rsidR="00433528" w:rsidRPr="00433528" w:rsidRDefault="00433528" w:rsidP="00433528">
            <w:pPr>
              <w:rPr>
                <w:rFonts w:ascii="Times New Roman" w:eastAsia="Times New Roman" w:hAnsi="Times New Roman" w:cs="Times New Roman"/>
                <w:sz w:val="24"/>
                <w:szCs w:val="24"/>
                <w:lang w:eastAsia="lv-LV"/>
              </w:rPr>
            </w:pPr>
          </w:p>
          <w:p w14:paraId="56640AEC" w14:textId="77777777" w:rsidR="00433528" w:rsidRPr="00433528" w:rsidRDefault="00433528" w:rsidP="00433528">
            <w:pPr>
              <w:rPr>
                <w:rFonts w:ascii="Times New Roman" w:eastAsia="Times New Roman" w:hAnsi="Times New Roman" w:cs="Times New Roman"/>
                <w:sz w:val="24"/>
                <w:szCs w:val="24"/>
                <w:lang w:eastAsia="lv-LV"/>
              </w:rPr>
            </w:pPr>
          </w:p>
          <w:p w14:paraId="4D3CA5DA" w14:textId="77777777" w:rsidR="00433528" w:rsidRPr="00433528" w:rsidRDefault="00433528" w:rsidP="00433528">
            <w:pPr>
              <w:rPr>
                <w:rFonts w:ascii="Times New Roman" w:eastAsia="Times New Roman" w:hAnsi="Times New Roman" w:cs="Times New Roman"/>
                <w:sz w:val="24"/>
                <w:szCs w:val="24"/>
                <w:lang w:eastAsia="lv-LV"/>
              </w:rPr>
            </w:pPr>
          </w:p>
          <w:p w14:paraId="4519C288" w14:textId="77777777" w:rsidR="00433528" w:rsidRPr="00433528" w:rsidRDefault="00433528" w:rsidP="00433528">
            <w:pPr>
              <w:rPr>
                <w:rFonts w:ascii="Times New Roman" w:eastAsia="Times New Roman" w:hAnsi="Times New Roman" w:cs="Times New Roman"/>
                <w:sz w:val="24"/>
                <w:szCs w:val="24"/>
                <w:lang w:eastAsia="lv-LV"/>
              </w:rPr>
            </w:pPr>
          </w:p>
          <w:p w14:paraId="1F49106A" w14:textId="0848B879" w:rsidR="00433528" w:rsidRDefault="00433528" w:rsidP="00433528">
            <w:pPr>
              <w:rPr>
                <w:rFonts w:ascii="Times New Roman" w:eastAsia="Times New Roman" w:hAnsi="Times New Roman" w:cs="Times New Roman"/>
                <w:sz w:val="24"/>
                <w:szCs w:val="24"/>
                <w:lang w:eastAsia="lv-LV"/>
              </w:rPr>
            </w:pPr>
          </w:p>
          <w:p w14:paraId="31F0768D" w14:textId="77777777" w:rsidR="00433528" w:rsidRPr="00433528" w:rsidRDefault="00433528" w:rsidP="00433528">
            <w:pPr>
              <w:rPr>
                <w:rFonts w:ascii="Times New Roman" w:eastAsia="Times New Roman" w:hAnsi="Times New Roman" w:cs="Times New Roman"/>
                <w:sz w:val="24"/>
                <w:szCs w:val="24"/>
                <w:lang w:eastAsia="lv-LV"/>
              </w:rPr>
            </w:pPr>
          </w:p>
          <w:p w14:paraId="46C8212D" w14:textId="77777777" w:rsidR="00433528" w:rsidRPr="00433528" w:rsidRDefault="00433528" w:rsidP="00433528">
            <w:pPr>
              <w:rPr>
                <w:rFonts w:ascii="Times New Roman" w:eastAsia="Times New Roman" w:hAnsi="Times New Roman" w:cs="Times New Roman"/>
                <w:sz w:val="24"/>
                <w:szCs w:val="24"/>
                <w:lang w:eastAsia="lv-LV"/>
              </w:rPr>
            </w:pPr>
          </w:p>
          <w:p w14:paraId="4D499836" w14:textId="77777777" w:rsidR="00433528" w:rsidRPr="00433528" w:rsidRDefault="00433528" w:rsidP="00433528">
            <w:pPr>
              <w:rPr>
                <w:rFonts w:ascii="Times New Roman" w:eastAsia="Times New Roman" w:hAnsi="Times New Roman" w:cs="Times New Roman"/>
                <w:sz w:val="24"/>
                <w:szCs w:val="24"/>
                <w:lang w:eastAsia="lv-LV"/>
              </w:rPr>
            </w:pPr>
          </w:p>
          <w:p w14:paraId="7A1B7830" w14:textId="77777777" w:rsidR="00433528" w:rsidRPr="00433528" w:rsidRDefault="00433528" w:rsidP="00433528">
            <w:pPr>
              <w:rPr>
                <w:rFonts w:ascii="Times New Roman" w:eastAsia="Times New Roman" w:hAnsi="Times New Roman" w:cs="Times New Roman"/>
                <w:sz w:val="24"/>
                <w:szCs w:val="24"/>
                <w:lang w:eastAsia="lv-LV"/>
              </w:rPr>
            </w:pPr>
          </w:p>
          <w:p w14:paraId="20FE5DE9" w14:textId="77777777" w:rsidR="00433528" w:rsidRPr="00433528" w:rsidRDefault="00433528" w:rsidP="00433528">
            <w:pPr>
              <w:rPr>
                <w:rFonts w:ascii="Times New Roman" w:eastAsia="Times New Roman" w:hAnsi="Times New Roman" w:cs="Times New Roman"/>
                <w:sz w:val="24"/>
                <w:szCs w:val="24"/>
                <w:lang w:eastAsia="lv-LV"/>
              </w:rPr>
            </w:pPr>
          </w:p>
          <w:p w14:paraId="271FC929" w14:textId="77777777" w:rsidR="00433528" w:rsidRPr="00433528" w:rsidRDefault="00433528" w:rsidP="00433528">
            <w:pPr>
              <w:rPr>
                <w:rFonts w:ascii="Times New Roman" w:eastAsia="Times New Roman" w:hAnsi="Times New Roman" w:cs="Times New Roman"/>
                <w:sz w:val="24"/>
                <w:szCs w:val="24"/>
                <w:lang w:eastAsia="lv-LV"/>
              </w:rPr>
            </w:pPr>
          </w:p>
          <w:p w14:paraId="68230038" w14:textId="77777777" w:rsidR="00433528" w:rsidRPr="00433528" w:rsidRDefault="00433528" w:rsidP="00433528">
            <w:pPr>
              <w:rPr>
                <w:rFonts w:ascii="Times New Roman" w:eastAsia="Times New Roman" w:hAnsi="Times New Roman" w:cs="Times New Roman"/>
                <w:sz w:val="24"/>
                <w:szCs w:val="24"/>
                <w:lang w:eastAsia="lv-LV"/>
              </w:rPr>
            </w:pPr>
          </w:p>
          <w:p w14:paraId="68D99DFF" w14:textId="21CC4AFF" w:rsidR="00433528" w:rsidRDefault="00433528" w:rsidP="00433528">
            <w:pPr>
              <w:rPr>
                <w:rFonts w:ascii="Times New Roman" w:eastAsia="Times New Roman" w:hAnsi="Times New Roman" w:cs="Times New Roman"/>
                <w:sz w:val="24"/>
                <w:szCs w:val="24"/>
                <w:lang w:eastAsia="lv-LV"/>
              </w:rPr>
            </w:pPr>
          </w:p>
          <w:p w14:paraId="3875BD31" w14:textId="77777777" w:rsidR="00433528" w:rsidRPr="00433528" w:rsidRDefault="00433528" w:rsidP="00433528">
            <w:pPr>
              <w:rPr>
                <w:rFonts w:ascii="Times New Roman" w:eastAsia="Times New Roman" w:hAnsi="Times New Roman" w:cs="Times New Roman"/>
                <w:sz w:val="24"/>
                <w:szCs w:val="24"/>
                <w:lang w:eastAsia="lv-LV"/>
              </w:rPr>
            </w:pPr>
          </w:p>
          <w:p w14:paraId="345CBB85" w14:textId="77777777" w:rsidR="00433528" w:rsidRPr="00433528" w:rsidRDefault="00433528" w:rsidP="00433528">
            <w:pPr>
              <w:rPr>
                <w:rFonts w:ascii="Times New Roman" w:eastAsia="Times New Roman" w:hAnsi="Times New Roman" w:cs="Times New Roman"/>
                <w:sz w:val="24"/>
                <w:szCs w:val="24"/>
                <w:lang w:eastAsia="lv-LV"/>
              </w:rPr>
            </w:pPr>
          </w:p>
          <w:p w14:paraId="68DA4A1C" w14:textId="77777777" w:rsidR="00433528" w:rsidRPr="00433528" w:rsidRDefault="00433528" w:rsidP="00433528">
            <w:pPr>
              <w:rPr>
                <w:rFonts w:ascii="Times New Roman" w:eastAsia="Times New Roman" w:hAnsi="Times New Roman" w:cs="Times New Roman"/>
                <w:sz w:val="24"/>
                <w:szCs w:val="24"/>
                <w:lang w:eastAsia="lv-LV"/>
              </w:rPr>
            </w:pPr>
          </w:p>
          <w:p w14:paraId="3565ECA2" w14:textId="195A076A" w:rsidR="00433528" w:rsidRDefault="00433528" w:rsidP="00433528">
            <w:pPr>
              <w:rPr>
                <w:rFonts w:ascii="Times New Roman" w:eastAsia="Times New Roman" w:hAnsi="Times New Roman" w:cs="Times New Roman"/>
                <w:sz w:val="24"/>
                <w:szCs w:val="24"/>
                <w:lang w:eastAsia="lv-LV"/>
              </w:rPr>
            </w:pPr>
          </w:p>
          <w:p w14:paraId="45686E66" w14:textId="77777777" w:rsidR="00433528" w:rsidRPr="00433528" w:rsidRDefault="00433528" w:rsidP="00433528">
            <w:pPr>
              <w:rPr>
                <w:rFonts w:ascii="Times New Roman" w:eastAsia="Times New Roman" w:hAnsi="Times New Roman" w:cs="Times New Roman"/>
                <w:sz w:val="24"/>
                <w:szCs w:val="24"/>
                <w:lang w:eastAsia="lv-LV"/>
              </w:rPr>
            </w:pPr>
          </w:p>
          <w:p w14:paraId="2DDB2EEC" w14:textId="4CA3DD2A" w:rsidR="00655F2C" w:rsidRPr="00433528" w:rsidRDefault="00655F2C" w:rsidP="00433528">
            <w:pPr>
              <w:rPr>
                <w:rFonts w:ascii="Times New Roman" w:eastAsia="Times New Roman" w:hAnsi="Times New Roman" w:cs="Times New Roman"/>
                <w:sz w:val="24"/>
                <w:szCs w:val="24"/>
                <w:lang w:eastAsia="lv-LV"/>
              </w:rPr>
            </w:pPr>
          </w:p>
        </w:tc>
        <w:tc>
          <w:tcPr>
            <w:tcW w:w="1700" w:type="pct"/>
            <w:hideMark/>
          </w:tcPr>
          <w:p w14:paraId="3BD494BD" w14:textId="0FBECDE7" w:rsidR="009C506A"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D9F2C5F" w14:textId="77777777" w:rsidR="009C506A" w:rsidRPr="009C506A" w:rsidRDefault="009C506A" w:rsidP="009C506A">
            <w:pPr>
              <w:rPr>
                <w:rFonts w:ascii="Times New Roman" w:eastAsia="Times New Roman" w:hAnsi="Times New Roman" w:cs="Times New Roman"/>
                <w:sz w:val="24"/>
                <w:szCs w:val="24"/>
                <w:lang w:eastAsia="lv-LV"/>
              </w:rPr>
            </w:pPr>
          </w:p>
          <w:p w14:paraId="2F15E1A0" w14:textId="77777777" w:rsidR="009C506A" w:rsidRPr="00815195" w:rsidRDefault="009C506A">
            <w:pPr>
              <w:rPr>
                <w:rFonts w:ascii="Times New Roman" w:eastAsia="Times New Roman" w:hAnsi="Times New Roman" w:cs="Times New Roman"/>
                <w:sz w:val="24"/>
                <w:szCs w:val="24"/>
                <w:lang w:eastAsia="lv-LV"/>
              </w:rPr>
            </w:pPr>
          </w:p>
          <w:p w14:paraId="68E7F6AC" w14:textId="77777777" w:rsidR="009C506A" w:rsidRPr="00815195" w:rsidRDefault="009C506A">
            <w:pPr>
              <w:rPr>
                <w:rFonts w:ascii="Times New Roman" w:eastAsia="Times New Roman" w:hAnsi="Times New Roman" w:cs="Times New Roman"/>
                <w:sz w:val="24"/>
                <w:szCs w:val="24"/>
                <w:lang w:eastAsia="lv-LV"/>
              </w:rPr>
            </w:pPr>
          </w:p>
          <w:p w14:paraId="61E68B0A" w14:textId="77777777" w:rsidR="009C506A" w:rsidRPr="00815195" w:rsidRDefault="009C506A">
            <w:pPr>
              <w:rPr>
                <w:rFonts w:ascii="Times New Roman" w:eastAsia="Times New Roman" w:hAnsi="Times New Roman" w:cs="Times New Roman"/>
                <w:sz w:val="24"/>
                <w:szCs w:val="24"/>
                <w:lang w:eastAsia="lv-LV"/>
              </w:rPr>
            </w:pPr>
          </w:p>
          <w:p w14:paraId="5B0D4A85" w14:textId="77777777" w:rsidR="009C506A" w:rsidRPr="00815195" w:rsidRDefault="009C506A">
            <w:pPr>
              <w:rPr>
                <w:rFonts w:ascii="Times New Roman" w:eastAsia="Times New Roman" w:hAnsi="Times New Roman" w:cs="Times New Roman"/>
                <w:sz w:val="24"/>
                <w:szCs w:val="24"/>
                <w:lang w:eastAsia="lv-LV"/>
              </w:rPr>
            </w:pPr>
          </w:p>
          <w:p w14:paraId="598B31DF" w14:textId="77777777" w:rsidR="009C506A" w:rsidRPr="00815195" w:rsidRDefault="009C506A">
            <w:pPr>
              <w:rPr>
                <w:rFonts w:ascii="Times New Roman" w:eastAsia="Times New Roman" w:hAnsi="Times New Roman" w:cs="Times New Roman"/>
                <w:sz w:val="24"/>
                <w:szCs w:val="24"/>
                <w:lang w:eastAsia="lv-LV"/>
              </w:rPr>
            </w:pPr>
          </w:p>
          <w:p w14:paraId="7A4E2112" w14:textId="77777777" w:rsidR="009C506A" w:rsidRPr="00815195" w:rsidRDefault="009C506A">
            <w:pPr>
              <w:rPr>
                <w:rFonts w:ascii="Times New Roman" w:eastAsia="Times New Roman" w:hAnsi="Times New Roman" w:cs="Times New Roman"/>
                <w:sz w:val="24"/>
                <w:szCs w:val="24"/>
                <w:lang w:eastAsia="lv-LV"/>
              </w:rPr>
            </w:pPr>
          </w:p>
          <w:p w14:paraId="172C32B9" w14:textId="77777777" w:rsidR="009C506A" w:rsidRPr="00815195" w:rsidRDefault="009C506A">
            <w:pPr>
              <w:rPr>
                <w:rFonts w:ascii="Times New Roman" w:eastAsia="Times New Roman" w:hAnsi="Times New Roman" w:cs="Times New Roman"/>
                <w:sz w:val="24"/>
                <w:szCs w:val="24"/>
                <w:lang w:eastAsia="lv-LV"/>
              </w:rPr>
            </w:pPr>
          </w:p>
          <w:p w14:paraId="1CC5C35B" w14:textId="77777777" w:rsidR="009C506A" w:rsidRPr="00815195" w:rsidRDefault="009C506A">
            <w:pPr>
              <w:rPr>
                <w:rFonts w:ascii="Times New Roman" w:eastAsia="Times New Roman" w:hAnsi="Times New Roman" w:cs="Times New Roman"/>
                <w:sz w:val="24"/>
                <w:szCs w:val="24"/>
                <w:lang w:eastAsia="lv-LV"/>
              </w:rPr>
            </w:pPr>
          </w:p>
          <w:p w14:paraId="74A7B06D" w14:textId="77777777" w:rsidR="009C506A" w:rsidRPr="00815195" w:rsidRDefault="009C506A">
            <w:pPr>
              <w:rPr>
                <w:rFonts w:ascii="Times New Roman" w:eastAsia="Times New Roman" w:hAnsi="Times New Roman" w:cs="Times New Roman"/>
                <w:sz w:val="24"/>
                <w:szCs w:val="24"/>
                <w:lang w:eastAsia="lv-LV"/>
              </w:rPr>
            </w:pPr>
          </w:p>
          <w:p w14:paraId="02868C9C" w14:textId="77777777" w:rsidR="009C506A" w:rsidRPr="00815195" w:rsidRDefault="009C506A">
            <w:pPr>
              <w:rPr>
                <w:rFonts w:ascii="Times New Roman" w:eastAsia="Times New Roman" w:hAnsi="Times New Roman" w:cs="Times New Roman"/>
                <w:sz w:val="24"/>
                <w:szCs w:val="24"/>
                <w:lang w:eastAsia="lv-LV"/>
              </w:rPr>
            </w:pPr>
          </w:p>
          <w:p w14:paraId="1437753C" w14:textId="77777777" w:rsidR="009C506A" w:rsidRPr="00815195" w:rsidRDefault="009C506A">
            <w:pPr>
              <w:rPr>
                <w:rFonts w:ascii="Times New Roman" w:eastAsia="Times New Roman" w:hAnsi="Times New Roman" w:cs="Times New Roman"/>
                <w:sz w:val="24"/>
                <w:szCs w:val="24"/>
                <w:lang w:eastAsia="lv-LV"/>
              </w:rPr>
            </w:pPr>
          </w:p>
          <w:p w14:paraId="49C24FB8" w14:textId="77777777" w:rsidR="009C506A" w:rsidRPr="00815195" w:rsidRDefault="009C506A">
            <w:pPr>
              <w:rPr>
                <w:rFonts w:ascii="Times New Roman" w:eastAsia="Times New Roman" w:hAnsi="Times New Roman" w:cs="Times New Roman"/>
                <w:sz w:val="24"/>
                <w:szCs w:val="24"/>
                <w:lang w:eastAsia="lv-LV"/>
              </w:rPr>
            </w:pPr>
          </w:p>
          <w:p w14:paraId="458827DA" w14:textId="77777777" w:rsidR="009C506A" w:rsidRPr="00815195" w:rsidRDefault="009C506A">
            <w:pPr>
              <w:rPr>
                <w:rFonts w:ascii="Times New Roman" w:eastAsia="Times New Roman" w:hAnsi="Times New Roman" w:cs="Times New Roman"/>
                <w:sz w:val="24"/>
                <w:szCs w:val="24"/>
                <w:lang w:eastAsia="lv-LV"/>
              </w:rPr>
            </w:pPr>
          </w:p>
          <w:p w14:paraId="738289DE" w14:textId="77777777" w:rsidR="009C506A" w:rsidRPr="00815195" w:rsidRDefault="009C506A">
            <w:pPr>
              <w:rPr>
                <w:rFonts w:ascii="Times New Roman" w:eastAsia="Times New Roman" w:hAnsi="Times New Roman" w:cs="Times New Roman"/>
                <w:sz w:val="24"/>
                <w:szCs w:val="24"/>
                <w:lang w:eastAsia="lv-LV"/>
              </w:rPr>
            </w:pPr>
          </w:p>
          <w:p w14:paraId="1F9D0E9E" w14:textId="77777777" w:rsidR="009C506A" w:rsidRPr="00815195" w:rsidRDefault="009C506A">
            <w:pPr>
              <w:rPr>
                <w:rFonts w:ascii="Times New Roman" w:eastAsia="Times New Roman" w:hAnsi="Times New Roman" w:cs="Times New Roman"/>
                <w:sz w:val="24"/>
                <w:szCs w:val="24"/>
                <w:lang w:eastAsia="lv-LV"/>
              </w:rPr>
            </w:pPr>
          </w:p>
          <w:p w14:paraId="195052C0" w14:textId="77777777" w:rsidR="009C506A" w:rsidRPr="00815195" w:rsidRDefault="009C506A">
            <w:pPr>
              <w:rPr>
                <w:rFonts w:ascii="Times New Roman" w:eastAsia="Times New Roman" w:hAnsi="Times New Roman" w:cs="Times New Roman"/>
                <w:sz w:val="24"/>
                <w:szCs w:val="24"/>
                <w:lang w:eastAsia="lv-LV"/>
              </w:rPr>
            </w:pPr>
          </w:p>
          <w:p w14:paraId="25EDD749" w14:textId="3983579B" w:rsidR="009C506A" w:rsidRDefault="009C506A" w:rsidP="009C506A">
            <w:pPr>
              <w:rPr>
                <w:rFonts w:ascii="Times New Roman" w:eastAsia="Times New Roman" w:hAnsi="Times New Roman" w:cs="Times New Roman"/>
                <w:sz w:val="24"/>
                <w:szCs w:val="24"/>
                <w:lang w:eastAsia="lv-LV"/>
              </w:rPr>
            </w:pPr>
          </w:p>
          <w:p w14:paraId="242612F6" w14:textId="77777777" w:rsidR="009C506A" w:rsidRPr="009C506A" w:rsidRDefault="009C506A" w:rsidP="009C506A">
            <w:pPr>
              <w:rPr>
                <w:rFonts w:ascii="Times New Roman" w:eastAsia="Times New Roman" w:hAnsi="Times New Roman" w:cs="Times New Roman"/>
                <w:sz w:val="24"/>
                <w:szCs w:val="24"/>
                <w:lang w:eastAsia="lv-LV"/>
              </w:rPr>
            </w:pPr>
          </w:p>
          <w:p w14:paraId="47994A24" w14:textId="77777777" w:rsidR="009C506A" w:rsidRPr="009C506A" w:rsidRDefault="009C506A">
            <w:pPr>
              <w:rPr>
                <w:rFonts w:ascii="Times New Roman" w:eastAsia="Times New Roman" w:hAnsi="Times New Roman" w:cs="Times New Roman"/>
                <w:sz w:val="24"/>
                <w:szCs w:val="24"/>
                <w:lang w:eastAsia="lv-LV"/>
              </w:rPr>
            </w:pPr>
          </w:p>
          <w:p w14:paraId="41BC299E" w14:textId="77777777" w:rsidR="009C506A" w:rsidRPr="009C506A" w:rsidRDefault="009C506A">
            <w:pPr>
              <w:rPr>
                <w:rFonts w:ascii="Times New Roman" w:eastAsia="Times New Roman" w:hAnsi="Times New Roman" w:cs="Times New Roman"/>
                <w:sz w:val="24"/>
                <w:szCs w:val="24"/>
                <w:lang w:eastAsia="lv-LV"/>
              </w:rPr>
            </w:pPr>
          </w:p>
          <w:p w14:paraId="00BC9977" w14:textId="77777777" w:rsidR="009C506A" w:rsidRPr="009C506A" w:rsidRDefault="009C506A">
            <w:pPr>
              <w:rPr>
                <w:rFonts w:ascii="Times New Roman" w:eastAsia="Times New Roman" w:hAnsi="Times New Roman" w:cs="Times New Roman"/>
                <w:sz w:val="24"/>
                <w:szCs w:val="24"/>
                <w:lang w:eastAsia="lv-LV"/>
              </w:rPr>
            </w:pPr>
          </w:p>
          <w:p w14:paraId="775884D4" w14:textId="77777777" w:rsidR="009C506A" w:rsidRPr="009C506A" w:rsidRDefault="009C506A">
            <w:pPr>
              <w:rPr>
                <w:rFonts w:ascii="Times New Roman" w:eastAsia="Times New Roman" w:hAnsi="Times New Roman" w:cs="Times New Roman"/>
                <w:sz w:val="24"/>
                <w:szCs w:val="24"/>
                <w:lang w:eastAsia="lv-LV"/>
              </w:rPr>
            </w:pPr>
          </w:p>
          <w:p w14:paraId="25CA564A" w14:textId="77777777" w:rsidR="009C506A" w:rsidRPr="009C506A" w:rsidRDefault="009C506A">
            <w:pPr>
              <w:rPr>
                <w:rFonts w:ascii="Times New Roman" w:eastAsia="Times New Roman" w:hAnsi="Times New Roman" w:cs="Times New Roman"/>
                <w:sz w:val="24"/>
                <w:szCs w:val="24"/>
                <w:lang w:eastAsia="lv-LV"/>
              </w:rPr>
            </w:pPr>
          </w:p>
          <w:p w14:paraId="7EC4B690" w14:textId="5E5D0A3B" w:rsidR="009C506A" w:rsidRDefault="009C506A" w:rsidP="009C506A">
            <w:pPr>
              <w:rPr>
                <w:rFonts w:ascii="Times New Roman" w:eastAsia="Times New Roman" w:hAnsi="Times New Roman" w:cs="Times New Roman"/>
                <w:sz w:val="24"/>
                <w:szCs w:val="24"/>
                <w:lang w:eastAsia="lv-LV"/>
              </w:rPr>
            </w:pPr>
          </w:p>
          <w:p w14:paraId="62CE1A77" w14:textId="77777777" w:rsidR="009C506A" w:rsidRPr="009C506A" w:rsidRDefault="009C506A" w:rsidP="009C506A">
            <w:pPr>
              <w:rPr>
                <w:rFonts w:ascii="Times New Roman" w:eastAsia="Times New Roman" w:hAnsi="Times New Roman" w:cs="Times New Roman"/>
                <w:sz w:val="24"/>
                <w:szCs w:val="24"/>
                <w:lang w:eastAsia="lv-LV"/>
              </w:rPr>
            </w:pPr>
          </w:p>
          <w:p w14:paraId="2824CAD7" w14:textId="77777777" w:rsidR="009C506A" w:rsidRPr="00B35334" w:rsidRDefault="009C506A" w:rsidP="00B35334">
            <w:pPr>
              <w:rPr>
                <w:rFonts w:ascii="Times New Roman" w:eastAsia="Times New Roman" w:hAnsi="Times New Roman" w:cs="Times New Roman"/>
                <w:sz w:val="24"/>
                <w:szCs w:val="24"/>
                <w:lang w:eastAsia="lv-LV"/>
              </w:rPr>
            </w:pPr>
          </w:p>
          <w:p w14:paraId="325E5FDD" w14:textId="26865D18" w:rsidR="009C506A" w:rsidRDefault="009C506A" w:rsidP="009C506A">
            <w:pPr>
              <w:rPr>
                <w:rFonts w:ascii="Times New Roman" w:eastAsia="Times New Roman" w:hAnsi="Times New Roman" w:cs="Times New Roman"/>
                <w:sz w:val="24"/>
                <w:szCs w:val="24"/>
                <w:lang w:eastAsia="lv-LV"/>
              </w:rPr>
            </w:pPr>
          </w:p>
          <w:p w14:paraId="0BAE2409" w14:textId="32A9173B" w:rsidR="009C506A" w:rsidRDefault="009C506A" w:rsidP="009C506A">
            <w:pPr>
              <w:rPr>
                <w:rFonts w:ascii="Times New Roman" w:eastAsia="Times New Roman" w:hAnsi="Times New Roman" w:cs="Times New Roman"/>
                <w:sz w:val="24"/>
                <w:szCs w:val="24"/>
                <w:lang w:eastAsia="lv-LV"/>
              </w:rPr>
            </w:pPr>
          </w:p>
          <w:p w14:paraId="1BED017C" w14:textId="52A32915" w:rsidR="00E5323B" w:rsidRPr="009C506A" w:rsidRDefault="004804F3" w:rsidP="004804F3">
            <w:pPr>
              <w:tabs>
                <w:tab w:val="left" w:pos="58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hideMark/>
          </w:tcPr>
          <w:p w14:paraId="7F08AD22" w14:textId="53E4ADA1" w:rsidR="00BD13B2" w:rsidRDefault="000734C3" w:rsidP="003E431F">
            <w:pPr>
              <w:pStyle w:val="labojumupamats"/>
              <w:shd w:val="clear" w:color="auto" w:fill="FFFFFF"/>
              <w:spacing w:before="0" w:beforeAutospacing="0" w:after="0" w:afterAutospacing="0"/>
              <w:jc w:val="both"/>
              <w:rPr>
                <w:iCs/>
              </w:rPr>
            </w:pPr>
            <w:r w:rsidRPr="00521D98">
              <w:rPr>
                <w:iCs/>
              </w:rPr>
              <w:t xml:space="preserve">Militārpersonu izdienas pensiju likuma (turpmāk – </w:t>
            </w:r>
            <w:r w:rsidR="00630328" w:rsidRPr="00521D98">
              <w:rPr>
                <w:iCs/>
              </w:rPr>
              <w:t>MPIL</w:t>
            </w:r>
            <w:r w:rsidRPr="00521D98">
              <w:rPr>
                <w:iCs/>
              </w:rPr>
              <w:t>)</w:t>
            </w:r>
            <w:r w:rsidR="00630328" w:rsidRPr="00521D98">
              <w:rPr>
                <w:iCs/>
              </w:rPr>
              <w:t xml:space="preserve"> 10. pantā noteikti gadījumi, kuros izdienas pensiju izmaksa tiek pārtraukta vai tiek grozīts tās apmērs. Militārā dienesta likuma (turpmāk – MDL) 16. panta otrajā daļā noteikts, ka militārajā dienest</w:t>
            </w:r>
            <w:r w:rsidR="00813284" w:rsidRPr="00521D98">
              <w:rPr>
                <w:iCs/>
              </w:rPr>
              <w:t>ā</w:t>
            </w:r>
            <w:r w:rsidR="00630328" w:rsidRPr="00521D98">
              <w:rPr>
                <w:iCs/>
              </w:rPr>
              <w:t xml:space="preserve"> nevar iesaukt un pieņemt Latvijas pilsoni, kurš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 2) kas kriminālprocesā ir atzīts par aizdomās turēto vai apsūdzēto; 3) kas par šīs daļas </w:t>
            </w:r>
            <w:hyperlink r:id="rId7" w:anchor="p1" w:history="1">
              <w:r w:rsidR="00630328" w:rsidRPr="00521D98">
                <w:rPr>
                  <w:iCs/>
                </w:rPr>
                <w:t>1.</w:t>
              </w:r>
            </w:hyperlink>
            <w:r w:rsidR="00630328" w:rsidRPr="00521D98">
              <w:rPr>
                <w:iCs/>
              </w:rPr>
              <w:t> punktā minētu noziedzīgu nodarījumu notiesāts, atbrīvojot no soda, vai kriminālprocess pret to izbeigts uz nereabilitējoša pamata; 4) kas ir sodīts par noziedzīga nodarījuma izdarīšanu aiz neuzmanības, izņemot šīs daļas </w:t>
            </w:r>
            <w:hyperlink r:id="rId8" w:anchor="p1" w:history="1">
              <w:r w:rsidR="00630328" w:rsidRPr="00521D98">
                <w:rPr>
                  <w:iCs/>
                </w:rPr>
                <w:t>1.</w:t>
              </w:r>
            </w:hyperlink>
            <w:r w:rsidR="00630328" w:rsidRPr="00521D98">
              <w:rPr>
                <w:iCs/>
              </w:rPr>
              <w:t> punktā minētos noziedzīgos nodarījumus, ja sodāmība nav noņemta vai nav dzēsta likumā noteiktajā kārtībā.</w:t>
            </w:r>
            <w:r w:rsidR="000F54B8" w:rsidRPr="00521D98">
              <w:rPr>
                <w:iCs/>
              </w:rPr>
              <w:t xml:space="preserve"> </w:t>
            </w:r>
            <w:r w:rsidR="00630328" w:rsidRPr="00521D98">
              <w:rPr>
                <w:iCs/>
              </w:rPr>
              <w:t xml:space="preserve">Savukārt MDL 43.panta otrajā daļā noteikts, ka profesionālā dienesta līgumu pirms termiņa pēc vadības iniciatīvas izbeidz, ja </w:t>
            </w:r>
            <w:r w:rsidR="000F54B8" w:rsidRPr="00521D98">
              <w:rPr>
                <w:iCs/>
              </w:rPr>
              <w:t xml:space="preserve">karavīrs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 ja karavīrs par šīs daļas 9. punktā minēto noziedzīgo nodarījumu notiesāts, atbrīvojot no soda, vai kriminālprocess pret to izbeigts uz nereabilitējoša pamata, karavīrs ir sodīts par noziedzīga nodarījuma izdarīšanu aiz neuzmanības, izņemot šīs daļas 9. punktā minēto, ja </w:t>
            </w:r>
            <w:r w:rsidR="000F54B8" w:rsidRPr="00521D98">
              <w:rPr>
                <w:iCs/>
              </w:rPr>
              <w:lastRenderedPageBreak/>
              <w:t xml:space="preserve">sodāmība nav noņemta vai nav dzēsta likumā noteiktajā kārtībā. </w:t>
            </w:r>
          </w:p>
          <w:p w14:paraId="06E5D820" w14:textId="35595B57" w:rsidR="00BD13B2" w:rsidRDefault="0016524B" w:rsidP="003E431F">
            <w:pPr>
              <w:pStyle w:val="labojumupamats"/>
              <w:shd w:val="clear" w:color="auto" w:fill="FFFFFF"/>
              <w:spacing w:before="0" w:beforeAutospacing="0" w:after="0" w:afterAutospacing="0"/>
              <w:jc w:val="both"/>
              <w:rPr>
                <w:iCs/>
              </w:rPr>
            </w:pPr>
            <w:r w:rsidRPr="0016524B">
              <w:rPr>
                <w:iCs/>
              </w:rPr>
              <w:t>Viens no šāda ierobežojuma mērķiem ir nepieciešamība saglabāt Nacionālo bruņoto spē</w:t>
            </w:r>
            <w:r w:rsidR="000C282A">
              <w:rPr>
                <w:iCs/>
              </w:rPr>
              <w:t xml:space="preserve">ku reputāciju. Savukārt ar </w:t>
            </w:r>
            <w:r w:rsidRPr="0016524B">
              <w:rPr>
                <w:iCs/>
              </w:rPr>
              <w:t xml:space="preserve">projektu precizētais ierobežojums izmaksāt izdienas pensiju personām, kuras ir izdarījušas tīšus noziedzīgus nodarījumus militārā dienesta laikā var atturēt karavīru no šāda noziedzīga nodarījuma izdarīšanas.   </w:t>
            </w:r>
          </w:p>
          <w:p w14:paraId="7CB6B636" w14:textId="77777777" w:rsidR="0016524B" w:rsidRDefault="0016524B" w:rsidP="003E431F">
            <w:pPr>
              <w:pStyle w:val="labojumupamats"/>
              <w:shd w:val="clear" w:color="auto" w:fill="FFFFFF"/>
              <w:spacing w:before="0" w:beforeAutospacing="0" w:after="0" w:afterAutospacing="0"/>
              <w:jc w:val="both"/>
              <w:rPr>
                <w:iCs/>
              </w:rPr>
            </w:pPr>
          </w:p>
          <w:p w14:paraId="2FB0AF91" w14:textId="328F9E6B" w:rsidR="00BD13B2" w:rsidRPr="00BD13B2" w:rsidRDefault="00BD13B2" w:rsidP="00BD13B2">
            <w:pPr>
              <w:pStyle w:val="labojumupamats"/>
              <w:shd w:val="clear" w:color="auto" w:fill="FFFFFF"/>
              <w:spacing w:before="0" w:beforeAutospacing="0" w:after="0" w:afterAutospacing="0"/>
              <w:jc w:val="both"/>
              <w:rPr>
                <w:iCs/>
              </w:rPr>
            </w:pPr>
            <w:r>
              <w:rPr>
                <w:iCs/>
              </w:rPr>
              <w:t>A</w:t>
            </w:r>
            <w:r w:rsidRPr="00BD13B2">
              <w:rPr>
                <w:iCs/>
              </w:rPr>
              <w:t xml:space="preserve">tbilstoši </w:t>
            </w:r>
            <w:r>
              <w:rPr>
                <w:iCs/>
              </w:rPr>
              <w:t>MPIL</w:t>
            </w:r>
            <w:r w:rsidRPr="00BD13B2">
              <w:rPr>
                <w:iCs/>
              </w:rPr>
              <w:t xml:space="preserve"> 2.</w:t>
            </w:r>
            <w:r w:rsidR="001109ED">
              <w:rPr>
                <w:iCs/>
              </w:rPr>
              <w:t xml:space="preserve"> </w:t>
            </w:r>
            <w:r w:rsidRPr="00BD13B2">
              <w:rPr>
                <w:iCs/>
              </w:rPr>
              <w:t xml:space="preserve">panta trešajai daļai uz izdienas pensiju nav tiesību militārpersonai, kura atvaļināta no aktīvā militārā dienesta vai ierindas dienesta sakarā ar to, ka ir sodīta par tīša noziedzīga nodarījuma izdarīšanu (neatkarīgi no sodāmības dzēšanas vai noņemšanas), ir izdarījusi tīšu noziedzīgu nodarījumu, bet no soda atbrīvota, pret kuru uzsāktais kriminālprocess par tīša noziedzīga nodarījuma izdarīšanu izbeigts uz nereabilitējoša pamata (..). </w:t>
            </w:r>
          </w:p>
          <w:p w14:paraId="284C17EE" w14:textId="6250AB24" w:rsidR="00BD13B2" w:rsidRPr="00BD13B2" w:rsidRDefault="00BD13B2" w:rsidP="00BD13B2">
            <w:pPr>
              <w:pStyle w:val="labojumupamats"/>
              <w:shd w:val="clear" w:color="auto" w:fill="FFFFFF"/>
              <w:spacing w:before="0" w:beforeAutospacing="0" w:after="0" w:afterAutospacing="0"/>
              <w:jc w:val="both"/>
              <w:rPr>
                <w:iCs/>
              </w:rPr>
            </w:pPr>
            <w:r w:rsidRPr="00BD13B2">
              <w:rPr>
                <w:iCs/>
              </w:rPr>
              <w:t>Tā</w:t>
            </w:r>
            <w:r>
              <w:rPr>
                <w:iCs/>
              </w:rPr>
              <w:t xml:space="preserve">dējādi </w:t>
            </w:r>
            <w:r w:rsidRPr="00BD13B2">
              <w:rPr>
                <w:iCs/>
              </w:rPr>
              <w:t>atbilstoši pašreizējam tiesiskajam regulējumam tiesības uz izdienas pensiju zaudē karavīrs, kurš militārā dienesta laikā ir izdarījis tīšu noziedzīgu nodarījumu un šī iemesla dēļ tika atvaļināts (</w:t>
            </w:r>
            <w:r>
              <w:rPr>
                <w:iCs/>
              </w:rPr>
              <w:t>MDL</w:t>
            </w:r>
            <w:r w:rsidRPr="00BD13B2">
              <w:rPr>
                <w:iCs/>
              </w:rPr>
              <w:t xml:space="preserve"> 43.</w:t>
            </w:r>
            <w:r w:rsidR="001109ED">
              <w:rPr>
                <w:iCs/>
              </w:rPr>
              <w:t xml:space="preserve"> </w:t>
            </w:r>
            <w:r w:rsidRPr="00BD13B2">
              <w:rPr>
                <w:iCs/>
              </w:rPr>
              <w:t>panta otrās daļas 9., 10. vai 11.</w:t>
            </w:r>
            <w:r w:rsidR="001109ED">
              <w:rPr>
                <w:iCs/>
              </w:rPr>
              <w:t xml:space="preserve"> </w:t>
            </w:r>
            <w:r w:rsidRPr="00BD13B2">
              <w:rPr>
                <w:iCs/>
              </w:rPr>
              <w:t xml:space="preserve">punkts). </w:t>
            </w:r>
          </w:p>
          <w:p w14:paraId="0A3EDF87" w14:textId="77777777" w:rsidR="00BD13B2" w:rsidRPr="00BD13B2" w:rsidRDefault="00BD13B2" w:rsidP="00BD13B2">
            <w:pPr>
              <w:pStyle w:val="labojumupamats"/>
              <w:shd w:val="clear" w:color="auto" w:fill="FFFFFF"/>
              <w:spacing w:before="0" w:beforeAutospacing="0" w:after="0" w:afterAutospacing="0"/>
              <w:jc w:val="both"/>
              <w:rPr>
                <w:iCs/>
              </w:rPr>
            </w:pPr>
            <w:r w:rsidRPr="00BD13B2">
              <w:rPr>
                <w:iCs/>
              </w:rPr>
              <w:t xml:space="preserve">Minētais ierobežojums ir spēkā neatkarīgi no tā, vai karavīra izdarītajam noziedzīgajam nodarījumam ir kāds sakars ar militāro dienestu. </w:t>
            </w:r>
          </w:p>
          <w:p w14:paraId="2911FE42" w14:textId="4D5C940A" w:rsidR="00BD13B2" w:rsidRPr="00BD13B2" w:rsidRDefault="00BD13B2" w:rsidP="00BD13B2">
            <w:pPr>
              <w:pStyle w:val="labojumupamats"/>
              <w:shd w:val="clear" w:color="auto" w:fill="FFFFFF"/>
              <w:spacing w:before="0" w:beforeAutospacing="0" w:after="0" w:afterAutospacing="0"/>
              <w:jc w:val="both"/>
              <w:rPr>
                <w:iCs/>
              </w:rPr>
            </w:pPr>
            <w:r w:rsidRPr="00BD13B2">
              <w:rPr>
                <w:iCs/>
              </w:rPr>
              <w:t xml:space="preserve">Savukārt karavīrs, kurš militārā dienesta laikā ir izdarījis tīšu noziedzīgu nodarījumu, taču paspējis atvaļināties </w:t>
            </w:r>
            <w:r w:rsidR="00D10DD6">
              <w:rPr>
                <w:iCs/>
              </w:rPr>
              <w:t>(piemēra</w:t>
            </w:r>
            <w:r w:rsidR="000C282A">
              <w:rPr>
                <w:iCs/>
              </w:rPr>
              <w:t>m</w:t>
            </w:r>
            <w:r w:rsidR="00D10DD6">
              <w:rPr>
                <w:iCs/>
              </w:rPr>
              <w:t xml:space="preserve">, pēc paša vēlēšanās) </w:t>
            </w:r>
            <w:r w:rsidRPr="00BD13B2">
              <w:rPr>
                <w:iCs/>
              </w:rPr>
              <w:t>pirms lēmuma par kriminālprocesa izbeigšanu uz nereabilitējošā pamata, prokurora priekšraksta par sodu vai sprieduma spēkā stāšanās, tiesības uz izdienas pensiju saglabā.</w:t>
            </w:r>
          </w:p>
          <w:p w14:paraId="0A6FA0AD" w14:textId="356459DD" w:rsidR="00BD13B2" w:rsidRDefault="00BD13B2" w:rsidP="00BD13B2">
            <w:pPr>
              <w:pStyle w:val="labojumupamats"/>
              <w:shd w:val="clear" w:color="auto" w:fill="FFFFFF"/>
              <w:spacing w:before="0" w:beforeAutospacing="0" w:after="0" w:afterAutospacing="0"/>
              <w:jc w:val="both"/>
              <w:rPr>
                <w:iCs/>
              </w:rPr>
            </w:pPr>
            <w:r w:rsidRPr="00BD13B2">
              <w:rPr>
                <w:iCs/>
              </w:rPr>
              <w:t xml:space="preserve">  Lai </w:t>
            </w:r>
            <w:r w:rsidR="0036388C">
              <w:rPr>
                <w:iCs/>
              </w:rPr>
              <w:t>novērstu nevienlīdzību iepriekš minētajos gadījumos</w:t>
            </w:r>
            <w:r w:rsidRPr="00BD13B2">
              <w:rPr>
                <w:iCs/>
              </w:rPr>
              <w:t>, nepieciešams sinhronizēt Militārpersonu izdienas pensiju likuma 2.</w:t>
            </w:r>
            <w:r w:rsidR="00073260">
              <w:rPr>
                <w:iCs/>
              </w:rPr>
              <w:t xml:space="preserve"> </w:t>
            </w:r>
            <w:r w:rsidRPr="00BD13B2">
              <w:rPr>
                <w:iCs/>
              </w:rPr>
              <w:t>panta trešo daļu un 10.</w:t>
            </w:r>
            <w:r w:rsidR="000C282A">
              <w:rPr>
                <w:iCs/>
              </w:rPr>
              <w:t> </w:t>
            </w:r>
            <w:r w:rsidRPr="00BD13B2">
              <w:rPr>
                <w:iCs/>
              </w:rPr>
              <w:t>pantu.</w:t>
            </w:r>
          </w:p>
          <w:p w14:paraId="48D0D1A6" w14:textId="4C54A7B9" w:rsidR="001109ED" w:rsidRPr="001109ED" w:rsidRDefault="001109ED" w:rsidP="001109ED">
            <w:pPr>
              <w:pStyle w:val="labojumupamats"/>
              <w:shd w:val="clear" w:color="auto" w:fill="FFFFFF"/>
              <w:spacing w:before="0" w:beforeAutospacing="0" w:after="0" w:afterAutospacing="0"/>
              <w:jc w:val="both"/>
              <w:rPr>
                <w:iCs/>
              </w:rPr>
            </w:pPr>
            <w:r>
              <w:rPr>
                <w:iCs/>
              </w:rPr>
              <w:t>I</w:t>
            </w:r>
            <w:r w:rsidRPr="001109ED">
              <w:rPr>
                <w:iCs/>
              </w:rPr>
              <w:t>zdienas pensijas ir papildu sociālā garantija personām, kuras valsts interesēs īpašos apstākļos pildījušas noteiktas funkcijas (Satversmes tiesas 2003.</w:t>
            </w:r>
            <w:r>
              <w:rPr>
                <w:iCs/>
              </w:rPr>
              <w:t xml:space="preserve"> </w:t>
            </w:r>
            <w:r w:rsidRPr="001109ED">
              <w:rPr>
                <w:iCs/>
              </w:rPr>
              <w:t>gada 4.</w:t>
            </w:r>
            <w:r w:rsidR="000C282A">
              <w:rPr>
                <w:iCs/>
              </w:rPr>
              <w:t> </w:t>
            </w:r>
            <w:r w:rsidRPr="001109ED">
              <w:rPr>
                <w:iCs/>
              </w:rPr>
              <w:t>decembra sprieduma lietā Nr.</w:t>
            </w:r>
            <w:r w:rsidR="000C282A">
              <w:rPr>
                <w:iCs/>
              </w:rPr>
              <w:t> </w:t>
            </w:r>
            <w:r w:rsidRPr="001109ED">
              <w:rPr>
                <w:iCs/>
              </w:rPr>
              <w:t>2003-14-01 7.</w:t>
            </w:r>
            <w:r w:rsidR="000C282A">
              <w:rPr>
                <w:iCs/>
              </w:rPr>
              <w:t> </w:t>
            </w:r>
            <w:r w:rsidRPr="001109ED">
              <w:rPr>
                <w:iCs/>
              </w:rPr>
              <w:t>punkts). Latvijas Republikas Satversmes 109.</w:t>
            </w:r>
            <w:r>
              <w:rPr>
                <w:iCs/>
              </w:rPr>
              <w:t xml:space="preserve"> </w:t>
            </w:r>
            <w:r w:rsidRPr="001109ED">
              <w:rPr>
                <w:iCs/>
              </w:rPr>
              <w:t xml:space="preserve">pants negarantē personai tiesības uz konkrēta veida pensiju, tostarp uz izdienas pensiju, kas aprēķināta pēc noteiktiem kritērijiem un konkrētā apmērā. </w:t>
            </w:r>
          </w:p>
          <w:p w14:paraId="2238412D" w14:textId="2C9FE3BC" w:rsidR="005C4703" w:rsidRDefault="001109ED" w:rsidP="001109ED">
            <w:pPr>
              <w:pStyle w:val="labojumupamats"/>
              <w:shd w:val="clear" w:color="auto" w:fill="FFFFFF"/>
              <w:spacing w:before="0" w:beforeAutospacing="0" w:after="0" w:afterAutospacing="0"/>
              <w:jc w:val="both"/>
              <w:rPr>
                <w:iCs/>
              </w:rPr>
            </w:pPr>
            <w:r w:rsidRPr="001109ED">
              <w:rPr>
                <w:iCs/>
              </w:rPr>
              <w:t>Starp vecuma pensijām un speciālajos likumos noteiktajām izdienas pensijām pastāv atšķirības Satversmes 109.</w:t>
            </w:r>
            <w:r>
              <w:rPr>
                <w:iCs/>
              </w:rPr>
              <w:t xml:space="preserve"> </w:t>
            </w:r>
            <w:r w:rsidRPr="001109ED">
              <w:rPr>
                <w:iCs/>
              </w:rPr>
              <w:t xml:space="preserve">pantā noteikto pamattiesību nodrošināšanas un aizsardzības aspektā. Minētās atšķirības citastarp pamatojas uz izdienas pensiju </w:t>
            </w:r>
            <w:r w:rsidRPr="001109ED">
              <w:rPr>
                <w:iCs/>
              </w:rPr>
              <w:lastRenderedPageBreak/>
              <w:t>piešķiršanas un aprēķināšanas kārtību, finansējuma avotu, kā arī piešķiramo izdienas pensijas apmēru. Līdz ar to speciālajos likumos noteikto izdienas pensiju nodrošināšanas un aizsardzības apmērs ir salīdzinoši mazāks, nekā vecuma pensijām un tādējādi arī valstij piešķiramā rīcības brīvība šajā jomā ir lielāka (Satversmes tiesas 2010.</w:t>
            </w:r>
            <w:r>
              <w:rPr>
                <w:iCs/>
              </w:rPr>
              <w:t xml:space="preserve"> </w:t>
            </w:r>
            <w:r w:rsidRPr="001109ED">
              <w:rPr>
                <w:iCs/>
              </w:rPr>
              <w:t>gada 15.</w:t>
            </w:r>
            <w:r>
              <w:rPr>
                <w:iCs/>
              </w:rPr>
              <w:t xml:space="preserve"> </w:t>
            </w:r>
            <w:r w:rsidRPr="001109ED">
              <w:rPr>
                <w:iCs/>
              </w:rPr>
              <w:t>aprīļa sprieduma lietā Nr.2009-88-01 14.punkts</w:t>
            </w:r>
            <w:r>
              <w:rPr>
                <w:iCs/>
              </w:rPr>
              <w:t>).</w:t>
            </w:r>
            <w:r>
              <w:t xml:space="preserve"> </w:t>
            </w:r>
            <w:r w:rsidR="000C282A">
              <w:rPr>
                <w:iCs/>
              </w:rPr>
              <w:t>P</w:t>
            </w:r>
            <w:r w:rsidRPr="001109ED">
              <w:rPr>
                <w:iCs/>
              </w:rPr>
              <w:t>rojekts neierobežo vecuma pensijas saņemšanas iespējas.</w:t>
            </w:r>
          </w:p>
          <w:p w14:paraId="392B431F" w14:textId="77777777" w:rsidR="001109ED" w:rsidRDefault="001109ED" w:rsidP="001109ED">
            <w:pPr>
              <w:pStyle w:val="labojumupamats"/>
              <w:shd w:val="clear" w:color="auto" w:fill="FFFFFF"/>
              <w:spacing w:before="0" w:beforeAutospacing="0" w:after="0" w:afterAutospacing="0"/>
              <w:jc w:val="both"/>
              <w:rPr>
                <w:iCs/>
              </w:rPr>
            </w:pPr>
          </w:p>
          <w:p w14:paraId="655ADAB1" w14:textId="29779737" w:rsidR="00630328" w:rsidRDefault="000F54B8" w:rsidP="003E431F">
            <w:pPr>
              <w:pStyle w:val="labojumupamats"/>
              <w:shd w:val="clear" w:color="auto" w:fill="FFFFFF"/>
              <w:spacing w:before="0" w:beforeAutospacing="0" w:after="0" w:afterAutospacing="0"/>
              <w:jc w:val="both"/>
              <w:rPr>
                <w:iCs/>
              </w:rPr>
            </w:pPr>
            <w:r w:rsidRPr="00521D98">
              <w:rPr>
                <w:iCs/>
              </w:rPr>
              <w:t xml:space="preserve">Ņemot vērā </w:t>
            </w:r>
            <w:r w:rsidR="0062574D">
              <w:rPr>
                <w:iCs/>
              </w:rPr>
              <w:t>iepriekš minēto</w:t>
            </w:r>
            <w:r w:rsidR="00815195">
              <w:rPr>
                <w:iCs/>
              </w:rPr>
              <w:t>,</w:t>
            </w:r>
            <w:r w:rsidRPr="00521D98">
              <w:rPr>
                <w:iCs/>
              </w:rPr>
              <w:t xml:space="preserve"> MIPL 10.</w:t>
            </w:r>
            <w:r w:rsidR="00815195">
              <w:rPr>
                <w:iCs/>
              </w:rPr>
              <w:t xml:space="preserve"> </w:t>
            </w:r>
            <w:r w:rsidRPr="00521D98">
              <w:rPr>
                <w:iCs/>
              </w:rPr>
              <w:t xml:space="preserve">pants </w:t>
            </w:r>
            <w:r w:rsidR="00815195">
              <w:rPr>
                <w:iCs/>
              </w:rPr>
              <w:t xml:space="preserve">tiek </w:t>
            </w:r>
            <w:r w:rsidRPr="00521D98">
              <w:rPr>
                <w:iCs/>
              </w:rPr>
              <w:t>papildināts ar sesto daļu, nosakot, ka izdienas pensijas izmaksu pārtrauc, ja karavīrs pēc atvaļināšanas sodīts par tīša noziedzīga nodarījuma izdarīšanu, kas izdarīts militārā dienesta laikā</w:t>
            </w:r>
            <w:r w:rsidR="00BD13B2">
              <w:rPr>
                <w:iCs/>
              </w:rPr>
              <w:t>.</w:t>
            </w:r>
            <w:r w:rsidR="003E431F" w:rsidRPr="00521D98">
              <w:rPr>
                <w:iCs/>
              </w:rPr>
              <w:t xml:space="preserve"> </w:t>
            </w:r>
            <w:r w:rsidR="005C4703">
              <w:rPr>
                <w:iCs/>
              </w:rPr>
              <w:t>Vienlaikus</w:t>
            </w:r>
            <w:r w:rsidR="005C4703" w:rsidRPr="00521D98">
              <w:rPr>
                <w:iCs/>
              </w:rPr>
              <w:t xml:space="preserve"> </w:t>
            </w:r>
            <w:r w:rsidR="00815195">
              <w:rPr>
                <w:iCs/>
              </w:rPr>
              <w:t xml:space="preserve">tiek </w:t>
            </w:r>
            <w:r w:rsidR="003E431F" w:rsidRPr="00521D98">
              <w:rPr>
                <w:iCs/>
              </w:rPr>
              <w:t>papildināta 10.</w:t>
            </w:r>
            <w:r w:rsidR="000C282A">
              <w:rPr>
                <w:iCs/>
              </w:rPr>
              <w:t> </w:t>
            </w:r>
            <w:r w:rsidR="003E431F" w:rsidRPr="00521D98">
              <w:rPr>
                <w:iCs/>
              </w:rPr>
              <w:t>panta trešā daļa, nosakot, ka izdienas pensijas saņēmēja pienākums ir nekavējoties informēt Aizsardzības ministriju par 10.</w:t>
            </w:r>
            <w:r w:rsidR="000C282A">
              <w:rPr>
                <w:iCs/>
              </w:rPr>
              <w:t> </w:t>
            </w:r>
            <w:r w:rsidR="003E431F" w:rsidRPr="00521D98">
              <w:rPr>
                <w:iCs/>
              </w:rPr>
              <w:t xml:space="preserve">panta sestajā daļā minēto apstākļu iestāšanos. Aizsardzības ministrija sadarbībā ar Nacionālajiem bruņotajiem spēkiem </w:t>
            </w:r>
            <w:r w:rsidR="00815195">
              <w:rPr>
                <w:iCs/>
              </w:rPr>
              <w:t xml:space="preserve">arī </w:t>
            </w:r>
            <w:r w:rsidR="003E431F" w:rsidRPr="00521D98">
              <w:rPr>
                <w:iCs/>
              </w:rPr>
              <w:t>veiks šādu personu pārbaudi.</w:t>
            </w:r>
            <w:r w:rsidR="008A3832" w:rsidRPr="00521D98">
              <w:rPr>
                <w:iCs/>
              </w:rPr>
              <w:t xml:space="preserve"> Personu pārbaude tiks veikta saskaņā ar 2013.</w:t>
            </w:r>
            <w:r w:rsidR="000C282A">
              <w:rPr>
                <w:iCs/>
              </w:rPr>
              <w:t> gada</w:t>
            </w:r>
            <w:r w:rsidR="008A3832" w:rsidRPr="00521D98">
              <w:rPr>
                <w:iCs/>
              </w:rPr>
              <w:t> </w:t>
            </w:r>
            <w:r w:rsidR="000C282A">
              <w:rPr>
                <w:iCs/>
              </w:rPr>
              <w:t xml:space="preserve">28. oktobrī </w:t>
            </w:r>
            <w:r w:rsidR="008A3832" w:rsidRPr="00521D98">
              <w:rPr>
                <w:iCs/>
              </w:rPr>
              <w:t>noslēgto starpresoru vienošanās „Par valsts informācijas sistēmu lietošanu tiešsaistes datu pārraides režīmā”.</w:t>
            </w:r>
          </w:p>
          <w:p w14:paraId="3BAFBE46" w14:textId="4F461521" w:rsidR="001109ED" w:rsidRDefault="001109ED" w:rsidP="003E431F">
            <w:pPr>
              <w:pStyle w:val="labojumupamats"/>
              <w:shd w:val="clear" w:color="auto" w:fill="FFFFFF"/>
              <w:spacing w:before="0" w:beforeAutospacing="0" w:after="0" w:afterAutospacing="0"/>
              <w:jc w:val="both"/>
              <w:rPr>
                <w:iCs/>
              </w:rPr>
            </w:pPr>
          </w:p>
          <w:p w14:paraId="1226F07D" w14:textId="5861C6CD" w:rsidR="00D562F5" w:rsidRPr="00D562F5" w:rsidRDefault="001A7A95" w:rsidP="00D562F5">
            <w:pPr>
              <w:pStyle w:val="labojumupamats"/>
              <w:shd w:val="clear" w:color="auto" w:fill="FFFFFF"/>
              <w:spacing w:before="0" w:beforeAutospacing="0" w:after="0" w:afterAutospacing="0"/>
              <w:jc w:val="both"/>
              <w:rPr>
                <w:iCs/>
              </w:rPr>
            </w:pPr>
            <w:r w:rsidRPr="001A7A95">
              <w:rPr>
                <w:iCs/>
              </w:rPr>
              <w:t>Aizsardzības ministrija ir pārskatījusi Militārā dienesta likuma un Latvijas Republikas Zemessardzes likumā noteiktos ierobežojumus sodīto personu pieņemšanai dienestā un iesniegusi Saeimas Aizsardzības iekšlietu un korupcijas novēršanas komisijā priekšlikumus to samazināšanai. Pamatojoties uz Aizsardzības ministrijas priekšlikumiem, tika izstrādāti likumprojekti “Grozījumi Militārā dienesta likumā” (Nr. 739/Lp13).</w:t>
            </w:r>
            <w:r w:rsidR="00D562F5">
              <w:t xml:space="preserve"> </w:t>
            </w:r>
            <w:r w:rsidR="00D562F5" w:rsidRPr="00D562F5">
              <w:rPr>
                <w:iCs/>
              </w:rPr>
              <w:t>Pēc šo grozījumu pieņemšanas absolūtais aizliegums tikt pieņemtam profesionālajā dienestā tiks saglabāts tikai attiecībā uz personām, kuras:</w:t>
            </w:r>
          </w:p>
          <w:p w14:paraId="30FDAD23" w14:textId="77777777" w:rsidR="00D562F5" w:rsidRPr="00D562F5" w:rsidRDefault="00D562F5" w:rsidP="00D562F5">
            <w:pPr>
              <w:pStyle w:val="labojumupamats"/>
              <w:shd w:val="clear" w:color="auto" w:fill="FFFFFF"/>
              <w:spacing w:before="0" w:beforeAutospacing="0" w:after="0" w:afterAutospacing="0"/>
              <w:jc w:val="both"/>
              <w:rPr>
                <w:iCs/>
              </w:rPr>
            </w:pPr>
            <w:r w:rsidRPr="00D562F5">
              <w:rPr>
                <w:iCs/>
              </w:rPr>
              <w:t>1) ir sodītas par tīšu smagu vai sevišķi smagu noziegumu, neatkarīgi no sodāmības dzēšanas vai noņemšanas;</w:t>
            </w:r>
          </w:p>
          <w:p w14:paraId="7078C54B" w14:textId="77777777" w:rsidR="00D562F5" w:rsidRPr="00D562F5" w:rsidRDefault="00D562F5" w:rsidP="00D562F5">
            <w:pPr>
              <w:pStyle w:val="labojumupamats"/>
              <w:shd w:val="clear" w:color="auto" w:fill="FFFFFF"/>
              <w:spacing w:before="0" w:beforeAutospacing="0" w:after="0" w:afterAutospacing="0"/>
              <w:jc w:val="both"/>
              <w:rPr>
                <w:iCs/>
              </w:rPr>
            </w:pPr>
            <w:r w:rsidRPr="00D562F5">
              <w:rPr>
                <w:iCs/>
              </w:rPr>
              <w:t>2) ir notiesātas par tīšu smagu vai sevišķi smagu noziegumu, atbrīvojot no soda.</w:t>
            </w:r>
          </w:p>
          <w:p w14:paraId="4EA57FDC" w14:textId="63FA25AD" w:rsidR="001109ED" w:rsidRPr="00521D98" w:rsidRDefault="00D865B2" w:rsidP="00D562F5">
            <w:pPr>
              <w:pStyle w:val="labojumupamats"/>
              <w:shd w:val="clear" w:color="auto" w:fill="FFFFFF"/>
              <w:spacing w:before="0" w:beforeAutospacing="0" w:after="0" w:afterAutospacing="0"/>
              <w:jc w:val="both"/>
              <w:rPr>
                <w:iCs/>
              </w:rPr>
            </w:pPr>
            <w:r>
              <w:rPr>
                <w:iCs/>
              </w:rPr>
              <w:t>Militārā dienesta likuma grozījumos</w:t>
            </w:r>
            <w:r w:rsidR="00D562F5" w:rsidRPr="00D562F5">
              <w:rPr>
                <w:iCs/>
              </w:rPr>
              <w:t xml:space="preserve"> ir </w:t>
            </w:r>
            <w:r>
              <w:rPr>
                <w:iCs/>
              </w:rPr>
              <w:t xml:space="preserve">arī </w:t>
            </w:r>
            <w:r w:rsidR="00D562F5" w:rsidRPr="00D562F5">
              <w:rPr>
                <w:iCs/>
              </w:rPr>
              <w:t>noteikts piecu gadu termiņš pēc lēmuma par kriminālprocesa izbeigšanu uz nereabilitējošā pamata, prokurora priekšraksta vai sprieduma spēkā stāšanās, pēc kura notecēšanas komisija varēs vērtēt sodīto vai notiesāto personu pieņemšanu profesionālajā dienestā.</w:t>
            </w:r>
          </w:p>
          <w:p w14:paraId="6984B5CE" w14:textId="42745A5D" w:rsidR="000734C3" w:rsidRDefault="00D865B2" w:rsidP="003E431F">
            <w:pPr>
              <w:pStyle w:val="labojumupamats"/>
              <w:shd w:val="clear" w:color="auto" w:fill="FFFFFF"/>
              <w:spacing w:before="0" w:beforeAutospacing="0" w:after="0" w:afterAutospacing="0"/>
              <w:jc w:val="both"/>
              <w:rPr>
                <w:iCs/>
              </w:rPr>
            </w:pPr>
            <w:r>
              <w:rPr>
                <w:iCs/>
              </w:rPr>
              <w:t xml:space="preserve">Uz personām, kuras no jauna tiks pieņemtas profesionālajā dienestā būs attiecināma Militārpersonu izdienas pensiju likuma 10. panta ceturtā daļa (par </w:t>
            </w:r>
            <w:r>
              <w:rPr>
                <w:iCs/>
              </w:rPr>
              <w:lastRenderedPageBreak/>
              <w:t>izdienas pensijas pārrēķinu). Uz šīm personām tiks attiecināta Militārpers</w:t>
            </w:r>
            <w:r w:rsidR="000C282A">
              <w:rPr>
                <w:iCs/>
              </w:rPr>
              <w:t>onu izdienas pensiju likuma 10. </w:t>
            </w:r>
            <w:r>
              <w:rPr>
                <w:iCs/>
              </w:rPr>
              <w:t>panta piektā vai sestā daļa, ja izpildīsies šajās daļās minētie pensijas izmaksas pārtraukšanas priekšnosacījumi</w:t>
            </w:r>
            <w:r w:rsidR="005C5E8A">
              <w:rPr>
                <w:iCs/>
              </w:rPr>
              <w:t xml:space="preserve"> (ja personas izdarīs jaunus noziedzīgus nodarījumus)</w:t>
            </w:r>
            <w:r>
              <w:rPr>
                <w:iCs/>
              </w:rPr>
              <w:t xml:space="preserve">. </w:t>
            </w:r>
          </w:p>
          <w:p w14:paraId="2EA2D0AF" w14:textId="77777777" w:rsidR="000C282A" w:rsidRDefault="000C282A" w:rsidP="003B0019">
            <w:pPr>
              <w:pStyle w:val="labojumupamats"/>
              <w:shd w:val="clear" w:color="auto" w:fill="FFFFFF"/>
              <w:spacing w:before="0" w:beforeAutospacing="0" w:after="0" w:afterAutospacing="0"/>
              <w:jc w:val="both"/>
              <w:rPr>
                <w:iCs/>
              </w:rPr>
            </w:pPr>
          </w:p>
          <w:p w14:paraId="233F8331" w14:textId="776C4B76" w:rsidR="00073260" w:rsidRPr="000734C3" w:rsidRDefault="000C282A" w:rsidP="003B0019">
            <w:pPr>
              <w:pStyle w:val="labojumupamats"/>
              <w:shd w:val="clear" w:color="auto" w:fill="FFFFFF"/>
              <w:spacing w:before="0" w:beforeAutospacing="0" w:after="0" w:afterAutospacing="0"/>
              <w:jc w:val="both"/>
              <w:rPr>
                <w:iCs/>
              </w:rPr>
            </w:pPr>
            <w:r>
              <w:rPr>
                <w:iCs/>
              </w:rPr>
              <w:t xml:space="preserve">Ar </w:t>
            </w:r>
            <w:r w:rsidR="00DC0C08" w:rsidRPr="00DC0C08">
              <w:rPr>
                <w:iCs/>
              </w:rPr>
              <w:t>projektu tiek pilnveidots valsts pārvaldes pakalpojums “Militārpersonu izdienas pensijas piešķiršana”.</w:t>
            </w:r>
            <w:r w:rsidR="00DC0C08">
              <w:rPr>
                <w:iCs/>
              </w:rPr>
              <w:t xml:space="preserve"> </w:t>
            </w:r>
            <w:r w:rsidR="00DC0C08" w:rsidRPr="00DC0C08">
              <w:rPr>
                <w:iCs/>
              </w:rPr>
              <w:t>Minētais pakalpojums tiek sniegts, izmantojot ne tikai klātienes kanālus (iesniedzot iesniegumu Aizsardzības ministrijā klātienē), bet arī neklātienes kanālus (iesniedzot iesniegumu ar pasta, e-pasta, e-adreses un valsts pārvaldes pakalpojumu portāla Latvija.lv starpniecību).</w:t>
            </w:r>
          </w:p>
        </w:tc>
      </w:tr>
      <w:tr w:rsidR="0044609B" w:rsidRPr="000734C3" w14:paraId="27CBD749" w14:textId="77777777" w:rsidTr="00456175">
        <w:tc>
          <w:tcPr>
            <w:tcW w:w="300" w:type="pct"/>
            <w:hideMark/>
          </w:tcPr>
          <w:p w14:paraId="3D8156D2"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lastRenderedPageBreak/>
              <w:t>3.</w:t>
            </w:r>
          </w:p>
        </w:tc>
        <w:tc>
          <w:tcPr>
            <w:tcW w:w="1700" w:type="pct"/>
            <w:hideMark/>
          </w:tcPr>
          <w:p w14:paraId="25EC8DBB"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7F0617CC" w14:textId="77777777" w:rsidR="00E5323B" w:rsidRPr="00521D98" w:rsidRDefault="000734C3"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Aizsardzības ministrija un </w:t>
            </w:r>
            <w:r w:rsidR="00B97A48" w:rsidRPr="00521D98">
              <w:rPr>
                <w:rFonts w:ascii="Times New Roman" w:eastAsia="Times New Roman" w:hAnsi="Times New Roman" w:cs="Times New Roman"/>
                <w:iCs/>
                <w:sz w:val="24"/>
                <w:szCs w:val="24"/>
                <w:lang w:eastAsia="lv-LV"/>
              </w:rPr>
              <w:t>Nacionālie bruņotie spēki</w:t>
            </w:r>
          </w:p>
        </w:tc>
      </w:tr>
      <w:tr w:rsidR="0044609B" w:rsidRPr="000734C3" w14:paraId="62E136BA" w14:textId="77777777" w:rsidTr="00456175">
        <w:tc>
          <w:tcPr>
            <w:tcW w:w="300" w:type="pct"/>
            <w:hideMark/>
          </w:tcPr>
          <w:p w14:paraId="520ECDD5"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4.</w:t>
            </w:r>
          </w:p>
        </w:tc>
        <w:tc>
          <w:tcPr>
            <w:tcW w:w="1700" w:type="pct"/>
            <w:hideMark/>
          </w:tcPr>
          <w:p w14:paraId="1CFB34B4"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Cita informācija</w:t>
            </w:r>
          </w:p>
        </w:tc>
        <w:tc>
          <w:tcPr>
            <w:tcW w:w="3000" w:type="pct"/>
            <w:hideMark/>
          </w:tcPr>
          <w:p w14:paraId="6C21AC70" w14:textId="77777777" w:rsidR="00E5323B" w:rsidRPr="00521D98" w:rsidRDefault="00B97A48" w:rsidP="00521D98">
            <w:pPr>
              <w:jc w:val="both"/>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Nav</w:t>
            </w:r>
          </w:p>
        </w:tc>
      </w:tr>
    </w:tbl>
    <w:p w14:paraId="74FD6917" w14:textId="77777777" w:rsidR="00E5323B" w:rsidRPr="00521D98" w:rsidRDefault="00E5323B"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0734C3" w14:paraId="278751AA" w14:textId="77777777" w:rsidTr="00456175">
        <w:tc>
          <w:tcPr>
            <w:tcW w:w="0" w:type="auto"/>
            <w:gridSpan w:val="3"/>
            <w:hideMark/>
          </w:tcPr>
          <w:p w14:paraId="38B58A4C" w14:textId="77777777" w:rsidR="00655F2C" w:rsidRPr="00521D98" w:rsidRDefault="00E5323B" w:rsidP="00521D98">
            <w:pPr>
              <w:jc w:val="cente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609B" w:rsidRPr="000734C3" w14:paraId="0985B4B1" w14:textId="77777777" w:rsidTr="00456175">
        <w:tc>
          <w:tcPr>
            <w:tcW w:w="300" w:type="pct"/>
            <w:hideMark/>
          </w:tcPr>
          <w:p w14:paraId="0D54A840"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1.</w:t>
            </w:r>
          </w:p>
        </w:tc>
        <w:tc>
          <w:tcPr>
            <w:tcW w:w="1700" w:type="pct"/>
            <w:hideMark/>
          </w:tcPr>
          <w:p w14:paraId="03C7494A"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Pr>
          <w:p w14:paraId="0F534B8A" w14:textId="4C98BFAF" w:rsidR="00E5323B" w:rsidRPr="00521D98" w:rsidRDefault="00FD0BE2" w:rsidP="00521D9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Militārpersonas, kuras atvaļinātas no profesionālā dienesta.</w:t>
            </w:r>
          </w:p>
        </w:tc>
      </w:tr>
      <w:tr w:rsidR="0044609B" w:rsidRPr="000734C3" w14:paraId="1BECA8F3" w14:textId="77777777" w:rsidTr="00BA7BDE">
        <w:tc>
          <w:tcPr>
            <w:tcW w:w="300" w:type="pct"/>
            <w:hideMark/>
          </w:tcPr>
          <w:p w14:paraId="6971AFAF"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2.</w:t>
            </w:r>
          </w:p>
        </w:tc>
        <w:tc>
          <w:tcPr>
            <w:tcW w:w="1700" w:type="pct"/>
            <w:tcBorders>
              <w:bottom w:val="single" w:sz="4" w:space="0" w:color="auto"/>
            </w:tcBorders>
            <w:hideMark/>
          </w:tcPr>
          <w:p w14:paraId="496DAE0E"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0FBB34FE" w14:textId="161FBA9A" w:rsidR="00E5323B" w:rsidRPr="00521D98" w:rsidRDefault="00CA3D9B"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97A48" w:rsidRPr="00521D98">
              <w:rPr>
                <w:rFonts w:ascii="Times New Roman" w:eastAsia="Times New Roman" w:hAnsi="Times New Roman" w:cs="Times New Roman"/>
                <w:iCs/>
                <w:sz w:val="24"/>
                <w:szCs w:val="24"/>
                <w:lang w:eastAsia="lv-LV"/>
              </w:rPr>
              <w:t>rojekts šo jomu neskar.</w:t>
            </w:r>
          </w:p>
        </w:tc>
      </w:tr>
      <w:tr w:rsidR="0044609B" w:rsidRPr="000734C3" w14:paraId="6614F85A" w14:textId="77777777" w:rsidTr="00BA7BDE">
        <w:tc>
          <w:tcPr>
            <w:tcW w:w="300" w:type="pct"/>
            <w:tcBorders>
              <w:top w:val="single" w:sz="4" w:space="0" w:color="000000" w:themeColor="text1"/>
            </w:tcBorders>
            <w:hideMark/>
          </w:tcPr>
          <w:p w14:paraId="611A405A"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3.</w:t>
            </w:r>
          </w:p>
        </w:tc>
        <w:tc>
          <w:tcPr>
            <w:tcW w:w="1700" w:type="pct"/>
            <w:tcBorders>
              <w:top w:val="single" w:sz="4" w:space="0" w:color="auto"/>
              <w:bottom w:val="nil"/>
            </w:tcBorders>
            <w:hideMark/>
          </w:tcPr>
          <w:p w14:paraId="4723A0E0"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Administratīvo izmaksu monetārs novērtējums</w:t>
            </w:r>
          </w:p>
        </w:tc>
        <w:tc>
          <w:tcPr>
            <w:tcW w:w="3000" w:type="pct"/>
            <w:tcBorders>
              <w:top w:val="single" w:sz="4" w:space="0" w:color="000000" w:themeColor="text1"/>
            </w:tcBorders>
            <w:hideMark/>
          </w:tcPr>
          <w:p w14:paraId="3CDF8598" w14:textId="77777777" w:rsidR="00E5323B" w:rsidRPr="00521D98" w:rsidRDefault="0044609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Nav</w:t>
            </w:r>
          </w:p>
        </w:tc>
      </w:tr>
      <w:tr w:rsidR="0044609B" w:rsidRPr="000734C3" w14:paraId="42F8A0F1" w14:textId="77777777" w:rsidTr="00BA7BDE">
        <w:tc>
          <w:tcPr>
            <w:tcW w:w="300" w:type="pct"/>
            <w:hideMark/>
          </w:tcPr>
          <w:p w14:paraId="4D887042"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4.</w:t>
            </w:r>
          </w:p>
        </w:tc>
        <w:tc>
          <w:tcPr>
            <w:tcW w:w="1700" w:type="pct"/>
            <w:tcBorders>
              <w:top w:val="nil"/>
            </w:tcBorders>
            <w:hideMark/>
          </w:tcPr>
          <w:p w14:paraId="06476C79"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Atbilstības izmaksu monetārs novērtējums</w:t>
            </w:r>
          </w:p>
        </w:tc>
        <w:tc>
          <w:tcPr>
            <w:tcW w:w="3000" w:type="pct"/>
            <w:hideMark/>
          </w:tcPr>
          <w:p w14:paraId="7D18FEEC" w14:textId="77777777" w:rsidR="00E5323B" w:rsidRPr="00521D98" w:rsidRDefault="0044609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Nav</w:t>
            </w:r>
          </w:p>
        </w:tc>
      </w:tr>
      <w:tr w:rsidR="0044609B" w:rsidRPr="000734C3" w14:paraId="47725F14" w14:textId="77777777" w:rsidTr="00456175">
        <w:tc>
          <w:tcPr>
            <w:tcW w:w="300" w:type="pct"/>
            <w:hideMark/>
          </w:tcPr>
          <w:p w14:paraId="5743051B"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5.</w:t>
            </w:r>
          </w:p>
        </w:tc>
        <w:tc>
          <w:tcPr>
            <w:tcW w:w="1700" w:type="pct"/>
            <w:hideMark/>
          </w:tcPr>
          <w:p w14:paraId="4127C88E"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Cita informācija</w:t>
            </w:r>
          </w:p>
        </w:tc>
        <w:tc>
          <w:tcPr>
            <w:tcW w:w="3000" w:type="pct"/>
            <w:hideMark/>
          </w:tcPr>
          <w:p w14:paraId="2E45D112" w14:textId="77777777" w:rsidR="00E5323B" w:rsidRPr="00521D98" w:rsidRDefault="0044609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Nav</w:t>
            </w:r>
          </w:p>
        </w:tc>
      </w:tr>
    </w:tbl>
    <w:p w14:paraId="09B65D4F" w14:textId="77777777" w:rsidR="00AF341E" w:rsidRPr="00521D98" w:rsidRDefault="00E5323B"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p>
    <w:tbl>
      <w:tblPr>
        <w:tblW w:w="5005" w:type="pct"/>
        <w:tblCellSpacing w:w="15" w:type="dxa"/>
        <w:tblBorders>
          <w:top w:val="single" w:sz="4" w:space="0" w:color="auto"/>
          <w:left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0"/>
      </w:tblGrid>
      <w:tr w:rsidR="00AF341E" w:rsidRPr="000734C3" w14:paraId="61B8235F" w14:textId="77777777" w:rsidTr="00BA7BDE">
        <w:trPr>
          <w:tblCellSpacing w:w="15" w:type="dxa"/>
        </w:trPr>
        <w:tc>
          <w:tcPr>
            <w:tcW w:w="4967" w:type="pct"/>
            <w:vAlign w:val="center"/>
            <w:hideMark/>
          </w:tcPr>
          <w:p w14:paraId="3B8E6B53" w14:textId="5376BBAF" w:rsidR="00BA7BDE" w:rsidRPr="000C282A" w:rsidRDefault="00AF341E" w:rsidP="00AF341E">
            <w:pPr>
              <w:spacing w:after="0" w:line="240" w:lineRule="auto"/>
              <w:rPr>
                <w:rFonts w:ascii="Times New Roman" w:eastAsia="Times New Roman" w:hAnsi="Times New Roman" w:cs="Times New Roman"/>
                <w:b/>
                <w:iCs/>
                <w:sz w:val="24"/>
                <w:szCs w:val="24"/>
                <w:lang w:eastAsia="lv-LV"/>
              </w:rPr>
            </w:pPr>
            <w:r w:rsidRPr="00521D98">
              <w:rPr>
                <w:rFonts w:ascii="Times New Roman" w:eastAsia="Times New Roman" w:hAnsi="Times New Roman" w:cs="Times New Roman"/>
                <w:b/>
                <w:iCs/>
                <w:sz w:val="24"/>
                <w:szCs w:val="24"/>
                <w:lang w:eastAsia="lv-LV"/>
              </w:rPr>
              <w:t xml:space="preserve">      III. Tiesību akta projekta ietekme uz valsts budžetu un pašvaldību budžetiem</w:t>
            </w:r>
          </w:p>
        </w:tc>
      </w:tr>
      <w:tr w:rsidR="00BA7BDE" w:rsidRPr="000734C3" w14:paraId="42913C81" w14:textId="77777777" w:rsidTr="00BA7BDE">
        <w:trPr>
          <w:tblCellSpacing w:w="15" w:type="dxa"/>
        </w:trPr>
        <w:tc>
          <w:tcPr>
            <w:tcW w:w="4967" w:type="pct"/>
            <w:vAlign w:val="center"/>
          </w:tcPr>
          <w:p w14:paraId="7031D3A4" w14:textId="77777777" w:rsidR="00BA7BDE" w:rsidRPr="00521D98" w:rsidRDefault="00BA7BDE" w:rsidP="00521D98">
            <w:pPr>
              <w:spacing w:after="0" w:line="240" w:lineRule="auto"/>
              <w:jc w:val="cente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Projekts šo jomu </w:t>
            </w:r>
            <w:r w:rsidR="00BE4263" w:rsidRPr="00521D98">
              <w:rPr>
                <w:rFonts w:ascii="Times New Roman" w:eastAsia="Times New Roman" w:hAnsi="Times New Roman" w:cs="Times New Roman"/>
                <w:iCs/>
                <w:sz w:val="24"/>
                <w:szCs w:val="24"/>
                <w:lang w:eastAsia="lv-LV"/>
              </w:rPr>
              <w:t>neskar.</w:t>
            </w:r>
          </w:p>
        </w:tc>
      </w:tr>
    </w:tbl>
    <w:p w14:paraId="58CAF981" w14:textId="77777777" w:rsidR="00E5323B" w:rsidRPr="00521D98" w:rsidRDefault="00AF341E"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r w:rsidR="00E5323B" w:rsidRPr="00521D98">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44609B" w:rsidRPr="000734C3" w14:paraId="142FA9F4" w14:textId="77777777" w:rsidTr="00456175">
        <w:tc>
          <w:tcPr>
            <w:tcW w:w="0" w:type="auto"/>
            <w:hideMark/>
          </w:tcPr>
          <w:p w14:paraId="7DD29F21" w14:textId="77777777" w:rsidR="00655F2C" w:rsidRPr="00521D98" w:rsidRDefault="00E5323B" w:rsidP="00521D98">
            <w:pPr>
              <w:jc w:val="cente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IV. Tiesību akta projekta ietekme uz spēkā esošo tiesību normu sistēmu</w:t>
            </w:r>
          </w:p>
        </w:tc>
      </w:tr>
      <w:tr w:rsidR="00CA3D9B" w:rsidRPr="00521D98" w14:paraId="6F5ED19D" w14:textId="77777777" w:rsidTr="00456175">
        <w:tc>
          <w:tcPr>
            <w:tcW w:w="0" w:type="auto"/>
          </w:tcPr>
          <w:p w14:paraId="0397BDF3" w14:textId="77777777" w:rsidR="00CA3D9B" w:rsidRPr="00CA3D9B" w:rsidRDefault="00CA3D9B" w:rsidP="00563D87">
            <w:pPr>
              <w:jc w:val="center"/>
              <w:rPr>
                <w:rFonts w:ascii="Times New Roman" w:eastAsia="Times New Roman" w:hAnsi="Times New Roman" w:cs="Times New Roman"/>
                <w:b/>
                <w:bCs/>
                <w:iCs/>
                <w:sz w:val="24"/>
                <w:szCs w:val="24"/>
                <w:lang w:eastAsia="lv-LV"/>
              </w:rPr>
            </w:pPr>
            <w:r w:rsidRPr="00F55E5A">
              <w:rPr>
                <w:rFonts w:ascii="Times New Roman" w:eastAsia="Times New Roman" w:hAnsi="Times New Roman" w:cs="Times New Roman"/>
                <w:iCs/>
                <w:sz w:val="24"/>
                <w:szCs w:val="24"/>
                <w:lang w:eastAsia="lv-LV"/>
              </w:rPr>
              <w:t>Projekts šo jomu neskar.</w:t>
            </w:r>
          </w:p>
        </w:tc>
      </w:tr>
    </w:tbl>
    <w:p w14:paraId="239C7909" w14:textId="77777777" w:rsidR="00E5323B" w:rsidRPr="00521D98" w:rsidRDefault="00E5323B"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44609B" w:rsidRPr="000734C3" w14:paraId="499D32A4" w14:textId="77777777" w:rsidTr="00456175">
        <w:tc>
          <w:tcPr>
            <w:tcW w:w="0" w:type="auto"/>
            <w:hideMark/>
          </w:tcPr>
          <w:p w14:paraId="44DC11A1" w14:textId="77777777" w:rsidR="00655F2C" w:rsidRPr="00521D98" w:rsidRDefault="00E5323B" w:rsidP="00E5323B">
            <w:pP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3D9B" w:rsidRPr="00521D98" w14:paraId="2F75E752" w14:textId="77777777" w:rsidTr="00456175">
        <w:tc>
          <w:tcPr>
            <w:tcW w:w="0" w:type="auto"/>
          </w:tcPr>
          <w:p w14:paraId="2EAC9FA9" w14:textId="77777777" w:rsidR="00CA3D9B" w:rsidRPr="00CA3D9B" w:rsidRDefault="00CA3D9B" w:rsidP="00521D98">
            <w:pPr>
              <w:jc w:val="center"/>
              <w:rPr>
                <w:rFonts w:ascii="Times New Roman" w:eastAsia="Times New Roman" w:hAnsi="Times New Roman" w:cs="Times New Roman"/>
                <w:b/>
                <w:bCs/>
                <w:iCs/>
                <w:sz w:val="24"/>
                <w:szCs w:val="24"/>
                <w:lang w:eastAsia="lv-LV"/>
              </w:rPr>
            </w:pPr>
            <w:r w:rsidRPr="00F55E5A">
              <w:rPr>
                <w:rFonts w:ascii="Times New Roman" w:eastAsia="Times New Roman" w:hAnsi="Times New Roman" w:cs="Times New Roman"/>
                <w:iCs/>
                <w:sz w:val="24"/>
                <w:szCs w:val="24"/>
                <w:lang w:eastAsia="lv-LV"/>
              </w:rPr>
              <w:t>Projekts šo jomu neskar.</w:t>
            </w:r>
          </w:p>
        </w:tc>
      </w:tr>
    </w:tbl>
    <w:p w14:paraId="51D33EFE" w14:textId="70F61ACA" w:rsidR="00E5323B" w:rsidRPr="00521D98" w:rsidRDefault="00E5323B"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p>
    <w:tbl>
      <w:tblPr>
        <w:tblStyle w:val="TableGrid"/>
        <w:tblW w:w="5003" w:type="pct"/>
        <w:tblLook w:val="04A0" w:firstRow="1" w:lastRow="0" w:firstColumn="1" w:lastColumn="0" w:noHBand="0" w:noVBand="1"/>
      </w:tblPr>
      <w:tblGrid>
        <w:gridCol w:w="562"/>
        <w:gridCol w:w="3142"/>
        <w:gridCol w:w="5362"/>
      </w:tblGrid>
      <w:tr w:rsidR="0044609B" w:rsidRPr="000734C3" w14:paraId="040176C7" w14:textId="77777777" w:rsidTr="00BA7BDE">
        <w:tc>
          <w:tcPr>
            <w:tcW w:w="5000" w:type="pct"/>
            <w:gridSpan w:val="3"/>
            <w:hideMark/>
          </w:tcPr>
          <w:p w14:paraId="302484A5" w14:textId="77777777" w:rsidR="00655F2C" w:rsidRPr="00521D98" w:rsidRDefault="00E5323B" w:rsidP="00521D98">
            <w:pPr>
              <w:jc w:val="cente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VI. Sabiedrības līdzdalība un komunikācijas aktivitātes</w:t>
            </w:r>
          </w:p>
        </w:tc>
      </w:tr>
      <w:tr w:rsidR="0044609B" w:rsidRPr="000734C3" w14:paraId="3F96A838" w14:textId="77777777" w:rsidTr="00521D98">
        <w:tc>
          <w:tcPr>
            <w:tcW w:w="310" w:type="pct"/>
            <w:hideMark/>
          </w:tcPr>
          <w:p w14:paraId="473652AF"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1.</w:t>
            </w:r>
          </w:p>
        </w:tc>
        <w:tc>
          <w:tcPr>
            <w:tcW w:w="1733" w:type="pct"/>
            <w:hideMark/>
          </w:tcPr>
          <w:p w14:paraId="0A0EEBBA"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57" w:type="pct"/>
            <w:hideMark/>
          </w:tcPr>
          <w:p w14:paraId="7976047A" w14:textId="32B76F02" w:rsidR="00E5323B" w:rsidRPr="00521D98" w:rsidRDefault="00FD0BE2" w:rsidP="000C282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FD0BE2">
              <w:rPr>
                <w:rFonts w:ascii="Times New Roman" w:eastAsia="Times New Roman" w:hAnsi="Times New Roman" w:cs="Times New Roman"/>
                <w:iCs/>
                <w:sz w:val="24"/>
                <w:szCs w:val="24"/>
                <w:lang w:eastAsia="lv-LV"/>
              </w:rPr>
              <w:t xml:space="preserve">ar projektu tika informēta sabiedrība, informāciju publicējot Aizsardzības  ministrijas tīmekļa vietnē, adrese: www.mod.gov.lv. Pēc </w:t>
            </w:r>
            <w:r w:rsidR="000C282A">
              <w:rPr>
                <w:rFonts w:ascii="Times New Roman" w:eastAsia="Times New Roman" w:hAnsi="Times New Roman" w:cs="Times New Roman"/>
                <w:iCs/>
                <w:sz w:val="24"/>
                <w:szCs w:val="24"/>
                <w:lang w:eastAsia="lv-LV"/>
              </w:rPr>
              <w:t>p</w:t>
            </w:r>
            <w:r w:rsidRPr="00FD0BE2">
              <w:rPr>
                <w:rFonts w:ascii="Times New Roman" w:eastAsia="Times New Roman" w:hAnsi="Times New Roman" w:cs="Times New Roman"/>
                <w:iCs/>
                <w:sz w:val="24"/>
                <w:szCs w:val="24"/>
                <w:lang w:eastAsia="lv-LV"/>
              </w:rPr>
              <w:t>rojekta izsludināšanas Valsts sekretāru sanāksmē tas ir pieejams Ministru kabineta tīmekļa vietnē, adrese: www.mk.gov.lv</w:t>
            </w:r>
            <w:r w:rsidR="000C282A">
              <w:rPr>
                <w:rFonts w:ascii="Times New Roman" w:eastAsia="Times New Roman" w:hAnsi="Times New Roman" w:cs="Times New Roman"/>
                <w:iCs/>
                <w:sz w:val="24"/>
                <w:szCs w:val="24"/>
                <w:lang w:eastAsia="lv-LV"/>
              </w:rPr>
              <w:t>.</w:t>
            </w:r>
          </w:p>
        </w:tc>
      </w:tr>
      <w:tr w:rsidR="0044609B" w:rsidRPr="000734C3" w14:paraId="0FBA251A" w14:textId="77777777" w:rsidTr="00521D98">
        <w:tc>
          <w:tcPr>
            <w:tcW w:w="310" w:type="pct"/>
            <w:hideMark/>
          </w:tcPr>
          <w:p w14:paraId="11C03567"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lastRenderedPageBreak/>
              <w:t>2.</w:t>
            </w:r>
          </w:p>
        </w:tc>
        <w:tc>
          <w:tcPr>
            <w:tcW w:w="1733" w:type="pct"/>
            <w:hideMark/>
          </w:tcPr>
          <w:p w14:paraId="15CD67B8"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Sabiedrības līdzdalība projekta izstrādē</w:t>
            </w:r>
          </w:p>
        </w:tc>
        <w:tc>
          <w:tcPr>
            <w:tcW w:w="2957" w:type="pct"/>
            <w:hideMark/>
          </w:tcPr>
          <w:p w14:paraId="0410B346" w14:textId="7F786CD8" w:rsidR="006E2083" w:rsidRPr="00521D98" w:rsidRDefault="005A7F73" w:rsidP="000C282A">
            <w:pPr>
              <w:jc w:val="both"/>
              <w:rPr>
                <w:rFonts w:ascii="Times New Roman" w:eastAsia="Times New Roman" w:hAnsi="Times New Roman" w:cs="Times New Roman"/>
                <w:iCs/>
                <w:sz w:val="24"/>
                <w:szCs w:val="24"/>
                <w:lang w:eastAsia="lv-LV"/>
              </w:rPr>
            </w:pPr>
            <w:r w:rsidRPr="006E2083">
              <w:rPr>
                <w:rFonts w:ascii="Times New Roman" w:eastAsia="Times New Roman" w:hAnsi="Times New Roman" w:cs="Times New Roman"/>
                <w:iCs/>
                <w:sz w:val="24"/>
                <w:szCs w:val="24"/>
                <w:lang w:eastAsia="lv-LV"/>
              </w:rPr>
              <w:t>Projekts publicēts</w:t>
            </w:r>
            <w:r w:rsidR="00FD0BE2" w:rsidRPr="006E2083">
              <w:rPr>
                <w:rFonts w:ascii="Times New Roman" w:eastAsia="Times New Roman" w:hAnsi="Times New Roman" w:cs="Times New Roman"/>
                <w:iCs/>
                <w:sz w:val="24"/>
                <w:szCs w:val="24"/>
                <w:lang w:eastAsia="lv-LV"/>
              </w:rPr>
              <w:t xml:space="preserve"> </w:t>
            </w:r>
            <w:r w:rsidR="00067FC4">
              <w:rPr>
                <w:rFonts w:ascii="Times New Roman" w:eastAsia="Times New Roman" w:hAnsi="Times New Roman" w:cs="Times New Roman"/>
                <w:iCs/>
                <w:sz w:val="24"/>
                <w:szCs w:val="24"/>
                <w:lang w:eastAsia="lv-LV"/>
              </w:rPr>
              <w:t xml:space="preserve">Aizsardzības ministrijas tīmekļa vietnē </w:t>
            </w:r>
            <w:r w:rsidR="006E2083" w:rsidRPr="006E2083">
              <w:rPr>
                <w:rFonts w:ascii="Times New Roman" w:eastAsia="Times New Roman" w:hAnsi="Times New Roman" w:cs="Times New Roman"/>
                <w:iCs/>
                <w:sz w:val="24"/>
                <w:szCs w:val="24"/>
                <w:lang w:eastAsia="lv-LV"/>
              </w:rPr>
              <w:t xml:space="preserve">2019.gada 22.novembrī </w:t>
            </w:r>
            <w:hyperlink r:id="rId9" w:history="1">
              <w:r w:rsidR="006E2083" w:rsidRPr="006E2083">
                <w:rPr>
                  <w:rStyle w:val="Hyperlink"/>
                  <w:rFonts w:ascii="Times New Roman" w:eastAsia="Times New Roman" w:hAnsi="Times New Roman" w:cs="Times New Roman"/>
                  <w:iCs/>
                  <w:color w:val="auto"/>
                  <w:sz w:val="24"/>
                  <w:szCs w:val="24"/>
                  <w:u w:val="none"/>
                  <w:lang w:eastAsia="lv-LV"/>
                </w:rPr>
                <w:t>https://www.mod.gov.lv/lv/nozares-politika/sabiedribas-lidzdaliba/sabiedriskas-un-publiskas-apspriesanas</w:t>
              </w:r>
            </w:hyperlink>
            <w:r w:rsidR="006E2083" w:rsidRPr="006E2083">
              <w:rPr>
                <w:rFonts w:ascii="Times New Roman" w:eastAsia="Times New Roman" w:hAnsi="Times New Roman" w:cs="Times New Roman"/>
                <w:iCs/>
                <w:sz w:val="24"/>
                <w:szCs w:val="24"/>
                <w:lang w:eastAsia="lv-LV"/>
              </w:rPr>
              <w:t xml:space="preserve"> lūdzot sniegt iebildumus līdz 2019.gada 12.decembrim.</w:t>
            </w:r>
          </w:p>
        </w:tc>
      </w:tr>
      <w:tr w:rsidR="0044609B" w:rsidRPr="000734C3" w14:paraId="152CE13B" w14:textId="77777777" w:rsidTr="00521D98">
        <w:tc>
          <w:tcPr>
            <w:tcW w:w="310" w:type="pct"/>
            <w:hideMark/>
          </w:tcPr>
          <w:p w14:paraId="732E1169"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3.</w:t>
            </w:r>
          </w:p>
        </w:tc>
        <w:tc>
          <w:tcPr>
            <w:tcW w:w="1733" w:type="pct"/>
            <w:hideMark/>
          </w:tcPr>
          <w:p w14:paraId="495EE779"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Sabiedrības līdzdalības rezultāti</w:t>
            </w:r>
          </w:p>
        </w:tc>
        <w:tc>
          <w:tcPr>
            <w:tcW w:w="2957" w:type="pct"/>
            <w:hideMark/>
          </w:tcPr>
          <w:p w14:paraId="58E2F063" w14:textId="24CBAA5A" w:rsidR="00E5323B" w:rsidRPr="00521D98" w:rsidRDefault="00521D98" w:rsidP="00E5323B">
            <w:pPr>
              <w:rPr>
                <w:rFonts w:ascii="Times New Roman" w:eastAsia="Times New Roman" w:hAnsi="Times New Roman" w:cs="Times New Roman"/>
                <w:iCs/>
                <w:sz w:val="24"/>
                <w:szCs w:val="24"/>
                <w:lang w:eastAsia="lv-LV"/>
              </w:rPr>
            </w:pPr>
            <w:r w:rsidRPr="00067FC4">
              <w:rPr>
                <w:rFonts w:ascii="Times New Roman" w:eastAsia="Times New Roman" w:hAnsi="Times New Roman" w:cs="Times New Roman"/>
                <w:iCs/>
                <w:sz w:val="24"/>
                <w:szCs w:val="24"/>
                <w:lang w:eastAsia="lv-LV"/>
              </w:rPr>
              <w:t>Nav</w:t>
            </w:r>
            <w:r w:rsidR="006E2083" w:rsidRPr="00067FC4">
              <w:rPr>
                <w:rFonts w:ascii="Times New Roman" w:eastAsia="Times New Roman" w:hAnsi="Times New Roman" w:cs="Times New Roman"/>
                <w:iCs/>
                <w:sz w:val="24"/>
                <w:szCs w:val="24"/>
                <w:lang w:eastAsia="lv-LV"/>
              </w:rPr>
              <w:t xml:space="preserve"> saņemti iebildumi.</w:t>
            </w:r>
          </w:p>
        </w:tc>
      </w:tr>
      <w:tr w:rsidR="0044609B" w:rsidRPr="000734C3" w14:paraId="26B2E3E4" w14:textId="77777777" w:rsidTr="00521D98">
        <w:tc>
          <w:tcPr>
            <w:tcW w:w="310" w:type="pct"/>
            <w:hideMark/>
          </w:tcPr>
          <w:p w14:paraId="75C9510C"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4.</w:t>
            </w:r>
          </w:p>
        </w:tc>
        <w:tc>
          <w:tcPr>
            <w:tcW w:w="1733" w:type="pct"/>
            <w:hideMark/>
          </w:tcPr>
          <w:p w14:paraId="4737378A"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Cita informācija</w:t>
            </w:r>
          </w:p>
        </w:tc>
        <w:tc>
          <w:tcPr>
            <w:tcW w:w="2957" w:type="pct"/>
            <w:hideMark/>
          </w:tcPr>
          <w:p w14:paraId="2C5A7E7A" w14:textId="77777777" w:rsidR="00E5323B" w:rsidRPr="00521D98" w:rsidRDefault="005A7F73"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Nav</w:t>
            </w:r>
          </w:p>
        </w:tc>
      </w:tr>
    </w:tbl>
    <w:p w14:paraId="37DD65F0" w14:textId="77777777" w:rsidR="00E5323B" w:rsidRPr="00521D98" w:rsidRDefault="00E5323B" w:rsidP="00E5323B">
      <w:pPr>
        <w:spacing w:after="0" w:line="240" w:lineRule="auto"/>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44609B" w:rsidRPr="000734C3" w14:paraId="66D8F0D7" w14:textId="77777777" w:rsidTr="00456175">
        <w:tc>
          <w:tcPr>
            <w:tcW w:w="0" w:type="auto"/>
            <w:gridSpan w:val="3"/>
            <w:hideMark/>
          </w:tcPr>
          <w:p w14:paraId="439C864C" w14:textId="77777777" w:rsidR="00655F2C" w:rsidRPr="00521D98" w:rsidRDefault="00E5323B" w:rsidP="00433528">
            <w:pPr>
              <w:jc w:val="center"/>
              <w:rPr>
                <w:rFonts w:ascii="Times New Roman" w:eastAsia="Times New Roman" w:hAnsi="Times New Roman" w:cs="Times New Roman"/>
                <w:b/>
                <w:bCs/>
                <w:iCs/>
                <w:sz w:val="24"/>
                <w:szCs w:val="24"/>
                <w:lang w:eastAsia="lv-LV"/>
              </w:rPr>
            </w:pPr>
            <w:r w:rsidRPr="00521D9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4609B" w:rsidRPr="000734C3" w14:paraId="790333BB" w14:textId="77777777" w:rsidTr="00456175">
        <w:tc>
          <w:tcPr>
            <w:tcW w:w="300" w:type="pct"/>
            <w:hideMark/>
          </w:tcPr>
          <w:p w14:paraId="2B9C6324"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1.</w:t>
            </w:r>
          </w:p>
        </w:tc>
        <w:tc>
          <w:tcPr>
            <w:tcW w:w="1700" w:type="pct"/>
            <w:hideMark/>
          </w:tcPr>
          <w:p w14:paraId="2994194C" w14:textId="77777777" w:rsidR="00F415F2"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Projekta izpildē iesaistītās institūcijas</w:t>
            </w:r>
          </w:p>
          <w:p w14:paraId="319B3B72" w14:textId="77777777" w:rsidR="00E5323B" w:rsidRPr="00521D98" w:rsidRDefault="00F415F2" w:rsidP="00F415F2">
            <w:pPr>
              <w:tabs>
                <w:tab w:val="left" w:pos="2154"/>
              </w:tabs>
              <w:rPr>
                <w:rFonts w:ascii="Times New Roman" w:eastAsia="Times New Roman" w:hAnsi="Times New Roman" w:cs="Times New Roman"/>
                <w:sz w:val="24"/>
                <w:szCs w:val="24"/>
                <w:lang w:eastAsia="lv-LV"/>
              </w:rPr>
            </w:pPr>
            <w:r w:rsidRPr="00521D98">
              <w:rPr>
                <w:rFonts w:ascii="Times New Roman" w:eastAsia="Times New Roman" w:hAnsi="Times New Roman" w:cs="Times New Roman"/>
                <w:sz w:val="24"/>
                <w:szCs w:val="24"/>
                <w:lang w:eastAsia="lv-LV"/>
              </w:rPr>
              <w:tab/>
            </w:r>
          </w:p>
        </w:tc>
        <w:tc>
          <w:tcPr>
            <w:tcW w:w="3000" w:type="pct"/>
            <w:hideMark/>
          </w:tcPr>
          <w:p w14:paraId="2B445F27" w14:textId="77777777" w:rsidR="00E5323B" w:rsidRPr="00521D98" w:rsidRDefault="00521D98"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 </w:t>
            </w:r>
            <w:r w:rsidR="005A7F73" w:rsidRPr="00521D98">
              <w:rPr>
                <w:rFonts w:ascii="Times New Roman" w:eastAsia="Times New Roman" w:hAnsi="Times New Roman" w:cs="Times New Roman"/>
                <w:iCs/>
                <w:sz w:val="24"/>
                <w:szCs w:val="24"/>
                <w:lang w:eastAsia="lv-LV"/>
              </w:rPr>
              <w:t>Nacionālie bruņotie spēki</w:t>
            </w:r>
          </w:p>
        </w:tc>
      </w:tr>
      <w:tr w:rsidR="0044609B" w:rsidRPr="000734C3" w14:paraId="051E7FF4" w14:textId="77777777" w:rsidTr="00456175">
        <w:tc>
          <w:tcPr>
            <w:tcW w:w="300" w:type="pct"/>
            <w:hideMark/>
          </w:tcPr>
          <w:p w14:paraId="0AE4819A"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2.</w:t>
            </w:r>
          </w:p>
        </w:tc>
        <w:tc>
          <w:tcPr>
            <w:tcW w:w="1700" w:type="pct"/>
            <w:hideMark/>
          </w:tcPr>
          <w:p w14:paraId="7B4C9D60"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Projekta izpildes ietekme uz pārvaldes funkcijām un institucionālo struktūru.</w:t>
            </w:r>
            <w:r w:rsidRPr="00521D9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453E6110" w14:textId="41D00F64" w:rsidR="00E5323B" w:rsidRPr="00521D98" w:rsidRDefault="000C282A" w:rsidP="00521D9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21D98" w:rsidRPr="00521D98">
              <w:rPr>
                <w:rFonts w:ascii="Times New Roman" w:eastAsia="Times New Roman" w:hAnsi="Times New Roman" w:cs="Times New Roman"/>
                <w:iCs/>
                <w:sz w:val="24"/>
                <w:szCs w:val="24"/>
                <w:lang w:eastAsia="lv-LV"/>
              </w:rPr>
              <w:t>rojekta izpildes rezultātā netiks izveidotas jaunas institūcijas un netiks likvidētas vai reorganizētas esošās institūcijas.</w:t>
            </w:r>
          </w:p>
        </w:tc>
      </w:tr>
      <w:tr w:rsidR="0044609B" w:rsidRPr="000734C3" w14:paraId="46672825" w14:textId="77777777" w:rsidTr="00456175">
        <w:tc>
          <w:tcPr>
            <w:tcW w:w="300" w:type="pct"/>
            <w:hideMark/>
          </w:tcPr>
          <w:p w14:paraId="7E1F5EA5" w14:textId="77777777" w:rsidR="00655F2C"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3.</w:t>
            </w:r>
          </w:p>
        </w:tc>
        <w:tc>
          <w:tcPr>
            <w:tcW w:w="1700" w:type="pct"/>
            <w:hideMark/>
          </w:tcPr>
          <w:p w14:paraId="147EEA30" w14:textId="77777777" w:rsidR="00E5323B" w:rsidRPr="00521D98" w:rsidRDefault="00E5323B" w:rsidP="00E5323B">
            <w:pPr>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Cita informācija</w:t>
            </w:r>
          </w:p>
        </w:tc>
        <w:tc>
          <w:tcPr>
            <w:tcW w:w="3000" w:type="pct"/>
            <w:hideMark/>
          </w:tcPr>
          <w:p w14:paraId="63EAEBDB" w14:textId="5B56AE13" w:rsidR="00E5323B" w:rsidRPr="00521D98" w:rsidRDefault="00BA7BDE" w:rsidP="000C282A">
            <w:pPr>
              <w:jc w:val="both"/>
              <w:rPr>
                <w:rFonts w:ascii="Times New Roman" w:eastAsia="Times New Roman" w:hAnsi="Times New Roman" w:cs="Times New Roman"/>
                <w:iCs/>
                <w:sz w:val="24"/>
                <w:szCs w:val="24"/>
                <w:lang w:eastAsia="lv-LV"/>
              </w:rPr>
            </w:pPr>
            <w:r w:rsidRPr="00521D98">
              <w:rPr>
                <w:rFonts w:ascii="Times New Roman" w:eastAsia="Times New Roman" w:hAnsi="Times New Roman" w:cs="Times New Roman"/>
                <w:iCs/>
                <w:sz w:val="24"/>
                <w:szCs w:val="24"/>
                <w:lang w:eastAsia="lv-LV"/>
              </w:rPr>
              <w:t xml:space="preserve">Aizsardzības ministrija </w:t>
            </w:r>
            <w:r w:rsidR="00CA3D9B" w:rsidRPr="00CA3D9B">
              <w:rPr>
                <w:rFonts w:ascii="Times New Roman" w:eastAsia="Times New Roman" w:hAnsi="Times New Roman" w:cs="Times New Roman"/>
                <w:iCs/>
                <w:sz w:val="24"/>
                <w:szCs w:val="24"/>
                <w:lang w:eastAsia="lv-LV"/>
              </w:rPr>
              <w:t>projektā</w:t>
            </w:r>
            <w:r w:rsidRPr="00521D98">
              <w:rPr>
                <w:rFonts w:ascii="Times New Roman" w:eastAsia="Times New Roman" w:hAnsi="Times New Roman" w:cs="Times New Roman"/>
                <w:iCs/>
                <w:sz w:val="24"/>
                <w:szCs w:val="24"/>
                <w:lang w:eastAsia="lv-LV"/>
              </w:rPr>
              <w:t xml:space="preserve"> ietverto normu īstenošanu nodrošinās piešķirto valsts budžeta līdzekļu ietvaros.</w:t>
            </w:r>
          </w:p>
        </w:tc>
      </w:tr>
    </w:tbl>
    <w:p w14:paraId="38659082" w14:textId="569C53A4" w:rsidR="00327147" w:rsidRDefault="00327147" w:rsidP="00387A69">
      <w:pPr>
        <w:pStyle w:val="Body"/>
        <w:spacing w:after="0" w:line="240" w:lineRule="auto"/>
        <w:ind w:firstLine="709"/>
        <w:jc w:val="both"/>
        <w:rPr>
          <w:rFonts w:ascii="Times New Roman" w:hAnsi="Times New Roman"/>
          <w:color w:val="auto"/>
          <w:sz w:val="28"/>
          <w:lang w:val="de-DE"/>
        </w:rPr>
      </w:pPr>
    </w:p>
    <w:p w14:paraId="4641AA4C" w14:textId="602EF8C7" w:rsidR="00327147" w:rsidRDefault="00327147" w:rsidP="00387A69">
      <w:pPr>
        <w:pStyle w:val="Body"/>
        <w:spacing w:after="0" w:line="240" w:lineRule="auto"/>
        <w:ind w:firstLine="709"/>
        <w:jc w:val="both"/>
        <w:rPr>
          <w:rFonts w:ascii="Times New Roman" w:hAnsi="Times New Roman"/>
          <w:color w:val="auto"/>
          <w:sz w:val="28"/>
          <w:lang w:val="de-DE"/>
        </w:rPr>
      </w:pPr>
    </w:p>
    <w:p w14:paraId="050ADBF7" w14:textId="77777777" w:rsidR="00327147" w:rsidRDefault="00327147" w:rsidP="00387A69">
      <w:pPr>
        <w:pStyle w:val="Body"/>
        <w:spacing w:after="0" w:line="240" w:lineRule="auto"/>
        <w:ind w:firstLine="709"/>
        <w:jc w:val="both"/>
        <w:rPr>
          <w:rFonts w:ascii="Times New Roman" w:hAnsi="Times New Roman"/>
          <w:color w:val="auto"/>
          <w:sz w:val="28"/>
          <w:lang w:val="de-DE"/>
        </w:rPr>
      </w:pPr>
    </w:p>
    <w:p w14:paraId="2B65A418" w14:textId="77777777" w:rsidR="00327147" w:rsidRDefault="00327147"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554F087" w14:textId="77777777" w:rsidR="00327147" w:rsidRPr="009E53E5" w:rsidRDefault="00327147"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50DCF2F1" w14:textId="0BE434E6" w:rsidR="00066B9A" w:rsidRPr="00521D98" w:rsidRDefault="00066B9A" w:rsidP="009D42C7">
      <w:pPr>
        <w:tabs>
          <w:tab w:val="left" w:pos="6804"/>
        </w:tabs>
        <w:spacing w:after="0"/>
        <w:rPr>
          <w:rFonts w:ascii="Times New Roman" w:hAnsi="Times New Roman" w:cs="Times New Roman"/>
          <w:sz w:val="24"/>
          <w:szCs w:val="24"/>
        </w:rPr>
      </w:pPr>
    </w:p>
    <w:p w14:paraId="6D76AB2F" w14:textId="77777777" w:rsidR="00066B9A" w:rsidRPr="00521D98" w:rsidRDefault="00066B9A" w:rsidP="009D42C7">
      <w:pPr>
        <w:tabs>
          <w:tab w:val="left" w:pos="6804"/>
        </w:tabs>
        <w:spacing w:after="0"/>
        <w:rPr>
          <w:rFonts w:ascii="Times New Roman" w:hAnsi="Times New Roman" w:cs="Times New Roman"/>
          <w:sz w:val="24"/>
          <w:szCs w:val="24"/>
        </w:rPr>
      </w:pPr>
    </w:p>
    <w:p w14:paraId="7C92197D" w14:textId="77777777" w:rsidR="009D42C7" w:rsidRPr="00521D98" w:rsidRDefault="009D42C7" w:rsidP="009D42C7">
      <w:pPr>
        <w:spacing w:after="0"/>
        <w:rPr>
          <w:rFonts w:ascii="Times New Roman" w:hAnsi="Times New Roman" w:cs="Times New Roman"/>
          <w:sz w:val="24"/>
          <w:szCs w:val="24"/>
        </w:rPr>
      </w:pPr>
    </w:p>
    <w:p w14:paraId="00C1409A" w14:textId="3469D73C" w:rsidR="00B35334" w:rsidRDefault="00B35334" w:rsidP="009D42C7">
      <w:pPr>
        <w:spacing w:after="0"/>
        <w:rPr>
          <w:rFonts w:ascii="Times New Roman" w:hAnsi="Times New Roman" w:cs="Times New Roman"/>
          <w:sz w:val="20"/>
          <w:szCs w:val="20"/>
        </w:rPr>
      </w:pPr>
    </w:p>
    <w:p w14:paraId="6920E632" w14:textId="60B6828F" w:rsidR="00B35334" w:rsidRDefault="00B35334" w:rsidP="009D42C7">
      <w:pPr>
        <w:spacing w:after="0"/>
        <w:rPr>
          <w:rFonts w:ascii="Times New Roman" w:hAnsi="Times New Roman" w:cs="Times New Roman"/>
          <w:sz w:val="20"/>
          <w:szCs w:val="20"/>
        </w:rPr>
      </w:pPr>
      <w:r>
        <w:rPr>
          <w:rFonts w:ascii="Times New Roman" w:hAnsi="Times New Roman" w:cs="Times New Roman"/>
          <w:sz w:val="20"/>
          <w:szCs w:val="20"/>
        </w:rPr>
        <w:t>Zane Šneidere</w:t>
      </w:r>
    </w:p>
    <w:p w14:paraId="0BE8D483" w14:textId="5B72F88E" w:rsidR="00894C55" w:rsidRPr="00521D98" w:rsidRDefault="007D0166" w:rsidP="009D42C7">
      <w:pPr>
        <w:spacing w:after="0"/>
        <w:rPr>
          <w:rFonts w:ascii="Times New Roman" w:hAnsi="Times New Roman" w:cs="Times New Roman"/>
          <w:sz w:val="20"/>
          <w:szCs w:val="20"/>
        </w:rPr>
      </w:pPr>
      <w:r>
        <w:rPr>
          <w:rFonts w:ascii="Times New Roman" w:hAnsi="Times New Roman" w:cs="Times New Roman"/>
          <w:sz w:val="20"/>
          <w:szCs w:val="20"/>
        </w:rPr>
        <w:t>Vita Upeniece,</w:t>
      </w:r>
      <w:r w:rsidRPr="00521D98">
        <w:rPr>
          <w:rFonts w:ascii="Times New Roman" w:hAnsi="Times New Roman" w:cs="Times New Roman"/>
          <w:sz w:val="20"/>
          <w:szCs w:val="20"/>
        </w:rPr>
        <w:t xml:space="preserve"> 673352</w:t>
      </w:r>
      <w:r>
        <w:rPr>
          <w:rFonts w:ascii="Times New Roman" w:hAnsi="Times New Roman" w:cs="Times New Roman"/>
          <w:sz w:val="20"/>
          <w:szCs w:val="20"/>
        </w:rPr>
        <w:t>41</w:t>
      </w:r>
    </w:p>
    <w:p w14:paraId="7E2D620E" w14:textId="0CA534E7" w:rsidR="009D42C7" w:rsidRDefault="007D0166" w:rsidP="009D42C7">
      <w:pPr>
        <w:spacing w:after="0"/>
        <w:rPr>
          <w:rFonts w:ascii="Times New Roman" w:hAnsi="Times New Roman" w:cs="Times New Roman"/>
          <w:sz w:val="20"/>
          <w:szCs w:val="20"/>
        </w:rPr>
      </w:pPr>
      <w:r>
        <w:rPr>
          <w:rFonts w:ascii="Times New Roman" w:hAnsi="Times New Roman" w:cs="Times New Roman"/>
          <w:sz w:val="20"/>
          <w:szCs w:val="20"/>
        </w:rPr>
        <w:t>Vita.Upeniece</w:t>
      </w:r>
      <w:r w:rsidR="009D42C7" w:rsidRPr="00521D98">
        <w:rPr>
          <w:rFonts w:ascii="Times New Roman" w:hAnsi="Times New Roman" w:cs="Times New Roman"/>
          <w:sz w:val="20"/>
          <w:szCs w:val="20"/>
        </w:rPr>
        <w:t>@mod.gov.lv</w:t>
      </w:r>
    </w:p>
    <w:p w14:paraId="38EB2ECD" w14:textId="316F40BF" w:rsidR="00327147" w:rsidRDefault="00327147" w:rsidP="00327147">
      <w:pPr>
        <w:rPr>
          <w:rFonts w:ascii="Times New Roman" w:hAnsi="Times New Roman" w:cs="Times New Roman"/>
          <w:sz w:val="20"/>
          <w:szCs w:val="20"/>
        </w:rPr>
      </w:pPr>
    </w:p>
    <w:p w14:paraId="1413A3CD" w14:textId="33FFF567" w:rsidR="00327147" w:rsidRPr="00327147" w:rsidRDefault="00327147" w:rsidP="00327147">
      <w:pPr>
        <w:rPr>
          <w:rFonts w:ascii="Times New Roman" w:hAnsi="Times New Roman" w:cs="Times New Roman"/>
          <w:sz w:val="20"/>
          <w:szCs w:val="20"/>
        </w:rPr>
      </w:pPr>
      <w:proofErr w:type="spellStart"/>
      <w:r>
        <w:rPr>
          <w:rFonts w:ascii="Times New Roman" w:hAnsi="Times New Roman" w:cs="Times New Roman"/>
          <w:sz w:val="20"/>
          <w:szCs w:val="20"/>
        </w:rPr>
        <w:t>v</w:t>
      </w:r>
      <w:bookmarkStart w:id="0" w:name="_GoBack"/>
      <w:bookmarkEnd w:id="0"/>
      <w:r>
        <w:rPr>
          <w:rFonts w:ascii="Times New Roman" w:hAnsi="Times New Roman" w:cs="Times New Roman"/>
          <w:sz w:val="20"/>
          <w:szCs w:val="20"/>
        </w:rPr>
        <w:t>_sk</w:t>
      </w:r>
      <w:proofErr w:type="spellEnd"/>
      <w:r>
        <w:rPr>
          <w:rFonts w:ascii="Times New Roman" w:hAnsi="Times New Roman" w:cs="Times New Roman"/>
          <w:sz w:val="20"/>
          <w:szCs w:val="20"/>
        </w:rPr>
        <w:t xml:space="preserve"> = 1285</w:t>
      </w:r>
    </w:p>
    <w:sectPr w:rsidR="00327147" w:rsidRPr="00327147" w:rsidSect="00D67D43">
      <w:headerReference w:type="default" r:id="rId10"/>
      <w:footerReference w:type="default" r:id="rId11"/>
      <w:footerReference w:type="first" r:id="rId12"/>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F6BD" w14:textId="77777777" w:rsidR="007E5F7A" w:rsidRDefault="007E5F7A" w:rsidP="00894C55">
      <w:pPr>
        <w:spacing w:after="0" w:line="240" w:lineRule="auto"/>
      </w:pPr>
      <w:r>
        <w:separator/>
      </w:r>
    </w:p>
  </w:endnote>
  <w:endnote w:type="continuationSeparator" w:id="0">
    <w:p w14:paraId="6EB675F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67924289"/>
      <w:docPartObj>
        <w:docPartGallery w:val="Page Numbers (Bottom of Page)"/>
        <w:docPartUnique/>
      </w:docPartObj>
    </w:sdtPr>
    <w:sdtEndPr>
      <w:rPr>
        <w:noProof/>
      </w:rPr>
    </w:sdtEndPr>
    <w:sdtContent>
      <w:p w14:paraId="475E3C06" w14:textId="0CC27947" w:rsidR="00F415F2" w:rsidRPr="009D42C7" w:rsidRDefault="00F415F2">
        <w:pPr>
          <w:pStyle w:val="Footer"/>
          <w:jc w:val="right"/>
          <w:rPr>
            <w:rFonts w:ascii="Times New Roman" w:hAnsi="Times New Roman" w:cs="Times New Roman"/>
          </w:rPr>
        </w:pPr>
        <w:r w:rsidRPr="009D42C7">
          <w:rPr>
            <w:rFonts w:ascii="Times New Roman" w:hAnsi="Times New Roman" w:cs="Times New Roman"/>
          </w:rPr>
          <w:fldChar w:fldCharType="begin"/>
        </w:r>
        <w:r w:rsidRPr="009D42C7">
          <w:rPr>
            <w:rFonts w:ascii="Times New Roman" w:hAnsi="Times New Roman" w:cs="Times New Roman"/>
          </w:rPr>
          <w:instrText xml:space="preserve"> PAGE   \* MERGEFORMAT </w:instrText>
        </w:r>
        <w:r w:rsidRPr="009D42C7">
          <w:rPr>
            <w:rFonts w:ascii="Times New Roman" w:hAnsi="Times New Roman" w:cs="Times New Roman"/>
          </w:rPr>
          <w:fldChar w:fldCharType="separate"/>
        </w:r>
        <w:r w:rsidR="000C282A">
          <w:rPr>
            <w:rFonts w:ascii="Times New Roman" w:hAnsi="Times New Roman" w:cs="Times New Roman"/>
            <w:noProof/>
          </w:rPr>
          <w:t>5</w:t>
        </w:r>
        <w:r w:rsidRPr="009D42C7">
          <w:rPr>
            <w:rFonts w:ascii="Times New Roman" w:hAnsi="Times New Roman" w:cs="Times New Roman"/>
            <w:noProof/>
          </w:rPr>
          <w:fldChar w:fldCharType="end"/>
        </w:r>
      </w:p>
    </w:sdtContent>
  </w:sdt>
  <w:p w14:paraId="05317ADD" w14:textId="5064A182" w:rsidR="00894C55" w:rsidRPr="00327147" w:rsidRDefault="00433528" w:rsidP="00327147">
    <w:pPr>
      <w:pStyle w:val="Footer"/>
      <w:tabs>
        <w:tab w:val="clear" w:pos="8306"/>
        <w:tab w:val="left" w:pos="4153"/>
      </w:tabs>
      <w:rPr>
        <w:rFonts w:ascii="Times New Roman" w:hAnsi="Times New Roman" w:cs="Times New Roman"/>
        <w:sz w:val="20"/>
        <w:szCs w:val="20"/>
      </w:rPr>
    </w:pPr>
    <w:r>
      <w:rPr>
        <w:rFonts w:ascii="Times New Roman" w:hAnsi="Times New Roman" w:cs="Times New Roman"/>
        <w:sz w:val="20"/>
        <w:szCs w:val="20"/>
      </w:rPr>
      <w:t>AI</w:t>
    </w:r>
    <w:r w:rsidR="00FE62B1" w:rsidRPr="00FE62B1">
      <w:rPr>
        <w:rFonts w:ascii="Times New Roman" w:hAnsi="Times New Roman" w:cs="Times New Roman"/>
        <w:sz w:val="20"/>
        <w:szCs w:val="20"/>
      </w:rPr>
      <w:t>Manot_</w:t>
    </w:r>
    <w:r w:rsidR="000D7AA5">
      <w:rPr>
        <w:rFonts w:ascii="Times New Roman" w:hAnsi="Times New Roman" w:cs="Times New Roman"/>
        <w:sz w:val="20"/>
        <w:szCs w:val="20"/>
      </w:rPr>
      <w:t>2</w:t>
    </w:r>
    <w:r w:rsidR="005F4260">
      <w:rPr>
        <w:rFonts w:ascii="Times New Roman" w:hAnsi="Times New Roman" w:cs="Times New Roman"/>
        <w:sz w:val="20"/>
        <w:szCs w:val="20"/>
      </w:rPr>
      <w:t>7</w:t>
    </w:r>
    <w:r w:rsidR="007D0166">
      <w:rPr>
        <w:rFonts w:ascii="Times New Roman" w:hAnsi="Times New Roman" w:cs="Times New Roman"/>
        <w:sz w:val="20"/>
        <w:szCs w:val="20"/>
      </w:rPr>
      <w:t>0820</w:t>
    </w:r>
    <w:r w:rsidR="00FE62B1">
      <w:rPr>
        <w:rFonts w:ascii="Times New Roman" w:hAnsi="Times New Roman" w:cs="Times New Roman"/>
        <w:sz w:val="20"/>
        <w:szCs w:val="20"/>
      </w:rPr>
      <w:t>_</w:t>
    </w:r>
    <w:r w:rsidR="00FE62B1" w:rsidRPr="00FE62B1">
      <w:rPr>
        <w:rFonts w:ascii="Times New Roman" w:hAnsi="Times New Roman" w:cs="Times New Roman"/>
        <w:sz w:val="20"/>
        <w:szCs w:val="20"/>
      </w:rPr>
      <w:t>MIPL</w:t>
    </w:r>
    <w:r w:rsidR="00327147">
      <w:rPr>
        <w:rFonts w:ascii="Times New Roman" w:hAnsi="Times New Roman" w:cs="Times New Roman"/>
        <w:sz w:val="20"/>
        <w:szCs w:val="20"/>
      </w:rPr>
      <w:t xml:space="preserve"> </w:t>
    </w:r>
    <w:r w:rsidR="00327147">
      <w:rPr>
        <w:rFonts w:ascii="Times New Roman" w:hAnsi="Times New Roman" w:cs="Times New Roman"/>
        <w:sz w:val="20"/>
        <w:szCs w:val="20"/>
      </w:rPr>
      <w:t>(TA-1706)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63D5" w14:textId="7F8958CE" w:rsidR="00FE62B1" w:rsidRPr="00FE62B1" w:rsidRDefault="00433528">
    <w:pPr>
      <w:pStyle w:val="Footer"/>
      <w:rPr>
        <w:rFonts w:ascii="Times New Roman" w:hAnsi="Times New Roman" w:cs="Times New Roman"/>
        <w:sz w:val="20"/>
        <w:szCs w:val="20"/>
      </w:rPr>
    </w:pPr>
    <w:r>
      <w:rPr>
        <w:rFonts w:ascii="Times New Roman" w:hAnsi="Times New Roman" w:cs="Times New Roman"/>
        <w:sz w:val="20"/>
        <w:szCs w:val="20"/>
      </w:rPr>
      <w:t>AI</w:t>
    </w:r>
    <w:r w:rsidR="00FE62B1" w:rsidRPr="00FE62B1">
      <w:rPr>
        <w:rFonts w:ascii="Times New Roman" w:hAnsi="Times New Roman" w:cs="Times New Roman"/>
        <w:sz w:val="20"/>
        <w:szCs w:val="20"/>
      </w:rPr>
      <w:t>Manot_</w:t>
    </w:r>
    <w:r w:rsidR="000D7AA5">
      <w:rPr>
        <w:rFonts w:ascii="Times New Roman" w:hAnsi="Times New Roman" w:cs="Times New Roman"/>
        <w:sz w:val="20"/>
        <w:szCs w:val="20"/>
      </w:rPr>
      <w:t>2</w:t>
    </w:r>
    <w:r w:rsidR="00B70B95">
      <w:rPr>
        <w:rFonts w:ascii="Times New Roman" w:hAnsi="Times New Roman" w:cs="Times New Roman"/>
        <w:sz w:val="20"/>
        <w:szCs w:val="20"/>
      </w:rPr>
      <w:t>7</w:t>
    </w:r>
    <w:r w:rsidR="009C506A">
      <w:rPr>
        <w:rFonts w:ascii="Times New Roman" w:hAnsi="Times New Roman" w:cs="Times New Roman"/>
        <w:sz w:val="20"/>
        <w:szCs w:val="20"/>
      </w:rPr>
      <w:t>0820</w:t>
    </w:r>
    <w:r w:rsidR="00FE62B1" w:rsidRPr="00FE62B1">
      <w:rPr>
        <w:rFonts w:ascii="Times New Roman" w:hAnsi="Times New Roman" w:cs="Times New Roman"/>
        <w:sz w:val="20"/>
        <w:szCs w:val="20"/>
      </w:rPr>
      <w:t>_MIPL</w:t>
    </w:r>
    <w:r w:rsidR="00327147">
      <w:rPr>
        <w:rFonts w:ascii="Times New Roman" w:hAnsi="Times New Roman" w:cs="Times New Roman"/>
        <w:sz w:val="20"/>
        <w:szCs w:val="20"/>
      </w:rPr>
      <w:t xml:space="preserve"> (TA-1706)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D3FE" w14:textId="77777777" w:rsidR="007E5F7A" w:rsidRDefault="007E5F7A" w:rsidP="00894C55">
      <w:pPr>
        <w:spacing w:after="0" w:line="240" w:lineRule="auto"/>
      </w:pPr>
      <w:r>
        <w:separator/>
      </w:r>
    </w:p>
  </w:footnote>
  <w:footnote w:type="continuationSeparator" w:id="0">
    <w:p w14:paraId="658158C2"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ECC8"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0C4"/>
    <w:rsid w:val="00014E71"/>
    <w:rsid w:val="00016F63"/>
    <w:rsid w:val="00045F99"/>
    <w:rsid w:val="000628EB"/>
    <w:rsid w:val="00066B9A"/>
    <w:rsid w:val="00067FC4"/>
    <w:rsid w:val="00073260"/>
    <w:rsid w:val="000734C3"/>
    <w:rsid w:val="000B23BA"/>
    <w:rsid w:val="000C282A"/>
    <w:rsid w:val="000C77D1"/>
    <w:rsid w:val="000D7AA5"/>
    <w:rsid w:val="000F54B8"/>
    <w:rsid w:val="001109ED"/>
    <w:rsid w:val="0016524B"/>
    <w:rsid w:val="001A7A95"/>
    <w:rsid w:val="00212894"/>
    <w:rsid w:val="002166CF"/>
    <w:rsid w:val="00243426"/>
    <w:rsid w:val="00265243"/>
    <w:rsid w:val="002E1C05"/>
    <w:rsid w:val="002F5A9D"/>
    <w:rsid w:val="00325C70"/>
    <w:rsid w:val="00327147"/>
    <w:rsid w:val="00341BE3"/>
    <w:rsid w:val="0036388C"/>
    <w:rsid w:val="003A6B0C"/>
    <w:rsid w:val="003B0019"/>
    <w:rsid w:val="003B0BF9"/>
    <w:rsid w:val="003B774C"/>
    <w:rsid w:val="003C2F1D"/>
    <w:rsid w:val="003E0791"/>
    <w:rsid w:val="003E431F"/>
    <w:rsid w:val="003F28AC"/>
    <w:rsid w:val="00433528"/>
    <w:rsid w:val="004454FE"/>
    <w:rsid w:val="0044609B"/>
    <w:rsid w:val="0045351C"/>
    <w:rsid w:val="00456175"/>
    <w:rsid w:val="00456E40"/>
    <w:rsid w:val="00471F27"/>
    <w:rsid w:val="004804F3"/>
    <w:rsid w:val="004F2396"/>
    <w:rsid w:val="0050178F"/>
    <w:rsid w:val="00516B76"/>
    <w:rsid w:val="00521D98"/>
    <w:rsid w:val="00563D87"/>
    <w:rsid w:val="0059323F"/>
    <w:rsid w:val="005A665F"/>
    <w:rsid w:val="005A7F73"/>
    <w:rsid w:val="005C4703"/>
    <w:rsid w:val="005C5E8A"/>
    <w:rsid w:val="005D5466"/>
    <w:rsid w:val="005F4260"/>
    <w:rsid w:val="0062574D"/>
    <w:rsid w:val="00630328"/>
    <w:rsid w:val="00655F2C"/>
    <w:rsid w:val="006570C8"/>
    <w:rsid w:val="00675FFE"/>
    <w:rsid w:val="006A3097"/>
    <w:rsid w:val="006B330B"/>
    <w:rsid w:val="006B694D"/>
    <w:rsid w:val="006D6B1E"/>
    <w:rsid w:val="006E1081"/>
    <w:rsid w:val="006E2083"/>
    <w:rsid w:val="00720585"/>
    <w:rsid w:val="00773AF6"/>
    <w:rsid w:val="007827CE"/>
    <w:rsid w:val="00795640"/>
    <w:rsid w:val="00795F71"/>
    <w:rsid w:val="007A62AA"/>
    <w:rsid w:val="007D0166"/>
    <w:rsid w:val="007E5F7A"/>
    <w:rsid w:val="007E73AB"/>
    <w:rsid w:val="00813284"/>
    <w:rsid w:val="00815195"/>
    <w:rsid w:val="00816C11"/>
    <w:rsid w:val="00850EB1"/>
    <w:rsid w:val="00894C55"/>
    <w:rsid w:val="008A3832"/>
    <w:rsid w:val="008C3B00"/>
    <w:rsid w:val="008D6C44"/>
    <w:rsid w:val="009010C2"/>
    <w:rsid w:val="00915486"/>
    <w:rsid w:val="009157DE"/>
    <w:rsid w:val="0094566D"/>
    <w:rsid w:val="00996EEB"/>
    <w:rsid w:val="009A2654"/>
    <w:rsid w:val="009C05DC"/>
    <w:rsid w:val="009C506A"/>
    <w:rsid w:val="009D2FA6"/>
    <w:rsid w:val="009D42C7"/>
    <w:rsid w:val="009E57BF"/>
    <w:rsid w:val="009F5AA6"/>
    <w:rsid w:val="00A10FC3"/>
    <w:rsid w:val="00A13CFC"/>
    <w:rsid w:val="00A15CD6"/>
    <w:rsid w:val="00A564BD"/>
    <w:rsid w:val="00A6073E"/>
    <w:rsid w:val="00AE5567"/>
    <w:rsid w:val="00AF1239"/>
    <w:rsid w:val="00AF341E"/>
    <w:rsid w:val="00AF789B"/>
    <w:rsid w:val="00B079D7"/>
    <w:rsid w:val="00B16480"/>
    <w:rsid w:val="00B2165C"/>
    <w:rsid w:val="00B35334"/>
    <w:rsid w:val="00B70B95"/>
    <w:rsid w:val="00B97A48"/>
    <w:rsid w:val="00BA20AA"/>
    <w:rsid w:val="00BA7BDE"/>
    <w:rsid w:val="00BB77FF"/>
    <w:rsid w:val="00BD13B2"/>
    <w:rsid w:val="00BD4425"/>
    <w:rsid w:val="00BE4263"/>
    <w:rsid w:val="00C25B49"/>
    <w:rsid w:val="00C34E6B"/>
    <w:rsid w:val="00C76286"/>
    <w:rsid w:val="00CA3D9B"/>
    <w:rsid w:val="00CB46AB"/>
    <w:rsid w:val="00CC0D2D"/>
    <w:rsid w:val="00CD11EF"/>
    <w:rsid w:val="00CD52AB"/>
    <w:rsid w:val="00CE0F59"/>
    <w:rsid w:val="00CE5657"/>
    <w:rsid w:val="00CF7F15"/>
    <w:rsid w:val="00D10331"/>
    <w:rsid w:val="00D10DD6"/>
    <w:rsid w:val="00D133F8"/>
    <w:rsid w:val="00D14A3E"/>
    <w:rsid w:val="00D562F5"/>
    <w:rsid w:val="00D641AB"/>
    <w:rsid w:val="00D67D43"/>
    <w:rsid w:val="00D865B2"/>
    <w:rsid w:val="00DC0C08"/>
    <w:rsid w:val="00E3716B"/>
    <w:rsid w:val="00E5323B"/>
    <w:rsid w:val="00E8749E"/>
    <w:rsid w:val="00E90C01"/>
    <w:rsid w:val="00EA486E"/>
    <w:rsid w:val="00F30681"/>
    <w:rsid w:val="00F415F2"/>
    <w:rsid w:val="00F57B0C"/>
    <w:rsid w:val="00FD0BE2"/>
    <w:rsid w:val="00FE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DE5530"/>
  <w15:docId w15:val="{6619249B-062E-4B9A-A6BD-3DA11619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45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34C3"/>
    <w:rPr>
      <w:sz w:val="16"/>
      <w:szCs w:val="16"/>
    </w:rPr>
  </w:style>
  <w:style w:type="paragraph" w:styleId="CommentText">
    <w:name w:val="annotation text"/>
    <w:basedOn w:val="Normal"/>
    <w:link w:val="CommentTextChar"/>
    <w:uiPriority w:val="99"/>
    <w:semiHidden/>
    <w:unhideWhenUsed/>
    <w:rsid w:val="000734C3"/>
    <w:pPr>
      <w:spacing w:line="240" w:lineRule="auto"/>
    </w:pPr>
    <w:rPr>
      <w:sz w:val="20"/>
      <w:szCs w:val="20"/>
    </w:rPr>
  </w:style>
  <w:style w:type="character" w:customStyle="1" w:styleId="CommentTextChar">
    <w:name w:val="Comment Text Char"/>
    <w:basedOn w:val="DefaultParagraphFont"/>
    <w:link w:val="CommentText"/>
    <w:uiPriority w:val="99"/>
    <w:semiHidden/>
    <w:rsid w:val="000734C3"/>
    <w:rPr>
      <w:sz w:val="20"/>
      <w:szCs w:val="20"/>
    </w:rPr>
  </w:style>
  <w:style w:type="paragraph" w:styleId="CommentSubject">
    <w:name w:val="annotation subject"/>
    <w:basedOn w:val="CommentText"/>
    <w:next w:val="CommentText"/>
    <w:link w:val="CommentSubjectChar"/>
    <w:uiPriority w:val="99"/>
    <w:semiHidden/>
    <w:unhideWhenUsed/>
    <w:rsid w:val="000734C3"/>
    <w:rPr>
      <w:b/>
      <w:bCs/>
    </w:rPr>
  </w:style>
  <w:style w:type="character" w:customStyle="1" w:styleId="CommentSubjectChar">
    <w:name w:val="Comment Subject Char"/>
    <w:basedOn w:val="CommentTextChar"/>
    <w:link w:val="CommentSubject"/>
    <w:uiPriority w:val="99"/>
    <w:semiHidden/>
    <w:rsid w:val="000734C3"/>
    <w:rPr>
      <w:b/>
      <w:bCs/>
      <w:sz w:val="20"/>
      <w:szCs w:val="20"/>
    </w:rPr>
  </w:style>
  <w:style w:type="paragraph" w:styleId="Revision">
    <w:name w:val="Revision"/>
    <w:hidden/>
    <w:uiPriority w:val="99"/>
    <w:semiHidden/>
    <w:rsid w:val="00521D98"/>
    <w:pPr>
      <w:spacing w:after="0" w:line="240" w:lineRule="auto"/>
    </w:pPr>
  </w:style>
  <w:style w:type="paragraph" w:customStyle="1" w:styleId="Body">
    <w:name w:val="Body"/>
    <w:rsid w:val="0032714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00550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340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B197E"/>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F5E9D3E3791B4DB89421471F3853950C">
    <w:name w:val="F5E9D3E3791B4DB89421471F3853950C"/>
    <w:rsid w:val="009B1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7A56-33B6-4586-AB7F-330DFEF6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1484</Words>
  <Characters>9335</Characters>
  <Application>Microsoft Office Word</Application>
  <DocSecurity>0</DocSecurity>
  <Lines>301</Lines>
  <Paragraphs>120</Paragraphs>
  <ScaleCrop>false</ScaleCrop>
  <HeadingPairs>
    <vt:vector size="2" baseType="variant">
      <vt:variant>
        <vt:lpstr>Title</vt:lpstr>
      </vt:variant>
      <vt:variant>
        <vt:i4>1</vt:i4>
      </vt:variant>
    </vt:vector>
  </HeadingPairs>
  <TitlesOfParts>
    <vt:vector size="1" baseType="lpstr">
      <vt:lpstr>"Grozījumi Militārpersonu izdienas pensiju likumā"</vt:lpstr>
    </vt:vector>
  </TitlesOfParts>
  <Company>Iestādes nosaukums</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Militārpersonu izdienas pensiju likumā"</dc:title>
  <dc:subject>likumprojekta anotācija</dc:subject>
  <dc:creator>Vita Upeniece</dc:creator>
  <dc:description>67335241, Vita.Upeniece@mod.gov.lv</dc:description>
  <cp:lastModifiedBy>Anna Putane</cp:lastModifiedBy>
  <cp:revision>16</cp:revision>
  <cp:lastPrinted>2020-03-10T12:09:00Z</cp:lastPrinted>
  <dcterms:created xsi:type="dcterms:W3CDTF">2020-08-24T12:41:00Z</dcterms:created>
  <dcterms:modified xsi:type="dcterms:W3CDTF">2020-09-11T09:40:00Z</dcterms:modified>
</cp:coreProperties>
</file>