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6ABC" w14:textId="77777777" w:rsidR="007B40C9" w:rsidRPr="00F13A7D" w:rsidRDefault="00976054" w:rsidP="00CC2E35">
      <w:pPr>
        <w:spacing w:after="0"/>
        <w:ind w:firstLine="360"/>
        <w:jc w:val="right"/>
        <w:rPr>
          <w:sz w:val="28"/>
          <w:szCs w:val="28"/>
        </w:rPr>
      </w:pPr>
      <w:r w:rsidRPr="004259C7">
        <w:rPr>
          <w:rFonts w:eastAsia="Times New Roman" w:cs="Times New Roman"/>
          <w:szCs w:val="24"/>
        </w:rPr>
        <w:t>(</w:t>
      </w:r>
      <w:r w:rsidR="007B40C9" w:rsidRPr="00F13A7D">
        <w:rPr>
          <w:sz w:val="28"/>
          <w:szCs w:val="28"/>
        </w:rPr>
        <w:t xml:space="preserve">Ministru kabineta </w:t>
      </w:r>
    </w:p>
    <w:p w14:paraId="50C89865" w14:textId="44F17AF4" w:rsidR="007B40C9" w:rsidRPr="00F13A7D" w:rsidRDefault="007B40C9" w:rsidP="00CC2E35">
      <w:pPr>
        <w:spacing w:after="0"/>
        <w:ind w:firstLine="360"/>
        <w:jc w:val="right"/>
        <w:rPr>
          <w:sz w:val="28"/>
          <w:szCs w:val="28"/>
        </w:rPr>
      </w:pPr>
      <w:r w:rsidRPr="00F13A7D">
        <w:rPr>
          <w:sz w:val="28"/>
          <w:szCs w:val="28"/>
        </w:rPr>
        <w:t>20</w:t>
      </w:r>
      <w:r>
        <w:rPr>
          <w:sz w:val="28"/>
          <w:szCs w:val="28"/>
        </w:rPr>
        <w:t>20</w:t>
      </w:r>
      <w:r w:rsidRPr="00F13A7D">
        <w:rPr>
          <w:sz w:val="28"/>
          <w:szCs w:val="28"/>
        </w:rPr>
        <w:t xml:space="preserve">. gada </w:t>
      </w:r>
      <w:r w:rsidR="00AD5C74">
        <w:rPr>
          <w:rFonts w:eastAsia="Times New Roman"/>
          <w:sz w:val="28"/>
          <w:szCs w:val="28"/>
        </w:rPr>
        <w:t>13. oktobr</w:t>
      </w:r>
      <w:r w:rsidR="00AD5C74">
        <w:rPr>
          <w:rFonts w:eastAsia="Times New Roman"/>
          <w:sz w:val="28"/>
          <w:szCs w:val="28"/>
        </w:rPr>
        <w:t>a</w:t>
      </w:r>
    </w:p>
    <w:p w14:paraId="2CF712A4" w14:textId="11B64D40" w:rsidR="00976054" w:rsidRPr="007B40C9" w:rsidRDefault="007B40C9" w:rsidP="007B40C9">
      <w:pPr>
        <w:spacing w:after="0"/>
        <w:ind w:firstLine="360"/>
        <w:jc w:val="right"/>
        <w:rPr>
          <w:sz w:val="28"/>
          <w:szCs w:val="28"/>
        </w:rPr>
      </w:pPr>
      <w:r w:rsidRPr="00F13A7D">
        <w:rPr>
          <w:sz w:val="28"/>
          <w:szCs w:val="28"/>
        </w:rPr>
        <w:t>rīkoju</w:t>
      </w:r>
      <w:r>
        <w:rPr>
          <w:sz w:val="28"/>
          <w:szCs w:val="28"/>
        </w:rPr>
        <w:t>ms</w:t>
      </w:r>
      <w:r w:rsidRPr="00F13A7D">
        <w:rPr>
          <w:sz w:val="28"/>
          <w:szCs w:val="28"/>
        </w:rPr>
        <w:t xml:space="preserve"> Nr. </w:t>
      </w:r>
      <w:r w:rsidR="00AD5C74">
        <w:rPr>
          <w:sz w:val="28"/>
          <w:szCs w:val="28"/>
        </w:rPr>
        <w:t>605</w:t>
      </w:r>
      <w:bookmarkStart w:id="0" w:name="_GoBack"/>
      <w:bookmarkEnd w:id="0"/>
      <w:r w:rsidR="00976054" w:rsidRPr="004259C7">
        <w:rPr>
          <w:rFonts w:eastAsia="Times New Roman" w:cs="Times New Roman"/>
          <w:szCs w:val="24"/>
        </w:rPr>
        <w:t>)</w:t>
      </w:r>
    </w:p>
    <w:p w14:paraId="2CF712A5" w14:textId="54F1C8CD" w:rsidR="00976054" w:rsidRDefault="00976054" w:rsidP="00ED3400">
      <w:pPr>
        <w:spacing w:before="120" w:after="120"/>
        <w:contextualSpacing/>
        <w:jc w:val="center"/>
        <w:rPr>
          <w:rFonts w:cs="Times New Roman"/>
          <w:b/>
          <w:szCs w:val="24"/>
        </w:rPr>
      </w:pPr>
    </w:p>
    <w:p w14:paraId="5AB1366A" w14:textId="77777777" w:rsidR="007B40C9" w:rsidRPr="004259C7" w:rsidRDefault="007B40C9" w:rsidP="00ED3400">
      <w:pPr>
        <w:spacing w:before="120" w:after="120"/>
        <w:contextualSpacing/>
        <w:jc w:val="center"/>
        <w:rPr>
          <w:rFonts w:cs="Times New Roman"/>
          <w:b/>
          <w:szCs w:val="24"/>
        </w:rPr>
      </w:pPr>
    </w:p>
    <w:p w14:paraId="2CF712A6" w14:textId="77777777" w:rsidR="00A041E6" w:rsidRPr="004259C7" w:rsidRDefault="00C679BD" w:rsidP="00ED3400">
      <w:pPr>
        <w:spacing w:before="120" w:after="120"/>
        <w:contextualSpacing/>
        <w:jc w:val="center"/>
        <w:rPr>
          <w:rFonts w:cs="Times New Roman"/>
          <w:b/>
          <w:szCs w:val="24"/>
        </w:rPr>
      </w:pPr>
      <w:r w:rsidRPr="004259C7">
        <w:rPr>
          <w:rFonts w:cs="Times New Roman"/>
          <w:b/>
          <w:szCs w:val="24"/>
        </w:rPr>
        <w:t>Konceptuālais</w:t>
      </w:r>
      <w:r w:rsidR="00231804" w:rsidRPr="004259C7">
        <w:rPr>
          <w:rFonts w:cs="Times New Roman"/>
          <w:b/>
          <w:szCs w:val="24"/>
        </w:rPr>
        <w:t xml:space="preserve"> ziņojums</w:t>
      </w:r>
    </w:p>
    <w:p w14:paraId="2CF712A7" w14:textId="5AD86F14" w:rsidR="00231804" w:rsidRPr="004259C7" w:rsidRDefault="00231804" w:rsidP="00ED3400">
      <w:pPr>
        <w:spacing w:before="120" w:after="120"/>
        <w:contextualSpacing/>
        <w:jc w:val="center"/>
        <w:rPr>
          <w:rFonts w:cs="Times New Roman"/>
          <w:b/>
          <w:szCs w:val="24"/>
        </w:rPr>
      </w:pPr>
      <w:r w:rsidRPr="004259C7">
        <w:rPr>
          <w:rFonts w:cs="Times New Roman"/>
          <w:b/>
          <w:szCs w:val="24"/>
        </w:rPr>
        <w:t xml:space="preserve"> </w:t>
      </w:r>
      <w:r w:rsidR="006D1ECB" w:rsidRPr="004259C7">
        <w:rPr>
          <w:rFonts w:cs="Times New Roman"/>
          <w:b/>
          <w:szCs w:val="24"/>
        </w:rPr>
        <w:t>"</w:t>
      </w:r>
      <w:r w:rsidRPr="004259C7">
        <w:rPr>
          <w:rFonts w:cs="Times New Roman"/>
          <w:b/>
          <w:szCs w:val="24"/>
        </w:rPr>
        <w:t>Par</w:t>
      </w:r>
      <w:r w:rsidRPr="004259C7">
        <w:rPr>
          <w:rFonts w:ascii="Dutch TL" w:eastAsia="Times New Roman" w:hAnsi="Dutch TL" w:cs="Times New Roman"/>
          <w:b/>
          <w:sz w:val="28"/>
          <w:szCs w:val="20"/>
          <w:lang w:eastAsia="zh-TW"/>
        </w:rPr>
        <w:t xml:space="preserve"> </w:t>
      </w:r>
      <w:r w:rsidRPr="004259C7">
        <w:rPr>
          <w:rFonts w:cs="Times New Roman"/>
          <w:b/>
          <w:szCs w:val="24"/>
        </w:rPr>
        <w:t>Valsts aizsardzības militāro objektu un iepirkumu centra strukturālu reorganizāciju un</w:t>
      </w:r>
      <w:r w:rsidRPr="004259C7">
        <w:rPr>
          <w:rFonts w:eastAsia="Calibri" w:cs="Times New Roman"/>
          <w:b/>
        </w:rPr>
        <w:t xml:space="preserve"> </w:t>
      </w:r>
      <w:r w:rsidRPr="004259C7">
        <w:rPr>
          <w:rFonts w:cs="Times New Roman"/>
          <w:b/>
          <w:szCs w:val="24"/>
        </w:rPr>
        <w:t xml:space="preserve">par </w:t>
      </w:r>
      <w:r w:rsidR="00AC0A35" w:rsidRPr="004259C7">
        <w:rPr>
          <w:rFonts w:cs="Times New Roman"/>
          <w:b/>
          <w:szCs w:val="24"/>
        </w:rPr>
        <w:t>materiāltehnisko līdzekļu</w:t>
      </w:r>
      <w:r w:rsidRPr="004259C7">
        <w:rPr>
          <w:rFonts w:cs="Times New Roman"/>
          <w:b/>
          <w:szCs w:val="24"/>
        </w:rPr>
        <w:t xml:space="preserve"> centra </w:t>
      </w:r>
      <w:r w:rsidR="00C933D1" w:rsidRPr="004259C7">
        <w:rPr>
          <w:rFonts w:cs="Times New Roman"/>
          <w:b/>
          <w:szCs w:val="24"/>
        </w:rPr>
        <w:t>– Valsts aizsardzības loģistikas un iepirkum</w:t>
      </w:r>
      <w:r w:rsidR="00765A74" w:rsidRPr="004259C7">
        <w:rPr>
          <w:rFonts w:cs="Times New Roman"/>
          <w:b/>
          <w:szCs w:val="24"/>
        </w:rPr>
        <w:t>u</w:t>
      </w:r>
      <w:r w:rsidR="00C933D1" w:rsidRPr="004259C7">
        <w:rPr>
          <w:rFonts w:cs="Times New Roman"/>
          <w:b/>
          <w:szCs w:val="24"/>
        </w:rPr>
        <w:t xml:space="preserve"> centrs</w:t>
      </w:r>
      <w:r w:rsidR="002B39AB">
        <w:rPr>
          <w:rFonts w:cs="Times New Roman"/>
          <w:b/>
          <w:szCs w:val="24"/>
        </w:rPr>
        <w:t xml:space="preserve"> –</w:t>
      </w:r>
      <w:r w:rsidR="00C933D1" w:rsidRPr="004259C7">
        <w:rPr>
          <w:rFonts w:cs="Times New Roman"/>
          <w:b/>
          <w:szCs w:val="24"/>
        </w:rPr>
        <w:t xml:space="preserve"> </w:t>
      </w:r>
      <w:r w:rsidRPr="004259C7">
        <w:rPr>
          <w:rFonts w:cs="Times New Roman"/>
          <w:b/>
          <w:szCs w:val="24"/>
        </w:rPr>
        <w:t>izveidi</w:t>
      </w:r>
      <w:r w:rsidR="006D1ECB" w:rsidRPr="004259C7">
        <w:rPr>
          <w:rFonts w:cs="Times New Roman"/>
          <w:b/>
          <w:szCs w:val="24"/>
        </w:rPr>
        <w:t>"</w:t>
      </w:r>
    </w:p>
    <w:p w14:paraId="2CF712A8" w14:textId="77777777" w:rsidR="00DD5010" w:rsidRPr="004259C7" w:rsidRDefault="00DD5010" w:rsidP="00ED3400">
      <w:pPr>
        <w:rPr>
          <w:rFonts w:cs="Times New Roman"/>
          <w:szCs w:val="24"/>
        </w:rPr>
      </w:pPr>
    </w:p>
    <w:p w14:paraId="2CF712A9" w14:textId="77777777" w:rsidR="00CA4217" w:rsidRPr="004259C7" w:rsidRDefault="00CA4217" w:rsidP="00D63909">
      <w:pPr>
        <w:pStyle w:val="Heading1"/>
      </w:pPr>
      <w:r w:rsidRPr="004259C7">
        <w:t xml:space="preserve">I. </w:t>
      </w:r>
      <w:r w:rsidR="008B1212" w:rsidRPr="004259C7">
        <w:t>Satura</w:t>
      </w:r>
      <w:r w:rsidRPr="004259C7">
        <w:t xml:space="preserve"> kopsavilkums</w:t>
      </w:r>
    </w:p>
    <w:p w14:paraId="2CF712AA" w14:textId="4C05B9A8" w:rsidR="00397B74" w:rsidRPr="004259C7" w:rsidRDefault="005F1752" w:rsidP="00ED3400">
      <w:pPr>
        <w:ind w:firstLine="709"/>
        <w:rPr>
          <w:rFonts w:cs="Times New Roman"/>
          <w:szCs w:val="24"/>
        </w:rPr>
      </w:pPr>
      <w:r w:rsidRPr="004259C7">
        <w:rPr>
          <w:rFonts w:cs="Times New Roman"/>
          <w:szCs w:val="24"/>
        </w:rPr>
        <w:t xml:space="preserve">Nacionālo bruņoto spēku (turpmāk – </w:t>
      </w:r>
      <w:r w:rsidR="00C215B9" w:rsidRPr="004259C7">
        <w:rPr>
          <w:rFonts w:cs="Times New Roman"/>
          <w:szCs w:val="24"/>
        </w:rPr>
        <w:t>NBS</w:t>
      </w:r>
      <w:r w:rsidRPr="004259C7">
        <w:rPr>
          <w:rFonts w:cs="Times New Roman"/>
          <w:szCs w:val="24"/>
        </w:rPr>
        <w:t>)</w:t>
      </w:r>
      <w:r w:rsidR="00C215B9" w:rsidRPr="004259C7">
        <w:rPr>
          <w:rFonts w:cs="Times New Roman"/>
          <w:szCs w:val="24"/>
        </w:rPr>
        <w:t xml:space="preserve"> spēju stiprināšanas priekšnoteikumi ir spēju attīstības kvalitatīva plānošana ilgtermiņā, tehnisko specifikāciju izstrādes kvalitātes paaugstināšana, to </w:t>
      </w:r>
      <w:r w:rsidR="00621AFB" w:rsidRPr="004259C7">
        <w:rPr>
          <w:rFonts w:cs="Times New Roman"/>
          <w:szCs w:val="24"/>
        </w:rPr>
        <w:t>standartizēšana</w:t>
      </w:r>
      <w:r w:rsidR="00C215B9" w:rsidRPr="004259C7">
        <w:rPr>
          <w:rFonts w:cs="Times New Roman"/>
          <w:szCs w:val="24"/>
        </w:rPr>
        <w:t xml:space="preserve">, atbilstošu iepirkumu procedūru izvēle un īstenošana atbilstoši nacionālajām, ES un starptautiskajām prasībām, līgumu pārvaldībā iekļaujot kvalitātes un piegāžu drošības kontroli. Vienlaikus ir jāattīsta NBS nodrošinājuma sistēma – gan fiziskā infrastruktūra, gan mūsdienu prasībām atbilstoša krājumu pārvaldība. </w:t>
      </w:r>
      <w:r w:rsidR="00C679BD" w:rsidRPr="004259C7">
        <w:rPr>
          <w:rFonts w:cs="Times New Roman"/>
          <w:szCs w:val="24"/>
        </w:rPr>
        <w:t>Tādē</w:t>
      </w:r>
      <w:r w:rsidR="00BF13F2" w:rsidRPr="004259C7">
        <w:rPr>
          <w:rFonts w:cs="Times New Roman"/>
          <w:szCs w:val="24"/>
        </w:rPr>
        <w:t xml:space="preserve">jādi </w:t>
      </w:r>
      <w:r w:rsidR="00D63909" w:rsidRPr="004259C7">
        <w:rPr>
          <w:rFonts w:cs="Times New Roman"/>
          <w:szCs w:val="24"/>
        </w:rPr>
        <w:t>kļūst aktuāls uzdevums</w:t>
      </w:r>
      <w:r w:rsidR="00BF13F2" w:rsidRPr="004259C7">
        <w:rPr>
          <w:rFonts w:cs="Times New Roman"/>
          <w:szCs w:val="24"/>
        </w:rPr>
        <w:t xml:space="preserve"> NBS un aizsardzības sistēmai kopumā – attīstīt nodrošinājuma sistēmu atbilstoši citu </w:t>
      </w:r>
      <w:r w:rsidR="00127F22" w:rsidRPr="004259C7">
        <w:rPr>
          <w:rFonts w:cs="Times New Roman"/>
          <w:szCs w:val="24"/>
        </w:rPr>
        <w:t xml:space="preserve">Ziemeļatlantijas līguma organizācijas (turpmāk – NATO) </w:t>
      </w:r>
      <w:r w:rsidR="00BF13F2" w:rsidRPr="004259C7">
        <w:rPr>
          <w:rFonts w:cs="Times New Roman"/>
          <w:szCs w:val="24"/>
        </w:rPr>
        <w:t xml:space="preserve">valstu labajai praksei. Šobrīd NBS </w:t>
      </w:r>
      <w:r w:rsidR="00D137A6" w:rsidRPr="004259C7">
        <w:rPr>
          <w:rFonts w:cs="Times New Roman"/>
          <w:szCs w:val="24"/>
        </w:rPr>
        <w:t>nodrošinājuma</w:t>
      </w:r>
      <w:r w:rsidR="00BF13F2" w:rsidRPr="004259C7">
        <w:rPr>
          <w:rFonts w:cs="Times New Roman"/>
          <w:szCs w:val="24"/>
        </w:rPr>
        <w:t xml:space="preserve"> sistēmas uzturēšanu un attīstību nodrošina NBS Nodrošinājuma pavēlniecība, atsevišķas funkcijas deleģējot Valsts aizsardzības militāro objektu un iepirkumu centram</w:t>
      </w:r>
      <w:r w:rsidR="00D137A6" w:rsidRPr="004259C7">
        <w:rPr>
          <w:rFonts w:cs="Times New Roman"/>
          <w:szCs w:val="24"/>
        </w:rPr>
        <w:t xml:space="preserve"> (turpmāk – VAMOIC)</w:t>
      </w:r>
      <w:r w:rsidR="00BF13F2" w:rsidRPr="004259C7">
        <w:rPr>
          <w:rFonts w:cs="Times New Roman"/>
          <w:szCs w:val="24"/>
        </w:rPr>
        <w:t>.</w:t>
      </w:r>
    </w:p>
    <w:p w14:paraId="2CF712AB" w14:textId="77777777" w:rsidR="00817F33" w:rsidRPr="004259C7" w:rsidRDefault="00D63909" w:rsidP="00ED3400">
      <w:pPr>
        <w:ind w:firstLine="709"/>
        <w:rPr>
          <w:rFonts w:cs="Times New Roman"/>
          <w:szCs w:val="24"/>
        </w:rPr>
      </w:pPr>
      <w:r w:rsidRPr="004259C7">
        <w:rPr>
          <w:rFonts w:cs="Times New Roman"/>
          <w:szCs w:val="24"/>
        </w:rPr>
        <w:t>Šobrīd un turpmākos gados</w:t>
      </w:r>
      <w:r w:rsidR="00817F33" w:rsidRPr="004259C7">
        <w:rPr>
          <w:rFonts w:cs="Times New Roman"/>
          <w:szCs w:val="24"/>
        </w:rPr>
        <w:t xml:space="preserve"> aktuāla un svarīga kļūst vajadzība optimizēt un padarīt efektīvāku aizsardzības nodrošinājuma sistēmu, vienlaicīgi maksimāli atslogojot karavīrus no tiem neraksturīgu funkciju veikšanas, tād</w:t>
      </w:r>
      <w:r w:rsidR="004D2DD4" w:rsidRPr="004259C7">
        <w:rPr>
          <w:rFonts w:cs="Times New Roman"/>
          <w:szCs w:val="24"/>
        </w:rPr>
        <w:t xml:space="preserve">ējādi </w:t>
      </w:r>
      <w:r w:rsidR="00C933D1" w:rsidRPr="004259C7">
        <w:rPr>
          <w:rFonts w:cs="Times New Roman"/>
          <w:szCs w:val="24"/>
        </w:rPr>
        <w:t>ļaujot</w:t>
      </w:r>
      <w:r w:rsidR="00817F33" w:rsidRPr="004259C7">
        <w:rPr>
          <w:rFonts w:cs="Times New Roman"/>
          <w:szCs w:val="24"/>
        </w:rPr>
        <w:t xml:space="preserve"> viņiem </w:t>
      </w:r>
      <w:r w:rsidR="000042FA" w:rsidRPr="004259C7">
        <w:rPr>
          <w:rFonts w:cs="Times New Roman"/>
          <w:szCs w:val="24"/>
        </w:rPr>
        <w:t xml:space="preserve">vairāk </w:t>
      </w:r>
      <w:r w:rsidR="00817F33" w:rsidRPr="004259C7">
        <w:rPr>
          <w:rFonts w:cs="Times New Roman"/>
          <w:szCs w:val="24"/>
        </w:rPr>
        <w:t xml:space="preserve">koncentrēties uz militāro </w:t>
      </w:r>
      <w:r w:rsidR="00C679BD" w:rsidRPr="004259C7">
        <w:rPr>
          <w:rFonts w:cs="Times New Roman"/>
          <w:szCs w:val="24"/>
        </w:rPr>
        <w:t>uzdevumu</w:t>
      </w:r>
      <w:r w:rsidR="00817F33" w:rsidRPr="004259C7">
        <w:rPr>
          <w:rFonts w:cs="Times New Roman"/>
          <w:szCs w:val="24"/>
        </w:rPr>
        <w:t xml:space="preserve"> izpildi. Tas </w:t>
      </w:r>
      <w:r w:rsidR="004D2DD4" w:rsidRPr="004259C7">
        <w:rPr>
          <w:rFonts w:cs="Times New Roman"/>
          <w:szCs w:val="24"/>
        </w:rPr>
        <w:t xml:space="preserve">ir </w:t>
      </w:r>
      <w:r w:rsidR="00D137A6" w:rsidRPr="004259C7">
        <w:rPr>
          <w:rFonts w:cs="Times New Roman"/>
          <w:szCs w:val="24"/>
        </w:rPr>
        <w:t>realizējams</w:t>
      </w:r>
      <w:r w:rsidR="00B75C7A" w:rsidRPr="004259C7">
        <w:rPr>
          <w:rFonts w:cs="Times New Roman"/>
          <w:szCs w:val="24"/>
        </w:rPr>
        <w:t>,</w:t>
      </w:r>
      <w:r w:rsidR="00817F33" w:rsidRPr="004259C7">
        <w:rPr>
          <w:rFonts w:cs="Times New Roman"/>
          <w:szCs w:val="24"/>
        </w:rPr>
        <w:t xml:space="preserve"> nododot pēc iespējas vairāk </w:t>
      </w:r>
      <w:r w:rsidR="00B75C7A" w:rsidRPr="004259C7">
        <w:rPr>
          <w:rFonts w:cs="Times New Roman"/>
          <w:szCs w:val="24"/>
        </w:rPr>
        <w:t xml:space="preserve">miera laika </w:t>
      </w:r>
      <w:r w:rsidR="004D2DD4" w:rsidRPr="004259C7">
        <w:rPr>
          <w:rFonts w:cs="Times New Roman"/>
          <w:szCs w:val="24"/>
        </w:rPr>
        <w:t xml:space="preserve">administratīvo un </w:t>
      </w:r>
      <w:r w:rsidR="00817F33" w:rsidRPr="004259C7">
        <w:rPr>
          <w:rFonts w:cs="Times New Roman"/>
          <w:szCs w:val="24"/>
        </w:rPr>
        <w:t>loģistika</w:t>
      </w:r>
      <w:r w:rsidR="00B75C7A" w:rsidRPr="004259C7">
        <w:rPr>
          <w:rFonts w:cs="Times New Roman"/>
          <w:szCs w:val="24"/>
        </w:rPr>
        <w:t xml:space="preserve">s funkciju civilajam sektoram, karavīru atbildības jomā atstājot tikai </w:t>
      </w:r>
      <w:r w:rsidR="004D2DD4" w:rsidRPr="004259C7">
        <w:rPr>
          <w:rFonts w:cs="Times New Roman"/>
          <w:szCs w:val="24"/>
        </w:rPr>
        <w:t xml:space="preserve">kaujas gatavības uzturēšanas un attiecīgi </w:t>
      </w:r>
      <w:r w:rsidR="00030A17" w:rsidRPr="004259C7">
        <w:rPr>
          <w:rFonts w:cs="Times New Roman"/>
          <w:szCs w:val="24"/>
        </w:rPr>
        <w:t>kaujas nodrošinājuma uzdevumus.</w:t>
      </w:r>
    </w:p>
    <w:p w14:paraId="2CF712AC" w14:textId="77777777" w:rsidR="00B75C7A" w:rsidRPr="004259C7" w:rsidRDefault="00B75C7A" w:rsidP="00ED3400">
      <w:pPr>
        <w:ind w:firstLine="709"/>
        <w:rPr>
          <w:rFonts w:cs="Times New Roman"/>
          <w:szCs w:val="24"/>
        </w:rPr>
      </w:pPr>
      <w:r w:rsidRPr="004259C7">
        <w:rPr>
          <w:rFonts w:cs="Times New Roman"/>
          <w:szCs w:val="24"/>
        </w:rPr>
        <w:t xml:space="preserve">Tendence nodot </w:t>
      </w:r>
      <w:r w:rsidR="00924C07" w:rsidRPr="004259C7">
        <w:rPr>
          <w:rFonts w:cs="Times New Roman"/>
          <w:szCs w:val="24"/>
        </w:rPr>
        <w:t>karavīriem neraksturīgu administratīvo un loģistikas uzdevumu izpildi civilajam sektoram šobrīd ir vērojama lielākajā daļā NATO</w:t>
      </w:r>
      <w:r w:rsidR="00BA3CD3" w:rsidRPr="004259C7">
        <w:rPr>
          <w:rFonts w:cs="Times New Roman"/>
          <w:szCs w:val="24"/>
        </w:rPr>
        <w:t xml:space="preserve"> dalībvalstu</w:t>
      </w:r>
      <w:r w:rsidR="00924C07" w:rsidRPr="004259C7">
        <w:rPr>
          <w:rFonts w:cs="Times New Roman"/>
          <w:szCs w:val="24"/>
        </w:rPr>
        <w:t>, kā arī attīstītāko Ziemeļvalstu bruņotajos spēkos. Atbilstoši labākajai praksei</w:t>
      </w:r>
      <w:r w:rsidR="00D137A6" w:rsidRPr="004259C7">
        <w:rPr>
          <w:rFonts w:cs="Times New Roman"/>
          <w:szCs w:val="24"/>
        </w:rPr>
        <w:t>,</w:t>
      </w:r>
      <w:r w:rsidR="00924C07" w:rsidRPr="004259C7">
        <w:rPr>
          <w:rFonts w:cs="Times New Roman"/>
          <w:szCs w:val="24"/>
        </w:rPr>
        <w:t xml:space="preserve"> tiek veidotas uz civilajiem personāla resursiem balstītas loģistikas organizācijas</w:t>
      </w:r>
      <w:r w:rsidR="00801D33" w:rsidRPr="004259C7">
        <w:rPr>
          <w:rFonts w:cs="Times New Roman"/>
          <w:szCs w:val="24"/>
        </w:rPr>
        <w:t xml:space="preserve"> (profesionāli kompetences centri)</w:t>
      </w:r>
      <w:r w:rsidR="004D2DD4" w:rsidRPr="004259C7">
        <w:rPr>
          <w:rFonts w:cs="Times New Roman"/>
          <w:szCs w:val="24"/>
        </w:rPr>
        <w:t>,</w:t>
      </w:r>
      <w:r w:rsidR="00924C07" w:rsidRPr="004259C7">
        <w:rPr>
          <w:rFonts w:cs="Times New Roman"/>
          <w:szCs w:val="24"/>
        </w:rPr>
        <w:t xml:space="preserve"> kuru primārais uzdevums ir nodrošināt pilnu </w:t>
      </w:r>
      <w:r w:rsidR="00816608" w:rsidRPr="004259C7">
        <w:rPr>
          <w:rFonts w:cs="Times New Roman"/>
          <w:szCs w:val="24"/>
        </w:rPr>
        <w:t>materiāltehnisko līdzekļu (turpmāk – MTL) dzīvescikla funkcijas centralizāciju</w:t>
      </w:r>
      <w:r w:rsidR="00763896" w:rsidRPr="004259C7">
        <w:rPr>
          <w:rStyle w:val="FootnoteReference"/>
          <w:rFonts w:cs="Times New Roman"/>
          <w:szCs w:val="24"/>
        </w:rPr>
        <w:footnoteReference w:id="1"/>
      </w:r>
      <w:r w:rsidR="00816608" w:rsidRPr="004259C7">
        <w:rPr>
          <w:rFonts w:cs="Times New Roman"/>
          <w:szCs w:val="24"/>
        </w:rPr>
        <w:t xml:space="preserve"> </w:t>
      </w:r>
      <w:r w:rsidR="00924C07" w:rsidRPr="004259C7">
        <w:rPr>
          <w:rFonts w:cs="Times New Roman"/>
          <w:szCs w:val="24"/>
        </w:rPr>
        <w:t>un sniegt tiešu atbalstu bruņo</w:t>
      </w:r>
      <w:r w:rsidR="00BA3CD3" w:rsidRPr="004259C7">
        <w:rPr>
          <w:rFonts w:cs="Times New Roman"/>
          <w:szCs w:val="24"/>
        </w:rPr>
        <w:t>tajiem spēkiem. Tāda pieeja nodrošina līdzekļu ekonomiju</w:t>
      </w:r>
      <w:r w:rsidR="00924C07" w:rsidRPr="004259C7">
        <w:rPr>
          <w:rFonts w:cs="Times New Roman"/>
          <w:szCs w:val="24"/>
        </w:rPr>
        <w:t xml:space="preserve"> personāla sagatavošanas un apmācības </w:t>
      </w:r>
      <w:r w:rsidR="00BA3CD3" w:rsidRPr="004259C7">
        <w:rPr>
          <w:rFonts w:cs="Times New Roman"/>
          <w:szCs w:val="24"/>
        </w:rPr>
        <w:t xml:space="preserve">jomā </w:t>
      </w:r>
      <w:r w:rsidR="004D2DD4" w:rsidRPr="004259C7">
        <w:rPr>
          <w:rFonts w:cs="Times New Roman"/>
          <w:szCs w:val="24"/>
        </w:rPr>
        <w:t xml:space="preserve">konkrētu darbu veikšanai </w:t>
      </w:r>
      <w:r w:rsidR="00924C07" w:rsidRPr="004259C7">
        <w:rPr>
          <w:rFonts w:cs="Times New Roman"/>
          <w:szCs w:val="24"/>
        </w:rPr>
        <w:t xml:space="preserve">(karavīru apmācība valstij kopumā izmaksā krietni vairāk nekā civilo darbinieku </w:t>
      </w:r>
      <w:r w:rsidR="00801D33" w:rsidRPr="004259C7">
        <w:rPr>
          <w:rFonts w:cs="Times New Roman"/>
          <w:szCs w:val="24"/>
        </w:rPr>
        <w:t>sagatavošana</w:t>
      </w:r>
      <w:r w:rsidR="00924C07" w:rsidRPr="004259C7">
        <w:rPr>
          <w:rFonts w:cs="Times New Roman"/>
          <w:szCs w:val="24"/>
        </w:rPr>
        <w:t xml:space="preserve">) un </w:t>
      </w:r>
      <w:r w:rsidR="00F34EC2" w:rsidRPr="004259C7">
        <w:rPr>
          <w:rFonts w:cs="Times New Roman"/>
          <w:szCs w:val="24"/>
        </w:rPr>
        <w:t>vienlaikus sniedz</w:t>
      </w:r>
      <w:r w:rsidR="00924C07" w:rsidRPr="004259C7">
        <w:rPr>
          <w:rFonts w:cs="Times New Roman"/>
          <w:szCs w:val="24"/>
        </w:rPr>
        <w:t xml:space="preserve"> atba</w:t>
      </w:r>
      <w:r w:rsidR="001F03A7" w:rsidRPr="004259C7">
        <w:rPr>
          <w:rFonts w:cs="Times New Roman"/>
          <w:szCs w:val="24"/>
        </w:rPr>
        <w:t>lstu valsts</w:t>
      </w:r>
      <w:r w:rsidR="00924C07" w:rsidRPr="004259C7">
        <w:rPr>
          <w:rFonts w:cs="Times New Roman"/>
          <w:szCs w:val="24"/>
        </w:rPr>
        <w:t xml:space="preserve"> civila</w:t>
      </w:r>
      <w:r w:rsidR="00F34EC2" w:rsidRPr="004259C7">
        <w:rPr>
          <w:rFonts w:cs="Times New Roman"/>
          <w:szCs w:val="24"/>
        </w:rPr>
        <w:t>jam sektoram, nodrošinot</w:t>
      </w:r>
      <w:r w:rsidR="00924C07" w:rsidRPr="004259C7">
        <w:rPr>
          <w:rFonts w:cs="Times New Roman"/>
          <w:szCs w:val="24"/>
        </w:rPr>
        <w:t xml:space="preserve"> </w:t>
      </w:r>
      <w:r w:rsidR="00801D33" w:rsidRPr="004259C7">
        <w:rPr>
          <w:rFonts w:cs="Times New Roman"/>
          <w:szCs w:val="24"/>
        </w:rPr>
        <w:t xml:space="preserve">civilās </w:t>
      </w:r>
      <w:r w:rsidR="00924C07" w:rsidRPr="004259C7">
        <w:rPr>
          <w:rFonts w:cs="Times New Roman"/>
          <w:szCs w:val="24"/>
        </w:rPr>
        <w:t>darba vietas</w:t>
      </w:r>
      <w:r w:rsidR="001F03A7" w:rsidRPr="004259C7">
        <w:rPr>
          <w:rFonts w:cs="Times New Roman"/>
          <w:szCs w:val="24"/>
        </w:rPr>
        <w:t xml:space="preserve"> bruņoto spēku uzturēšanai</w:t>
      </w:r>
      <w:r w:rsidR="00BA3CD3" w:rsidRPr="004259C7">
        <w:rPr>
          <w:rFonts w:cs="Times New Roman"/>
          <w:szCs w:val="24"/>
        </w:rPr>
        <w:t>, ļaujot piesaistīt profesionālus jomas speciālistus</w:t>
      </w:r>
      <w:r w:rsidR="00924C07" w:rsidRPr="004259C7">
        <w:rPr>
          <w:rFonts w:cs="Times New Roman"/>
          <w:szCs w:val="24"/>
        </w:rPr>
        <w:t xml:space="preserve">. </w:t>
      </w:r>
    </w:p>
    <w:p w14:paraId="2CF712AD" w14:textId="77777777" w:rsidR="00CA4217" w:rsidRPr="004259C7" w:rsidRDefault="00CA4217" w:rsidP="00D63909">
      <w:pPr>
        <w:pStyle w:val="Heading1"/>
      </w:pPr>
      <w:r w:rsidRPr="004259C7">
        <w:lastRenderedPageBreak/>
        <w:t xml:space="preserve">II. </w:t>
      </w:r>
      <w:r w:rsidR="00A84BCA" w:rsidRPr="004259C7">
        <w:t>S</w:t>
      </w:r>
      <w:r w:rsidRPr="004259C7">
        <w:t>ituācijas apraksts</w:t>
      </w:r>
    </w:p>
    <w:p w14:paraId="2CF712AE" w14:textId="2EB82EA4" w:rsidR="00864AE1" w:rsidRPr="004259C7" w:rsidRDefault="00864AE1" w:rsidP="00864AE1">
      <w:r w:rsidRPr="004259C7">
        <w:t>Atbilstoši militārajai doktrīnai bruņoto spēku kaujas jauda, kuru vada ar informācija</w:t>
      </w:r>
      <w:r w:rsidR="00DA59E4">
        <w:t>s</w:t>
      </w:r>
      <w:r w:rsidRPr="004259C7">
        <w:t xml:space="preserve"> atbalstu, iedalās sešās pamatfunkcijās: izlūkošana; manevrēšana; komandvadība; uguns atbalsts; spēku drošība; nodrošinājums.</w:t>
      </w:r>
    </w:p>
    <w:p w14:paraId="2CF712AF" w14:textId="1A394E02" w:rsidR="00864AE1" w:rsidRPr="004259C7" w:rsidRDefault="00864AE1" w:rsidP="00864AE1">
      <w:r w:rsidRPr="004259C7">
        <w:t xml:space="preserve">No 2014. gada, mainoties drošības situācijai reģionā, Latvijas valsts strauji un mērķtiecīgi ir ieguldījusi ievērojamus resursus uguns atbalsta, kaujas spēku mobilitātes (mobilās </w:t>
      </w:r>
      <w:r w:rsidRPr="004259C7">
        <w:rPr>
          <w:rStyle w:val="st"/>
          <w:rFonts w:cs="Times New Roman"/>
          <w:szCs w:val="24"/>
        </w:rPr>
        <w:t>Izlūkošanas kaujas kāpurķēžu bruņutehnikas</w:t>
      </w:r>
      <w:r w:rsidRPr="004259C7">
        <w:t xml:space="preserve"> ieviešana, Latvijas un Somijas aizsardzības ministru parakstītās tehniskās vienošanās par sadarbību kopīgas bruņotās platformas izstrādē), komandvadības </w:t>
      </w:r>
      <w:proofErr w:type="gramStart"/>
      <w:r w:rsidRPr="004259C7">
        <w:t>(</w:t>
      </w:r>
      <w:proofErr w:type="spellStart"/>
      <w:proofErr w:type="gramEnd"/>
      <w:r w:rsidRPr="004259C7">
        <w:rPr>
          <w:i/>
        </w:rPr>
        <w:t>Sitaware</w:t>
      </w:r>
      <w:proofErr w:type="spellEnd"/>
      <w:r w:rsidRPr="004259C7">
        <w:t xml:space="preserve"> komandvadības modulis), uguns atbalsta (pašgājēju haubices), karavīru aizsardzība</w:t>
      </w:r>
      <w:r w:rsidR="00DA59E4">
        <w:t>s</w:t>
      </w:r>
      <w:r w:rsidRPr="004259C7">
        <w:t xml:space="preserve"> (individuālais ekipējums)</w:t>
      </w:r>
      <w:r w:rsidR="00DA59E4">
        <w:t xml:space="preserve"> attīstībā</w:t>
      </w:r>
      <w:r w:rsidRPr="004259C7">
        <w:t xml:space="preserve">. Tehnoloģiski komplicētā bruņojuma uzturēšanai nepieciešami atbilstoši resursi un šo resursu pārvaldība, piemēram vienas kaujas platformas tehnisko atbalstu nodrošina trīs reizes lielāks speciālistu skaits (mehāniķi, munīcijas sagādātāji, degvielas sagādātāji un citi) nekā karavīri. Lai novērstu riskus, ka iegādātās sistēmas var netikt efektīvi uzturētas, bruņotajos spēkos uzsākta nodrošinājuma sistēmas restrukturizācija un attīstība, kaujas nodrošinājuma sistēmā, kura sastāv no kaujas lauka apgādes un aizmugures dienestiem, nodalot militāro apgādi kaujas laukā un apgādi miera laikā. Vienlaikus tas ļaus efektīvāk izmantot karavīru resursu, jo atsevišķas funkcijas tiks nodotas civilajiem darbiniekiem. </w:t>
      </w:r>
    </w:p>
    <w:p w14:paraId="2CF712B0" w14:textId="77777777" w:rsidR="00864AE1" w:rsidRPr="004259C7" w:rsidRDefault="00864AE1" w:rsidP="00864AE1">
      <w:r w:rsidRPr="004259C7">
        <w:t xml:space="preserve">Ilgtermiņā plānots izveidot NATO labas pārvaldības principiem atbilstošu, centralizētu un augsti profesionālu nodrošinājuma sistēmu, kas atbalstīs modernizēto bruņoto spēku spējas. </w:t>
      </w:r>
    </w:p>
    <w:p w14:paraId="2CF712B1" w14:textId="5FB933C3" w:rsidR="00B75C7A" w:rsidRPr="004259C7" w:rsidRDefault="00B75C7A" w:rsidP="00864AE1">
      <w:r w:rsidRPr="004259C7">
        <w:t>Aizsardzības</w:t>
      </w:r>
      <w:r w:rsidR="00D137A6" w:rsidRPr="004259C7">
        <w:t xml:space="preserve"> resorā pēdējo 10 gadu laikā</w:t>
      </w:r>
      <w:r w:rsidRPr="004259C7">
        <w:t xml:space="preserve"> tiek īstenota virkne reformu ar mērķi izveidot efektīvu loģistikas sistēmu, koncentrējot materiāli tehniskās iegādes funkciju vienuviet. 2009.</w:t>
      </w:r>
      <w:r w:rsidR="006D1ECB" w:rsidRPr="004259C7">
        <w:t> </w:t>
      </w:r>
      <w:r w:rsidRPr="004259C7">
        <w:t>gadā</w:t>
      </w:r>
      <w:r w:rsidR="000042FA" w:rsidRPr="004259C7">
        <w:t>,</w:t>
      </w:r>
      <w:r w:rsidRPr="004259C7">
        <w:t xml:space="preserve"> </w:t>
      </w:r>
      <w:r w:rsidR="000042FA" w:rsidRPr="004259C7">
        <w:t xml:space="preserve">pārveidojot Aizsardzības īpašumu valsts aģentūru, </w:t>
      </w:r>
      <w:r w:rsidRPr="004259C7">
        <w:t>tika izveidots</w:t>
      </w:r>
      <w:r w:rsidR="00351382">
        <w:t xml:space="preserve"> VAMOIC</w:t>
      </w:r>
      <w:r w:rsidRPr="004259C7">
        <w:t xml:space="preserve">, kurš pārņēma </w:t>
      </w:r>
      <w:r w:rsidR="000042FA" w:rsidRPr="004259C7">
        <w:t xml:space="preserve">visas aģentūras funkcijas. Vēlāk VAMOIC uzsāka īstenot arī </w:t>
      </w:r>
      <w:r w:rsidRPr="004259C7">
        <w:t>daļu iegādes funkcijas – ce</w:t>
      </w:r>
      <w:r w:rsidR="000042FA" w:rsidRPr="004259C7">
        <w:t>ntralizēto iepirkumu veikšanu,</w:t>
      </w:r>
      <w:r w:rsidRPr="004259C7">
        <w:t xml:space="preserve"> ilgtermiņa līgumu </w:t>
      </w:r>
      <w:r w:rsidR="000042FA" w:rsidRPr="004259C7">
        <w:t xml:space="preserve">administrēšanu </w:t>
      </w:r>
      <w:r w:rsidRPr="004259C7">
        <w:t>kā pasūtītājam</w:t>
      </w:r>
      <w:r w:rsidR="00801D33" w:rsidRPr="004259C7">
        <w:t xml:space="preserve">, kā arī infrastruktūras </w:t>
      </w:r>
      <w:r w:rsidR="0055442B" w:rsidRPr="004259C7">
        <w:t xml:space="preserve">objektu </w:t>
      </w:r>
      <w:r w:rsidR="00801D33" w:rsidRPr="004259C7">
        <w:t>būvniecīb</w:t>
      </w:r>
      <w:r w:rsidR="000042FA" w:rsidRPr="004259C7">
        <w:t>as</w:t>
      </w:r>
      <w:r w:rsidR="00801D33" w:rsidRPr="004259C7">
        <w:t xml:space="preserve"> </w:t>
      </w:r>
      <w:r w:rsidR="000042FA" w:rsidRPr="004259C7">
        <w:t xml:space="preserve">organizēšanu </w:t>
      </w:r>
      <w:r w:rsidR="0055442B" w:rsidRPr="004259C7">
        <w:t xml:space="preserve">NBS vajadzībām </w:t>
      </w:r>
      <w:r w:rsidR="00801D33" w:rsidRPr="004259C7">
        <w:t xml:space="preserve">un aizsardzības </w:t>
      </w:r>
      <w:r w:rsidR="0055442B" w:rsidRPr="004259C7">
        <w:t>nozares</w:t>
      </w:r>
      <w:r w:rsidR="00801D33" w:rsidRPr="004259C7">
        <w:t xml:space="preserve"> nekustamo īpašumu apsaimniekošanu</w:t>
      </w:r>
      <w:r w:rsidRPr="004259C7">
        <w:t>.</w:t>
      </w:r>
    </w:p>
    <w:p w14:paraId="2CF712B2" w14:textId="77777777" w:rsidR="00E14D01" w:rsidRPr="004259C7" w:rsidRDefault="00E14D01" w:rsidP="00E14D01">
      <w:pPr>
        <w:ind w:firstLine="709"/>
        <w:rPr>
          <w:rFonts w:cs="Times New Roman"/>
          <w:szCs w:val="24"/>
        </w:rPr>
      </w:pPr>
      <w:r w:rsidRPr="004259C7">
        <w:rPr>
          <w:rFonts w:cs="Times New Roman"/>
          <w:szCs w:val="24"/>
        </w:rPr>
        <w:t>Līdz ar uzsāktās nodrošinājuma sistēmas reformas lielajiem apmēriem, VAMOIC ir nākušas klāt vairākas apjomīgas nodrošinājuma funkcijas saistībā ar MTL</w:t>
      </w:r>
      <w:r w:rsidRPr="004259C7">
        <w:t xml:space="preserve"> </w:t>
      </w:r>
      <w:r w:rsidRPr="004259C7">
        <w:rPr>
          <w:rFonts w:cs="Times New Roman"/>
          <w:szCs w:val="24"/>
        </w:rPr>
        <w:t>apriti – MTL krājumu plānošana un prasību definēšana, specifikāciju izstrādāšana, MTL testēšana un utilizēšana, kā arī lielo piegāžu līgumu administrēšana, un tas ir ietekmējis iestādes saistības un īstenojamo uzdevumu apjomu. Jau šobrīd VAMOIC ir pārņēmis NBS reģionālās individuālā ekipējuma noliktavas un nākotnē ir paredzēts pārņemt arī citas ekipējuma kategorijas papildus individuālajam ekipējumam. Turklāt, ņemot vērā uzsākto projektu realizācijas mērogus, ir skaidrs, ka VAMOIC izpildāmo uzdevumu apjoms nodrošinājuma jomā nākotnē tikai palielināsies. Tas pats ir attiecināms uz infrastruktūras attīstības realizēšanu.</w:t>
      </w:r>
      <w:r w:rsidRPr="004259C7">
        <w:t xml:space="preserve"> </w:t>
      </w:r>
      <w:r w:rsidRPr="004259C7">
        <w:rPr>
          <w:rFonts w:cs="Times New Roman"/>
          <w:szCs w:val="24"/>
        </w:rPr>
        <w:t>Šobrīd kā nekad iepriekš aktīvi norisinās projektēšana, būvniecība, jaunu objektu pārņemšana, reģionālo poligonu un apmācību vietu, Zemessardzes bataljonu izveide, kas tādā apjomā iepriekš nav noticis, un nākotnē šī infrastruktūra būs jāuztur un efektīvi jāapsaimnieko. Papildus tam, ir saistības pret NATO, izbūvējot šīs organizācijas vajadzībām nepieciešamo infrastruktūru, kā arī ASV un Kanādu, ar kurām noslēgti starptautiski līgumi, kuru ietvaros tiek veikta būvniecība. Pēc šo ārvalstu infrastruktūras objektu pabeigšanas arī šo objektu apsaimniekošana un uzturēšanā ir Latvijas nacionālā atbildība.</w:t>
      </w:r>
    </w:p>
    <w:p w14:paraId="2CF712B3" w14:textId="0B1501A6" w:rsidR="00864AE1" w:rsidRPr="004259C7" w:rsidRDefault="00864AE1" w:rsidP="00864AE1">
      <w:r w:rsidRPr="004259C7">
        <w:t>Izvērtējot bruņoto spēku nodrošinājuma vajadzības un tālākos modernizācijas un attīstības plānus, ir nepieciešams attīstīt kaujas la</w:t>
      </w:r>
      <w:r w:rsidR="00351382">
        <w:t>uka aizmugures dienesta funkcijas</w:t>
      </w:r>
      <w:r w:rsidRPr="004259C7">
        <w:t>, maksimāli aizvietojot karavīrus, kas n</w:t>
      </w:r>
      <w:r w:rsidR="00351382">
        <w:t xml:space="preserve">odarbināti šo funkciju </w:t>
      </w:r>
      <w:proofErr w:type="gramStart"/>
      <w:r w:rsidR="00351382">
        <w:t>izpildi</w:t>
      </w:r>
      <w:proofErr w:type="gramEnd"/>
      <w:r w:rsidR="00351382">
        <w:t>,</w:t>
      </w:r>
      <w:r w:rsidRPr="004259C7">
        <w:t xml:space="preserve"> ar civilajiem darbiniekiem.</w:t>
      </w:r>
      <w:r w:rsidR="00621AFB" w:rsidRPr="004259C7">
        <w:t xml:space="preserve"> </w:t>
      </w:r>
      <w:r w:rsidRPr="004259C7">
        <w:t xml:space="preserve">Izvērtējot </w:t>
      </w:r>
      <w:r w:rsidRPr="004259C7">
        <w:lastRenderedPageBreak/>
        <w:t>nodrošinājuma sistēmas reformas apjomu, komplicētību un ilgtermiņa raksturu, Aizsardzības ministrijas ieskatā racionālākais lēmums būtu aizmugures nodrošinājuma sistēmas uzturēšanai un tālākai attīstībai izveidot atsevišķu plānošanas un vadības elementu –</w:t>
      </w:r>
      <w:r w:rsidR="00B870EE" w:rsidRPr="004259C7">
        <w:t xml:space="preserve"> </w:t>
      </w:r>
      <w:r w:rsidR="002D3538" w:rsidRPr="004259C7">
        <w:t>materiāltehnisko līdzekļu centr</w:t>
      </w:r>
      <w:r w:rsidRPr="004259C7">
        <w:t xml:space="preserve">u. </w:t>
      </w:r>
    </w:p>
    <w:p w14:paraId="2CF712B4" w14:textId="77777777" w:rsidR="00864AE1" w:rsidRPr="004259C7" w:rsidRDefault="00621AFB" w:rsidP="00864AE1">
      <w:r w:rsidRPr="004259C7">
        <w:t>VAMOIC</w:t>
      </w:r>
      <w:r w:rsidR="00864AE1" w:rsidRPr="004259C7">
        <w:t xml:space="preserve"> tādejādi būtu atbildīgs par aizsardzības infrastruktūras attīstību un pārvaldību, iepirkuma funkcijas un uzsākto nodrošinājuma reformu, tai skaitā izpildē esošos uzdevumus</w:t>
      </w:r>
      <w:r w:rsidRPr="004259C7">
        <w:t>,</w:t>
      </w:r>
      <w:r w:rsidR="00864AE1" w:rsidRPr="004259C7">
        <w:t xml:space="preserve"> nodotu </w:t>
      </w:r>
      <w:r w:rsidR="002D3538" w:rsidRPr="004259C7">
        <w:t>materiāltehnisko līdzekļu centr</w:t>
      </w:r>
      <w:r w:rsidR="00864AE1" w:rsidRPr="004259C7">
        <w:t>am.</w:t>
      </w:r>
    </w:p>
    <w:p w14:paraId="2CF712B5" w14:textId="77777777" w:rsidR="005F763A" w:rsidRPr="004259C7" w:rsidRDefault="0055442B" w:rsidP="00ED3400">
      <w:pPr>
        <w:ind w:firstLine="709"/>
        <w:rPr>
          <w:rFonts w:cs="Times New Roman"/>
          <w:szCs w:val="24"/>
        </w:rPr>
      </w:pPr>
      <w:r w:rsidRPr="004259C7">
        <w:rPr>
          <w:rFonts w:cs="Times New Roman"/>
          <w:szCs w:val="24"/>
        </w:rPr>
        <w:t xml:space="preserve">Turpinot aizsardzības nodrošinājuma jomas attīstību, </w:t>
      </w:r>
      <w:r w:rsidR="00621AFB" w:rsidRPr="004259C7">
        <w:rPr>
          <w:rFonts w:cs="Times New Roman"/>
          <w:szCs w:val="24"/>
        </w:rPr>
        <w:t xml:space="preserve">jau </w:t>
      </w:r>
      <w:r w:rsidR="005F763A" w:rsidRPr="004259C7">
        <w:rPr>
          <w:rFonts w:cs="Times New Roman"/>
          <w:szCs w:val="24"/>
        </w:rPr>
        <w:t>2016.</w:t>
      </w:r>
      <w:r w:rsidR="006D1ECB" w:rsidRPr="004259C7">
        <w:rPr>
          <w:rFonts w:cs="Times New Roman"/>
          <w:szCs w:val="24"/>
        </w:rPr>
        <w:t> </w:t>
      </w:r>
      <w:r w:rsidR="005F763A" w:rsidRPr="004259C7">
        <w:rPr>
          <w:rFonts w:cs="Times New Roman"/>
          <w:szCs w:val="24"/>
        </w:rPr>
        <w:t xml:space="preserve">gadā tika uzsākta reforma ar mērķi </w:t>
      </w:r>
      <w:r w:rsidR="00080464" w:rsidRPr="004259C7">
        <w:rPr>
          <w:rFonts w:cs="Times New Roman"/>
          <w:szCs w:val="24"/>
        </w:rPr>
        <w:t>izveidot vienotu apgādes sistēmu, kas vērsta uz MTL dzīvescikla funkcijas centralizāciju, paaugstino</w:t>
      </w:r>
      <w:r w:rsidR="005F763A" w:rsidRPr="004259C7">
        <w:rPr>
          <w:rFonts w:cs="Times New Roman"/>
          <w:szCs w:val="24"/>
        </w:rPr>
        <w:t xml:space="preserve">t </w:t>
      </w:r>
      <w:r w:rsidR="00080464" w:rsidRPr="004259C7">
        <w:rPr>
          <w:rFonts w:cs="Times New Roman"/>
          <w:szCs w:val="24"/>
        </w:rPr>
        <w:t>MTL</w:t>
      </w:r>
      <w:r w:rsidR="00094ECB" w:rsidRPr="004259C7">
        <w:rPr>
          <w:rFonts w:cs="Times New Roman"/>
          <w:szCs w:val="24"/>
        </w:rPr>
        <w:t xml:space="preserve"> </w:t>
      </w:r>
      <w:r w:rsidR="005B4C28" w:rsidRPr="004259C7">
        <w:rPr>
          <w:rFonts w:cs="Times New Roman"/>
          <w:szCs w:val="24"/>
        </w:rPr>
        <w:t>iegādes sistēmas efektivitāti un</w:t>
      </w:r>
      <w:r w:rsidR="005F763A" w:rsidRPr="004259C7">
        <w:rPr>
          <w:rFonts w:cs="Times New Roman"/>
          <w:szCs w:val="24"/>
        </w:rPr>
        <w:t xml:space="preserve"> izvirzot šādus uzdevumus:</w:t>
      </w:r>
    </w:p>
    <w:p w14:paraId="2CF712B6" w14:textId="77777777" w:rsidR="005F763A" w:rsidRPr="004259C7" w:rsidRDefault="0025042B" w:rsidP="00ED3400">
      <w:pPr>
        <w:pStyle w:val="ListParagraph"/>
        <w:numPr>
          <w:ilvl w:val="0"/>
          <w:numId w:val="2"/>
        </w:numPr>
        <w:tabs>
          <w:tab w:val="left" w:pos="993"/>
        </w:tabs>
        <w:ind w:left="0" w:firstLine="709"/>
        <w:rPr>
          <w:rFonts w:cs="Times New Roman"/>
          <w:szCs w:val="24"/>
        </w:rPr>
      </w:pPr>
      <w:r w:rsidRPr="004259C7">
        <w:rPr>
          <w:rFonts w:cs="Times New Roman"/>
          <w:szCs w:val="24"/>
        </w:rPr>
        <w:t>Centralizēt un apvienot sistēmā pieejamo</w:t>
      </w:r>
      <w:r w:rsidR="005F763A" w:rsidRPr="004259C7">
        <w:rPr>
          <w:rFonts w:cs="Times New Roman"/>
          <w:szCs w:val="24"/>
        </w:rPr>
        <w:t xml:space="preserve"> </w:t>
      </w:r>
      <w:r w:rsidR="00080464" w:rsidRPr="004259C7">
        <w:rPr>
          <w:rFonts w:cs="Times New Roman"/>
          <w:szCs w:val="24"/>
        </w:rPr>
        <w:t xml:space="preserve">MTL </w:t>
      </w:r>
      <w:r w:rsidR="005F763A" w:rsidRPr="004259C7">
        <w:rPr>
          <w:rFonts w:cs="Times New Roman"/>
          <w:szCs w:val="24"/>
        </w:rPr>
        <w:t>iepirku</w:t>
      </w:r>
      <w:r w:rsidRPr="004259C7">
        <w:rPr>
          <w:rFonts w:cs="Times New Roman"/>
          <w:szCs w:val="24"/>
        </w:rPr>
        <w:t>mu ekspertīzi</w:t>
      </w:r>
      <w:r w:rsidR="005F763A" w:rsidRPr="004259C7">
        <w:rPr>
          <w:rFonts w:cs="Times New Roman"/>
          <w:szCs w:val="24"/>
        </w:rPr>
        <w:t>;</w:t>
      </w:r>
    </w:p>
    <w:p w14:paraId="2CF712B7" w14:textId="77777777" w:rsidR="005F763A" w:rsidRPr="004259C7" w:rsidRDefault="005F763A" w:rsidP="00ED3400">
      <w:pPr>
        <w:pStyle w:val="ListParagraph"/>
        <w:numPr>
          <w:ilvl w:val="0"/>
          <w:numId w:val="2"/>
        </w:numPr>
        <w:tabs>
          <w:tab w:val="left" w:pos="993"/>
        </w:tabs>
        <w:ind w:left="0" w:firstLine="709"/>
        <w:rPr>
          <w:rFonts w:cs="Times New Roman"/>
          <w:szCs w:val="24"/>
        </w:rPr>
      </w:pPr>
      <w:r w:rsidRPr="004259C7">
        <w:rPr>
          <w:rFonts w:cs="Times New Roman"/>
          <w:szCs w:val="24"/>
        </w:rPr>
        <w:t xml:space="preserve">Samazināt </w:t>
      </w:r>
      <w:r w:rsidR="00080464" w:rsidRPr="004259C7">
        <w:rPr>
          <w:rFonts w:cs="Times New Roman"/>
          <w:szCs w:val="24"/>
        </w:rPr>
        <w:t>MTL</w:t>
      </w:r>
      <w:r w:rsidR="001F39B8" w:rsidRPr="004259C7">
        <w:rPr>
          <w:rFonts w:cs="Times New Roman"/>
          <w:szCs w:val="24"/>
        </w:rPr>
        <w:t xml:space="preserve"> </w:t>
      </w:r>
      <w:r w:rsidRPr="004259C7">
        <w:rPr>
          <w:rFonts w:cs="Times New Roman"/>
          <w:szCs w:val="24"/>
        </w:rPr>
        <w:t>iepirkuma procedūras sadalījumu starp struktūrām un attiecīgi procedūrām nepieciešamo laiku</w:t>
      </w:r>
      <w:r w:rsidR="00080464" w:rsidRPr="004259C7">
        <w:rPr>
          <w:rFonts w:cs="Times New Roman"/>
          <w:szCs w:val="24"/>
        </w:rPr>
        <w:t>,</w:t>
      </w:r>
      <w:r w:rsidR="00816608" w:rsidRPr="004259C7">
        <w:rPr>
          <w:rFonts w:cs="Times New Roman"/>
          <w:szCs w:val="24"/>
        </w:rPr>
        <w:t xml:space="preserve"> atslogojot NBS no iepirkumu veikšanas</w:t>
      </w:r>
      <w:r w:rsidRPr="004259C7">
        <w:rPr>
          <w:rFonts w:cs="Times New Roman"/>
          <w:szCs w:val="24"/>
        </w:rPr>
        <w:t>;</w:t>
      </w:r>
    </w:p>
    <w:p w14:paraId="2CF712B8" w14:textId="77777777" w:rsidR="005F763A" w:rsidRPr="004259C7" w:rsidRDefault="005F763A" w:rsidP="00ED3400">
      <w:pPr>
        <w:pStyle w:val="ListParagraph"/>
        <w:numPr>
          <w:ilvl w:val="0"/>
          <w:numId w:val="2"/>
        </w:numPr>
        <w:tabs>
          <w:tab w:val="left" w:pos="993"/>
        </w:tabs>
        <w:ind w:left="0" w:firstLine="709"/>
        <w:rPr>
          <w:rFonts w:cs="Times New Roman"/>
          <w:szCs w:val="24"/>
        </w:rPr>
      </w:pPr>
      <w:r w:rsidRPr="004259C7">
        <w:rPr>
          <w:rFonts w:cs="Times New Roman"/>
          <w:szCs w:val="24"/>
        </w:rPr>
        <w:t xml:space="preserve">Izveidot </w:t>
      </w:r>
      <w:r w:rsidR="00080464" w:rsidRPr="004259C7">
        <w:rPr>
          <w:rFonts w:cs="Times New Roman"/>
          <w:szCs w:val="24"/>
        </w:rPr>
        <w:t>MTL</w:t>
      </w:r>
      <w:r w:rsidRPr="004259C7">
        <w:rPr>
          <w:rFonts w:cs="Times New Roman"/>
          <w:szCs w:val="24"/>
        </w:rPr>
        <w:t xml:space="preserve"> jomu vadības struktūras, kas nodrošina tehnisko ekspertīzi un </w:t>
      </w:r>
      <w:r w:rsidR="00816608" w:rsidRPr="004259C7">
        <w:rPr>
          <w:rFonts w:cs="Times New Roman"/>
          <w:szCs w:val="24"/>
        </w:rPr>
        <w:t xml:space="preserve">pilnu </w:t>
      </w:r>
      <w:r w:rsidRPr="004259C7">
        <w:rPr>
          <w:rFonts w:cs="Times New Roman"/>
          <w:szCs w:val="24"/>
        </w:rPr>
        <w:t>dzīvescikla vadību;</w:t>
      </w:r>
    </w:p>
    <w:p w14:paraId="2CF712B9" w14:textId="77777777" w:rsidR="005F763A" w:rsidRPr="004259C7" w:rsidRDefault="0025042B" w:rsidP="00ED3400">
      <w:pPr>
        <w:pStyle w:val="ListParagraph"/>
        <w:numPr>
          <w:ilvl w:val="0"/>
          <w:numId w:val="2"/>
        </w:numPr>
        <w:tabs>
          <w:tab w:val="left" w:pos="993"/>
        </w:tabs>
        <w:ind w:left="0" w:firstLine="709"/>
        <w:rPr>
          <w:rFonts w:cs="Times New Roman"/>
          <w:szCs w:val="24"/>
        </w:rPr>
      </w:pPr>
      <w:r w:rsidRPr="004259C7">
        <w:rPr>
          <w:rFonts w:cs="Times New Roman"/>
          <w:szCs w:val="24"/>
        </w:rPr>
        <w:t>Apvienot iepirkumu</w:t>
      </w:r>
      <w:r w:rsidR="001F39B8" w:rsidRPr="004259C7">
        <w:rPr>
          <w:rFonts w:cs="Times New Roman"/>
          <w:szCs w:val="24"/>
        </w:rPr>
        <w:t xml:space="preserve"> veicēja un nopirkto</w:t>
      </w:r>
      <w:r w:rsidR="005F763A" w:rsidRPr="004259C7">
        <w:rPr>
          <w:rFonts w:cs="Times New Roman"/>
          <w:szCs w:val="24"/>
        </w:rPr>
        <w:t xml:space="preserve"> </w:t>
      </w:r>
      <w:r w:rsidR="00080464" w:rsidRPr="004259C7">
        <w:rPr>
          <w:rFonts w:cs="Times New Roman"/>
          <w:szCs w:val="24"/>
        </w:rPr>
        <w:t>MTL</w:t>
      </w:r>
      <w:r w:rsidR="005F763A" w:rsidRPr="004259C7">
        <w:rPr>
          <w:rFonts w:cs="Times New Roman"/>
          <w:szCs w:val="24"/>
        </w:rPr>
        <w:t xml:space="preserve"> pieņēmēja atbildību;</w:t>
      </w:r>
    </w:p>
    <w:p w14:paraId="2CF712BA" w14:textId="77777777" w:rsidR="005F763A" w:rsidRPr="004259C7" w:rsidRDefault="0025042B" w:rsidP="00ED3400">
      <w:pPr>
        <w:pStyle w:val="ListParagraph"/>
        <w:numPr>
          <w:ilvl w:val="0"/>
          <w:numId w:val="2"/>
        </w:numPr>
        <w:tabs>
          <w:tab w:val="left" w:pos="993"/>
        </w:tabs>
        <w:ind w:left="0" w:firstLine="709"/>
        <w:rPr>
          <w:rFonts w:cs="Times New Roman"/>
          <w:szCs w:val="24"/>
        </w:rPr>
      </w:pPr>
      <w:r w:rsidRPr="004259C7">
        <w:rPr>
          <w:rFonts w:cs="Times New Roman"/>
          <w:szCs w:val="24"/>
        </w:rPr>
        <w:t>Apvienot i</w:t>
      </w:r>
      <w:r w:rsidR="005F763A" w:rsidRPr="004259C7">
        <w:rPr>
          <w:rFonts w:cs="Times New Roman"/>
          <w:szCs w:val="24"/>
        </w:rPr>
        <w:t>epirkuma veicēja un finanšu turētāja lomu.</w:t>
      </w:r>
    </w:p>
    <w:p w14:paraId="2CF712BB" w14:textId="77777777" w:rsidR="005F763A" w:rsidRPr="004259C7" w:rsidRDefault="005F763A" w:rsidP="00ED3400">
      <w:pPr>
        <w:tabs>
          <w:tab w:val="left" w:pos="993"/>
        </w:tabs>
        <w:ind w:firstLine="709"/>
        <w:rPr>
          <w:rFonts w:cs="Times New Roman"/>
          <w:szCs w:val="24"/>
        </w:rPr>
      </w:pPr>
      <w:r w:rsidRPr="004259C7">
        <w:rPr>
          <w:rFonts w:cs="Times New Roman"/>
          <w:szCs w:val="24"/>
        </w:rPr>
        <w:t>Reforma tika uzsākta ar nodomu, ka nodrošinājuma sistēma paralēli turpi</w:t>
      </w:r>
      <w:r w:rsidR="00D137A6" w:rsidRPr="004259C7">
        <w:rPr>
          <w:rFonts w:cs="Times New Roman"/>
          <w:szCs w:val="24"/>
        </w:rPr>
        <w:t>nās trīs nozīmīgas pārmaiņas un</w:t>
      </w:r>
      <w:r w:rsidRPr="004259C7">
        <w:rPr>
          <w:rFonts w:cs="Times New Roman"/>
          <w:szCs w:val="24"/>
        </w:rPr>
        <w:t xml:space="preserve"> tiks sasniegti šādi reformas efekti:</w:t>
      </w:r>
    </w:p>
    <w:p w14:paraId="2CF712BC" w14:textId="77777777" w:rsidR="005F763A" w:rsidRPr="004259C7" w:rsidRDefault="005F763A" w:rsidP="00ED3400">
      <w:pPr>
        <w:pStyle w:val="ListParagraph"/>
        <w:numPr>
          <w:ilvl w:val="0"/>
          <w:numId w:val="3"/>
        </w:numPr>
        <w:tabs>
          <w:tab w:val="left" w:pos="993"/>
        </w:tabs>
        <w:ind w:left="0" w:firstLine="709"/>
        <w:rPr>
          <w:rFonts w:cs="Times New Roman"/>
          <w:szCs w:val="24"/>
        </w:rPr>
      </w:pPr>
      <w:r w:rsidRPr="004259C7">
        <w:rPr>
          <w:rFonts w:cs="Times New Roman"/>
          <w:szCs w:val="24"/>
        </w:rPr>
        <w:t>Apgādes organizācij</w:t>
      </w:r>
      <w:r w:rsidR="00621AFB" w:rsidRPr="004259C7">
        <w:rPr>
          <w:rFonts w:cs="Times New Roman"/>
          <w:szCs w:val="24"/>
        </w:rPr>
        <w:t>a</w:t>
      </w:r>
      <w:r w:rsidRPr="004259C7">
        <w:rPr>
          <w:rFonts w:cs="Times New Roman"/>
          <w:szCs w:val="24"/>
        </w:rPr>
        <w:t xml:space="preserve"> no pieprasījuma sistēmas (</w:t>
      </w:r>
      <w:proofErr w:type="spellStart"/>
      <w:r w:rsidRPr="004259C7">
        <w:rPr>
          <w:rFonts w:cs="Times New Roman"/>
          <w:i/>
          <w:szCs w:val="24"/>
        </w:rPr>
        <w:t>pull</w:t>
      </w:r>
      <w:proofErr w:type="spellEnd"/>
      <w:r w:rsidRPr="004259C7">
        <w:rPr>
          <w:rFonts w:cs="Times New Roman"/>
          <w:szCs w:val="24"/>
        </w:rPr>
        <w:t>)</w:t>
      </w:r>
      <w:r w:rsidR="00D34CEF" w:rsidRPr="004259C7">
        <w:rPr>
          <w:rStyle w:val="FootnoteReference"/>
          <w:rFonts w:cs="Times New Roman"/>
          <w:szCs w:val="24"/>
        </w:rPr>
        <w:footnoteReference w:id="2"/>
      </w:r>
      <w:r w:rsidRPr="004259C7">
        <w:rPr>
          <w:rFonts w:cs="Times New Roman"/>
          <w:szCs w:val="24"/>
        </w:rPr>
        <w:t xml:space="preserve"> </w:t>
      </w:r>
      <w:r w:rsidR="00E14D01" w:rsidRPr="004259C7">
        <w:rPr>
          <w:rFonts w:cs="Times New Roman"/>
          <w:szCs w:val="24"/>
        </w:rPr>
        <w:t>tiks pārorientēta</w:t>
      </w:r>
      <w:r w:rsidRPr="004259C7">
        <w:rPr>
          <w:rFonts w:cs="Times New Roman"/>
          <w:szCs w:val="24"/>
        </w:rPr>
        <w:t xml:space="preserve"> uz krājumu sistēmu (</w:t>
      </w:r>
      <w:proofErr w:type="spellStart"/>
      <w:r w:rsidRPr="004259C7">
        <w:rPr>
          <w:rFonts w:cs="Times New Roman"/>
          <w:i/>
          <w:szCs w:val="24"/>
        </w:rPr>
        <w:t>push</w:t>
      </w:r>
      <w:proofErr w:type="spellEnd"/>
      <w:r w:rsidRPr="004259C7">
        <w:rPr>
          <w:rFonts w:cs="Times New Roman"/>
          <w:szCs w:val="24"/>
        </w:rPr>
        <w:t>)</w:t>
      </w:r>
      <w:r w:rsidR="00D34CEF" w:rsidRPr="004259C7">
        <w:rPr>
          <w:rStyle w:val="FootnoteReference"/>
          <w:rFonts w:cs="Times New Roman"/>
          <w:szCs w:val="24"/>
        </w:rPr>
        <w:footnoteReference w:id="3"/>
      </w:r>
      <w:r w:rsidRPr="004259C7">
        <w:rPr>
          <w:rFonts w:cs="Times New Roman"/>
          <w:szCs w:val="24"/>
        </w:rPr>
        <w:t>;</w:t>
      </w:r>
    </w:p>
    <w:p w14:paraId="2CF712BD" w14:textId="77777777" w:rsidR="005F763A" w:rsidRPr="004259C7" w:rsidRDefault="00824B6E" w:rsidP="00ED3400">
      <w:pPr>
        <w:pStyle w:val="ListParagraph"/>
        <w:numPr>
          <w:ilvl w:val="0"/>
          <w:numId w:val="3"/>
        </w:numPr>
        <w:tabs>
          <w:tab w:val="left" w:pos="993"/>
        </w:tabs>
        <w:ind w:left="0" w:firstLine="709"/>
        <w:rPr>
          <w:rFonts w:cs="Times New Roman"/>
          <w:szCs w:val="24"/>
        </w:rPr>
      </w:pPr>
      <w:r w:rsidRPr="004259C7">
        <w:rPr>
          <w:rFonts w:cs="Times New Roman"/>
          <w:szCs w:val="24"/>
        </w:rPr>
        <w:t>Iepirkumi tiks īstenoti</w:t>
      </w:r>
      <w:r w:rsidR="00175856" w:rsidRPr="004259C7">
        <w:rPr>
          <w:rFonts w:cs="Times New Roman"/>
          <w:szCs w:val="24"/>
        </w:rPr>
        <w:t>,</w:t>
      </w:r>
      <w:r w:rsidRPr="004259C7">
        <w:rPr>
          <w:rFonts w:cs="Times New Roman"/>
          <w:szCs w:val="24"/>
        </w:rPr>
        <w:t xml:space="preserve"> balstoties uz ilgtermiņa plānošanas principiem un krājumu izveidi</w:t>
      </w:r>
      <w:r w:rsidR="005F763A" w:rsidRPr="004259C7">
        <w:rPr>
          <w:rFonts w:cs="Times New Roman"/>
          <w:szCs w:val="24"/>
        </w:rPr>
        <w:t>;</w:t>
      </w:r>
    </w:p>
    <w:p w14:paraId="2CF712BE" w14:textId="77777777" w:rsidR="005F763A" w:rsidRPr="004259C7" w:rsidRDefault="005F763A" w:rsidP="00ED3400">
      <w:pPr>
        <w:pStyle w:val="ListParagraph"/>
        <w:numPr>
          <w:ilvl w:val="0"/>
          <w:numId w:val="3"/>
        </w:numPr>
        <w:tabs>
          <w:tab w:val="left" w:pos="993"/>
        </w:tabs>
        <w:ind w:left="0" w:firstLine="709"/>
        <w:rPr>
          <w:rFonts w:cs="Times New Roman"/>
          <w:szCs w:val="24"/>
        </w:rPr>
      </w:pPr>
      <w:r w:rsidRPr="004259C7">
        <w:rPr>
          <w:rFonts w:cs="Times New Roman"/>
          <w:szCs w:val="24"/>
        </w:rPr>
        <w:t xml:space="preserve">NBS nodrošinājuma struktūras pārorientēsies no iegādes struktūras uz </w:t>
      </w:r>
      <w:r w:rsidR="00816608" w:rsidRPr="004259C7">
        <w:rPr>
          <w:rFonts w:cs="Times New Roman"/>
          <w:szCs w:val="24"/>
        </w:rPr>
        <w:t xml:space="preserve">kaujas </w:t>
      </w:r>
      <w:r w:rsidRPr="004259C7">
        <w:rPr>
          <w:rFonts w:cs="Times New Roman"/>
          <w:szCs w:val="24"/>
        </w:rPr>
        <w:t>nodrošinājuma struktūrām, pilnā mērā uzsākot kaujas nodrošin</w:t>
      </w:r>
      <w:r w:rsidR="00CB1E34" w:rsidRPr="004259C7">
        <w:rPr>
          <w:rFonts w:cs="Times New Roman"/>
          <w:szCs w:val="24"/>
        </w:rPr>
        <w:t>ājuma struktūru aktualizēšanu,</w:t>
      </w:r>
      <w:r w:rsidRPr="004259C7">
        <w:rPr>
          <w:rFonts w:cs="Times New Roman"/>
          <w:szCs w:val="24"/>
        </w:rPr>
        <w:t xml:space="preserve"> spēju attīstību un </w:t>
      </w:r>
      <w:r w:rsidR="00CB1E34" w:rsidRPr="004259C7">
        <w:rPr>
          <w:rFonts w:cs="Times New Roman"/>
          <w:szCs w:val="24"/>
        </w:rPr>
        <w:t xml:space="preserve">to </w:t>
      </w:r>
      <w:r w:rsidRPr="004259C7">
        <w:rPr>
          <w:rFonts w:cs="Times New Roman"/>
          <w:szCs w:val="24"/>
        </w:rPr>
        <w:t>testēšanu mācībās.</w:t>
      </w:r>
    </w:p>
    <w:p w14:paraId="2CF712BF" w14:textId="77777777" w:rsidR="005B4C28" w:rsidRPr="004259C7" w:rsidRDefault="005B4C28" w:rsidP="005B4C28">
      <w:pPr>
        <w:pStyle w:val="ListParagraph"/>
        <w:tabs>
          <w:tab w:val="left" w:pos="993"/>
        </w:tabs>
        <w:ind w:left="709"/>
        <w:rPr>
          <w:rFonts w:cs="Times New Roman"/>
          <w:szCs w:val="24"/>
        </w:rPr>
      </w:pPr>
    </w:p>
    <w:p w14:paraId="2CF712C0" w14:textId="4307C7D3" w:rsidR="005B4C28" w:rsidRPr="004259C7" w:rsidRDefault="005B4C28" w:rsidP="005B4C28">
      <w:pPr>
        <w:pStyle w:val="ListParagraph"/>
        <w:tabs>
          <w:tab w:val="left" w:pos="993"/>
        </w:tabs>
        <w:ind w:left="0" w:firstLine="709"/>
        <w:rPr>
          <w:rFonts w:cs="Times New Roman"/>
          <w:szCs w:val="24"/>
        </w:rPr>
      </w:pPr>
      <w:r w:rsidRPr="004259C7">
        <w:rPr>
          <w:rFonts w:cs="Times New Roman"/>
          <w:szCs w:val="24"/>
        </w:rPr>
        <w:t xml:space="preserve">Lai īstenotu trešo uzdevumu, no NBS Nodrošinājuma pavēlniecības pakāpeniski tiek </w:t>
      </w:r>
      <w:r w:rsidR="005F1752" w:rsidRPr="004259C7">
        <w:rPr>
          <w:rFonts w:cs="Times New Roman"/>
          <w:szCs w:val="24"/>
        </w:rPr>
        <w:t>pārdalītas</w:t>
      </w:r>
      <w:r w:rsidRPr="004259C7">
        <w:rPr>
          <w:rFonts w:cs="Times New Roman"/>
          <w:szCs w:val="24"/>
        </w:rPr>
        <w:t xml:space="preserve"> NBS vienību apgādes funkcijas Latvijas teritorijā, kā arī ekipējuma un citu materiālu iepirkuma funkcijas NBS vajadzībām. </w:t>
      </w:r>
      <w:proofErr w:type="gramStart"/>
      <w:r w:rsidR="0057656D" w:rsidRPr="004259C7">
        <w:rPr>
          <w:rFonts w:cs="Times New Roman"/>
          <w:szCs w:val="24"/>
        </w:rPr>
        <w:t>Tai pat laikā</w:t>
      </w:r>
      <w:proofErr w:type="gramEnd"/>
      <w:r w:rsidR="0057656D" w:rsidRPr="004259C7">
        <w:rPr>
          <w:rFonts w:cs="Times New Roman"/>
          <w:szCs w:val="24"/>
        </w:rPr>
        <w:t xml:space="preserve"> NBS Nodrošinājuma pavēlniecība saglabā savu vienību apgādes un iepirkumu </w:t>
      </w:r>
      <w:r w:rsidR="00E14D01" w:rsidRPr="004259C7">
        <w:rPr>
          <w:rFonts w:cs="Times New Roman"/>
          <w:szCs w:val="24"/>
        </w:rPr>
        <w:t>f</w:t>
      </w:r>
      <w:r w:rsidR="0057656D" w:rsidRPr="004259C7">
        <w:rPr>
          <w:rFonts w:cs="Times New Roman"/>
          <w:szCs w:val="24"/>
        </w:rPr>
        <w:t>unkciju attiecībā uz bruņojumu un daļu ekipējuma. Paredzēts, ka iepirkumu funkcija</w:t>
      </w:r>
      <w:r w:rsidR="005F1752" w:rsidRPr="004259C7">
        <w:rPr>
          <w:rFonts w:cs="Times New Roman"/>
          <w:szCs w:val="24"/>
        </w:rPr>
        <w:t>s pārņemšana</w:t>
      </w:r>
      <w:r w:rsidR="0057656D" w:rsidRPr="004259C7">
        <w:rPr>
          <w:rFonts w:cs="Times New Roman"/>
          <w:szCs w:val="24"/>
        </w:rPr>
        <w:t xml:space="preserve"> </w:t>
      </w:r>
      <w:r w:rsidR="005F1752" w:rsidRPr="004259C7">
        <w:rPr>
          <w:rFonts w:cs="Times New Roman"/>
          <w:szCs w:val="24"/>
        </w:rPr>
        <w:t>noritēs</w:t>
      </w:r>
      <w:r w:rsidR="0057656D" w:rsidRPr="004259C7">
        <w:rPr>
          <w:rFonts w:cs="Times New Roman"/>
          <w:szCs w:val="24"/>
        </w:rPr>
        <w:t xml:space="preserve"> vairāku gadu laikā.</w:t>
      </w:r>
    </w:p>
    <w:p w14:paraId="2CF712C1" w14:textId="77777777" w:rsidR="00DE4C4A" w:rsidRPr="004259C7" w:rsidRDefault="00D26592" w:rsidP="00ED3400">
      <w:pPr>
        <w:ind w:firstLine="709"/>
        <w:rPr>
          <w:rFonts w:cs="Times New Roman"/>
          <w:szCs w:val="24"/>
        </w:rPr>
      </w:pPr>
      <w:r w:rsidRPr="004259C7">
        <w:rPr>
          <w:rFonts w:cs="Times New Roman"/>
          <w:szCs w:val="24"/>
        </w:rPr>
        <w:t xml:space="preserve">Ņemot vērā </w:t>
      </w:r>
      <w:r w:rsidR="00150A85" w:rsidRPr="004259C7">
        <w:rPr>
          <w:rFonts w:cs="Times New Roman"/>
          <w:szCs w:val="24"/>
        </w:rPr>
        <w:t>jau šobrīd plašo uzdevumu klāstu</w:t>
      </w:r>
      <w:r w:rsidR="00302CFB" w:rsidRPr="004259C7">
        <w:rPr>
          <w:rFonts w:cs="Times New Roman"/>
          <w:szCs w:val="24"/>
        </w:rPr>
        <w:t xml:space="preserve"> un </w:t>
      </w:r>
      <w:r w:rsidRPr="004259C7">
        <w:rPr>
          <w:rFonts w:cs="Times New Roman"/>
          <w:szCs w:val="24"/>
        </w:rPr>
        <w:t xml:space="preserve">to, </w:t>
      </w:r>
      <w:r w:rsidR="00155035" w:rsidRPr="004259C7">
        <w:rPr>
          <w:rFonts w:cs="Times New Roman"/>
          <w:szCs w:val="24"/>
        </w:rPr>
        <w:t xml:space="preserve">ka nākotnē </w:t>
      </w:r>
      <w:r w:rsidR="00150A85" w:rsidRPr="004259C7">
        <w:rPr>
          <w:rFonts w:cs="Times New Roman"/>
          <w:szCs w:val="24"/>
        </w:rPr>
        <w:t xml:space="preserve">VAMOIC </w:t>
      </w:r>
      <w:r w:rsidR="00155035" w:rsidRPr="004259C7">
        <w:rPr>
          <w:rFonts w:cs="Times New Roman"/>
          <w:szCs w:val="24"/>
        </w:rPr>
        <w:t>plānots nodot vēl papildus</w:t>
      </w:r>
      <w:r w:rsidRPr="004259C7">
        <w:rPr>
          <w:rFonts w:cs="Times New Roman"/>
          <w:szCs w:val="24"/>
        </w:rPr>
        <w:t xml:space="preserve"> funkcijas, iestādes administrēšana kļūst ievērojami sarežģītāka, jo iestādei jau šobrīd</w:t>
      </w:r>
      <w:r w:rsidR="008669D6" w:rsidRPr="004259C7">
        <w:rPr>
          <w:rFonts w:cs="Times New Roman"/>
          <w:szCs w:val="24"/>
        </w:rPr>
        <w:t xml:space="preserve"> ir jāīsteno </w:t>
      </w:r>
      <w:r w:rsidR="00026C4F" w:rsidRPr="004259C7">
        <w:rPr>
          <w:rFonts w:cs="Times New Roman"/>
          <w:szCs w:val="24"/>
        </w:rPr>
        <w:t xml:space="preserve">vienlaikus </w:t>
      </w:r>
      <w:r w:rsidR="008669D6" w:rsidRPr="004259C7">
        <w:rPr>
          <w:rFonts w:cs="Times New Roman"/>
          <w:szCs w:val="24"/>
        </w:rPr>
        <w:t xml:space="preserve">divi pēc savas būtības ļoti atšķirīgi procesi: </w:t>
      </w:r>
    </w:p>
    <w:p w14:paraId="2CF712C2" w14:textId="77777777" w:rsidR="00DE4C4A" w:rsidRPr="004259C7" w:rsidRDefault="008669D6" w:rsidP="00AC3A2F">
      <w:pPr>
        <w:ind w:left="993" w:hanging="284"/>
        <w:rPr>
          <w:rFonts w:cs="Times New Roman"/>
          <w:szCs w:val="24"/>
        </w:rPr>
      </w:pPr>
      <w:r w:rsidRPr="004259C7">
        <w:rPr>
          <w:rFonts w:cs="Times New Roman"/>
          <w:szCs w:val="24"/>
        </w:rPr>
        <w:t xml:space="preserve">1) pilna MTL dzīvescikla funkcijas nodrošināšana; </w:t>
      </w:r>
    </w:p>
    <w:p w14:paraId="2CF712C3" w14:textId="77777777" w:rsidR="00DE4C4A" w:rsidRPr="004259C7" w:rsidRDefault="008669D6" w:rsidP="00AC3A2F">
      <w:pPr>
        <w:ind w:left="993" w:hanging="284"/>
        <w:rPr>
          <w:rFonts w:cs="Times New Roman"/>
          <w:szCs w:val="24"/>
        </w:rPr>
      </w:pPr>
      <w:r w:rsidRPr="004259C7">
        <w:rPr>
          <w:rFonts w:cs="Times New Roman"/>
          <w:szCs w:val="24"/>
        </w:rPr>
        <w:t>2) infrastruktūras attīstība</w:t>
      </w:r>
      <w:r w:rsidR="00BA3CD3" w:rsidRPr="004259C7">
        <w:rPr>
          <w:rFonts w:cs="Times New Roman"/>
          <w:szCs w:val="24"/>
        </w:rPr>
        <w:t>, būvniecība</w:t>
      </w:r>
      <w:r w:rsidRPr="004259C7">
        <w:rPr>
          <w:rFonts w:cs="Times New Roman"/>
          <w:szCs w:val="24"/>
        </w:rPr>
        <w:t xml:space="preserve"> un uzturēšana. </w:t>
      </w:r>
    </w:p>
    <w:p w14:paraId="2CF712C4" w14:textId="77777777" w:rsidR="008669D6" w:rsidRPr="004259C7" w:rsidRDefault="008669D6" w:rsidP="00ED3400">
      <w:pPr>
        <w:ind w:firstLine="709"/>
        <w:rPr>
          <w:rFonts w:cs="Times New Roman"/>
          <w:szCs w:val="24"/>
        </w:rPr>
      </w:pPr>
      <w:r w:rsidRPr="004259C7">
        <w:rPr>
          <w:rFonts w:cs="Times New Roman"/>
          <w:szCs w:val="24"/>
        </w:rPr>
        <w:t xml:space="preserve">Vienā gadījumā </w:t>
      </w:r>
      <w:r w:rsidR="00720462" w:rsidRPr="004259C7">
        <w:rPr>
          <w:rFonts w:cs="Times New Roman"/>
          <w:szCs w:val="24"/>
        </w:rPr>
        <w:t xml:space="preserve">funkcijas </w:t>
      </w:r>
      <w:r w:rsidR="0010045A" w:rsidRPr="004259C7">
        <w:rPr>
          <w:rFonts w:cs="Times New Roman"/>
          <w:szCs w:val="24"/>
        </w:rPr>
        <w:t>realizēš</w:t>
      </w:r>
      <w:r w:rsidR="00720462" w:rsidRPr="004259C7">
        <w:rPr>
          <w:rFonts w:cs="Times New Roman"/>
          <w:szCs w:val="24"/>
        </w:rPr>
        <w:t xml:space="preserve">anai ir nepieciešama ar </w:t>
      </w:r>
      <w:r w:rsidRPr="004259C7">
        <w:rPr>
          <w:rFonts w:cs="Times New Roman"/>
          <w:szCs w:val="24"/>
        </w:rPr>
        <w:t xml:space="preserve">MTL </w:t>
      </w:r>
      <w:r w:rsidR="0010045A" w:rsidRPr="004259C7">
        <w:rPr>
          <w:rFonts w:cs="Times New Roman"/>
          <w:szCs w:val="24"/>
        </w:rPr>
        <w:t>nodrošināšanu</w:t>
      </w:r>
      <w:r w:rsidR="00720462" w:rsidRPr="004259C7">
        <w:rPr>
          <w:rFonts w:cs="Times New Roman"/>
          <w:szCs w:val="24"/>
        </w:rPr>
        <w:t xml:space="preserve"> saistīta ekspertīze –</w:t>
      </w:r>
      <w:r w:rsidR="00720462" w:rsidRPr="004259C7">
        <w:t xml:space="preserve"> </w:t>
      </w:r>
      <w:r w:rsidR="00720462" w:rsidRPr="004259C7">
        <w:rPr>
          <w:rFonts w:cs="Times New Roman"/>
          <w:szCs w:val="24"/>
        </w:rPr>
        <w:t xml:space="preserve">plānošana, </w:t>
      </w:r>
      <w:r w:rsidR="00026C4F" w:rsidRPr="004259C7">
        <w:rPr>
          <w:rFonts w:cs="Times New Roman"/>
          <w:szCs w:val="24"/>
        </w:rPr>
        <w:t xml:space="preserve">tehnisko </w:t>
      </w:r>
      <w:r w:rsidR="00720462" w:rsidRPr="004259C7">
        <w:rPr>
          <w:rFonts w:cs="Times New Roman"/>
          <w:szCs w:val="24"/>
        </w:rPr>
        <w:t>prasību definēšana, te</w:t>
      </w:r>
      <w:r w:rsidR="0010045A" w:rsidRPr="004259C7">
        <w:rPr>
          <w:rFonts w:cs="Times New Roman"/>
          <w:szCs w:val="24"/>
        </w:rPr>
        <w:t>hnisko specifikāciju</w:t>
      </w:r>
      <w:r w:rsidR="00720462" w:rsidRPr="004259C7">
        <w:rPr>
          <w:rFonts w:cs="Times New Roman"/>
          <w:szCs w:val="24"/>
        </w:rPr>
        <w:t xml:space="preserve"> izstrāde, </w:t>
      </w:r>
      <w:r w:rsidR="00026C4F" w:rsidRPr="004259C7">
        <w:rPr>
          <w:rFonts w:cs="Times New Roman"/>
          <w:szCs w:val="24"/>
        </w:rPr>
        <w:t xml:space="preserve">iegādes procesa organizēšana, krīzes krājumu veidošana un uzturēšana, saņemšana, </w:t>
      </w:r>
      <w:r w:rsidR="00720462" w:rsidRPr="004259C7">
        <w:rPr>
          <w:rFonts w:cs="Times New Roman"/>
          <w:szCs w:val="24"/>
        </w:rPr>
        <w:t>uzglabāšana</w:t>
      </w:r>
      <w:r w:rsidR="00026C4F" w:rsidRPr="004259C7">
        <w:rPr>
          <w:rFonts w:cs="Times New Roman"/>
          <w:szCs w:val="24"/>
        </w:rPr>
        <w:t xml:space="preserve"> un uzskaite</w:t>
      </w:r>
      <w:r w:rsidR="00720462" w:rsidRPr="004259C7">
        <w:rPr>
          <w:rFonts w:cs="Times New Roman"/>
          <w:szCs w:val="24"/>
        </w:rPr>
        <w:t>, izsniegšana</w:t>
      </w:r>
      <w:r w:rsidR="00026C4F" w:rsidRPr="004259C7">
        <w:rPr>
          <w:rFonts w:cs="Times New Roman"/>
          <w:szCs w:val="24"/>
        </w:rPr>
        <w:t xml:space="preserve"> lietotājam</w:t>
      </w:r>
      <w:r w:rsidR="00720462" w:rsidRPr="004259C7">
        <w:rPr>
          <w:rFonts w:cs="Times New Roman"/>
          <w:szCs w:val="24"/>
        </w:rPr>
        <w:t xml:space="preserve">, </w:t>
      </w:r>
      <w:r w:rsidR="00026C4F" w:rsidRPr="004259C7">
        <w:rPr>
          <w:rFonts w:cs="Times New Roman"/>
          <w:szCs w:val="24"/>
        </w:rPr>
        <w:t>uzturēšana</w:t>
      </w:r>
      <w:r w:rsidR="00720462" w:rsidRPr="004259C7">
        <w:rPr>
          <w:rFonts w:cs="Times New Roman"/>
          <w:szCs w:val="24"/>
        </w:rPr>
        <w:t xml:space="preserve">, utilizācija, </w:t>
      </w:r>
      <w:r w:rsidR="00CB1E34" w:rsidRPr="004259C7">
        <w:rPr>
          <w:rFonts w:cs="Times New Roman"/>
          <w:szCs w:val="24"/>
        </w:rPr>
        <w:t xml:space="preserve">bet </w:t>
      </w:r>
      <w:r w:rsidRPr="004259C7">
        <w:rPr>
          <w:rFonts w:cs="Times New Roman"/>
          <w:szCs w:val="24"/>
        </w:rPr>
        <w:t>otrā</w:t>
      </w:r>
      <w:r w:rsidR="00720462" w:rsidRPr="004259C7">
        <w:rPr>
          <w:rFonts w:cs="Times New Roman"/>
          <w:szCs w:val="24"/>
        </w:rPr>
        <w:t xml:space="preserve"> – </w:t>
      </w:r>
      <w:r w:rsidRPr="004259C7">
        <w:rPr>
          <w:rFonts w:cs="Times New Roman"/>
          <w:szCs w:val="24"/>
        </w:rPr>
        <w:t xml:space="preserve">tā ir </w:t>
      </w:r>
      <w:r w:rsidR="00DE4C4A" w:rsidRPr="004259C7">
        <w:rPr>
          <w:rFonts w:cs="Times New Roman"/>
          <w:szCs w:val="24"/>
        </w:rPr>
        <w:t xml:space="preserve">apjomīga jaunas militāras </w:t>
      </w:r>
      <w:r w:rsidR="00720462" w:rsidRPr="004259C7">
        <w:rPr>
          <w:rFonts w:cs="Times New Roman"/>
          <w:szCs w:val="24"/>
        </w:rPr>
        <w:lastRenderedPageBreak/>
        <w:t>infrastruktūras izveide</w:t>
      </w:r>
      <w:r w:rsidRPr="004259C7">
        <w:rPr>
          <w:rFonts w:cs="Times New Roman"/>
          <w:szCs w:val="24"/>
        </w:rPr>
        <w:t xml:space="preserve">, </w:t>
      </w:r>
      <w:r w:rsidR="00563FAF" w:rsidRPr="004259C7">
        <w:rPr>
          <w:rFonts w:cs="Times New Roman"/>
          <w:szCs w:val="24"/>
        </w:rPr>
        <w:t>kas saistīta ar īpašumu pārņemšanu, atsavināšanu</w:t>
      </w:r>
      <w:r w:rsidRPr="004259C7">
        <w:rPr>
          <w:rFonts w:cs="Times New Roman"/>
          <w:szCs w:val="24"/>
        </w:rPr>
        <w:t xml:space="preserve"> sabiedrības vajadzībām, teritorij</w:t>
      </w:r>
      <w:r w:rsidR="00563FAF" w:rsidRPr="004259C7">
        <w:rPr>
          <w:rFonts w:cs="Times New Roman"/>
          <w:szCs w:val="24"/>
        </w:rPr>
        <w:t>as plānošanas dokumentu izstrādi</w:t>
      </w:r>
      <w:r w:rsidRPr="004259C7">
        <w:rPr>
          <w:rFonts w:cs="Times New Roman"/>
          <w:szCs w:val="24"/>
        </w:rPr>
        <w:t>, ietekmes uz vidi, p</w:t>
      </w:r>
      <w:r w:rsidR="00563FAF" w:rsidRPr="004259C7">
        <w:rPr>
          <w:rFonts w:cs="Times New Roman"/>
          <w:szCs w:val="24"/>
        </w:rPr>
        <w:t>iesārņojuma jautājumu risināšanu,  projektēšanu, būvniecību</w:t>
      </w:r>
      <w:r w:rsidRPr="004259C7">
        <w:rPr>
          <w:rFonts w:cs="Times New Roman"/>
          <w:szCs w:val="24"/>
        </w:rPr>
        <w:t xml:space="preserve">,  </w:t>
      </w:r>
      <w:r w:rsidR="00563FAF" w:rsidRPr="004259C7">
        <w:rPr>
          <w:rFonts w:cs="Times New Roman"/>
          <w:szCs w:val="24"/>
        </w:rPr>
        <w:t xml:space="preserve">kā arī jau esošo </w:t>
      </w:r>
      <w:r w:rsidR="00BA3CD3" w:rsidRPr="004259C7">
        <w:rPr>
          <w:rFonts w:cs="Times New Roman"/>
          <w:szCs w:val="24"/>
        </w:rPr>
        <w:t xml:space="preserve">un nākotnes </w:t>
      </w:r>
      <w:r w:rsidR="00563FAF" w:rsidRPr="004259C7">
        <w:rPr>
          <w:rFonts w:cs="Times New Roman"/>
          <w:szCs w:val="24"/>
        </w:rPr>
        <w:t xml:space="preserve">īpašumu </w:t>
      </w:r>
      <w:r w:rsidRPr="004259C7">
        <w:rPr>
          <w:rFonts w:cs="Times New Roman"/>
          <w:szCs w:val="24"/>
        </w:rPr>
        <w:t>apsaimniek</w:t>
      </w:r>
      <w:r w:rsidR="00563FAF" w:rsidRPr="004259C7">
        <w:rPr>
          <w:rFonts w:cs="Times New Roman"/>
          <w:szCs w:val="24"/>
        </w:rPr>
        <w:t>o</w:t>
      </w:r>
      <w:r w:rsidR="00BA3CD3" w:rsidRPr="004259C7">
        <w:rPr>
          <w:rFonts w:cs="Times New Roman"/>
          <w:szCs w:val="24"/>
        </w:rPr>
        <w:t>šanu</w:t>
      </w:r>
      <w:r w:rsidRPr="004259C7">
        <w:rPr>
          <w:rFonts w:cs="Times New Roman"/>
          <w:szCs w:val="24"/>
        </w:rPr>
        <w:t>.</w:t>
      </w:r>
    </w:p>
    <w:p w14:paraId="2CF712C5" w14:textId="1FA850A4" w:rsidR="00A9593B" w:rsidRPr="004259C7" w:rsidRDefault="00366828" w:rsidP="00ED3400">
      <w:pPr>
        <w:ind w:firstLine="709"/>
        <w:rPr>
          <w:rFonts w:cs="Times New Roman"/>
          <w:szCs w:val="24"/>
        </w:rPr>
      </w:pPr>
      <w:r w:rsidRPr="004259C7">
        <w:rPr>
          <w:rFonts w:cs="Times New Roman"/>
          <w:szCs w:val="24"/>
        </w:rPr>
        <w:t xml:space="preserve">Ņemot vērā iepriekš uzskaitītos faktorus un lai efektīvāk </w:t>
      </w:r>
      <w:r w:rsidR="002B00BD" w:rsidRPr="004259C7">
        <w:rPr>
          <w:rFonts w:cs="Times New Roman"/>
          <w:szCs w:val="24"/>
        </w:rPr>
        <w:t>realizētu</w:t>
      </w:r>
      <w:r w:rsidR="00F30DDD" w:rsidRPr="004259C7">
        <w:rPr>
          <w:rFonts w:cs="Times New Roman"/>
          <w:szCs w:val="24"/>
        </w:rPr>
        <w:t xml:space="preserve"> Valdības rī</w:t>
      </w:r>
      <w:r w:rsidR="005B0BDC" w:rsidRPr="004259C7">
        <w:rPr>
          <w:rFonts w:cs="Times New Roman"/>
          <w:szCs w:val="24"/>
        </w:rPr>
        <w:t>cības plāna uzdevumu Nr. </w:t>
      </w:r>
      <w:r w:rsidR="0010045A" w:rsidRPr="004259C7">
        <w:rPr>
          <w:rFonts w:cs="Times New Roman"/>
          <w:szCs w:val="24"/>
        </w:rPr>
        <w:t>204</w:t>
      </w:r>
      <w:r w:rsidR="00F30DDD" w:rsidRPr="004259C7">
        <w:rPr>
          <w:rFonts w:cs="Times New Roman"/>
          <w:szCs w:val="24"/>
        </w:rPr>
        <w:t xml:space="preserve"> </w:t>
      </w:r>
      <w:r w:rsidR="006D1ECB" w:rsidRPr="004259C7">
        <w:rPr>
          <w:rFonts w:cs="Times New Roman"/>
          <w:szCs w:val="24"/>
        </w:rPr>
        <w:t>"</w:t>
      </w:r>
      <w:r w:rsidR="00F30DDD" w:rsidRPr="004259C7">
        <w:rPr>
          <w:rFonts w:cs="Times New Roman"/>
          <w:szCs w:val="24"/>
        </w:rPr>
        <w:t xml:space="preserve">Valsts pašaizsardzības spēju nostiprināšanai </w:t>
      </w:r>
      <w:r w:rsidR="00E47956" w:rsidRPr="004259C7">
        <w:rPr>
          <w:rFonts w:cs="Times New Roman"/>
          <w:szCs w:val="24"/>
        </w:rPr>
        <w:t>nepieciešams veikt</w:t>
      </w:r>
      <w:r w:rsidR="00F30DDD" w:rsidRPr="004259C7">
        <w:rPr>
          <w:rFonts w:cs="Times New Roman"/>
          <w:szCs w:val="24"/>
        </w:rPr>
        <w:t xml:space="preserve"> ilgtermiņa ieguldījumus NBS kaujasspēju attīstībā – spēju attīstības, personālsastāva un moderna materiāltehniskā nodrošinājuma jomā. </w:t>
      </w:r>
      <w:r w:rsidR="00E47956" w:rsidRPr="004259C7">
        <w:rPr>
          <w:rFonts w:cs="Times New Roman"/>
          <w:szCs w:val="24"/>
        </w:rPr>
        <w:t>Nepieciešams nodrošināt</w:t>
      </w:r>
      <w:r w:rsidR="00F30DDD" w:rsidRPr="004259C7">
        <w:rPr>
          <w:rFonts w:cs="Times New Roman"/>
          <w:szCs w:val="24"/>
        </w:rPr>
        <w:t xml:space="preserve"> materiāltehniskās iegādes funkciju civilo un militāro nodalījumu miera laikā</w:t>
      </w:r>
      <w:r w:rsidR="006D1ECB" w:rsidRPr="004259C7">
        <w:rPr>
          <w:rFonts w:cs="Times New Roman"/>
          <w:szCs w:val="24"/>
        </w:rPr>
        <w:t>"</w:t>
      </w:r>
      <w:r w:rsidR="00E47956" w:rsidRPr="004259C7">
        <w:rPr>
          <w:rFonts w:cs="Times New Roman"/>
          <w:szCs w:val="24"/>
        </w:rPr>
        <w:t xml:space="preserve"> </w:t>
      </w:r>
      <w:r w:rsidRPr="004259C7">
        <w:rPr>
          <w:rFonts w:cs="Times New Roman"/>
          <w:szCs w:val="24"/>
        </w:rPr>
        <w:t>un īstenot</w:t>
      </w:r>
      <w:r w:rsidR="00E652C3">
        <w:rPr>
          <w:rFonts w:cs="Times New Roman"/>
          <w:szCs w:val="24"/>
        </w:rPr>
        <w:t>u</w:t>
      </w:r>
      <w:r w:rsidRPr="004259C7">
        <w:rPr>
          <w:rFonts w:cs="Times New Roman"/>
          <w:szCs w:val="24"/>
        </w:rPr>
        <w:t xml:space="preserve"> </w:t>
      </w:r>
      <w:r w:rsidR="002B00BD" w:rsidRPr="004259C7">
        <w:rPr>
          <w:rFonts w:cs="Times New Roman"/>
          <w:szCs w:val="24"/>
        </w:rPr>
        <w:t>NBS, kā arī</w:t>
      </w:r>
      <w:r w:rsidR="00A9593B" w:rsidRPr="004259C7">
        <w:rPr>
          <w:rFonts w:cs="Times New Roman"/>
          <w:szCs w:val="24"/>
        </w:rPr>
        <w:t xml:space="preserve"> Jaunsardzes centra miera laika </w:t>
      </w:r>
      <w:r w:rsidR="002B00BD" w:rsidRPr="004259C7">
        <w:rPr>
          <w:rFonts w:cs="Times New Roman"/>
          <w:szCs w:val="24"/>
        </w:rPr>
        <w:t>MTL</w:t>
      </w:r>
      <w:r w:rsidR="00577814" w:rsidRPr="004259C7">
        <w:rPr>
          <w:rFonts w:cs="Times New Roman"/>
          <w:szCs w:val="24"/>
        </w:rPr>
        <w:t xml:space="preserve"> apgādes tālāku efektivizēšanu, kā arī</w:t>
      </w:r>
      <w:r w:rsidR="00A9593B" w:rsidRPr="004259C7">
        <w:rPr>
          <w:rFonts w:cs="Times New Roman"/>
          <w:szCs w:val="24"/>
        </w:rPr>
        <w:t xml:space="preserve"> </w:t>
      </w:r>
      <w:r w:rsidR="00577814" w:rsidRPr="004259C7">
        <w:rPr>
          <w:rFonts w:cs="Times New Roman"/>
          <w:szCs w:val="24"/>
        </w:rPr>
        <w:t>p</w:t>
      </w:r>
      <w:r w:rsidR="00A9593B" w:rsidRPr="004259C7">
        <w:rPr>
          <w:rFonts w:cs="Times New Roman"/>
          <w:szCs w:val="24"/>
        </w:rPr>
        <w:t>lānot civilo un militāro funkciju nodalīšanu aizsardzības resorā</w:t>
      </w:r>
      <w:r w:rsidR="00563FAF" w:rsidRPr="004259C7">
        <w:rPr>
          <w:rFonts w:cs="Times New Roman"/>
          <w:szCs w:val="24"/>
        </w:rPr>
        <w:t>, kas ietver</w:t>
      </w:r>
      <w:r w:rsidR="00A9593B" w:rsidRPr="004259C7">
        <w:rPr>
          <w:rFonts w:cs="Times New Roman"/>
          <w:szCs w:val="24"/>
        </w:rPr>
        <w:t>:</w:t>
      </w:r>
    </w:p>
    <w:p w14:paraId="2CF712C6" w14:textId="77777777" w:rsidR="00A9593B" w:rsidRPr="004259C7" w:rsidRDefault="00420199" w:rsidP="00ED3400">
      <w:pPr>
        <w:pStyle w:val="ListParagraph"/>
        <w:numPr>
          <w:ilvl w:val="0"/>
          <w:numId w:val="4"/>
        </w:numPr>
        <w:tabs>
          <w:tab w:val="left" w:pos="993"/>
        </w:tabs>
        <w:ind w:left="0" w:firstLine="709"/>
        <w:rPr>
          <w:rFonts w:cs="Times New Roman"/>
          <w:szCs w:val="24"/>
        </w:rPr>
      </w:pPr>
      <w:r w:rsidRPr="004259C7">
        <w:rPr>
          <w:rFonts w:cs="Times New Roman"/>
          <w:szCs w:val="24"/>
        </w:rPr>
        <w:t>VAMOIC</w:t>
      </w:r>
      <w:r w:rsidR="00A9593B" w:rsidRPr="004259C7">
        <w:rPr>
          <w:rFonts w:cs="Times New Roman"/>
          <w:szCs w:val="24"/>
        </w:rPr>
        <w:t xml:space="preserve"> strukturālu reorganizāciju, </w:t>
      </w:r>
      <w:r w:rsidR="002F1B87" w:rsidRPr="004259C7">
        <w:rPr>
          <w:rFonts w:cs="Times New Roman"/>
          <w:szCs w:val="24"/>
        </w:rPr>
        <w:t>nodalot atsevišķi divas pēc būtības atšķirīgas</w:t>
      </w:r>
      <w:r w:rsidR="00A9593B" w:rsidRPr="004259C7">
        <w:rPr>
          <w:rFonts w:cs="Times New Roman"/>
          <w:szCs w:val="24"/>
        </w:rPr>
        <w:t xml:space="preserve"> funkcijas divām iestādēm (MTL apgādes funkcijas īstenošanai</w:t>
      </w:r>
      <w:r w:rsidR="00E14D01" w:rsidRPr="004259C7">
        <w:rPr>
          <w:rFonts w:cs="Times New Roman"/>
          <w:szCs w:val="24"/>
        </w:rPr>
        <w:t xml:space="preserve"> </w:t>
      </w:r>
      <w:r w:rsidR="00A9593B" w:rsidRPr="004259C7">
        <w:rPr>
          <w:rFonts w:cs="Times New Roman"/>
          <w:szCs w:val="24"/>
        </w:rPr>
        <w:t xml:space="preserve">– </w:t>
      </w:r>
      <w:r w:rsidR="002D3538" w:rsidRPr="004259C7">
        <w:rPr>
          <w:rFonts w:cs="Times New Roman"/>
          <w:szCs w:val="24"/>
        </w:rPr>
        <w:t>materiāltehnisko līdzekļu centr</w:t>
      </w:r>
      <w:r w:rsidR="00A9593B" w:rsidRPr="004259C7">
        <w:rPr>
          <w:rFonts w:cs="Times New Roman"/>
          <w:szCs w:val="24"/>
        </w:rPr>
        <w:t xml:space="preserve">s un būvniecības un </w:t>
      </w:r>
      <w:r w:rsidR="00BA3CD3" w:rsidRPr="004259C7">
        <w:rPr>
          <w:rFonts w:cs="Times New Roman"/>
          <w:szCs w:val="24"/>
        </w:rPr>
        <w:t>nekustamo īpašumu</w:t>
      </w:r>
      <w:r w:rsidR="00A9593B" w:rsidRPr="004259C7">
        <w:rPr>
          <w:rFonts w:cs="Times New Roman"/>
          <w:szCs w:val="24"/>
        </w:rPr>
        <w:t xml:space="preserve"> apsaimniek</w:t>
      </w:r>
      <w:r w:rsidRPr="004259C7">
        <w:rPr>
          <w:rFonts w:cs="Times New Roman"/>
          <w:szCs w:val="24"/>
        </w:rPr>
        <w:t>ošanas nodrošināšanai</w:t>
      </w:r>
      <w:r w:rsidR="00E14D01" w:rsidRPr="004259C7">
        <w:rPr>
          <w:rFonts w:cs="Times New Roman"/>
          <w:szCs w:val="24"/>
        </w:rPr>
        <w:t xml:space="preserve"> </w:t>
      </w:r>
      <w:r w:rsidRPr="004259C7">
        <w:rPr>
          <w:rFonts w:cs="Times New Roman"/>
          <w:szCs w:val="24"/>
        </w:rPr>
        <w:t>–</w:t>
      </w:r>
      <w:r w:rsidR="00A9593B" w:rsidRPr="004259C7">
        <w:rPr>
          <w:rFonts w:cs="Times New Roman"/>
          <w:szCs w:val="24"/>
        </w:rPr>
        <w:t xml:space="preserve"> </w:t>
      </w:r>
      <w:r w:rsidR="00164834" w:rsidRPr="004259C7">
        <w:rPr>
          <w:rFonts w:cs="Times New Roman"/>
          <w:szCs w:val="24"/>
        </w:rPr>
        <w:t>i</w:t>
      </w:r>
      <w:r w:rsidR="00A9593B" w:rsidRPr="004259C7">
        <w:rPr>
          <w:rFonts w:cs="Times New Roman"/>
          <w:szCs w:val="24"/>
        </w:rPr>
        <w:t>nfrastruktūras centrs) un izveidojot</w:t>
      </w:r>
      <w:r w:rsidR="00DE4C4A" w:rsidRPr="004259C7">
        <w:rPr>
          <w:rFonts w:cs="Times New Roman"/>
          <w:szCs w:val="24"/>
        </w:rPr>
        <w:t xml:space="preserve"> arī</w:t>
      </w:r>
      <w:r w:rsidR="00A9593B" w:rsidRPr="004259C7">
        <w:rPr>
          <w:rFonts w:cs="Times New Roman"/>
          <w:szCs w:val="24"/>
        </w:rPr>
        <w:t xml:space="preserve"> abu iestāžu reģionālās darbības struktūras;</w:t>
      </w:r>
    </w:p>
    <w:p w14:paraId="2CF712C7" w14:textId="086C41BB" w:rsidR="00A9593B" w:rsidRPr="004259C7" w:rsidRDefault="00A9593B" w:rsidP="00ED3400">
      <w:pPr>
        <w:pStyle w:val="ListParagraph"/>
        <w:numPr>
          <w:ilvl w:val="0"/>
          <w:numId w:val="4"/>
        </w:numPr>
        <w:tabs>
          <w:tab w:val="left" w:pos="993"/>
        </w:tabs>
        <w:ind w:left="0" w:firstLine="709"/>
        <w:rPr>
          <w:rFonts w:cs="Times New Roman"/>
          <w:szCs w:val="24"/>
        </w:rPr>
      </w:pPr>
      <w:r w:rsidRPr="004259C7">
        <w:rPr>
          <w:rFonts w:cs="Times New Roman"/>
          <w:szCs w:val="24"/>
        </w:rPr>
        <w:t xml:space="preserve">NBS Nodrošinājuma pavēlniecības strukturālu </w:t>
      </w:r>
      <w:r w:rsidR="005F1752" w:rsidRPr="004259C7">
        <w:rPr>
          <w:rFonts w:cs="Times New Roman"/>
          <w:szCs w:val="24"/>
        </w:rPr>
        <w:t>reformu</w:t>
      </w:r>
      <w:r w:rsidRPr="004259C7">
        <w:rPr>
          <w:rFonts w:cs="Times New Roman"/>
          <w:szCs w:val="24"/>
        </w:rPr>
        <w:t xml:space="preserve">, pārdalot funkcijas </w:t>
      </w:r>
      <w:r w:rsidR="002D3538" w:rsidRPr="004259C7">
        <w:rPr>
          <w:rFonts w:cs="Times New Roman"/>
          <w:szCs w:val="24"/>
        </w:rPr>
        <w:t>materiāltehnisko līdzekļu centr</w:t>
      </w:r>
      <w:r w:rsidRPr="004259C7">
        <w:rPr>
          <w:rFonts w:cs="Times New Roman"/>
          <w:szCs w:val="24"/>
        </w:rPr>
        <w:t>am, lai nodrošinātu NBS nodrošinājuma struktūru stratēģisku pārorientēšanos no iegādes struktūras uz nodrošinājuma struktūrām un pilnā mērā uzsāktu kaujas nodrošinājuma struktūru aktualizēšanu un spēju attīstību un testēšanu mācībās;</w:t>
      </w:r>
    </w:p>
    <w:p w14:paraId="2CF712C8" w14:textId="2E89572E" w:rsidR="00A9593B" w:rsidRPr="004259C7" w:rsidRDefault="002B00BD" w:rsidP="00ED3400">
      <w:pPr>
        <w:pStyle w:val="ListParagraph"/>
        <w:numPr>
          <w:ilvl w:val="0"/>
          <w:numId w:val="4"/>
        </w:numPr>
        <w:tabs>
          <w:tab w:val="left" w:pos="993"/>
        </w:tabs>
        <w:ind w:left="0" w:firstLine="709"/>
        <w:rPr>
          <w:rFonts w:cs="Times New Roman"/>
          <w:szCs w:val="24"/>
        </w:rPr>
      </w:pPr>
      <w:r w:rsidRPr="004259C7">
        <w:rPr>
          <w:rFonts w:cs="Times New Roman"/>
          <w:szCs w:val="24"/>
        </w:rPr>
        <w:t>a</w:t>
      </w:r>
      <w:r w:rsidR="00A9593B" w:rsidRPr="004259C7">
        <w:rPr>
          <w:rFonts w:cs="Times New Roman"/>
          <w:szCs w:val="24"/>
        </w:rPr>
        <w:t xml:space="preserve">dministratīvo, finanšu resursu un cilvēkresursu vadības, kā arī </w:t>
      </w:r>
      <w:r w:rsidR="003D250C" w:rsidRPr="003D250C">
        <w:rPr>
          <w:rFonts w:cs="Times New Roman"/>
          <w:szCs w:val="24"/>
        </w:rPr>
        <w:t xml:space="preserve">informācijas un komunikāciju tehnoloģiju </w:t>
      </w:r>
      <w:r w:rsidR="003D250C">
        <w:rPr>
          <w:rFonts w:cs="Times New Roman"/>
          <w:szCs w:val="24"/>
        </w:rPr>
        <w:t xml:space="preserve">(turpmāk – </w:t>
      </w:r>
      <w:r w:rsidR="003D250C" w:rsidRPr="004259C7">
        <w:rPr>
          <w:rFonts w:cs="Times New Roman"/>
          <w:szCs w:val="24"/>
        </w:rPr>
        <w:t>IKT</w:t>
      </w:r>
      <w:r w:rsidR="003D250C">
        <w:rPr>
          <w:rFonts w:cs="Times New Roman"/>
          <w:szCs w:val="24"/>
        </w:rPr>
        <w:t>)</w:t>
      </w:r>
      <w:r w:rsidR="00A9593B" w:rsidRPr="004259C7">
        <w:rPr>
          <w:rFonts w:cs="Times New Roman"/>
          <w:szCs w:val="24"/>
        </w:rPr>
        <w:t xml:space="preserve"> atbalsta funkciju optimizāciju reorganizācijas ietvaros.</w:t>
      </w:r>
    </w:p>
    <w:p w14:paraId="2CF712C9" w14:textId="77777777" w:rsidR="00EC1A76" w:rsidRPr="004259C7" w:rsidRDefault="00F6624A" w:rsidP="00ED3400">
      <w:pPr>
        <w:ind w:firstLine="709"/>
        <w:rPr>
          <w:rFonts w:cs="Times New Roman"/>
          <w:szCs w:val="24"/>
        </w:rPr>
      </w:pPr>
      <w:r w:rsidRPr="004259C7">
        <w:rPr>
          <w:rFonts w:cs="Times New Roman"/>
          <w:szCs w:val="24"/>
        </w:rPr>
        <w:t xml:space="preserve">Paredzēts, ka </w:t>
      </w:r>
      <w:r w:rsidR="002D3538" w:rsidRPr="004259C7">
        <w:rPr>
          <w:rFonts w:cs="Times New Roman"/>
          <w:szCs w:val="24"/>
        </w:rPr>
        <w:t>materiāltehnisko līdzekļu centr</w:t>
      </w:r>
      <w:r w:rsidR="00EC1A76" w:rsidRPr="004259C7">
        <w:rPr>
          <w:rFonts w:cs="Times New Roman"/>
          <w:szCs w:val="24"/>
        </w:rPr>
        <w:t>s sākotnēji nodrošinās individuālā ekipējuma pilna dzīves cikla (no vajadzības apzināšanas līdz utilizācijai) uzturēšanu profesionālā dienesta karavīriem un pakāpeniski 2021./2022.</w:t>
      </w:r>
      <w:r w:rsidR="005B0BDC" w:rsidRPr="004259C7">
        <w:rPr>
          <w:rFonts w:cs="Times New Roman"/>
          <w:szCs w:val="24"/>
        </w:rPr>
        <w:t> </w:t>
      </w:r>
      <w:r w:rsidR="00EC1A76" w:rsidRPr="004259C7">
        <w:rPr>
          <w:rFonts w:cs="Times New Roman"/>
          <w:szCs w:val="24"/>
        </w:rPr>
        <w:t>gada laikā pārņems Z</w:t>
      </w:r>
      <w:r w:rsidRPr="004259C7">
        <w:rPr>
          <w:rFonts w:cs="Times New Roman"/>
          <w:szCs w:val="24"/>
        </w:rPr>
        <w:t>emessardzes un J</w:t>
      </w:r>
      <w:r w:rsidR="00EC1A76" w:rsidRPr="004259C7">
        <w:rPr>
          <w:rFonts w:cs="Times New Roman"/>
          <w:szCs w:val="24"/>
        </w:rPr>
        <w:t xml:space="preserve">aunsardzes centra nodrošinājumu, kā arī veiks apgādes analīzi, prognozēšanu un plānošanu, apmēram piecu gadu laikā izveidojot septiņu individuālā ekipējuma noliktavu tīklu visā </w:t>
      </w:r>
      <w:r w:rsidR="00164834" w:rsidRPr="004259C7">
        <w:rPr>
          <w:rFonts w:cs="Times New Roman"/>
          <w:szCs w:val="24"/>
        </w:rPr>
        <w:t>Latvijas</w:t>
      </w:r>
      <w:r w:rsidR="00EC1A76" w:rsidRPr="004259C7">
        <w:rPr>
          <w:rFonts w:cs="Times New Roman"/>
          <w:szCs w:val="24"/>
        </w:rPr>
        <w:t xml:space="preserve"> teritorijā, pakāpeniski pārņemot kolektīvo</w:t>
      </w:r>
      <w:r w:rsidR="00EC1A76" w:rsidRPr="004259C7">
        <w:t xml:space="preserve"> </w:t>
      </w:r>
      <w:r w:rsidR="00EC1A76" w:rsidRPr="004259C7">
        <w:rPr>
          <w:rFonts w:cs="Times New Roman"/>
          <w:szCs w:val="24"/>
        </w:rPr>
        <w:t>ekipējumu un citas apgādes klases.</w:t>
      </w:r>
    </w:p>
    <w:p w14:paraId="2CF712CA" w14:textId="77777777" w:rsidR="00EC1A76" w:rsidRPr="004259C7" w:rsidRDefault="00EC1A76" w:rsidP="00ED3400">
      <w:pPr>
        <w:ind w:firstLine="709"/>
        <w:rPr>
          <w:rFonts w:cs="Times New Roman"/>
          <w:szCs w:val="24"/>
        </w:rPr>
      </w:pPr>
      <w:r w:rsidRPr="004259C7">
        <w:rPr>
          <w:rFonts w:cs="Times New Roman"/>
          <w:szCs w:val="24"/>
        </w:rPr>
        <w:t>NBS arī turpmāk būs atbildīgi par kopējo kaujas nodrošinājuma sistēmas pārvaldību, tai skaitā par MTL centra pārziņā nodoto aizmugures dienesta elementu integrāciju kaujas nodrošinājuma sistēmā.</w:t>
      </w:r>
    </w:p>
    <w:p w14:paraId="2CF712CB" w14:textId="77777777" w:rsidR="00CA4217" w:rsidRPr="004259C7" w:rsidRDefault="00CA4217" w:rsidP="00D63909">
      <w:pPr>
        <w:pStyle w:val="Heading1"/>
      </w:pPr>
      <w:r w:rsidRPr="004259C7">
        <w:t>III. Risinājums</w:t>
      </w:r>
      <w:r w:rsidR="00A84BCA" w:rsidRPr="004259C7">
        <w:t xml:space="preserve"> un tā ietekme uz problēmas risināšanu</w:t>
      </w:r>
    </w:p>
    <w:p w14:paraId="2CF712CC" w14:textId="77777777" w:rsidR="00B14AC2" w:rsidRPr="004259C7" w:rsidRDefault="00C679BD" w:rsidP="00ED3400">
      <w:pPr>
        <w:ind w:firstLine="709"/>
        <w:rPr>
          <w:rFonts w:cs="Times New Roman"/>
          <w:szCs w:val="24"/>
        </w:rPr>
      </w:pPr>
      <w:r w:rsidRPr="004259C7">
        <w:rPr>
          <w:rFonts w:cs="Times New Roman"/>
          <w:szCs w:val="24"/>
        </w:rPr>
        <w:t>Līdz šim</w:t>
      </w:r>
      <w:r w:rsidR="00563FAF" w:rsidRPr="004259C7">
        <w:rPr>
          <w:rFonts w:cs="Times New Roman"/>
          <w:szCs w:val="24"/>
        </w:rPr>
        <w:t xml:space="preserve"> i</w:t>
      </w:r>
      <w:r w:rsidR="00B14AC2" w:rsidRPr="004259C7">
        <w:rPr>
          <w:rFonts w:cs="Times New Roman"/>
          <w:szCs w:val="24"/>
        </w:rPr>
        <w:t>egūtā pieredze rāda, ka uzturot divas tik atšķirīgas jomas kā infrastruktūra un loģistika</w:t>
      </w:r>
      <w:r w:rsidR="002F1B87" w:rsidRPr="004259C7">
        <w:rPr>
          <w:rFonts w:cs="Times New Roman"/>
          <w:szCs w:val="24"/>
        </w:rPr>
        <w:t>, kuru izpildei ir nepieciešama pavisam atšķirīga ekspertīze,</w:t>
      </w:r>
      <w:r w:rsidR="00B14AC2" w:rsidRPr="004259C7">
        <w:rPr>
          <w:rFonts w:cs="Times New Roman"/>
          <w:szCs w:val="24"/>
        </w:rPr>
        <w:t xml:space="preserve"> vienā lielā organizācijā ar katrai jomai sev </w:t>
      </w:r>
      <w:r w:rsidR="00F6624A" w:rsidRPr="004259C7">
        <w:rPr>
          <w:rFonts w:cs="Times New Roman"/>
          <w:szCs w:val="24"/>
        </w:rPr>
        <w:t xml:space="preserve">tik </w:t>
      </w:r>
      <w:r w:rsidR="00B14AC2" w:rsidRPr="004259C7">
        <w:rPr>
          <w:rFonts w:cs="Times New Roman"/>
          <w:szCs w:val="24"/>
        </w:rPr>
        <w:t>raksturīg</w:t>
      </w:r>
      <w:r w:rsidR="00F6624A" w:rsidRPr="004259C7">
        <w:rPr>
          <w:rFonts w:cs="Times New Roman"/>
          <w:szCs w:val="24"/>
        </w:rPr>
        <w:t>aj</w:t>
      </w:r>
      <w:r w:rsidR="00B14AC2" w:rsidRPr="004259C7">
        <w:rPr>
          <w:rFonts w:cs="Times New Roman"/>
          <w:szCs w:val="24"/>
        </w:rPr>
        <w:t>iem procesiem, to izpilde un realizācija kļūst smagnēja un neelastīga. Tāpēc, ņemot vērā n</w:t>
      </w:r>
      <w:r w:rsidR="00F6624A" w:rsidRPr="004259C7">
        <w:rPr>
          <w:rFonts w:cs="Times New Roman"/>
          <w:szCs w:val="24"/>
        </w:rPr>
        <w:t>odrošinājuma jomas pilnā dzīves</w:t>
      </w:r>
      <w:r w:rsidR="00B14AC2" w:rsidRPr="004259C7">
        <w:rPr>
          <w:rFonts w:cs="Times New Roman"/>
          <w:szCs w:val="24"/>
        </w:rPr>
        <w:t xml:space="preserve">cikla komplicētību un īpašo specifiku, </w:t>
      </w:r>
      <w:r w:rsidRPr="004259C7">
        <w:rPr>
          <w:rFonts w:cs="Times New Roman"/>
          <w:szCs w:val="24"/>
        </w:rPr>
        <w:t xml:space="preserve">ir </w:t>
      </w:r>
      <w:r w:rsidR="00164834" w:rsidRPr="004259C7">
        <w:rPr>
          <w:rFonts w:cs="Times New Roman"/>
          <w:szCs w:val="24"/>
        </w:rPr>
        <w:t>izstrādāts redzējums</w:t>
      </w:r>
      <w:r w:rsidR="00B14AC2" w:rsidRPr="004259C7">
        <w:rPr>
          <w:rFonts w:cs="Times New Roman"/>
          <w:szCs w:val="24"/>
        </w:rPr>
        <w:t xml:space="preserve"> atdalīt infrastruktūras būvniecības un uzturēšanas funkcijas no </w:t>
      </w:r>
      <w:r w:rsidR="00164834" w:rsidRPr="004259C7">
        <w:rPr>
          <w:rFonts w:cs="Times New Roman"/>
          <w:szCs w:val="24"/>
        </w:rPr>
        <w:t xml:space="preserve">iepirkumu un </w:t>
      </w:r>
      <w:r w:rsidR="00B14AC2" w:rsidRPr="004259C7">
        <w:rPr>
          <w:rFonts w:cs="Times New Roman"/>
          <w:szCs w:val="24"/>
        </w:rPr>
        <w:t xml:space="preserve">loģistikas jomas, tās nodalot atsevišķās struktūrvienībās. Pilnībā nodalot infrastruktūras būvniecības un apsaimniekošanas specifiskos iepirkumus no </w:t>
      </w:r>
      <w:r w:rsidR="00F6624A" w:rsidRPr="004259C7">
        <w:rPr>
          <w:rFonts w:cs="Times New Roman"/>
          <w:szCs w:val="24"/>
        </w:rPr>
        <w:t>MTL pilna dzīves</w:t>
      </w:r>
      <w:r w:rsidR="00B14AC2" w:rsidRPr="004259C7">
        <w:rPr>
          <w:rFonts w:cs="Times New Roman"/>
          <w:szCs w:val="24"/>
        </w:rPr>
        <w:t xml:space="preserve">cikla funkcijām, un, </w:t>
      </w:r>
      <w:r w:rsidR="00F6624A" w:rsidRPr="004259C7">
        <w:rPr>
          <w:rFonts w:cs="Times New Roman"/>
          <w:szCs w:val="24"/>
        </w:rPr>
        <w:t>sakoncentrējot</w:t>
      </w:r>
      <w:r w:rsidR="00B14AC2" w:rsidRPr="004259C7">
        <w:rPr>
          <w:rFonts w:cs="Times New Roman"/>
          <w:szCs w:val="24"/>
        </w:rPr>
        <w:t xml:space="preserve"> šīs atšķirīgās kompetences atsevišķi, tiek panākta lielāka nodrošinājuma sistēmas kopējā elastība un paaugstinās iespējas efektīvāk attīstīt tehnisko un apgādes pārvaldības kompetenci.</w:t>
      </w:r>
    </w:p>
    <w:p w14:paraId="2CF712CD" w14:textId="77777777" w:rsidR="00AC0A35" w:rsidRPr="004259C7" w:rsidRDefault="00AC0A35" w:rsidP="00ED3400">
      <w:pPr>
        <w:ind w:firstLine="709"/>
        <w:rPr>
          <w:rFonts w:cs="Times New Roman"/>
          <w:szCs w:val="24"/>
        </w:rPr>
      </w:pPr>
      <w:r w:rsidRPr="004259C7">
        <w:rPr>
          <w:rFonts w:cs="Times New Roman"/>
          <w:szCs w:val="24"/>
        </w:rPr>
        <w:t xml:space="preserve">Izvērtējot nodrošinājuma sistēmas reformas apjomu, komplicētību un ilgtermiņa raksturu, </w:t>
      </w:r>
      <w:r w:rsidR="00F84929" w:rsidRPr="004259C7">
        <w:rPr>
          <w:rFonts w:cs="Times New Roman"/>
          <w:szCs w:val="24"/>
        </w:rPr>
        <w:t>ir secināts, ka</w:t>
      </w:r>
      <w:r w:rsidRPr="004259C7">
        <w:rPr>
          <w:rFonts w:cs="Times New Roman"/>
          <w:szCs w:val="24"/>
        </w:rPr>
        <w:t xml:space="preserve"> aizmugures nodrošinājuma sistēmas uzturēšanai un tālākai attīstībai </w:t>
      </w:r>
      <w:r w:rsidR="00F84929" w:rsidRPr="004259C7">
        <w:rPr>
          <w:rFonts w:cs="Times New Roman"/>
          <w:szCs w:val="24"/>
        </w:rPr>
        <w:t xml:space="preserve">būtu nepieciešams </w:t>
      </w:r>
      <w:r w:rsidRPr="004259C7">
        <w:rPr>
          <w:rFonts w:cs="Times New Roman"/>
          <w:szCs w:val="24"/>
        </w:rPr>
        <w:t xml:space="preserve">izveidot atsevišķu plānošanas un vadības elementu – </w:t>
      </w:r>
      <w:r w:rsidR="002D3538" w:rsidRPr="004259C7">
        <w:rPr>
          <w:rFonts w:cs="Times New Roman"/>
          <w:szCs w:val="24"/>
        </w:rPr>
        <w:t xml:space="preserve">materiāltehnisko </w:t>
      </w:r>
      <w:r w:rsidR="002D3538" w:rsidRPr="004259C7">
        <w:rPr>
          <w:rFonts w:cs="Times New Roman"/>
          <w:szCs w:val="24"/>
        </w:rPr>
        <w:lastRenderedPageBreak/>
        <w:t>līdzekļu centr</w:t>
      </w:r>
      <w:r w:rsidRPr="004259C7">
        <w:rPr>
          <w:rFonts w:cs="Times New Roman"/>
          <w:szCs w:val="24"/>
        </w:rPr>
        <w:t>u ar nosaukumu Valsts aizsardzības loģistikas un iepirkumu centrs (</w:t>
      </w:r>
      <w:r w:rsidR="00563FAF" w:rsidRPr="004259C7">
        <w:rPr>
          <w:rFonts w:cs="Times New Roman"/>
          <w:szCs w:val="24"/>
        </w:rPr>
        <w:t xml:space="preserve">turpmāk – </w:t>
      </w:r>
      <w:r w:rsidRPr="004259C7">
        <w:rPr>
          <w:rFonts w:cs="Times New Roman"/>
          <w:szCs w:val="24"/>
        </w:rPr>
        <w:t xml:space="preserve">VALIC). </w:t>
      </w:r>
      <w:r w:rsidR="00164834" w:rsidRPr="004259C7">
        <w:rPr>
          <w:rFonts w:cs="Times New Roman"/>
          <w:szCs w:val="24"/>
        </w:rPr>
        <w:t xml:space="preserve">Plānots, ka </w:t>
      </w:r>
      <w:r w:rsidRPr="004259C7">
        <w:rPr>
          <w:rFonts w:cs="Times New Roman"/>
          <w:szCs w:val="24"/>
        </w:rPr>
        <w:t xml:space="preserve">VALIC </w:t>
      </w:r>
      <w:r w:rsidR="00F84929" w:rsidRPr="004259C7">
        <w:rPr>
          <w:rFonts w:cs="Times New Roman"/>
          <w:szCs w:val="24"/>
        </w:rPr>
        <w:t xml:space="preserve">varētu uzsākt </w:t>
      </w:r>
      <w:r w:rsidRPr="004259C7">
        <w:rPr>
          <w:rFonts w:cs="Times New Roman"/>
          <w:szCs w:val="24"/>
        </w:rPr>
        <w:t>darbu 2021.</w:t>
      </w:r>
      <w:r w:rsidR="006D1ECB" w:rsidRPr="004259C7">
        <w:rPr>
          <w:rFonts w:cs="Times New Roman"/>
          <w:szCs w:val="24"/>
        </w:rPr>
        <w:t> </w:t>
      </w:r>
      <w:r w:rsidRPr="004259C7">
        <w:rPr>
          <w:rFonts w:cs="Times New Roman"/>
          <w:szCs w:val="24"/>
        </w:rPr>
        <w:t>gada 1.</w:t>
      </w:r>
      <w:r w:rsidR="006D1ECB" w:rsidRPr="004259C7">
        <w:rPr>
          <w:rFonts w:cs="Times New Roman"/>
          <w:szCs w:val="24"/>
        </w:rPr>
        <w:t> </w:t>
      </w:r>
      <w:r w:rsidRPr="004259C7">
        <w:rPr>
          <w:rFonts w:cs="Times New Roman"/>
          <w:szCs w:val="24"/>
        </w:rPr>
        <w:t>janvārī.</w:t>
      </w:r>
    </w:p>
    <w:p w14:paraId="2CF712CE" w14:textId="77777777" w:rsidR="00D66621" w:rsidRPr="004259C7" w:rsidRDefault="00563FAF" w:rsidP="00ED3400">
      <w:pPr>
        <w:ind w:firstLine="709"/>
        <w:rPr>
          <w:rFonts w:cs="Times New Roman"/>
          <w:szCs w:val="24"/>
        </w:rPr>
      </w:pPr>
      <w:r w:rsidRPr="004259C7">
        <w:rPr>
          <w:rFonts w:cs="Times New Roman"/>
          <w:szCs w:val="24"/>
        </w:rPr>
        <w:t xml:space="preserve">Infrastruktūras centrs – </w:t>
      </w:r>
      <w:r w:rsidR="00D66621" w:rsidRPr="004259C7">
        <w:rPr>
          <w:rFonts w:cs="Times New Roman"/>
          <w:szCs w:val="24"/>
        </w:rPr>
        <w:t>VAMOIC tādejādi būs atbildīgs par aizsardzības infrastruktūras attīstību un pārvaldību</w:t>
      </w:r>
      <w:r w:rsidR="00F6624A" w:rsidRPr="004259C7">
        <w:rPr>
          <w:rFonts w:cs="Times New Roman"/>
          <w:szCs w:val="24"/>
        </w:rPr>
        <w:t xml:space="preserve">. </w:t>
      </w:r>
      <w:r w:rsidR="00B54ECE" w:rsidRPr="004259C7">
        <w:rPr>
          <w:rFonts w:cs="Times New Roman"/>
          <w:szCs w:val="24"/>
        </w:rPr>
        <w:t>VAMOIC</w:t>
      </w:r>
      <w:r w:rsidR="00F6624A" w:rsidRPr="004259C7">
        <w:rPr>
          <w:rFonts w:cs="Times New Roman"/>
          <w:szCs w:val="24"/>
        </w:rPr>
        <w:t xml:space="preserve"> attiecīgi</w:t>
      </w:r>
      <w:r w:rsidR="00D66621" w:rsidRPr="004259C7">
        <w:rPr>
          <w:rFonts w:cs="Times New Roman"/>
          <w:szCs w:val="24"/>
        </w:rPr>
        <w:t xml:space="preserve"> </w:t>
      </w:r>
      <w:r w:rsidR="00F6624A" w:rsidRPr="004259C7">
        <w:rPr>
          <w:rFonts w:cs="Times New Roman"/>
          <w:szCs w:val="24"/>
        </w:rPr>
        <w:t xml:space="preserve">nodos loģistikas </w:t>
      </w:r>
      <w:r w:rsidR="00D66621" w:rsidRPr="004259C7">
        <w:rPr>
          <w:rFonts w:cs="Times New Roman"/>
          <w:szCs w:val="24"/>
        </w:rPr>
        <w:t>funkcijas un uzsākto nodrošinājuma reformu, tai skaitā izpildē esošos uzdevumus, Valsts aizsardzības loģistikas un iepirkumu centram.</w:t>
      </w:r>
    </w:p>
    <w:p w14:paraId="2CF712CF" w14:textId="3D7E56E7" w:rsidR="0004210E" w:rsidRPr="004259C7" w:rsidRDefault="00632649" w:rsidP="00B870EE">
      <w:r w:rsidRPr="004259C7">
        <w:t>Restrukturizācijas procesā ir apzināts, ka apgādes pārvaldības sistēmas tālākai attīstībai ir nepieciešami būtiski cilvēkresursi, vienlaikus NBS pamatfunkcijas izpildei nepieciešamo karavīru resurss ir ierobežots</w:t>
      </w:r>
      <w:r w:rsidR="00606FF2" w:rsidRPr="004259C7">
        <w:t xml:space="preserve"> un nodarbināts amatos, kur militārā kompetence ir nepieciešama daļēji</w:t>
      </w:r>
      <w:r w:rsidRPr="004259C7">
        <w:t xml:space="preserve">. Tādejādi lēmums veidot </w:t>
      </w:r>
      <w:r w:rsidR="00F4444C" w:rsidRPr="004259C7">
        <w:t xml:space="preserve">atsevišķu </w:t>
      </w:r>
      <w:r w:rsidR="002D3538" w:rsidRPr="004259C7">
        <w:t>materiāltehnisko līdzekļu centr</w:t>
      </w:r>
      <w:r w:rsidRPr="004259C7">
        <w:t>u, kurā tiks identificētas amata pozīcijas, kurās pienākumus var veikt civilpersonas, būtiski uzlabos bruņoto spēku spēju īstenot pamatfunkciju – valsts aizsardzību. Kopēja</w:t>
      </w:r>
      <w:r w:rsidR="00F4444C" w:rsidRPr="004259C7">
        <w:t>i</w:t>
      </w:r>
      <w:r w:rsidRPr="004259C7">
        <w:t xml:space="preserve">s personāla skaits aizsardzības nozarē netiks palielināts, jo restrukturizācijas gaitā </w:t>
      </w:r>
      <w:r w:rsidR="00B54ECE" w:rsidRPr="004259C7">
        <w:t>tiks konsolidēti</w:t>
      </w:r>
      <w:r w:rsidRPr="004259C7">
        <w:t xml:space="preserve"> </w:t>
      </w:r>
      <w:r w:rsidR="00B54ECE" w:rsidRPr="004259C7">
        <w:t>atbilstošo funkciju speciālisti</w:t>
      </w:r>
      <w:r w:rsidRPr="004259C7">
        <w:t xml:space="preserve"> </w:t>
      </w:r>
      <w:r w:rsidR="00E83FC6" w:rsidRPr="004259C7">
        <w:t xml:space="preserve">no </w:t>
      </w:r>
      <w:r w:rsidR="00F84929" w:rsidRPr="004259C7">
        <w:t>Aizsardzības ministrijas padotības</w:t>
      </w:r>
      <w:r w:rsidR="00E83FC6" w:rsidRPr="004259C7">
        <w:t xml:space="preserve"> iestādēm</w:t>
      </w:r>
      <w:r w:rsidRPr="004259C7">
        <w:t xml:space="preserve"> </w:t>
      </w:r>
      <w:r w:rsidR="00F84929" w:rsidRPr="004259C7">
        <w:t xml:space="preserve">un NBS </w:t>
      </w:r>
      <w:r w:rsidR="00DB77EB">
        <w:t xml:space="preserve">Nodrošinājuma pavēlniecības </w:t>
      </w:r>
      <w:r w:rsidR="00F84929" w:rsidRPr="004259C7">
        <w:t>1., 2.,</w:t>
      </w:r>
      <w:r w:rsidRPr="004259C7">
        <w:t xml:space="preserve"> 3.</w:t>
      </w:r>
      <w:r w:rsidR="006D1ECB" w:rsidRPr="004259C7">
        <w:t> </w:t>
      </w:r>
      <w:r w:rsidRPr="004259C7">
        <w:t>Reģionālā nodro</w:t>
      </w:r>
      <w:r w:rsidR="00F84929" w:rsidRPr="004259C7">
        <w:t>šinājuma centra un Zemessardzes</w:t>
      </w:r>
      <w:r w:rsidR="00F4444C" w:rsidRPr="004259C7">
        <w:t>.</w:t>
      </w:r>
      <w:r w:rsidR="0004210E" w:rsidRPr="004259C7">
        <w:t xml:space="preserve"> </w:t>
      </w:r>
    </w:p>
    <w:p w14:paraId="2CF712D0" w14:textId="1F296A71" w:rsidR="0004210E" w:rsidRPr="004259C7" w:rsidRDefault="005F1752" w:rsidP="00B870EE">
      <w:r w:rsidRPr="004259C7">
        <w:t>NBS</w:t>
      </w:r>
      <w:r w:rsidR="0004210E" w:rsidRPr="004259C7">
        <w:t xml:space="preserve"> arī turpmāk būs atbildīgi par kopējo kaujas nodrošinājuma sistēmas pārvaldību krīzes un kara laikā, tai skaitā par </w:t>
      </w:r>
      <w:r w:rsidR="00B870EE" w:rsidRPr="004259C7">
        <w:t>VALIC</w:t>
      </w:r>
      <w:r w:rsidR="0004210E" w:rsidRPr="004259C7">
        <w:t xml:space="preserve"> pārziņā nodoto aizmugures dienesta elementu integrāciju kaujas nodrošinājuma sistēmā.</w:t>
      </w:r>
    </w:p>
    <w:p w14:paraId="2CF712D1" w14:textId="15A548C4" w:rsidR="00FB60EC" w:rsidRPr="004259C7" w:rsidRDefault="00566F08" w:rsidP="00FB60EC">
      <w:pPr>
        <w:shd w:val="clear" w:color="auto" w:fill="FFFFFF"/>
        <w:spacing w:after="0"/>
        <w:rPr>
          <w:rFonts w:cs="Times New Roman"/>
          <w:szCs w:val="24"/>
        </w:rPr>
      </w:pPr>
      <w:r w:rsidRPr="004259C7">
        <w:rPr>
          <w:rFonts w:cs="Times New Roman"/>
          <w:szCs w:val="24"/>
        </w:rPr>
        <w:t>Lai īstenotu šo pasākumu kopumu,</w:t>
      </w:r>
      <w:r w:rsidR="00FB60EC" w:rsidRPr="004259C7">
        <w:rPr>
          <w:rFonts w:cs="Times New Roman"/>
          <w:szCs w:val="24"/>
        </w:rPr>
        <w:t xml:space="preserve"> jāveic grozījumi šādos normatīvajos aktos:</w:t>
      </w:r>
    </w:p>
    <w:p w14:paraId="2CF712D2" w14:textId="77777777" w:rsidR="00FB60EC" w:rsidRPr="004259C7" w:rsidRDefault="00FB60EC" w:rsidP="00FB60EC">
      <w:pPr>
        <w:pStyle w:val="ListParagraph"/>
        <w:numPr>
          <w:ilvl w:val="0"/>
          <w:numId w:val="6"/>
        </w:numPr>
        <w:shd w:val="clear" w:color="auto" w:fill="FFFFFF"/>
        <w:spacing w:after="0"/>
        <w:ind w:left="993" w:hanging="284"/>
        <w:rPr>
          <w:rFonts w:cs="Times New Roman"/>
          <w:szCs w:val="24"/>
        </w:rPr>
      </w:pPr>
      <w:r w:rsidRPr="004259C7">
        <w:rPr>
          <w:rFonts w:cs="Times New Roman"/>
          <w:szCs w:val="24"/>
        </w:rPr>
        <w:t>Grozījumi Nacionālo bruņoto spēku likumā;</w:t>
      </w:r>
    </w:p>
    <w:p w14:paraId="2CF712D3" w14:textId="77777777" w:rsidR="00FB60EC" w:rsidRPr="004259C7" w:rsidRDefault="00FB60EC" w:rsidP="00FB60EC">
      <w:pPr>
        <w:pStyle w:val="ListParagraph"/>
        <w:numPr>
          <w:ilvl w:val="0"/>
          <w:numId w:val="6"/>
        </w:numPr>
        <w:shd w:val="clear" w:color="auto" w:fill="FFFFFF"/>
        <w:spacing w:after="0"/>
        <w:ind w:left="993" w:hanging="284"/>
        <w:rPr>
          <w:rFonts w:cs="Times New Roman"/>
          <w:szCs w:val="24"/>
        </w:rPr>
      </w:pPr>
      <w:r w:rsidRPr="004259C7">
        <w:rPr>
          <w:rFonts w:cs="Times New Roman"/>
          <w:szCs w:val="24"/>
        </w:rPr>
        <w:t>Grozījumi Ministru kabineta 2009.</w:t>
      </w:r>
      <w:r w:rsidR="005B0BDC" w:rsidRPr="004259C7">
        <w:rPr>
          <w:rFonts w:cs="Times New Roman"/>
          <w:szCs w:val="24"/>
        </w:rPr>
        <w:t> </w:t>
      </w:r>
      <w:r w:rsidRPr="004259C7">
        <w:rPr>
          <w:rFonts w:cs="Times New Roman"/>
          <w:szCs w:val="24"/>
        </w:rPr>
        <w:t>gada 15.</w:t>
      </w:r>
      <w:r w:rsidR="005B0BDC" w:rsidRPr="004259C7">
        <w:rPr>
          <w:rFonts w:cs="Times New Roman"/>
          <w:szCs w:val="24"/>
        </w:rPr>
        <w:t> </w:t>
      </w:r>
      <w:r w:rsidRPr="004259C7">
        <w:rPr>
          <w:rFonts w:cs="Times New Roman"/>
          <w:szCs w:val="24"/>
        </w:rPr>
        <w:t>decembra noteikumos Nr.</w:t>
      </w:r>
      <w:r w:rsidR="00AC3A2F" w:rsidRPr="004259C7">
        <w:rPr>
          <w:rFonts w:cs="Times New Roman"/>
          <w:szCs w:val="24"/>
        </w:rPr>
        <w:t> </w:t>
      </w:r>
      <w:r w:rsidRPr="004259C7">
        <w:rPr>
          <w:rFonts w:cs="Times New Roman"/>
          <w:szCs w:val="24"/>
        </w:rPr>
        <w:t>1418 "Valsts aizsardzības militāro objektu un iepirkumu centra nolikums";</w:t>
      </w:r>
    </w:p>
    <w:p w14:paraId="2CF712D4" w14:textId="77777777" w:rsidR="00FB60EC" w:rsidRPr="004259C7" w:rsidRDefault="00FB60EC" w:rsidP="00FB60EC">
      <w:pPr>
        <w:pStyle w:val="ListParagraph"/>
        <w:numPr>
          <w:ilvl w:val="0"/>
          <w:numId w:val="6"/>
        </w:numPr>
        <w:shd w:val="clear" w:color="auto" w:fill="FFFFFF"/>
        <w:spacing w:after="0"/>
        <w:ind w:left="993" w:hanging="284"/>
        <w:rPr>
          <w:rFonts w:cs="Times New Roman"/>
          <w:szCs w:val="24"/>
        </w:rPr>
      </w:pPr>
      <w:r w:rsidRPr="004259C7">
        <w:rPr>
          <w:rFonts w:cs="Times New Roman"/>
          <w:szCs w:val="24"/>
        </w:rPr>
        <w:t>Grozījumi Ministru kabineta 2003.</w:t>
      </w:r>
      <w:r w:rsidR="005B0BDC" w:rsidRPr="004259C7">
        <w:rPr>
          <w:rFonts w:cs="Times New Roman"/>
          <w:szCs w:val="24"/>
        </w:rPr>
        <w:t> </w:t>
      </w:r>
      <w:r w:rsidRPr="004259C7">
        <w:rPr>
          <w:rFonts w:cs="Times New Roman"/>
          <w:szCs w:val="24"/>
        </w:rPr>
        <w:t>gada 29.</w:t>
      </w:r>
      <w:r w:rsidR="005B0BDC" w:rsidRPr="004259C7">
        <w:rPr>
          <w:rFonts w:cs="Times New Roman"/>
          <w:szCs w:val="24"/>
        </w:rPr>
        <w:t> </w:t>
      </w:r>
      <w:r w:rsidRPr="004259C7">
        <w:rPr>
          <w:rFonts w:cs="Times New Roman"/>
          <w:szCs w:val="24"/>
        </w:rPr>
        <w:t>aprīļa noteikumos Nr.</w:t>
      </w:r>
      <w:r w:rsidR="00AC3A2F" w:rsidRPr="004259C7">
        <w:rPr>
          <w:rFonts w:cs="Times New Roman"/>
          <w:szCs w:val="24"/>
        </w:rPr>
        <w:t> </w:t>
      </w:r>
      <w:r w:rsidRPr="004259C7">
        <w:rPr>
          <w:rFonts w:cs="Times New Roman"/>
          <w:szCs w:val="24"/>
        </w:rPr>
        <w:t>236 "Aizsardzības ministrijas nolikums".</w:t>
      </w:r>
    </w:p>
    <w:p w14:paraId="2CF712D5" w14:textId="77777777" w:rsidR="00FB60EC" w:rsidRPr="004259C7" w:rsidRDefault="00FB60EC" w:rsidP="00FB60EC">
      <w:pPr>
        <w:shd w:val="clear" w:color="auto" w:fill="FFFFFF"/>
        <w:spacing w:after="0"/>
        <w:rPr>
          <w:rFonts w:cs="Times New Roman"/>
          <w:szCs w:val="24"/>
        </w:rPr>
      </w:pPr>
      <w:r w:rsidRPr="004259C7">
        <w:rPr>
          <w:rFonts w:cs="Times New Roman"/>
          <w:szCs w:val="24"/>
        </w:rPr>
        <w:t>Tāpat paredzēts sagatavot jaunus Ministru kabineta noteikumus "Valsts aizsardzības loģistikas un iepirkumu centra nolikums".</w:t>
      </w:r>
    </w:p>
    <w:p w14:paraId="2CF712D6" w14:textId="77777777" w:rsidR="00CA4217" w:rsidRPr="004259C7" w:rsidRDefault="00CA4217" w:rsidP="00D63909">
      <w:pPr>
        <w:pStyle w:val="Heading1"/>
      </w:pPr>
      <w:r w:rsidRPr="004259C7">
        <w:t xml:space="preserve">IV. </w:t>
      </w:r>
      <w:r w:rsidR="00A84BCA" w:rsidRPr="004259C7">
        <w:t>Ietekme uz valsts un pašvaldību budžetu</w:t>
      </w:r>
    </w:p>
    <w:p w14:paraId="2CF712D7" w14:textId="56766E5A" w:rsidR="00416226" w:rsidRPr="004259C7" w:rsidRDefault="00FB60EC" w:rsidP="00FB60EC">
      <w:pPr>
        <w:spacing w:after="0"/>
        <w:ind w:right="135"/>
        <w:rPr>
          <w:rFonts w:eastAsia="Times New Roman" w:cs="Times New Roman"/>
          <w:iCs/>
          <w:szCs w:val="24"/>
          <w:lang w:eastAsia="lv-LV"/>
        </w:rPr>
      </w:pPr>
      <w:r w:rsidRPr="004259C7">
        <w:rPr>
          <w:rFonts w:eastAsia="Times New Roman" w:cs="Times New Roman"/>
          <w:iCs/>
          <w:szCs w:val="24"/>
          <w:lang w:eastAsia="lv-LV"/>
        </w:rPr>
        <w:t>VALIC kopējais štats 2021. gada 1. janvārī tiek plānots 112 amata vietas</w:t>
      </w:r>
      <w:r w:rsidR="002A3A04" w:rsidRPr="004259C7">
        <w:rPr>
          <w:rFonts w:eastAsia="Times New Roman" w:cs="Times New Roman"/>
          <w:iCs/>
          <w:szCs w:val="24"/>
          <w:lang w:eastAsia="lv-LV"/>
        </w:rPr>
        <w:t xml:space="preserve"> (amata vietas pārdalītas no VAMOIC)</w:t>
      </w:r>
      <w:r w:rsidRPr="004259C7">
        <w:rPr>
          <w:rFonts w:eastAsia="Times New Roman" w:cs="Times New Roman"/>
          <w:iCs/>
          <w:szCs w:val="24"/>
          <w:lang w:eastAsia="lv-LV"/>
        </w:rPr>
        <w:t>, no kurām 6 vietas tiks paredzētas administratīvo funkciju veikšanai: 1 administratīvās nodaļas vadītājs/ personāla sektora priekš</w:t>
      </w:r>
      <w:r w:rsidR="00566F08">
        <w:rPr>
          <w:rFonts w:eastAsia="Times New Roman" w:cs="Times New Roman"/>
          <w:iCs/>
          <w:szCs w:val="24"/>
          <w:lang w:eastAsia="lv-LV"/>
        </w:rPr>
        <w:t>nieks, 1 personāla speciālists,</w:t>
      </w:r>
      <w:r w:rsidRPr="004259C7">
        <w:rPr>
          <w:rFonts w:eastAsia="Times New Roman" w:cs="Times New Roman"/>
          <w:iCs/>
          <w:szCs w:val="24"/>
          <w:lang w:eastAsia="lv-LV"/>
        </w:rPr>
        <w:t xml:space="preserve"> 2 lietveži, 1 saimnieciskā sektora vadītājs </w:t>
      </w:r>
      <w:r w:rsidR="00566F08">
        <w:rPr>
          <w:rFonts w:eastAsia="Times New Roman" w:cs="Times New Roman"/>
          <w:iCs/>
          <w:szCs w:val="24"/>
          <w:lang w:eastAsia="lv-LV"/>
        </w:rPr>
        <w:t xml:space="preserve">un </w:t>
      </w:r>
      <w:r w:rsidRPr="004259C7">
        <w:rPr>
          <w:rFonts w:eastAsia="Times New Roman" w:cs="Times New Roman"/>
          <w:iCs/>
          <w:szCs w:val="24"/>
          <w:lang w:eastAsia="lv-LV"/>
        </w:rPr>
        <w:t>1 finanšu speciālists.</w:t>
      </w:r>
    </w:p>
    <w:p w14:paraId="2CF712D8" w14:textId="77777777" w:rsidR="00FB60EC" w:rsidRPr="004259C7" w:rsidRDefault="00FB60EC" w:rsidP="00FB60EC">
      <w:pPr>
        <w:spacing w:after="0"/>
        <w:ind w:right="135"/>
        <w:rPr>
          <w:rFonts w:eastAsia="Times New Roman" w:cs="Times New Roman"/>
          <w:iCs/>
          <w:szCs w:val="24"/>
          <w:lang w:eastAsia="lv-LV"/>
        </w:rPr>
      </w:pPr>
      <w:r w:rsidRPr="004259C7">
        <w:rPr>
          <w:rFonts w:eastAsia="Times New Roman" w:cs="Times New Roman"/>
          <w:iCs/>
          <w:szCs w:val="24"/>
          <w:lang w:eastAsia="lv-LV"/>
        </w:rPr>
        <w:t xml:space="preserve"> </w:t>
      </w:r>
    </w:p>
    <w:p w14:paraId="61E54098" w14:textId="68B88265" w:rsidR="004259C7" w:rsidRPr="004259C7" w:rsidRDefault="004259C7" w:rsidP="00FB60EC">
      <w:pPr>
        <w:rPr>
          <w:rFonts w:eastAsia="Times New Roman" w:cs="Times New Roman"/>
          <w:iCs/>
          <w:szCs w:val="24"/>
          <w:lang w:eastAsia="lv-LV"/>
        </w:rPr>
      </w:pPr>
      <w:r w:rsidRPr="004259C7">
        <w:rPr>
          <w:rFonts w:eastAsia="Times New Roman" w:cs="Times New Roman"/>
          <w:iCs/>
          <w:szCs w:val="24"/>
          <w:lang w:eastAsia="lv-LV"/>
        </w:rPr>
        <w:t>VAMOIC jau vairāku gadu garumā ir pakāpeniski pārņēmis funkcijas no NBS, kuras šobrīd tiek plānots nodot VALIC. Piemēram</w:t>
      </w:r>
      <w:r>
        <w:rPr>
          <w:rFonts w:eastAsia="Times New Roman" w:cs="Times New Roman"/>
          <w:iCs/>
          <w:szCs w:val="24"/>
          <w:lang w:eastAsia="lv-LV"/>
        </w:rPr>
        <w:t xml:space="preserve">, </w:t>
      </w:r>
      <w:r w:rsidRPr="004259C7">
        <w:rPr>
          <w:rFonts w:eastAsia="Times New Roman" w:cs="Times New Roman"/>
          <w:iCs/>
          <w:szCs w:val="24"/>
          <w:lang w:eastAsia="lv-LV"/>
        </w:rPr>
        <w:t>2019.</w:t>
      </w:r>
      <w:r>
        <w:rPr>
          <w:rFonts w:eastAsia="Times New Roman" w:cs="Times New Roman"/>
          <w:iCs/>
          <w:szCs w:val="24"/>
          <w:lang w:eastAsia="lv-LV"/>
        </w:rPr>
        <w:t> </w:t>
      </w:r>
      <w:r w:rsidRPr="004259C7">
        <w:rPr>
          <w:rFonts w:eastAsia="Times New Roman" w:cs="Times New Roman"/>
          <w:iCs/>
          <w:szCs w:val="24"/>
          <w:lang w:eastAsia="lv-LV"/>
        </w:rPr>
        <w:t>gadā VAMOIC notikušas piecas liela apjoma strukturālas reformas, no kurām četras tieši attiecas uz nodrošinājuma reformas pārvaldību un īstenošanu. Kopš 2017.</w:t>
      </w:r>
      <w:r>
        <w:rPr>
          <w:rFonts w:eastAsia="Times New Roman" w:cs="Times New Roman"/>
          <w:iCs/>
          <w:szCs w:val="24"/>
          <w:lang w:eastAsia="lv-LV"/>
        </w:rPr>
        <w:t> </w:t>
      </w:r>
      <w:r w:rsidRPr="004259C7">
        <w:rPr>
          <w:rFonts w:eastAsia="Times New Roman" w:cs="Times New Roman"/>
          <w:iCs/>
          <w:szCs w:val="24"/>
          <w:lang w:eastAsia="lv-LV"/>
        </w:rPr>
        <w:t>gada VAMOIC struktūra ir palielinājusies pamatfunkciju izpildē atbilstoši aizsardzības infrastruktūras attīstībai un uzturēšanai, tai skaitā uzņemošās valsts at</w:t>
      </w:r>
      <w:r w:rsidR="00566F08">
        <w:rPr>
          <w:rFonts w:eastAsia="Times New Roman" w:cs="Times New Roman"/>
          <w:iCs/>
          <w:szCs w:val="24"/>
          <w:lang w:eastAsia="lv-LV"/>
        </w:rPr>
        <w:t>balsta nodrošināšanā, un papildu</w:t>
      </w:r>
      <w:r w:rsidRPr="004259C7">
        <w:rPr>
          <w:rFonts w:eastAsia="Times New Roman" w:cs="Times New Roman"/>
          <w:iCs/>
          <w:szCs w:val="24"/>
          <w:lang w:eastAsia="lv-LV"/>
        </w:rPr>
        <w:t>s attīstot no NBS pārņemto pamatfunkciju – NBS apgādi. Vienlaikus VAMOIC administratīvais atbalsts ir saglabājies nemainīgā apjomā. Tajā pašā laikā VAMOIC apsaimnieko nekustamos īpašumus 167 adresēs, tās apkalpojot no 11 reģionālajām nodaļām, kas tiek īstenots ar e-dokumentu un e</w:t>
      </w:r>
      <w:r>
        <w:rPr>
          <w:rFonts w:eastAsia="Times New Roman" w:cs="Times New Roman"/>
          <w:iCs/>
          <w:szCs w:val="24"/>
          <w:lang w:eastAsia="lv-LV"/>
        </w:rPr>
        <w:noBreakHyphen/>
      </w:r>
      <w:r w:rsidRPr="004259C7">
        <w:rPr>
          <w:rFonts w:eastAsia="Times New Roman" w:cs="Times New Roman"/>
          <w:iCs/>
          <w:szCs w:val="24"/>
          <w:lang w:eastAsia="lv-LV"/>
        </w:rPr>
        <w:t xml:space="preserve">pārvaldības rīku uzturēšanu un attīstību. </w:t>
      </w:r>
      <w:r>
        <w:rPr>
          <w:rFonts w:eastAsia="Times New Roman" w:cs="Times New Roman"/>
          <w:iCs/>
          <w:szCs w:val="24"/>
          <w:lang w:eastAsia="lv-LV"/>
        </w:rPr>
        <w:t>Atbilstoši</w:t>
      </w:r>
      <w:r w:rsidRPr="004259C7">
        <w:rPr>
          <w:rFonts w:eastAsia="Times New Roman" w:cs="Times New Roman"/>
          <w:iCs/>
          <w:szCs w:val="24"/>
          <w:lang w:eastAsia="lv-LV"/>
        </w:rPr>
        <w:t xml:space="preserve"> identificētajiem attīstības virzieniem un noteiktajiem uzdevumiem reorganizācijas ietvaros VAMOIC tiks saglabātas visas </w:t>
      </w:r>
      <w:r w:rsidR="003D250C">
        <w:rPr>
          <w:rFonts w:eastAsia="Times New Roman" w:cs="Times New Roman"/>
          <w:iCs/>
          <w:szCs w:val="24"/>
          <w:lang w:eastAsia="lv-LV"/>
        </w:rPr>
        <w:t>IKT</w:t>
      </w:r>
      <w:r w:rsidRPr="004259C7">
        <w:rPr>
          <w:rFonts w:eastAsia="Times New Roman" w:cs="Times New Roman"/>
          <w:iCs/>
          <w:szCs w:val="24"/>
          <w:lang w:eastAsia="lv-LV"/>
        </w:rPr>
        <w:t xml:space="preserve"> funkciju nodrošināšanai paredzētās amata vietas un viena informācijas sistēmu drošības pārvaldnieka amata vieta, ņemot vērā aizsardzības resora infrastruktūras attīstības tendenci, tajā skaitā, ar informācijas un komunikāciju tehnoloģiju saistīto infrastruktūras uzturēšanas uzdevumu pieaugumu visā </w:t>
      </w:r>
      <w:r w:rsidRPr="004259C7">
        <w:rPr>
          <w:rFonts w:eastAsia="Times New Roman" w:cs="Times New Roman"/>
          <w:iCs/>
          <w:szCs w:val="24"/>
          <w:lang w:eastAsia="lv-LV"/>
        </w:rPr>
        <w:lastRenderedPageBreak/>
        <w:t>Latvijas teritorijā. Tāpat šāds cilvēku resursu apjoms ir nepieciešams, lai nodrošinātu NATO Investīciju programmas starptautisko projektu realizāciju un uzraudzību, ieviestu informācijas tīklu klasifikāciju vairākos līmeņos atbilstoši normatīvo aktu prasībām, kā arī ieviestu Būvniecības informācijas sistēmu</w:t>
      </w:r>
      <w:r w:rsidR="00037CEC">
        <w:rPr>
          <w:rFonts w:eastAsia="Times New Roman" w:cs="Times New Roman"/>
          <w:iCs/>
          <w:szCs w:val="24"/>
          <w:lang w:eastAsia="lv-LV"/>
        </w:rPr>
        <w:t xml:space="preserve">, </w:t>
      </w:r>
      <w:r w:rsidR="00037CEC" w:rsidRPr="00037CEC">
        <w:rPr>
          <w:rFonts w:eastAsia="Times New Roman" w:cs="Times New Roman"/>
          <w:iCs/>
          <w:szCs w:val="24"/>
          <w:lang w:eastAsia="lv-LV"/>
        </w:rPr>
        <w:t>Būves informācijas modelēšan</w:t>
      </w:r>
      <w:r w:rsidR="00037CEC">
        <w:rPr>
          <w:rFonts w:eastAsia="Times New Roman" w:cs="Times New Roman"/>
          <w:iCs/>
          <w:szCs w:val="24"/>
          <w:lang w:eastAsia="lv-LV"/>
        </w:rPr>
        <w:t>u</w:t>
      </w:r>
      <w:r w:rsidR="00037CEC" w:rsidRPr="00037CEC">
        <w:rPr>
          <w:rFonts w:eastAsia="Times New Roman" w:cs="Times New Roman"/>
          <w:iCs/>
          <w:szCs w:val="24"/>
          <w:lang w:eastAsia="lv-LV"/>
        </w:rPr>
        <w:t xml:space="preserve"> (BIM)</w:t>
      </w:r>
      <w:r w:rsidRPr="004259C7">
        <w:rPr>
          <w:rFonts w:eastAsia="Times New Roman" w:cs="Times New Roman"/>
          <w:iCs/>
          <w:szCs w:val="24"/>
          <w:lang w:eastAsia="lv-LV"/>
        </w:rPr>
        <w:t xml:space="preserve">. Uz šo sistēmu </w:t>
      </w:r>
      <w:r w:rsidR="00037CEC" w:rsidRPr="004259C7">
        <w:rPr>
          <w:rFonts w:eastAsia="Times New Roman" w:cs="Times New Roman"/>
          <w:iCs/>
          <w:szCs w:val="24"/>
          <w:lang w:eastAsia="lv-LV"/>
        </w:rPr>
        <w:t xml:space="preserve">ieviešanas </w:t>
      </w:r>
      <w:r w:rsidRPr="004259C7">
        <w:rPr>
          <w:rFonts w:eastAsia="Times New Roman" w:cs="Times New Roman"/>
          <w:iCs/>
          <w:szCs w:val="24"/>
          <w:lang w:eastAsia="lv-LV"/>
        </w:rPr>
        <w:t xml:space="preserve">steidzamību ir norādījis gan iekšējais audits, gan Valsts kontrole. Savukārt VALIC netiek plānots izveidot atsevišķas štata vietas </w:t>
      </w:r>
      <w:r w:rsidR="003D250C">
        <w:rPr>
          <w:rFonts w:eastAsia="Times New Roman" w:cs="Times New Roman"/>
          <w:iCs/>
          <w:szCs w:val="24"/>
          <w:lang w:eastAsia="lv-LV"/>
        </w:rPr>
        <w:t>IKT</w:t>
      </w:r>
      <w:r w:rsidRPr="004259C7">
        <w:rPr>
          <w:rFonts w:eastAsia="Times New Roman" w:cs="Times New Roman"/>
          <w:iCs/>
          <w:szCs w:val="24"/>
          <w:lang w:eastAsia="lv-LV"/>
        </w:rPr>
        <w:t xml:space="preserve"> funkciju nodrošināšanai, jo šo funkciju plānots nodrošināt centralizēti no Aizsardzības ministrijas resursiem, kas tiks realizēts pilotprojekta veidā, vienlaicīgi izvērtējot iespējas pāriet uz vienotu informāciju sistēmu pārvaldības modeli.</w:t>
      </w:r>
    </w:p>
    <w:p w14:paraId="2CF712DA" w14:textId="77777777" w:rsidR="0004210E" w:rsidRPr="004259C7" w:rsidRDefault="0004210E" w:rsidP="00FB60EC">
      <w:pPr>
        <w:rPr>
          <w:rFonts w:cs="Times New Roman"/>
          <w:szCs w:val="24"/>
        </w:rPr>
      </w:pPr>
      <w:r w:rsidRPr="004259C7">
        <w:rPr>
          <w:rFonts w:cs="Times New Roman"/>
          <w:szCs w:val="24"/>
        </w:rPr>
        <w:t>Valsts aizsardzības militāro objektu iepirkuma centra reorganizācija un Valsts aizsardzības loģistikas un iepirkumu centra izveidošana tiks realizēta Aizsardzības resoram pieejamā budžeta ietvaros. Papildus finanšu līdzekļi netiks pieprasīti un tiks izmantots finansējums no budžeta programmas 33.00.00 “Aizsardzības īpašumu pārvaldīšana” un budžeta programmas 22.00.00 “Nacionālie bruņotie spēki”.</w:t>
      </w:r>
    </w:p>
    <w:p w14:paraId="2CF712DB" w14:textId="73B733B6" w:rsidR="0004210E" w:rsidRPr="004259C7" w:rsidRDefault="0004210E" w:rsidP="0004210E">
      <w:pPr>
        <w:rPr>
          <w:rFonts w:cs="Times New Roman"/>
          <w:szCs w:val="24"/>
        </w:rPr>
      </w:pPr>
      <w:r w:rsidRPr="004259C7">
        <w:rPr>
          <w:rFonts w:cs="Times New Roman"/>
          <w:szCs w:val="24"/>
        </w:rPr>
        <w:t>Sākot ar 2021.</w:t>
      </w:r>
      <w:r w:rsidR="00037CEC">
        <w:rPr>
          <w:rFonts w:cs="Times New Roman"/>
          <w:szCs w:val="24"/>
        </w:rPr>
        <w:t> </w:t>
      </w:r>
      <w:r w:rsidRPr="004259C7">
        <w:rPr>
          <w:rFonts w:cs="Times New Roman"/>
          <w:szCs w:val="24"/>
        </w:rPr>
        <w:t xml:space="preserve">gadu un turpmāk kopā tiks pārdalītas 112 amata vietas ar finansējumu atlīdzībai </w:t>
      </w:r>
      <w:r w:rsidRPr="004259C7">
        <w:rPr>
          <w:rFonts w:cs="Times New Roman"/>
          <w:b/>
          <w:szCs w:val="24"/>
        </w:rPr>
        <w:t>2 126 375</w:t>
      </w:r>
      <w:r w:rsidR="00AF56E8" w:rsidRPr="004259C7">
        <w:rPr>
          <w:rFonts w:cs="Times New Roman"/>
          <w:b/>
          <w:szCs w:val="24"/>
        </w:rPr>
        <w:t> </w:t>
      </w:r>
      <w:proofErr w:type="spellStart"/>
      <w:r w:rsidR="00AF56E8" w:rsidRPr="004259C7">
        <w:rPr>
          <w:rFonts w:cs="Times New Roman"/>
          <w:b/>
          <w:szCs w:val="24"/>
        </w:rPr>
        <w:t>euro</w:t>
      </w:r>
      <w:proofErr w:type="spellEnd"/>
      <w:r w:rsidRPr="004259C7">
        <w:rPr>
          <w:rFonts w:cs="Times New Roman"/>
          <w:szCs w:val="24"/>
        </w:rPr>
        <w:t xml:space="preserve"> apmērā no budžeta programmas 33.00.00 “Aizsardzības īpašumu pārvaldīšana” uz budžeta apakšprogrammu 22.10.00 “Starptautisko operāciju un Nacionālo bruņoto spēku centralizētais atalgojums”.</w:t>
      </w:r>
    </w:p>
    <w:p w14:paraId="2CF712DC" w14:textId="32AB1052" w:rsidR="00416226" w:rsidRPr="004259C7" w:rsidRDefault="0004210E" w:rsidP="0004210E">
      <w:pPr>
        <w:ind w:firstLine="709"/>
        <w:rPr>
          <w:rFonts w:cs="Times New Roman"/>
          <w:szCs w:val="24"/>
        </w:rPr>
      </w:pPr>
      <w:r w:rsidRPr="004259C7">
        <w:rPr>
          <w:rFonts w:cs="Times New Roman"/>
          <w:szCs w:val="24"/>
        </w:rPr>
        <w:t xml:space="preserve"> Veicot iekšējo reorganizāciju un pārdalot veicamās funkcijas un uzdevumus </w:t>
      </w:r>
      <w:r w:rsidR="00424ADA" w:rsidRPr="004259C7">
        <w:rPr>
          <w:rFonts w:cs="Times New Roman"/>
          <w:szCs w:val="24"/>
        </w:rPr>
        <w:t>NBS</w:t>
      </w:r>
      <w:r w:rsidRPr="004259C7">
        <w:rPr>
          <w:rFonts w:cs="Times New Roman"/>
          <w:szCs w:val="24"/>
        </w:rPr>
        <w:t xml:space="preserve">, Valsts aizsardzības loģistikas un iepirkuma centra darbības nodrošināšanai budžeta programmas 22.00.00 “Nacionālie bruņotie spēki” ietvaros tiks paredzēti finanšu resursi, kas apakšprogrammu griezumā atspoguļojas sekojoši: </w:t>
      </w:r>
    </w:p>
    <w:p w14:paraId="2CF712DD" w14:textId="50697E29" w:rsidR="00416226" w:rsidRPr="004259C7" w:rsidRDefault="00416226" w:rsidP="00AC3A2F">
      <w:pPr>
        <w:pStyle w:val="ListParagraph"/>
        <w:numPr>
          <w:ilvl w:val="0"/>
          <w:numId w:val="7"/>
        </w:numPr>
        <w:tabs>
          <w:tab w:val="left" w:pos="993"/>
        </w:tabs>
        <w:ind w:left="0" w:firstLine="709"/>
        <w:rPr>
          <w:rFonts w:cs="Times New Roman"/>
          <w:szCs w:val="24"/>
        </w:rPr>
      </w:pPr>
      <w:r w:rsidRPr="004259C7">
        <w:rPr>
          <w:rFonts w:cs="Times New Roman"/>
          <w:szCs w:val="24"/>
        </w:rPr>
        <w:t>budžeta apakšprogrammā 22.10.00 “Starptautisko operāciju un Nacionālo bruņoto sp</w:t>
      </w:r>
      <w:r w:rsidR="003D250C">
        <w:rPr>
          <w:rFonts w:cs="Times New Roman"/>
          <w:szCs w:val="24"/>
        </w:rPr>
        <w:t xml:space="preserve">ēku centralizētais atalgojums” – </w:t>
      </w:r>
      <w:r w:rsidR="002A3A04" w:rsidRPr="004259C7">
        <w:rPr>
          <w:rFonts w:cs="Times New Roman"/>
          <w:szCs w:val="24"/>
        </w:rPr>
        <w:t>vairākiem amatiem sakarā ar reorganizāciju tiek pārskatīts esošo amata vietu atlīdzības apmērs</w:t>
      </w:r>
      <w:proofErr w:type="gramStart"/>
      <w:r w:rsidR="002A3A04" w:rsidRPr="004259C7">
        <w:rPr>
          <w:rFonts w:cs="Times New Roman"/>
          <w:szCs w:val="24"/>
        </w:rPr>
        <w:t xml:space="preserve"> un</w:t>
      </w:r>
      <w:proofErr w:type="gramEnd"/>
      <w:r w:rsidR="002A3A04" w:rsidRPr="004259C7">
        <w:rPr>
          <w:rFonts w:cs="Times New Roman"/>
          <w:szCs w:val="24"/>
        </w:rPr>
        <w:t xml:space="preserve"> tas tiek pielīdzināts nepieciešamajām amata saimju un līmeņu izmaiņām. Šim mērķim</w:t>
      </w:r>
      <w:r w:rsidRPr="004259C7">
        <w:rPr>
          <w:rFonts w:cs="Times New Roman"/>
          <w:szCs w:val="24"/>
        </w:rPr>
        <w:t xml:space="preserve"> tiek paredzēti </w:t>
      </w:r>
      <w:r w:rsidR="0004210E" w:rsidRPr="004259C7">
        <w:rPr>
          <w:rFonts w:cs="Times New Roman"/>
          <w:szCs w:val="24"/>
        </w:rPr>
        <w:t>izdevumi atlīdzībai 2021.</w:t>
      </w:r>
      <w:r w:rsidR="00037CEC">
        <w:rPr>
          <w:rFonts w:cs="Times New Roman"/>
          <w:szCs w:val="24"/>
        </w:rPr>
        <w:t> </w:t>
      </w:r>
      <w:r w:rsidR="0004210E" w:rsidRPr="004259C7">
        <w:rPr>
          <w:rFonts w:cs="Times New Roman"/>
          <w:szCs w:val="24"/>
        </w:rPr>
        <w:t>gadā 306 090</w:t>
      </w:r>
      <w:r w:rsidR="00AF56E8" w:rsidRPr="004259C7">
        <w:rPr>
          <w:rFonts w:cs="Times New Roman"/>
          <w:szCs w:val="24"/>
        </w:rPr>
        <w:t> </w:t>
      </w:r>
      <w:proofErr w:type="spellStart"/>
      <w:r w:rsidR="00AF56E8" w:rsidRPr="004259C7">
        <w:rPr>
          <w:rFonts w:cs="Times New Roman"/>
          <w:szCs w:val="24"/>
        </w:rPr>
        <w:t>euro</w:t>
      </w:r>
      <w:proofErr w:type="spellEnd"/>
      <w:r w:rsidR="0004210E" w:rsidRPr="004259C7">
        <w:rPr>
          <w:rFonts w:cs="Times New Roman"/>
          <w:szCs w:val="24"/>
        </w:rPr>
        <w:t xml:space="preserve"> apmērā un 2022.</w:t>
      </w:r>
      <w:r w:rsidR="00037CEC">
        <w:rPr>
          <w:rFonts w:cs="Times New Roman"/>
          <w:szCs w:val="24"/>
        </w:rPr>
        <w:t> </w:t>
      </w:r>
      <w:r w:rsidR="0004210E" w:rsidRPr="004259C7">
        <w:rPr>
          <w:rFonts w:cs="Times New Roman"/>
          <w:szCs w:val="24"/>
        </w:rPr>
        <w:t>gadā un turpmāk ik gadu 370 856</w:t>
      </w:r>
      <w:r w:rsidR="00AF56E8" w:rsidRPr="004259C7">
        <w:rPr>
          <w:rFonts w:cs="Times New Roman"/>
          <w:szCs w:val="24"/>
        </w:rPr>
        <w:t> </w:t>
      </w:r>
      <w:proofErr w:type="spellStart"/>
      <w:r w:rsidR="00AF56E8" w:rsidRPr="004259C7">
        <w:rPr>
          <w:rFonts w:cs="Times New Roman"/>
          <w:szCs w:val="24"/>
        </w:rPr>
        <w:t>euro</w:t>
      </w:r>
      <w:proofErr w:type="spellEnd"/>
      <w:r w:rsidR="0004210E" w:rsidRPr="004259C7">
        <w:rPr>
          <w:rFonts w:cs="Times New Roman"/>
          <w:szCs w:val="24"/>
        </w:rPr>
        <w:t xml:space="preserve"> apmērā</w:t>
      </w:r>
      <w:r w:rsidRPr="004259C7">
        <w:rPr>
          <w:rFonts w:cs="Times New Roman"/>
          <w:szCs w:val="24"/>
        </w:rPr>
        <w:t xml:space="preserve">. </w:t>
      </w:r>
      <w:r w:rsidR="00CC4675" w:rsidRPr="004259C7">
        <w:rPr>
          <w:rFonts w:cs="Times New Roman"/>
          <w:szCs w:val="24"/>
        </w:rPr>
        <w:t>Finansējums tiks pārdalīts no ilgstoši neaizpildītajām amata vietām un piemaksu politikas pārskatīšanas</w:t>
      </w:r>
      <w:r w:rsidRPr="004259C7">
        <w:rPr>
          <w:rFonts w:cs="Times New Roman"/>
          <w:szCs w:val="24"/>
        </w:rPr>
        <w:t>;</w:t>
      </w:r>
      <w:r w:rsidR="0004210E" w:rsidRPr="004259C7">
        <w:rPr>
          <w:rFonts w:cs="Times New Roman"/>
          <w:szCs w:val="24"/>
        </w:rPr>
        <w:t xml:space="preserve"> </w:t>
      </w:r>
    </w:p>
    <w:p w14:paraId="2CF712DE" w14:textId="13A429BA" w:rsidR="00CC4675" w:rsidRPr="004259C7" w:rsidRDefault="0004210E" w:rsidP="00AC3A2F">
      <w:pPr>
        <w:pStyle w:val="ListParagraph"/>
        <w:numPr>
          <w:ilvl w:val="0"/>
          <w:numId w:val="7"/>
        </w:numPr>
        <w:tabs>
          <w:tab w:val="left" w:pos="993"/>
        </w:tabs>
        <w:ind w:left="0" w:firstLine="709"/>
        <w:rPr>
          <w:rFonts w:cs="Times New Roman"/>
          <w:szCs w:val="24"/>
        </w:rPr>
      </w:pPr>
      <w:r w:rsidRPr="004259C7">
        <w:rPr>
          <w:rFonts w:cs="Times New Roman"/>
          <w:szCs w:val="24"/>
        </w:rPr>
        <w:t xml:space="preserve">budžeta apakšprogrammā 22.12.00 “Nacionālo bruņoto spēku uzturēšana” </w:t>
      </w:r>
      <w:r w:rsidR="00416226" w:rsidRPr="004259C7">
        <w:rPr>
          <w:rFonts w:cs="Times New Roman"/>
          <w:szCs w:val="24"/>
        </w:rPr>
        <w:t>tiek paredzēts finansējums iestādes uzturēšanas izdevumiem</w:t>
      </w:r>
      <w:r w:rsidR="00CC4675" w:rsidRPr="004259C7">
        <w:rPr>
          <w:rFonts w:cs="Times New Roman"/>
          <w:szCs w:val="24"/>
        </w:rPr>
        <w:t xml:space="preserve"> 991 103</w:t>
      </w:r>
      <w:r w:rsidR="00AF56E8" w:rsidRPr="004259C7">
        <w:rPr>
          <w:rFonts w:cs="Times New Roman"/>
          <w:szCs w:val="24"/>
        </w:rPr>
        <w:t> </w:t>
      </w:r>
      <w:proofErr w:type="spellStart"/>
      <w:r w:rsidR="00AF56E8" w:rsidRPr="004259C7">
        <w:rPr>
          <w:rFonts w:cs="Times New Roman"/>
          <w:szCs w:val="24"/>
        </w:rPr>
        <w:t>euro</w:t>
      </w:r>
      <w:proofErr w:type="spellEnd"/>
      <w:r w:rsidR="00CC4675" w:rsidRPr="004259C7">
        <w:rPr>
          <w:rFonts w:cs="Times New Roman"/>
          <w:szCs w:val="24"/>
        </w:rPr>
        <w:t xml:space="preserve"> apmērā</w:t>
      </w:r>
      <w:r w:rsidR="00416226" w:rsidRPr="004259C7">
        <w:rPr>
          <w:rFonts w:cs="Times New Roman"/>
          <w:szCs w:val="24"/>
        </w:rPr>
        <w:t xml:space="preserve">, lai nodrošinātu telpu nomu, aprīkošanu un iestādes regulāros uzturēšanas izdevumus </w:t>
      </w:r>
      <w:r w:rsidRPr="004259C7">
        <w:rPr>
          <w:rFonts w:cs="Times New Roman"/>
          <w:szCs w:val="24"/>
        </w:rPr>
        <w:t>2021.</w:t>
      </w:r>
      <w:r w:rsidR="00037CEC">
        <w:rPr>
          <w:rFonts w:cs="Times New Roman"/>
          <w:szCs w:val="24"/>
        </w:rPr>
        <w:t> </w:t>
      </w:r>
      <w:r w:rsidRPr="004259C7">
        <w:rPr>
          <w:rFonts w:cs="Times New Roman"/>
          <w:szCs w:val="24"/>
        </w:rPr>
        <w:t>gadā</w:t>
      </w:r>
      <w:r w:rsidR="00CC4675" w:rsidRPr="004259C7">
        <w:rPr>
          <w:rFonts w:cs="Times New Roman"/>
          <w:szCs w:val="24"/>
        </w:rPr>
        <w:t xml:space="preserve"> un 2022.</w:t>
      </w:r>
      <w:r w:rsidR="00AF56E8" w:rsidRPr="004259C7">
        <w:rPr>
          <w:rFonts w:cs="Times New Roman"/>
          <w:szCs w:val="24"/>
        </w:rPr>
        <w:t> </w:t>
      </w:r>
      <w:r w:rsidR="00CC4675" w:rsidRPr="004259C7">
        <w:rPr>
          <w:rFonts w:cs="Times New Roman"/>
          <w:szCs w:val="24"/>
        </w:rPr>
        <w:t>gadā, kā arī papildus tam 2021.</w:t>
      </w:r>
      <w:r w:rsidR="00AF56E8" w:rsidRPr="004259C7">
        <w:rPr>
          <w:rFonts w:cs="Times New Roman"/>
          <w:szCs w:val="24"/>
        </w:rPr>
        <w:t> </w:t>
      </w:r>
      <w:r w:rsidR="00CC4675" w:rsidRPr="004259C7">
        <w:rPr>
          <w:rFonts w:cs="Times New Roman"/>
          <w:szCs w:val="24"/>
        </w:rPr>
        <w:t xml:space="preserve">gadā </w:t>
      </w:r>
      <w:r w:rsidR="007755E9" w:rsidRPr="004259C7">
        <w:rPr>
          <w:rFonts w:cs="Times New Roman"/>
          <w:szCs w:val="24"/>
        </w:rPr>
        <w:t>paredzēts finansējums 324 650</w:t>
      </w:r>
      <w:r w:rsidR="00AF56E8" w:rsidRPr="004259C7">
        <w:rPr>
          <w:rFonts w:cs="Times New Roman"/>
          <w:szCs w:val="24"/>
        </w:rPr>
        <w:t> </w:t>
      </w:r>
      <w:proofErr w:type="spellStart"/>
      <w:r w:rsidR="00AF56E8" w:rsidRPr="004259C7">
        <w:rPr>
          <w:rFonts w:cs="Times New Roman"/>
          <w:szCs w:val="24"/>
        </w:rPr>
        <w:t>euro</w:t>
      </w:r>
      <w:proofErr w:type="spellEnd"/>
      <w:r w:rsidR="007755E9" w:rsidRPr="004259C7">
        <w:rPr>
          <w:rFonts w:cs="Times New Roman"/>
          <w:szCs w:val="24"/>
        </w:rPr>
        <w:t xml:space="preserve"> apmērā </w:t>
      </w:r>
      <w:r w:rsidR="00416226" w:rsidRPr="004259C7">
        <w:rPr>
          <w:rFonts w:cs="Times New Roman"/>
          <w:szCs w:val="24"/>
        </w:rPr>
        <w:t>vienreizēj</w:t>
      </w:r>
      <w:r w:rsidR="007755E9" w:rsidRPr="004259C7">
        <w:rPr>
          <w:rFonts w:cs="Times New Roman"/>
          <w:szCs w:val="24"/>
        </w:rPr>
        <w:t>ām</w:t>
      </w:r>
      <w:r w:rsidR="00416226" w:rsidRPr="004259C7">
        <w:rPr>
          <w:rFonts w:cs="Times New Roman"/>
          <w:szCs w:val="24"/>
        </w:rPr>
        <w:t xml:space="preserve"> ieg</w:t>
      </w:r>
      <w:r w:rsidR="007755E9" w:rsidRPr="004259C7">
        <w:rPr>
          <w:rFonts w:cs="Times New Roman"/>
          <w:szCs w:val="24"/>
        </w:rPr>
        <w:t>ādēm</w:t>
      </w:r>
      <w:r w:rsidR="00416226" w:rsidRPr="004259C7">
        <w:rPr>
          <w:rFonts w:cs="Times New Roman"/>
          <w:szCs w:val="24"/>
        </w:rPr>
        <w:t xml:space="preserve"> noliktavu labiekārtošanai un aprīko</w:t>
      </w:r>
      <w:r w:rsidR="007755E9" w:rsidRPr="004259C7">
        <w:rPr>
          <w:rFonts w:cs="Times New Roman"/>
          <w:szCs w:val="24"/>
        </w:rPr>
        <w:t>šanai</w:t>
      </w:r>
      <w:r w:rsidR="00416226" w:rsidRPr="004259C7">
        <w:rPr>
          <w:rFonts w:cs="Times New Roman"/>
          <w:szCs w:val="24"/>
        </w:rPr>
        <w:t xml:space="preserve"> </w:t>
      </w:r>
      <w:proofErr w:type="gramStart"/>
      <w:r w:rsidR="007755E9" w:rsidRPr="004259C7">
        <w:rPr>
          <w:rFonts w:cs="Times New Roman"/>
          <w:szCs w:val="24"/>
        </w:rPr>
        <w:t>(</w:t>
      </w:r>
      <w:proofErr w:type="gramEnd"/>
      <w:r w:rsidR="00416226" w:rsidRPr="004259C7">
        <w:rPr>
          <w:rFonts w:cs="Times New Roman"/>
          <w:szCs w:val="24"/>
        </w:rPr>
        <w:t>t.sk. noliktavu plaukti, krāvēji, utt.)</w:t>
      </w:r>
      <w:r w:rsidR="007755E9" w:rsidRPr="004259C7">
        <w:rPr>
          <w:rFonts w:cs="Times New Roman"/>
          <w:szCs w:val="24"/>
        </w:rPr>
        <w:t>.</w:t>
      </w:r>
      <w:r w:rsidR="002A3A04" w:rsidRPr="004259C7">
        <w:rPr>
          <w:rFonts w:cs="Times New Roman"/>
          <w:szCs w:val="24"/>
        </w:rPr>
        <w:t xml:space="preserve"> Finansējums pārdalīts no NBS noliktavu uzturēšanai un apsaimniekošanai plānotajiem finanšu līdzekļiem.</w:t>
      </w:r>
    </w:p>
    <w:p w14:paraId="2CF712DF" w14:textId="7B523E9F" w:rsidR="00DF1047" w:rsidRPr="004259C7" w:rsidRDefault="00DF1047" w:rsidP="00CC4675">
      <w:pPr>
        <w:rPr>
          <w:rFonts w:cs="Times New Roman"/>
          <w:szCs w:val="24"/>
        </w:rPr>
      </w:pPr>
      <w:r w:rsidRPr="004259C7">
        <w:rPr>
          <w:rFonts w:cs="Times New Roman"/>
          <w:szCs w:val="24"/>
        </w:rPr>
        <w:t>Kopējais budžeta finansējums Valsts aizsardzības loģistikas centram tiks plānots budžeta programmā 22.00.00 “Nacionālie bruņotie spēki” 2021.</w:t>
      </w:r>
      <w:r w:rsidR="00037CEC">
        <w:rPr>
          <w:rFonts w:cs="Times New Roman"/>
          <w:szCs w:val="24"/>
        </w:rPr>
        <w:t> </w:t>
      </w:r>
      <w:r w:rsidRPr="004259C7">
        <w:rPr>
          <w:rFonts w:cs="Times New Roman"/>
          <w:szCs w:val="24"/>
        </w:rPr>
        <w:t xml:space="preserve">gadā </w:t>
      </w:r>
      <w:r w:rsidRPr="004259C7">
        <w:rPr>
          <w:rFonts w:cs="Times New Roman"/>
          <w:b/>
          <w:szCs w:val="24"/>
        </w:rPr>
        <w:t>3 748 218</w:t>
      </w:r>
      <w:r w:rsidR="00AF56E8" w:rsidRPr="004259C7">
        <w:rPr>
          <w:rFonts w:cs="Times New Roman"/>
          <w:b/>
          <w:szCs w:val="24"/>
        </w:rPr>
        <w:t> </w:t>
      </w:r>
      <w:proofErr w:type="spellStart"/>
      <w:r w:rsidR="00AF56E8" w:rsidRPr="004259C7">
        <w:rPr>
          <w:rFonts w:cs="Times New Roman"/>
          <w:b/>
          <w:szCs w:val="24"/>
        </w:rPr>
        <w:t>euro</w:t>
      </w:r>
      <w:proofErr w:type="spellEnd"/>
      <w:r w:rsidRPr="004259C7">
        <w:rPr>
          <w:rFonts w:cs="Times New Roman"/>
          <w:b/>
          <w:szCs w:val="24"/>
        </w:rPr>
        <w:t xml:space="preserve"> </w:t>
      </w:r>
      <w:r w:rsidRPr="004259C7">
        <w:rPr>
          <w:rFonts w:cs="Times New Roman"/>
          <w:szCs w:val="24"/>
        </w:rPr>
        <w:t>apmērā un 2022.</w:t>
      </w:r>
      <w:r w:rsidR="00037CEC">
        <w:rPr>
          <w:rFonts w:cs="Times New Roman"/>
          <w:szCs w:val="24"/>
        </w:rPr>
        <w:t> </w:t>
      </w:r>
      <w:r w:rsidRPr="004259C7">
        <w:rPr>
          <w:rFonts w:cs="Times New Roman"/>
          <w:szCs w:val="24"/>
        </w:rPr>
        <w:t xml:space="preserve">gadā un turpmāk ik gadu </w:t>
      </w:r>
      <w:r w:rsidRPr="004259C7">
        <w:rPr>
          <w:rFonts w:cs="Times New Roman"/>
          <w:b/>
          <w:szCs w:val="24"/>
        </w:rPr>
        <w:t>3 488 334</w:t>
      </w:r>
      <w:r w:rsidR="00AF56E8" w:rsidRPr="004259C7">
        <w:rPr>
          <w:rFonts w:cs="Times New Roman"/>
          <w:b/>
          <w:szCs w:val="24"/>
        </w:rPr>
        <w:t> </w:t>
      </w:r>
      <w:proofErr w:type="spellStart"/>
      <w:r w:rsidR="00AF56E8" w:rsidRPr="004259C7">
        <w:rPr>
          <w:rFonts w:cs="Times New Roman"/>
          <w:b/>
          <w:szCs w:val="24"/>
        </w:rPr>
        <w:t>euro</w:t>
      </w:r>
      <w:proofErr w:type="spellEnd"/>
      <w:r w:rsidRPr="004259C7">
        <w:rPr>
          <w:rFonts w:cs="Times New Roman"/>
          <w:b/>
          <w:szCs w:val="24"/>
        </w:rPr>
        <w:t xml:space="preserve"> </w:t>
      </w:r>
      <w:r w:rsidRPr="004259C7">
        <w:rPr>
          <w:rFonts w:cs="Times New Roman"/>
          <w:szCs w:val="24"/>
        </w:rPr>
        <w:t>apmērā.</w:t>
      </w:r>
    </w:p>
    <w:p w14:paraId="2CF712E0" w14:textId="77777777" w:rsidR="00D63909" w:rsidRPr="004259C7" w:rsidRDefault="00D63909" w:rsidP="00D63909">
      <w:pPr>
        <w:pStyle w:val="Heading1"/>
        <w:rPr>
          <w:rFonts w:eastAsia="Times New Roman"/>
          <w:lang w:eastAsia="lv-LV"/>
        </w:rPr>
        <w:sectPr w:rsidR="00D63909" w:rsidRPr="004259C7" w:rsidSect="007B40C9">
          <w:headerReference w:type="default" r:id="rId8"/>
          <w:footerReference w:type="default" r:id="rId9"/>
          <w:footerReference w:type="first" r:id="rId10"/>
          <w:pgSz w:w="11906" w:h="16838"/>
          <w:pgMar w:top="1440" w:right="1133" w:bottom="1440" w:left="1701" w:header="708" w:footer="708" w:gutter="0"/>
          <w:cols w:space="708"/>
          <w:titlePg/>
          <w:docGrid w:linePitch="360"/>
        </w:sectPr>
      </w:pPr>
    </w:p>
    <w:p w14:paraId="2CF712E1" w14:textId="77777777" w:rsidR="006A6E4B" w:rsidRPr="004259C7" w:rsidRDefault="006A6E4B" w:rsidP="00D63909">
      <w:pPr>
        <w:pStyle w:val="Heading1"/>
      </w:pPr>
      <w:r w:rsidRPr="004259C7">
        <w:rPr>
          <w:rFonts w:eastAsia="Times New Roman"/>
          <w:lang w:eastAsia="lv-LV"/>
        </w:rPr>
        <w:lastRenderedPageBreak/>
        <w:t>Kopsavilkums par konceptuālajā ziņojumā iekļautā risinājuma realizācijai nepieciešamo valsts budžeta finansējumu</w:t>
      </w:r>
    </w:p>
    <w:tbl>
      <w:tblPr>
        <w:tblW w:w="5031" w:type="pct"/>
        <w:tblInd w:w="-5" w:type="dxa"/>
        <w:tblLayout w:type="fixed"/>
        <w:tblCellMar>
          <w:left w:w="28" w:type="dxa"/>
          <w:right w:w="28" w:type="dxa"/>
        </w:tblCellMar>
        <w:tblLook w:val="04A0" w:firstRow="1" w:lastRow="0" w:firstColumn="1" w:lastColumn="0" w:noHBand="0" w:noVBand="1"/>
      </w:tblPr>
      <w:tblGrid>
        <w:gridCol w:w="1417"/>
        <w:gridCol w:w="1134"/>
        <w:gridCol w:w="2411"/>
        <w:gridCol w:w="1370"/>
        <w:gridCol w:w="1370"/>
        <w:gridCol w:w="1370"/>
        <w:gridCol w:w="376"/>
        <w:gridCol w:w="376"/>
        <w:gridCol w:w="376"/>
        <w:gridCol w:w="1350"/>
        <w:gridCol w:w="1353"/>
        <w:gridCol w:w="1131"/>
      </w:tblGrid>
      <w:tr w:rsidR="004259C7" w:rsidRPr="004259C7" w14:paraId="2CF712E8" w14:textId="77777777" w:rsidTr="005B0BDC">
        <w:trPr>
          <w:trHeight w:val="487"/>
        </w:trPr>
        <w:tc>
          <w:tcPr>
            <w:tcW w:w="505" w:type="pct"/>
            <w:vMerge w:val="restart"/>
            <w:tcBorders>
              <w:top w:val="single" w:sz="4" w:space="0" w:color="auto"/>
              <w:left w:val="single" w:sz="4" w:space="0" w:color="auto"/>
              <w:right w:val="single" w:sz="4" w:space="0" w:color="auto"/>
            </w:tcBorders>
            <w:shd w:val="clear" w:color="auto" w:fill="auto"/>
            <w:noWrap/>
            <w:vAlign w:val="center"/>
            <w:hideMark/>
          </w:tcPr>
          <w:p w14:paraId="2CF712E2" w14:textId="77777777" w:rsidR="006A6E4B" w:rsidRPr="004259C7" w:rsidRDefault="006A6E4B" w:rsidP="005B0BDC">
            <w:pPr>
              <w:spacing w:after="0"/>
              <w:ind w:firstLine="0"/>
              <w:jc w:val="center"/>
              <w:rPr>
                <w:rFonts w:eastAsia="Times New Roman" w:cs="Times New Roman"/>
                <w:b/>
                <w:sz w:val="20"/>
                <w:szCs w:val="20"/>
                <w:lang w:eastAsia="lv-LV"/>
              </w:rPr>
            </w:pPr>
            <w:r w:rsidRPr="004259C7">
              <w:rPr>
                <w:rFonts w:eastAsia="Times New Roman" w:cs="Times New Roman"/>
                <w:b/>
                <w:bCs/>
                <w:sz w:val="20"/>
                <w:szCs w:val="20"/>
                <w:lang w:eastAsia="lv-LV"/>
              </w:rPr>
              <w:t>Risinājums</w:t>
            </w:r>
          </w:p>
        </w:tc>
        <w:tc>
          <w:tcPr>
            <w:tcW w:w="404" w:type="pct"/>
            <w:vMerge w:val="restart"/>
            <w:tcBorders>
              <w:top w:val="single" w:sz="4" w:space="0" w:color="auto"/>
              <w:left w:val="single" w:sz="4" w:space="0" w:color="auto"/>
              <w:right w:val="single" w:sz="4" w:space="0" w:color="auto"/>
            </w:tcBorders>
            <w:shd w:val="clear" w:color="auto" w:fill="auto"/>
            <w:noWrap/>
            <w:vAlign w:val="center"/>
            <w:hideMark/>
          </w:tcPr>
          <w:p w14:paraId="2CF712E3" w14:textId="77777777" w:rsidR="006A6E4B" w:rsidRPr="004259C7" w:rsidRDefault="006A6E4B" w:rsidP="005B0BDC">
            <w:pPr>
              <w:spacing w:after="0"/>
              <w:ind w:firstLine="0"/>
              <w:jc w:val="center"/>
              <w:rPr>
                <w:rFonts w:eastAsia="Times New Roman" w:cs="Times New Roman"/>
                <w:sz w:val="20"/>
                <w:szCs w:val="20"/>
                <w:lang w:eastAsia="lv-LV"/>
              </w:rPr>
            </w:pPr>
            <w:r w:rsidRPr="004259C7">
              <w:rPr>
                <w:rFonts w:eastAsia="Times New Roman" w:cs="Times New Roman"/>
                <w:b/>
                <w:bCs/>
                <w:sz w:val="20"/>
                <w:szCs w:val="20"/>
                <w:lang w:eastAsia="lv-LV"/>
              </w:rPr>
              <w:t>Risinājums (risinājuma varianti)</w:t>
            </w:r>
          </w:p>
        </w:tc>
        <w:tc>
          <w:tcPr>
            <w:tcW w:w="859" w:type="pct"/>
            <w:vMerge w:val="restart"/>
            <w:tcBorders>
              <w:top w:val="single" w:sz="4" w:space="0" w:color="auto"/>
              <w:left w:val="single" w:sz="4" w:space="0" w:color="auto"/>
              <w:right w:val="single" w:sz="4" w:space="0" w:color="auto"/>
            </w:tcBorders>
            <w:shd w:val="clear" w:color="auto" w:fill="auto"/>
            <w:noWrap/>
            <w:vAlign w:val="center"/>
            <w:hideMark/>
          </w:tcPr>
          <w:p w14:paraId="2CF712E4" w14:textId="77777777" w:rsidR="006A6E4B" w:rsidRPr="004259C7" w:rsidRDefault="006A6E4B" w:rsidP="005B0BDC">
            <w:pPr>
              <w:spacing w:after="0"/>
              <w:ind w:firstLine="0"/>
              <w:jc w:val="center"/>
              <w:rPr>
                <w:rFonts w:eastAsia="Times New Roman" w:cs="Times New Roman"/>
                <w:sz w:val="20"/>
                <w:szCs w:val="20"/>
                <w:lang w:eastAsia="lv-LV"/>
              </w:rPr>
            </w:pPr>
            <w:r w:rsidRPr="004259C7">
              <w:rPr>
                <w:rFonts w:eastAsia="Times New Roman" w:cs="Times New Roman"/>
                <w:b/>
                <w:bCs/>
                <w:sz w:val="20"/>
                <w:szCs w:val="20"/>
                <w:lang w:eastAsia="lv-LV"/>
              </w:rPr>
              <w:t>Budžeta programmas (apakš</w:t>
            </w:r>
            <w:r w:rsidRPr="004259C7">
              <w:rPr>
                <w:rFonts w:eastAsia="Times New Roman" w:cs="Times New Roman"/>
                <w:b/>
                <w:bCs/>
                <w:sz w:val="20"/>
                <w:szCs w:val="20"/>
                <w:lang w:eastAsia="lv-LV"/>
              </w:rPr>
              <w:softHyphen/>
              <w:t>programmas)</w:t>
            </w:r>
            <w:r w:rsidRPr="004259C7">
              <w:rPr>
                <w:rFonts w:eastAsia="Times New Roman" w:cs="Times New Roman"/>
                <w:b/>
                <w:bCs/>
                <w:sz w:val="20"/>
                <w:szCs w:val="20"/>
                <w:lang w:eastAsia="lv-LV"/>
              </w:rPr>
              <w:br/>
              <w:t>kods un nosaukums</w:t>
            </w:r>
          </w:p>
        </w:tc>
        <w:tc>
          <w:tcPr>
            <w:tcW w:w="14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F712E5" w14:textId="77777777" w:rsidR="006A6E4B" w:rsidRPr="004259C7" w:rsidRDefault="006A6E4B" w:rsidP="005B0BDC">
            <w:pPr>
              <w:spacing w:after="0"/>
              <w:ind w:firstLine="0"/>
              <w:jc w:val="center"/>
              <w:rPr>
                <w:rFonts w:eastAsia="Times New Roman" w:cs="Times New Roman"/>
                <w:b/>
                <w:bCs/>
                <w:sz w:val="20"/>
                <w:szCs w:val="20"/>
                <w:lang w:eastAsia="lv-LV"/>
              </w:rPr>
            </w:pPr>
            <w:r w:rsidRPr="004259C7">
              <w:rPr>
                <w:rFonts w:eastAsia="Times New Roman" w:cs="Times New Roman"/>
                <w:b/>
                <w:bCs/>
                <w:sz w:val="20"/>
                <w:szCs w:val="20"/>
                <w:lang w:eastAsia="lv-LV"/>
              </w:rPr>
              <w:t>Vidēja termiņa budžeta ietvara likumā plānotais finansējums</w:t>
            </w:r>
          </w:p>
        </w:tc>
        <w:tc>
          <w:tcPr>
            <w:tcW w:w="136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F712E6" w14:textId="77777777" w:rsidR="006A6E4B" w:rsidRPr="004259C7" w:rsidRDefault="006A6E4B" w:rsidP="005B0BDC">
            <w:pPr>
              <w:spacing w:after="0"/>
              <w:jc w:val="center"/>
              <w:rPr>
                <w:rFonts w:eastAsia="Times New Roman" w:cs="Times New Roman"/>
                <w:b/>
                <w:bCs/>
                <w:sz w:val="18"/>
                <w:szCs w:val="18"/>
                <w:lang w:eastAsia="lv-LV"/>
              </w:rPr>
            </w:pPr>
            <w:r w:rsidRPr="004259C7">
              <w:rPr>
                <w:rFonts w:eastAsia="Times New Roman" w:cs="Times New Roman"/>
                <w:b/>
                <w:bCs/>
                <w:sz w:val="18"/>
                <w:szCs w:val="18"/>
                <w:lang w:eastAsia="lv-LV"/>
              </w:rPr>
              <w:t>Nepieciešamais papildu finansējums</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712E7" w14:textId="77777777" w:rsidR="006A6E4B" w:rsidRPr="004259C7" w:rsidRDefault="006A6E4B" w:rsidP="005B0BDC">
            <w:pPr>
              <w:spacing w:after="0"/>
              <w:ind w:firstLine="0"/>
              <w:jc w:val="center"/>
              <w:rPr>
                <w:rFonts w:eastAsia="Times New Roman" w:cs="Times New Roman"/>
                <w:b/>
                <w:bCs/>
                <w:sz w:val="18"/>
                <w:szCs w:val="18"/>
                <w:lang w:eastAsia="lv-LV"/>
              </w:rPr>
            </w:pPr>
            <w:r w:rsidRPr="004259C7">
              <w:rPr>
                <w:rFonts w:eastAsia="Times New Roman" w:cs="Times New Roman"/>
                <w:b/>
                <w:bCs/>
                <w:sz w:val="18"/>
                <w:szCs w:val="18"/>
                <w:lang w:eastAsia="lv-LV"/>
              </w:rPr>
              <w:t>Pasākuma īstenošanas gads</w:t>
            </w:r>
            <w:r w:rsidRPr="004259C7">
              <w:rPr>
                <w:rFonts w:eastAsia="Times New Roman" w:cs="Times New Roman"/>
                <w:b/>
                <w:bCs/>
                <w:sz w:val="18"/>
                <w:szCs w:val="18"/>
                <w:lang w:eastAsia="lv-LV"/>
              </w:rPr>
              <w:br/>
              <w:t xml:space="preserve"> (ja risinājuma (risinā</w:t>
            </w:r>
            <w:r w:rsidRPr="004259C7">
              <w:rPr>
                <w:rFonts w:eastAsia="Times New Roman" w:cs="Times New Roman"/>
                <w:b/>
                <w:bCs/>
                <w:sz w:val="18"/>
                <w:szCs w:val="18"/>
                <w:lang w:eastAsia="lv-LV"/>
              </w:rPr>
              <w:softHyphen/>
              <w:t>juma varianta) īstenošana ir terminēta)</w:t>
            </w:r>
          </w:p>
        </w:tc>
      </w:tr>
      <w:tr w:rsidR="004259C7" w:rsidRPr="004259C7" w14:paraId="2CF712F5" w14:textId="77777777" w:rsidTr="005B0BDC">
        <w:trPr>
          <w:trHeight w:val="1839"/>
        </w:trPr>
        <w:tc>
          <w:tcPr>
            <w:tcW w:w="505" w:type="pct"/>
            <w:vMerge/>
            <w:tcBorders>
              <w:left w:val="single" w:sz="4" w:space="0" w:color="auto"/>
              <w:bottom w:val="single" w:sz="4" w:space="0" w:color="auto"/>
              <w:right w:val="single" w:sz="4" w:space="0" w:color="auto"/>
            </w:tcBorders>
            <w:shd w:val="clear" w:color="auto" w:fill="auto"/>
            <w:vAlign w:val="center"/>
            <w:hideMark/>
          </w:tcPr>
          <w:p w14:paraId="2CF712E9" w14:textId="77777777" w:rsidR="006A6E4B" w:rsidRPr="004259C7" w:rsidRDefault="006A6E4B" w:rsidP="005B0BDC">
            <w:pPr>
              <w:spacing w:after="0"/>
              <w:jc w:val="center"/>
              <w:rPr>
                <w:rFonts w:eastAsia="Times New Roman" w:cs="Times New Roman"/>
                <w:b/>
                <w:bCs/>
                <w:sz w:val="20"/>
                <w:szCs w:val="20"/>
                <w:lang w:eastAsia="lv-LV"/>
              </w:rPr>
            </w:pPr>
          </w:p>
        </w:tc>
        <w:tc>
          <w:tcPr>
            <w:tcW w:w="404" w:type="pct"/>
            <w:vMerge/>
            <w:tcBorders>
              <w:left w:val="single" w:sz="4" w:space="0" w:color="auto"/>
              <w:bottom w:val="nil"/>
              <w:right w:val="single" w:sz="4" w:space="0" w:color="auto"/>
            </w:tcBorders>
            <w:shd w:val="clear" w:color="auto" w:fill="auto"/>
            <w:vAlign w:val="center"/>
            <w:hideMark/>
          </w:tcPr>
          <w:p w14:paraId="2CF712EA" w14:textId="77777777" w:rsidR="006A6E4B" w:rsidRPr="004259C7" w:rsidRDefault="006A6E4B" w:rsidP="005B0BDC">
            <w:pPr>
              <w:spacing w:after="0"/>
              <w:jc w:val="center"/>
              <w:rPr>
                <w:rFonts w:eastAsia="Times New Roman" w:cs="Times New Roman"/>
                <w:b/>
                <w:bCs/>
                <w:sz w:val="20"/>
                <w:szCs w:val="20"/>
                <w:lang w:eastAsia="lv-LV"/>
              </w:rPr>
            </w:pPr>
          </w:p>
        </w:tc>
        <w:tc>
          <w:tcPr>
            <w:tcW w:w="859" w:type="pct"/>
            <w:vMerge/>
            <w:tcBorders>
              <w:left w:val="single" w:sz="4" w:space="0" w:color="auto"/>
              <w:bottom w:val="nil"/>
              <w:right w:val="single" w:sz="4" w:space="0" w:color="auto"/>
            </w:tcBorders>
            <w:shd w:val="clear" w:color="auto" w:fill="auto"/>
            <w:vAlign w:val="center"/>
            <w:hideMark/>
          </w:tcPr>
          <w:p w14:paraId="2CF712EB" w14:textId="77777777" w:rsidR="006A6E4B" w:rsidRPr="004259C7" w:rsidRDefault="006A6E4B" w:rsidP="005B0BDC">
            <w:pPr>
              <w:spacing w:after="0"/>
              <w:jc w:val="center"/>
              <w:rPr>
                <w:rFonts w:eastAsia="Times New Roman" w:cs="Times New Roman"/>
                <w:b/>
                <w:bCs/>
                <w:sz w:val="20"/>
                <w:szCs w:val="20"/>
                <w:lang w:eastAsia="lv-LV"/>
              </w:rPr>
            </w:pP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2CF712EC" w14:textId="77777777" w:rsidR="006A6E4B" w:rsidRPr="004259C7" w:rsidRDefault="006A6E4B" w:rsidP="005B0BDC">
            <w:pPr>
              <w:spacing w:after="0"/>
              <w:ind w:firstLine="0"/>
              <w:jc w:val="center"/>
              <w:rPr>
                <w:rFonts w:eastAsia="Times New Roman" w:cs="Times New Roman"/>
                <w:b/>
                <w:bCs/>
                <w:sz w:val="20"/>
                <w:szCs w:val="20"/>
                <w:lang w:eastAsia="lv-LV"/>
              </w:rPr>
            </w:pPr>
            <w:r w:rsidRPr="004259C7">
              <w:rPr>
                <w:rFonts w:eastAsia="Times New Roman" w:cs="Times New Roman"/>
                <w:b/>
                <w:bCs/>
                <w:sz w:val="20"/>
                <w:szCs w:val="20"/>
                <w:lang w:eastAsia="lv-LV"/>
              </w:rPr>
              <w:t>2020. gads</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2CF712ED" w14:textId="77777777" w:rsidR="006A6E4B" w:rsidRPr="004259C7" w:rsidRDefault="006A6E4B" w:rsidP="005B0BDC">
            <w:pPr>
              <w:spacing w:after="0"/>
              <w:ind w:firstLine="0"/>
              <w:jc w:val="center"/>
              <w:rPr>
                <w:rFonts w:eastAsia="Times New Roman" w:cs="Times New Roman"/>
                <w:b/>
                <w:bCs/>
                <w:sz w:val="20"/>
                <w:szCs w:val="20"/>
                <w:lang w:eastAsia="lv-LV"/>
              </w:rPr>
            </w:pPr>
            <w:proofErr w:type="gramStart"/>
            <w:r w:rsidRPr="004259C7">
              <w:rPr>
                <w:rFonts w:eastAsia="Times New Roman" w:cs="Times New Roman"/>
                <w:b/>
                <w:bCs/>
                <w:sz w:val="20"/>
                <w:szCs w:val="20"/>
                <w:lang w:eastAsia="lv-LV"/>
              </w:rPr>
              <w:t>2021.gads</w:t>
            </w:r>
            <w:proofErr w:type="gramEnd"/>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2CF712EE" w14:textId="77777777" w:rsidR="006A6E4B" w:rsidRPr="004259C7" w:rsidRDefault="006A6E4B" w:rsidP="005B0BDC">
            <w:pPr>
              <w:spacing w:after="0"/>
              <w:ind w:firstLine="0"/>
              <w:jc w:val="center"/>
              <w:rPr>
                <w:rFonts w:eastAsia="Times New Roman" w:cs="Times New Roman"/>
                <w:b/>
                <w:bCs/>
                <w:sz w:val="20"/>
                <w:szCs w:val="20"/>
                <w:lang w:eastAsia="lv-LV"/>
              </w:rPr>
            </w:pPr>
            <w:proofErr w:type="gramStart"/>
            <w:r w:rsidRPr="004259C7">
              <w:rPr>
                <w:rFonts w:eastAsia="Times New Roman" w:cs="Times New Roman"/>
                <w:b/>
                <w:bCs/>
                <w:sz w:val="20"/>
                <w:szCs w:val="20"/>
                <w:lang w:eastAsia="lv-LV"/>
              </w:rPr>
              <w:t>2022.gads</w:t>
            </w:r>
            <w:proofErr w:type="gramEnd"/>
          </w:p>
        </w:tc>
        <w:tc>
          <w:tcPr>
            <w:tcW w:w="134" w:type="pct"/>
            <w:tcBorders>
              <w:top w:val="single" w:sz="4" w:space="0" w:color="auto"/>
              <w:left w:val="nil"/>
              <w:bottom w:val="single" w:sz="4" w:space="0" w:color="auto"/>
              <w:right w:val="single" w:sz="4" w:space="0" w:color="auto"/>
            </w:tcBorders>
            <w:shd w:val="clear" w:color="auto" w:fill="auto"/>
            <w:vAlign w:val="center"/>
            <w:hideMark/>
          </w:tcPr>
          <w:p w14:paraId="2CF712EF" w14:textId="77777777" w:rsidR="006A6E4B" w:rsidRPr="004259C7" w:rsidRDefault="006A6E4B" w:rsidP="005B0BDC">
            <w:pPr>
              <w:spacing w:after="0"/>
              <w:jc w:val="center"/>
              <w:rPr>
                <w:rFonts w:eastAsia="Times New Roman" w:cs="Times New Roman"/>
                <w:b/>
                <w:bCs/>
                <w:sz w:val="20"/>
                <w:szCs w:val="20"/>
                <w:lang w:eastAsia="lv-LV"/>
              </w:rPr>
            </w:pPr>
            <w:r w:rsidRPr="004259C7">
              <w:rPr>
                <w:rFonts w:eastAsia="Times New Roman" w:cs="Times New Roman"/>
                <w:b/>
                <w:bCs/>
                <w:sz w:val="20"/>
                <w:szCs w:val="20"/>
                <w:lang w:eastAsia="lv-LV"/>
              </w:rPr>
              <w:t>n + 1</w:t>
            </w:r>
          </w:p>
        </w:tc>
        <w:tc>
          <w:tcPr>
            <w:tcW w:w="134" w:type="pct"/>
            <w:tcBorders>
              <w:top w:val="single" w:sz="4" w:space="0" w:color="auto"/>
              <w:left w:val="nil"/>
              <w:bottom w:val="single" w:sz="4" w:space="0" w:color="auto"/>
              <w:right w:val="single" w:sz="4" w:space="0" w:color="auto"/>
            </w:tcBorders>
            <w:shd w:val="clear" w:color="auto" w:fill="auto"/>
            <w:vAlign w:val="center"/>
            <w:hideMark/>
          </w:tcPr>
          <w:p w14:paraId="2CF712F0" w14:textId="77777777" w:rsidR="006A6E4B" w:rsidRPr="004259C7" w:rsidRDefault="006A6E4B" w:rsidP="005B0BDC">
            <w:pPr>
              <w:spacing w:after="0"/>
              <w:jc w:val="center"/>
              <w:rPr>
                <w:rFonts w:eastAsia="Times New Roman" w:cs="Times New Roman"/>
                <w:b/>
                <w:bCs/>
                <w:sz w:val="20"/>
                <w:szCs w:val="20"/>
                <w:lang w:eastAsia="lv-LV"/>
              </w:rPr>
            </w:pPr>
            <w:r w:rsidRPr="004259C7">
              <w:rPr>
                <w:rFonts w:eastAsia="Times New Roman" w:cs="Times New Roman"/>
                <w:b/>
                <w:bCs/>
                <w:sz w:val="20"/>
                <w:szCs w:val="20"/>
                <w:lang w:eastAsia="lv-LV"/>
              </w:rPr>
              <w:t>n +2</w:t>
            </w:r>
          </w:p>
        </w:tc>
        <w:tc>
          <w:tcPr>
            <w:tcW w:w="134" w:type="pct"/>
            <w:tcBorders>
              <w:top w:val="single" w:sz="4" w:space="0" w:color="auto"/>
              <w:left w:val="nil"/>
              <w:bottom w:val="single" w:sz="4" w:space="0" w:color="auto"/>
              <w:right w:val="single" w:sz="4" w:space="0" w:color="auto"/>
            </w:tcBorders>
            <w:shd w:val="clear" w:color="auto" w:fill="auto"/>
            <w:vAlign w:val="center"/>
            <w:hideMark/>
          </w:tcPr>
          <w:p w14:paraId="2CF712F1" w14:textId="77777777" w:rsidR="006A6E4B" w:rsidRPr="004259C7" w:rsidRDefault="006A6E4B" w:rsidP="005B0BDC">
            <w:pPr>
              <w:spacing w:after="0"/>
              <w:jc w:val="center"/>
              <w:rPr>
                <w:rFonts w:eastAsia="Times New Roman" w:cs="Times New Roman"/>
                <w:b/>
                <w:bCs/>
                <w:sz w:val="20"/>
                <w:szCs w:val="20"/>
                <w:lang w:eastAsia="lv-LV"/>
              </w:rPr>
            </w:pPr>
            <w:r w:rsidRPr="004259C7">
              <w:rPr>
                <w:rFonts w:eastAsia="Times New Roman" w:cs="Times New Roman"/>
                <w:b/>
                <w:bCs/>
                <w:sz w:val="20"/>
                <w:szCs w:val="20"/>
                <w:lang w:eastAsia="lv-LV"/>
              </w:rPr>
              <w:t>n + 3</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CF712F2" w14:textId="77777777" w:rsidR="006A6E4B" w:rsidRPr="004259C7" w:rsidRDefault="006A6E4B" w:rsidP="005B0BDC">
            <w:pPr>
              <w:spacing w:after="0"/>
              <w:ind w:firstLine="0"/>
              <w:jc w:val="center"/>
              <w:rPr>
                <w:rFonts w:eastAsia="Times New Roman" w:cs="Times New Roman"/>
                <w:b/>
                <w:bCs/>
                <w:sz w:val="18"/>
                <w:szCs w:val="18"/>
                <w:lang w:eastAsia="lv-LV"/>
              </w:rPr>
            </w:pPr>
            <w:r w:rsidRPr="004259C7">
              <w:rPr>
                <w:rFonts w:eastAsia="Times New Roman" w:cs="Times New Roman"/>
                <w:b/>
                <w:bCs/>
                <w:sz w:val="18"/>
                <w:szCs w:val="18"/>
                <w:lang w:eastAsia="lv-LV"/>
              </w:rPr>
              <w:t xml:space="preserve">turpmākajā laikposmā līdz risinājuma (risinājuma varianta) pabeigšanai </w:t>
            </w:r>
            <w:r w:rsidRPr="004259C7">
              <w:rPr>
                <w:rFonts w:eastAsia="Times New Roman" w:cs="Times New Roman"/>
                <w:b/>
                <w:bCs/>
                <w:sz w:val="18"/>
                <w:szCs w:val="18"/>
                <w:lang w:eastAsia="lv-LV"/>
              </w:rPr>
              <w:br/>
              <w:t>(ja īstenošana ir terminēta)</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2CF712F3" w14:textId="77777777" w:rsidR="006A6E4B" w:rsidRPr="004259C7" w:rsidRDefault="006A6E4B" w:rsidP="005B0BDC">
            <w:pPr>
              <w:spacing w:after="0"/>
              <w:ind w:firstLine="0"/>
              <w:jc w:val="center"/>
              <w:rPr>
                <w:rFonts w:eastAsia="Times New Roman" w:cs="Times New Roman"/>
                <w:b/>
                <w:bCs/>
                <w:sz w:val="18"/>
                <w:szCs w:val="18"/>
                <w:lang w:eastAsia="lv-LV"/>
              </w:rPr>
            </w:pPr>
            <w:r w:rsidRPr="004259C7">
              <w:rPr>
                <w:rFonts w:eastAsia="Times New Roman" w:cs="Times New Roman"/>
                <w:b/>
                <w:bCs/>
                <w:sz w:val="18"/>
                <w:szCs w:val="18"/>
                <w:lang w:eastAsia="lv-LV"/>
              </w:rPr>
              <w:t xml:space="preserve">turpmāk ik gadu </w:t>
            </w:r>
            <w:r w:rsidRPr="004259C7">
              <w:rPr>
                <w:rFonts w:eastAsia="Times New Roman" w:cs="Times New Roman"/>
                <w:b/>
                <w:bCs/>
                <w:sz w:val="18"/>
                <w:szCs w:val="18"/>
                <w:lang w:eastAsia="lv-LV"/>
              </w:rPr>
              <w:br/>
              <w:t>(ja risinā</w:t>
            </w:r>
            <w:r w:rsidRPr="004259C7">
              <w:rPr>
                <w:rFonts w:eastAsia="Times New Roman" w:cs="Times New Roman"/>
                <w:b/>
                <w:bCs/>
                <w:sz w:val="18"/>
                <w:szCs w:val="18"/>
                <w:lang w:eastAsia="lv-LV"/>
              </w:rPr>
              <w:softHyphen/>
              <w:t>juma (risinā</w:t>
            </w:r>
            <w:r w:rsidRPr="004259C7">
              <w:rPr>
                <w:rFonts w:eastAsia="Times New Roman" w:cs="Times New Roman"/>
                <w:b/>
                <w:bCs/>
                <w:sz w:val="18"/>
                <w:szCs w:val="18"/>
                <w:lang w:eastAsia="lv-LV"/>
              </w:rPr>
              <w:softHyphen/>
              <w:t>juma varianta) izpilde nav terminēta)</w:t>
            </w:r>
          </w:p>
        </w:tc>
        <w:tc>
          <w:tcPr>
            <w:tcW w:w="403" w:type="pct"/>
            <w:vMerge/>
            <w:tcBorders>
              <w:top w:val="single" w:sz="4" w:space="0" w:color="auto"/>
              <w:left w:val="single" w:sz="4" w:space="0" w:color="auto"/>
              <w:bottom w:val="single" w:sz="4" w:space="0" w:color="000000"/>
              <w:right w:val="single" w:sz="4" w:space="0" w:color="auto"/>
            </w:tcBorders>
            <w:vAlign w:val="center"/>
            <w:hideMark/>
          </w:tcPr>
          <w:p w14:paraId="2CF712F4" w14:textId="77777777" w:rsidR="006A6E4B" w:rsidRPr="004259C7" w:rsidRDefault="006A6E4B" w:rsidP="005B0BDC">
            <w:pPr>
              <w:spacing w:after="0"/>
              <w:jc w:val="center"/>
              <w:rPr>
                <w:rFonts w:eastAsia="Times New Roman" w:cs="Times New Roman"/>
                <w:b/>
                <w:bCs/>
                <w:sz w:val="18"/>
                <w:szCs w:val="18"/>
                <w:lang w:eastAsia="lv-LV"/>
              </w:rPr>
            </w:pPr>
          </w:p>
        </w:tc>
      </w:tr>
      <w:tr w:rsidR="004259C7" w:rsidRPr="004259C7" w14:paraId="2CF71302" w14:textId="77777777" w:rsidTr="005B0BDC">
        <w:trPr>
          <w:trHeight w:val="456"/>
        </w:trPr>
        <w:tc>
          <w:tcPr>
            <w:tcW w:w="505" w:type="pct"/>
            <w:tcBorders>
              <w:top w:val="nil"/>
              <w:left w:val="single" w:sz="4" w:space="0" w:color="auto"/>
              <w:bottom w:val="nil"/>
              <w:right w:val="single" w:sz="4" w:space="0" w:color="auto"/>
            </w:tcBorders>
            <w:shd w:val="clear" w:color="auto" w:fill="C4BC96"/>
            <w:hideMark/>
          </w:tcPr>
          <w:p w14:paraId="2CF712F6" w14:textId="77777777" w:rsidR="006A6E4B" w:rsidRPr="004259C7" w:rsidRDefault="006A6E4B" w:rsidP="00CE6E31">
            <w:pPr>
              <w:spacing w:after="0"/>
              <w:ind w:firstLine="0"/>
              <w:rPr>
                <w:rFonts w:eastAsia="Times New Roman" w:cs="Times New Roman"/>
                <w:b/>
                <w:bCs/>
                <w:sz w:val="20"/>
                <w:szCs w:val="20"/>
                <w:lang w:eastAsia="lv-LV"/>
              </w:rPr>
            </w:pPr>
            <w:r w:rsidRPr="004259C7">
              <w:rPr>
                <w:rFonts w:eastAsia="Times New Roman" w:cs="Times New Roman"/>
                <w:b/>
                <w:bCs/>
                <w:sz w:val="20"/>
                <w:szCs w:val="20"/>
                <w:lang w:eastAsia="lv-LV"/>
              </w:rPr>
              <w:t>Finansējums konceptuālā ziņojuma īstenošanai</w:t>
            </w:r>
            <w:proofErr w:type="gramStart"/>
            <w:r w:rsidRPr="004259C7">
              <w:rPr>
                <w:rFonts w:eastAsia="Times New Roman" w:cs="Times New Roman"/>
                <w:b/>
                <w:bCs/>
                <w:sz w:val="20"/>
                <w:szCs w:val="20"/>
                <w:lang w:eastAsia="lv-LV"/>
              </w:rPr>
              <w:t xml:space="preserve">  </w:t>
            </w:r>
            <w:proofErr w:type="gramEnd"/>
            <w:r w:rsidRPr="004259C7">
              <w:rPr>
                <w:rFonts w:eastAsia="Times New Roman" w:cs="Times New Roman"/>
                <w:b/>
                <w:bCs/>
                <w:sz w:val="20"/>
                <w:szCs w:val="20"/>
                <w:lang w:eastAsia="lv-LV"/>
              </w:rPr>
              <w:t>kopā</w:t>
            </w:r>
          </w:p>
        </w:tc>
        <w:tc>
          <w:tcPr>
            <w:tcW w:w="404" w:type="pct"/>
            <w:tcBorders>
              <w:top w:val="single" w:sz="4" w:space="0" w:color="auto"/>
              <w:left w:val="nil"/>
              <w:bottom w:val="nil"/>
              <w:right w:val="single" w:sz="4" w:space="0" w:color="auto"/>
            </w:tcBorders>
            <w:shd w:val="clear" w:color="auto" w:fill="C4BC96"/>
            <w:vAlign w:val="center"/>
            <w:hideMark/>
          </w:tcPr>
          <w:p w14:paraId="2CF712F7" w14:textId="77777777" w:rsidR="006A6E4B" w:rsidRPr="004259C7" w:rsidRDefault="006A6E4B" w:rsidP="00CE6E31">
            <w:pPr>
              <w:spacing w:after="0"/>
              <w:jc w:val="center"/>
              <w:rPr>
                <w:rFonts w:eastAsia="Times New Roman" w:cs="Times New Roman"/>
                <w:b/>
                <w:bCs/>
                <w:sz w:val="20"/>
                <w:szCs w:val="20"/>
                <w:lang w:eastAsia="lv-LV"/>
              </w:rPr>
            </w:pPr>
            <w:r w:rsidRPr="004259C7">
              <w:rPr>
                <w:rFonts w:eastAsia="Times New Roman" w:cs="Times New Roman"/>
                <w:b/>
                <w:bCs/>
                <w:sz w:val="20"/>
                <w:szCs w:val="20"/>
                <w:lang w:eastAsia="lv-LV"/>
              </w:rPr>
              <w:t> </w:t>
            </w:r>
          </w:p>
        </w:tc>
        <w:tc>
          <w:tcPr>
            <w:tcW w:w="859" w:type="pct"/>
            <w:tcBorders>
              <w:top w:val="single" w:sz="4" w:space="0" w:color="auto"/>
              <w:left w:val="nil"/>
              <w:bottom w:val="nil"/>
              <w:right w:val="nil"/>
            </w:tcBorders>
            <w:shd w:val="clear" w:color="auto" w:fill="C4BC96"/>
            <w:vAlign w:val="center"/>
            <w:hideMark/>
          </w:tcPr>
          <w:p w14:paraId="2CF712F8" w14:textId="77777777" w:rsidR="006A6E4B" w:rsidRPr="004259C7" w:rsidRDefault="006A6E4B" w:rsidP="00CE6E31">
            <w:pPr>
              <w:spacing w:after="0"/>
              <w:jc w:val="center"/>
              <w:rPr>
                <w:rFonts w:eastAsia="Times New Roman" w:cs="Times New Roman"/>
                <w:b/>
                <w:bCs/>
                <w:sz w:val="20"/>
                <w:szCs w:val="20"/>
                <w:lang w:eastAsia="lv-LV"/>
              </w:rPr>
            </w:pPr>
            <w:r w:rsidRPr="004259C7">
              <w:rPr>
                <w:rFonts w:eastAsia="Times New Roman" w:cs="Times New Roman"/>
                <w:b/>
                <w:bCs/>
                <w:sz w:val="20"/>
                <w:szCs w:val="20"/>
                <w:lang w:eastAsia="lv-LV"/>
              </w:rPr>
              <w:t> </w:t>
            </w:r>
          </w:p>
        </w:tc>
        <w:tc>
          <w:tcPr>
            <w:tcW w:w="488" w:type="pct"/>
            <w:tcBorders>
              <w:top w:val="nil"/>
              <w:left w:val="single" w:sz="4" w:space="0" w:color="auto"/>
              <w:bottom w:val="nil"/>
              <w:right w:val="single" w:sz="4" w:space="0" w:color="auto"/>
            </w:tcBorders>
            <w:shd w:val="clear" w:color="auto" w:fill="C4BC96"/>
            <w:noWrap/>
            <w:vAlign w:val="center"/>
          </w:tcPr>
          <w:p w14:paraId="2CF712F9"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3 117 478</w:t>
            </w:r>
          </w:p>
        </w:tc>
        <w:tc>
          <w:tcPr>
            <w:tcW w:w="488" w:type="pct"/>
            <w:tcBorders>
              <w:top w:val="nil"/>
              <w:left w:val="nil"/>
              <w:bottom w:val="nil"/>
              <w:right w:val="single" w:sz="4" w:space="0" w:color="auto"/>
            </w:tcBorders>
            <w:shd w:val="clear" w:color="auto" w:fill="C4BC96"/>
            <w:noWrap/>
            <w:vAlign w:val="center"/>
          </w:tcPr>
          <w:p w14:paraId="2CF712FA"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3 748 218</w:t>
            </w:r>
          </w:p>
        </w:tc>
        <w:tc>
          <w:tcPr>
            <w:tcW w:w="488" w:type="pct"/>
            <w:tcBorders>
              <w:top w:val="nil"/>
              <w:left w:val="nil"/>
              <w:bottom w:val="nil"/>
              <w:right w:val="single" w:sz="4" w:space="0" w:color="auto"/>
            </w:tcBorders>
            <w:shd w:val="clear" w:color="auto" w:fill="C4BC96"/>
            <w:noWrap/>
            <w:vAlign w:val="center"/>
          </w:tcPr>
          <w:p w14:paraId="2CF712FB"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3 488 334</w:t>
            </w:r>
          </w:p>
        </w:tc>
        <w:tc>
          <w:tcPr>
            <w:tcW w:w="134" w:type="pct"/>
            <w:tcBorders>
              <w:top w:val="nil"/>
              <w:left w:val="nil"/>
              <w:bottom w:val="nil"/>
              <w:right w:val="single" w:sz="4" w:space="0" w:color="auto"/>
            </w:tcBorders>
            <w:shd w:val="clear" w:color="auto" w:fill="C4BC96"/>
            <w:noWrap/>
            <w:vAlign w:val="center"/>
            <w:hideMark/>
          </w:tcPr>
          <w:p w14:paraId="2CF712FC"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134" w:type="pct"/>
            <w:tcBorders>
              <w:top w:val="nil"/>
              <w:left w:val="nil"/>
              <w:bottom w:val="nil"/>
              <w:right w:val="single" w:sz="4" w:space="0" w:color="auto"/>
            </w:tcBorders>
            <w:shd w:val="clear" w:color="auto" w:fill="C4BC96"/>
            <w:noWrap/>
            <w:vAlign w:val="center"/>
            <w:hideMark/>
          </w:tcPr>
          <w:p w14:paraId="2CF712FD"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134" w:type="pct"/>
            <w:tcBorders>
              <w:top w:val="nil"/>
              <w:left w:val="nil"/>
              <w:bottom w:val="nil"/>
              <w:right w:val="single" w:sz="4" w:space="0" w:color="auto"/>
            </w:tcBorders>
            <w:shd w:val="clear" w:color="auto" w:fill="C4BC96"/>
            <w:noWrap/>
            <w:vAlign w:val="center"/>
            <w:hideMark/>
          </w:tcPr>
          <w:p w14:paraId="2CF712FE"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1" w:type="pct"/>
            <w:tcBorders>
              <w:top w:val="nil"/>
              <w:left w:val="nil"/>
              <w:bottom w:val="nil"/>
              <w:right w:val="single" w:sz="4" w:space="0" w:color="auto"/>
            </w:tcBorders>
            <w:shd w:val="clear" w:color="auto" w:fill="C4BC96"/>
            <w:noWrap/>
            <w:vAlign w:val="center"/>
            <w:hideMark/>
          </w:tcPr>
          <w:p w14:paraId="2CF712FF"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2" w:type="pct"/>
            <w:tcBorders>
              <w:top w:val="nil"/>
              <w:left w:val="nil"/>
              <w:bottom w:val="nil"/>
              <w:right w:val="single" w:sz="4" w:space="0" w:color="auto"/>
            </w:tcBorders>
            <w:shd w:val="clear" w:color="auto" w:fill="C4BC96"/>
            <w:noWrap/>
            <w:vAlign w:val="center"/>
            <w:hideMark/>
          </w:tcPr>
          <w:p w14:paraId="2CF71300"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03" w:type="pct"/>
            <w:tcBorders>
              <w:top w:val="nil"/>
              <w:left w:val="nil"/>
              <w:bottom w:val="nil"/>
              <w:right w:val="single" w:sz="4" w:space="0" w:color="auto"/>
            </w:tcBorders>
            <w:shd w:val="clear" w:color="auto" w:fill="C4BC96"/>
            <w:noWrap/>
            <w:vAlign w:val="center"/>
            <w:hideMark/>
          </w:tcPr>
          <w:p w14:paraId="2CF71301"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r>
      <w:tr w:rsidR="004259C7" w:rsidRPr="004259C7" w14:paraId="2CF7130F" w14:textId="77777777" w:rsidTr="005B0BDC">
        <w:trPr>
          <w:trHeight w:val="312"/>
        </w:trPr>
        <w:tc>
          <w:tcPr>
            <w:tcW w:w="505" w:type="pct"/>
            <w:tcBorders>
              <w:top w:val="nil"/>
              <w:left w:val="single" w:sz="4" w:space="0" w:color="auto"/>
              <w:bottom w:val="single" w:sz="4" w:space="0" w:color="auto"/>
              <w:right w:val="single" w:sz="4" w:space="0" w:color="auto"/>
            </w:tcBorders>
            <w:shd w:val="clear" w:color="auto" w:fill="DDD9C3"/>
            <w:hideMark/>
          </w:tcPr>
          <w:p w14:paraId="2CF71303" w14:textId="77777777" w:rsidR="006A6E4B" w:rsidRPr="004259C7" w:rsidRDefault="006A6E4B" w:rsidP="00CE6E31">
            <w:pPr>
              <w:spacing w:after="0"/>
              <w:ind w:firstLine="0"/>
              <w:rPr>
                <w:rFonts w:eastAsia="Times New Roman" w:cs="Times New Roman"/>
                <w:iCs/>
                <w:sz w:val="20"/>
                <w:szCs w:val="20"/>
                <w:lang w:eastAsia="lv-LV"/>
              </w:rPr>
            </w:pPr>
            <w:r w:rsidRPr="004259C7">
              <w:rPr>
                <w:rFonts w:eastAsia="Times New Roman" w:cs="Times New Roman"/>
                <w:iCs/>
                <w:sz w:val="20"/>
                <w:szCs w:val="20"/>
                <w:lang w:eastAsia="lv-LV"/>
              </w:rPr>
              <w:t>Aizsardzības ministrija</w:t>
            </w:r>
          </w:p>
        </w:tc>
        <w:tc>
          <w:tcPr>
            <w:tcW w:w="404" w:type="pct"/>
            <w:tcBorders>
              <w:top w:val="nil"/>
              <w:left w:val="nil"/>
              <w:bottom w:val="single" w:sz="4" w:space="0" w:color="auto"/>
              <w:right w:val="single" w:sz="4" w:space="0" w:color="auto"/>
            </w:tcBorders>
            <w:shd w:val="clear" w:color="auto" w:fill="DDD9C3"/>
            <w:vAlign w:val="center"/>
            <w:hideMark/>
          </w:tcPr>
          <w:p w14:paraId="2CF71304" w14:textId="77777777" w:rsidR="006A6E4B" w:rsidRPr="004259C7" w:rsidRDefault="006A6E4B" w:rsidP="00CE6E31">
            <w:pPr>
              <w:spacing w:after="0"/>
              <w:jc w:val="center"/>
              <w:rPr>
                <w:rFonts w:eastAsia="Times New Roman" w:cs="Times New Roman"/>
                <w:i/>
                <w:iCs/>
                <w:sz w:val="18"/>
                <w:szCs w:val="18"/>
                <w:lang w:eastAsia="lv-LV"/>
              </w:rPr>
            </w:pPr>
            <w:r w:rsidRPr="004259C7">
              <w:rPr>
                <w:rFonts w:eastAsia="Times New Roman" w:cs="Times New Roman"/>
                <w:i/>
                <w:iCs/>
                <w:sz w:val="18"/>
                <w:szCs w:val="18"/>
                <w:lang w:eastAsia="lv-LV"/>
              </w:rPr>
              <w:t> </w:t>
            </w:r>
          </w:p>
        </w:tc>
        <w:tc>
          <w:tcPr>
            <w:tcW w:w="859" w:type="pct"/>
            <w:tcBorders>
              <w:top w:val="nil"/>
              <w:left w:val="nil"/>
              <w:bottom w:val="single" w:sz="4" w:space="0" w:color="auto"/>
              <w:right w:val="single" w:sz="4" w:space="0" w:color="auto"/>
            </w:tcBorders>
            <w:shd w:val="clear" w:color="auto" w:fill="DDD9C3"/>
            <w:vAlign w:val="center"/>
            <w:hideMark/>
          </w:tcPr>
          <w:p w14:paraId="2CF71305" w14:textId="77777777" w:rsidR="006A6E4B" w:rsidRPr="004259C7" w:rsidRDefault="006A6E4B" w:rsidP="00CE6E31">
            <w:pPr>
              <w:spacing w:after="0"/>
              <w:jc w:val="center"/>
              <w:rPr>
                <w:rFonts w:eastAsia="Times New Roman" w:cs="Times New Roman"/>
                <w:i/>
                <w:iCs/>
                <w:sz w:val="18"/>
                <w:szCs w:val="18"/>
                <w:lang w:eastAsia="lv-LV"/>
              </w:rPr>
            </w:pPr>
            <w:r w:rsidRPr="004259C7">
              <w:rPr>
                <w:rFonts w:eastAsia="Times New Roman" w:cs="Times New Roman"/>
                <w:i/>
                <w:iCs/>
                <w:sz w:val="18"/>
                <w:szCs w:val="18"/>
                <w:lang w:eastAsia="lv-LV"/>
              </w:rPr>
              <w:t> </w:t>
            </w:r>
          </w:p>
        </w:tc>
        <w:tc>
          <w:tcPr>
            <w:tcW w:w="488" w:type="pct"/>
            <w:tcBorders>
              <w:top w:val="nil"/>
              <w:left w:val="nil"/>
              <w:bottom w:val="single" w:sz="4" w:space="0" w:color="auto"/>
              <w:right w:val="single" w:sz="4" w:space="0" w:color="auto"/>
            </w:tcBorders>
            <w:shd w:val="clear" w:color="auto" w:fill="DDD9C3"/>
            <w:vAlign w:val="center"/>
          </w:tcPr>
          <w:p w14:paraId="2CF71306" w14:textId="77777777" w:rsidR="006A6E4B" w:rsidRPr="004259C7" w:rsidRDefault="00DF1047" w:rsidP="005B0BDC">
            <w:pPr>
              <w:spacing w:after="0"/>
              <w:ind w:firstLine="0"/>
              <w:jc w:val="right"/>
              <w:rPr>
                <w:rFonts w:eastAsia="Times New Roman" w:cs="Times New Roman"/>
                <w:iCs/>
                <w:sz w:val="18"/>
                <w:szCs w:val="18"/>
                <w:lang w:eastAsia="lv-LV"/>
              </w:rPr>
            </w:pPr>
            <w:r w:rsidRPr="004259C7">
              <w:rPr>
                <w:rFonts w:eastAsia="Times New Roman" w:cs="Times New Roman"/>
                <w:iCs/>
                <w:sz w:val="18"/>
                <w:szCs w:val="18"/>
                <w:lang w:eastAsia="lv-LV"/>
              </w:rPr>
              <w:t>3 117 478</w:t>
            </w:r>
          </w:p>
        </w:tc>
        <w:tc>
          <w:tcPr>
            <w:tcW w:w="488" w:type="pct"/>
            <w:tcBorders>
              <w:top w:val="nil"/>
              <w:left w:val="nil"/>
              <w:bottom w:val="single" w:sz="4" w:space="0" w:color="auto"/>
              <w:right w:val="single" w:sz="4" w:space="0" w:color="auto"/>
            </w:tcBorders>
            <w:shd w:val="clear" w:color="auto" w:fill="DDD9C3"/>
            <w:vAlign w:val="center"/>
          </w:tcPr>
          <w:p w14:paraId="2CF71307" w14:textId="77777777" w:rsidR="006A6E4B" w:rsidRPr="004259C7" w:rsidRDefault="00DF1047" w:rsidP="005B0BDC">
            <w:pPr>
              <w:spacing w:after="0"/>
              <w:ind w:firstLine="0"/>
              <w:jc w:val="right"/>
              <w:rPr>
                <w:rFonts w:eastAsia="Times New Roman" w:cs="Times New Roman"/>
                <w:iCs/>
                <w:sz w:val="18"/>
                <w:szCs w:val="18"/>
                <w:lang w:eastAsia="lv-LV"/>
              </w:rPr>
            </w:pPr>
            <w:r w:rsidRPr="004259C7">
              <w:rPr>
                <w:rFonts w:eastAsia="Times New Roman" w:cs="Times New Roman"/>
                <w:iCs/>
                <w:sz w:val="18"/>
                <w:szCs w:val="18"/>
                <w:lang w:eastAsia="lv-LV"/>
              </w:rPr>
              <w:t>3 748 218</w:t>
            </w:r>
          </w:p>
        </w:tc>
        <w:tc>
          <w:tcPr>
            <w:tcW w:w="488" w:type="pct"/>
            <w:tcBorders>
              <w:top w:val="nil"/>
              <w:left w:val="nil"/>
              <w:bottom w:val="single" w:sz="4" w:space="0" w:color="auto"/>
              <w:right w:val="single" w:sz="4" w:space="0" w:color="auto"/>
            </w:tcBorders>
            <w:shd w:val="clear" w:color="auto" w:fill="DDD9C3"/>
            <w:vAlign w:val="center"/>
          </w:tcPr>
          <w:p w14:paraId="2CF71308" w14:textId="77777777" w:rsidR="006A6E4B" w:rsidRPr="004259C7" w:rsidRDefault="00DF1047" w:rsidP="005B0BDC">
            <w:pPr>
              <w:spacing w:after="0"/>
              <w:ind w:firstLine="0"/>
              <w:jc w:val="right"/>
              <w:rPr>
                <w:rFonts w:eastAsia="Times New Roman" w:cs="Times New Roman"/>
                <w:iCs/>
                <w:sz w:val="18"/>
                <w:szCs w:val="18"/>
                <w:lang w:eastAsia="lv-LV"/>
              </w:rPr>
            </w:pPr>
            <w:r w:rsidRPr="004259C7">
              <w:rPr>
                <w:rFonts w:eastAsia="Times New Roman" w:cs="Times New Roman"/>
                <w:iCs/>
                <w:sz w:val="18"/>
                <w:szCs w:val="18"/>
                <w:lang w:eastAsia="lv-LV"/>
              </w:rPr>
              <w:t>3 488 334</w:t>
            </w:r>
          </w:p>
        </w:tc>
        <w:tc>
          <w:tcPr>
            <w:tcW w:w="134" w:type="pct"/>
            <w:tcBorders>
              <w:top w:val="nil"/>
              <w:left w:val="nil"/>
              <w:bottom w:val="single" w:sz="4" w:space="0" w:color="auto"/>
              <w:right w:val="single" w:sz="4" w:space="0" w:color="auto"/>
            </w:tcBorders>
            <w:shd w:val="clear" w:color="auto" w:fill="DDD9C3"/>
            <w:vAlign w:val="center"/>
            <w:hideMark/>
          </w:tcPr>
          <w:p w14:paraId="2CF71309" w14:textId="77777777" w:rsidR="006A6E4B" w:rsidRPr="004259C7" w:rsidRDefault="006A6E4B" w:rsidP="005B0BDC">
            <w:pPr>
              <w:spacing w:after="0"/>
              <w:jc w:val="right"/>
              <w:rPr>
                <w:rFonts w:eastAsia="Times New Roman" w:cs="Times New Roman"/>
                <w:iCs/>
                <w:sz w:val="18"/>
                <w:szCs w:val="18"/>
                <w:lang w:eastAsia="lv-LV"/>
              </w:rPr>
            </w:pPr>
            <w:r w:rsidRPr="004259C7">
              <w:rPr>
                <w:rFonts w:eastAsia="Times New Roman" w:cs="Times New Roman"/>
                <w:iCs/>
                <w:sz w:val="18"/>
                <w:szCs w:val="18"/>
                <w:lang w:eastAsia="lv-LV"/>
              </w:rPr>
              <w:t>0</w:t>
            </w:r>
          </w:p>
        </w:tc>
        <w:tc>
          <w:tcPr>
            <w:tcW w:w="134" w:type="pct"/>
            <w:tcBorders>
              <w:top w:val="nil"/>
              <w:left w:val="nil"/>
              <w:bottom w:val="single" w:sz="4" w:space="0" w:color="auto"/>
              <w:right w:val="single" w:sz="4" w:space="0" w:color="auto"/>
            </w:tcBorders>
            <w:shd w:val="clear" w:color="auto" w:fill="DDD9C3"/>
            <w:vAlign w:val="center"/>
            <w:hideMark/>
          </w:tcPr>
          <w:p w14:paraId="2CF7130A" w14:textId="77777777" w:rsidR="006A6E4B" w:rsidRPr="004259C7" w:rsidRDefault="006A6E4B" w:rsidP="005B0BDC">
            <w:pPr>
              <w:spacing w:after="0"/>
              <w:jc w:val="right"/>
              <w:rPr>
                <w:rFonts w:eastAsia="Times New Roman" w:cs="Times New Roman"/>
                <w:iCs/>
                <w:sz w:val="18"/>
                <w:szCs w:val="18"/>
                <w:lang w:eastAsia="lv-LV"/>
              </w:rPr>
            </w:pPr>
            <w:r w:rsidRPr="004259C7">
              <w:rPr>
                <w:rFonts w:eastAsia="Times New Roman" w:cs="Times New Roman"/>
                <w:iCs/>
                <w:sz w:val="18"/>
                <w:szCs w:val="18"/>
                <w:lang w:eastAsia="lv-LV"/>
              </w:rPr>
              <w:t>0</w:t>
            </w:r>
          </w:p>
        </w:tc>
        <w:tc>
          <w:tcPr>
            <w:tcW w:w="134" w:type="pct"/>
            <w:tcBorders>
              <w:top w:val="nil"/>
              <w:left w:val="nil"/>
              <w:bottom w:val="single" w:sz="4" w:space="0" w:color="auto"/>
              <w:right w:val="single" w:sz="4" w:space="0" w:color="auto"/>
            </w:tcBorders>
            <w:shd w:val="clear" w:color="auto" w:fill="DDD9C3"/>
            <w:vAlign w:val="center"/>
            <w:hideMark/>
          </w:tcPr>
          <w:p w14:paraId="2CF7130B" w14:textId="77777777" w:rsidR="006A6E4B" w:rsidRPr="004259C7" w:rsidRDefault="006A6E4B" w:rsidP="005B0BDC">
            <w:pPr>
              <w:spacing w:after="0"/>
              <w:jc w:val="right"/>
              <w:rPr>
                <w:rFonts w:eastAsia="Times New Roman" w:cs="Times New Roman"/>
                <w:iCs/>
                <w:sz w:val="18"/>
                <w:szCs w:val="18"/>
                <w:lang w:eastAsia="lv-LV"/>
              </w:rPr>
            </w:pPr>
            <w:r w:rsidRPr="004259C7">
              <w:rPr>
                <w:rFonts w:eastAsia="Times New Roman" w:cs="Times New Roman"/>
                <w:iCs/>
                <w:sz w:val="18"/>
                <w:szCs w:val="18"/>
                <w:lang w:eastAsia="lv-LV"/>
              </w:rPr>
              <w:t>0</w:t>
            </w:r>
          </w:p>
        </w:tc>
        <w:tc>
          <w:tcPr>
            <w:tcW w:w="481" w:type="pct"/>
            <w:tcBorders>
              <w:top w:val="nil"/>
              <w:left w:val="nil"/>
              <w:bottom w:val="single" w:sz="4" w:space="0" w:color="auto"/>
              <w:right w:val="single" w:sz="4" w:space="0" w:color="auto"/>
            </w:tcBorders>
            <w:shd w:val="clear" w:color="auto" w:fill="DDD9C3"/>
            <w:vAlign w:val="center"/>
            <w:hideMark/>
          </w:tcPr>
          <w:p w14:paraId="2CF7130C" w14:textId="77777777" w:rsidR="006A6E4B" w:rsidRPr="004259C7" w:rsidRDefault="006A6E4B" w:rsidP="005B0BDC">
            <w:pPr>
              <w:spacing w:after="0"/>
              <w:jc w:val="right"/>
              <w:rPr>
                <w:rFonts w:eastAsia="Times New Roman" w:cs="Times New Roman"/>
                <w:iCs/>
                <w:sz w:val="18"/>
                <w:szCs w:val="18"/>
                <w:lang w:eastAsia="lv-LV"/>
              </w:rPr>
            </w:pPr>
            <w:r w:rsidRPr="004259C7">
              <w:rPr>
                <w:rFonts w:eastAsia="Times New Roman" w:cs="Times New Roman"/>
                <w:iCs/>
                <w:sz w:val="18"/>
                <w:szCs w:val="18"/>
                <w:lang w:eastAsia="lv-LV"/>
              </w:rPr>
              <w:t>0</w:t>
            </w:r>
          </w:p>
        </w:tc>
        <w:tc>
          <w:tcPr>
            <w:tcW w:w="482" w:type="pct"/>
            <w:tcBorders>
              <w:top w:val="nil"/>
              <w:left w:val="nil"/>
              <w:bottom w:val="single" w:sz="4" w:space="0" w:color="auto"/>
              <w:right w:val="single" w:sz="4" w:space="0" w:color="auto"/>
            </w:tcBorders>
            <w:shd w:val="clear" w:color="auto" w:fill="DDD9C3"/>
            <w:vAlign w:val="center"/>
            <w:hideMark/>
          </w:tcPr>
          <w:p w14:paraId="2CF7130D" w14:textId="77777777" w:rsidR="006A6E4B" w:rsidRPr="004259C7" w:rsidRDefault="006A6E4B" w:rsidP="005B0BDC">
            <w:pPr>
              <w:spacing w:after="0"/>
              <w:jc w:val="right"/>
              <w:rPr>
                <w:rFonts w:eastAsia="Times New Roman" w:cs="Times New Roman"/>
                <w:iCs/>
                <w:sz w:val="18"/>
                <w:szCs w:val="18"/>
                <w:lang w:eastAsia="lv-LV"/>
              </w:rPr>
            </w:pPr>
            <w:r w:rsidRPr="004259C7">
              <w:rPr>
                <w:rFonts w:eastAsia="Times New Roman" w:cs="Times New Roman"/>
                <w:iCs/>
                <w:sz w:val="18"/>
                <w:szCs w:val="18"/>
                <w:lang w:eastAsia="lv-LV"/>
              </w:rPr>
              <w:t>0</w:t>
            </w:r>
          </w:p>
        </w:tc>
        <w:tc>
          <w:tcPr>
            <w:tcW w:w="403" w:type="pct"/>
            <w:tcBorders>
              <w:top w:val="nil"/>
              <w:left w:val="nil"/>
              <w:bottom w:val="single" w:sz="4" w:space="0" w:color="auto"/>
              <w:right w:val="single" w:sz="4" w:space="0" w:color="auto"/>
            </w:tcBorders>
            <w:shd w:val="clear" w:color="auto" w:fill="DDD9C3"/>
            <w:vAlign w:val="center"/>
            <w:hideMark/>
          </w:tcPr>
          <w:p w14:paraId="2CF7130E" w14:textId="77777777" w:rsidR="006A6E4B" w:rsidRPr="004259C7" w:rsidRDefault="006A6E4B" w:rsidP="005B0BDC">
            <w:pPr>
              <w:spacing w:after="0"/>
              <w:jc w:val="right"/>
              <w:rPr>
                <w:rFonts w:eastAsia="Times New Roman" w:cs="Times New Roman"/>
                <w:iCs/>
                <w:sz w:val="18"/>
                <w:szCs w:val="18"/>
                <w:lang w:eastAsia="lv-LV"/>
              </w:rPr>
            </w:pPr>
            <w:r w:rsidRPr="004259C7">
              <w:rPr>
                <w:rFonts w:eastAsia="Times New Roman" w:cs="Times New Roman"/>
                <w:iCs/>
                <w:sz w:val="18"/>
                <w:szCs w:val="18"/>
                <w:lang w:eastAsia="lv-LV"/>
              </w:rPr>
              <w:t>0</w:t>
            </w:r>
          </w:p>
        </w:tc>
      </w:tr>
      <w:tr w:rsidR="004259C7" w:rsidRPr="004259C7" w14:paraId="2CF7131C" w14:textId="77777777" w:rsidTr="005B0BDC">
        <w:trPr>
          <w:trHeight w:val="312"/>
        </w:trPr>
        <w:tc>
          <w:tcPr>
            <w:tcW w:w="505" w:type="pct"/>
            <w:tcBorders>
              <w:top w:val="single" w:sz="4" w:space="0" w:color="auto"/>
              <w:left w:val="single" w:sz="4" w:space="0" w:color="auto"/>
              <w:bottom w:val="single" w:sz="4" w:space="0" w:color="auto"/>
              <w:right w:val="nil"/>
            </w:tcBorders>
            <w:shd w:val="clear" w:color="auto" w:fill="EEECE1"/>
            <w:noWrap/>
            <w:hideMark/>
          </w:tcPr>
          <w:p w14:paraId="2CF71310" w14:textId="77777777" w:rsidR="006A6E4B" w:rsidRPr="004259C7" w:rsidRDefault="006A6E4B" w:rsidP="00CE6E31">
            <w:pPr>
              <w:spacing w:after="0"/>
              <w:ind w:firstLine="0"/>
              <w:rPr>
                <w:rFonts w:eastAsia="Times New Roman" w:cs="Times New Roman"/>
                <w:sz w:val="20"/>
                <w:szCs w:val="20"/>
                <w:lang w:eastAsia="lv-LV"/>
              </w:rPr>
            </w:pPr>
            <w:r w:rsidRPr="004259C7">
              <w:rPr>
                <w:rFonts w:eastAsia="Times New Roman" w:cs="Times New Roman"/>
                <w:sz w:val="20"/>
                <w:szCs w:val="20"/>
                <w:lang w:eastAsia="lv-LV"/>
              </w:rPr>
              <w:t xml:space="preserve">Risinājums </w:t>
            </w:r>
          </w:p>
        </w:tc>
        <w:tc>
          <w:tcPr>
            <w:tcW w:w="404" w:type="pct"/>
            <w:tcBorders>
              <w:top w:val="single" w:sz="4" w:space="0" w:color="auto"/>
              <w:left w:val="single" w:sz="4" w:space="0" w:color="auto"/>
              <w:bottom w:val="single" w:sz="4" w:space="0" w:color="auto"/>
              <w:right w:val="single" w:sz="4" w:space="0" w:color="auto"/>
            </w:tcBorders>
            <w:shd w:val="clear" w:color="auto" w:fill="EEECE1"/>
            <w:hideMark/>
          </w:tcPr>
          <w:p w14:paraId="2CF71311" w14:textId="77777777" w:rsidR="006A6E4B" w:rsidRPr="004259C7" w:rsidRDefault="006A6E4B" w:rsidP="00CE6E31">
            <w:pPr>
              <w:spacing w:after="0"/>
              <w:rPr>
                <w:rFonts w:eastAsia="Times New Roman" w:cs="Times New Roman"/>
                <w:sz w:val="20"/>
                <w:szCs w:val="20"/>
                <w:lang w:eastAsia="lv-LV"/>
              </w:rPr>
            </w:pPr>
            <w:r w:rsidRPr="004259C7">
              <w:rPr>
                <w:rFonts w:eastAsia="Times New Roman" w:cs="Times New Roman"/>
                <w:sz w:val="20"/>
                <w:szCs w:val="20"/>
                <w:lang w:eastAsia="lv-LV"/>
              </w:rPr>
              <w:t> </w:t>
            </w:r>
          </w:p>
        </w:tc>
        <w:tc>
          <w:tcPr>
            <w:tcW w:w="859" w:type="pct"/>
            <w:tcBorders>
              <w:top w:val="single" w:sz="4" w:space="0" w:color="auto"/>
              <w:left w:val="nil"/>
              <w:bottom w:val="single" w:sz="4" w:space="0" w:color="auto"/>
              <w:right w:val="nil"/>
            </w:tcBorders>
            <w:shd w:val="clear" w:color="auto" w:fill="EEECE1"/>
            <w:hideMark/>
          </w:tcPr>
          <w:p w14:paraId="2CF71312" w14:textId="77777777" w:rsidR="006A6E4B" w:rsidRPr="004259C7" w:rsidRDefault="006A6E4B" w:rsidP="00CE6E31">
            <w:pPr>
              <w:spacing w:after="0"/>
              <w:rPr>
                <w:rFonts w:eastAsia="Times New Roman" w:cs="Times New Roman"/>
                <w:sz w:val="20"/>
                <w:szCs w:val="20"/>
                <w:lang w:eastAsia="lv-LV"/>
              </w:rPr>
            </w:pPr>
            <w:r w:rsidRPr="004259C7">
              <w:rPr>
                <w:rFonts w:eastAsia="Times New Roman" w:cs="Times New Roman"/>
                <w:sz w:val="20"/>
                <w:szCs w:val="20"/>
                <w:lang w:eastAsia="lv-LV"/>
              </w:rPr>
              <w:t> </w:t>
            </w:r>
          </w:p>
        </w:tc>
        <w:tc>
          <w:tcPr>
            <w:tcW w:w="488" w:type="pct"/>
            <w:tcBorders>
              <w:top w:val="single" w:sz="4" w:space="0" w:color="auto"/>
              <w:left w:val="single" w:sz="4" w:space="0" w:color="auto"/>
              <w:bottom w:val="single" w:sz="4" w:space="0" w:color="auto"/>
              <w:right w:val="single" w:sz="4" w:space="0" w:color="auto"/>
            </w:tcBorders>
            <w:shd w:val="clear" w:color="auto" w:fill="EEECE1"/>
            <w:noWrap/>
            <w:vAlign w:val="center"/>
          </w:tcPr>
          <w:p w14:paraId="2CF71313"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3 117 478</w:t>
            </w:r>
          </w:p>
        </w:tc>
        <w:tc>
          <w:tcPr>
            <w:tcW w:w="488" w:type="pct"/>
            <w:tcBorders>
              <w:top w:val="single" w:sz="4" w:space="0" w:color="auto"/>
              <w:left w:val="nil"/>
              <w:bottom w:val="single" w:sz="4" w:space="0" w:color="auto"/>
              <w:right w:val="single" w:sz="4" w:space="0" w:color="auto"/>
            </w:tcBorders>
            <w:shd w:val="clear" w:color="auto" w:fill="EEECE1"/>
            <w:noWrap/>
            <w:vAlign w:val="center"/>
          </w:tcPr>
          <w:p w14:paraId="2CF71314" w14:textId="77777777" w:rsidR="006A6E4B" w:rsidRPr="004259C7" w:rsidRDefault="000C3306"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3 748 218</w:t>
            </w:r>
          </w:p>
        </w:tc>
        <w:tc>
          <w:tcPr>
            <w:tcW w:w="488" w:type="pct"/>
            <w:tcBorders>
              <w:top w:val="single" w:sz="4" w:space="0" w:color="auto"/>
              <w:left w:val="nil"/>
              <w:bottom w:val="single" w:sz="4" w:space="0" w:color="auto"/>
              <w:right w:val="single" w:sz="4" w:space="0" w:color="auto"/>
            </w:tcBorders>
            <w:shd w:val="clear" w:color="auto" w:fill="EEECE1"/>
            <w:noWrap/>
            <w:vAlign w:val="center"/>
          </w:tcPr>
          <w:p w14:paraId="2CF71315"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3 488 334</w:t>
            </w:r>
          </w:p>
        </w:tc>
        <w:tc>
          <w:tcPr>
            <w:tcW w:w="134" w:type="pct"/>
            <w:tcBorders>
              <w:top w:val="single" w:sz="4" w:space="0" w:color="auto"/>
              <w:left w:val="nil"/>
              <w:bottom w:val="single" w:sz="4" w:space="0" w:color="auto"/>
              <w:right w:val="single" w:sz="4" w:space="0" w:color="auto"/>
            </w:tcBorders>
            <w:shd w:val="clear" w:color="auto" w:fill="EEECE1"/>
            <w:noWrap/>
            <w:vAlign w:val="center"/>
            <w:hideMark/>
          </w:tcPr>
          <w:p w14:paraId="2CF71316"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134" w:type="pct"/>
            <w:tcBorders>
              <w:top w:val="single" w:sz="4" w:space="0" w:color="auto"/>
              <w:left w:val="nil"/>
              <w:bottom w:val="single" w:sz="4" w:space="0" w:color="auto"/>
              <w:right w:val="single" w:sz="4" w:space="0" w:color="auto"/>
            </w:tcBorders>
            <w:shd w:val="clear" w:color="auto" w:fill="EEECE1"/>
            <w:noWrap/>
            <w:vAlign w:val="center"/>
            <w:hideMark/>
          </w:tcPr>
          <w:p w14:paraId="2CF71317"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134" w:type="pct"/>
            <w:tcBorders>
              <w:top w:val="single" w:sz="4" w:space="0" w:color="auto"/>
              <w:left w:val="nil"/>
              <w:bottom w:val="single" w:sz="4" w:space="0" w:color="auto"/>
              <w:right w:val="single" w:sz="4" w:space="0" w:color="auto"/>
            </w:tcBorders>
            <w:shd w:val="clear" w:color="auto" w:fill="EEECE1"/>
            <w:noWrap/>
            <w:vAlign w:val="center"/>
            <w:hideMark/>
          </w:tcPr>
          <w:p w14:paraId="2CF71318"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1" w:type="pct"/>
            <w:tcBorders>
              <w:top w:val="single" w:sz="4" w:space="0" w:color="auto"/>
              <w:left w:val="nil"/>
              <w:bottom w:val="single" w:sz="4" w:space="0" w:color="auto"/>
              <w:right w:val="single" w:sz="4" w:space="0" w:color="auto"/>
            </w:tcBorders>
            <w:shd w:val="clear" w:color="auto" w:fill="EEECE1"/>
            <w:noWrap/>
            <w:vAlign w:val="center"/>
            <w:hideMark/>
          </w:tcPr>
          <w:p w14:paraId="2CF71319"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2" w:type="pct"/>
            <w:tcBorders>
              <w:top w:val="single" w:sz="4" w:space="0" w:color="auto"/>
              <w:left w:val="nil"/>
              <w:bottom w:val="single" w:sz="4" w:space="0" w:color="auto"/>
              <w:right w:val="single" w:sz="4" w:space="0" w:color="auto"/>
            </w:tcBorders>
            <w:shd w:val="clear" w:color="auto" w:fill="EEECE1"/>
            <w:noWrap/>
            <w:vAlign w:val="center"/>
            <w:hideMark/>
          </w:tcPr>
          <w:p w14:paraId="2CF7131A"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03" w:type="pct"/>
            <w:tcBorders>
              <w:top w:val="single" w:sz="4" w:space="0" w:color="auto"/>
              <w:left w:val="nil"/>
              <w:bottom w:val="single" w:sz="4" w:space="0" w:color="auto"/>
              <w:right w:val="single" w:sz="4" w:space="0" w:color="auto"/>
            </w:tcBorders>
            <w:shd w:val="clear" w:color="auto" w:fill="EEECE1"/>
            <w:noWrap/>
            <w:vAlign w:val="center"/>
            <w:hideMark/>
          </w:tcPr>
          <w:p w14:paraId="2CF7131B"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r>
      <w:tr w:rsidR="004259C7" w:rsidRPr="004259C7" w14:paraId="2CF71329" w14:textId="77777777" w:rsidTr="005B0BDC">
        <w:trPr>
          <w:trHeight w:val="312"/>
        </w:trPr>
        <w:tc>
          <w:tcPr>
            <w:tcW w:w="505" w:type="pct"/>
            <w:tcBorders>
              <w:top w:val="nil"/>
              <w:left w:val="single" w:sz="4" w:space="0" w:color="auto"/>
              <w:bottom w:val="single" w:sz="4" w:space="0" w:color="auto"/>
              <w:right w:val="nil"/>
            </w:tcBorders>
            <w:shd w:val="clear" w:color="auto" w:fill="auto"/>
            <w:hideMark/>
          </w:tcPr>
          <w:p w14:paraId="2CF7131D" w14:textId="77777777" w:rsidR="006A6E4B" w:rsidRPr="004259C7" w:rsidRDefault="006A6E4B" w:rsidP="00CE6E31">
            <w:pPr>
              <w:spacing w:after="0"/>
              <w:jc w:val="center"/>
              <w:rPr>
                <w:rFonts w:eastAsia="Times New Roman" w:cs="Times New Roman"/>
                <w:sz w:val="20"/>
                <w:szCs w:val="20"/>
                <w:lang w:eastAsia="lv-LV"/>
              </w:rPr>
            </w:pPr>
            <w:r w:rsidRPr="004259C7">
              <w:rPr>
                <w:rFonts w:eastAsia="Times New Roman" w:cs="Times New Roman"/>
                <w:sz w:val="20"/>
                <w:szCs w:val="20"/>
                <w:lang w:eastAsia="lv-LV"/>
              </w:rPr>
              <w:t> </w:t>
            </w:r>
          </w:p>
        </w:tc>
        <w:tc>
          <w:tcPr>
            <w:tcW w:w="404" w:type="pct"/>
            <w:tcBorders>
              <w:top w:val="nil"/>
              <w:left w:val="single" w:sz="4" w:space="0" w:color="auto"/>
              <w:bottom w:val="single" w:sz="4" w:space="0" w:color="auto"/>
              <w:right w:val="single" w:sz="4" w:space="0" w:color="auto"/>
            </w:tcBorders>
            <w:shd w:val="clear" w:color="auto" w:fill="auto"/>
            <w:hideMark/>
          </w:tcPr>
          <w:p w14:paraId="2CF7131E" w14:textId="77777777" w:rsidR="006A6E4B" w:rsidRPr="004259C7" w:rsidRDefault="006A6E4B" w:rsidP="00CE6E31">
            <w:pPr>
              <w:spacing w:after="0"/>
              <w:ind w:firstLine="0"/>
              <w:rPr>
                <w:rFonts w:eastAsia="Times New Roman" w:cs="Times New Roman"/>
                <w:sz w:val="20"/>
                <w:szCs w:val="20"/>
                <w:lang w:eastAsia="lv-LV"/>
              </w:rPr>
            </w:pPr>
            <w:r w:rsidRPr="004259C7">
              <w:rPr>
                <w:rFonts w:eastAsia="Times New Roman" w:cs="Times New Roman"/>
                <w:sz w:val="20"/>
                <w:szCs w:val="20"/>
                <w:lang w:eastAsia="lv-LV"/>
              </w:rPr>
              <w:t>10. Aizsardzības ministrija</w:t>
            </w:r>
          </w:p>
        </w:tc>
        <w:tc>
          <w:tcPr>
            <w:tcW w:w="859" w:type="pct"/>
            <w:tcBorders>
              <w:top w:val="nil"/>
              <w:left w:val="nil"/>
              <w:bottom w:val="single" w:sz="4" w:space="0" w:color="auto"/>
              <w:right w:val="nil"/>
            </w:tcBorders>
            <w:shd w:val="clear" w:color="auto" w:fill="auto"/>
            <w:hideMark/>
          </w:tcPr>
          <w:p w14:paraId="2CF7131F" w14:textId="77777777" w:rsidR="006A6E4B" w:rsidRPr="004259C7" w:rsidRDefault="006A6E4B" w:rsidP="00CE6E31">
            <w:pPr>
              <w:spacing w:after="0"/>
              <w:jc w:val="center"/>
              <w:rPr>
                <w:rFonts w:eastAsia="Times New Roman" w:cs="Times New Roman"/>
                <w:sz w:val="20"/>
                <w:szCs w:val="20"/>
                <w:lang w:eastAsia="lv-LV"/>
              </w:rPr>
            </w:pPr>
            <w:r w:rsidRPr="004259C7">
              <w:rPr>
                <w:rFonts w:eastAsia="Times New Roman" w:cs="Times New Roman"/>
                <w:sz w:val="20"/>
                <w:szCs w:val="20"/>
                <w:lang w:eastAsia="lv-LV"/>
              </w:rPr>
              <w:t> </w:t>
            </w:r>
          </w:p>
        </w:tc>
        <w:tc>
          <w:tcPr>
            <w:tcW w:w="488" w:type="pct"/>
            <w:tcBorders>
              <w:top w:val="nil"/>
              <w:left w:val="single" w:sz="4" w:space="0" w:color="auto"/>
              <w:bottom w:val="single" w:sz="4" w:space="0" w:color="auto"/>
              <w:right w:val="single" w:sz="4" w:space="0" w:color="auto"/>
            </w:tcBorders>
            <w:shd w:val="clear" w:color="auto" w:fill="auto"/>
            <w:noWrap/>
            <w:vAlign w:val="center"/>
            <w:hideMark/>
          </w:tcPr>
          <w:p w14:paraId="2CF71320" w14:textId="77777777" w:rsidR="006A6E4B" w:rsidRPr="004259C7" w:rsidRDefault="001405ED"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w:t>
            </w:r>
            <w:r w:rsidR="00DF1047" w:rsidRPr="004259C7">
              <w:rPr>
                <w:rFonts w:eastAsia="Times New Roman" w:cs="Times New Roman"/>
                <w:sz w:val="20"/>
                <w:szCs w:val="20"/>
                <w:lang w:eastAsia="lv-LV"/>
              </w:rPr>
              <w:t>117</w:t>
            </w:r>
            <w:r w:rsidRPr="004259C7">
              <w:rPr>
                <w:rFonts w:eastAsia="Times New Roman" w:cs="Times New Roman"/>
                <w:sz w:val="20"/>
                <w:szCs w:val="20"/>
                <w:lang w:eastAsia="lv-LV"/>
              </w:rPr>
              <w:t xml:space="preserve"> </w:t>
            </w:r>
            <w:r w:rsidR="00DF1047" w:rsidRPr="004259C7">
              <w:rPr>
                <w:rFonts w:eastAsia="Times New Roman" w:cs="Times New Roman"/>
                <w:sz w:val="20"/>
                <w:szCs w:val="20"/>
                <w:lang w:eastAsia="lv-LV"/>
              </w:rPr>
              <w:t>47</w:t>
            </w:r>
            <w:r w:rsidRPr="004259C7">
              <w:rPr>
                <w:rFonts w:eastAsia="Times New Roman" w:cs="Times New Roman"/>
                <w:sz w:val="20"/>
                <w:szCs w:val="20"/>
                <w:lang w:eastAsia="lv-LV"/>
              </w:rPr>
              <w:t>8</w:t>
            </w:r>
          </w:p>
        </w:tc>
        <w:tc>
          <w:tcPr>
            <w:tcW w:w="488" w:type="pct"/>
            <w:tcBorders>
              <w:top w:val="nil"/>
              <w:left w:val="nil"/>
              <w:bottom w:val="single" w:sz="4" w:space="0" w:color="auto"/>
              <w:right w:val="single" w:sz="4" w:space="0" w:color="auto"/>
            </w:tcBorders>
            <w:shd w:val="clear" w:color="auto" w:fill="auto"/>
            <w:noWrap/>
            <w:vAlign w:val="center"/>
            <w:hideMark/>
          </w:tcPr>
          <w:p w14:paraId="2CF71321" w14:textId="77777777" w:rsidR="006A6E4B" w:rsidRPr="004259C7" w:rsidRDefault="001405ED"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3 748 218</w:t>
            </w:r>
          </w:p>
        </w:tc>
        <w:tc>
          <w:tcPr>
            <w:tcW w:w="488" w:type="pct"/>
            <w:tcBorders>
              <w:top w:val="nil"/>
              <w:left w:val="nil"/>
              <w:bottom w:val="single" w:sz="4" w:space="0" w:color="auto"/>
              <w:right w:val="single" w:sz="4" w:space="0" w:color="auto"/>
            </w:tcBorders>
            <w:shd w:val="clear" w:color="auto" w:fill="auto"/>
            <w:noWrap/>
            <w:vAlign w:val="center"/>
            <w:hideMark/>
          </w:tcPr>
          <w:p w14:paraId="2CF71322"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3 488 334</w:t>
            </w:r>
          </w:p>
        </w:tc>
        <w:tc>
          <w:tcPr>
            <w:tcW w:w="134" w:type="pct"/>
            <w:tcBorders>
              <w:top w:val="nil"/>
              <w:left w:val="nil"/>
              <w:bottom w:val="single" w:sz="4" w:space="0" w:color="auto"/>
              <w:right w:val="single" w:sz="4" w:space="0" w:color="auto"/>
            </w:tcBorders>
            <w:shd w:val="clear" w:color="auto" w:fill="auto"/>
            <w:noWrap/>
            <w:vAlign w:val="center"/>
            <w:hideMark/>
          </w:tcPr>
          <w:p w14:paraId="2CF71323"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134" w:type="pct"/>
            <w:tcBorders>
              <w:top w:val="nil"/>
              <w:left w:val="nil"/>
              <w:bottom w:val="single" w:sz="4" w:space="0" w:color="auto"/>
              <w:right w:val="single" w:sz="4" w:space="0" w:color="auto"/>
            </w:tcBorders>
            <w:shd w:val="clear" w:color="auto" w:fill="auto"/>
            <w:noWrap/>
            <w:vAlign w:val="center"/>
            <w:hideMark/>
          </w:tcPr>
          <w:p w14:paraId="2CF71324"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134" w:type="pct"/>
            <w:tcBorders>
              <w:top w:val="nil"/>
              <w:left w:val="nil"/>
              <w:bottom w:val="single" w:sz="4" w:space="0" w:color="auto"/>
              <w:right w:val="single" w:sz="4" w:space="0" w:color="auto"/>
            </w:tcBorders>
            <w:shd w:val="clear" w:color="auto" w:fill="auto"/>
            <w:noWrap/>
            <w:vAlign w:val="center"/>
            <w:hideMark/>
          </w:tcPr>
          <w:p w14:paraId="2CF71325"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1" w:type="pct"/>
            <w:tcBorders>
              <w:top w:val="nil"/>
              <w:left w:val="nil"/>
              <w:bottom w:val="single" w:sz="4" w:space="0" w:color="auto"/>
              <w:right w:val="single" w:sz="4" w:space="0" w:color="auto"/>
            </w:tcBorders>
            <w:shd w:val="clear" w:color="auto" w:fill="auto"/>
            <w:noWrap/>
            <w:vAlign w:val="center"/>
            <w:hideMark/>
          </w:tcPr>
          <w:p w14:paraId="2CF71326"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2" w:type="pct"/>
            <w:tcBorders>
              <w:top w:val="nil"/>
              <w:left w:val="nil"/>
              <w:bottom w:val="single" w:sz="4" w:space="0" w:color="auto"/>
              <w:right w:val="single" w:sz="4" w:space="0" w:color="auto"/>
            </w:tcBorders>
            <w:shd w:val="clear" w:color="auto" w:fill="auto"/>
            <w:noWrap/>
            <w:vAlign w:val="center"/>
            <w:hideMark/>
          </w:tcPr>
          <w:p w14:paraId="2CF71327"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03" w:type="pct"/>
            <w:tcBorders>
              <w:top w:val="nil"/>
              <w:left w:val="nil"/>
              <w:bottom w:val="single" w:sz="4" w:space="0" w:color="auto"/>
              <w:right w:val="single" w:sz="4" w:space="0" w:color="auto"/>
            </w:tcBorders>
            <w:shd w:val="clear" w:color="auto" w:fill="auto"/>
            <w:noWrap/>
            <w:vAlign w:val="center"/>
            <w:hideMark/>
          </w:tcPr>
          <w:p w14:paraId="2CF71328"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0</w:t>
            </w:r>
          </w:p>
        </w:tc>
      </w:tr>
      <w:tr w:rsidR="004259C7" w:rsidRPr="004259C7" w14:paraId="2CF71336" w14:textId="77777777" w:rsidTr="00AF56E8">
        <w:trPr>
          <w:trHeight w:val="312"/>
        </w:trPr>
        <w:tc>
          <w:tcPr>
            <w:tcW w:w="505" w:type="pct"/>
            <w:tcBorders>
              <w:top w:val="single" w:sz="4" w:space="0" w:color="auto"/>
              <w:left w:val="single" w:sz="4" w:space="0" w:color="auto"/>
              <w:bottom w:val="nil"/>
              <w:right w:val="nil"/>
            </w:tcBorders>
            <w:shd w:val="clear" w:color="auto" w:fill="auto"/>
            <w:hideMark/>
          </w:tcPr>
          <w:p w14:paraId="2CF7132A" w14:textId="77777777" w:rsidR="006A6E4B" w:rsidRPr="004259C7" w:rsidRDefault="006A6E4B" w:rsidP="00CE6E31">
            <w:pPr>
              <w:spacing w:after="0"/>
              <w:jc w:val="center"/>
              <w:rPr>
                <w:rFonts w:eastAsia="Times New Roman" w:cs="Times New Roman"/>
                <w:sz w:val="20"/>
                <w:szCs w:val="20"/>
                <w:lang w:eastAsia="lv-LV"/>
              </w:rPr>
            </w:pPr>
            <w:r w:rsidRPr="004259C7">
              <w:rPr>
                <w:rFonts w:eastAsia="Times New Roman" w:cs="Times New Roman"/>
                <w:sz w:val="20"/>
                <w:szCs w:val="20"/>
                <w:lang w:eastAsia="lv-LV"/>
              </w:rPr>
              <w:t> </w:t>
            </w:r>
          </w:p>
        </w:tc>
        <w:tc>
          <w:tcPr>
            <w:tcW w:w="404" w:type="pct"/>
            <w:tcBorders>
              <w:top w:val="single" w:sz="4" w:space="0" w:color="auto"/>
              <w:left w:val="single" w:sz="4" w:space="0" w:color="auto"/>
              <w:bottom w:val="nil"/>
              <w:right w:val="nil"/>
            </w:tcBorders>
            <w:shd w:val="clear" w:color="auto" w:fill="auto"/>
            <w:hideMark/>
          </w:tcPr>
          <w:p w14:paraId="2CF7132B" w14:textId="77777777" w:rsidR="006A6E4B" w:rsidRPr="004259C7" w:rsidRDefault="006A6E4B" w:rsidP="00CE6E31">
            <w:pPr>
              <w:spacing w:after="0"/>
              <w:jc w:val="center"/>
              <w:rPr>
                <w:rFonts w:eastAsia="Times New Roman" w:cs="Times New Roman"/>
                <w:sz w:val="20"/>
                <w:szCs w:val="20"/>
                <w:lang w:eastAsia="lv-LV"/>
              </w:rPr>
            </w:pPr>
            <w:r w:rsidRPr="004259C7">
              <w:rPr>
                <w:rFonts w:eastAsia="Times New Roman" w:cs="Times New Roman"/>
                <w:sz w:val="20"/>
                <w:szCs w:val="20"/>
                <w:lang w:eastAsia="lv-LV"/>
              </w:rPr>
              <w:t> </w:t>
            </w:r>
          </w:p>
        </w:tc>
        <w:tc>
          <w:tcPr>
            <w:tcW w:w="859" w:type="pct"/>
            <w:tcBorders>
              <w:top w:val="single" w:sz="4" w:space="0" w:color="auto"/>
              <w:left w:val="single" w:sz="4" w:space="0" w:color="auto"/>
              <w:bottom w:val="nil"/>
              <w:right w:val="nil"/>
            </w:tcBorders>
            <w:shd w:val="clear" w:color="auto" w:fill="auto"/>
            <w:vAlign w:val="center"/>
            <w:hideMark/>
          </w:tcPr>
          <w:p w14:paraId="2CF7132C" w14:textId="77777777" w:rsidR="006A6E4B" w:rsidRPr="004259C7" w:rsidRDefault="006A6E4B" w:rsidP="00AF56E8">
            <w:pPr>
              <w:spacing w:after="0"/>
              <w:ind w:firstLine="0"/>
              <w:jc w:val="left"/>
              <w:rPr>
                <w:rFonts w:eastAsia="Times New Roman" w:cs="Times New Roman"/>
                <w:sz w:val="20"/>
                <w:szCs w:val="20"/>
                <w:lang w:eastAsia="lv-LV"/>
              </w:rPr>
            </w:pPr>
            <w:r w:rsidRPr="004259C7">
              <w:rPr>
                <w:rFonts w:eastAsia="Times New Roman" w:cs="Times New Roman"/>
                <w:sz w:val="20"/>
                <w:szCs w:val="20"/>
                <w:lang w:eastAsia="lv-LV"/>
              </w:rPr>
              <w:t>33.00.00. “Aizsardzības īpašumu pārvaldīšana”</w:t>
            </w:r>
          </w:p>
        </w:tc>
        <w:tc>
          <w:tcPr>
            <w:tcW w:w="488" w:type="pct"/>
            <w:tcBorders>
              <w:top w:val="single" w:sz="4" w:space="0" w:color="auto"/>
              <w:left w:val="single" w:sz="4" w:space="0" w:color="auto"/>
              <w:bottom w:val="nil"/>
              <w:right w:val="single" w:sz="4" w:space="0" w:color="auto"/>
            </w:tcBorders>
            <w:shd w:val="clear" w:color="auto" w:fill="auto"/>
            <w:noWrap/>
            <w:vAlign w:val="center"/>
            <w:hideMark/>
          </w:tcPr>
          <w:p w14:paraId="2CF7132D" w14:textId="77777777" w:rsidR="006A6E4B" w:rsidRPr="004259C7" w:rsidRDefault="006A6E4B"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2 126 375</w:t>
            </w:r>
          </w:p>
        </w:tc>
        <w:tc>
          <w:tcPr>
            <w:tcW w:w="488" w:type="pct"/>
            <w:tcBorders>
              <w:top w:val="single" w:sz="4" w:space="0" w:color="auto"/>
              <w:left w:val="nil"/>
              <w:bottom w:val="nil"/>
              <w:right w:val="single" w:sz="4" w:space="0" w:color="auto"/>
            </w:tcBorders>
            <w:shd w:val="clear" w:color="auto" w:fill="auto"/>
            <w:noWrap/>
            <w:vAlign w:val="center"/>
          </w:tcPr>
          <w:p w14:paraId="2CF7132E" w14:textId="77777777" w:rsidR="006A6E4B" w:rsidRPr="004259C7" w:rsidRDefault="001405ED"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8" w:type="pct"/>
            <w:tcBorders>
              <w:top w:val="single" w:sz="4" w:space="0" w:color="auto"/>
              <w:left w:val="nil"/>
              <w:bottom w:val="nil"/>
              <w:right w:val="single" w:sz="4" w:space="0" w:color="auto"/>
            </w:tcBorders>
            <w:shd w:val="clear" w:color="auto" w:fill="auto"/>
            <w:noWrap/>
            <w:vAlign w:val="center"/>
          </w:tcPr>
          <w:p w14:paraId="2CF7132F" w14:textId="77777777" w:rsidR="006A6E4B" w:rsidRPr="004259C7" w:rsidRDefault="001405ED"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134" w:type="pct"/>
            <w:tcBorders>
              <w:top w:val="single" w:sz="4" w:space="0" w:color="auto"/>
              <w:left w:val="nil"/>
              <w:bottom w:val="nil"/>
              <w:right w:val="single" w:sz="4" w:space="0" w:color="auto"/>
            </w:tcBorders>
            <w:shd w:val="clear" w:color="auto" w:fill="auto"/>
            <w:noWrap/>
            <w:vAlign w:val="center"/>
            <w:hideMark/>
          </w:tcPr>
          <w:p w14:paraId="2CF71330"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 </w:t>
            </w:r>
          </w:p>
        </w:tc>
        <w:tc>
          <w:tcPr>
            <w:tcW w:w="134" w:type="pct"/>
            <w:tcBorders>
              <w:top w:val="single" w:sz="4" w:space="0" w:color="auto"/>
              <w:left w:val="nil"/>
              <w:bottom w:val="nil"/>
              <w:right w:val="single" w:sz="4" w:space="0" w:color="auto"/>
            </w:tcBorders>
            <w:shd w:val="clear" w:color="auto" w:fill="auto"/>
            <w:noWrap/>
            <w:vAlign w:val="center"/>
            <w:hideMark/>
          </w:tcPr>
          <w:p w14:paraId="2CF71331"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 </w:t>
            </w:r>
          </w:p>
        </w:tc>
        <w:tc>
          <w:tcPr>
            <w:tcW w:w="134" w:type="pct"/>
            <w:tcBorders>
              <w:top w:val="single" w:sz="4" w:space="0" w:color="auto"/>
              <w:left w:val="nil"/>
              <w:bottom w:val="nil"/>
              <w:right w:val="single" w:sz="4" w:space="0" w:color="auto"/>
            </w:tcBorders>
            <w:shd w:val="clear" w:color="auto" w:fill="auto"/>
            <w:noWrap/>
            <w:vAlign w:val="center"/>
            <w:hideMark/>
          </w:tcPr>
          <w:p w14:paraId="2CF71332"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 </w:t>
            </w:r>
          </w:p>
        </w:tc>
        <w:tc>
          <w:tcPr>
            <w:tcW w:w="481" w:type="pct"/>
            <w:tcBorders>
              <w:top w:val="single" w:sz="4" w:space="0" w:color="auto"/>
              <w:left w:val="nil"/>
              <w:bottom w:val="nil"/>
              <w:right w:val="single" w:sz="4" w:space="0" w:color="auto"/>
            </w:tcBorders>
            <w:shd w:val="clear" w:color="auto" w:fill="auto"/>
            <w:noWrap/>
            <w:vAlign w:val="center"/>
            <w:hideMark/>
          </w:tcPr>
          <w:p w14:paraId="2CF71333"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 </w:t>
            </w:r>
          </w:p>
        </w:tc>
        <w:tc>
          <w:tcPr>
            <w:tcW w:w="482" w:type="pct"/>
            <w:tcBorders>
              <w:top w:val="single" w:sz="4" w:space="0" w:color="auto"/>
              <w:left w:val="nil"/>
              <w:bottom w:val="nil"/>
              <w:right w:val="single" w:sz="4" w:space="0" w:color="auto"/>
            </w:tcBorders>
            <w:shd w:val="clear" w:color="auto" w:fill="auto"/>
            <w:noWrap/>
            <w:vAlign w:val="center"/>
            <w:hideMark/>
          </w:tcPr>
          <w:p w14:paraId="2CF71334"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 </w:t>
            </w:r>
          </w:p>
        </w:tc>
        <w:tc>
          <w:tcPr>
            <w:tcW w:w="403" w:type="pct"/>
            <w:tcBorders>
              <w:top w:val="single" w:sz="4" w:space="0" w:color="auto"/>
              <w:left w:val="nil"/>
              <w:bottom w:val="nil"/>
              <w:right w:val="single" w:sz="4" w:space="0" w:color="auto"/>
            </w:tcBorders>
            <w:shd w:val="clear" w:color="auto" w:fill="auto"/>
            <w:noWrap/>
            <w:vAlign w:val="center"/>
            <w:hideMark/>
          </w:tcPr>
          <w:p w14:paraId="2CF71335" w14:textId="77777777" w:rsidR="006A6E4B" w:rsidRPr="004259C7" w:rsidRDefault="006A6E4B" w:rsidP="005B0BDC">
            <w:pPr>
              <w:spacing w:after="0"/>
              <w:jc w:val="right"/>
              <w:rPr>
                <w:rFonts w:eastAsia="Times New Roman" w:cs="Times New Roman"/>
                <w:sz w:val="20"/>
                <w:szCs w:val="20"/>
                <w:lang w:eastAsia="lv-LV"/>
              </w:rPr>
            </w:pPr>
            <w:r w:rsidRPr="004259C7">
              <w:rPr>
                <w:rFonts w:eastAsia="Times New Roman" w:cs="Times New Roman"/>
                <w:sz w:val="20"/>
                <w:szCs w:val="20"/>
                <w:lang w:eastAsia="lv-LV"/>
              </w:rPr>
              <w:t> </w:t>
            </w:r>
          </w:p>
        </w:tc>
      </w:tr>
      <w:tr w:rsidR="004259C7" w:rsidRPr="004259C7" w14:paraId="2CF71343" w14:textId="77777777" w:rsidTr="00AF56E8">
        <w:trPr>
          <w:trHeight w:val="312"/>
        </w:trPr>
        <w:tc>
          <w:tcPr>
            <w:tcW w:w="505" w:type="pct"/>
            <w:tcBorders>
              <w:top w:val="nil"/>
              <w:left w:val="single" w:sz="4" w:space="0" w:color="auto"/>
              <w:bottom w:val="nil"/>
              <w:right w:val="nil"/>
            </w:tcBorders>
            <w:shd w:val="clear" w:color="auto" w:fill="auto"/>
          </w:tcPr>
          <w:p w14:paraId="2CF71337" w14:textId="77777777" w:rsidR="006A6E4B" w:rsidRPr="004259C7" w:rsidRDefault="006A6E4B" w:rsidP="00CE6E31">
            <w:pPr>
              <w:spacing w:after="0"/>
              <w:jc w:val="center"/>
              <w:rPr>
                <w:rFonts w:eastAsia="Times New Roman" w:cs="Times New Roman"/>
                <w:sz w:val="20"/>
                <w:szCs w:val="20"/>
                <w:lang w:eastAsia="lv-LV"/>
              </w:rPr>
            </w:pPr>
          </w:p>
        </w:tc>
        <w:tc>
          <w:tcPr>
            <w:tcW w:w="404" w:type="pct"/>
            <w:tcBorders>
              <w:top w:val="nil"/>
              <w:left w:val="single" w:sz="4" w:space="0" w:color="auto"/>
              <w:bottom w:val="nil"/>
              <w:right w:val="nil"/>
            </w:tcBorders>
            <w:shd w:val="clear" w:color="auto" w:fill="auto"/>
          </w:tcPr>
          <w:p w14:paraId="2CF71338" w14:textId="77777777" w:rsidR="006A6E4B" w:rsidRPr="004259C7" w:rsidRDefault="006A6E4B" w:rsidP="00CE6E31">
            <w:pPr>
              <w:spacing w:after="0"/>
              <w:jc w:val="center"/>
              <w:rPr>
                <w:rFonts w:eastAsia="Times New Roman" w:cs="Times New Roman"/>
                <w:sz w:val="20"/>
                <w:szCs w:val="20"/>
                <w:lang w:eastAsia="lv-LV"/>
              </w:rPr>
            </w:pPr>
          </w:p>
        </w:tc>
        <w:tc>
          <w:tcPr>
            <w:tcW w:w="859" w:type="pct"/>
            <w:tcBorders>
              <w:top w:val="nil"/>
              <w:left w:val="single" w:sz="4" w:space="0" w:color="auto"/>
              <w:bottom w:val="nil"/>
              <w:right w:val="nil"/>
            </w:tcBorders>
            <w:shd w:val="clear" w:color="auto" w:fill="auto"/>
            <w:vAlign w:val="center"/>
          </w:tcPr>
          <w:p w14:paraId="2CF71339" w14:textId="77777777" w:rsidR="006A6E4B" w:rsidRPr="004259C7" w:rsidRDefault="006A6E4B" w:rsidP="00AF56E8">
            <w:pPr>
              <w:spacing w:after="0"/>
              <w:ind w:firstLine="0"/>
              <w:jc w:val="left"/>
              <w:rPr>
                <w:rFonts w:eastAsia="Times New Roman" w:cs="Times New Roman"/>
                <w:sz w:val="20"/>
                <w:szCs w:val="20"/>
                <w:lang w:eastAsia="lv-LV"/>
              </w:rPr>
            </w:pPr>
            <w:r w:rsidRPr="004259C7">
              <w:rPr>
                <w:rFonts w:eastAsia="Times New Roman" w:cs="Times New Roman"/>
                <w:sz w:val="20"/>
                <w:szCs w:val="20"/>
                <w:lang w:eastAsia="lv-LV"/>
              </w:rPr>
              <w:t>22.10.00. “Starptautiskās operācijas un Nacionālo bruņoto spēku personālsastāva centralizētais atalgojums”</w:t>
            </w:r>
          </w:p>
        </w:tc>
        <w:tc>
          <w:tcPr>
            <w:tcW w:w="488" w:type="pct"/>
            <w:tcBorders>
              <w:top w:val="nil"/>
              <w:left w:val="single" w:sz="4" w:space="0" w:color="auto"/>
              <w:bottom w:val="nil"/>
              <w:right w:val="single" w:sz="4" w:space="0" w:color="auto"/>
            </w:tcBorders>
            <w:shd w:val="clear" w:color="auto" w:fill="auto"/>
            <w:noWrap/>
            <w:vAlign w:val="center"/>
          </w:tcPr>
          <w:p w14:paraId="2CF7133A"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0</w:t>
            </w:r>
          </w:p>
        </w:tc>
        <w:tc>
          <w:tcPr>
            <w:tcW w:w="488" w:type="pct"/>
            <w:tcBorders>
              <w:top w:val="nil"/>
              <w:left w:val="nil"/>
              <w:bottom w:val="nil"/>
              <w:right w:val="single" w:sz="4" w:space="0" w:color="auto"/>
            </w:tcBorders>
            <w:shd w:val="clear" w:color="auto" w:fill="auto"/>
            <w:noWrap/>
            <w:vAlign w:val="center"/>
          </w:tcPr>
          <w:p w14:paraId="2CF7133B" w14:textId="77777777" w:rsidR="006A6E4B" w:rsidRPr="004259C7" w:rsidRDefault="006A6E4B"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2</w:t>
            </w:r>
            <w:r w:rsidR="000C3306" w:rsidRPr="004259C7">
              <w:rPr>
                <w:rFonts w:eastAsia="Times New Roman" w:cs="Times New Roman"/>
                <w:sz w:val="20"/>
                <w:szCs w:val="20"/>
                <w:lang w:eastAsia="lv-LV"/>
              </w:rPr>
              <w:t> 432 465</w:t>
            </w:r>
          </w:p>
        </w:tc>
        <w:tc>
          <w:tcPr>
            <w:tcW w:w="488" w:type="pct"/>
            <w:tcBorders>
              <w:top w:val="nil"/>
              <w:left w:val="nil"/>
              <w:bottom w:val="nil"/>
              <w:right w:val="single" w:sz="4" w:space="0" w:color="auto"/>
            </w:tcBorders>
            <w:shd w:val="clear" w:color="auto" w:fill="auto"/>
            <w:noWrap/>
            <w:vAlign w:val="center"/>
          </w:tcPr>
          <w:p w14:paraId="2CF7133C" w14:textId="77777777" w:rsidR="006A6E4B" w:rsidRPr="004259C7" w:rsidRDefault="00DF1047"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2 497 231</w:t>
            </w:r>
          </w:p>
        </w:tc>
        <w:tc>
          <w:tcPr>
            <w:tcW w:w="134" w:type="pct"/>
            <w:tcBorders>
              <w:top w:val="nil"/>
              <w:left w:val="nil"/>
              <w:bottom w:val="nil"/>
              <w:right w:val="single" w:sz="4" w:space="0" w:color="auto"/>
            </w:tcBorders>
            <w:shd w:val="clear" w:color="auto" w:fill="auto"/>
            <w:noWrap/>
            <w:vAlign w:val="center"/>
          </w:tcPr>
          <w:p w14:paraId="2CF7133D" w14:textId="77777777" w:rsidR="006A6E4B" w:rsidRPr="004259C7" w:rsidRDefault="006A6E4B" w:rsidP="005B0BDC">
            <w:pPr>
              <w:spacing w:after="0"/>
              <w:jc w:val="right"/>
              <w:rPr>
                <w:rFonts w:eastAsia="Times New Roman" w:cs="Times New Roman"/>
                <w:sz w:val="20"/>
                <w:szCs w:val="20"/>
                <w:lang w:eastAsia="lv-LV"/>
              </w:rPr>
            </w:pPr>
          </w:p>
        </w:tc>
        <w:tc>
          <w:tcPr>
            <w:tcW w:w="134" w:type="pct"/>
            <w:tcBorders>
              <w:top w:val="nil"/>
              <w:left w:val="nil"/>
              <w:bottom w:val="nil"/>
              <w:right w:val="single" w:sz="4" w:space="0" w:color="auto"/>
            </w:tcBorders>
            <w:shd w:val="clear" w:color="auto" w:fill="auto"/>
            <w:noWrap/>
            <w:vAlign w:val="center"/>
          </w:tcPr>
          <w:p w14:paraId="2CF7133E" w14:textId="77777777" w:rsidR="006A6E4B" w:rsidRPr="004259C7" w:rsidRDefault="006A6E4B" w:rsidP="005B0BDC">
            <w:pPr>
              <w:spacing w:after="0"/>
              <w:jc w:val="right"/>
              <w:rPr>
                <w:rFonts w:eastAsia="Times New Roman" w:cs="Times New Roman"/>
                <w:sz w:val="20"/>
                <w:szCs w:val="20"/>
                <w:lang w:eastAsia="lv-LV"/>
              </w:rPr>
            </w:pPr>
          </w:p>
        </w:tc>
        <w:tc>
          <w:tcPr>
            <w:tcW w:w="134" w:type="pct"/>
            <w:tcBorders>
              <w:top w:val="nil"/>
              <w:left w:val="nil"/>
              <w:bottom w:val="nil"/>
              <w:right w:val="single" w:sz="4" w:space="0" w:color="auto"/>
            </w:tcBorders>
            <w:shd w:val="clear" w:color="auto" w:fill="auto"/>
            <w:noWrap/>
            <w:vAlign w:val="center"/>
          </w:tcPr>
          <w:p w14:paraId="2CF7133F" w14:textId="77777777" w:rsidR="006A6E4B" w:rsidRPr="004259C7" w:rsidRDefault="006A6E4B" w:rsidP="005B0BDC">
            <w:pPr>
              <w:spacing w:after="0"/>
              <w:jc w:val="right"/>
              <w:rPr>
                <w:rFonts w:eastAsia="Times New Roman" w:cs="Times New Roman"/>
                <w:sz w:val="20"/>
                <w:szCs w:val="20"/>
                <w:lang w:eastAsia="lv-LV"/>
              </w:rPr>
            </w:pPr>
          </w:p>
        </w:tc>
        <w:tc>
          <w:tcPr>
            <w:tcW w:w="481" w:type="pct"/>
            <w:tcBorders>
              <w:top w:val="nil"/>
              <w:left w:val="nil"/>
              <w:bottom w:val="nil"/>
              <w:right w:val="single" w:sz="4" w:space="0" w:color="auto"/>
            </w:tcBorders>
            <w:shd w:val="clear" w:color="auto" w:fill="auto"/>
            <w:noWrap/>
            <w:vAlign w:val="center"/>
          </w:tcPr>
          <w:p w14:paraId="2CF71340" w14:textId="77777777" w:rsidR="006A6E4B" w:rsidRPr="004259C7" w:rsidRDefault="006A6E4B" w:rsidP="005B0BDC">
            <w:pPr>
              <w:spacing w:after="0"/>
              <w:jc w:val="right"/>
              <w:rPr>
                <w:rFonts w:eastAsia="Times New Roman" w:cs="Times New Roman"/>
                <w:sz w:val="20"/>
                <w:szCs w:val="20"/>
                <w:lang w:eastAsia="lv-LV"/>
              </w:rPr>
            </w:pPr>
          </w:p>
        </w:tc>
        <w:tc>
          <w:tcPr>
            <w:tcW w:w="482" w:type="pct"/>
            <w:tcBorders>
              <w:top w:val="nil"/>
              <w:left w:val="nil"/>
              <w:bottom w:val="nil"/>
              <w:right w:val="single" w:sz="4" w:space="0" w:color="auto"/>
            </w:tcBorders>
            <w:shd w:val="clear" w:color="auto" w:fill="auto"/>
            <w:noWrap/>
            <w:vAlign w:val="center"/>
          </w:tcPr>
          <w:p w14:paraId="2CF71341" w14:textId="77777777" w:rsidR="006A6E4B" w:rsidRPr="004259C7" w:rsidRDefault="006A6E4B" w:rsidP="005B0BDC">
            <w:pPr>
              <w:spacing w:after="0"/>
              <w:jc w:val="right"/>
              <w:rPr>
                <w:rFonts w:eastAsia="Times New Roman" w:cs="Times New Roman"/>
                <w:sz w:val="20"/>
                <w:szCs w:val="20"/>
                <w:lang w:eastAsia="lv-LV"/>
              </w:rPr>
            </w:pPr>
          </w:p>
        </w:tc>
        <w:tc>
          <w:tcPr>
            <w:tcW w:w="403" w:type="pct"/>
            <w:tcBorders>
              <w:top w:val="nil"/>
              <w:left w:val="nil"/>
              <w:bottom w:val="nil"/>
              <w:right w:val="single" w:sz="4" w:space="0" w:color="auto"/>
            </w:tcBorders>
            <w:shd w:val="clear" w:color="auto" w:fill="auto"/>
            <w:noWrap/>
            <w:vAlign w:val="center"/>
          </w:tcPr>
          <w:p w14:paraId="2CF71342" w14:textId="77777777" w:rsidR="006A6E4B" w:rsidRPr="004259C7" w:rsidRDefault="006A6E4B" w:rsidP="005B0BDC">
            <w:pPr>
              <w:spacing w:after="0"/>
              <w:jc w:val="right"/>
              <w:rPr>
                <w:rFonts w:eastAsia="Times New Roman" w:cs="Times New Roman"/>
                <w:sz w:val="20"/>
                <w:szCs w:val="20"/>
                <w:lang w:eastAsia="lv-LV"/>
              </w:rPr>
            </w:pPr>
          </w:p>
        </w:tc>
      </w:tr>
      <w:tr w:rsidR="004259C7" w:rsidRPr="004259C7" w14:paraId="2CF71350" w14:textId="77777777" w:rsidTr="00AF56E8">
        <w:trPr>
          <w:trHeight w:val="312"/>
        </w:trPr>
        <w:tc>
          <w:tcPr>
            <w:tcW w:w="505" w:type="pct"/>
            <w:tcBorders>
              <w:top w:val="nil"/>
              <w:left w:val="single" w:sz="4" w:space="0" w:color="auto"/>
              <w:bottom w:val="single" w:sz="4" w:space="0" w:color="auto"/>
              <w:right w:val="nil"/>
            </w:tcBorders>
            <w:shd w:val="clear" w:color="auto" w:fill="auto"/>
          </w:tcPr>
          <w:p w14:paraId="2CF71344" w14:textId="77777777" w:rsidR="006A6E4B" w:rsidRPr="004259C7" w:rsidRDefault="006A6E4B" w:rsidP="00CE6E31">
            <w:pPr>
              <w:spacing w:after="0"/>
              <w:jc w:val="center"/>
              <w:rPr>
                <w:rFonts w:eastAsia="Times New Roman" w:cs="Times New Roman"/>
                <w:sz w:val="20"/>
                <w:szCs w:val="20"/>
                <w:lang w:eastAsia="lv-LV"/>
              </w:rPr>
            </w:pPr>
          </w:p>
        </w:tc>
        <w:tc>
          <w:tcPr>
            <w:tcW w:w="404" w:type="pct"/>
            <w:tcBorders>
              <w:top w:val="nil"/>
              <w:left w:val="single" w:sz="4" w:space="0" w:color="auto"/>
              <w:bottom w:val="single" w:sz="4" w:space="0" w:color="auto"/>
              <w:right w:val="nil"/>
            </w:tcBorders>
            <w:shd w:val="clear" w:color="auto" w:fill="auto"/>
          </w:tcPr>
          <w:p w14:paraId="2CF71345" w14:textId="77777777" w:rsidR="006A6E4B" w:rsidRPr="004259C7" w:rsidRDefault="006A6E4B" w:rsidP="00CE6E31">
            <w:pPr>
              <w:spacing w:after="0"/>
              <w:jc w:val="center"/>
              <w:rPr>
                <w:rFonts w:eastAsia="Times New Roman" w:cs="Times New Roman"/>
                <w:sz w:val="20"/>
                <w:szCs w:val="20"/>
                <w:lang w:eastAsia="lv-LV"/>
              </w:rPr>
            </w:pPr>
          </w:p>
        </w:tc>
        <w:tc>
          <w:tcPr>
            <w:tcW w:w="859" w:type="pct"/>
            <w:tcBorders>
              <w:top w:val="nil"/>
              <w:left w:val="single" w:sz="4" w:space="0" w:color="auto"/>
              <w:bottom w:val="single" w:sz="4" w:space="0" w:color="auto"/>
              <w:right w:val="nil"/>
            </w:tcBorders>
            <w:shd w:val="clear" w:color="auto" w:fill="auto"/>
            <w:vAlign w:val="center"/>
          </w:tcPr>
          <w:p w14:paraId="2CF71346" w14:textId="77777777" w:rsidR="006A6E4B" w:rsidRPr="004259C7" w:rsidRDefault="006A6E4B" w:rsidP="00AF56E8">
            <w:pPr>
              <w:spacing w:after="0"/>
              <w:ind w:firstLine="0"/>
              <w:jc w:val="left"/>
              <w:rPr>
                <w:rFonts w:eastAsia="Times New Roman" w:cs="Times New Roman"/>
                <w:sz w:val="20"/>
                <w:szCs w:val="20"/>
                <w:lang w:eastAsia="lv-LV"/>
              </w:rPr>
            </w:pPr>
            <w:r w:rsidRPr="004259C7">
              <w:rPr>
                <w:rFonts w:eastAsia="Times New Roman" w:cs="Times New Roman"/>
                <w:sz w:val="20"/>
                <w:szCs w:val="20"/>
                <w:lang w:eastAsia="lv-LV"/>
              </w:rPr>
              <w:t>22.12.00. “Nacionālo bruņoto spēku uzturēšana”</w:t>
            </w:r>
          </w:p>
        </w:tc>
        <w:tc>
          <w:tcPr>
            <w:tcW w:w="488" w:type="pct"/>
            <w:tcBorders>
              <w:top w:val="nil"/>
              <w:left w:val="single" w:sz="4" w:space="0" w:color="auto"/>
              <w:bottom w:val="single" w:sz="4" w:space="0" w:color="auto"/>
              <w:right w:val="single" w:sz="4" w:space="0" w:color="auto"/>
            </w:tcBorders>
            <w:shd w:val="clear" w:color="auto" w:fill="auto"/>
            <w:noWrap/>
            <w:vAlign w:val="center"/>
          </w:tcPr>
          <w:p w14:paraId="2CF71347" w14:textId="77777777" w:rsidR="006A6E4B" w:rsidRPr="004259C7" w:rsidRDefault="001405ED"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991 103</w:t>
            </w:r>
          </w:p>
        </w:tc>
        <w:tc>
          <w:tcPr>
            <w:tcW w:w="488" w:type="pct"/>
            <w:tcBorders>
              <w:top w:val="nil"/>
              <w:left w:val="nil"/>
              <w:bottom w:val="single" w:sz="4" w:space="0" w:color="auto"/>
              <w:right w:val="single" w:sz="4" w:space="0" w:color="auto"/>
            </w:tcBorders>
            <w:shd w:val="clear" w:color="auto" w:fill="auto"/>
            <w:noWrap/>
            <w:vAlign w:val="center"/>
          </w:tcPr>
          <w:p w14:paraId="2CF71348" w14:textId="77777777" w:rsidR="006A6E4B" w:rsidRPr="004259C7" w:rsidRDefault="006A6E4B"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1 315 753</w:t>
            </w:r>
          </w:p>
        </w:tc>
        <w:tc>
          <w:tcPr>
            <w:tcW w:w="488" w:type="pct"/>
            <w:tcBorders>
              <w:top w:val="nil"/>
              <w:left w:val="nil"/>
              <w:bottom w:val="single" w:sz="4" w:space="0" w:color="auto"/>
              <w:right w:val="single" w:sz="4" w:space="0" w:color="auto"/>
            </w:tcBorders>
            <w:shd w:val="clear" w:color="auto" w:fill="auto"/>
            <w:noWrap/>
            <w:vAlign w:val="center"/>
          </w:tcPr>
          <w:p w14:paraId="2CF71349" w14:textId="77777777" w:rsidR="006A6E4B" w:rsidRPr="004259C7" w:rsidRDefault="006A6E4B" w:rsidP="005B0BDC">
            <w:pPr>
              <w:spacing w:after="0"/>
              <w:ind w:firstLine="0"/>
              <w:jc w:val="right"/>
              <w:rPr>
                <w:rFonts w:eastAsia="Times New Roman" w:cs="Times New Roman"/>
                <w:sz w:val="20"/>
                <w:szCs w:val="20"/>
                <w:lang w:eastAsia="lv-LV"/>
              </w:rPr>
            </w:pPr>
            <w:r w:rsidRPr="004259C7">
              <w:rPr>
                <w:rFonts w:eastAsia="Times New Roman" w:cs="Times New Roman"/>
                <w:sz w:val="20"/>
                <w:szCs w:val="20"/>
                <w:lang w:eastAsia="lv-LV"/>
              </w:rPr>
              <w:t>991 103</w:t>
            </w:r>
          </w:p>
        </w:tc>
        <w:tc>
          <w:tcPr>
            <w:tcW w:w="134" w:type="pct"/>
            <w:tcBorders>
              <w:top w:val="nil"/>
              <w:left w:val="nil"/>
              <w:bottom w:val="single" w:sz="4" w:space="0" w:color="auto"/>
              <w:right w:val="single" w:sz="4" w:space="0" w:color="auto"/>
            </w:tcBorders>
            <w:shd w:val="clear" w:color="auto" w:fill="auto"/>
            <w:noWrap/>
            <w:vAlign w:val="center"/>
          </w:tcPr>
          <w:p w14:paraId="2CF7134A" w14:textId="77777777" w:rsidR="006A6E4B" w:rsidRPr="004259C7" w:rsidRDefault="006A6E4B" w:rsidP="005B0BDC">
            <w:pPr>
              <w:spacing w:after="0"/>
              <w:jc w:val="right"/>
              <w:rPr>
                <w:rFonts w:eastAsia="Times New Roman" w:cs="Times New Roman"/>
                <w:sz w:val="20"/>
                <w:szCs w:val="20"/>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CF7134B" w14:textId="77777777" w:rsidR="006A6E4B" w:rsidRPr="004259C7" w:rsidRDefault="006A6E4B" w:rsidP="005B0BDC">
            <w:pPr>
              <w:spacing w:after="0"/>
              <w:jc w:val="right"/>
              <w:rPr>
                <w:rFonts w:eastAsia="Times New Roman" w:cs="Times New Roman"/>
                <w:sz w:val="20"/>
                <w:szCs w:val="20"/>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CF7134C" w14:textId="77777777" w:rsidR="006A6E4B" w:rsidRPr="004259C7" w:rsidRDefault="006A6E4B" w:rsidP="005B0BDC">
            <w:pPr>
              <w:spacing w:after="0"/>
              <w:jc w:val="right"/>
              <w:rPr>
                <w:rFonts w:eastAsia="Times New Roman" w:cs="Times New Roman"/>
                <w:sz w:val="20"/>
                <w:szCs w:val="20"/>
                <w:lang w:eastAsia="lv-LV"/>
              </w:rPr>
            </w:pPr>
          </w:p>
        </w:tc>
        <w:tc>
          <w:tcPr>
            <w:tcW w:w="481" w:type="pct"/>
            <w:tcBorders>
              <w:top w:val="nil"/>
              <w:left w:val="nil"/>
              <w:bottom w:val="single" w:sz="4" w:space="0" w:color="auto"/>
              <w:right w:val="single" w:sz="4" w:space="0" w:color="auto"/>
            </w:tcBorders>
            <w:shd w:val="clear" w:color="auto" w:fill="auto"/>
            <w:noWrap/>
            <w:vAlign w:val="center"/>
          </w:tcPr>
          <w:p w14:paraId="2CF7134D" w14:textId="77777777" w:rsidR="006A6E4B" w:rsidRPr="004259C7" w:rsidRDefault="006A6E4B" w:rsidP="005B0BDC">
            <w:pPr>
              <w:spacing w:after="0"/>
              <w:jc w:val="right"/>
              <w:rPr>
                <w:rFonts w:eastAsia="Times New Roman" w:cs="Times New Roman"/>
                <w:sz w:val="20"/>
                <w:szCs w:val="20"/>
                <w:lang w:eastAsia="lv-LV"/>
              </w:rPr>
            </w:pPr>
          </w:p>
        </w:tc>
        <w:tc>
          <w:tcPr>
            <w:tcW w:w="482" w:type="pct"/>
            <w:tcBorders>
              <w:top w:val="nil"/>
              <w:left w:val="nil"/>
              <w:bottom w:val="single" w:sz="4" w:space="0" w:color="auto"/>
              <w:right w:val="single" w:sz="4" w:space="0" w:color="auto"/>
            </w:tcBorders>
            <w:shd w:val="clear" w:color="auto" w:fill="auto"/>
            <w:noWrap/>
            <w:vAlign w:val="center"/>
          </w:tcPr>
          <w:p w14:paraId="2CF7134E" w14:textId="77777777" w:rsidR="006A6E4B" w:rsidRPr="004259C7" w:rsidRDefault="006A6E4B" w:rsidP="005B0BDC">
            <w:pPr>
              <w:spacing w:after="0"/>
              <w:jc w:val="right"/>
              <w:rPr>
                <w:rFonts w:eastAsia="Times New Roman" w:cs="Times New Roman"/>
                <w:sz w:val="20"/>
                <w:szCs w:val="20"/>
                <w:lang w:eastAsia="lv-LV"/>
              </w:rPr>
            </w:pPr>
          </w:p>
        </w:tc>
        <w:tc>
          <w:tcPr>
            <w:tcW w:w="403" w:type="pct"/>
            <w:tcBorders>
              <w:top w:val="nil"/>
              <w:left w:val="nil"/>
              <w:bottom w:val="single" w:sz="4" w:space="0" w:color="auto"/>
              <w:right w:val="single" w:sz="4" w:space="0" w:color="auto"/>
            </w:tcBorders>
            <w:shd w:val="clear" w:color="auto" w:fill="auto"/>
            <w:noWrap/>
            <w:vAlign w:val="center"/>
          </w:tcPr>
          <w:p w14:paraId="2CF7134F" w14:textId="77777777" w:rsidR="006A6E4B" w:rsidRPr="004259C7" w:rsidRDefault="006A6E4B" w:rsidP="005B0BDC">
            <w:pPr>
              <w:spacing w:after="0"/>
              <w:jc w:val="right"/>
              <w:rPr>
                <w:rFonts w:eastAsia="Times New Roman" w:cs="Times New Roman"/>
                <w:sz w:val="20"/>
                <w:szCs w:val="20"/>
                <w:lang w:eastAsia="lv-LV"/>
              </w:rPr>
            </w:pPr>
          </w:p>
        </w:tc>
      </w:tr>
    </w:tbl>
    <w:p w14:paraId="2CF71351" w14:textId="77777777" w:rsidR="00D63909" w:rsidRPr="004259C7" w:rsidRDefault="00D63909" w:rsidP="00A84BCA">
      <w:pPr>
        <w:pStyle w:val="ListParagraph"/>
        <w:tabs>
          <w:tab w:val="left" w:pos="993"/>
        </w:tabs>
        <w:ind w:left="709"/>
        <w:rPr>
          <w:rFonts w:cs="Times New Roman"/>
          <w:szCs w:val="24"/>
        </w:rPr>
        <w:sectPr w:rsidR="00D63909" w:rsidRPr="004259C7" w:rsidSect="00A84BCA">
          <w:pgSz w:w="16838" w:h="11906" w:orient="landscape"/>
          <w:pgMar w:top="1701" w:right="1440" w:bottom="1416" w:left="1440" w:header="708" w:footer="708" w:gutter="0"/>
          <w:cols w:space="708"/>
          <w:docGrid w:linePitch="360"/>
        </w:sectPr>
      </w:pPr>
    </w:p>
    <w:p w14:paraId="2CF71352" w14:textId="77777777" w:rsidR="00D63909" w:rsidRPr="004259C7" w:rsidRDefault="00D63909" w:rsidP="00D63909">
      <w:pPr>
        <w:pStyle w:val="Heading1"/>
      </w:pPr>
      <w:r w:rsidRPr="004259C7">
        <w:lastRenderedPageBreak/>
        <w:t>V. Priekšlikumi</w:t>
      </w:r>
    </w:p>
    <w:p w14:paraId="2CF71353" w14:textId="77777777" w:rsidR="00D63909" w:rsidRPr="004259C7" w:rsidRDefault="00D63909" w:rsidP="00D63909">
      <w:pPr>
        <w:pStyle w:val="ListParagraph"/>
        <w:numPr>
          <w:ilvl w:val="0"/>
          <w:numId w:val="5"/>
        </w:numPr>
        <w:tabs>
          <w:tab w:val="left" w:pos="993"/>
        </w:tabs>
        <w:ind w:left="0" w:firstLine="709"/>
        <w:rPr>
          <w:rFonts w:cs="Times New Roman"/>
          <w:szCs w:val="24"/>
        </w:rPr>
      </w:pPr>
      <w:r w:rsidRPr="004259C7">
        <w:rPr>
          <w:rFonts w:cs="Times New Roman"/>
          <w:szCs w:val="24"/>
        </w:rPr>
        <w:t>Atbalstīt Aizsardzības ministrijas priekšlikumu par Valsts aizsardzības militāro objektu un iepirkumu centra strukturālu reorganizāciju līdz 2020. gada 31. decembrim;</w:t>
      </w:r>
    </w:p>
    <w:p w14:paraId="2CF71354" w14:textId="67B1395A" w:rsidR="00D63909" w:rsidRPr="004259C7" w:rsidRDefault="00D63909" w:rsidP="007B40C9">
      <w:pPr>
        <w:pStyle w:val="ListParagraph"/>
        <w:numPr>
          <w:ilvl w:val="0"/>
          <w:numId w:val="5"/>
        </w:numPr>
        <w:tabs>
          <w:tab w:val="left" w:pos="993"/>
        </w:tabs>
        <w:spacing w:after="0"/>
        <w:ind w:left="0" w:firstLine="709"/>
        <w:rPr>
          <w:rFonts w:cs="Times New Roman"/>
          <w:szCs w:val="24"/>
        </w:rPr>
      </w:pPr>
      <w:r w:rsidRPr="004259C7">
        <w:rPr>
          <w:rFonts w:cs="Times New Roman"/>
          <w:szCs w:val="24"/>
        </w:rPr>
        <w:t>Atbalstīt Aizsardzība</w:t>
      </w:r>
      <w:r w:rsidR="003D250C">
        <w:rPr>
          <w:rFonts w:cs="Times New Roman"/>
          <w:szCs w:val="24"/>
        </w:rPr>
        <w:t>s ministrijas priekšlikumu par</w:t>
      </w:r>
      <w:r w:rsidRPr="004259C7">
        <w:rPr>
          <w:rFonts w:cs="Times New Roman"/>
          <w:szCs w:val="24"/>
        </w:rPr>
        <w:t xml:space="preserve"> Valsts aizsardzība</w:t>
      </w:r>
      <w:r w:rsidR="003D250C">
        <w:rPr>
          <w:rFonts w:cs="Times New Roman"/>
          <w:szCs w:val="24"/>
        </w:rPr>
        <w:t>s loģistikas un iepirkuma centra</w:t>
      </w:r>
      <w:r w:rsidRPr="004259C7">
        <w:rPr>
          <w:rFonts w:cs="Times New Roman"/>
          <w:szCs w:val="24"/>
        </w:rPr>
        <w:t xml:space="preserve"> izveidi ar 2021. gada 1. janvāri. </w:t>
      </w:r>
    </w:p>
    <w:p w14:paraId="31ACDD32" w14:textId="77777777" w:rsidR="007B40C9" w:rsidRDefault="007B40C9" w:rsidP="007B40C9">
      <w:pPr>
        <w:spacing w:after="0"/>
        <w:rPr>
          <w:sz w:val="28"/>
          <w:szCs w:val="28"/>
        </w:rPr>
      </w:pPr>
    </w:p>
    <w:p w14:paraId="4FAE85BB" w14:textId="77777777" w:rsidR="007B40C9" w:rsidRDefault="007B40C9" w:rsidP="007B40C9">
      <w:pPr>
        <w:spacing w:after="0"/>
        <w:rPr>
          <w:sz w:val="28"/>
          <w:szCs w:val="28"/>
        </w:rPr>
      </w:pPr>
    </w:p>
    <w:p w14:paraId="754D241B" w14:textId="77777777" w:rsidR="007B40C9" w:rsidRPr="00F95516" w:rsidRDefault="007B40C9" w:rsidP="007B40C9">
      <w:pPr>
        <w:spacing w:after="0"/>
        <w:rPr>
          <w:sz w:val="28"/>
          <w:szCs w:val="28"/>
        </w:rPr>
      </w:pPr>
    </w:p>
    <w:p w14:paraId="2B6F2376" w14:textId="77777777" w:rsidR="007B40C9" w:rsidRDefault="007B40C9" w:rsidP="007B40C9">
      <w:pPr>
        <w:spacing w:after="0"/>
        <w:ind w:firstLine="709"/>
        <w:rPr>
          <w:sz w:val="28"/>
          <w:szCs w:val="28"/>
        </w:rPr>
      </w:pPr>
      <w:r>
        <w:rPr>
          <w:sz w:val="28"/>
          <w:szCs w:val="28"/>
        </w:rPr>
        <w:t xml:space="preserve">Ministru prezidenta biedrs, </w:t>
      </w:r>
    </w:p>
    <w:p w14:paraId="61B01EE3" w14:textId="77777777" w:rsidR="007B40C9" w:rsidRPr="00F95516" w:rsidRDefault="007B40C9" w:rsidP="007B40C9">
      <w:pPr>
        <w:tabs>
          <w:tab w:val="left" w:pos="6521"/>
        </w:tabs>
        <w:spacing w:after="0"/>
        <w:ind w:firstLine="709"/>
        <w:rPr>
          <w:sz w:val="28"/>
          <w:szCs w:val="28"/>
        </w:rPr>
      </w:pPr>
      <w:r>
        <w:rPr>
          <w:sz w:val="28"/>
          <w:szCs w:val="28"/>
        </w:rPr>
        <w:t>aizsardzības</w:t>
      </w:r>
      <w:r w:rsidRPr="00F95516">
        <w:rPr>
          <w:sz w:val="28"/>
          <w:szCs w:val="28"/>
        </w:rPr>
        <w:t xml:space="preserve"> ministr</w:t>
      </w:r>
      <w:r>
        <w:rPr>
          <w:sz w:val="28"/>
          <w:szCs w:val="28"/>
        </w:rPr>
        <w:t>s</w:t>
      </w:r>
      <w:r>
        <w:rPr>
          <w:sz w:val="28"/>
          <w:szCs w:val="28"/>
        </w:rPr>
        <w:tab/>
        <w:t>A. Pabriks</w:t>
      </w:r>
    </w:p>
    <w:sectPr w:rsidR="007B40C9" w:rsidRPr="00F95516" w:rsidSect="00D63909">
      <w:pgSz w:w="11906" w:h="16838"/>
      <w:pgMar w:top="1440" w:right="1416"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1358" w14:textId="77777777" w:rsidR="00BF39B8" w:rsidRDefault="00BF39B8" w:rsidP="00763896">
      <w:pPr>
        <w:spacing w:after="0"/>
      </w:pPr>
      <w:r>
        <w:separator/>
      </w:r>
    </w:p>
  </w:endnote>
  <w:endnote w:type="continuationSeparator" w:id="0">
    <w:p w14:paraId="2CF71359" w14:textId="77777777" w:rsidR="00BF39B8" w:rsidRDefault="00BF39B8" w:rsidP="00763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135B" w14:textId="13AFF6A3" w:rsidR="00632649" w:rsidRPr="007B40C9" w:rsidRDefault="00AD5C74" w:rsidP="00037CEC">
    <w:pPr>
      <w:pStyle w:val="Footer"/>
      <w:tabs>
        <w:tab w:val="clear" w:pos="4153"/>
        <w:tab w:val="clear" w:pos="8306"/>
        <w:tab w:val="right" w:pos="9072"/>
      </w:tabs>
      <w:ind w:firstLine="0"/>
      <w:jc w:val="left"/>
      <w:rPr>
        <w:rFonts w:cs="Times New Roman"/>
        <w:sz w:val="18"/>
        <w:szCs w:val="18"/>
      </w:rPr>
    </w:pPr>
    <w:sdt>
      <w:sdtPr>
        <w:rPr>
          <w:rFonts w:cs="Times New Roman"/>
          <w:sz w:val="18"/>
          <w:szCs w:val="18"/>
        </w:rPr>
        <w:id w:val="1705837957"/>
        <w:docPartObj>
          <w:docPartGallery w:val="Page Numbers (Bottom of Page)"/>
          <w:docPartUnique/>
        </w:docPartObj>
      </w:sdtPr>
      <w:sdtEndPr>
        <w:rPr>
          <w:noProof/>
        </w:rPr>
      </w:sdtEndPr>
      <w:sdtContent>
        <w:r w:rsidR="00ED3400" w:rsidRPr="007B40C9">
          <w:rPr>
            <w:rFonts w:cs="Times New Roman"/>
            <w:sz w:val="18"/>
            <w:szCs w:val="18"/>
          </w:rPr>
          <w:t>AIM</w:t>
        </w:r>
        <w:r w:rsidR="006E7A46" w:rsidRPr="007B40C9">
          <w:rPr>
            <w:rFonts w:cs="Times New Roman"/>
            <w:sz w:val="18"/>
            <w:szCs w:val="18"/>
          </w:rPr>
          <w:t>konc</w:t>
        </w:r>
        <w:r w:rsidR="00ED3400" w:rsidRPr="007B40C9">
          <w:rPr>
            <w:rFonts w:cs="Times New Roman"/>
            <w:sz w:val="18"/>
            <w:szCs w:val="18"/>
          </w:rPr>
          <w:t>_</w:t>
        </w:r>
        <w:r w:rsidR="006E7A46" w:rsidRPr="007B40C9">
          <w:rPr>
            <w:rFonts w:cs="Times New Roman"/>
            <w:sz w:val="18"/>
            <w:szCs w:val="18"/>
          </w:rPr>
          <w:t>2</w:t>
        </w:r>
        <w:r w:rsidR="00037CEC" w:rsidRPr="007B40C9">
          <w:rPr>
            <w:rFonts w:cs="Times New Roman"/>
            <w:sz w:val="18"/>
            <w:szCs w:val="18"/>
          </w:rPr>
          <w:t>409</w:t>
        </w:r>
        <w:r w:rsidR="00ED3400" w:rsidRPr="007B40C9">
          <w:rPr>
            <w:rFonts w:cs="Times New Roman"/>
            <w:sz w:val="18"/>
            <w:szCs w:val="18"/>
          </w:rPr>
          <w:t>20_zin_VAMOIC_VALIC</w:t>
        </w:r>
      </w:sdtContent>
    </w:sdt>
    <w:r w:rsidR="007B40C9" w:rsidRPr="007B40C9">
      <w:rPr>
        <w:rFonts w:cs="Times New Roman"/>
        <w:noProof/>
        <w:sz w:val="18"/>
        <w:szCs w:val="18"/>
      </w:rPr>
      <w:t xml:space="preserve">  (TA-1823)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F4B5" w14:textId="77777777" w:rsidR="007B40C9" w:rsidRPr="007B40C9" w:rsidRDefault="00AD5C74" w:rsidP="007B40C9">
    <w:pPr>
      <w:pStyle w:val="Footer"/>
      <w:tabs>
        <w:tab w:val="clear" w:pos="4153"/>
        <w:tab w:val="clear" w:pos="8306"/>
        <w:tab w:val="right" w:pos="9072"/>
      </w:tabs>
      <w:ind w:firstLine="0"/>
      <w:jc w:val="left"/>
      <w:rPr>
        <w:rFonts w:cs="Times New Roman"/>
        <w:sz w:val="18"/>
        <w:szCs w:val="18"/>
      </w:rPr>
    </w:pPr>
    <w:sdt>
      <w:sdtPr>
        <w:rPr>
          <w:rFonts w:cs="Times New Roman"/>
          <w:sz w:val="18"/>
          <w:szCs w:val="18"/>
        </w:rPr>
        <w:id w:val="-1418850386"/>
        <w:docPartObj>
          <w:docPartGallery w:val="Page Numbers (Bottom of Page)"/>
          <w:docPartUnique/>
        </w:docPartObj>
      </w:sdtPr>
      <w:sdtEndPr>
        <w:rPr>
          <w:noProof/>
        </w:rPr>
      </w:sdtEndPr>
      <w:sdtContent>
        <w:r w:rsidR="007B40C9" w:rsidRPr="007B40C9">
          <w:rPr>
            <w:rFonts w:cs="Times New Roman"/>
            <w:sz w:val="18"/>
            <w:szCs w:val="18"/>
          </w:rPr>
          <w:t>AIMkonc_240920_zin_VAMOIC_VALIC</w:t>
        </w:r>
      </w:sdtContent>
    </w:sdt>
    <w:r w:rsidR="007B40C9" w:rsidRPr="007B40C9">
      <w:rPr>
        <w:rFonts w:cs="Times New Roman"/>
        <w:noProof/>
        <w:sz w:val="18"/>
        <w:szCs w:val="18"/>
      </w:rPr>
      <w:t xml:space="preserve">  (TA-1823)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1356" w14:textId="77777777" w:rsidR="00BF39B8" w:rsidRDefault="00BF39B8" w:rsidP="00763896">
      <w:pPr>
        <w:spacing w:after="0"/>
      </w:pPr>
      <w:r>
        <w:separator/>
      </w:r>
    </w:p>
  </w:footnote>
  <w:footnote w:type="continuationSeparator" w:id="0">
    <w:p w14:paraId="2CF71357" w14:textId="77777777" w:rsidR="00BF39B8" w:rsidRDefault="00BF39B8" w:rsidP="00763896">
      <w:pPr>
        <w:spacing w:after="0"/>
      </w:pPr>
      <w:r>
        <w:continuationSeparator/>
      </w:r>
    </w:p>
  </w:footnote>
  <w:footnote w:id="1">
    <w:p w14:paraId="2CF7135C" w14:textId="77777777" w:rsidR="00763896" w:rsidRPr="00763896" w:rsidRDefault="00763896" w:rsidP="008B1212">
      <w:pPr>
        <w:pStyle w:val="FootnoteText"/>
        <w:jc w:val="left"/>
        <w:rPr>
          <w:rFonts w:cs="Times New Roman"/>
        </w:rPr>
      </w:pPr>
      <w:r w:rsidRPr="00763896">
        <w:rPr>
          <w:rStyle w:val="FootnoteReference"/>
          <w:rFonts w:cs="Times New Roman"/>
        </w:rPr>
        <w:footnoteRef/>
      </w:r>
      <w:r w:rsidRPr="00763896">
        <w:rPr>
          <w:rFonts w:cs="Times New Roman"/>
        </w:rPr>
        <w:t xml:space="preserve"> MTL dzīvescikl</w:t>
      </w:r>
      <w:r>
        <w:rPr>
          <w:rFonts w:cs="Times New Roman"/>
        </w:rPr>
        <w:t xml:space="preserve">s tiek iedalīts sekojošos posmos: </w:t>
      </w:r>
      <w:r w:rsidR="00C855AB">
        <w:rPr>
          <w:rFonts w:cs="Times New Roman"/>
        </w:rPr>
        <w:t>1)</w:t>
      </w:r>
      <w:r w:rsidR="008B1212">
        <w:rPr>
          <w:rFonts w:cs="Times New Roman"/>
        </w:rPr>
        <w:t> </w:t>
      </w:r>
      <w:r>
        <w:rPr>
          <w:rFonts w:cs="Times New Roman"/>
        </w:rPr>
        <w:t>Plānošana/ Prasību definēšana</w:t>
      </w:r>
      <w:r w:rsidRPr="00763896">
        <w:rPr>
          <w:rFonts w:cs="Times New Roman"/>
        </w:rPr>
        <w:t xml:space="preserve">; </w:t>
      </w:r>
      <w:r w:rsidR="00C855AB">
        <w:rPr>
          <w:rFonts w:cs="Times New Roman"/>
        </w:rPr>
        <w:t>2)</w:t>
      </w:r>
      <w:r w:rsidR="008B1212">
        <w:rPr>
          <w:rFonts w:cs="Times New Roman"/>
        </w:rPr>
        <w:t> </w:t>
      </w:r>
      <w:r w:rsidRPr="00763896">
        <w:rPr>
          <w:rFonts w:cs="Times New Roman"/>
        </w:rPr>
        <w:t>Tehnis</w:t>
      </w:r>
      <w:r>
        <w:rPr>
          <w:rFonts w:cs="Times New Roman"/>
        </w:rPr>
        <w:t xml:space="preserve">kās specifikācijas izstrāde; </w:t>
      </w:r>
      <w:r w:rsidR="00C855AB">
        <w:rPr>
          <w:rFonts w:cs="Times New Roman"/>
        </w:rPr>
        <w:t>3)</w:t>
      </w:r>
      <w:r w:rsidR="008B1212">
        <w:rPr>
          <w:rFonts w:cs="Times New Roman"/>
        </w:rPr>
        <w:t> </w:t>
      </w:r>
      <w:r w:rsidRPr="00763896">
        <w:rPr>
          <w:rFonts w:cs="Times New Roman"/>
        </w:rPr>
        <w:t xml:space="preserve">Iepirkuma organizēšana; </w:t>
      </w:r>
      <w:r w:rsidR="00C855AB">
        <w:rPr>
          <w:rFonts w:cs="Times New Roman"/>
        </w:rPr>
        <w:t>4)</w:t>
      </w:r>
      <w:r w:rsidR="008B1212">
        <w:rPr>
          <w:rFonts w:cs="Times New Roman"/>
        </w:rPr>
        <w:t> </w:t>
      </w:r>
      <w:r>
        <w:rPr>
          <w:rFonts w:cs="Times New Roman"/>
        </w:rPr>
        <w:t xml:space="preserve">Uzglabāšana; </w:t>
      </w:r>
      <w:r w:rsidR="00C855AB">
        <w:rPr>
          <w:rFonts w:cs="Times New Roman"/>
        </w:rPr>
        <w:t>5)</w:t>
      </w:r>
      <w:r w:rsidR="008B1212">
        <w:rPr>
          <w:rFonts w:cs="Times New Roman"/>
        </w:rPr>
        <w:t> </w:t>
      </w:r>
      <w:r w:rsidRPr="00763896">
        <w:rPr>
          <w:rFonts w:cs="Times New Roman"/>
        </w:rPr>
        <w:t>Izsniegšana;</w:t>
      </w:r>
      <w:r w:rsidR="00C855AB">
        <w:rPr>
          <w:rFonts w:cs="Times New Roman"/>
        </w:rPr>
        <w:t>6)</w:t>
      </w:r>
      <w:r w:rsidR="008B1212">
        <w:rPr>
          <w:rFonts w:cs="Times New Roman"/>
        </w:rPr>
        <w:t> </w:t>
      </w:r>
      <w:r>
        <w:rPr>
          <w:rFonts w:cs="Times New Roman"/>
        </w:rPr>
        <w:t>Uzturēšana</w:t>
      </w:r>
      <w:r w:rsidRPr="00763896">
        <w:rPr>
          <w:rFonts w:cs="Times New Roman"/>
        </w:rPr>
        <w:t xml:space="preserve">; </w:t>
      </w:r>
      <w:r w:rsidR="00C855AB">
        <w:rPr>
          <w:rFonts w:cs="Times New Roman"/>
        </w:rPr>
        <w:t>7)</w:t>
      </w:r>
      <w:r w:rsidR="008B1212">
        <w:rPr>
          <w:rFonts w:cs="Times New Roman"/>
        </w:rPr>
        <w:t> </w:t>
      </w:r>
      <w:r w:rsidRPr="00763896">
        <w:rPr>
          <w:rFonts w:cs="Times New Roman"/>
        </w:rPr>
        <w:t>Utilizācija</w:t>
      </w:r>
      <w:r>
        <w:rPr>
          <w:rFonts w:cs="Times New Roman"/>
        </w:rPr>
        <w:t>.</w:t>
      </w:r>
    </w:p>
  </w:footnote>
  <w:footnote w:id="2">
    <w:p w14:paraId="2CF7135D" w14:textId="77777777" w:rsidR="00D34CEF" w:rsidRPr="00FF42D2" w:rsidRDefault="00D34CEF">
      <w:pPr>
        <w:pStyle w:val="FootnoteText"/>
        <w:rPr>
          <w:rFonts w:cs="Times New Roman"/>
        </w:rPr>
      </w:pPr>
      <w:r w:rsidRPr="00FF42D2">
        <w:rPr>
          <w:rFonts w:cs="Times New Roman"/>
        </w:rPr>
        <w:footnoteRef/>
      </w:r>
      <w:r w:rsidRPr="00FF42D2">
        <w:rPr>
          <w:rFonts w:cs="Times New Roman"/>
        </w:rPr>
        <w:t xml:space="preserve"> MTL krājumi tiek atjaunināti/papildināti</w:t>
      </w:r>
      <w:r w:rsidR="00FF42D2">
        <w:rPr>
          <w:rFonts w:cs="Times New Roman"/>
        </w:rPr>
        <w:t>, pamatojoties</w:t>
      </w:r>
      <w:r w:rsidRPr="00FF42D2">
        <w:rPr>
          <w:rFonts w:cs="Times New Roman"/>
        </w:rPr>
        <w:t xml:space="preserve"> uz vienību pieprasījumiem;</w:t>
      </w:r>
    </w:p>
  </w:footnote>
  <w:footnote w:id="3">
    <w:p w14:paraId="2CF7135E" w14:textId="77777777" w:rsidR="00D34CEF" w:rsidRPr="00FF42D2" w:rsidRDefault="00D34CEF">
      <w:pPr>
        <w:pStyle w:val="FootnoteText"/>
        <w:rPr>
          <w:rFonts w:cs="Times New Roman"/>
        </w:rPr>
      </w:pPr>
      <w:r w:rsidRPr="00FF42D2">
        <w:rPr>
          <w:rFonts w:cs="Times New Roman"/>
        </w:rPr>
        <w:footnoteRef/>
      </w:r>
      <w:r w:rsidRPr="00FF42D2">
        <w:rPr>
          <w:rFonts w:cs="Times New Roman"/>
        </w:rPr>
        <w:t xml:space="preserve"> MTL krājumi vienībās tiek atjaunināti/papildināti automātiski, samazinoties MTL krājumu daudzumam līdz noteiktam līmenim.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24803"/>
      <w:docPartObj>
        <w:docPartGallery w:val="Page Numbers (Top of Page)"/>
        <w:docPartUnique/>
      </w:docPartObj>
    </w:sdtPr>
    <w:sdtEndPr>
      <w:rPr>
        <w:noProof/>
      </w:rPr>
    </w:sdtEndPr>
    <w:sdtContent>
      <w:p w14:paraId="28655464" w14:textId="46DD886F" w:rsidR="007B40C9" w:rsidRDefault="007B40C9" w:rsidP="007B40C9">
        <w:pPr>
          <w:pStyle w:val="Header"/>
          <w:ind w:firstLine="0"/>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1D5"/>
    <w:multiLevelType w:val="hybridMultilevel"/>
    <w:tmpl w:val="18840262"/>
    <w:lvl w:ilvl="0" w:tplc="8334E7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C21776"/>
    <w:multiLevelType w:val="hybridMultilevel"/>
    <w:tmpl w:val="003659E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FA5EFA"/>
    <w:multiLevelType w:val="hybridMultilevel"/>
    <w:tmpl w:val="FB965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036693"/>
    <w:multiLevelType w:val="hybridMultilevel"/>
    <w:tmpl w:val="C062E62E"/>
    <w:lvl w:ilvl="0" w:tplc="0426000F">
      <w:start w:val="1"/>
      <w:numFmt w:val="decimal"/>
      <w:lvlText w:val="%1."/>
      <w:lvlJc w:val="left"/>
      <w:pPr>
        <w:ind w:left="3196" w:hanging="36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4" w15:restartNumberingAfterBreak="0">
    <w:nsid w:val="61A8322E"/>
    <w:multiLevelType w:val="hybridMultilevel"/>
    <w:tmpl w:val="5734CE14"/>
    <w:lvl w:ilvl="0" w:tplc="8334E7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745EF5"/>
    <w:multiLevelType w:val="hybridMultilevel"/>
    <w:tmpl w:val="FB1E6E1C"/>
    <w:lvl w:ilvl="0" w:tplc="B408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C2440F2"/>
    <w:multiLevelType w:val="hybridMultilevel"/>
    <w:tmpl w:val="805CBDB8"/>
    <w:lvl w:ilvl="0" w:tplc="460E185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04"/>
    <w:rsid w:val="000042FA"/>
    <w:rsid w:val="00026C4F"/>
    <w:rsid w:val="00030A17"/>
    <w:rsid w:val="00032B6F"/>
    <w:rsid w:val="0003618F"/>
    <w:rsid w:val="00037CEC"/>
    <w:rsid w:val="0004210E"/>
    <w:rsid w:val="00073E00"/>
    <w:rsid w:val="00080464"/>
    <w:rsid w:val="00094ECB"/>
    <w:rsid w:val="000C02B3"/>
    <w:rsid w:val="000C3306"/>
    <w:rsid w:val="000C4C54"/>
    <w:rsid w:val="0010045A"/>
    <w:rsid w:val="001029BB"/>
    <w:rsid w:val="00113FBD"/>
    <w:rsid w:val="00127F22"/>
    <w:rsid w:val="001405ED"/>
    <w:rsid w:val="00150A85"/>
    <w:rsid w:val="00155035"/>
    <w:rsid w:val="0015568D"/>
    <w:rsid w:val="00164834"/>
    <w:rsid w:val="00175856"/>
    <w:rsid w:val="001C5152"/>
    <w:rsid w:val="001F03A7"/>
    <w:rsid w:val="001F2B65"/>
    <w:rsid w:val="001F39B8"/>
    <w:rsid w:val="001F6912"/>
    <w:rsid w:val="00231804"/>
    <w:rsid w:val="002377FD"/>
    <w:rsid w:val="00247CDF"/>
    <w:rsid w:val="0025042B"/>
    <w:rsid w:val="002A3A04"/>
    <w:rsid w:val="002B00BD"/>
    <w:rsid w:val="002B39AB"/>
    <w:rsid w:val="002D3538"/>
    <w:rsid w:val="002F1B87"/>
    <w:rsid w:val="00302CFB"/>
    <w:rsid w:val="003152BC"/>
    <w:rsid w:val="00351382"/>
    <w:rsid w:val="003530BD"/>
    <w:rsid w:val="00366828"/>
    <w:rsid w:val="00397B74"/>
    <w:rsid w:val="003D250C"/>
    <w:rsid w:val="003F7670"/>
    <w:rsid w:val="00402A0D"/>
    <w:rsid w:val="0041288A"/>
    <w:rsid w:val="00415F1D"/>
    <w:rsid w:val="00416226"/>
    <w:rsid w:val="004178AD"/>
    <w:rsid w:val="00420199"/>
    <w:rsid w:val="00424ADA"/>
    <w:rsid w:val="004259C7"/>
    <w:rsid w:val="00455682"/>
    <w:rsid w:val="004A2BD8"/>
    <w:rsid w:val="004C1140"/>
    <w:rsid w:val="004D2DD4"/>
    <w:rsid w:val="004E024A"/>
    <w:rsid w:val="00507F00"/>
    <w:rsid w:val="0055442B"/>
    <w:rsid w:val="00555E64"/>
    <w:rsid w:val="00563FAF"/>
    <w:rsid w:val="00566F08"/>
    <w:rsid w:val="0057656D"/>
    <w:rsid w:val="00577814"/>
    <w:rsid w:val="00584EE4"/>
    <w:rsid w:val="00591BBF"/>
    <w:rsid w:val="005A6F06"/>
    <w:rsid w:val="005B0BDC"/>
    <w:rsid w:val="005B4C28"/>
    <w:rsid w:val="005D6EE5"/>
    <w:rsid w:val="005F1752"/>
    <w:rsid w:val="005F763A"/>
    <w:rsid w:val="00604B6C"/>
    <w:rsid w:val="00606FF2"/>
    <w:rsid w:val="00621AFB"/>
    <w:rsid w:val="00632649"/>
    <w:rsid w:val="006568C0"/>
    <w:rsid w:val="006713B0"/>
    <w:rsid w:val="006A6E4B"/>
    <w:rsid w:val="006D1ECB"/>
    <w:rsid w:val="006E7A46"/>
    <w:rsid w:val="007037B4"/>
    <w:rsid w:val="00705152"/>
    <w:rsid w:val="00710B9F"/>
    <w:rsid w:val="00720462"/>
    <w:rsid w:val="00763896"/>
    <w:rsid w:val="00765A74"/>
    <w:rsid w:val="00765AD7"/>
    <w:rsid w:val="0077240A"/>
    <w:rsid w:val="007755E9"/>
    <w:rsid w:val="007A243E"/>
    <w:rsid w:val="007B40C9"/>
    <w:rsid w:val="007F27A7"/>
    <w:rsid w:val="00801D33"/>
    <w:rsid w:val="00816608"/>
    <w:rsid w:val="00817F33"/>
    <w:rsid w:val="00824B6E"/>
    <w:rsid w:val="00864AE1"/>
    <w:rsid w:val="008669D6"/>
    <w:rsid w:val="008770B8"/>
    <w:rsid w:val="008B1212"/>
    <w:rsid w:val="008E326F"/>
    <w:rsid w:val="008E4359"/>
    <w:rsid w:val="00924C07"/>
    <w:rsid w:val="00976054"/>
    <w:rsid w:val="009D352E"/>
    <w:rsid w:val="009E2CC9"/>
    <w:rsid w:val="00A041E6"/>
    <w:rsid w:val="00A05385"/>
    <w:rsid w:val="00A46788"/>
    <w:rsid w:val="00A67DF5"/>
    <w:rsid w:val="00A73DD0"/>
    <w:rsid w:val="00A760D2"/>
    <w:rsid w:val="00A84BCA"/>
    <w:rsid w:val="00A9593B"/>
    <w:rsid w:val="00AB2F1E"/>
    <w:rsid w:val="00AC0A35"/>
    <w:rsid w:val="00AC3A2F"/>
    <w:rsid w:val="00AD5C74"/>
    <w:rsid w:val="00AF56E8"/>
    <w:rsid w:val="00B02532"/>
    <w:rsid w:val="00B14AC2"/>
    <w:rsid w:val="00B216AC"/>
    <w:rsid w:val="00B23F12"/>
    <w:rsid w:val="00B404A2"/>
    <w:rsid w:val="00B54ECE"/>
    <w:rsid w:val="00B74394"/>
    <w:rsid w:val="00B75C7A"/>
    <w:rsid w:val="00B81002"/>
    <w:rsid w:val="00B870EE"/>
    <w:rsid w:val="00BA3CD3"/>
    <w:rsid w:val="00BE5D53"/>
    <w:rsid w:val="00BF13F2"/>
    <w:rsid w:val="00BF2EF2"/>
    <w:rsid w:val="00BF39B8"/>
    <w:rsid w:val="00C215B9"/>
    <w:rsid w:val="00C257ED"/>
    <w:rsid w:val="00C679BD"/>
    <w:rsid w:val="00C7334F"/>
    <w:rsid w:val="00C73FE8"/>
    <w:rsid w:val="00C855AB"/>
    <w:rsid w:val="00C933D1"/>
    <w:rsid w:val="00CA4217"/>
    <w:rsid w:val="00CB1E34"/>
    <w:rsid w:val="00CC4675"/>
    <w:rsid w:val="00CE7119"/>
    <w:rsid w:val="00CF312D"/>
    <w:rsid w:val="00D137A6"/>
    <w:rsid w:val="00D26592"/>
    <w:rsid w:val="00D34CEF"/>
    <w:rsid w:val="00D5642E"/>
    <w:rsid w:val="00D614F3"/>
    <w:rsid w:val="00D63909"/>
    <w:rsid w:val="00D66621"/>
    <w:rsid w:val="00D872B1"/>
    <w:rsid w:val="00D93A8D"/>
    <w:rsid w:val="00D96C6D"/>
    <w:rsid w:val="00DA59E4"/>
    <w:rsid w:val="00DB77EB"/>
    <w:rsid w:val="00DC677D"/>
    <w:rsid w:val="00DD5010"/>
    <w:rsid w:val="00DE4C4A"/>
    <w:rsid w:val="00DF1047"/>
    <w:rsid w:val="00E0272C"/>
    <w:rsid w:val="00E14D01"/>
    <w:rsid w:val="00E47956"/>
    <w:rsid w:val="00E652C3"/>
    <w:rsid w:val="00E83C1D"/>
    <w:rsid w:val="00E83FC6"/>
    <w:rsid w:val="00EC1A76"/>
    <w:rsid w:val="00ED3400"/>
    <w:rsid w:val="00EE6D19"/>
    <w:rsid w:val="00EF5422"/>
    <w:rsid w:val="00F26F25"/>
    <w:rsid w:val="00F305AF"/>
    <w:rsid w:val="00F30DDD"/>
    <w:rsid w:val="00F34EC2"/>
    <w:rsid w:val="00F3777A"/>
    <w:rsid w:val="00F4444C"/>
    <w:rsid w:val="00F44A98"/>
    <w:rsid w:val="00F6070C"/>
    <w:rsid w:val="00F6624A"/>
    <w:rsid w:val="00F730CA"/>
    <w:rsid w:val="00F84929"/>
    <w:rsid w:val="00F935B4"/>
    <w:rsid w:val="00FB60EC"/>
    <w:rsid w:val="00FF42D2"/>
    <w:rsid w:val="00FF7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F712A1"/>
  <w15:chartTrackingRefBased/>
  <w15:docId w15:val="{419836D9-91DE-4C39-8FD9-86A82F06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AE1"/>
    <w:pPr>
      <w:spacing w:line="240"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D63909"/>
    <w:pPr>
      <w:keepNext/>
      <w:keepLines/>
      <w:spacing w:before="240" w:after="0" w:line="480" w:lineRule="auto"/>
      <w:ind w:firstLine="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10"/>
    <w:pPr>
      <w:ind w:left="720"/>
      <w:contextualSpacing/>
    </w:pPr>
  </w:style>
  <w:style w:type="paragraph" w:styleId="FootnoteText">
    <w:name w:val="footnote text"/>
    <w:basedOn w:val="Normal"/>
    <w:link w:val="FootnoteTextChar"/>
    <w:uiPriority w:val="99"/>
    <w:semiHidden/>
    <w:unhideWhenUsed/>
    <w:rsid w:val="00763896"/>
    <w:pPr>
      <w:spacing w:after="0"/>
    </w:pPr>
    <w:rPr>
      <w:sz w:val="20"/>
      <w:szCs w:val="20"/>
    </w:rPr>
  </w:style>
  <w:style w:type="character" w:customStyle="1" w:styleId="FootnoteTextChar">
    <w:name w:val="Footnote Text Char"/>
    <w:basedOn w:val="DefaultParagraphFont"/>
    <w:link w:val="FootnoteText"/>
    <w:uiPriority w:val="99"/>
    <w:semiHidden/>
    <w:rsid w:val="00763896"/>
    <w:rPr>
      <w:sz w:val="20"/>
      <w:szCs w:val="20"/>
    </w:rPr>
  </w:style>
  <w:style w:type="character" w:styleId="FootnoteReference">
    <w:name w:val="footnote reference"/>
    <w:basedOn w:val="DefaultParagraphFont"/>
    <w:uiPriority w:val="99"/>
    <w:semiHidden/>
    <w:unhideWhenUsed/>
    <w:rsid w:val="00763896"/>
    <w:rPr>
      <w:vertAlign w:val="superscript"/>
    </w:rPr>
  </w:style>
  <w:style w:type="paragraph" w:styleId="Header">
    <w:name w:val="header"/>
    <w:basedOn w:val="Normal"/>
    <w:link w:val="HeaderChar"/>
    <w:uiPriority w:val="99"/>
    <w:unhideWhenUsed/>
    <w:rsid w:val="00420199"/>
    <w:pPr>
      <w:tabs>
        <w:tab w:val="center" w:pos="4153"/>
        <w:tab w:val="right" w:pos="8306"/>
      </w:tabs>
      <w:spacing w:after="0"/>
    </w:pPr>
  </w:style>
  <w:style w:type="character" w:customStyle="1" w:styleId="HeaderChar">
    <w:name w:val="Header Char"/>
    <w:basedOn w:val="DefaultParagraphFont"/>
    <w:link w:val="Header"/>
    <w:uiPriority w:val="99"/>
    <w:rsid w:val="00420199"/>
  </w:style>
  <w:style w:type="paragraph" w:styleId="Footer">
    <w:name w:val="footer"/>
    <w:basedOn w:val="Normal"/>
    <w:link w:val="FooterChar"/>
    <w:uiPriority w:val="99"/>
    <w:unhideWhenUsed/>
    <w:rsid w:val="00420199"/>
    <w:pPr>
      <w:tabs>
        <w:tab w:val="center" w:pos="4153"/>
        <w:tab w:val="right" w:pos="8306"/>
      </w:tabs>
      <w:spacing w:after="0"/>
    </w:pPr>
  </w:style>
  <w:style w:type="character" w:customStyle="1" w:styleId="FooterChar">
    <w:name w:val="Footer Char"/>
    <w:basedOn w:val="DefaultParagraphFont"/>
    <w:link w:val="Footer"/>
    <w:uiPriority w:val="99"/>
    <w:rsid w:val="00420199"/>
  </w:style>
  <w:style w:type="character" w:customStyle="1" w:styleId="Heading1Char">
    <w:name w:val="Heading 1 Char"/>
    <w:basedOn w:val="DefaultParagraphFont"/>
    <w:link w:val="Heading1"/>
    <w:uiPriority w:val="9"/>
    <w:rsid w:val="00D63909"/>
    <w:rPr>
      <w:rFonts w:ascii="Times New Roman" w:eastAsiaTheme="majorEastAsia" w:hAnsi="Times New Roman" w:cstheme="majorBidi"/>
      <w:b/>
      <w:sz w:val="24"/>
      <w:szCs w:val="32"/>
    </w:rPr>
  </w:style>
  <w:style w:type="character" w:customStyle="1" w:styleId="st">
    <w:name w:val="st"/>
    <w:basedOn w:val="DefaultParagraphFont"/>
    <w:rsid w:val="00864AE1"/>
  </w:style>
  <w:style w:type="paragraph" w:styleId="BalloonText">
    <w:name w:val="Balloon Text"/>
    <w:basedOn w:val="Normal"/>
    <w:link w:val="BalloonTextChar"/>
    <w:uiPriority w:val="99"/>
    <w:semiHidden/>
    <w:unhideWhenUsed/>
    <w:rsid w:val="006A6E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1795">
      <w:bodyDiv w:val="1"/>
      <w:marLeft w:val="0"/>
      <w:marRight w:val="0"/>
      <w:marTop w:val="0"/>
      <w:marBottom w:val="0"/>
      <w:divBdr>
        <w:top w:val="none" w:sz="0" w:space="0" w:color="auto"/>
        <w:left w:val="none" w:sz="0" w:space="0" w:color="auto"/>
        <w:bottom w:val="none" w:sz="0" w:space="0" w:color="auto"/>
        <w:right w:val="none" w:sz="0" w:space="0" w:color="auto"/>
      </w:divBdr>
    </w:div>
    <w:div w:id="16952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9F85-FFA4-46D5-8DF2-7EDC4D6F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13531</Words>
  <Characters>7713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Murmanis</dc:creator>
  <cp:keywords/>
  <dc:description/>
  <cp:lastModifiedBy>Leontine Babkina</cp:lastModifiedBy>
  <cp:revision>8</cp:revision>
  <cp:lastPrinted>2020-10-12T10:52:00Z</cp:lastPrinted>
  <dcterms:created xsi:type="dcterms:W3CDTF">2020-09-24T06:36:00Z</dcterms:created>
  <dcterms:modified xsi:type="dcterms:W3CDTF">2020-10-14T08:04:00Z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