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594A" w14:textId="7FAA3337" w:rsidR="001E4601" w:rsidRPr="002447DF" w:rsidRDefault="001E4601" w:rsidP="001E4601">
      <w:pPr>
        <w:pStyle w:val="naislab"/>
        <w:spacing w:before="0" w:after="0"/>
        <w:jc w:val="center"/>
        <w:outlineLvl w:val="0"/>
        <w:rPr>
          <w:b/>
          <w:color w:val="000000" w:themeColor="text1"/>
          <w:sz w:val="26"/>
          <w:szCs w:val="26"/>
        </w:rPr>
      </w:pPr>
      <w:r w:rsidRPr="002447DF">
        <w:rPr>
          <w:b/>
          <w:color w:val="000000" w:themeColor="text1"/>
          <w:sz w:val="26"/>
          <w:szCs w:val="26"/>
        </w:rPr>
        <w:t xml:space="preserve">Likumprojekta „Grozījumi Konkurences likumā” sākotnējās ietekmes novērtējuma </w:t>
      </w:r>
      <w:smartTag w:uri="schemas-tilde-lv/tildestengine" w:element="veidnes">
        <w:smartTagPr>
          <w:attr w:name="text" w:val="ziņojums"/>
          <w:attr w:name="baseform" w:val="ziņojums"/>
          <w:attr w:name="id" w:val="-1"/>
        </w:smartTagPr>
        <w:r w:rsidRPr="002447DF">
          <w:rPr>
            <w:b/>
            <w:color w:val="000000" w:themeColor="text1"/>
            <w:sz w:val="26"/>
            <w:szCs w:val="26"/>
          </w:rPr>
          <w:t>ziņojums</w:t>
        </w:r>
      </w:smartTag>
      <w:r w:rsidRPr="002447DF">
        <w:rPr>
          <w:b/>
          <w:color w:val="000000" w:themeColor="text1"/>
          <w:sz w:val="26"/>
          <w:szCs w:val="26"/>
        </w:rPr>
        <w:t xml:space="preserve"> (anotācija)</w:t>
      </w:r>
    </w:p>
    <w:p w14:paraId="3F7BC4BC" w14:textId="71A4E4D2" w:rsidR="002447DF" w:rsidRDefault="002447DF" w:rsidP="001E4601">
      <w:pPr>
        <w:pStyle w:val="naislab"/>
        <w:spacing w:before="0" w:after="0"/>
        <w:jc w:val="center"/>
        <w:outlineLvl w:val="0"/>
        <w:rPr>
          <w:b/>
          <w:color w:val="000000" w:themeColor="text1"/>
        </w:rPr>
      </w:pPr>
    </w:p>
    <w:p w14:paraId="1DE79F38" w14:textId="4D5763D6" w:rsidR="00810485" w:rsidRDefault="00810485" w:rsidP="001E4601">
      <w:pPr>
        <w:pStyle w:val="naislab"/>
        <w:spacing w:before="0" w:after="0"/>
        <w:jc w:val="center"/>
        <w:outlineLvl w:val="0"/>
        <w:rPr>
          <w:b/>
          <w:color w:val="000000" w:themeColor="text1"/>
        </w:rPr>
      </w:pPr>
    </w:p>
    <w:tbl>
      <w:tblPr>
        <w:tblW w:w="533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3"/>
        <w:gridCol w:w="6782"/>
      </w:tblGrid>
      <w:tr w:rsidR="004C1A57" w:rsidRPr="004C1A57" w14:paraId="6D74EB4B" w14:textId="77777777" w:rsidTr="004C1A57">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853CA9" w14:textId="77777777" w:rsidR="004C1A57" w:rsidRPr="004C1A57" w:rsidRDefault="004C1A57" w:rsidP="00670111">
            <w:pPr>
              <w:spacing w:after="0" w:line="240" w:lineRule="auto"/>
              <w:ind w:firstLine="300"/>
              <w:jc w:val="center"/>
              <w:rPr>
                <w:rFonts w:ascii="Times New Roman" w:eastAsia="Times New Roman" w:hAnsi="Times New Roman" w:cs="Times New Roman"/>
                <w:b/>
                <w:bCs/>
                <w:sz w:val="24"/>
                <w:szCs w:val="24"/>
                <w:lang w:val="lv-LV" w:eastAsia="lv-LV"/>
              </w:rPr>
            </w:pPr>
            <w:r w:rsidRPr="004C1A57">
              <w:rPr>
                <w:rFonts w:ascii="Times New Roman" w:eastAsia="Times New Roman" w:hAnsi="Times New Roman" w:cs="Times New Roman"/>
                <w:b/>
                <w:bCs/>
                <w:sz w:val="24"/>
                <w:szCs w:val="24"/>
                <w:lang w:val="lv-LV" w:eastAsia="lv-LV"/>
              </w:rPr>
              <w:t>Tiesību akta projekta anotācijas kopsavilkums</w:t>
            </w:r>
          </w:p>
        </w:tc>
      </w:tr>
      <w:tr w:rsidR="004C1A57" w:rsidRPr="00DA1DD3" w14:paraId="21BE720D" w14:textId="77777777" w:rsidTr="004C1A57">
        <w:tc>
          <w:tcPr>
            <w:tcW w:w="1316" w:type="pct"/>
            <w:tcBorders>
              <w:top w:val="outset" w:sz="6" w:space="0" w:color="414142"/>
              <w:left w:val="outset" w:sz="6" w:space="0" w:color="414142"/>
              <w:bottom w:val="outset" w:sz="6" w:space="0" w:color="414142"/>
              <w:right w:val="outset" w:sz="6" w:space="0" w:color="414142"/>
            </w:tcBorders>
            <w:shd w:val="clear" w:color="auto" w:fill="auto"/>
            <w:hideMark/>
          </w:tcPr>
          <w:p w14:paraId="39739C86" w14:textId="77777777" w:rsidR="004C1A57" w:rsidRPr="004C1A57" w:rsidRDefault="004C1A57" w:rsidP="00670111">
            <w:pPr>
              <w:spacing w:after="0" w:line="240" w:lineRule="auto"/>
              <w:ind w:right="198"/>
              <w:jc w:val="both"/>
              <w:rPr>
                <w:rFonts w:ascii="Times New Roman" w:eastAsia="Times New Roman" w:hAnsi="Times New Roman" w:cs="Times New Roman"/>
                <w:sz w:val="24"/>
                <w:szCs w:val="24"/>
                <w:lang w:val="lv-LV" w:eastAsia="lv-LV"/>
              </w:rPr>
            </w:pPr>
            <w:r w:rsidRPr="004C1A57">
              <w:rPr>
                <w:rFonts w:ascii="Times New Roman" w:eastAsia="Times New Roman" w:hAnsi="Times New Roman" w:cs="Times New Roman"/>
                <w:sz w:val="24"/>
                <w:szCs w:val="24"/>
                <w:lang w:val="lv-LV" w:eastAsia="lv-LV"/>
              </w:rPr>
              <w:t>Mērķis, risinājums un projekta spēkā stāšanās laiks (500 zīmes bez atstarpēm)</w:t>
            </w:r>
          </w:p>
        </w:tc>
        <w:tc>
          <w:tcPr>
            <w:tcW w:w="3684" w:type="pct"/>
            <w:tcBorders>
              <w:top w:val="outset" w:sz="6" w:space="0" w:color="414142"/>
              <w:left w:val="outset" w:sz="6" w:space="0" w:color="414142"/>
              <w:bottom w:val="outset" w:sz="6" w:space="0" w:color="414142"/>
              <w:right w:val="outset" w:sz="6" w:space="0" w:color="414142"/>
            </w:tcBorders>
            <w:shd w:val="clear" w:color="auto" w:fill="auto"/>
            <w:hideMark/>
          </w:tcPr>
          <w:p w14:paraId="75CEFEE5" w14:textId="357F71D0" w:rsidR="004C1A57" w:rsidRPr="004C1A57" w:rsidRDefault="004C1A57" w:rsidP="004C1A57">
            <w:pPr>
              <w:spacing w:after="0" w:line="240" w:lineRule="auto"/>
              <w:ind w:left="57" w:right="57"/>
              <w:jc w:val="both"/>
              <w:rPr>
                <w:rFonts w:ascii="Times New Roman" w:hAnsi="Times New Roman" w:cs="Times New Roman"/>
                <w:sz w:val="24"/>
                <w:szCs w:val="24"/>
                <w:lang w:val="lv-LV"/>
              </w:rPr>
            </w:pPr>
            <w:r w:rsidRPr="004C1A57">
              <w:rPr>
                <w:rFonts w:ascii="Times New Roman" w:hAnsi="Times New Roman" w:cs="Times New Roman"/>
                <w:sz w:val="24"/>
                <w:szCs w:val="24"/>
                <w:lang w:val="lv-LV"/>
              </w:rPr>
              <w:t xml:space="preserve">Likumprojekta </w:t>
            </w:r>
            <w:r w:rsidR="00AE52E2">
              <w:rPr>
                <w:rFonts w:ascii="Times New Roman" w:hAnsi="Times New Roman" w:cs="Times New Roman"/>
                <w:sz w:val="24"/>
                <w:szCs w:val="24"/>
                <w:lang w:val="lv-LV"/>
              </w:rPr>
              <w:t xml:space="preserve">“Grozījumi Konkurences likuma” (turpmāk - Likumprojekts) </w:t>
            </w:r>
            <w:r w:rsidRPr="004C1A57">
              <w:rPr>
                <w:rFonts w:ascii="Times New Roman" w:hAnsi="Times New Roman" w:cs="Times New Roman"/>
                <w:sz w:val="24"/>
                <w:szCs w:val="24"/>
                <w:lang w:val="lv-LV"/>
              </w:rPr>
              <w:t xml:space="preserve">mērķis ir stiprināt Konkurences padomes darbību ar nepieciešamajām neatkarības garantijām, resursiem un izpildes pilnvarām efektīvai konkurences tiesību pārkāpumu izmeklēšanai un </w:t>
            </w:r>
            <w:proofErr w:type="spellStart"/>
            <w:r w:rsidRPr="004C1A57">
              <w:rPr>
                <w:rFonts w:ascii="Times New Roman" w:hAnsi="Times New Roman" w:cs="Times New Roman"/>
                <w:sz w:val="24"/>
                <w:szCs w:val="24"/>
                <w:lang w:val="lv-LV"/>
              </w:rPr>
              <w:t>prevencijai</w:t>
            </w:r>
            <w:proofErr w:type="spellEnd"/>
            <w:r w:rsidRPr="004C1A57">
              <w:rPr>
                <w:rFonts w:ascii="Times New Roman" w:hAnsi="Times New Roman" w:cs="Times New Roman"/>
                <w:sz w:val="24"/>
                <w:szCs w:val="24"/>
                <w:lang w:val="lv-LV"/>
              </w:rPr>
              <w:t>, jo īpaši  Līguma par Eiropas Savienības darbību 101. un 102. panta piemērošanai.</w:t>
            </w:r>
            <w:r w:rsidRPr="004C1A57">
              <w:rPr>
                <w:rFonts w:ascii="Times New Roman" w:hAnsi="Times New Roman" w:cs="Times New Roman"/>
                <w:bCs/>
                <w:iCs/>
                <w:sz w:val="24"/>
                <w:szCs w:val="24"/>
                <w:lang w:val="lv-LV"/>
              </w:rPr>
              <w:t xml:space="preserve"> Likumprojekts izstrādāts, lai </w:t>
            </w:r>
            <w:r w:rsidRPr="004C1A57">
              <w:rPr>
                <w:rFonts w:ascii="Times New Roman" w:hAnsi="Times New Roman" w:cs="Times New Roman"/>
                <w:color w:val="0D0D0D" w:themeColor="text1" w:themeTint="F2"/>
                <w:sz w:val="24"/>
                <w:szCs w:val="24"/>
                <w:shd w:val="clear" w:color="auto" w:fill="FFFFFF"/>
                <w:lang w:val="lv-LV"/>
              </w:rPr>
              <w:t xml:space="preserve">ieviestu Latvijas tiesību aktos </w:t>
            </w:r>
            <w:r w:rsidRPr="004C1A57">
              <w:rPr>
                <w:rFonts w:ascii="Times New Roman" w:hAnsi="Times New Roman" w:cs="Times New Roman"/>
                <w:i/>
                <w:iCs/>
                <w:color w:val="0D0D0D" w:themeColor="text1" w:themeTint="F2"/>
                <w:sz w:val="24"/>
                <w:szCs w:val="24"/>
                <w:shd w:val="clear" w:color="auto" w:fill="FFFFFF"/>
                <w:lang w:val="lv-LV"/>
              </w:rPr>
              <w:t>Eiropas Parlamenta un Padomes Direktīvu 2019/1/ES par apstākļu nodrošināšanu nolūkā dot dalībvalstu konkurences iestādēm iespēju efektīvāk izpildīt konkurences noteikumus un par iekšējā tirgus pienācīgas darbības nodrošināšanu</w:t>
            </w:r>
            <w:r w:rsidRPr="004C1A57">
              <w:rPr>
                <w:rFonts w:ascii="Times New Roman" w:hAnsi="Times New Roman" w:cs="Times New Roman"/>
                <w:color w:val="0D0D0D" w:themeColor="text1" w:themeTint="F2"/>
                <w:sz w:val="24"/>
                <w:szCs w:val="24"/>
                <w:shd w:val="clear" w:color="auto" w:fill="FFFFFF"/>
                <w:lang w:val="lv-LV"/>
              </w:rPr>
              <w:t xml:space="preserve"> (turpmāk – Direktīva). </w:t>
            </w:r>
          </w:p>
          <w:p w14:paraId="2115948C" w14:textId="77777777" w:rsidR="004C1A57" w:rsidRPr="00587EA7" w:rsidRDefault="004C1A57" w:rsidP="004C1A57">
            <w:pPr>
              <w:shd w:val="clear" w:color="auto" w:fill="FFFFFF"/>
              <w:spacing w:before="120" w:after="0" w:line="240" w:lineRule="auto"/>
              <w:jc w:val="both"/>
              <w:rPr>
                <w:rFonts w:ascii="Times New Roman" w:eastAsia="Times New Roman" w:hAnsi="Times New Roman" w:cs="Times New Roman"/>
                <w:color w:val="0D0D0D" w:themeColor="text1" w:themeTint="F2"/>
                <w:sz w:val="24"/>
                <w:szCs w:val="24"/>
              </w:rPr>
            </w:pPr>
            <w:proofErr w:type="spellStart"/>
            <w:r w:rsidRPr="00587EA7">
              <w:rPr>
                <w:rFonts w:ascii="Times New Roman" w:eastAsia="Times New Roman" w:hAnsi="Times New Roman" w:cs="Times New Roman"/>
                <w:color w:val="0D0D0D" w:themeColor="text1" w:themeTint="F2"/>
                <w:sz w:val="24"/>
                <w:szCs w:val="24"/>
              </w:rPr>
              <w:t>Ievērojot</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Direktīvas</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prasības</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Likumprojekts</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paredz</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veikt</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šādus</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sidRPr="00587EA7">
              <w:rPr>
                <w:rFonts w:ascii="Times New Roman" w:eastAsia="Times New Roman" w:hAnsi="Times New Roman" w:cs="Times New Roman"/>
                <w:color w:val="0D0D0D" w:themeColor="text1" w:themeTint="F2"/>
                <w:sz w:val="24"/>
                <w:szCs w:val="24"/>
              </w:rPr>
              <w:t>pilnveidojumus</w:t>
            </w:r>
            <w:proofErr w:type="spellEnd"/>
            <w:r w:rsidRPr="00587EA7">
              <w:rPr>
                <w:rFonts w:ascii="Times New Roman" w:eastAsia="Times New Roman" w:hAnsi="Times New Roman" w:cs="Times New Roman"/>
                <w:color w:val="0D0D0D" w:themeColor="text1" w:themeTint="F2"/>
                <w:sz w:val="24"/>
                <w:szCs w:val="24"/>
              </w:rPr>
              <w:t xml:space="preserve"> </w:t>
            </w:r>
            <w:proofErr w:type="spellStart"/>
            <w:r>
              <w:rPr>
                <w:rFonts w:ascii="Times New Roman" w:eastAsia="Times New Roman" w:hAnsi="Times New Roman" w:cs="Times New Roman"/>
                <w:color w:val="0D0D0D" w:themeColor="text1" w:themeTint="F2"/>
                <w:sz w:val="24"/>
                <w:szCs w:val="24"/>
              </w:rPr>
              <w:t>Konkurences</w:t>
            </w:r>
            <w:proofErr w:type="spellEnd"/>
            <w:r>
              <w:rPr>
                <w:rFonts w:ascii="Times New Roman" w:eastAsia="Times New Roman" w:hAnsi="Times New Roman" w:cs="Times New Roman"/>
                <w:color w:val="0D0D0D" w:themeColor="text1" w:themeTint="F2"/>
                <w:sz w:val="24"/>
                <w:szCs w:val="24"/>
              </w:rPr>
              <w:t xml:space="preserve"> </w:t>
            </w:r>
            <w:proofErr w:type="spellStart"/>
            <w:r>
              <w:rPr>
                <w:rFonts w:ascii="Times New Roman" w:eastAsia="Times New Roman" w:hAnsi="Times New Roman" w:cs="Times New Roman"/>
                <w:color w:val="0D0D0D" w:themeColor="text1" w:themeTint="F2"/>
                <w:sz w:val="24"/>
                <w:szCs w:val="24"/>
              </w:rPr>
              <w:t>l</w:t>
            </w:r>
            <w:r w:rsidRPr="00587EA7">
              <w:rPr>
                <w:rFonts w:ascii="Times New Roman" w:eastAsia="Times New Roman" w:hAnsi="Times New Roman" w:cs="Times New Roman"/>
                <w:color w:val="0D0D0D" w:themeColor="text1" w:themeTint="F2"/>
                <w:sz w:val="24"/>
                <w:szCs w:val="24"/>
              </w:rPr>
              <w:t>ikum</w:t>
            </w:r>
            <w:r>
              <w:rPr>
                <w:rFonts w:ascii="Times New Roman" w:eastAsia="Times New Roman" w:hAnsi="Times New Roman" w:cs="Times New Roman"/>
                <w:color w:val="0D0D0D" w:themeColor="text1" w:themeTint="F2"/>
                <w:sz w:val="24"/>
                <w:szCs w:val="24"/>
              </w:rPr>
              <w:t>ā</w:t>
            </w:r>
            <w:proofErr w:type="spellEnd"/>
            <w:r w:rsidRPr="00587EA7">
              <w:rPr>
                <w:rFonts w:ascii="Times New Roman" w:eastAsia="Times New Roman" w:hAnsi="Times New Roman" w:cs="Times New Roman"/>
                <w:color w:val="0D0D0D" w:themeColor="text1" w:themeTint="F2"/>
                <w:sz w:val="24"/>
                <w:szCs w:val="24"/>
              </w:rPr>
              <w:t>:</w:t>
            </w:r>
          </w:p>
          <w:p w14:paraId="53F0945A" w14:textId="77777777" w:rsidR="004C1A57" w:rsidRPr="00587EA7" w:rsidRDefault="004C1A57"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sidRPr="00587EA7">
              <w:rPr>
                <w:rFonts w:ascii="Times New Roman" w:hAnsi="Times New Roman" w:cs="Times New Roman"/>
                <w:color w:val="0D0D0D" w:themeColor="text1" w:themeTint="F2"/>
                <w:sz w:val="24"/>
                <w:szCs w:val="24"/>
              </w:rPr>
              <w:t xml:space="preserve">papildināt </w:t>
            </w:r>
            <w:r>
              <w:rPr>
                <w:rFonts w:ascii="Times New Roman" w:hAnsi="Times New Roman" w:cs="Times New Roman"/>
                <w:color w:val="0D0D0D" w:themeColor="text1" w:themeTint="F2"/>
                <w:sz w:val="24"/>
                <w:szCs w:val="24"/>
              </w:rPr>
              <w:t>l</w:t>
            </w:r>
            <w:r w:rsidRPr="00587EA7">
              <w:rPr>
                <w:rFonts w:ascii="Times New Roman" w:hAnsi="Times New Roman" w:cs="Times New Roman"/>
                <w:color w:val="0D0D0D" w:themeColor="text1" w:themeTint="F2"/>
                <w:sz w:val="24"/>
                <w:szCs w:val="24"/>
              </w:rPr>
              <w:t>ikumu ar tiesību normām par konkurences iestādes funkcionālo neatkarību un nepieciešamajiem resursiem;</w:t>
            </w:r>
          </w:p>
          <w:p w14:paraId="4F782433" w14:textId="77777777" w:rsidR="004C1A57" w:rsidRPr="00587EA7" w:rsidRDefault="004C1A57"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sidRPr="00587EA7">
              <w:rPr>
                <w:rFonts w:ascii="Times New Roman" w:eastAsia="Times New Roman" w:hAnsi="Times New Roman" w:cs="Times New Roman"/>
                <w:color w:val="0D0D0D" w:themeColor="text1" w:themeTint="F2"/>
                <w:sz w:val="24"/>
                <w:szCs w:val="24"/>
              </w:rPr>
              <w:t xml:space="preserve">papildināt </w:t>
            </w:r>
            <w:r>
              <w:rPr>
                <w:rFonts w:ascii="Times New Roman" w:eastAsia="Times New Roman" w:hAnsi="Times New Roman" w:cs="Times New Roman"/>
                <w:color w:val="0D0D0D" w:themeColor="text1" w:themeTint="F2"/>
                <w:sz w:val="24"/>
                <w:szCs w:val="24"/>
              </w:rPr>
              <w:t>l</w:t>
            </w:r>
            <w:r w:rsidRPr="00587EA7">
              <w:rPr>
                <w:rFonts w:ascii="Times New Roman" w:eastAsia="Times New Roman" w:hAnsi="Times New Roman" w:cs="Times New Roman"/>
                <w:color w:val="0D0D0D" w:themeColor="text1" w:themeTint="F2"/>
                <w:sz w:val="24"/>
                <w:szCs w:val="24"/>
              </w:rPr>
              <w:t xml:space="preserve">ikumu ar pilnvarām (tās precizējot) efektīvai </w:t>
            </w:r>
            <w:r>
              <w:rPr>
                <w:rFonts w:ascii="Times New Roman" w:eastAsia="Times New Roman" w:hAnsi="Times New Roman" w:cs="Times New Roman"/>
                <w:color w:val="0D0D0D" w:themeColor="text1" w:themeTint="F2"/>
                <w:sz w:val="24"/>
                <w:szCs w:val="24"/>
              </w:rPr>
              <w:t>konkurences noteikumu</w:t>
            </w:r>
            <w:r w:rsidRPr="00587EA7">
              <w:rPr>
                <w:rFonts w:ascii="Times New Roman" w:eastAsia="Times New Roman" w:hAnsi="Times New Roman" w:cs="Times New Roman"/>
                <w:color w:val="0D0D0D" w:themeColor="text1" w:themeTint="F2"/>
                <w:sz w:val="24"/>
                <w:szCs w:val="24"/>
              </w:rPr>
              <w:t xml:space="preserve"> pārkāpumu izmeklēšan</w:t>
            </w:r>
            <w:r>
              <w:rPr>
                <w:rFonts w:ascii="Times New Roman" w:eastAsia="Times New Roman" w:hAnsi="Times New Roman" w:cs="Times New Roman"/>
                <w:color w:val="0D0D0D" w:themeColor="text1" w:themeTint="F2"/>
                <w:sz w:val="24"/>
                <w:szCs w:val="24"/>
              </w:rPr>
              <w:t>ai</w:t>
            </w:r>
            <w:r w:rsidRPr="00587EA7">
              <w:rPr>
                <w:rFonts w:ascii="Times New Roman" w:eastAsia="Times New Roman" w:hAnsi="Times New Roman" w:cs="Times New Roman"/>
                <w:color w:val="0D0D0D" w:themeColor="text1" w:themeTint="F2"/>
                <w:sz w:val="24"/>
                <w:szCs w:val="24"/>
              </w:rPr>
              <w:t xml:space="preserve"> un atklāšan</w:t>
            </w:r>
            <w:r>
              <w:rPr>
                <w:rFonts w:ascii="Times New Roman" w:eastAsia="Times New Roman" w:hAnsi="Times New Roman" w:cs="Times New Roman"/>
                <w:color w:val="0D0D0D" w:themeColor="text1" w:themeTint="F2"/>
                <w:sz w:val="24"/>
                <w:szCs w:val="24"/>
              </w:rPr>
              <w:t>ai</w:t>
            </w:r>
            <w:r w:rsidRPr="00587EA7">
              <w:rPr>
                <w:rFonts w:ascii="Times New Roman" w:eastAsia="Times New Roman" w:hAnsi="Times New Roman" w:cs="Times New Roman"/>
                <w:color w:val="0D0D0D" w:themeColor="text1" w:themeTint="F2"/>
                <w:sz w:val="24"/>
                <w:szCs w:val="24"/>
              </w:rPr>
              <w:t>;</w:t>
            </w:r>
          </w:p>
          <w:p w14:paraId="4F119AC2" w14:textId="77777777" w:rsidR="004C1A57" w:rsidRPr="00587EA7" w:rsidRDefault="004C1A57"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sidRPr="00587EA7">
              <w:rPr>
                <w:rFonts w:ascii="Times New Roman" w:eastAsia="Times New Roman" w:hAnsi="Times New Roman" w:cs="Times New Roman"/>
                <w:color w:val="0D0D0D" w:themeColor="text1" w:themeTint="F2"/>
                <w:sz w:val="24"/>
                <w:szCs w:val="24"/>
              </w:rPr>
              <w:t xml:space="preserve">papildināt </w:t>
            </w:r>
            <w:r>
              <w:rPr>
                <w:rFonts w:ascii="Times New Roman" w:eastAsia="Times New Roman" w:hAnsi="Times New Roman" w:cs="Times New Roman"/>
                <w:color w:val="0D0D0D" w:themeColor="text1" w:themeTint="F2"/>
                <w:sz w:val="24"/>
                <w:szCs w:val="24"/>
              </w:rPr>
              <w:t>l</w:t>
            </w:r>
            <w:r w:rsidRPr="00587EA7">
              <w:rPr>
                <w:rFonts w:ascii="Times New Roman" w:eastAsia="Times New Roman" w:hAnsi="Times New Roman" w:cs="Times New Roman"/>
                <w:color w:val="0D0D0D" w:themeColor="text1" w:themeTint="F2"/>
                <w:sz w:val="24"/>
                <w:szCs w:val="24"/>
              </w:rPr>
              <w:t>ikumu ar tirgus dalībniekiem piemērojamo naudas sodu aprēķināšanas īpatnībām, nosakot izmaiņas piemērojamā maksimālā naudas soda sliekšņos;</w:t>
            </w:r>
          </w:p>
          <w:p w14:paraId="716AE355" w14:textId="3573A979" w:rsidR="004C1A57" w:rsidRDefault="004C1A57"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paplašināt</w:t>
            </w:r>
            <w:r w:rsidRPr="00587EA7">
              <w:rPr>
                <w:rFonts w:ascii="Times New Roman" w:eastAsia="Times New Roman" w:hAnsi="Times New Roman" w:cs="Times New Roman"/>
                <w:color w:val="0D0D0D" w:themeColor="text1" w:themeTint="F2"/>
                <w:sz w:val="24"/>
                <w:szCs w:val="24"/>
              </w:rPr>
              <w:t xml:space="preserve"> iecietības programmas ietvaru;</w:t>
            </w:r>
          </w:p>
          <w:p w14:paraId="31395D5A" w14:textId="2BE83B49" w:rsidR="00AE52E2" w:rsidRPr="00587EA7" w:rsidRDefault="00AE52E2"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sidRPr="00AE52E2">
              <w:rPr>
                <w:rFonts w:ascii="Times New Roman" w:eastAsia="Times New Roman" w:hAnsi="Times New Roman" w:cs="Times New Roman"/>
                <w:color w:val="0D0D0D" w:themeColor="text1" w:themeTint="F2"/>
                <w:sz w:val="24"/>
                <w:szCs w:val="24"/>
              </w:rPr>
              <w:t>precizēt pagaidu noregulējuma institūtu</w:t>
            </w:r>
            <w:r>
              <w:rPr>
                <w:rFonts w:ascii="Times New Roman" w:eastAsia="Times New Roman" w:hAnsi="Times New Roman" w:cs="Times New Roman"/>
                <w:color w:val="0D0D0D" w:themeColor="text1" w:themeTint="F2"/>
                <w:sz w:val="24"/>
                <w:szCs w:val="24"/>
              </w:rPr>
              <w:t>;</w:t>
            </w:r>
          </w:p>
          <w:p w14:paraId="2CA0326F" w14:textId="6AEE439F" w:rsidR="004C1A57" w:rsidRPr="00587EA7" w:rsidRDefault="004C1A57" w:rsidP="004C1A57">
            <w:pPr>
              <w:pStyle w:val="ListParagraph"/>
              <w:numPr>
                <w:ilvl w:val="0"/>
                <w:numId w:val="14"/>
              </w:numPr>
              <w:shd w:val="clear" w:color="auto" w:fill="FFFFFF"/>
              <w:spacing w:before="80" w:after="0" w:line="240" w:lineRule="auto"/>
              <w:ind w:left="561" w:hanging="357"/>
              <w:contextualSpacing w:val="0"/>
              <w:jc w:val="both"/>
              <w:rPr>
                <w:rFonts w:ascii="Times New Roman" w:eastAsia="Times New Roman" w:hAnsi="Times New Roman" w:cs="Times New Roman"/>
                <w:color w:val="0D0D0D" w:themeColor="text1" w:themeTint="F2"/>
                <w:sz w:val="24"/>
                <w:szCs w:val="24"/>
              </w:rPr>
            </w:pPr>
            <w:r w:rsidRPr="00587EA7">
              <w:rPr>
                <w:rFonts w:ascii="Times New Roman" w:eastAsia="Times New Roman" w:hAnsi="Times New Roman" w:cs="Times New Roman"/>
                <w:color w:val="0D0D0D" w:themeColor="text1" w:themeTint="F2"/>
                <w:sz w:val="24"/>
                <w:szCs w:val="24"/>
              </w:rPr>
              <w:t xml:space="preserve">noteikt konkurences iestāžu </w:t>
            </w:r>
            <w:r>
              <w:rPr>
                <w:rFonts w:ascii="Times New Roman" w:eastAsia="Times New Roman" w:hAnsi="Times New Roman" w:cs="Times New Roman"/>
                <w:color w:val="0D0D0D" w:themeColor="text1" w:themeTint="F2"/>
                <w:sz w:val="24"/>
                <w:szCs w:val="24"/>
              </w:rPr>
              <w:t xml:space="preserve">pārrobežu </w:t>
            </w:r>
            <w:r w:rsidRPr="00587EA7">
              <w:rPr>
                <w:rFonts w:ascii="Times New Roman" w:eastAsia="Times New Roman" w:hAnsi="Times New Roman" w:cs="Times New Roman"/>
                <w:color w:val="0D0D0D" w:themeColor="text1" w:themeTint="F2"/>
                <w:sz w:val="24"/>
                <w:szCs w:val="24"/>
              </w:rPr>
              <w:t>sadarbības noteikumus</w:t>
            </w:r>
            <w:r w:rsidR="00AE52E2">
              <w:rPr>
                <w:rFonts w:ascii="Times New Roman" w:eastAsia="Times New Roman" w:hAnsi="Times New Roman" w:cs="Times New Roman"/>
                <w:color w:val="0D0D0D" w:themeColor="text1" w:themeTint="F2"/>
                <w:sz w:val="24"/>
                <w:szCs w:val="24"/>
              </w:rPr>
              <w:t>.</w:t>
            </w:r>
            <w:r w:rsidRPr="00587EA7">
              <w:rPr>
                <w:rFonts w:ascii="Times New Roman" w:eastAsia="Times New Roman" w:hAnsi="Times New Roman" w:cs="Times New Roman"/>
                <w:color w:val="0D0D0D" w:themeColor="text1" w:themeTint="F2"/>
                <w:sz w:val="24"/>
                <w:szCs w:val="24"/>
              </w:rPr>
              <w:t xml:space="preserve"> </w:t>
            </w:r>
          </w:p>
          <w:p w14:paraId="13BF4F03" w14:textId="3931C521" w:rsidR="004C1A57" w:rsidRPr="00AE52E2" w:rsidRDefault="004C1A57" w:rsidP="004C1A57">
            <w:pPr>
              <w:spacing w:after="60" w:line="240" w:lineRule="auto"/>
              <w:jc w:val="both"/>
              <w:rPr>
                <w:lang w:val="lv-LV"/>
              </w:rPr>
            </w:pPr>
          </w:p>
          <w:p w14:paraId="332EB40F" w14:textId="3057DADA" w:rsidR="004C1A57" w:rsidRPr="00AE52E2" w:rsidRDefault="00AE52E2" w:rsidP="004C1A57">
            <w:pPr>
              <w:spacing w:after="0" w:line="240" w:lineRule="auto"/>
              <w:jc w:val="both"/>
              <w:rPr>
                <w:rFonts w:ascii="Times New Roman" w:eastAsia="Times New Roman" w:hAnsi="Times New Roman" w:cs="Times New Roman"/>
                <w:bCs/>
                <w:sz w:val="24"/>
                <w:szCs w:val="24"/>
                <w:u w:val="single"/>
                <w:lang w:val="lv-LV" w:eastAsia="lv-LV"/>
              </w:rPr>
            </w:pPr>
            <w:r w:rsidRPr="00AE52E2">
              <w:rPr>
                <w:rFonts w:ascii="Times New Roman" w:eastAsia="Times New Roman" w:hAnsi="Times New Roman" w:cs="Times New Roman"/>
                <w:sz w:val="24"/>
                <w:szCs w:val="24"/>
                <w:lang w:val="lv-LV" w:eastAsia="lv-LV"/>
              </w:rPr>
              <w:t xml:space="preserve">Likumprojekta spēkā stāšanās paredzēta </w:t>
            </w:r>
            <w:r w:rsidRPr="00AE52E2">
              <w:rPr>
                <w:rStyle w:val="apple-style-span"/>
                <w:rFonts w:ascii="Times New Roman" w:hAnsi="Times New Roman"/>
                <w:color w:val="000000" w:themeColor="text1"/>
                <w:sz w:val="24"/>
                <w:szCs w:val="24"/>
                <w:lang w:val="lv-LV"/>
              </w:rPr>
              <w:t>2021. gada 1. februārī</w:t>
            </w:r>
            <w:r w:rsidRPr="00AE52E2">
              <w:rPr>
                <w:rFonts w:ascii="Times New Roman" w:eastAsia="Times New Roman" w:hAnsi="Times New Roman" w:cs="Times New Roman"/>
                <w:sz w:val="24"/>
                <w:szCs w:val="24"/>
                <w:lang w:val="lv-LV" w:eastAsia="lv-LV"/>
              </w:rPr>
              <w:t>.</w:t>
            </w:r>
          </w:p>
        </w:tc>
      </w:tr>
    </w:tbl>
    <w:p w14:paraId="159D6F11" w14:textId="77777777" w:rsidR="004C1A57" w:rsidRPr="00876E61" w:rsidRDefault="004C1A57" w:rsidP="001E4601">
      <w:pPr>
        <w:pStyle w:val="naislab"/>
        <w:spacing w:before="0" w:after="0"/>
        <w:jc w:val="center"/>
        <w:outlineLvl w:val="0"/>
        <w:rPr>
          <w:b/>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2665"/>
        <w:gridCol w:w="6601"/>
      </w:tblGrid>
      <w:tr w:rsidR="002975E1" w:rsidRPr="00876E61" w14:paraId="51E67473" w14:textId="77777777" w:rsidTr="001E4601">
        <w:tc>
          <w:tcPr>
            <w:tcW w:w="9725" w:type="dxa"/>
            <w:gridSpan w:val="3"/>
            <w:vAlign w:val="center"/>
          </w:tcPr>
          <w:p w14:paraId="4E1D377C" w14:textId="77777777" w:rsidR="001E4601" w:rsidRPr="00876E61" w:rsidRDefault="001E4601" w:rsidP="001E4601">
            <w:pPr>
              <w:pStyle w:val="naisnod"/>
              <w:spacing w:before="0" w:after="0"/>
              <w:rPr>
                <w:color w:val="000000" w:themeColor="text1"/>
              </w:rPr>
            </w:pPr>
            <w:r w:rsidRPr="00876E61">
              <w:rPr>
                <w:color w:val="000000" w:themeColor="text1"/>
              </w:rPr>
              <w:t>I. Tiesību akta projekta izstrādes nepieciešamība</w:t>
            </w:r>
          </w:p>
        </w:tc>
      </w:tr>
      <w:tr w:rsidR="00587EA7" w:rsidRPr="00DA1DD3" w14:paraId="4E81B520" w14:textId="77777777" w:rsidTr="001E4601">
        <w:trPr>
          <w:trHeight w:val="630"/>
        </w:trPr>
        <w:tc>
          <w:tcPr>
            <w:tcW w:w="459" w:type="dxa"/>
          </w:tcPr>
          <w:p w14:paraId="110E48E8"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1.</w:t>
            </w:r>
          </w:p>
        </w:tc>
        <w:tc>
          <w:tcPr>
            <w:tcW w:w="2665" w:type="dxa"/>
          </w:tcPr>
          <w:p w14:paraId="6C0F99AF" w14:textId="77777777" w:rsidR="001E4601" w:rsidRPr="00587EA7" w:rsidRDefault="001E4601" w:rsidP="001E4601">
            <w:pPr>
              <w:pStyle w:val="naiskr"/>
              <w:spacing w:before="0" w:after="0"/>
              <w:ind w:hanging="10"/>
              <w:rPr>
                <w:color w:val="0D0D0D" w:themeColor="text1" w:themeTint="F2"/>
              </w:rPr>
            </w:pPr>
            <w:r w:rsidRPr="00587EA7">
              <w:rPr>
                <w:color w:val="0D0D0D" w:themeColor="text1" w:themeTint="F2"/>
              </w:rPr>
              <w:t>Pamatojums</w:t>
            </w:r>
          </w:p>
        </w:tc>
        <w:tc>
          <w:tcPr>
            <w:tcW w:w="6601" w:type="dxa"/>
          </w:tcPr>
          <w:p w14:paraId="2D87D1A0" w14:textId="25E7E076" w:rsidR="00EC7CCE" w:rsidRPr="00587EA7" w:rsidRDefault="00EC7CCE" w:rsidP="00EC7CCE">
            <w:pPr>
              <w:pStyle w:val="naisf"/>
              <w:spacing w:before="0" w:after="0"/>
              <w:ind w:firstLine="0"/>
              <w:rPr>
                <w:color w:val="0D0D0D" w:themeColor="text1" w:themeTint="F2"/>
                <w:shd w:val="clear" w:color="auto" w:fill="FFFFFF"/>
              </w:rPr>
            </w:pPr>
            <w:r w:rsidRPr="00587EA7">
              <w:rPr>
                <w:color w:val="0D0D0D" w:themeColor="text1" w:themeTint="F2"/>
                <w:shd w:val="clear" w:color="auto" w:fill="FFFFFF"/>
              </w:rPr>
              <w:t>Likumprojekts izstrādāts, lai ieviestu</w:t>
            </w:r>
            <w:r w:rsidR="00AE52E2">
              <w:rPr>
                <w:color w:val="0D0D0D" w:themeColor="text1" w:themeTint="F2"/>
                <w:shd w:val="clear" w:color="auto" w:fill="FFFFFF"/>
              </w:rPr>
              <w:t xml:space="preserve"> Direktīvas prasības nacionālajā likumdošanā.</w:t>
            </w:r>
          </w:p>
        </w:tc>
      </w:tr>
      <w:tr w:rsidR="00587EA7" w:rsidRPr="00DA1DD3" w14:paraId="72E95C2A" w14:textId="77777777" w:rsidTr="001E4601">
        <w:trPr>
          <w:trHeight w:val="472"/>
        </w:trPr>
        <w:tc>
          <w:tcPr>
            <w:tcW w:w="459" w:type="dxa"/>
          </w:tcPr>
          <w:p w14:paraId="610E69D6"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2.</w:t>
            </w:r>
          </w:p>
        </w:tc>
        <w:tc>
          <w:tcPr>
            <w:tcW w:w="2665" w:type="dxa"/>
          </w:tcPr>
          <w:p w14:paraId="00FF0F16" w14:textId="77777777" w:rsidR="001E4601" w:rsidRPr="00587EA7" w:rsidRDefault="001E4601" w:rsidP="001E4601">
            <w:pPr>
              <w:pStyle w:val="naiskr"/>
              <w:tabs>
                <w:tab w:val="left" w:pos="170"/>
              </w:tabs>
              <w:spacing w:before="0" w:after="0"/>
              <w:rPr>
                <w:color w:val="0D0D0D" w:themeColor="text1" w:themeTint="F2"/>
              </w:rPr>
            </w:pPr>
            <w:r w:rsidRPr="00587EA7">
              <w:rPr>
                <w:color w:val="0D0D0D" w:themeColor="text1" w:themeTint="F2"/>
              </w:rPr>
              <w:t>Pašreizējā situācija un problēmas, kuru risināšanai tiesību akta projekts izstrādāts, tiesiskā regulējuma mērķis un būtība</w:t>
            </w:r>
          </w:p>
        </w:tc>
        <w:tc>
          <w:tcPr>
            <w:tcW w:w="6601" w:type="dxa"/>
          </w:tcPr>
          <w:p w14:paraId="03B4ACF3" w14:textId="15101CBD" w:rsidR="00EC7CCE" w:rsidRPr="00E73D94" w:rsidRDefault="00EC7CCE" w:rsidP="009614EB">
            <w:pPr>
              <w:shd w:val="clear" w:color="auto" w:fill="FFFFFF"/>
              <w:spacing w:after="120" w:line="240" w:lineRule="auto"/>
              <w:jc w:val="both"/>
              <w:rPr>
                <w:rFonts w:ascii="Times New Roman" w:eastAsia="Times New Roman" w:hAnsi="Times New Roman" w:cs="Times New Roman"/>
                <w:color w:val="0D0D0D" w:themeColor="text1" w:themeTint="F2"/>
                <w:sz w:val="24"/>
                <w:szCs w:val="24"/>
                <w:lang w:val="lv-LV"/>
              </w:rPr>
            </w:pPr>
            <w:r w:rsidRPr="00E73D94">
              <w:rPr>
                <w:rFonts w:ascii="Times New Roman" w:eastAsia="Times New Roman" w:hAnsi="Times New Roman" w:cs="Times New Roman"/>
                <w:color w:val="0D0D0D" w:themeColor="text1" w:themeTint="F2"/>
                <w:sz w:val="24"/>
                <w:szCs w:val="24"/>
                <w:lang w:val="lv-LV"/>
              </w:rPr>
              <w:t xml:space="preserve">2018.gada 11.decembrī tika pieņemta Direktīva, lai  </w:t>
            </w:r>
            <w:r w:rsidRPr="00805461">
              <w:rPr>
                <w:rFonts w:ascii="Times New Roman" w:hAnsi="Times New Roman" w:cs="Times New Roman"/>
                <w:color w:val="0D0D0D" w:themeColor="text1" w:themeTint="F2"/>
                <w:sz w:val="24"/>
                <w:szCs w:val="24"/>
                <w:shd w:val="clear" w:color="auto" w:fill="FFFFFF"/>
                <w:lang w:val="lv-LV"/>
              </w:rPr>
              <w:t xml:space="preserve">nodrošinātu, </w:t>
            </w:r>
            <w:r w:rsidR="00631ADD" w:rsidRPr="004517A1">
              <w:rPr>
                <w:rFonts w:ascii="Times New Roman" w:hAnsi="Times New Roman" w:cs="Times New Roman"/>
                <w:color w:val="0D0D0D" w:themeColor="text1" w:themeTint="F2"/>
                <w:sz w:val="24"/>
                <w:szCs w:val="24"/>
                <w:shd w:val="clear" w:color="auto" w:fill="FFFFFF"/>
                <w:lang w:val="lv-LV"/>
              </w:rPr>
              <w:t>ka</w:t>
            </w:r>
            <w:r w:rsidRPr="00A816BB">
              <w:rPr>
                <w:rFonts w:ascii="Times New Roman" w:hAnsi="Times New Roman" w:cs="Times New Roman"/>
                <w:color w:val="0D0D0D" w:themeColor="text1" w:themeTint="F2"/>
                <w:sz w:val="24"/>
                <w:szCs w:val="24"/>
                <w:shd w:val="clear" w:color="auto" w:fill="FFFFFF"/>
                <w:lang w:val="lv-LV"/>
              </w:rPr>
              <w:t xml:space="preserve"> valstu konkurences iestādēm </w:t>
            </w:r>
            <w:r w:rsidR="00631ADD" w:rsidRPr="00E73D94">
              <w:rPr>
                <w:rFonts w:ascii="Times New Roman" w:hAnsi="Times New Roman" w:cs="Times New Roman"/>
                <w:color w:val="0D0D0D" w:themeColor="text1" w:themeTint="F2"/>
                <w:sz w:val="24"/>
                <w:szCs w:val="24"/>
                <w:shd w:val="clear" w:color="auto" w:fill="FFFFFF"/>
                <w:lang w:val="lv-LV"/>
              </w:rPr>
              <w:t>ir</w:t>
            </w:r>
            <w:r w:rsidRPr="00E73D94">
              <w:rPr>
                <w:rFonts w:ascii="Times New Roman" w:hAnsi="Times New Roman" w:cs="Times New Roman"/>
                <w:color w:val="0D0D0D" w:themeColor="text1" w:themeTint="F2"/>
                <w:sz w:val="24"/>
                <w:szCs w:val="24"/>
                <w:shd w:val="clear" w:color="auto" w:fill="FFFFFF"/>
                <w:lang w:val="lv-LV"/>
              </w:rPr>
              <w:t xml:space="preserve"> </w:t>
            </w:r>
            <w:r w:rsidR="00F505F1" w:rsidRPr="00E73D94">
              <w:rPr>
                <w:rFonts w:ascii="Times New Roman" w:hAnsi="Times New Roman" w:cs="Times New Roman"/>
                <w:color w:val="0D0D0D" w:themeColor="text1" w:themeTint="F2"/>
                <w:sz w:val="24"/>
                <w:szCs w:val="24"/>
                <w:shd w:val="clear" w:color="auto" w:fill="FFFFFF"/>
                <w:lang w:val="lv-LV"/>
              </w:rPr>
              <w:t xml:space="preserve">nepieciešamās </w:t>
            </w:r>
            <w:r w:rsidRPr="00E73D94">
              <w:rPr>
                <w:rFonts w:ascii="Times New Roman" w:hAnsi="Times New Roman" w:cs="Times New Roman"/>
                <w:color w:val="0D0D0D" w:themeColor="text1" w:themeTint="F2"/>
                <w:sz w:val="24"/>
                <w:szCs w:val="24"/>
                <w:shd w:val="clear" w:color="auto" w:fill="FFFFFF"/>
                <w:lang w:val="lv-LV"/>
              </w:rPr>
              <w:t>neatkarības garantijas, resursi</w:t>
            </w:r>
            <w:r w:rsidR="00495716" w:rsidRPr="00E73D94">
              <w:rPr>
                <w:rFonts w:ascii="Times New Roman" w:hAnsi="Times New Roman" w:cs="Times New Roman"/>
                <w:color w:val="0D0D0D" w:themeColor="text1" w:themeTint="F2"/>
                <w:sz w:val="24"/>
                <w:szCs w:val="24"/>
                <w:shd w:val="clear" w:color="auto" w:fill="FFFFFF"/>
                <w:lang w:val="lv-LV"/>
              </w:rPr>
              <w:t xml:space="preserve">, </w:t>
            </w:r>
            <w:r w:rsidRPr="00E73D94">
              <w:rPr>
                <w:rFonts w:ascii="Times New Roman" w:hAnsi="Times New Roman" w:cs="Times New Roman"/>
                <w:color w:val="0D0D0D" w:themeColor="text1" w:themeTint="F2"/>
                <w:sz w:val="24"/>
                <w:szCs w:val="24"/>
                <w:shd w:val="clear" w:color="auto" w:fill="FFFFFF"/>
                <w:lang w:val="lv-LV"/>
              </w:rPr>
              <w:t>izpildes un naudas sodu uzlikšanas pilnvaras, kas nepieciešamas efektīvai L</w:t>
            </w:r>
            <w:r w:rsidR="00495716" w:rsidRPr="00E73D94">
              <w:rPr>
                <w:rFonts w:ascii="Times New Roman" w:hAnsi="Times New Roman" w:cs="Times New Roman"/>
                <w:color w:val="0D0D0D" w:themeColor="text1" w:themeTint="F2"/>
                <w:sz w:val="24"/>
                <w:szCs w:val="24"/>
                <w:shd w:val="clear" w:color="auto" w:fill="FFFFFF"/>
                <w:lang w:val="lv-LV"/>
              </w:rPr>
              <w:t xml:space="preserve">īguma par </w:t>
            </w:r>
            <w:r w:rsidRPr="00E73D94">
              <w:rPr>
                <w:rFonts w:ascii="Times New Roman" w:hAnsi="Times New Roman" w:cs="Times New Roman"/>
                <w:color w:val="0D0D0D" w:themeColor="text1" w:themeTint="F2"/>
                <w:sz w:val="24"/>
                <w:szCs w:val="24"/>
                <w:shd w:val="clear" w:color="auto" w:fill="FFFFFF"/>
                <w:lang w:val="lv-LV"/>
              </w:rPr>
              <w:t>E</w:t>
            </w:r>
            <w:r w:rsidR="00495716" w:rsidRPr="00E73D94">
              <w:rPr>
                <w:rFonts w:ascii="Times New Roman" w:hAnsi="Times New Roman" w:cs="Times New Roman"/>
                <w:color w:val="0D0D0D" w:themeColor="text1" w:themeTint="F2"/>
                <w:sz w:val="24"/>
                <w:szCs w:val="24"/>
                <w:shd w:val="clear" w:color="auto" w:fill="FFFFFF"/>
                <w:lang w:val="lv-LV"/>
              </w:rPr>
              <w:t xml:space="preserve">iropas </w:t>
            </w:r>
            <w:r w:rsidRPr="00E73D94">
              <w:rPr>
                <w:rFonts w:ascii="Times New Roman" w:hAnsi="Times New Roman" w:cs="Times New Roman"/>
                <w:color w:val="0D0D0D" w:themeColor="text1" w:themeTint="F2"/>
                <w:sz w:val="24"/>
                <w:szCs w:val="24"/>
                <w:shd w:val="clear" w:color="auto" w:fill="FFFFFF"/>
                <w:lang w:val="lv-LV"/>
              </w:rPr>
              <w:t>S</w:t>
            </w:r>
            <w:r w:rsidR="00495716" w:rsidRPr="00E73D94">
              <w:rPr>
                <w:rFonts w:ascii="Times New Roman" w:hAnsi="Times New Roman" w:cs="Times New Roman"/>
                <w:color w:val="0D0D0D" w:themeColor="text1" w:themeTint="F2"/>
                <w:sz w:val="24"/>
                <w:szCs w:val="24"/>
                <w:shd w:val="clear" w:color="auto" w:fill="FFFFFF"/>
                <w:lang w:val="lv-LV"/>
              </w:rPr>
              <w:t>avienības darbību</w:t>
            </w:r>
            <w:r w:rsidR="00636D45" w:rsidRPr="00E73D94">
              <w:rPr>
                <w:rFonts w:ascii="Times New Roman" w:hAnsi="Times New Roman" w:cs="Times New Roman"/>
                <w:color w:val="0D0D0D" w:themeColor="text1" w:themeTint="F2"/>
                <w:sz w:val="24"/>
                <w:szCs w:val="24"/>
                <w:shd w:val="clear" w:color="auto" w:fill="FFFFFF"/>
                <w:lang w:val="lv-LV"/>
              </w:rPr>
              <w:t xml:space="preserve"> (turpmāk – LESD)</w:t>
            </w:r>
            <w:r w:rsidRPr="00E73D94">
              <w:rPr>
                <w:rFonts w:ascii="Times New Roman" w:hAnsi="Times New Roman" w:cs="Times New Roman"/>
                <w:color w:val="0D0D0D" w:themeColor="text1" w:themeTint="F2"/>
                <w:sz w:val="24"/>
                <w:szCs w:val="24"/>
                <w:shd w:val="clear" w:color="auto" w:fill="FFFFFF"/>
                <w:lang w:val="lv-LV"/>
              </w:rPr>
              <w:t xml:space="preserve"> 101. un 102. panta piemērošanai</w:t>
            </w:r>
            <w:r w:rsidR="00F505F1" w:rsidRPr="00E73D94">
              <w:rPr>
                <w:rFonts w:ascii="Times New Roman" w:eastAsia="Times New Roman" w:hAnsi="Times New Roman" w:cs="Times New Roman"/>
                <w:color w:val="0D0D0D" w:themeColor="text1" w:themeTint="F2"/>
                <w:sz w:val="24"/>
                <w:szCs w:val="24"/>
                <w:lang w:val="lv-LV"/>
              </w:rPr>
              <w:t xml:space="preserve">. </w:t>
            </w:r>
            <w:r w:rsidRPr="00E73D94">
              <w:rPr>
                <w:rFonts w:ascii="Times New Roman" w:eastAsia="Times New Roman" w:hAnsi="Times New Roman" w:cs="Times New Roman"/>
                <w:color w:val="0D0D0D" w:themeColor="text1" w:themeTint="F2"/>
                <w:sz w:val="24"/>
                <w:szCs w:val="24"/>
                <w:lang w:val="lv-LV"/>
              </w:rPr>
              <w:t>Latvijai kā E</w:t>
            </w:r>
            <w:r w:rsidR="00AA653D" w:rsidRPr="00E73D94">
              <w:rPr>
                <w:rFonts w:ascii="Times New Roman" w:eastAsia="Times New Roman" w:hAnsi="Times New Roman" w:cs="Times New Roman"/>
                <w:color w:val="0D0D0D" w:themeColor="text1" w:themeTint="F2"/>
                <w:sz w:val="24"/>
                <w:szCs w:val="24"/>
                <w:lang w:val="lv-LV"/>
              </w:rPr>
              <w:t>iropas Savienības</w:t>
            </w:r>
            <w:r w:rsidRPr="00E73D94">
              <w:rPr>
                <w:rFonts w:ascii="Times New Roman" w:eastAsia="Times New Roman" w:hAnsi="Times New Roman" w:cs="Times New Roman"/>
                <w:color w:val="0D0D0D" w:themeColor="text1" w:themeTint="F2"/>
                <w:sz w:val="24"/>
                <w:szCs w:val="24"/>
                <w:lang w:val="lv-LV"/>
              </w:rPr>
              <w:t xml:space="preserve"> dalībvalstij ir jānodrošina Direktīvā noteikto prasību pārņemšana nacionālajos tiesību aktos līdz 20</w:t>
            </w:r>
            <w:r w:rsidR="00F505F1" w:rsidRPr="00E73D94">
              <w:rPr>
                <w:rFonts w:ascii="Times New Roman" w:eastAsia="Times New Roman" w:hAnsi="Times New Roman" w:cs="Times New Roman"/>
                <w:color w:val="0D0D0D" w:themeColor="text1" w:themeTint="F2"/>
                <w:sz w:val="24"/>
                <w:szCs w:val="24"/>
                <w:lang w:val="lv-LV"/>
              </w:rPr>
              <w:t>21</w:t>
            </w:r>
            <w:r w:rsidRPr="00E73D94">
              <w:rPr>
                <w:rFonts w:ascii="Times New Roman" w:eastAsia="Times New Roman" w:hAnsi="Times New Roman" w:cs="Times New Roman"/>
                <w:color w:val="0D0D0D" w:themeColor="text1" w:themeTint="F2"/>
                <w:sz w:val="24"/>
                <w:szCs w:val="24"/>
                <w:lang w:val="lv-LV"/>
              </w:rPr>
              <w:t xml:space="preserve">.gada </w:t>
            </w:r>
            <w:r w:rsidR="00F505F1" w:rsidRPr="00E73D94">
              <w:rPr>
                <w:rFonts w:ascii="Times New Roman" w:eastAsia="Times New Roman" w:hAnsi="Times New Roman" w:cs="Times New Roman"/>
                <w:color w:val="0D0D0D" w:themeColor="text1" w:themeTint="F2"/>
                <w:sz w:val="24"/>
                <w:szCs w:val="24"/>
                <w:lang w:val="lv-LV"/>
              </w:rPr>
              <w:t>4</w:t>
            </w:r>
            <w:r w:rsidRPr="00E73D94">
              <w:rPr>
                <w:rFonts w:ascii="Times New Roman" w:eastAsia="Times New Roman" w:hAnsi="Times New Roman" w:cs="Times New Roman"/>
                <w:color w:val="0D0D0D" w:themeColor="text1" w:themeTint="F2"/>
                <w:sz w:val="24"/>
                <w:szCs w:val="24"/>
                <w:lang w:val="lv-LV"/>
              </w:rPr>
              <w:t>.</w:t>
            </w:r>
            <w:r w:rsidR="00F505F1" w:rsidRPr="00E73D94">
              <w:rPr>
                <w:rFonts w:ascii="Times New Roman" w:eastAsia="Times New Roman" w:hAnsi="Times New Roman" w:cs="Times New Roman"/>
                <w:color w:val="0D0D0D" w:themeColor="text1" w:themeTint="F2"/>
                <w:sz w:val="24"/>
                <w:szCs w:val="24"/>
                <w:lang w:val="lv-LV"/>
              </w:rPr>
              <w:t>februārim</w:t>
            </w:r>
            <w:r w:rsidRPr="00E73D94">
              <w:rPr>
                <w:rFonts w:ascii="Times New Roman" w:eastAsia="Times New Roman" w:hAnsi="Times New Roman" w:cs="Times New Roman"/>
                <w:color w:val="0D0D0D" w:themeColor="text1" w:themeTint="F2"/>
                <w:sz w:val="24"/>
                <w:szCs w:val="24"/>
                <w:lang w:val="lv-LV"/>
              </w:rPr>
              <w:t>.</w:t>
            </w:r>
            <w:r w:rsidR="00F505F1" w:rsidRPr="00E73D94">
              <w:rPr>
                <w:rFonts w:ascii="Times New Roman" w:hAnsi="Times New Roman" w:cs="Times New Roman"/>
                <w:color w:val="0D0D0D" w:themeColor="text1" w:themeTint="F2"/>
                <w:sz w:val="24"/>
                <w:szCs w:val="24"/>
                <w:lang w:val="lv-LV"/>
              </w:rPr>
              <w:t xml:space="preserve"> </w:t>
            </w:r>
          </w:p>
          <w:p w14:paraId="1AFEFE7A" w14:textId="1FCDB94C" w:rsidR="00F505F1" w:rsidRPr="00E73D94" w:rsidRDefault="00EC7CCE" w:rsidP="009614EB">
            <w:pPr>
              <w:shd w:val="clear" w:color="auto" w:fill="FFFFFF"/>
              <w:spacing w:after="120" w:line="240" w:lineRule="auto"/>
              <w:jc w:val="both"/>
              <w:rPr>
                <w:rFonts w:ascii="Times New Roman" w:eastAsia="Times New Roman" w:hAnsi="Times New Roman" w:cs="Times New Roman"/>
                <w:color w:val="0D0D0D" w:themeColor="text1" w:themeTint="F2"/>
                <w:sz w:val="24"/>
                <w:szCs w:val="24"/>
                <w:lang w:val="lv-LV"/>
              </w:rPr>
            </w:pPr>
            <w:r w:rsidRPr="00E73D94">
              <w:rPr>
                <w:rFonts w:ascii="Times New Roman" w:eastAsia="Times New Roman" w:hAnsi="Times New Roman" w:cs="Times New Roman"/>
                <w:color w:val="0D0D0D" w:themeColor="text1" w:themeTint="F2"/>
                <w:sz w:val="24"/>
                <w:szCs w:val="24"/>
                <w:lang w:val="lv-LV"/>
              </w:rPr>
              <w:lastRenderedPageBreak/>
              <w:t>Likumprojekta mērķis ir ieviest Direktīvas</w:t>
            </w:r>
            <w:r w:rsidR="00F505F1" w:rsidRPr="00E73D94">
              <w:rPr>
                <w:rFonts w:ascii="Times New Roman" w:eastAsia="Times New Roman" w:hAnsi="Times New Roman" w:cs="Times New Roman"/>
                <w:color w:val="0D0D0D" w:themeColor="text1" w:themeTint="F2"/>
                <w:sz w:val="24"/>
                <w:szCs w:val="24"/>
                <w:lang w:val="lv-LV"/>
              </w:rPr>
              <w:t xml:space="preserve"> </w:t>
            </w:r>
            <w:r w:rsidRPr="00E73D94">
              <w:rPr>
                <w:rFonts w:ascii="Times New Roman" w:eastAsia="Times New Roman" w:hAnsi="Times New Roman" w:cs="Times New Roman"/>
                <w:color w:val="0D0D0D" w:themeColor="text1" w:themeTint="F2"/>
                <w:sz w:val="24"/>
                <w:szCs w:val="24"/>
                <w:lang w:val="lv-LV"/>
              </w:rPr>
              <w:t xml:space="preserve">prasības, </w:t>
            </w:r>
            <w:r w:rsidR="0060359B" w:rsidRPr="00E73D94">
              <w:rPr>
                <w:rFonts w:ascii="Times New Roman" w:eastAsia="Times New Roman" w:hAnsi="Times New Roman" w:cs="Times New Roman"/>
                <w:color w:val="0D0D0D" w:themeColor="text1" w:themeTint="F2"/>
                <w:sz w:val="24"/>
                <w:szCs w:val="24"/>
                <w:lang w:val="lv-LV"/>
              </w:rPr>
              <w:t>n</w:t>
            </w:r>
            <w:r w:rsidR="00F505F1" w:rsidRPr="00E73D94">
              <w:rPr>
                <w:rFonts w:ascii="Times New Roman" w:eastAsia="Times New Roman" w:hAnsi="Times New Roman" w:cs="Times New Roman"/>
                <w:color w:val="0D0D0D" w:themeColor="text1" w:themeTint="F2"/>
                <w:sz w:val="24"/>
                <w:szCs w:val="24"/>
                <w:lang w:val="lv-LV"/>
              </w:rPr>
              <w:t>odrošinot konkurences iestād</w:t>
            </w:r>
            <w:r w:rsidR="00636D45" w:rsidRPr="00E73D94">
              <w:rPr>
                <w:rFonts w:ascii="Times New Roman" w:eastAsia="Times New Roman" w:hAnsi="Times New Roman" w:cs="Times New Roman"/>
                <w:color w:val="0D0D0D" w:themeColor="text1" w:themeTint="F2"/>
                <w:sz w:val="24"/>
                <w:szCs w:val="24"/>
                <w:lang w:val="lv-LV"/>
              </w:rPr>
              <w:t>i</w:t>
            </w:r>
            <w:r w:rsidR="00F505F1" w:rsidRPr="00E73D94">
              <w:rPr>
                <w:rFonts w:ascii="Times New Roman" w:eastAsia="Times New Roman" w:hAnsi="Times New Roman" w:cs="Times New Roman"/>
                <w:color w:val="0D0D0D" w:themeColor="text1" w:themeTint="F2"/>
                <w:sz w:val="24"/>
                <w:szCs w:val="24"/>
                <w:lang w:val="lv-LV"/>
              </w:rPr>
              <w:t xml:space="preserve"> ar t</w:t>
            </w:r>
            <w:r w:rsidR="00636D45" w:rsidRPr="00E73D94">
              <w:rPr>
                <w:rFonts w:ascii="Times New Roman" w:eastAsia="Times New Roman" w:hAnsi="Times New Roman" w:cs="Times New Roman"/>
                <w:color w:val="0D0D0D" w:themeColor="text1" w:themeTint="F2"/>
                <w:sz w:val="24"/>
                <w:szCs w:val="24"/>
                <w:lang w:val="lv-LV"/>
              </w:rPr>
              <w:t>ai</w:t>
            </w:r>
            <w:r w:rsidR="00F505F1" w:rsidRPr="00E73D94">
              <w:rPr>
                <w:rFonts w:ascii="Times New Roman" w:eastAsia="Times New Roman" w:hAnsi="Times New Roman" w:cs="Times New Roman"/>
                <w:color w:val="0D0D0D" w:themeColor="text1" w:themeTint="F2"/>
                <w:sz w:val="24"/>
                <w:szCs w:val="24"/>
                <w:lang w:val="lv-LV"/>
              </w:rPr>
              <w:t xml:space="preserve"> nepieciešamajām pilnvarām un resursiem efektīvai pārkāpumu izmeklēšanai un </w:t>
            </w:r>
            <w:proofErr w:type="spellStart"/>
            <w:r w:rsidR="00F505F1" w:rsidRPr="00E73D94">
              <w:rPr>
                <w:rFonts w:ascii="Times New Roman" w:eastAsia="Times New Roman" w:hAnsi="Times New Roman" w:cs="Times New Roman"/>
                <w:color w:val="0D0D0D" w:themeColor="text1" w:themeTint="F2"/>
                <w:sz w:val="24"/>
                <w:szCs w:val="24"/>
                <w:lang w:val="lv-LV"/>
              </w:rPr>
              <w:t>prevencijai</w:t>
            </w:r>
            <w:proofErr w:type="spellEnd"/>
            <w:r w:rsidR="00F505F1" w:rsidRPr="00E73D94">
              <w:rPr>
                <w:rFonts w:ascii="Times New Roman" w:eastAsia="Times New Roman" w:hAnsi="Times New Roman" w:cs="Times New Roman"/>
                <w:color w:val="0D0D0D" w:themeColor="text1" w:themeTint="F2"/>
                <w:sz w:val="24"/>
                <w:szCs w:val="24"/>
                <w:lang w:val="lv-LV"/>
              </w:rPr>
              <w:t>.</w:t>
            </w:r>
          </w:p>
          <w:p w14:paraId="27659323" w14:textId="6BF844E3" w:rsidR="00EC7CCE" w:rsidRPr="00E73D94" w:rsidRDefault="00EC7CCE" w:rsidP="009614EB">
            <w:pPr>
              <w:shd w:val="clear" w:color="auto" w:fill="FFFFFF"/>
              <w:spacing w:after="120" w:line="240" w:lineRule="auto"/>
              <w:ind w:firstLine="522"/>
              <w:jc w:val="both"/>
              <w:rPr>
                <w:rFonts w:ascii="Times New Roman" w:eastAsia="Times New Roman" w:hAnsi="Times New Roman" w:cs="Times New Roman"/>
                <w:color w:val="0D0D0D" w:themeColor="text1" w:themeTint="F2"/>
                <w:sz w:val="24"/>
                <w:szCs w:val="24"/>
                <w:lang w:val="lv-LV"/>
              </w:rPr>
            </w:pPr>
            <w:r w:rsidRPr="00E73D94">
              <w:rPr>
                <w:rFonts w:ascii="Times New Roman" w:eastAsia="Times New Roman" w:hAnsi="Times New Roman" w:cs="Times New Roman"/>
                <w:color w:val="0D0D0D" w:themeColor="text1" w:themeTint="F2"/>
                <w:sz w:val="24"/>
                <w:szCs w:val="24"/>
                <w:lang w:val="lv-LV"/>
              </w:rPr>
              <w:t>Ievērojot Direktīvas</w:t>
            </w:r>
            <w:r w:rsidR="00F505F1" w:rsidRPr="00E73D94">
              <w:rPr>
                <w:rFonts w:ascii="Times New Roman" w:eastAsia="Times New Roman" w:hAnsi="Times New Roman" w:cs="Times New Roman"/>
                <w:color w:val="0D0D0D" w:themeColor="text1" w:themeTint="F2"/>
                <w:sz w:val="24"/>
                <w:szCs w:val="24"/>
                <w:lang w:val="lv-LV"/>
              </w:rPr>
              <w:t xml:space="preserve"> </w:t>
            </w:r>
            <w:r w:rsidRPr="00E73D94">
              <w:rPr>
                <w:rFonts w:ascii="Times New Roman" w:eastAsia="Times New Roman" w:hAnsi="Times New Roman" w:cs="Times New Roman"/>
                <w:color w:val="0D0D0D" w:themeColor="text1" w:themeTint="F2"/>
                <w:sz w:val="24"/>
                <w:szCs w:val="24"/>
                <w:lang w:val="lv-LV"/>
              </w:rPr>
              <w:t>prasības, Likumprojekt</w:t>
            </w:r>
            <w:r w:rsidR="0057533A" w:rsidRPr="00E73D94">
              <w:rPr>
                <w:rFonts w:ascii="Times New Roman" w:eastAsia="Times New Roman" w:hAnsi="Times New Roman" w:cs="Times New Roman"/>
                <w:color w:val="0D0D0D" w:themeColor="text1" w:themeTint="F2"/>
                <w:sz w:val="24"/>
                <w:szCs w:val="24"/>
                <w:lang w:val="lv-LV"/>
              </w:rPr>
              <w:t>s paredz veikt šādus pilnveidojumus Konkurences likumā (turpmāk – Likums)</w:t>
            </w:r>
            <w:r w:rsidR="0060359B" w:rsidRPr="00E73D94">
              <w:rPr>
                <w:rFonts w:ascii="Times New Roman" w:eastAsia="Times New Roman" w:hAnsi="Times New Roman" w:cs="Times New Roman"/>
                <w:color w:val="0D0D0D" w:themeColor="text1" w:themeTint="F2"/>
                <w:sz w:val="24"/>
                <w:szCs w:val="24"/>
                <w:lang w:val="lv-LV"/>
              </w:rPr>
              <w:t>:</w:t>
            </w:r>
          </w:p>
          <w:p w14:paraId="6B067E0C" w14:textId="2E77A423" w:rsidR="0060359B" w:rsidRPr="00E73D94" w:rsidRDefault="0057533A"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 xml:space="preserve">papildināt Likumu </w:t>
            </w:r>
            <w:r w:rsidR="00542B12" w:rsidRPr="00E73D94">
              <w:rPr>
                <w:rFonts w:ascii="Times New Roman" w:eastAsia="Times New Roman" w:hAnsi="Times New Roman" w:cs="Times New Roman"/>
                <w:color w:val="0D0D0D" w:themeColor="text1" w:themeTint="F2"/>
                <w:sz w:val="24"/>
                <w:szCs w:val="24"/>
              </w:rPr>
              <w:t xml:space="preserve">ar </w:t>
            </w:r>
            <w:r w:rsidR="0060359B" w:rsidRPr="00E73D94">
              <w:rPr>
                <w:rFonts w:ascii="Times New Roman" w:eastAsia="Times New Roman" w:hAnsi="Times New Roman" w:cs="Times New Roman"/>
                <w:color w:val="0D0D0D" w:themeColor="text1" w:themeTint="F2"/>
                <w:sz w:val="24"/>
                <w:szCs w:val="24"/>
              </w:rPr>
              <w:t>definīcijām</w:t>
            </w:r>
            <w:r w:rsidR="00636D45" w:rsidRPr="00E73D94">
              <w:rPr>
                <w:rFonts w:ascii="Times New Roman" w:eastAsia="Times New Roman" w:hAnsi="Times New Roman" w:cs="Times New Roman"/>
                <w:color w:val="0D0D0D" w:themeColor="text1" w:themeTint="F2"/>
                <w:sz w:val="24"/>
                <w:szCs w:val="24"/>
              </w:rPr>
              <w:t xml:space="preserve"> -</w:t>
            </w:r>
            <w:r w:rsidR="0060359B" w:rsidRPr="00E73D94">
              <w:rPr>
                <w:rFonts w:ascii="Times New Roman" w:eastAsia="Times New Roman" w:hAnsi="Times New Roman" w:cs="Times New Roman"/>
                <w:color w:val="0D0D0D" w:themeColor="text1" w:themeTint="F2"/>
                <w:sz w:val="24"/>
                <w:szCs w:val="24"/>
              </w:rPr>
              <w:t xml:space="preserve"> </w:t>
            </w:r>
            <w:r w:rsidR="0060359B" w:rsidRPr="00E73D94">
              <w:rPr>
                <w:rFonts w:ascii="Times New Roman" w:hAnsi="Times New Roman" w:cs="Times New Roman"/>
                <w:color w:val="0D0D0D" w:themeColor="text1" w:themeTint="F2"/>
                <w:sz w:val="24"/>
                <w:szCs w:val="24"/>
              </w:rPr>
              <w:t xml:space="preserve">Eiropas Konkurences tīkls, </w:t>
            </w:r>
            <w:r w:rsidRPr="00E73D94">
              <w:rPr>
                <w:rFonts w:ascii="Times New Roman" w:hAnsi="Times New Roman" w:cs="Times New Roman"/>
                <w:color w:val="0D0D0D" w:themeColor="text1" w:themeTint="F2"/>
                <w:sz w:val="24"/>
                <w:szCs w:val="24"/>
              </w:rPr>
              <w:t xml:space="preserve">iecietības programma (precizējot tās ietvaru), </w:t>
            </w:r>
            <w:r w:rsidR="0060359B" w:rsidRPr="00E73D94">
              <w:rPr>
                <w:rFonts w:ascii="Times New Roman" w:hAnsi="Times New Roman" w:cs="Times New Roman"/>
                <w:color w:val="0D0D0D" w:themeColor="text1" w:themeTint="F2"/>
                <w:sz w:val="24"/>
                <w:szCs w:val="24"/>
              </w:rPr>
              <w:t xml:space="preserve">izlīguma iesniegums, </w:t>
            </w:r>
            <w:r w:rsidRPr="00E73D94">
              <w:rPr>
                <w:rFonts w:ascii="Times New Roman" w:hAnsi="Times New Roman" w:cs="Times New Roman"/>
                <w:color w:val="0D0D0D" w:themeColor="text1" w:themeTint="F2"/>
                <w:sz w:val="24"/>
                <w:szCs w:val="24"/>
              </w:rPr>
              <w:t xml:space="preserve">konkurences iestāde, karteļa vienošanās, </w:t>
            </w:r>
            <w:r w:rsidR="0060359B" w:rsidRPr="00E73D94">
              <w:rPr>
                <w:rFonts w:ascii="Times New Roman" w:hAnsi="Times New Roman" w:cs="Times New Roman"/>
                <w:color w:val="0D0D0D" w:themeColor="text1" w:themeTint="F2"/>
                <w:sz w:val="24"/>
                <w:szCs w:val="24"/>
              </w:rPr>
              <w:t>liecība, kas sniegta saskaņā ar iecietības programmu, iecietības programmas pieteikuma iesniedzējs, pieprasījuma iesniedzēja iestāde, pieprasījuma saņēmēja iestāde);</w:t>
            </w:r>
          </w:p>
          <w:p w14:paraId="16501C72" w14:textId="7660F9B6" w:rsidR="0060359B" w:rsidRPr="00E73D94" w:rsidRDefault="0057533A"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hAnsi="Times New Roman" w:cs="Times New Roman"/>
                <w:color w:val="0D0D0D" w:themeColor="text1" w:themeTint="F2"/>
                <w:sz w:val="24"/>
                <w:szCs w:val="24"/>
              </w:rPr>
              <w:t xml:space="preserve">papildināt Likumu </w:t>
            </w:r>
            <w:r w:rsidR="00542B12" w:rsidRPr="00E73D94">
              <w:rPr>
                <w:rFonts w:ascii="Times New Roman" w:hAnsi="Times New Roman" w:cs="Times New Roman"/>
                <w:color w:val="0D0D0D" w:themeColor="text1" w:themeTint="F2"/>
                <w:sz w:val="24"/>
                <w:szCs w:val="24"/>
              </w:rPr>
              <w:t xml:space="preserve">ar tiesību normām par </w:t>
            </w:r>
            <w:r w:rsidR="0060359B" w:rsidRPr="00E73D94">
              <w:rPr>
                <w:rFonts w:ascii="Times New Roman" w:hAnsi="Times New Roman" w:cs="Times New Roman"/>
                <w:color w:val="0D0D0D" w:themeColor="text1" w:themeTint="F2"/>
                <w:sz w:val="24"/>
                <w:szCs w:val="24"/>
              </w:rPr>
              <w:t>konkurences iestādes funkcionālo neatkarību un nepieciešamajiem resursiem;</w:t>
            </w:r>
          </w:p>
          <w:p w14:paraId="35B19491" w14:textId="2AA1270B" w:rsidR="0060359B" w:rsidRPr="00E73D94" w:rsidRDefault="0077594C"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 xml:space="preserve">papildināt Likumu </w:t>
            </w:r>
            <w:r w:rsidR="00542B12" w:rsidRPr="00E73D94">
              <w:rPr>
                <w:rFonts w:ascii="Times New Roman" w:eastAsia="Times New Roman" w:hAnsi="Times New Roman" w:cs="Times New Roman"/>
                <w:color w:val="0D0D0D" w:themeColor="text1" w:themeTint="F2"/>
                <w:sz w:val="24"/>
                <w:szCs w:val="24"/>
              </w:rPr>
              <w:t xml:space="preserve">ar </w:t>
            </w:r>
            <w:r w:rsidR="0060359B" w:rsidRPr="00E73D94">
              <w:rPr>
                <w:rFonts w:ascii="Times New Roman" w:eastAsia="Times New Roman" w:hAnsi="Times New Roman" w:cs="Times New Roman"/>
                <w:color w:val="0D0D0D" w:themeColor="text1" w:themeTint="F2"/>
                <w:sz w:val="24"/>
                <w:szCs w:val="24"/>
              </w:rPr>
              <w:t>pilnvarām</w:t>
            </w:r>
            <w:r w:rsidR="00542B12" w:rsidRPr="00E73D94">
              <w:rPr>
                <w:rFonts w:ascii="Times New Roman" w:eastAsia="Times New Roman" w:hAnsi="Times New Roman" w:cs="Times New Roman"/>
                <w:color w:val="0D0D0D" w:themeColor="text1" w:themeTint="F2"/>
                <w:sz w:val="24"/>
                <w:szCs w:val="24"/>
              </w:rPr>
              <w:t xml:space="preserve"> (tās precizējot)</w:t>
            </w:r>
            <w:r w:rsidR="0060359B" w:rsidRPr="00E73D94">
              <w:rPr>
                <w:rFonts w:ascii="Times New Roman" w:eastAsia="Times New Roman" w:hAnsi="Times New Roman" w:cs="Times New Roman"/>
                <w:color w:val="0D0D0D" w:themeColor="text1" w:themeTint="F2"/>
                <w:sz w:val="24"/>
                <w:szCs w:val="24"/>
              </w:rPr>
              <w:t xml:space="preserve"> efektīvai </w:t>
            </w:r>
            <w:r w:rsidR="00636D45" w:rsidRPr="00E73D94">
              <w:rPr>
                <w:rFonts w:ascii="Times New Roman" w:eastAsia="Times New Roman" w:hAnsi="Times New Roman" w:cs="Times New Roman"/>
                <w:color w:val="0D0D0D" w:themeColor="text1" w:themeTint="F2"/>
                <w:sz w:val="24"/>
                <w:szCs w:val="24"/>
              </w:rPr>
              <w:t>Likuma</w:t>
            </w:r>
            <w:r w:rsidR="0060359B" w:rsidRPr="00E73D94">
              <w:rPr>
                <w:rFonts w:ascii="Times New Roman" w:eastAsia="Times New Roman" w:hAnsi="Times New Roman" w:cs="Times New Roman"/>
                <w:color w:val="0D0D0D" w:themeColor="text1" w:themeTint="F2"/>
                <w:sz w:val="24"/>
                <w:szCs w:val="24"/>
              </w:rPr>
              <w:t xml:space="preserve"> un </w:t>
            </w:r>
            <w:r w:rsidR="00636D45" w:rsidRPr="00E73D94">
              <w:rPr>
                <w:rFonts w:ascii="Times New Roman" w:eastAsia="Times New Roman" w:hAnsi="Times New Roman" w:cs="Times New Roman"/>
                <w:color w:val="0D0D0D" w:themeColor="text1" w:themeTint="F2"/>
                <w:sz w:val="24"/>
                <w:szCs w:val="24"/>
              </w:rPr>
              <w:t>LESD</w:t>
            </w:r>
            <w:r w:rsidR="0060359B" w:rsidRPr="00E73D94">
              <w:rPr>
                <w:rFonts w:ascii="Times New Roman" w:eastAsia="Times New Roman" w:hAnsi="Times New Roman" w:cs="Times New Roman"/>
                <w:color w:val="0D0D0D" w:themeColor="text1" w:themeTint="F2"/>
                <w:sz w:val="24"/>
                <w:szCs w:val="24"/>
              </w:rPr>
              <w:t xml:space="preserve"> pārkāpumu izmeklēšanā</w:t>
            </w:r>
            <w:r w:rsidR="00544A12" w:rsidRPr="00E73D94">
              <w:rPr>
                <w:rFonts w:ascii="Times New Roman" w:eastAsia="Times New Roman" w:hAnsi="Times New Roman" w:cs="Times New Roman"/>
                <w:color w:val="0D0D0D" w:themeColor="text1" w:themeTint="F2"/>
                <w:sz w:val="24"/>
                <w:szCs w:val="24"/>
              </w:rPr>
              <w:t xml:space="preserve"> un atklāšanā</w:t>
            </w:r>
            <w:r w:rsidR="0060359B" w:rsidRPr="00E73D94">
              <w:rPr>
                <w:rFonts w:ascii="Times New Roman" w:eastAsia="Times New Roman" w:hAnsi="Times New Roman" w:cs="Times New Roman"/>
                <w:color w:val="0D0D0D" w:themeColor="text1" w:themeTint="F2"/>
                <w:sz w:val="24"/>
                <w:szCs w:val="24"/>
              </w:rPr>
              <w:t>;</w:t>
            </w:r>
          </w:p>
          <w:p w14:paraId="566D6C3A" w14:textId="3A2E37AA" w:rsidR="0060359B" w:rsidRPr="00E73D94" w:rsidRDefault="0077594C"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 xml:space="preserve">papildināt Likumu </w:t>
            </w:r>
            <w:r w:rsidR="00542B12" w:rsidRPr="00E73D94">
              <w:rPr>
                <w:rFonts w:ascii="Times New Roman" w:eastAsia="Times New Roman" w:hAnsi="Times New Roman" w:cs="Times New Roman"/>
                <w:color w:val="0D0D0D" w:themeColor="text1" w:themeTint="F2"/>
                <w:sz w:val="24"/>
                <w:szCs w:val="24"/>
              </w:rPr>
              <w:t xml:space="preserve">ar </w:t>
            </w:r>
            <w:r w:rsidR="0060359B" w:rsidRPr="00E73D94">
              <w:rPr>
                <w:rFonts w:ascii="Times New Roman" w:eastAsia="Times New Roman" w:hAnsi="Times New Roman" w:cs="Times New Roman"/>
                <w:color w:val="0D0D0D" w:themeColor="text1" w:themeTint="F2"/>
                <w:sz w:val="24"/>
                <w:szCs w:val="24"/>
              </w:rPr>
              <w:t xml:space="preserve">tirgus dalībniekiem piemērojamo naudas sodu aprēķināšanas īpatnībām, </w:t>
            </w:r>
            <w:r w:rsidR="00544A12" w:rsidRPr="00E73D94">
              <w:rPr>
                <w:rFonts w:ascii="Times New Roman" w:eastAsia="Times New Roman" w:hAnsi="Times New Roman" w:cs="Times New Roman"/>
                <w:color w:val="0D0D0D" w:themeColor="text1" w:themeTint="F2"/>
                <w:sz w:val="24"/>
                <w:szCs w:val="24"/>
              </w:rPr>
              <w:t xml:space="preserve">nosakot izmaiņas piemērojamā </w:t>
            </w:r>
            <w:r w:rsidR="0060359B" w:rsidRPr="00E73D94">
              <w:rPr>
                <w:rFonts w:ascii="Times New Roman" w:eastAsia="Times New Roman" w:hAnsi="Times New Roman" w:cs="Times New Roman"/>
                <w:color w:val="0D0D0D" w:themeColor="text1" w:themeTint="F2"/>
                <w:sz w:val="24"/>
                <w:szCs w:val="24"/>
              </w:rPr>
              <w:t>maksimāl</w:t>
            </w:r>
            <w:r w:rsidR="00544A12" w:rsidRPr="00E73D94">
              <w:rPr>
                <w:rFonts w:ascii="Times New Roman" w:eastAsia="Times New Roman" w:hAnsi="Times New Roman" w:cs="Times New Roman"/>
                <w:color w:val="0D0D0D" w:themeColor="text1" w:themeTint="F2"/>
                <w:sz w:val="24"/>
                <w:szCs w:val="24"/>
              </w:rPr>
              <w:t>ā</w:t>
            </w:r>
            <w:r w:rsidR="0060359B" w:rsidRPr="00E73D94">
              <w:rPr>
                <w:rFonts w:ascii="Times New Roman" w:eastAsia="Times New Roman" w:hAnsi="Times New Roman" w:cs="Times New Roman"/>
                <w:color w:val="0D0D0D" w:themeColor="text1" w:themeTint="F2"/>
                <w:sz w:val="24"/>
                <w:szCs w:val="24"/>
              </w:rPr>
              <w:t xml:space="preserve"> naudas so</w:t>
            </w:r>
            <w:r w:rsidR="00AA653D" w:rsidRPr="00E73D94">
              <w:rPr>
                <w:rFonts w:ascii="Times New Roman" w:eastAsia="Times New Roman" w:hAnsi="Times New Roman" w:cs="Times New Roman"/>
                <w:color w:val="0D0D0D" w:themeColor="text1" w:themeTint="F2"/>
                <w:sz w:val="24"/>
                <w:szCs w:val="24"/>
              </w:rPr>
              <w:t>d</w:t>
            </w:r>
            <w:r w:rsidR="0060359B" w:rsidRPr="00E73D94">
              <w:rPr>
                <w:rFonts w:ascii="Times New Roman" w:eastAsia="Times New Roman" w:hAnsi="Times New Roman" w:cs="Times New Roman"/>
                <w:color w:val="0D0D0D" w:themeColor="text1" w:themeTint="F2"/>
                <w:sz w:val="24"/>
                <w:szCs w:val="24"/>
              </w:rPr>
              <w:t xml:space="preserve">a </w:t>
            </w:r>
            <w:r w:rsidR="00544A12" w:rsidRPr="00E73D94">
              <w:rPr>
                <w:rFonts w:ascii="Times New Roman" w:eastAsia="Times New Roman" w:hAnsi="Times New Roman" w:cs="Times New Roman"/>
                <w:color w:val="0D0D0D" w:themeColor="text1" w:themeTint="F2"/>
                <w:sz w:val="24"/>
                <w:szCs w:val="24"/>
              </w:rPr>
              <w:t>sliekšņos</w:t>
            </w:r>
            <w:r w:rsidR="0060359B" w:rsidRPr="00E73D94">
              <w:rPr>
                <w:rFonts w:ascii="Times New Roman" w:eastAsia="Times New Roman" w:hAnsi="Times New Roman" w:cs="Times New Roman"/>
                <w:color w:val="0D0D0D" w:themeColor="text1" w:themeTint="F2"/>
                <w:sz w:val="24"/>
                <w:szCs w:val="24"/>
              </w:rPr>
              <w:t>;</w:t>
            </w:r>
          </w:p>
          <w:p w14:paraId="41F36CEF" w14:textId="0E098575" w:rsidR="0060359B" w:rsidRPr="00E73D94" w:rsidRDefault="00542B12"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harmonizēt iecietības programmas ietvaru;</w:t>
            </w:r>
          </w:p>
          <w:p w14:paraId="7542D181" w14:textId="1E519513" w:rsidR="00A7105B" w:rsidRPr="00E73D94" w:rsidRDefault="0077594C"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noteikt</w:t>
            </w:r>
            <w:r w:rsidR="00542B12" w:rsidRPr="00E73D94">
              <w:rPr>
                <w:rFonts w:ascii="Times New Roman" w:eastAsia="Times New Roman" w:hAnsi="Times New Roman" w:cs="Times New Roman"/>
                <w:color w:val="0D0D0D" w:themeColor="text1" w:themeTint="F2"/>
                <w:sz w:val="24"/>
                <w:szCs w:val="24"/>
              </w:rPr>
              <w:t xml:space="preserve"> konkurences iestāžu sadarbības noteikumus</w:t>
            </w:r>
            <w:r w:rsidR="00A7105B" w:rsidRPr="00E73D94">
              <w:rPr>
                <w:rFonts w:ascii="Times New Roman" w:eastAsia="Times New Roman" w:hAnsi="Times New Roman" w:cs="Times New Roman"/>
                <w:color w:val="0D0D0D" w:themeColor="text1" w:themeTint="F2"/>
                <w:sz w:val="24"/>
                <w:szCs w:val="24"/>
              </w:rPr>
              <w:t xml:space="preserve">; </w:t>
            </w:r>
          </w:p>
          <w:p w14:paraId="37F82DE6" w14:textId="0363AC7D" w:rsidR="00A7105B" w:rsidRPr="00E73D94" w:rsidRDefault="00A7105B" w:rsidP="009614EB">
            <w:pPr>
              <w:pStyle w:val="ListParagraph"/>
              <w:numPr>
                <w:ilvl w:val="0"/>
                <w:numId w:val="26"/>
              </w:numPr>
              <w:shd w:val="clear" w:color="auto" w:fill="FFFFFF"/>
              <w:spacing w:after="120" w:line="240" w:lineRule="auto"/>
              <w:contextualSpacing w:val="0"/>
              <w:jc w:val="both"/>
              <w:rPr>
                <w:rFonts w:ascii="Times New Roman" w:eastAsia="Times New Roman" w:hAnsi="Times New Roman" w:cs="Times New Roman"/>
                <w:color w:val="0D0D0D" w:themeColor="text1" w:themeTint="F2"/>
                <w:sz w:val="24"/>
                <w:szCs w:val="24"/>
              </w:rPr>
            </w:pPr>
            <w:r w:rsidRPr="00E73D94">
              <w:rPr>
                <w:rFonts w:ascii="Times New Roman" w:eastAsia="Times New Roman" w:hAnsi="Times New Roman" w:cs="Times New Roman"/>
                <w:color w:val="0D0D0D" w:themeColor="text1" w:themeTint="F2"/>
                <w:sz w:val="24"/>
                <w:szCs w:val="24"/>
              </w:rPr>
              <w:t>precizēt pagaidu noregulējuma institūtu</w:t>
            </w:r>
            <w:r w:rsidR="0077594C" w:rsidRPr="00E73D94">
              <w:rPr>
                <w:rFonts w:ascii="Times New Roman" w:eastAsia="Times New Roman" w:hAnsi="Times New Roman" w:cs="Times New Roman"/>
                <w:color w:val="0D0D0D" w:themeColor="text1" w:themeTint="F2"/>
                <w:sz w:val="24"/>
                <w:szCs w:val="24"/>
              </w:rPr>
              <w:t>.</w:t>
            </w:r>
          </w:p>
          <w:p w14:paraId="21DCE292" w14:textId="77777777" w:rsidR="00636D45" w:rsidRPr="00E73D94" w:rsidRDefault="00636D45" w:rsidP="009614EB">
            <w:pPr>
              <w:pStyle w:val="ListParagraph"/>
              <w:shd w:val="clear" w:color="auto" w:fill="FFFFFF"/>
              <w:spacing w:after="120" w:line="240" w:lineRule="auto"/>
              <w:ind w:left="882"/>
              <w:contextualSpacing w:val="0"/>
              <w:jc w:val="both"/>
              <w:rPr>
                <w:rFonts w:ascii="Times New Roman" w:eastAsia="Times New Roman" w:hAnsi="Times New Roman" w:cs="Times New Roman"/>
                <w:color w:val="0D0D0D" w:themeColor="text1" w:themeTint="F2"/>
                <w:sz w:val="24"/>
                <w:szCs w:val="24"/>
              </w:rPr>
            </w:pPr>
          </w:p>
          <w:p w14:paraId="1BC7681D" w14:textId="334A96D7" w:rsidR="00542B12" w:rsidRPr="00E73D94" w:rsidRDefault="00542B12" w:rsidP="009614EB">
            <w:pPr>
              <w:pStyle w:val="ListParagraph"/>
              <w:numPr>
                <w:ilvl w:val="0"/>
                <w:numId w:val="15"/>
              </w:numPr>
              <w:spacing w:after="120" w:line="240" w:lineRule="auto"/>
              <w:ind w:left="714" w:hanging="357"/>
              <w:contextualSpacing w:val="0"/>
              <w:jc w:val="both"/>
              <w:rPr>
                <w:rFonts w:ascii="Times New Roman" w:hAnsi="Times New Roman" w:cs="Times New Roman"/>
                <w:color w:val="0D0D0D" w:themeColor="text1" w:themeTint="F2"/>
                <w:sz w:val="24"/>
                <w:szCs w:val="24"/>
              </w:rPr>
            </w:pPr>
            <w:r w:rsidRPr="00E73D94">
              <w:rPr>
                <w:rFonts w:ascii="Times New Roman" w:hAnsi="Times New Roman" w:cs="Times New Roman"/>
                <w:b/>
                <w:bCs/>
                <w:color w:val="0D0D0D" w:themeColor="text1" w:themeTint="F2"/>
                <w:sz w:val="24"/>
                <w:szCs w:val="24"/>
              </w:rPr>
              <w:t>Definīcijas</w:t>
            </w:r>
          </w:p>
          <w:p w14:paraId="2452382E" w14:textId="788CC3A7" w:rsidR="00CD13F5" w:rsidRPr="00E73D94" w:rsidRDefault="00F571E3"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Likumprojektā Likuma 1.pant</w:t>
            </w:r>
            <w:r w:rsidR="00631ADD" w:rsidRPr="00E73D94">
              <w:rPr>
                <w:rFonts w:ascii="Times New Roman" w:hAnsi="Times New Roman" w:cs="Times New Roman"/>
                <w:color w:val="0D0D0D" w:themeColor="text1" w:themeTint="F2"/>
                <w:sz w:val="24"/>
                <w:szCs w:val="24"/>
                <w:lang w:val="lv-LV"/>
              </w:rPr>
              <w:t>s</w:t>
            </w:r>
            <w:r w:rsidRPr="00E73D94">
              <w:rPr>
                <w:rFonts w:ascii="Times New Roman" w:hAnsi="Times New Roman" w:cs="Times New Roman"/>
                <w:color w:val="0D0D0D" w:themeColor="text1" w:themeTint="F2"/>
                <w:sz w:val="24"/>
                <w:szCs w:val="24"/>
                <w:lang w:val="lv-LV"/>
              </w:rPr>
              <w:t xml:space="preserve"> izteikts jaunā redakcijā</w:t>
            </w:r>
            <w:r w:rsidR="00631ADD" w:rsidRPr="00E73D94">
              <w:rPr>
                <w:rFonts w:ascii="Times New Roman" w:hAnsi="Times New Roman" w:cs="Times New Roman"/>
                <w:color w:val="0D0D0D" w:themeColor="text1" w:themeTint="F2"/>
                <w:sz w:val="24"/>
                <w:szCs w:val="24"/>
                <w:lang w:val="lv-LV"/>
              </w:rPr>
              <w:t>, v</w:t>
            </w:r>
            <w:r w:rsidRPr="00E73D94">
              <w:rPr>
                <w:rFonts w:ascii="Times New Roman" w:hAnsi="Times New Roman" w:cs="Times New Roman"/>
                <w:color w:val="0D0D0D" w:themeColor="text1" w:themeTint="F2"/>
                <w:sz w:val="24"/>
                <w:szCs w:val="24"/>
                <w:lang w:val="lv-LV"/>
              </w:rPr>
              <w:t xml:space="preserve">eicot turpmāk aprakstītos precizējumus un grozījumus. </w:t>
            </w:r>
            <w:r w:rsidR="00CD13F5" w:rsidRPr="00E73D94">
              <w:rPr>
                <w:rFonts w:ascii="Times New Roman" w:hAnsi="Times New Roman" w:cs="Times New Roman"/>
                <w:color w:val="0D0D0D" w:themeColor="text1" w:themeTint="F2"/>
                <w:sz w:val="24"/>
                <w:szCs w:val="24"/>
                <w:lang w:val="lv-LV"/>
              </w:rPr>
              <w:t xml:space="preserve">Tā kā Likumprojekts vienlaikus paredz papildināt </w:t>
            </w:r>
            <w:r w:rsidR="006B29F8" w:rsidRPr="00E73D94">
              <w:rPr>
                <w:rFonts w:ascii="Times New Roman" w:hAnsi="Times New Roman" w:cs="Times New Roman"/>
                <w:color w:val="0D0D0D" w:themeColor="text1" w:themeTint="F2"/>
                <w:sz w:val="24"/>
                <w:szCs w:val="24"/>
                <w:lang w:val="lv-LV"/>
              </w:rPr>
              <w:t>Likumu</w:t>
            </w:r>
            <w:r w:rsidR="00CD13F5" w:rsidRPr="00E73D94">
              <w:rPr>
                <w:rFonts w:ascii="Times New Roman" w:hAnsi="Times New Roman" w:cs="Times New Roman"/>
                <w:color w:val="0D0D0D" w:themeColor="text1" w:themeTint="F2"/>
                <w:sz w:val="24"/>
                <w:szCs w:val="24"/>
                <w:lang w:val="lv-LV"/>
              </w:rPr>
              <w:t xml:space="preserve"> ar IX nodaļu “Sadarbība”, nepieciešams </w:t>
            </w:r>
            <w:r w:rsidR="006B29F8" w:rsidRPr="00E73D94">
              <w:rPr>
                <w:rFonts w:ascii="Times New Roman" w:hAnsi="Times New Roman" w:cs="Times New Roman"/>
                <w:color w:val="0D0D0D" w:themeColor="text1" w:themeTint="F2"/>
                <w:sz w:val="24"/>
                <w:szCs w:val="24"/>
                <w:lang w:val="lv-LV"/>
              </w:rPr>
              <w:t>L</w:t>
            </w:r>
            <w:r w:rsidR="00CD13F5" w:rsidRPr="00E73D94">
              <w:rPr>
                <w:rFonts w:ascii="Times New Roman" w:hAnsi="Times New Roman" w:cs="Times New Roman"/>
                <w:color w:val="0D0D0D" w:themeColor="text1" w:themeTint="F2"/>
                <w:sz w:val="24"/>
                <w:szCs w:val="24"/>
                <w:lang w:val="lv-LV"/>
              </w:rPr>
              <w:t xml:space="preserve">ikuma 1.pantā iekļaut arī nodaļā turpmāk lietotās definīcijas (Eiropas Konkurences tīkls, pieprasījuma iesniedzēja iestāde,  pieprasījuma saņēmēja iestāde), kas saistītas ar konkurences iestāžu starptautiskās sadarbības noteikumiem un informācijas apriti starp dalībvalsts konkurences iestādi un Eiropas Komisiju, kā arī dalībvalstu konkurences iestāžu starpā. </w:t>
            </w:r>
          </w:p>
          <w:p w14:paraId="6C6CD2B0" w14:textId="0E6B7631" w:rsidR="00F0315B" w:rsidRPr="00E73D94" w:rsidRDefault="00CD13F5"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Direktīvas 19.pants paredz Iecietības programmas vispārīgos nosacījumus, savukārt Direktīvas 31.pants paredz lietu dalībnieku piekļuves lietas materiāliem un informācijas izmantošanas ierobežojumus</w:t>
            </w:r>
            <w:r w:rsidR="00631ADD" w:rsidRPr="00E73D94">
              <w:rPr>
                <w:rFonts w:ascii="Times New Roman" w:hAnsi="Times New Roman" w:cs="Times New Roman"/>
                <w:color w:val="0D0D0D" w:themeColor="text1" w:themeTint="F2"/>
                <w:sz w:val="24"/>
                <w:szCs w:val="24"/>
                <w:lang w:val="lv-LV"/>
              </w:rPr>
              <w:t>. T</w:t>
            </w:r>
            <w:r w:rsidRPr="00E73D94">
              <w:rPr>
                <w:rFonts w:ascii="Times New Roman" w:hAnsi="Times New Roman" w:cs="Times New Roman"/>
                <w:color w:val="0D0D0D" w:themeColor="text1" w:themeTint="F2"/>
                <w:sz w:val="24"/>
                <w:szCs w:val="24"/>
                <w:lang w:val="lv-LV"/>
              </w:rPr>
              <w:t xml:space="preserve">ā kā definīcijas </w:t>
            </w:r>
            <w:r w:rsidR="00415582" w:rsidRPr="00E73D94">
              <w:rPr>
                <w:rFonts w:ascii="Times New Roman" w:hAnsi="Times New Roman" w:cs="Times New Roman"/>
                <w:color w:val="0D0D0D" w:themeColor="text1" w:themeTint="F2"/>
                <w:sz w:val="24"/>
                <w:szCs w:val="24"/>
                <w:lang w:val="lv-LV"/>
              </w:rPr>
              <w:t xml:space="preserve">jau tiek lietotas </w:t>
            </w:r>
            <w:r w:rsidR="006B29F8" w:rsidRPr="00E73D94">
              <w:rPr>
                <w:rFonts w:ascii="Times New Roman" w:hAnsi="Times New Roman" w:cs="Times New Roman"/>
                <w:color w:val="0D0D0D" w:themeColor="text1" w:themeTint="F2"/>
                <w:sz w:val="24"/>
                <w:szCs w:val="24"/>
                <w:lang w:val="lv-LV"/>
              </w:rPr>
              <w:t>L</w:t>
            </w:r>
            <w:r w:rsidR="00415582" w:rsidRPr="00E73D94">
              <w:rPr>
                <w:rFonts w:ascii="Times New Roman" w:hAnsi="Times New Roman" w:cs="Times New Roman"/>
                <w:color w:val="0D0D0D" w:themeColor="text1" w:themeTint="F2"/>
                <w:sz w:val="24"/>
                <w:szCs w:val="24"/>
                <w:lang w:val="lv-LV"/>
              </w:rPr>
              <w:t xml:space="preserve">ikumā, nepieciešams </w:t>
            </w:r>
            <w:r w:rsidR="00636D45" w:rsidRPr="00E73D94">
              <w:rPr>
                <w:rFonts w:ascii="Times New Roman" w:hAnsi="Times New Roman" w:cs="Times New Roman"/>
                <w:color w:val="0D0D0D" w:themeColor="text1" w:themeTint="F2"/>
                <w:sz w:val="24"/>
                <w:szCs w:val="24"/>
                <w:lang w:val="lv-LV"/>
              </w:rPr>
              <w:t xml:space="preserve">papildus </w:t>
            </w:r>
            <w:r w:rsidR="00415582" w:rsidRPr="00E73D94">
              <w:rPr>
                <w:rFonts w:ascii="Times New Roman" w:hAnsi="Times New Roman" w:cs="Times New Roman"/>
                <w:color w:val="0D0D0D" w:themeColor="text1" w:themeTint="F2"/>
                <w:sz w:val="24"/>
                <w:szCs w:val="24"/>
                <w:lang w:val="lv-LV"/>
              </w:rPr>
              <w:t xml:space="preserve">skaidrot šādas definīcijas (izlīguma iesniegums, liecība, kas sniegta saskaņā ar iecietības programmu,  iecietības programmas pieteikuma iesniedzējs). </w:t>
            </w:r>
          </w:p>
          <w:p w14:paraId="7E8C154A" w14:textId="1DD75D62" w:rsidR="00F0315B" w:rsidRPr="00E73D94" w:rsidRDefault="00AA653D"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lastRenderedPageBreak/>
              <w:t>Iepriekš minētās definīcijas jau pašlaik daļēji tiek skaidrotas Civilprocesa likuma 250.</w:t>
            </w:r>
            <w:r w:rsidRPr="00E73D94">
              <w:rPr>
                <w:rFonts w:ascii="Times New Roman" w:hAnsi="Times New Roman" w:cs="Times New Roman"/>
                <w:color w:val="0D0D0D" w:themeColor="text1" w:themeTint="F2"/>
                <w:sz w:val="24"/>
                <w:szCs w:val="24"/>
                <w:vertAlign w:val="superscript"/>
                <w:lang w:val="lv-LV"/>
              </w:rPr>
              <w:t>67</w:t>
            </w:r>
            <w:r w:rsidRPr="00E73D94">
              <w:rPr>
                <w:rFonts w:ascii="Times New Roman" w:hAnsi="Times New Roman" w:cs="Times New Roman"/>
                <w:color w:val="0D0D0D" w:themeColor="text1" w:themeTint="F2"/>
                <w:sz w:val="24"/>
                <w:szCs w:val="24"/>
                <w:lang w:val="lv-LV"/>
              </w:rPr>
              <w:t xml:space="preserve"> panta pirmajā daļā, kas saistīts ar to, ka gan </w:t>
            </w:r>
            <w:r w:rsidR="006B29F8" w:rsidRPr="00E73D94">
              <w:rPr>
                <w:rFonts w:ascii="Times New Roman" w:hAnsi="Times New Roman" w:cs="Times New Roman"/>
                <w:color w:val="0D0D0D" w:themeColor="text1" w:themeTint="F2"/>
                <w:sz w:val="24"/>
                <w:szCs w:val="24"/>
                <w:lang w:val="lv-LV"/>
              </w:rPr>
              <w:t>L</w:t>
            </w:r>
            <w:r w:rsidRPr="00E73D94">
              <w:rPr>
                <w:rFonts w:ascii="Times New Roman" w:hAnsi="Times New Roman" w:cs="Times New Roman"/>
                <w:color w:val="0D0D0D" w:themeColor="text1" w:themeTint="F2"/>
                <w:sz w:val="24"/>
                <w:szCs w:val="24"/>
                <w:lang w:val="lv-LV"/>
              </w:rPr>
              <w:t xml:space="preserve">ikumā, gan Civilprocesa likumā iekļautas tiesību normas, kas izriet no Eiropas Parlamenta un Padomes 2014.gada 26.novembra </w:t>
            </w:r>
            <w:r w:rsidR="009A032E" w:rsidRPr="00E73D94">
              <w:rPr>
                <w:rFonts w:ascii="Times New Roman" w:hAnsi="Times New Roman" w:cs="Times New Roman"/>
                <w:color w:val="0D0D0D" w:themeColor="text1" w:themeTint="F2"/>
                <w:sz w:val="24"/>
                <w:szCs w:val="24"/>
                <w:lang w:val="lv-LV"/>
              </w:rPr>
              <w:t>Di</w:t>
            </w:r>
            <w:r w:rsidRPr="00E73D94">
              <w:rPr>
                <w:rFonts w:ascii="Times New Roman" w:hAnsi="Times New Roman" w:cs="Times New Roman"/>
                <w:color w:val="0D0D0D" w:themeColor="text1" w:themeTint="F2"/>
                <w:sz w:val="24"/>
                <w:szCs w:val="24"/>
                <w:lang w:val="lv-LV"/>
              </w:rPr>
              <w:t>rektīvas 2014/104/ES par atsevišķiem noteikumiem, kuri valstu tiesībās reglamentē zaudējumu atlīdzināšanas prasības par dalībvalstu un Eiropas Savienības konkurences tiesību pārkāpumiem</w:t>
            </w:r>
            <w:r w:rsidR="00636D45" w:rsidRPr="00E73D94">
              <w:rPr>
                <w:rFonts w:ascii="Times New Roman" w:hAnsi="Times New Roman" w:cs="Times New Roman"/>
                <w:color w:val="0D0D0D" w:themeColor="text1" w:themeTint="F2"/>
                <w:sz w:val="24"/>
                <w:szCs w:val="24"/>
                <w:lang w:val="lv-LV"/>
              </w:rPr>
              <w:t xml:space="preserve"> (turpmāk </w:t>
            </w:r>
            <w:r w:rsidR="00E33BB5" w:rsidRPr="00E73D94">
              <w:rPr>
                <w:rFonts w:ascii="Times New Roman" w:hAnsi="Times New Roman" w:cs="Times New Roman"/>
                <w:color w:val="0D0D0D" w:themeColor="text1" w:themeTint="F2"/>
                <w:sz w:val="24"/>
                <w:szCs w:val="24"/>
                <w:lang w:val="lv-LV"/>
              </w:rPr>
              <w:t>–</w:t>
            </w:r>
            <w:r w:rsidR="00636D45" w:rsidRPr="00E73D94">
              <w:rPr>
                <w:rFonts w:ascii="Times New Roman" w:hAnsi="Times New Roman" w:cs="Times New Roman"/>
                <w:color w:val="0D0D0D" w:themeColor="text1" w:themeTint="F2"/>
                <w:sz w:val="24"/>
                <w:szCs w:val="24"/>
                <w:lang w:val="lv-LV"/>
              </w:rPr>
              <w:t xml:space="preserve"> Direktīvas 2014/104/ES)</w:t>
            </w:r>
            <w:r w:rsidRPr="00E73D94">
              <w:rPr>
                <w:rFonts w:ascii="Times New Roman" w:hAnsi="Times New Roman" w:cs="Times New Roman"/>
                <w:color w:val="0D0D0D" w:themeColor="text1" w:themeTint="F2"/>
                <w:sz w:val="24"/>
                <w:szCs w:val="24"/>
                <w:lang w:val="lv-LV"/>
              </w:rPr>
              <w:t>. Tomēr, ievērojot to, ka Civilprocesa likuma tiesību normas attiecināmas tikai uz tādu lietu izskatīšanu, kas saistītas ar zaudējumu atlīdzināšanu par konkurences tiesību pārkāpumiem, transponējot Direktīvas</w:t>
            </w:r>
            <w:r w:rsidRPr="00E73D94">
              <w:rPr>
                <w:rFonts w:ascii="Times New Roman" w:hAnsi="Times New Roman" w:cs="Times New Roman"/>
                <w:color w:val="0D0D0D" w:themeColor="text1" w:themeTint="F2"/>
                <w:sz w:val="24"/>
                <w:szCs w:val="24"/>
                <w:shd w:val="clear" w:color="auto" w:fill="FFFFFF"/>
                <w:lang w:val="lv-LV"/>
              </w:rPr>
              <w:t xml:space="preserve"> normas Latvijas nacionālajos tiesību aktos, secināts, ka šīs definīcijas būtu nepieciešamas arī </w:t>
            </w:r>
            <w:r w:rsidR="006B29F8" w:rsidRPr="00E73D94">
              <w:rPr>
                <w:rFonts w:ascii="Times New Roman" w:hAnsi="Times New Roman" w:cs="Times New Roman"/>
                <w:color w:val="0D0D0D" w:themeColor="text1" w:themeTint="F2"/>
                <w:sz w:val="24"/>
                <w:szCs w:val="24"/>
                <w:shd w:val="clear" w:color="auto" w:fill="FFFFFF"/>
                <w:lang w:val="lv-LV"/>
              </w:rPr>
              <w:t>L</w:t>
            </w:r>
            <w:r w:rsidRPr="00E73D94">
              <w:rPr>
                <w:rFonts w:ascii="Times New Roman" w:hAnsi="Times New Roman" w:cs="Times New Roman"/>
                <w:color w:val="0D0D0D" w:themeColor="text1" w:themeTint="F2"/>
                <w:sz w:val="24"/>
                <w:szCs w:val="24"/>
                <w:shd w:val="clear" w:color="auto" w:fill="FFFFFF"/>
                <w:lang w:val="lv-LV"/>
              </w:rPr>
              <w:t>ikumā.</w:t>
            </w:r>
            <w:r w:rsidRPr="00E73D94">
              <w:rPr>
                <w:rFonts w:ascii="Times New Roman" w:hAnsi="Times New Roman" w:cs="Times New Roman"/>
                <w:color w:val="0D0D0D" w:themeColor="text1" w:themeTint="F2"/>
                <w:sz w:val="24"/>
                <w:szCs w:val="24"/>
                <w:lang w:val="lv-LV"/>
              </w:rPr>
              <w:t xml:space="preserve"> </w:t>
            </w:r>
          </w:p>
          <w:p w14:paraId="269280AE" w14:textId="31BF5D9A" w:rsidR="00F0315B" w:rsidRPr="00E73D94" w:rsidRDefault="00F0315B" w:rsidP="009614EB">
            <w:pPr>
              <w:spacing w:after="120" w:line="240" w:lineRule="auto"/>
              <w:jc w:val="both"/>
              <w:rPr>
                <w:rFonts w:ascii="Times New Roman" w:eastAsia="Times New Roman" w:hAnsi="Times New Roman" w:cs="Times New Roman"/>
                <w:b/>
                <w:bCs/>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Līdz ar Direktīvas 2014/104/ES transponēšanu nacionālajos tiesību aktos </w:t>
            </w:r>
            <w:r w:rsidR="007C507B" w:rsidRPr="00E73D94">
              <w:rPr>
                <w:rFonts w:ascii="Times New Roman" w:hAnsi="Times New Roman" w:cs="Times New Roman"/>
                <w:color w:val="0D0D0D" w:themeColor="text1" w:themeTint="F2"/>
                <w:sz w:val="24"/>
                <w:szCs w:val="24"/>
                <w:lang w:val="lv-LV"/>
              </w:rPr>
              <w:t>L</w:t>
            </w:r>
            <w:r w:rsidRPr="00E73D94">
              <w:rPr>
                <w:rFonts w:ascii="Times New Roman" w:hAnsi="Times New Roman" w:cs="Times New Roman"/>
                <w:color w:val="0D0D0D" w:themeColor="text1" w:themeTint="F2"/>
                <w:sz w:val="24"/>
                <w:szCs w:val="24"/>
                <w:lang w:val="lv-LV"/>
              </w:rPr>
              <w:t xml:space="preserve">ikums tika papildināts ar “karteļa vienošanās” definīciju. Ņemot vērā, ka </w:t>
            </w:r>
            <w:r w:rsidR="004D2FA8" w:rsidRPr="00E73D94">
              <w:rPr>
                <w:rFonts w:ascii="Times New Roman" w:hAnsi="Times New Roman" w:cs="Times New Roman"/>
                <w:color w:val="0D0D0D" w:themeColor="text1" w:themeTint="F2"/>
                <w:sz w:val="24"/>
                <w:szCs w:val="24"/>
                <w:lang w:val="lv-LV"/>
              </w:rPr>
              <w:t>Direktīvā</w:t>
            </w:r>
            <w:r w:rsidRPr="00E73D94">
              <w:rPr>
                <w:rFonts w:ascii="Times New Roman" w:hAnsi="Times New Roman" w:cs="Times New Roman"/>
                <w:color w:val="0D0D0D" w:themeColor="text1" w:themeTint="F2"/>
                <w:sz w:val="24"/>
                <w:szCs w:val="24"/>
                <w:shd w:val="clear" w:color="auto" w:fill="FFFFFF"/>
                <w:lang w:val="lv-LV"/>
              </w:rPr>
              <w:t xml:space="preserve"> lietotā “karteļa” definīcija gramatiski atšķiras, Likumprojektā tiek precizēta arī karteļa vienošanās definīcija. Vienlaikus </w:t>
            </w:r>
            <w:r w:rsidR="007C507B" w:rsidRPr="00E73D94">
              <w:rPr>
                <w:rFonts w:ascii="Times New Roman" w:hAnsi="Times New Roman" w:cs="Times New Roman"/>
                <w:color w:val="0D0D0D" w:themeColor="text1" w:themeTint="F2"/>
                <w:sz w:val="24"/>
                <w:szCs w:val="24"/>
                <w:shd w:val="clear" w:color="auto" w:fill="FFFFFF"/>
                <w:lang w:val="lv-LV"/>
              </w:rPr>
              <w:t>L</w:t>
            </w:r>
            <w:r w:rsidRPr="00E73D94">
              <w:rPr>
                <w:rFonts w:ascii="Times New Roman" w:hAnsi="Times New Roman" w:cs="Times New Roman"/>
                <w:color w:val="0D0D0D" w:themeColor="text1" w:themeTint="F2"/>
                <w:sz w:val="24"/>
                <w:szCs w:val="24"/>
                <w:shd w:val="clear" w:color="auto" w:fill="FFFFFF"/>
                <w:lang w:val="lv-LV"/>
              </w:rPr>
              <w:t>ikuma 1.pants tiek papildināts ar “iecietības programmas definīciju”</w:t>
            </w:r>
            <w:r w:rsidR="007C507B" w:rsidRPr="00E73D94">
              <w:rPr>
                <w:rFonts w:ascii="Times New Roman" w:hAnsi="Times New Roman" w:cs="Times New Roman"/>
                <w:color w:val="0D0D0D" w:themeColor="text1" w:themeTint="F2"/>
                <w:sz w:val="24"/>
                <w:szCs w:val="24"/>
                <w:shd w:val="clear" w:color="auto" w:fill="FFFFFF"/>
                <w:lang w:val="lv-LV"/>
              </w:rPr>
              <w:t>,</w:t>
            </w:r>
            <w:r w:rsidRPr="00E73D94">
              <w:rPr>
                <w:rFonts w:ascii="Times New Roman" w:hAnsi="Times New Roman" w:cs="Times New Roman"/>
                <w:color w:val="0D0D0D" w:themeColor="text1" w:themeTint="F2"/>
                <w:sz w:val="24"/>
                <w:szCs w:val="24"/>
                <w:shd w:val="clear" w:color="auto" w:fill="FFFFFF"/>
                <w:lang w:val="lv-LV"/>
              </w:rPr>
              <w:t xml:space="preserve"> tiesību normu skaidrībai definīciju iekļaujot definīciju sadaļ</w:t>
            </w:r>
            <w:r w:rsidR="006A3984" w:rsidRPr="00E73D94">
              <w:rPr>
                <w:rFonts w:ascii="Times New Roman" w:hAnsi="Times New Roman" w:cs="Times New Roman"/>
                <w:color w:val="0D0D0D" w:themeColor="text1" w:themeTint="F2"/>
                <w:sz w:val="24"/>
                <w:szCs w:val="24"/>
                <w:shd w:val="clear" w:color="auto" w:fill="FFFFFF"/>
                <w:lang w:val="lv-LV"/>
              </w:rPr>
              <w:t>ā</w:t>
            </w:r>
            <w:r w:rsidRPr="00E73D94">
              <w:rPr>
                <w:rFonts w:ascii="Times New Roman" w:hAnsi="Times New Roman" w:cs="Times New Roman"/>
                <w:color w:val="0D0D0D" w:themeColor="text1" w:themeTint="F2"/>
                <w:sz w:val="24"/>
                <w:szCs w:val="24"/>
                <w:shd w:val="clear" w:color="auto" w:fill="FFFFFF"/>
                <w:lang w:val="lv-LV"/>
              </w:rPr>
              <w:t xml:space="preserve"> likumā, to gramatiski precizējot un pārnesot no Konkurences likuma 12</w:t>
            </w:r>
            <w:r w:rsidRPr="00E73D94">
              <w:rPr>
                <w:rFonts w:ascii="Times New Roman" w:hAnsi="Times New Roman" w:cs="Times New Roman"/>
                <w:color w:val="0D0D0D" w:themeColor="text1" w:themeTint="F2"/>
                <w:sz w:val="24"/>
                <w:szCs w:val="24"/>
                <w:shd w:val="clear" w:color="auto" w:fill="FFFFFF"/>
                <w:vertAlign w:val="superscript"/>
                <w:lang w:val="lv-LV"/>
              </w:rPr>
              <w:t>1</w:t>
            </w:r>
            <w:r w:rsidRPr="00E73D94">
              <w:rPr>
                <w:rFonts w:ascii="Times New Roman" w:hAnsi="Times New Roman" w:cs="Times New Roman"/>
                <w:color w:val="0D0D0D" w:themeColor="text1" w:themeTint="F2"/>
                <w:sz w:val="24"/>
                <w:szCs w:val="24"/>
                <w:shd w:val="clear" w:color="auto" w:fill="FFFFFF"/>
                <w:lang w:val="lv-LV"/>
              </w:rPr>
              <w:t xml:space="preserve">.panta “Iecietības programma”. </w:t>
            </w:r>
          </w:p>
          <w:p w14:paraId="5367D1E9" w14:textId="75C07CBE" w:rsidR="00542B12" w:rsidRPr="00E73D94" w:rsidRDefault="00542B12" w:rsidP="009614EB">
            <w:pPr>
              <w:pStyle w:val="ListParagraph"/>
              <w:numPr>
                <w:ilvl w:val="0"/>
                <w:numId w:val="15"/>
              </w:numPr>
              <w:spacing w:after="120" w:line="240" w:lineRule="auto"/>
              <w:ind w:left="714" w:hanging="357"/>
              <w:contextualSpacing w:val="0"/>
              <w:jc w:val="both"/>
              <w:rPr>
                <w:rFonts w:ascii="Times New Roman" w:hAnsi="Times New Roman" w:cs="Times New Roman"/>
                <w:color w:val="0D0D0D" w:themeColor="text1" w:themeTint="F2"/>
                <w:sz w:val="24"/>
                <w:szCs w:val="24"/>
              </w:rPr>
            </w:pPr>
            <w:r w:rsidRPr="00E73D94">
              <w:rPr>
                <w:rFonts w:ascii="Times New Roman" w:hAnsi="Times New Roman" w:cs="Times New Roman"/>
                <w:b/>
                <w:bCs/>
                <w:color w:val="0D0D0D" w:themeColor="text1" w:themeTint="F2"/>
                <w:sz w:val="24"/>
                <w:szCs w:val="24"/>
              </w:rPr>
              <w:t xml:space="preserve">Konkurences iestādes </w:t>
            </w:r>
            <w:r w:rsidR="004B6866" w:rsidRPr="00E73D94">
              <w:rPr>
                <w:rFonts w:ascii="Times New Roman" w:hAnsi="Times New Roman" w:cs="Times New Roman"/>
                <w:b/>
                <w:bCs/>
                <w:color w:val="0D0D0D" w:themeColor="text1" w:themeTint="F2"/>
                <w:sz w:val="24"/>
                <w:szCs w:val="24"/>
              </w:rPr>
              <w:t xml:space="preserve">finansiālā stiprināšana un </w:t>
            </w:r>
            <w:r w:rsidR="0018118F" w:rsidRPr="00E73D94">
              <w:rPr>
                <w:rFonts w:ascii="Times New Roman" w:hAnsi="Times New Roman" w:cs="Times New Roman"/>
                <w:b/>
                <w:bCs/>
                <w:color w:val="0D0D0D" w:themeColor="text1" w:themeTint="F2"/>
                <w:sz w:val="24"/>
                <w:szCs w:val="24"/>
              </w:rPr>
              <w:t>institucionālais statuss</w:t>
            </w:r>
          </w:p>
          <w:p w14:paraId="7C02A6C4" w14:textId="160549CF" w:rsidR="00CD0A2C" w:rsidRPr="00E73D94" w:rsidRDefault="00CD0A2C" w:rsidP="009614EB">
            <w:pPr>
              <w:spacing w:after="120" w:line="240" w:lineRule="auto"/>
              <w:jc w:val="both"/>
              <w:rPr>
                <w:rFonts w:ascii="Times New Roman" w:hAnsi="Times New Roman" w:cs="Times New Roman"/>
                <w:i/>
                <w:iCs/>
                <w:color w:val="0D0D0D" w:themeColor="text1" w:themeTint="F2"/>
                <w:sz w:val="24"/>
                <w:szCs w:val="24"/>
                <w:lang w:val="lv-LV"/>
              </w:rPr>
            </w:pPr>
            <w:r w:rsidRPr="00E73D94">
              <w:rPr>
                <w:rFonts w:ascii="Times New Roman" w:hAnsi="Times New Roman" w:cs="Times New Roman"/>
                <w:i/>
                <w:iCs/>
                <w:color w:val="0D0D0D" w:themeColor="text1" w:themeTint="F2"/>
                <w:sz w:val="24"/>
                <w:szCs w:val="24"/>
                <w:lang w:val="lv-LV"/>
              </w:rPr>
              <w:t xml:space="preserve">Prasības attiecībā uz iestādes institucionālo statusu </w:t>
            </w:r>
          </w:p>
          <w:p w14:paraId="63ED5427" w14:textId="0DF2F87F" w:rsidR="00CD0A2C" w:rsidRPr="00E73D94" w:rsidRDefault="00CD0A2C"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Direktīvas 4.pants nosaka pienākumu stiprināt konkurences iestādes lēmumu pieņemšanas </w:t>
            </w:r>
            <w:proofErr w:type="spellStart"/>
            <w:r w:rsidRPr="00E73D94">
              <w:rPr>
                <w:rFonts w:ascii="Times New Roman" w:hAnsi="Times New Roman" w:cs="Times New Roman"/>
                <w:color w:val="0D0D0D" w:themeColor="text1" w:themeTint="F2"/>
                <w:sz w:val="24"/>
                <w:szCs w:val="24"/>
                <w:lang w:val="lv-LV"/>
              </w:rPr>
              <w:t>neietekmējamību</w:t>
            </w:r>
            <w:proofErr w:type="spellEnd"/>
            <w:r w:rsidRPr="00E73D94">
              <w:rPr>
                <w:rFonts w:ascii="Times New Roman" w:hAnsi="Times New Roman" w:cs="Times New Roman"/>
                <w:color w:val="0D0D0D" w:themeColor="text1" w:themeTint="F2"/>
                <w:sz w:val="24"/>
                <w:szCs w:val="24"/>
                <w:lang w:val="lv-LV"/>
              </w:rPr>
              <w:t xml:space="preserve">, kā arī </w:t>
            </w:r>
            <w:r w:rsidR="00A573F8" w:rsidRPr="00E73D94">
              <w:rPr>
                <w:rFonts w:ascii="Times New Roman" w:hAnsi="Times New Roman" w:cs="Times New Roman"/>
                <w:color w:val="0D0D0D" w:themeColor="text1" w:themeTint="F2"/>
                <w:sz w:val="24"/>
                <w:szCs w:val="24"/>
                <w:lang w:val="lv-LV"/>
              </w:rPr>
              <w:t xml:space="preserve">noteikt iestādes vadītājam plašākas pilnvaras, rīkojoties iestādes organizatoriskajos jautājumus. Vienlaikus Direktīva uzliek par pienākumu noteikt konkrētu un </w:t>
            </w:r>
            <w:r w:rsidRPr="00E73D94">
              <w:rPr>
                <w:rFonts w:ascii="Times New Roman" w:hAnsi="Times New Roman" w:cs="Times New Roman"/>
                <w:color w:val="0D0D0D" w:themeColor="text1" w:themeTint="F2"/>
                <w:sz w:val="24"/>
                <w:szCs w:val="24"/>
                <w:lang w:val="lv-LV"/>
              </w:rPr>
              <w:t xml:space="preserve">politiski neitrālu Konkurences padomes locekļu atlases kārtību, kā arī </w:t>
            </w:r>
            <w:r w:rsidR="00A573F8" w:rsidRPr="00E73D94">
              <w:rPr>
                <w:rFonts w:ascii="Times New Roman" w:hAnsi="Times New Roman" w:cs="Times New Roman"/>
                <w:color w:val="0D0D0D" w:themeColor="text1" w:themeTint="F2"/>
                <w:sz w:val="24"/>
                <w:szCs w:val="24"/>
                <w:lang w:val="lv-LV"/>
              </w:rPr>
              <w:t xml:space="preserve">no amata atcelšanas kārtību. Līdz ar to </w:t>
            </w:r>
            <w:r w:rsidR="00810485" w:rsidRPr="00E73D94">
              <w:rPr>
                <w:rFonts w:ascii="Times New Roman" w:hAnsi="Times New Roman" w:cs="Times New Roman"/>
                <w:color w:val="0D0D0D" w:themeColor="text1" w:themeTint="F2"/>
                <w:sz w:val="24"/>
                <w:szCs w:val="24"/>
                <w:lang w:val="lv-LV"/>
              </w:rPr>
              <w:t>L</w:t>
            </w:r>
            <w:r w:rsidR="00A573F8" w:rsidRPr="00E73D94">
              <w:rPr>
                <w:rFonts w:ascii="Times New Roman" w:hAnsi="Times New Roman" w:cs="Times New Roman"/>
                <w:color w:val="0D0D0D" w:themeColor="text1" w:themeTint="F2"/>
                <w:sz w:val="24"/>
                <w:szCs w:val="24"/>
                <w:lang w:val="lv-LV"/>
              </w:rPr>
              <w:t>ikumprojektā tiek labotas normas, kas attiecināmas uz Konkurences padomes institucionālās pārraudzības robežām, kā arī precizētas prasības Konkurences padomes priekšsēdētājam un padomes locekļiem, to iecelšanas, atcelšanas un pilnvaru apturēšanas kārtībai</w:t>
            </w:r>
            <w:r w:rsidR="00810485" w:rsidRPr="00E73D94">
              <w:rPr>
                <w:rFonts w:ascii="Times New Roman" w:hAnsi="Times New Roman" w:cs="Times New Roman"/>
                <w:color w:val="0D0D0D" w:themeColor="text1" w:themeTint="F2"/>
                <w:sz w:val="24"/>
                <w:szCs w:val="24"/>
                <w:lang w:val="lv-LV"/>
              </w:rPr>
              <w:t xml:space="preserve"> (Likum</w:t>
            </w:r>
            <w:r w:rsidR="009B4D92">
              <w:rPr>
                <w:rFonts w:ascii="Times New Roman" w:hAnsi="Times New Roman" w:cs="Times New Roman"/>
                <w:color w:val="0D0D0D" w:themeColor="text1" w:themeTint="F2"/>
                <w:sz w:val="24"/>
                <w:szCs w:val="24"/>
                <w:lang w:val="lv-LV"/>
              </w:rPr>
              <w:t>p</w:t>
            </w:r>
            <w:r w:rsidR="00810485" w:rsidRPr="00E73D94">
              <w:rPr>
                <w:rFonts w:ascii="Times New Roman" w:hAnsi="Times New Roman" w:cs="Times New Roman"/>
                <w:color w:val="0D0D0D" w:themeColor="text1" w:themeTint="F2"/>
                <w:sz w:val="24"/>
                <w:szCs w:val="24"/>
                <w:lang w:val="lv-LV"/>
              </w:rPr>
              <w:t>rojekta 2.-4.pants)</w:t>
            </w:r>
            <w:r w:rsidR="00A573F8" w:rsidRPr="00E73D94">
              <w:rPr>
                <w:rFonts w:ascii="Times New Roman" w:hAnsi="Times New Roman" w:cs="Times New Roman"/>
                <w:color w:val="0D0D0D" w:themeColor="text1" w:themeTint="F2"/>
                <w:sz w:val="24"/>
                <w:szCs w:val="24"/>
                <w:lang w:val="lv-LV"/>
              </w:rPr>
              <w:t>. Līdzvērtīga institucionālās pārraudzības kārtība šobrīd ir noteikta Datu valsts inspekcijai.</w:t>
            </w:r>
          </w:p>
          <w:p w14:paraId="68DB4FB9" w14:textId="41B582B9" w:rsidR="00AC7E09" w:rsidRPr="00E73D94" w:rsidRDefault="00810485" w:rsidP="009614EB">
            <w:pPr>
              <w:spacing w:after="120" w:line="240" w:lineRule="auto"/>
              <w:jc w:val="both"/>
              <w:rPr>
                <w:rFonts w:ascii="Times New Roman" w:hAnsi="Times New Roman" w:cs="Times New Roman"/>
                <w:color w:val="000000" w:themeColor="text1"/>
                <w:sz w:val="24"/>
                <w:szCs w:val="24"/>
                <w:shd w:val="clear" w:color="auto" w:fill="FFFFFF"/>
                <w:lang w:val="lv-LV"/>
              </w:rPr>
            </w:pPr>
            <w:r w:rsidRPr="00E73D94">
              <w:rPr>
                <w:rFonts w:ascii="Times New Roman" w:hAnsi="Times New Roman" w:cs="Times New Roman"/>
                <w:color w:val="0D0D0D" w:themeColor="text1" w:themeTint="F2"/>
                <w:sz w:val="24"/>
                <w:szCs w:val="24"/>
                <w:lang w:val="lv-LV"/>
              </w:rPr>
              <w:t>Attiecīgi Likumprojekt</w:t>
            </w:r>
            <w:r w:rsidR="00CC451D" w:rsidRPr="00E73D94">
              <w:rPr>
                <w:rFonts w:ascii="Times New Roman" w:hAnsi="Times New Roman" w:cs="Times New Roman"/>
                <w:color w:val="0D0D0D" w:themeColor="text1" w:themeTint="F2"/>
                <w:sz w:val="24"/>
                <w:szCs w:val="24"/>
                <w:lang w:val="lv-LV"/>
              </w:rPr>
              <w:t xml:space="preserve">s paredz, ka turpmāk KP atradīsies </w:t>
            </w:r>
            <w:r w:rsidR="00CC451D" w:rsidRPr="00E73D94">
              <w:rPr>
                <w:rFonts w:ascii="Times New Roman" w:hAnsi="Times New Roman" w:cs="Times New Roman"/>
                <w:color w:val="000000" w:themeColor="text1"/>
                <w:sz w:val="24"/>
                <w:szCs w:val="24"/>
                <w:shd w:val="clear" w:color="auto" w:fill="FFFFFF"/>
                <w:lang w:val="lv-LV"/>
              </w:rPr>
              <w:t xml:space="preserve">Ministru kabineta pārraudzībā un tā tiks īstenota ar ekonomikas ministra starpniecību. KP operacionālā neatkarība tiks stiprināta, paredzot konkurences uzraudzības iestādei pilnīgu neatkarību iestādes iekšējo organizatorisko jautājumu risināšanā (piemēram, turpmāk iestādei ar </w:t>
            </w:r>
            <w:r w:rsidR="00920847" w:rsidRPr="00E73D94">
              <w:rPr>
                <w:rFonts w:ascii="Times New Roman" w:hAnsi="Times New Roman" w:cs="Times New Roman"/>
                <w:color w:val="000000" w:themeColor="text1"/>
                <w:sz w:val="24"/>
                <w:szCs w:val="24"/>
                <w:shd w:val="clear" w:color="auto" w:fill="FFFFFF"/>
                <w:lang w:val="lv-LV"/>
              </w:rPr>
              <w:t xml:space="preserve">Ekonomikas </w:t>
            </w:r>
            <w:r w:rsidR="00CC451D" w:rsidRPr="00E73D94">
              <w:rPr>
                <w:rFonts w:ascii="Times New Roman" w:hAnsi="Times New Roman" w:cs="Times New Roman"/>
                <w:color w:val="000000" w:themeColor="text1"/>
                <w:sz w:val="24"/>
                <w:szCs w:val="24"/>
                <w:shd w:val="clear" w:color="auto" w:fill="FFFFFF"/>
                <w:lang w:val="lv-LV"/>
              </w:rPr>
              <w:t xml:space="preserve">ministriju </w:t>
            </w:r>
            <w:r w:rsidR="00FA6804">
              <w:rPr>
                <w:rFonts w:ascii="Times New Roman" w:hAnsi="Times New Roman" w:cs="Times New Roman"/>
                <w:color w:val="000000" w:themeColor="text1"/>
                <w:sz w:val="24"/>
                <w:szCs w:val="24"/>
                <w:shd w:val="clear" w:color="auto" w:fill="FFFFFF"/>
                <w:lang w:val="lv-LV"/>
              </w:rPr>
              <w:t xml:space="preserve">(turpmāk – EM) </w:t>
            </w:r>
            <w:r w:rsidR="00CC451D" w:rsidRPr="00E73D94">
              <w:rPr>
                <w:rFonts w:ascii="Times New Roman" w:hAnsi="Times New Roman" w:cs="Times New Roman"/>
                <w:color w:val="000000" w:themeColor="text1"/>
                <w:sz w:val="24"/>
                <w:szCs w:val="24"/>
                <w:shd w:val="clear" w:color="auto" w:fill="FFFFFF"/>
                <w:lang w:val="lv-LV"/>
              </w:rPr>
              <w:t xml:space="preserve">nebūs </w:t>
            </w:r>
            <w:r w:rsidR="00920847" w:rsidRPr="00E73D94">
              <w:rPr>
                <w:rFonts w:ascii="Times New Roman" w:hAnsi="Times New Roman" w:cs="Times New Roman"/>
                <w:color w:val="000000" w:themeColor="text1"/>
                <w:sz w:val="24"/>
                <w:szCs w:val="24"/>
                <w:shd w:val="clear" w:color="auto" w:fill="FFFFFF"/>
                <w:lang w:val="lv-LV"/>
              </w:rPr>
              <w:t xml:space="preserve">vairs </w:t>
            </w:r>
            <w:r w:rsidR="00CC451D" w:rsidRPr="00E73D94">
              <w:rPr>
                <w:rFonts w:ascii="Times New Roman" w:hAnsi="Times New Roman" w:cs="Times New Roman"/>
                <w:color w:val="000000" w:themeColor="text1"/>
                <w:sz w:val="24"/>
                <w:szCs w:val="24"/>
                <w:shd w:val="clear" w:color="auto" w:fill="FFFFFF"/>
                <w:lang w:val="lv-LV"/>
              </w:rPr>
              <w:t>jāsaskaņo izstrādātie iekšējie normatīvie akti, iestādes darbības stratēģija un darbības plāns</w:t>
            </w:r>
            <w:r w:rsidR="00257A87" w:rsidRPr="00E73D94">
              <w:rPr>
                <w:rFonts w:ascii="Times New Roman" w:hAnsi="Times New Roman" w:cs="Times New Roman"/>
                <w:color w:val="000000" w:themeColor="text1"/>
                <w:sz w:val="24"/>
                <w:szCs w:val="24"/>
                <w:shd w:val="clear" w:color="auto" w:fill="FFFFFF"/>
                <w:lang w:val="lv-LV"/>
              </w:rPr>
              <w:t>,</w:t>
            </w:r>
            <w:r w:rsidR="00CC451D" w:rsidRPr="00E73D94">
              <w:rPr>
                <w:rFonts w:ascii="Times New Roman" w:hAnsi="Times New Roman" w:cs="Times New Roman"/>
                <w:color w:val="000000" w:themeColor="text1"/>
                <w:sz w:val="24"/>
                <w:szCs w:val="24"/>
                <w:shd w:val="clear" w:color="auto" w:fill="FFFFFF"/>
                <w:lang w:val="lv-LV"/>
              </w:rPr>
              <w:t xml:space="preserve"> padomes priekšsēdētāja </w:t>
            </w:r>
            <w:r w:rsidR="00920847" w:rsidRPr="00E73D94">
              <w:rPr>
                <w:rFonts w:ascii="Times New Roman" w:hAnsi="Times New Roman" w:cs="Times New Roman"/>
                <w:color w:val="000000" w:themeColor="text1"/>
                <w:sz w:val="24"/>
                <w:szCs w:val="24"/>
                <w:shd w:val="clear" w:color="auto" w:fill="FFFFFF"/>
                <w:lang w:val="lv-LV"/>
              </w:rPr>
              <w:t xml:space="preserve">plānotie </w:t>
            </w:r>
            <w:r w:rsidR="00CC451D" w:rsidRPr="00E73D94">
              <w:rPr>
                <w:rFonts w:ascii="Times New Roman" w:hAnsi="Times New Roman" w:cs="Times New Roman"/>
                <w:color w:val="000000" w:themeColor="text1"/>
                <w:sz w:val="24"/>
                <w:szCs w:val="24"/>
                <w:shd w:val="clear" w:color="auto" w:fill="FFFFFF"/>
                <w:lang w:val="lv-LV"/>
              </w:rPr>
              <w:t>komandējum</w:t>
            </w:r>
            <w:r w:rsidR="00920847" w:rsidRPr="00E73D94">
              <w:rPr>
                <w:rFonts w:ascii="Times New Roman" w:hAnsi="Times New Roman" w:cs="Times New Roman"/>
                <w:color w:val="000000" w:themeColor="text1"/>
                <w:sz w:val="24"/>
                <w:szCs w:val="24"/>
                <w:shd w:val="clear" w:color="auto" w:fill="FFFFFF"/>
                <w:lang w:val="lv-LV"/>
              </w:rPr>
              <w:t>i</w:t>
            </w:r>
            <w:r w:rsidR="00CC451D" w:rsidRPr="00E73D94">
              <w:rPr>
                <w:rFonts w:ascii="Times New Roman" w:hAnsi="Times New Roman" w:cs="Times New Roman"/>
                <w:color w:val="000000" w:themeColor="text1"/>
                <w:sz w:val="24"/>
                <w:szCs w:val="24"/>
                <w:shd w:val="clear" w:color="auto" w:fill="FFFFFF"/>
                <w:lang w:val="lv-LV"/>
              </w:rPr>
              <w:t xml:space="preserve"> un </w:t>
            </w:r>
            <w:r w:rsidR="00CC451D" w:rsidRPr="00E73D94">
              <w:rPr>
                <w:rFonts w:ascii="Times New Roman" w:hAnsi="Times New Roman" w:cs="Times New Roman"/>
                <w:color w:val="000000" w:themeColor="text1"/>
                <w:sz w:val="24"/>
                <w:szCs w:val="24"/>
                <w:shd w:val="clear" w:color="auto" w:fill="FFFFFF"/>
                <w:lang w:val="lv-LV"/>
              </w:rPr>
              <w:lastRenderedPageBreak/>
              <w:t>atvaļinājuma plāns</w:t>
            </w:r>
            <w:r w:rsidR="00257A87" w:rsidRPr="00E73D94">
              <w:rPr>
                <w:rFonts w:ascii="Times New Roman" w:hAnsi="Times New Roman" w:cs="Times New Roman"/>
                <w:color w:val="000000" w:themeColor="text1"/>
                <w:sz w:val="24"/>
                <w:szCs w:val="24"/>
                <w:shd w:val="clear" w:color="auto" w:fill="FFFFFF"/>
                <w:lang w:val="lv-LV"/>
              </w:rPr>
              <w:t>.</w:t>
            </w:r>
            <w:r w:rsidR="00920847" w:rsidRPr="00E73D94">
              <w:rPr>
                <w:rFonts w:ascii="Times New Roman" w:hAnsi="Times New Roman" w:cs="Times New Roman"/>
                <w:color w:val="000000" w:themeColor="text1"/>
                <w:sz w:val="24"/>
                <w:szCs w:val="24"/>
                <w:shd w:val="clear" w:color="auto" w:fill="FFFFFF"/>
                <w:lang w:val="lv-LV"/>
              </w:rPr>
              <w:t xml:space="preserve"> </w:t>
            </w:r>
            <w:r w:rsidR="00257A87" w:rsidRPr="00E73D94">
              <w:rPr>
                <w:rFonts w:ascii="Times New Roman" w:hAnsi="Times New Roman" w:cs="Times New Roman"/>
                <w:color w:val="000000" w:themeColor="text1"/>
                <w:sz w:val="24"/>
                <w:szCs w:val="24"/>
                <w:shd w:val="clear" w:color="auto" w:fill="FFFFFF"/>
                <w:lang w:val="lv-LV"/>
              </w:rPr>
              <w:t xml:space="preserve">Lai novērstu politisko un cita veida ārējo ietekmi uz lēmuma pieņēmējiem konkurences uzraudzības iestādē, Likumprojekts tostarp arī paredz, ka </w:t>
            </w:r>
            <w:r w:rsidR="00920847" w:rsidRPr="00E73D94">
              <w:rPr>
                <w:rFonts w:ascii="Times New Roman" w:hAnsi="Times New Roman" w:cs="Times New Roman"/>
                <w:color w:val="000000" w:themeColor="text1"/>
                <w:sz w:val="24"/>
                <w:szCs w:val="24"/>
                <w:shd w:val="clear" w:color="auto" w:fill="FFFFFF"/>
                <w:lang w:val="lv-LV"/>
              </w:rPr>
              <w:t xml:space="preserve">ministram vairs netiks paredzētas tiesības </w:t>
            </w:r>
            <w:r w:rsidR="00257A87" w:rsidRPr="00E73D94">
              <w:rPr>
                <w:rFonts w:ascii="Times New Roman" w:hAnsi="Times New Roman" w:cs="Times New Roman"/>
                <w:color w:val="000000" w:themeColor="text1"/>
                <w:sz w:val="24"/>
                <w:szCs w:val="24"/>
                <w:shd w:val="clear" w:color="auto" w:fill="FFFFFF"/>
                <w:lang w:val="lv-LV"/>
              </w:rPr>
              <w:t xml:space="preserve">novērtēt KP padomes priekšsēdētāja darbību, ierosināt disciplinārlietu pret KP padomes priekšsēdētāju </w:t>
            </w:r>
            <w:r w:rsidR="006B49AA" w:rsidRPr="00E73D94">
              <w:rPr>
                <w:rFonts w:ascii="Times New Roman" w:hAnsi="Times New Roman" w:cs="Times New Roman"/>
                <w:color w:val="000000" w:themeColor="text1"/>
                <w:sz w:val="24"/>
                <w:szCs w:val="24"/>
                <w:shd w:val="clear" w:color="auto" w:fill="FFFFFF"/>
                <w:lang w:val="lv-LV"/>
              </w:rPr>
              <w:t xml:space="preserve">vai atstādināt to, kā arī </w:t>
            </w:r>
            <w:r w:rsidR="00257A87" w:rsidRPr="00E73D94">
              <w:rPr>
                <w:rFonts w:ascii="Times New Roman" w:hAnsi="Times New Roman" w:cs="Times New Roman"/>
                <w:color w:val="000000" w:themeColor="text1"/>
                <w:sz w:val="24"/>
                <w:szCs w:val="24"/>
                <w:shd w:val="clear" w:color="auto" w:fill="FFFFFF"/>
                <w:lang w:val="lv-LV"/>
              </w:rPr>
              <w:t xml:space="preserve">noteikt KP priekšsēdētāja atlīdzības </w:t>
            </w:r>
            <w:r w:rsidR="00AC7E09" w:rsidRPr="00E73D94">
              <w:rPr>
                <w:rFonts w:ascii="Times New Roman" w:hAnsi="Times New Roman" w:cs="Times New Roman"/>
                <w:color w:val="000000" w:themeColor="text1"/>
                <w:sz w:val="24"/>
                <w:szCs w:val="24"/>
                <w:shd w:val="clear" w:color="auto" w:fill="FFFFFF"/>
                <w:lang w:val="lv-LV"/>
              </w:rPr>
              <w:t xml:space="preserve">(t.sk. prēmijas un piemaksu) </w:t>
            </w:r>
            <w:r w:rsidR="00257A87" w:rsidRPr="00E73D94">
              <w:rPr>
                <w:rFonts w:ascii="Times New Roman" w:hAnsi="Times New Roman" w:cs="Times New Roman"/>
                <w:color w:val="000000" w:themeColor="text1"/>
                <w:sz w:val="24"/>
                <w:szCs w:val="24"/>
                <w:shd w:val="clear" w:color="auto" w:fill="FFFFFF"/>
                <w:lang w:val="lv-LV"/>
              </w:rPr>
              <w:t>apmēru</w:t>
            </w:r>
            <w:r w:rsidR="002774E9" w:rsidRPr="00E73D94">
              <w:rPr>
                <w:rFonts w:ascii="Times New Roman" w:hAnsi="Times New Roman" w:cs="Times New Roman"/>
                <w:color w:val="000000" w:themeColor="text1"/>
                <w:sz w:val="24"/>
                <w:szCs w:val="24"/>
                <w:shd w:val="clear" w:color="auto" w:fill="FFFFFF"/>
                <w:lang w:val="lv-LV"/>
              </w:rPr>
              <w:t>)</w:t>
            </w:r>
            <w:r w:rsidR="00AC7E09" w:rsidRPr="00E73D94">
              <w:rPr>
                <w:rFonts w:ascii="Times New Roman" w:hAnsi="Times New Roman" w:cs="Times New Roman"/>
                <w:color w:val="000000" w:themeColor="text1"/>
                <w:sz w:val="24"/>
                <w:szCs w:val="24"/>
                <w:shd w:val="clear" w:color="auto" w:fill="FFFFFF"/>
                <w:lang w:val="lv-LV"/>
              </w:rPr>
              <w:t xml:space="preserve">. Likumprojekts arī paredz, ka padomes priekšsēdētāja un padomes locekļu amata pretendentu atlasi atklātā konkursā </w:t>
            </w:r>
            <w:r w:rsidR="006B49AA" w:rsidRPr="00E73D94">
              <w:rPr>
                <w:rFonts w:ascii="Times New Roman" w:hAnsi="Times New Roman" w:cs="Times New Roman"/>
                <w:color w:val="000000" w:themeColor="text1"/>
                <w:sz w:val="24"/>
                <w:szCs w:val="24"/>
                <w:shd w:val="clear" w:color="auto" w:fill="FFFFFF"/>
                <w:lang w:val="lv-LV"/>
              </w:rPr>
              <w:t xml:space="preserve">turpmāk </w:t>
            </w:r>
            <w:r w:rsidR="00AC7E09" w:rsidRPr="00E73D94">
              <w:rPr>
                <w:rFonts w:ascii="Times New Roman" w:hAnsi="Times New Roman" w:cs="Times New Roman"/>
                <w:color w:val="000000" w:themeColor="text1"/>
                <w:sz w:val="24"/>
                <w:szCs w:val="24"/>
                <w:shd w:val="clear" w:color="auto" w:fill="FFFFFF"/>
                <w:lang w:val="lv-LV"/>
              </w:rPr>
              <w:t>organizēs Ministru kabinets, sekretariāta funkcijas uzticot Valsts kancelejai.</w:t>
            </w:r>
            <w:r w:rsidR="006B49AA" w:rsidRPr="00E73D94">
              <w:rPr>
                <w:rFonts w:ascii="Times New Roman" w:hAnsi="Times New Roman" w:cs="Times New Roman"/>
                <w:color w:val="000000" w:themeColor="text1"/>
                <w:sz w:val="24"/>
                <w:szCs w:val="24"/>
                <w:shd w:val="clear" w:color="auto" w:fill="FFFFFF"/>
                <w:lang w:val="lv-LV"/>
              </w:rPr>
              <w:t xml:space="preserve"> Par p</w:t>
            </w:r>
            <w:r w:rsidR="006B49AA" w:rsidRPr="00E73D94">
              <w:rPr>
                <w:rFonts w:ascii="Times New Roman" w:hAnsi="Times New Roman" w:cs="Times New Roman"/>
                <w:color w:val="000000" w:themeColor="text1"/>
                <w:sz w:val="24"/>
                <w:szCs w:val="24"/>
                <w:lang w:val="lv-LV"/>
              </w:rPr>
              <w:t>adomes priekšsēdētāja un padomes locekļa atbrīvošanu no amata arī lems Ministru kabinets.</w:t>
            </w:r>
          </w:p>
          <w:p w14:paraId="7163ABA9" w14:textId="77777777" w:rsidR="00FA6804" w:rsidRDefault="00AC7E09" w:rsidP="009614EB">
            <w:pPr>
              <w:spacing w:after="120" w:line="240" w:lineRule="auto"/>
              <w:jc w:val="both"/>
              <w:rPr>
                <w:rStyle w:val="normaltextrun"/>
                <w:rFonts w:ascii="Times New Roman" w:hAnsi="Times New Roman" w:cs="Times New Roman"/>
                <w:sz w:val="24"/>
                <w:szCs w:val="24"/>
                <w:shd w:val="clear" w:color="auto" w:fill="FFFFFF"/>
                <w:lang w:val="lv-LV"/>
              </w:rPr>
            </w:pPr>
            <w:r w:rsidRPr="00E73D94">
              <w:rPr>
                <w:rFonts w:ascii="Times New Roman" w:hAnsi="Times New Roman" w:cs="Times New Roman"/>
                <w:sz w:val="24"/>
                <w:szCs w:val="24"/>
                <w:lang w:val="lv-LV"/>
              </w:rPr>
              <w:t xml:space="preserve">Lai arī Likumprojekts paredz neiejaukšanos KP iekšējos darbības procesos, vienlaikus tiek saglabāta atskaitīšanās politikas veidotājam un </w:t>
            </w:r>
            <w:r w:rsidRPr="00FA6804">
              <w:rPr>
                <w:rFonts w:ascii="Times New Roman" w:hAnsi="Times New Roman" w:cs="Times New Roman"/>
                <w:sz w:val="24"/>
                <w:szCs w:val="24"/>
                <w:lang w:val="lv-LV"/>
              </w:rPr>
              <w:t>sabiedrībai kopumā par politikās īstenošanu</w:t>
            </w:r>
            <w:r w:rsidR="006B49AA" w:rsidRPr="00FA6804">
              <w:rPr>
                <w:rFonts w:ascii="Times New Roman" w:hAnsi="Times New Roman" w:cs="Times New Roman"/>
                <w:sz w:val="24"/>
                <w:szCs w:val="24"/>
                <w:lang w:val="lv-LV"/>
              </w:rPr>
              <w:t xml:space="preserve">, nosakot pienākumu </w:t>
            </w:r>
            <w:r w:rsidRPr="00FA6804">
              <w:rPr>
                <w:rFonts w:ascii="Times New Roman" w:hAnsi="Times New Roman" w:cs="Times New Roman"/>
                <w:sz w:val="24"/>
                <w:szCs w:val="24"/>
                <w:lang w:val="lv-LV"/>
              </w:rPr>
              <w:t xml:space="preserve"> </w:t>
            </w:r>
            <w:r w:rsidR="006B49AA" w:rsidRPr="00FA6804">
              <w:rPr>
                <w:rFonts w:ascii="Times New Roman" w:hAnsi="Times New Roman" w:cs="Times New Roman"/>
                <w:sz w:val="24"/>
                <w:szCs w:val="24"/>
                <w:lang w:val="lv-LV"/>
              </w:rPr>
              <w:t xml:space="preserve">KP </w:t>
            </w:r>
            <w:r w:rsidR="006B49AA" w:rsidRPr="00FA6804">
              <w:rPr>
                <w:rFonts w:ascii="Times New Roman" w:hAnsi="Times New Roman" w:cs="Times New Roman"/>
                <w:sz w:val="24"/>
                <w:szCs w:val="24"/>
                <w:lang w:val="lv-LV" w:eastAsia="lv-LV"/>
              </w:rPr>
              <w:t>reizi gadā līdz 1.martam sagatavot un iesniegt darbības pārskatu Saeimai un Ministru kabinetam, kā arī ievieto to savā tīmekļvietnē.</w:t>
            </w:r>
            <w:r w:rsidR="00FA152D" w:rsidRPr="00FA6804">
              <w:rPr>
                <w:rFonts w:ascii="Times New Roman" w:hAnsi="Times New Roman" w:cs="Times New Roman"/>
                <w:sz w:val="24"/>
                <w:szCs w:val="24"/>
                <w:lang w:val="lv-LV" w:eastAsia="lv-LV"/>
              </w:rPr>
              <w:t xml:space="preserve"> </w:t>
            </w:r>
            <w:r w:rsidR="00627E66" w:rsidRPr="00FA6804">
              <w:rPr>
                <w:rStyle w:val="normaltextrun"/>
                <w:rFonts w:ascii="Times New Roman" w:hAnsi="Times New Roman" w:cs="Times New Roman"/>
                <w:sz w:val="24"/>
                <w:szCs w:val="24"/>
                <w:shd w:val="clear" w:color="auto" w:fill="FFFFFF"/>
                <w:lang w:val="lv-LV"/>
              </w:rPr>
              <w:t>Pārskata saturs un forma sistēmiski sekos citu iestāžu, kuras katru gadu iesniedz informāciju par savu darbību Saeimai un Ministru kabinetam, darbības pārskatiem, t.sk. ietverot informāciju par saņemtajiem iesniegumiem un sniegtajiem</w:t>
            </w:r>
            <w:r w:rsidR="00FA6804">
              <w:rPr>
                <w:rStyle w:val="normaltextrun"/>
                <w:rFonts w:ascii="Times New Roman" w:hAnsi="Times New Roman" w:cs="Times New Roman"/>
                <w:sz w:val="24"/>
                <w:szCs w:val="24"/>
                <w:shd w:val="clear" w:color="auto" w:fill="FFFFFF"/>
                <w:lang w:val="lv-LV"/>
              </w:rPr>
              <w:t xml:space="preserve"> atzinumiem.</w:t>
            </w:r>
          </w:p>
          <w:p w14:paraId="2FE52C38" w14:textId="105A405B" w:rsidR="00AC7E09" w:rsidRPr="00E73D94" w:rsidRDefault="00AF3F45" w:rsidP="009614EB">
            <w:pPr>
              <w:spacing w:after="120" w:line="240" w:lineRule="auto"/>
              <w:jc w:val="both"/>
              <w:rPr>
                <w:rFonts w:ascii="Times New Roman" w:hAnsi="Times New Roman" w:cs="Times New Roman"/>
                <w:color w:val="000000" w:themeColor="text1"/>
                <w:sz w:val="24"/>
                <w:szCs w:val="24"/>
                <w:shd w:val="clear" w:color="auto" w:fill="FFFFFF"/>
                <w:lang w:val="lv-LV"/>
              </w:rPr>
            </w:pPr>
            <w:r w:rsidRPr="00FA6804">
              <w:rPr>
                <w:rFonts w:ascii="Times New Roman" w:hAnsi="Times New Roman" w:cs="Times New Roman"/>
                <w:sz w:val="24"/>
                <w:szCs w:val="24"/>
                <w:lang w:val="lv-LV"/>
              </w:rPr>
              <w:t xml:space="preserve">Papildus Likumprojekts paredz </w:t>
            </w:r>
            <w:r w:rsidR="002774E9" w:rsidRPr="00FA6804">
              <w:rPr>
                <w:rFonts w:ascii="Times New Roman" w:hAnsi="Times New Roman" w:cs="Times New Roman"/>
                <w:sz w:val="24"/>
                <w:szCs w:val="24"/>
                <w:lang w:val="lv-LV"/>
              </w:rPr>
              <w:t xml:space="preserve">pienākumu KP </w:t>
            </w:r>
            <w:r w:rsidRPr="00FA6804">
              <w:rPr>
                <w:rFonts w:ascii="Times New Roman" w:hAnsi="Times New Roman" w:cs="Times New Roman"/>
                <w:sz w:val="24"/>
                <w:szCs w:val="24"/>
                <w:lang w:val="lv-LV"/>
              </w:rPr>
              <w:t xml:space="preserve">izveidot </w:t>
            </w:r>
            <w:r w:rsidRPr="00E73D94">
              <w:rPr>
                <w:rFonts w:ascii="Times New Roman" w:hAnsi="Times New Roman" w:cs="Times New Roman"/>
                <w:sz w:val="24"/>
                <w:szCs w:val="24"/>
                <w:lang w:val="lv-LV"/>
              </w:rPr>
              <w:t xml:space="preserve">platformu (konsultatīvo padomi) ciešākas un efektīvākas sadarbības organizēšanai ar iesaistītajām pusēm konkurences politikas izstrādes un īstenošanas jautājumos, tajā iekļaujot pārstāvjus no konkurences politikas izstrādē un īstenošanā iesaistītajām ministrijām, uzraudzības iestādēm, kā arī sociālos partnerus. </w:t>
            </w:r>
          </w:p>
          <w:p w14:paraId="6EA2811A" w14:textId="77777777" w:rsidR="00810485" w:rsidRPr="00E73D94" w:rsidRDefault="00810485" w:rsidP="009614EB">
            <w:pPr>
              <w:spacing w:after="120" w:line="240" w:lineRule="auto"/>
              <w:jc w:val="both"/>
              <w:rPr>
                <w:rFonts w:ascii="Times New Roman" w:hAnsi="Times New Roman" w:cs="Times New Roman"/>
                <w:color w:val="0D0D0D" w:themeColor="text1" w:themeTint="F2"/>
                <w:sz w:val="24"/>
                <w:szCs w:val="24"/>
                <w:lang w:val="lv-LV"/>
              </w:rPr>
            </w:pPr>
          </w:p>
          <w:p w14:paraId="1AD6C951" w14:textId="20FBEEBE" w:rsidR="0027068A" w:rsidRPr="00E73D94" w:rsidRDefault="001923C6"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i/>
                <w:iCs/>
                <w:color w:val="0D0D0D" w:themeColor="text1" w:themeTint="F2"/>
                <w:sz w:val="24"/>
                <w:szCs w:val="24"/>
                <w:lang w:val="lv-LV"/>
              </w:rPr>
              <w:t>Prasības attiecībā uz iestādes resursiem</w:t>
            </w:r>
            <w:r w:rsidRPr="00E73D94">
              <w:rPr>
                <w:rFonts w:ascii="Times New Roman" w:hAnsi="Times New Roman" w:cs="Times New Roman"/>
                <w:color w:val="0D0D0D" w:themeColor="text1" w:themeTint="F2"/>
                <w:sz w:val="24"/>
                <w:szCs w:val="24"/>
                <w:lang w:val="lv-LV"/>
              </w:rPr>
              <w:t xml:space="preserve">. </w:t>
            </w:r>
          </w:p>
          <w:p w14:paraId="53DFF26C" w14:textId="61FBFAF1" w:rsidR="0029194E" w:rsidRPr="00E73D94" w:rsidRDefault="004D2FA8"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Direktīva</w:t>
            </w:r>
            <w:r w:rsidR="0029194E" w:rsidRPr="00E73D94">
              <w:rPr>
                <w:rFonts w:ascii="Times New Roman" w:hAnsi="Times New Roman" w:cs="Times New Roman"/>
                <w:color w:val="0D0D0D" w:themeColor="text1" w:themeTint="F2"/>
                <w:sz w:val="24"/>
                <w:szCs w:val="24"/>
                <w:lang w:val="lv-LV"/>
              </w:rPr>
              <w:t xml:space="preserve"> uzliek par pienākumu</w:t>
            </w:r>
            <w:r w:rsidR="00DB1CF4" w:rsidRPr="00E73D94">
              <w:rPr>
                <w:rFonts w:ascii="Times New Roman" w:hAnsi="Times New Roman" w:cs="Times New Roman"/>
                <w:color w:val="0D0D0D" w:themeColor="text1" w:themeTint="F2"/>
                <w:sz w:val="24"/>
                <w:szCs w:val="24"/>
                <w:lang w:val="lv-LV"/>
              </w:rPr>
              <w:t xml:space="preserve"> dalībvalstīm </w:t>
            </w:r>
            <w:r w:rsidR="00372B35" w:rsidRPr="00E73D94">
              <w:rPr>
                <w:rFonts w:ascii="Times New Roman" w:hAnsi="Times New Roman" w:cs="Times New Roman"/>
                <w:color w:val="0D0D0D" w:themeColor="text1" w:themeTint="F2"/>
                <w:sz w:val="24"/>
                <w:szCs w:val="24"/>
                <w:lang w:val="lv-LV"/>
              </w:rPr>
              <w:t>paredzēt</w:t>
            </w:r>
            <w:r w:rsidR="001A3B85" w:rsidRPr="00E73D94">
              <w:rPr>
                <w:rFonts w:ascii="Times New Roman" w:hAnsi="Times New Roman" w:cs="Times New Roman"/>
                <w:color w:val="0D0D0D" w:themeColor="text1" w:themeTint="F2"/>
                <w:sz w:val="24"/>
                <w:szCs w:val="24"/>
                <w:lang w:val="lv-LV"/>
              </w:rPr>
              <w:t xml:space="preserve"> nacionālajām konkurences iestādēm</w:t>
            </w:r>
            <w:r w:rsidR="00372B35" w:rsidRPr="00E73D94">
              <w:rPr>
                <w:rFonts w:ascii="Times New Roman" w:hAnsi="Times New Roman" w:cs="Times New Roman"/>
                <w:color w:val="0D0D0D" w:themeColor="text1" w:themeTint="F2"/>
                <w:sz w:val="24"/>
                <w:szCs w:val="24"/>
                <w:lang w:val="lv-LV"/>
              </w:rPr>
              <w:t xml:space="preserve"> </w:t>
            </w:r>
            <w:r w:rsidR="001A3B85" w:rsidRPr="00E73D94">
              <w:rPr>
                <w:rFonts w:ascii="Times New Roman" w:hAnsi="Times New Roman" w:cs="Times New Roman"/>
                <w:color w:val="0D0D0D" w:themeColor="text1" w:themeTint="F2"/>
                <w:sz w:val="24"/>
                <w:szCs w:val="24"/>
                <w:lang w:val="lv-LV"/>
              </w:rPr>
              <w:t xml:space="preserve">nepieciešamās </w:t>
            </w:r>
            <w:r w:rsidR="00372B35" w:rsidRPr="00E73D94">
              <w:rPr>
                <w:rFonts w:ascii="Times New Roman" w:hAnsi="Times New Roman" w:cs="Times New Roman"/>
                <w:color w:val="0D0D0D" w:themeColor="text1" w:themeTint="F2"/>
                <w:sz w:val="24"/>
                <w:szCs w:val="24"/>
                <w:lang w:val="lv-LV"/>
              </w:rPr>
              <w:t>neatkarības garantijas, atbilstošus finanšu resursus, cilvēkresursus, tehniskos un tehnoloģiskos resursus</w:t>
            </w:r>
            <w:r w:rsidR="00DB1CF4" w:rsidRPr="00E73D94">
              <w:rPr>
                <w:rFonts w:ascii="Times New Roman" w:hAnsi="Times New Roman" w:cs="Times New Roman"/>
                <w:color w:val="0D0D0D" w:themeColor="text1" w:themeTint="F2"/>
                <w:sz w:val="24"/>
                <w:szCs w:val="24"/>
                <w:lang w:val="lv-LV"/>
              </w:rPr>
              <w:t xml:space="preserve">, lai tām būtu </w:t>
            </w:r>
            <w:r w:rsidR="00372B35" w:rsidRPr="00E73D94">
              <w:rPr>
                <w:rFonts w:ascii="Times New Roman" w:hAnsi="Times New Roman" w:cs="Times New Roman"/>
                <w:color w:val="0D0D0D" w:themeColor="text1" w:themeTint="F2"/>
                <w:sz w:val="24"/>
                <w:szCs w:val="24"/>
                <w:lang w:val="lv-LV"/>
              </w:rPr>
              <w:t xml:space="preserve">pilnvērtīgas </w:t>
            </w:r>
            <w:r w:rsidR="00DB1CF4" w:rsidRPr="00E73D94">
              <w:rPr>
                <w:rFonts w:ascii="Times New Roman" w:hAnsi="Times New Roman" w:cs="Times New Roman"/>
                <w:color w:val="0D0D0D" w:themeColor="text1" w:themeTint="F2"/>
                <w:sz w:val="24"/>
                <w:szCs w:val="24"/>
                <w:lang w:val="lv-LV"/>
              </w:rPr>
              <w:t>spējas efektīvi</w:t>
            </w:r>
            <w:r w:rsidR="00FD6285" w:rsidRPr="00E73D94">
              <w:rPr>
                <w:rFonts w:ascii="Times New Roman" w:hAnsi="Times New Roman" w:cs="Times New Roman"/>
                <w:color w:val="0D0D0D" w:themeColor="text1" w:themeTint="F2"/>
                <w:sz w:val="24"/>
                <w:szCs w:val="24"/>
                <w:lang w:val="lv-LV"/>
              </w:rPr>
              <w:t xml:space="preserve"> un vienveidīgi</w:t>
            </w:r>
            <w:r w:rsidR="00DB1CF4" w:rsidRPr="00E73D94">
              <w:rPr>
                <w:rFonts w:ascii="Times New Roman" w:hAnsi="Times New Roman" w:cs="Times New Roman"/>
                <w:color w:val="0D0D0D" w:themeColor="text1" w:themeTint="F2"/>
                <w:sz w:val="24"/>
                <w:szCs w:val="24"/>
                <w:lang w:val="lv-LV"/>
              </w:rPr>
              <w:t xml:space="preserve"> piemērot Eiropas Savienības un nacionālās konkurences tiesību normas, </w:t>
            </w:r>
            <w:r w:rsidR="00506994" w:rsidRPr="00E73D94">
              <w:rPr>
                <w:rFonts w:ascii="Times New Roman" w:hAnsi="Times New Roman" w:cs="Times New Roman"/>
                <w:color w:val="0D0D0D" w:themeColor="text1" w:themeTint="F2"/>
                <w:sz w:val="24"/>
                <w:szCs w:val="24"/>
                <w:lang w:val="lv-LV"/>
              </w:rPr>
              <w:t xml:space="preserve">pienācīgi </w:t>
            </w:r>
            <w:r w:rsidR="00372B35" w:rsidRPr="00E73D94">
              <w:rPr>
                <w:rFonts w:ascii="Times New Roman" w:hAnsi="Times New Roman" w:cs="Times New Roman"/>
                <w:color w:val="0D0D0D" w:themeColor="text1" w:themeTint="F2"/>
                <w:sz w:val="24"/>
                <w:szCs w:val="24"/>
                <w:lang w:val="lv-LV"/>
              </w:rPr>
              <w:t xml:space="preserve">sniegt </w:t>
            </w:r>
            <w:r w:rsidR="00377CD3" w:rsidRPr="00E73D94">
              <w:rPr>
                <w:rFonts w:ascii="Times New Roman" w:hAnsi="Times New Roman" w:cs="Times New Roman"/>
                <w:color w:val="0D0D0D" w:themeColor="text1" w:themeTint="F2"/>
                <w:sz w:val="24"/>
                <w:szCs w:val="24"/>
                <w:lang w:val="lv-LV"/>
              </w:rPr>
              <w:t xml:space="preserve">Eiropas Komisijai un citu dalībvalstu konkurences iestādēm </w:t>
            </w:r>
            <w:r w:rsidR="00372B35" w:rsidRPr="00E73D94">
              <w:rPr>
                <w:rFonts w:ascii="Times New Roman" w:hAnsi="Times New Roman" w:cs="Times New Roman"/>
                <w:color w:val="0D0D0D" w:themeColor="text1" w:themeTint="F2"/>
                <w:sz w:val="24"/>
                <w:szCs w:val="24"/>
                <w:lang w:val="lv-LV"/>
              </w:rPr>
              <w:t>savstarpējo palīdzību</w:t>
            </w:r>
            <w:r w:rsidR="00506994" w:rsidRPr="00E73D94">
              <w:rPr>
                <w:rFonts w:ascii="Times New Roman" w:hAnsi="Times New Roman" w:cs="Times New Roman"/>
                <w:color w:val="0D0D0D" w:themeColor="text1" w:themeTint="F2"/>
                <w:sz w:val="24"/>
                <w:szCs w:val="24"/>
                <w:lang w:val="lv-LV"/>
              </w:rPr>
              <w:t xml:space="preserve"> pilnvaru īstenošanā</w:t>
            </w:r>
            <w:r w:rsidR="00372B35" w:rsidRPr="00E73D94">
              <w:rPr>
                <w:rFonts w:ascii="Times New Roman" w:hAnsi="Times New Roman" w:cs="Times New Roman"/>
                <w:color w:val="0D0D0D" w:themeColor="text1" w:themeTint="F2"/>
                <w:sz w:val="24"/>
                <w:szCs w:val="24"/>
                <w:lang w:val="lv-LV"/>
              </w:rPr>
              <w:t xml:space="preserve">, </w:t>
            </w:r>
            <w:r w:rsidR="00DB1CF4" w:rsidRPr="00E73D94">
              <w:rPr>
                <w:rFonts w:ascii="Times New Roman" w:hAnsi="Times New Roman" w:cs="Times New Roman"/>
                <w:color w:val="0D0D0D" w:themeColor="text1" w:themeTint="F2"/>
                <w:sz w:val="24"/>
                <w:szCs w:val="24"/>
                <w:lang w:val="lv-LV"/>
              </w:rPr>
              <w:t xml:space="preserve">nodrošinot godīgas </w:t>
            </w:r>
            <w:r w:rsidR="00E602B8" w:rsidRPr="00E73D94">
              <w:rPr>
                <w:rFonts w:ascii="Times New Roman" w:hAnsi="Times New Roman" w:cs="Times New Roman"/>
                <w:color w:val="0D0D0D" w:themeColor="text1" w:themeTint="F2"/>
                <w:sz w:val="24"/>
                <w:szCs w:val="24"/>
                <w:lang w:val="lv-LV"/>
              </w:rPr>
              <w:t xml:space="preserve">un vienlīdzīgas </w:t>
            </w:r>
            <w:r w:rsidR="00DB1CF4" w:rsidRPr="00E73D94">
              <w:rPr>
                <w:rFonts w:ascii="Times New Roman" w:hAnsi="Times New Roman" w:cs="Times New Roman"/>
                <w:color w:val="0D0D0D" w:themeColor="text1" w:themeTint="F2"/>
                <w:sz w:val="24"/>
                <w:szCs w:val="24"/>
                <w:lang w:val="lv-LV"/>
              </w:rPr>
              <w:t>konkurences apstākļus</w:t>
            </w:r>
            <w:r w:rsidR="00372B35" w:rsidRPr="00E73D94">
              <w:rPr>
                <w:rFonts w:ascii="Times New Roman" w:hAnsi="Times New Roman" w:cs="Times New Roman"/>
                <w:color w:val="0D0D0D" w:themeColor="text1" w:themeTint="F2"/>
                <w:sz w:val="24"/>
                <w:szCs w:val="24"/>
                <w:lang w:val="lv-LV"/>
              </w:rPr>
              <w:t xml:space="preserve"> iekšējā tirgū </w:t>
            </w:r>
            <w:r w:rsidR="00DB1CF4" w:rsidRPr="00E73D94">
              <w:rPr>
                <w:rFonts w:ascii="Times New Roman" w:hAnsi="Times New Roman" w:cs="Times New Roman"/>
                <w:color w:val="0D0D0D" w:themeColor="text1" w:themeTint="F2"/>
                <w:sz w:val="24"/>
                <w:szCs w:val="24"/>
                <w:lang w:val="lv-LV"/>
              </w:rPr>
              <w:t xml:space="preserve">un </w:t>
            </w:r>
            <w:r w:rsidR="00372B35" w:rsidRPr="00E73D94">
              <w:rPr>
                <w:rFonts w:ascii="Times New Roman" w:hAnsi="Times New Roman" w:cs="Times New Roman"/>
                <w:color w:val="0D0D0D" w:themeColor="text1" w:themeTint="F2"/>
                <w:sz w:val="24"/>
                <w:szCs w:val="24"/>
                <w:lang w:val="lv-LV"/>
              </w:rPr>
              <w:t xml:space="preserve">augstu </w:t>
            </w:r>
            <w:r w:rsidR="00DB1CF4" w:rsidRPr="00E73D94">
              <w:rPr>
                <w:rFonts w:ascii="Times New Roman" w:hAnsi="Times New Roman" w:cs="Times New Roman"/>
                <w:color w:val="0D0D0D" w:themeColor="text1" w:themeTint="F2"/>
                <w:sz w:val="24"/>
                <w:szCs w:val="24"/>
                <w:lang w:val="lv-LV"/>
              </w:rPr>
              <w:t xml:space="preserve">patērētāju </w:t>
            </w:r>
            <w:r w:rsidR="00E602B8" w:rsidRPr="00E73D94">
              <w:rPr>
                <w:rFonts w:ascii="Times New Roman" w:hAnsi="Times New Roman" w:cs="Times New Roman"/>
                <w:color w:val="0D0D0D" w:themeColor="text1" w:themeTint="F2"/>
                <w:sz w:val="24"/>
                <w:szCs w:val="24"/>
                <w:lang w:val="lv-LV"/>
              </w:rPr>
              <w:t xml:space="preserve">un tirgus dalībnieku </w:t>
            </w:r>
            <w:r w:rsidR="00372B35" w:rsidRPr="00E73D94">
              <w:rPr>
                <w:rFonts w:ascii="Times New Roman" w:hAnsi="Times New Roman" w:cs="Times New Roman"/>
                <w:color w:val="0D0D0D" w:themeColor="text1" w:themeTint="F2"/>
                <w:sz w:val="24"/>
                <w:szCs w:val="24"/>
                <w:lang w:val="lv-LV"/>
              </w:rPr>
              <w:t>aizsardzību</w:t>
            </w:r>
            <w:r w:rsidR="00DB1CF4" w:rsidRPr="00E73D94">
              <w:rPr>
                <w:rFonts w:ascii="Times New Roman" w:hAnsi="Times New Roman" w:cs="Times New Roman"/>
                <w:color w:val="0D0D0D" w:themeColor="text1" w:themeTint="F2"/>
                <w:sz w:val="24"/>
                <w:szCs w:val="24"/>
                <w:lang w:val="lv-LV"/>
              </w:rPr>
              <w:t>.</w:t>
            </w:r>
          </w:p>
          <w:p w14:paraId="33074A23" w14:textId="546835ED" w:rsidR="00FD6285" w:rsidRPr="00E73D94" w:rsidRDefault="00506994"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Pienākums nodrošināt konkurences iestādei pietiekamus resursus paredz, ka konkurences iestādes rīcībā jābūt </w:t>
            </w:r>
            <w:r w:rsidR="005E49DE" w:rsidRPr="00E73D94">
              <w:rPr>
                <w:rFonts w:ascii="Times New Roman" w:hAnsi="Times New Roman" w:cs="Times New Roman"/>
                <w:color w:val="0D0D0D" w:themeColor="text1" w:themeTint="F2"/>
                <w:sz w:val="24"/>
                <w:szCs w:val="24"/>
                <w:lang w:val="lv-LV"/>
              </w:rPr>
              <w:t xml:space="preserve">pietiekamam skaitam </w:t>
            </w:r>
            <w:r w:rsidR="00FD6285" w:rsidRPr="00E73D94">
              <w:rPr>
                <w:rFonts w:ascii="Times New Roman" w:hAnsi="Times New Roman" w:cs="Times New Roman"/>
                <w:color w:val="0D0D0D" w:themeColor="text1" w:themeTint="F2"/>
                <w:sz w:val="24"/>
                <w:szCs w:val="24"/>
                <w:lang w:val="lv-LV"/>
              </w:rPr>
              <w:t>kvalificēt</w:t>
            </w:r>
            <w:r w:rsidR="005E49DE" w:rsidRPr="00E73D94">
              <w:rPr>
                <w:rFonts w:ascii="Times New Roman" w:hAnsi="Times New Roman" w:cs="Times New Roman"/>
                <w:color w:val="0D0D0D" w:themeColor="text1" w:themeTint="F2"/>
                <w:sz w:val="24"/>
                <w:szCs w:val="24"/>
                <w:lang w:val="lv-LV"/>
              </w:rPr>
              <w:t>u</w:t>
            </w:r>
            <w:r w:rsidR="00FD6285" w:rsidRPr="00E73D94">
              <w:rPr>
                <w:rFonts w:ascii="Times New Roman" w:hAnsi="Times New Roman" w:cs="Times New Roman"/>
                <w:color w:val="0D0D0D" w:themeColor="text1" w:themeTint="F2"/>
                <w:sz w:val="24"/>
                <w:szCs w:val="24"/>
                <w:lang w:val="lv-LV"/>
              </w:rPr>
              <w:t xml:space="preserve"> darbiniek</w:t>
            </w:r>
            <w:r w:rsidR="005E49DE" w:rsidRPr="00E73D94">
              <w:rPr>
                <w:rFonts w:ascii="Times New Roman" w:hAnsi="Times New Roman" w:cs="Times New Roman"/>
                <w:color w:val="0D0D0D" w:themeColor="text1" w:themeTint="F2"/>
                <w:sz w:val="24"/>
                <w:szCs w:val="24"/>
                <w:lang w:val="lv-LV"/>
              </w:rPr>
              <w:t>u</w:t>
            </w:r>
            <w:r w:rsidR="00FD6285" w:rsidRPr="00E73D94">
              <w:rPr>
                <w:rFonts w:ascii="Times New Roman" w:hAnsi="Times New Roman" w:cs="Times New Roman"/>
                <w:color w:val="0D0D0D" w:themeColor="text1" w:themeTint="F2"/>
                <w:sz w:val="24"/>
                <w:szCs w:val="24"/>
                <w:lang w:val="lv-LV"/>
              </w:rPr>
              <w:t>, kas spēj veikt lietpratīgus juridiskos un ekonomiskos novērtējumus,</w:t>
            </w:r>
            <w:r w:rsidR="005E49DE" w:rsidRPr="00E73D94">
              <w:rPr>
                <w:rFonts w:ascii="Times New Roman" w:hAnsi="Times New Roman" w:cs="Times New Roman"/>
                <w:color w:val="0D0D0D" w:themeColor="text1" w:themeTint="F2"/>
                <w:sz w:val="24"/>
                <w:szCs w:val="24"/>
                <w:lang w:val="lv-LV"/>
              </w:rPr>
              <w:t xml:space="preserve"> pietiekamiem</w:t>
            </w:r>
            <w:r w:rsidR="00FD6285" w:rsidRPr="00E73D94">
              <w:rPr>
                <w:rFonts w:ascii="Times New Roman" w:hAnsi="Times New Roman" w:cs="Times New Roman"/>
                <w:color w:val="0D0D0D" w:themeColor="text1" w:themeTint="F2"/>
                <w:sz w:val="24"/>
                <w:szCs w:val="24"/>
                <w:lang w:val="lv-LV"/>
              </w:rPr>
              <w:t xml:space="preserve"> finan</w:t>
            </w:r>
            <w:r w:rsidR="005E49DE" w:rsidRPr="00E73D94">
              <w:rPr>
                <w:rFonts w:ascii="Times New Roman" w:hAnsi="Times New Roman" w:cs="Times New Roman"/>
                <w:color w:val="0D0D0D" w:themeColor="text1" w:themeTint="F2"/>
                <w:sz w:val="24"/>
                <w:szCs w:val="24"/>
                <w:lang w:val="lv-LV"/>
              </w:rPr>
              <w:t>šu</w:t>
            </w:r>
            <w:r w:rsidR="00FD6285" w:rsidRPr="00E73D94">
              <w:rPr>
                <w:rFonts w:ascii="Times New Roman" w:hAnsi="Times New Roman" w:cs="Times New Roman"/>
                <w:color w:val="0D0D0D" w:themeColor="text1" w:themeTint="F2"/>
                <w:sz w:val="24"/>
                <w:szCs w:val="24"/>
                <w:lang w:val="lv-LV"/>
              </w:rPr>
              <w:t xml:space="preserve"> līdzekļiem, </w:t>
            </w:r>
            <w:r w:rsidR="004704DD" w:rsidRPr="00E73D94">
              <w:rPr>
                <w:rFonts w:ascii="Times New Roman" w:hAnsi="Times New Roman" w:cs="Times New Roman"/>
                <w:color w:val="0D0D0D" w:themeColor="text1" w:themeTint="F2"/>
                <w:sz w:val="24"/>
                <w:szCs w:val="24"/>
                <w:lang w:val="lv-LV"/>
              </w:rPr>
              <w:t xml:space="preserve">darbiniekiem ar </w:t>
            </w:r>
            <w:r w:rsidR="00FD6285" w:rsidRPr="00E73D94">
              <w:rPr>
                <w:rFonts w:ascii="Times New Roman" w:hAnsi="Times New Roman" w:cs="Times New Roman"/>
                <w:color w:val="0D0D0D" w:themeColor="text1" w:themeTint="F2"/>
                <w:sz w:val="24"/>
                <w:szCs w:val="24"/>
                <w:lang w:val="lv-LV"/>
              </w:rPr>
              <w:t xml:space="preserve">tehniskajām un tehnoloģiskajām speciālajām zināšanām un aprīkojumam, tostarp adekvātiem informācijas tehnoloģijas rīkiem, lai nodrošinātu, ka tās spēj efektīvi pildīt savus </w:t>
            </w:r>
            <w:r w:rsidR="00FD6285" w:rsidRPr="00E73D94">
              <w:rPr>
                <w:rFonts w:ascii="Times New Roman" w:hAnsi="Times New Roman" w:cs="Times New Roman"/>
                <w:color w:val="0D0D0D" w:themeColor="text1" w:themeTint="F2"/>
                <w:sz w:val="24"/>
                <w:szCs w:val="24"/>
                <w:lang w:val="lv-LV"/>
              </w:rPr>
              <w:lastRenderedPageBreak/>
              <w:t xml:space="preserve">uzdevumus </w:t>
            </w:r>
            <w:r w:rsidRPr="00E73D94">
              <w:rPr>
                <w:rFonts w:ascii="Times New Roman" w:hAnsi="Times New Roman" w:cs="Times New Roman"/>
                <w:color w:val="0D0D0D" w:themeColor="text1" w:themeTint="F2"/>
                <w:sz w:val="24"/>
                <w:szCs w:val="24"/>
                <w:lang w:val="lv-LV"/>
              </w:rPr>
              <w:t xml:space="preserve">Eiropas Savienības un nacionālo konkurences tiesību </w:t>
            </w:r>
            <w:r w:rsidR="00FD6285" w:rsidRPr="00E73D94">
              <w:rPr>
                <w:rFonts w:ascii="Times New Roman" w:hAnsi="Times New Roman" w:cs="Times New Roman"/>
                <w:color w:val="0D0D0D" w:themeColor="text1" w:themeTint="F2"/>
                <w:sz w:val="24"/>
                <w:szCs w:val="24"/>
                <w:lang w:val="lv-LV"/>
              </w:rPr>
              <w:t xml:space="preserve">piemērošanā. </w:t>
            </w:r>
            <w:r w:rsidRPr="00E73D94">
              <w:rPr>
                <w:rFonts w:ascii="Times New Roman" w:hAnsi="Times New Roman" w:cs="Times New Roman"/>
                <w:color w:val="0D0D0D" w:themeColor="text1" w:themeTint="F2"/>
                <w:sz w:val="24"/>
                <w:szCs w:val="24"/>
                <w:lang w:val="lv-LV"/>
              </w:rPr>
              <w:t>J</w:t>
            </w:r>
            <w:r w:rsidR="00FD6285" w:rsidRPr="00E73D94">
              <w:rPr>
                <w:rFonts w:ascii="Times New Roman" w:hAnsi="Times New Roman" w:cs="Times New Roman"/>
                <w:color w:val="0D0D0D" w:themeColor="text1" w:themeTint="F2"/>
                <w:sz w:val="24"/>
                <w:szCs w:val="24"/>
                <w:lang w:val="lv-LV"/>
              </w:rPr>
              <w:t xml:space="preserve">a </w:t>
            </w:r>
            <w:r w:rsidRPr="00E73D94">
              <w:rPr>
                <w:rFonts w:ascii="Times New Roman" w:hAnsi="Times New Roman" w:cs="Times New Roman"/>
                <w:color w:val="0D0D0D" w:themeColor="text1" w:themeTint="F2"/>
                <w:sz w:val="24"/>
                <w:szCs w:val="24"/>
                <w:lang w:val="lv-LV"/>
              </w:rPr>
              <w:t>konkurences iestādes</w:t>
            </w:r>
            <w:r w:rsidR="00FD6285" w:rsidRPr="00E73D94">
              <w:rPr>
                <w:rFonts w:ascii="Times New Roman" w:hAnsi="Times New Roman" w:cs="Times New Roman"/>
                <w:color w:val="0D0D0D" w:themeColor="text1" w:themeTint="F2"/>
                <w:sz w:val="24"/>
                <w:szCs w:val="24"/>
                <w:lang w:val="lv-LV"/>
              </w:rPr>
              <w:t xml:space="preserve"> uzdevumi un pilnvaras saskaņā ar valsts tiesību aktiem tiek paplašināti, dalībvalstīm jānodrošina, lai </w:t>
            </w:r>
            <w:r w:rsidRPr="00E73D94">
              <w:rPr>
                <w:rFonts w:ascii="Times New Roman" w:hAnsi="Times New Roman" w:cs="Times New Roman"/>
                <w:color w:val="0D0D0D" w:themeColor="text1" w:themeTint="F2"/>
                <w:sz w:val="24"/>
                <w:szCs w:val="24"/>
                <w:lang w:val="lv-LV"/>
              </w:rPr>
              <w:t>konkurences iestādei</w:t>
            </w:r>
            <w:r w:rsidR="00FD6285" w:rsidRPr="00E73D94">
              <w:rPr>
                <w:rFonts w:ascii="Times New Roman" w:hAnsi="Times New Roman" w:cs="Times New Roman"/>
                <w:color w:val="0D0D0D" w:themeColor="text1" w:themeTint="F2"/>
                <w:sz w:val="24"/>
                <w:szCs w:val="24"/>
                <w:lang w:val="lv-LV"/>
              </w:rPr>
              <w:t xml:space="preserve"> būtu pietiekami resursi </w:t>
            </w:r>
            <w:r w:rsidR="00E602B8" w:rsidRPr="00E73D94">
              <w:rPr>
                <w:rFonts w:ascii="Times New Roman" w:hAnsi="Times New Roman" w:cs="Times New Roman"/>
                <w:color w:val="0D0D0D" w:themeColor="text1" w:themeTint="F2"/>
                <w:sz w:val="24"/>
                <w:szCs w:val="24"/>
                <w:lang w:val="lv-LV"/>
              </w:rPr>
              <w:t>šādu</w:t>
            </w:r>
            <w:r w:rsidR="00FD6285" w:rsidRPr="00E73D94">
              <w:rPr>
                <w:rFonts w:ascii="Times New Roman" w:hAnsi="Times New Roman" w:cs="Times New Roman"/>
                <w:color w:val="0D0D0D" w:themeColor="text1" w:themeTint="F2"/>
                <w:sz w:val="24"/>
                <w:szCs w:val="24"/>
                <w:lang w:val="lv-LV"/>
              </w:rPr>
              <w:t xml:space="preserve"> uzdevumu efektīvai izpildei.</w:t>
            </w:r>
          </w:p>
          <w:p w14:paraId="6DBDF271" w14:textId="19B003C2" w:rsidR="00107063" w:rsidRPr="00E73D94" w:rsidRDefault="004B6866"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Efektīvam </w:t>
            </w:r>
            <w:r w:rsidR="00107063" w:rsidRPr="00E73D94">
              <w:rPr>
                <w:rFonts w:ascii="Times New Roman" w:hAnsi="Times New Roman" w:cs="Times New Roman"/>
                <w:color w:val="0D0D0D" w:themeColor="text1" w:themeTint="F2"/>
                <w:sz w:val="24"/>
                <w:szCs w:val="24"/>
                <w:lang w:val="lv-LV"/>
              </w:rPr>
              <w:t>konkurences uzraugam, k</w:t>
            </w:r>
            <w:r w:rsidRPr="00E73D94">
              <w:rPr>
                <w:rFonts w:ascii="Times New Roman" w:hAnsi="Times New Roman" w:cs="Times New Roman"/>
                <w:color w:val="0D0D0D" w:themeColor="text1" w:themeTint="F2"/>
                <w:sz w:val="24"/>
                <w:szCs w:val="24"/>
                <w:lang w:val="lv-LV"/>
              </w:rPr>
              <w:t xml:space="preserve">ura darba rezultātu nodrošina </w:t>
            </w:r>
            <w:r w:rsidR="00107063" w:rsidRPr="00E73D94">
              <w:rPr>
                <w:rFonts w:ascii="Times New Roman" w:hAnsi="Times New Roman" w:cs="Times New Roman"/>
                <w:color w:val="0D0D0D" w:themeColor="text1" w:themeTint="F2"/>
                <w:sz w:val="24"/>
                <w:szCs w:val="24"/>
                <w:lang w:val="lv-LV"/>
              </w:rPr>
              <w:t xml:space="preserve">pieredzējuši, zinoši un motivēti </w:t>
            </w:r>
            <w:r w:rsidRPr="00E73D94">
              <w:rPr>
                <w:rFonts w:ascii="Times New Roman" w:hAnsi="Times New Roman" w:cs="Times New Roman"/>
                <w:color w:val="0D0D0D" w:themeColor="text1" w:themeTint="F2"/>
                <w:sz w:val="24"/>
                <w:szCs w:val="24"/>
                <w:lang w:val="lv-LV"/>
              </w:rPr>
              <w:t>speciālisti</w:t>
            </w:r>
            <w:r w:rsidR="00107063" w:rsidRPr="00E73D94">
              <w:rPr>
                <w:rFonts w:ascii="Times New Roman" w:hAnsi="Times New Roman" w:cs="Times New Roman"/>
                <w:color w:val="0D0D0D" w:themeColor="text1" w:themeTint="F2"/>
                <w:sz w:val="24"/>
                <w:szCs w:val="24"/>
                <w:lang w:val="lv-LV"/>
              </w:rPr>
              <w:t xml:space="preserve"> ir izšķiroša nozīme brīvas, godīgas un vienlīdzīgas konkurences aizsardzībai, saglabāšanai un attīstībai visās tautsaimniecības nozarēs sabiedrības interesēs. Savlaicīgai un efektīvai  konkurences tiesību pārkāpumu novēršanai</w:t>
            </w:r>
            <w:r w:rsidRPr="00E73D94">
              <w:rPr>
                <w:rFonts w:ascii="Times New Roman" w:hAnsi="Times New Roman" w:cs="Times New Roman"/>
                <w:color w:val="0D0D0D" w:themeColor="text1" w:themeTint="F2"/>
                <w:sz w:val="24"/>
                <w:szCs w:val="24"/>
                <w:lang w:val="lv-LV"/>
              </w:rPr>
              <w:t xml:space="preserve">,  pārtraukšanai </w:t>
            </w:r>
            <w:r w:rsidR="00107063" w:rsidRPr="00E73D94">
              <w:rPr>
                <w:rFonts w:ascii="Times New Roman" w:hAnsi="Times New Roman" w:cs="Times New Roman"/>
                <w:color w:val="0D0D0D" w:themeColor="text1" w:themeTint="F2"/>
                <w:sz w:val="24"/>
                <w:szCs w:val="24"/>
                <w:lang w:val="lv-LV"/>
              </w:rPr>
              <w:t xml:space="preserve">un nepieļaušanai ir tieša </w:t>
            </w:r>
            <w:r w:rsidRPr="00E73D94">
              <w:rPr>
                <w:rFonts w:ascii="Times New Roman" w:hAnsi="Times New Roman" w:cs="Times New Roman"/>
                <w:color w:val="0D0D0D" w:themeColor="text1" w:themeTint="F2"/>
                <w:sz w:val="24"/>
                <w:szCs w:val="24"/>
                <w:lang w:val="lv-LV"/>
              </w:rPr>
              <w:t xml:space="preserve">un preventīva </w:t>
            </w:r>
            <w:r w:rsidR="00107063" w:rsidRPr="00E73D94">
              <w:rPr>
                <w:rFonts w:ascii="Times New Roman" w:hAnsi="Times New Roman" w:cs="Times New Roman"/>
                <w:color w:val="0D0D0D" w:themeColor="text1" w:themeTint="F2"/>
                <w:sz w:val="24"/>
                <w:szCs w:val="24"/>
                <w:lang w:val="lv-LV"/>
              </w:rPr>
              <w:t xml:space="preserve">ietekme gan uz publisko personu naudas līdzekļu lietderīgu izmantošanu, tostarp Eiropas Savienības fondu apguvē, gan uz ikviena uzņēmēja un patērētāja </w:t>
            </w:r>
            <w:r w:rsidRPr="00E73D94">
              <w:rPr>
                <w:rFonts w:ascii="Times New Roman" w:hAnsi="Times New Roman" w:cs="Times New Roman"/>
                <w:color w:val="0D0D0D" w:themeColor="text1" w:themeTint="F2"/>
                <w:sz w:val="24"/>
                <w:szCs w:val="24"/>
                <w:lang w:val="lv-LV"/>
              </w:rPr>
              <w:t>naudas līdzekļu taupīšanu, novēršot pārmaksu konkurences kropļojumu dēļ un kopumā veicinot</w:t>
            </w:r>
            <w:r w:rsidR="00107063" w:rsidRPr="00E73D94">
              <w:rPr>
                <w:rFonts w:ascii="Times New Roman" w:hAnsi="Times New Roman" w:cs="Times New Roman"/>
                <w:color w:val="0D0D0D" w:themeColor="text1" w:themeTint="F2"/>
                <w:sz w:val="24"/>
                <w:szCs w:val="24"/>
                <w:lang w:val="lv-LV"/>
              </w:rPr>
              <w:t xml:space="preserve"> tautsaimniecības izaugsmi ilgtermiņā.</w:t>
            </w:r>
          </w:p>
          <w:p w14:paraId="766CC3A8" w14:textId="3F0EE54F" w:rsidR="00107063" w:rsidRPr="00E73D94" w:rsidRDefault="00107063" w:rsidP="009614EB">
            <w:pPr>
              <w:spacing w:after="120" w:line="240" w:lineRule="auto"/>
              <w:jc w:val="both"/>
              <w:rPr>
                <w:rFonts w:ascii="Times New Roman" w:hAnsi="Times New Roman" w:cs="Times New Roman"/>
                <w:color w:val="0D0D0D" w:themeColor="text1" w:themeTint="F2"/>
                <w:sz w:val="24"/>
                <w:szCs w:val="24"/>
                <w:lang w:val="lv-LV"/>
              </w:rPr>
            </w:pPr>
            <w:bookmarkStart w:id="0" w:name="_Hlk42690489"/>
            <w:r w:rsidRPr="00E73D94">
              <w:rPr>
                <w:rFonts w:ascii="Times New Roman" w:hAnsi="Times New Roman" w:cs="Times New Roman"/>
                <w:color w:val="0D0D0D" w:themeColor="text1" w:themeTint="F2"/>
                <w:sz w:val="24"/>
                <w:szCs w:val="24"/>
                <w:lang w:val="lv-LV"/>
              </w:rPr>
              <w:t xml:space="preserve">Neskatoties uz to, ka </w:t>
            </w:r>
            <w:r w:rsidR="00E33BB5" w:rsidRPr="00E73D94">
              <w:rPr>
                <w:rFonts w:ascii="Times New Roman" w:hAnsi="Times New Roman" w:cs="Times New Roman"/>
                <w:color w:val="0D0D0D" w:themeColor="text1" w:themeTint="F2"/>
                <w:sz w:val="24"/>
                <w:szCs w:val="24"/>
                <w:lang w:val="lv-LV"/>
              </w:rPr>
              <w:t xml:space="preserve">EM </w:t>
            </w:r>
            <w:r w:rsidRPr="00E73D94">
              <w:rPr>
                <w:rFonts w:ascii="Times New Roman" w:hAnsi="Times New Roman" w:cs="Times New Roman"/>
                <w:color w:val="0D0D0D" w:themeColor="text1" w:themeTint="F2"/>
                <w:sz w:val="24"/>
                <w:szCs w:val="24"/>
                <w:lang w:val="lv-LV"/>
              </w:rPr>
              <w:t xml:space="preserve">vairākkārtīgi arī budžeta gatavošanas procesā kārtējiem gadiem ir sniegusi priekšlikumus </w:t>
            </w:r>
            <w:r w:rsidR="00FA680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finansiāl</w:t>
            </w:r>
            <w:r w:rsidR="005E7020" w:rsidRPr="00E73D94">
              <w:rPr>
                <w:rFonts w:ascii="Times New Roman" w:hAnsi="Times New Roman" w:cs="Times New Roman"/>
                <w:color w:val="0D0D0D" w:themeColor="text1" w:themeTint="F2"/>
                <w:sz w:val="24"/>
                <w:szCs w:val="24"/>
                <w:lang w:val="lv-LV"/>
              </w:rPr>
              <w:t>ajai</w:t>
            </w:r>
            <w:r w:rsidRPr="00E73D94">
              <w:rPr>
                <w:rFonts w:ascii="Times New Roman" w:hAnsi="Times New Roman" w:cs="Times New Roman"/>
                <w:color w:val="0D0D0D" w:themeColor="text1" w:themeTint="F2"/>
                <w:sz w:val="24"/>
                <w:szCs w:val="24"/>
                <w:lang w:val="lv-LV"/>
              </w:rPr>
              <w:t xml:space="preserve"> stiprināšanai, norādot uz papildus nepieciešamajiem finanšu resursiem atlīdzības līmeņa celšanai un preču un pakalpoju iegādei</w:t>
            </w:r>
            <w:r w:rsidR="004546B1" w:rsidRPr="00E73D94">
              <w:rPr>
                <w:rFonts w:ascii="Times New Roman" w:hAnsi="Times New Roman" w:cs="Times New Roman"/>
                <w:color w:val="0D0D0D" w:themeColor="text1" w:themeTint="F2"/>
                <w:sz w:val="24"/>
                <w:szCs w:val="24"/>
                <w:lang w:val="lv-LV"/>
              </w:rPr>
              <w:t xml:space="preserve">, </w:t>
            </w:r>
            <w:r w:rsidR="00B55CEF" w:rsidRPr="00E73D94">
              <w:rPr>
                <w:rFonts w:ascii="Times New Roman" w:hAnsi="Times New Roman" w:cs="Times New Roman"/>
                <w:color w:val="0D0D0D" w:themeColor="text1" w:themeTint="F2"/>
                <w:sz w:val="24"/>
                <w:szCs w:val="24"/>
                <w:lang w:val="lv-LV"/>
              </w:rPr>
              <w:t xml:space="preserve">lai risinātu akūtas KP kapacitātes problēmas </w:t>
            </w:r>
            <w:r w:rsidR="00F6375D" w:rsidRPr="00E73D94">
              <w:rPr>
                <w:rFonts w:ascii="Times New Roman" w:hAnsi="Times New Roman" w:cs="Times New Roman"/>
                <w:color w:val="0D0D0D" w:themeColor="text1" w:themeTint="F2"/>
                <w:sz w:val="24"/>
                <w:szCs w:val="24"/>
                <w:lang w:val="lv-LV"/>
              </w:rPr>
              <w:t>(</w:t>
            </w:r>
            <w:r w:rsidR="00B55CEF" w:rsidRPr="00E73D94">
              <w:rPr>
                <w:rFonts w:ascii="Times New Roman" w:hAnsi="Times New Roman" w:cs="Times New Roman"/>
                <w:color w:val="0D0D0D" w:themeColor="text1" w:themeTint="F2"/>
                <w:sz w:val="24"/>
                <w:szCs w:val="24"/>
                <w:lang w:val="lv-LV"/>
              </w:rPr>
              <w:t>zemā finansiālā nodrošinājuma un augstās darbinieku mainības rezultātā</w:t>
            </w:r>
            <w:r w:rsidR="00F6375D" w:rsidRPr="00E73D94">
              <w:rPr>
                <w:rFonts w:ascii="Times New Roman" w:hAnsi="Times New Roman" w:cs="Times New Roman"/>
                <w:color w:val="0D0D0D" w:themeColor="text1" w:themeTint="F2"/>
                <w:sz w:val="24"/>
                <w:szCs w:val="24"/>
                <w:lang w:val="lv-LV"/>
              </w:rPr>
              <w:t>)</w:t>
            </w:r>
            <w:r w:rsidR="00B55CEF" w:rsidRPr="00E73D94">
              <w:rPr>
                <w:rFonts w:ascii="Times New Roman" w:hAnsi="Times New Roman" w:cs="Times New Roman"/>
                <w:color w:val="0D0D0D" w:themeColor="text1" w:themeTint="F2"/>
                <w:sz w:val="24"/>
                <w:szCs w:val="24"/>
                <w:lang w:val="lv-LV"/>
              </w:rPr>
              <w:t xml:space="preserve">, </w:t>
            </w:r>
            <w:r w:rsidRPr="00E73D94">
              <w:rPr>
                <w:rFonts w:ascii="Times New Roman" w:hAnsi="Times New Roman" w:cs="Times New Roman"/>
                <w:color w:val="0D0D0D" w:themeColor="text1" w:themeTint="F2"/>
                <w:sz w:val="24"/>
                <w:szCs w:val="24"/>
                <w:lang w:val="lv-LV"/>
              </w:rPr>
              <w:t>tostarp</w:t>
            </w:r>
            <w:r w:rsidR="00B55CEF" w:rsidRPr="00E73D94">
              <w:rPr>
                <w:rFonts w:ascii="Times New Roman" w:hAnsi="Times New Roman" w:cs="Times New Roman"/>
                <w:color w:val="0D0D0D" w:themeColor="text1" w:themeTint="F2"/>
                <w:sz w:val="24"/>
                <w:szCs w:val="24"/>
                <w:lang w:val="lv-LV"/>
              </w:rPr>
              <w:t xml:space="preserve"> risinot jautājumu</w:t>
            </w:r>
            <w:r w:rsidRPr="00E73D94">
              <w:rPr>
                <w:rFonts w:ascii="Times New Roman" w:hAnsi="Times New Roman" w:cs="Times New Roman"/>
                <w:color w:val="0D0D0D" w:themeColor="text1" w:themeTint="F2"/>
                <w:sz w:val="24"/>
                <w:szCs w:val="24"/>
                <w:lang w:val="lv-LV"/>
              </w:rPr>
              <w:t xml:space="preserve"> par atalgojuma būtisko atšķirību no citiem </w:t>
            </w:r>
            <w:r w:rsidR="00377CD3" w:rsidRPr="00E73D94">
              <w:rPr>
                <w:rFonts w:ascii="Times New Roman" w:hAnsi="Times New Roman" w:cs="Times New Roman"/>
                <w:color w:val="0D0D0D" w:themeColor="text1" w:themeTint="F2"/>
                <w:sz w:val="24"/>
                <w:szCs w:val="24"/>
                <w:lang w:val="lv-LV"/>
              </w:rPr>
              <w:t xml:space="preserve">funkcionāli </w:t>
            </w:r>
            <w:r w:rsidRPr="00E73D94">
              <w:rPr>
                <w:rFonts w:ascii="Times New Roman" w:hAnsi="Times New Roman" w:cs="Times New Roman"/>
                <w:color w:val="0D0D0D" w:themeColor="text1" w:themeTint="F2"/>
                <w:sz w:val="24"/>
                <w:szCs w:val="24"/>
                <w:lang w:val="lv-LV"/>
              </w:rPr>
              <w:t>pielīdzināmiem specializētajiem nozaru tirgus regulatoriem (piemēram, Sabiedrisko pakalpojumu regulēšanas komisija, Finanšu un kapitāla tirgus komisija), pēc būtības šis jautājums līdz šim nav atrisināts.</w:t>
            </w:r>
          </w:p>
          <w:p w14:paraId="1D8F0C2B" w14:textId="4776A074" w:rsidR="005E7020" w:rsidRPr="00E73D94" w:rsidRDefault="007C507B" w:rsidP="009614EB">
            <w:pPr>
              <w:spacing w:after="120" w:line="240" w:lineRule="auto"/>
              <w:jc w:val="both"/>
              <w:rPr>
                <w:rFonts w:ascii="Times New Roman" w:eastAsia="Times New Roman" w:hAnsi="Times New Roman" w:cs="Times New Roman"/>
                <w:color w:val="0D0D0D" w:themeColor="text1" w:themeTint="F2"/>
                <w:sz w:val="24"/>
                <w:szCs w:val="24"/>
                <w:lang w:val="lv-LV"/>
              </w:rPr>
            </w:pPr>
            <w:r w:rsidRPr="00E73D94">
              <w:rPr>
                <w:rFonts w:ascii="Times New Roman" w:eastAsia="Times New Roman" w:hAnsi="Times New Roman" w:cs="Times New Roman"/>
                <w:color w:val="0D0D0D" w:themeColor="text1" w:themeTint="F2"/>
                <w:sz w:val="24"/>
                <w:szCs w:val="24"/>
                <w:lang w:val="lv-LV"/>
              </w:rPr>
              <w:t>Ņ</w:t>
            </w:r>
            <w:r w:rsidR="005E7020" w:rsidRPr="00E73D94">
              <w:rPr>
                <w:rFonts w:ascii="Times New Roman" w:eastAsia="Times New Roman" w:hAnsi="Times New Roman" w:cs="Times New Roman"/>
                <w:color w:val="0D0D0D" w:themeColor="text1" w:themeTint="F2"/>
                <w:sz w:val="24"/>
                <w:szCs w:val="24"/>
                <w:lang w:val="lv-LV"/>
              </w:rPr>
              <w:t>emot vērā Ekonomiskās sadarbības un attīstības organizācijas (OECD) un Eiropas Komisijas rekomendācijas attiecībā uz nepieciešamību nodrošināt KP ar pietiekamiem resursiem, E</w:t>
            </w:r>
            <w:r w:rsidR="00E33BB5" w:rsidRPr="00E73D94">
              <w:rPr>
                <w:rFonts w:ascii="Times New Roman" w:eastAsia="Times New Roman" w:hAnsi="Times New Roman" w:cs="Times New Roman"/>
                <w:color w:val="0D0D0D" w:themeColor="text1" w:themeTint="F2"/>
                <w:sz w:val="24"/>
                <w:szCs w:val="24"/>
                <w:lang w:val="lv-LV"/>
              </w:rPr>
              <w:t>M</w:t>
            </w:r>
            <w:r w:rsidR="005E7020" w:rsidRPr="00E73D94">
              <w:rPr>
                <w:rFonts w:ascii="Times New Roman" w:eastAsia="Times New Roman" w:hAnsi="Times New Roman" w:cs="Times New Roman"/>
                <w:color w:val="0D0D0D" w:themeColor="text1" w:themeTint="F2"/>
                <w:sz w:val="24"/>
                <w:szCs w:val="24"/>
                <w:lang w:val="lv-LV"/>
              </w:rPr>
              <w:t xml:space="preserve"> sagatavoja informatīvo ziņojumu “</w:t>
            </w:r>
            <w:r w:rsidR="005E7020" w:rsidRPr="00E73D94">
              <w:rPr>
                <w:rFonts w:ascii="Times New Roman" w:eastAsia="Times New Roman" w:hAnsi="Times New Roman" w:cs="Times New Roman"/>
                <w:color w:val="0D0D0D" w:themeColor="text1" w:themeTint="F2"/>
                <w:sz w:val="24"/>
                <w:szCs w:val="24"/>
                <w:shd w:val="clear" w:color="auto" w:fill="FFFFFF"/>
                <w:lang w:val="lv-LV"/>
              </w:rPr>
              <w:t>Par vienotas konkurences un regulācijas iestādes izveides iespējām"</w:t>
            </w:r>
            <w:r w:rsidR="005E7020" w:rsidRPr="00E73D94">
              <w:rPr>
                <w:rFonts w:ascii="Times New Roman" w:eastAsia="Times New Roman" w:hAnsi="Times New Roman" w:cs="Times New Roman"/>
                <w:color w:val="0D0D0D" w:themeColor="text1" w:themeTint="F2"/>
                <w:sz w:val="24"/>
                <w:szCs w:val="24"/>
                <w:lang w:val="lv-LV"/>
              </w:rPr>
              <w:t>. Ministra kabineta 2019. gada 24. septembra</w:t>
            </w:r>
            <w:r w:rsidR="005E7020" w:rsidRPr="00E73D94" w:rsidDel="005E7020">
              <w:rPr>
                <w:rFonts w:ascii="Times New Roman" w:eastAsia="Times New Roman" w:hAnsi="Times New Roman" w:cs="Times New Roman"/>
                <w:color w:val="0D0D0D" w:themeColor="text1" w:themeTint="F2"/>
                <w:sz w:val="24"/>
                <w:szCs w:val="24"/>
                <w:lang w:val="lv-LV"/>
              </w:rPr>
              <w:t xml:space="preserve"> </w:t>
            </w:r>
            <w:r w:rsidR="005E7020" w:rsidRPr="00E73D94">
              <w:rPr>
                <w:rFonts w:ascii="Times New Roman" w:eastAsia="Times New Roman" w:hAnsi="Times New Roman" w:cs="Times New Roman"/>
                <w:color w:val="0D0D0D" w:themeColor="text1" w:themeTint="F2"/>
                <w:sz w:val="24"/>
                <w:szCs w:val="24"/>
                <w:lang w:val="lv-LV"/>
              </w:rPr>
              <w:t xml:space="preserve">sēdē jautājuma izskatīšana </w:t>
            </w:r>
            <w:r w:rsidR="00A20E42" w:rsidRPr="00E73D94">
              <w:rPr>
                <w:rFonts w:ascii="Times New Roman" w:eastAsia="Times New Roman" w:hAnsi="Times New Roman" w:cs="Times New Roman"/>
                <w:color w:val="0D0D0D" w:themeColor="text1" w:themeTint="F2"/>
                <w:sz w:val="24"/>
                <w:szCs w:val="24"/>
                <w:lang w:val="lv-LV"/>
              </w:rPr>
              <w:t xml:space="preserve">par konkurences uzrauga finansiālo stiprināšanu </w:t>
            </w:r>
            <w:r w:rsidR="005E7020" w:rsidRPr="00E73D94">
              <w:rPr>
                <w:rFonts w:ascii="Times New Roman" w:eastAsia="Times New Roman" w:hAnsi="Times New Roman" w:cs="Times New Roman"/>
                <w:color w:val="0D0D0D" w:themeColor="text1" w:themeTint="F2"/>
                <w:sz w:val="24"/>
                <w:szCs w:val="24"/>
                <w:lang w:val="lv-LV"/>
              </w:rPr>
              <w:t>pēc būtības tika atlikta, lemjot, ka papildu nepieciešamā finansējuma piešķiršana K</w:t>
            </w:r>
            <w:r w:rsidR="00A20E42" w:rsidRPr="00E73D94">
              <w:rPr>
                <w:rFonts w:ascii="Times New Roman" w:eastAsia="Times New Roman" w:hAnsi="Times New Roman" w:cs="Times New Roman"/>
                <w:color w:val="0D0D0D" w:themeColor="text1" w:themeTint="F2"/>
                <w:sz w:val="24"/>
                <w:szCs w:val="24"/>
                <w:lang w:val="lv-LV"/>
              </w:rPr>
              <w:t>P</w:t>
            </w:r>
            <w:r w:rsidR="005E7020" w:rsidRPr="00E73D94">
              <w:rPr>
                <w:rFonts w:ascii="Times New Roman" w:eastAsia="Times New Roman" w:hAnsi="Times New Roman" w:cs="Times New Roman"/>
                <w:color w:val="0D0D0D" w:themeColor="text1" w:themeTint="F2"/>
                <w:sz w:val="24"/>
                <w:szCs w:val="24"/>
                <w:lang w:val="lv-LV"/>
              </w:rPr>
              <w:t xml:space="preserve"> ir izskatāma Ministru kabinetā 2020.gadā vienlaikus ar visu ministriju un citu centrālo valsts iestāžu iesniegtajiem prioritārajiem pasākumiem likumprojekta "Par valsts budžetu 2021.gadam" un likumprojekta "Par vidēja termiņa budžeta ietvaru 2021., 2022. un 2023.gadam" sagatavošanas procesā</w:t>
            </w:r>
            <w:r w:rsidR="005E7020" w:rsidRPr="00E73D94">
              <w:rPr>
                <w:rFonts w:ascii="Times New Roman" w:eastAsia="Times New Roman" w:hAnsi="Times New Roman" w:cs="Times New Roman"/>
                <w:color w:val="0D0D0D" w:themeColor="text1" w:themeTint="F2"/>
                <w:sz w:val="24"/>
                <w:szCs w:val="24"/>
                <w:vertAlign w:val="superscript"/>
                <w:lang w:val="lv-LV"/>
              </w:rPr>
              <w:footnoteReference w:id="2"/>
            </w:r>
          </w:p>
          <w:p w14:paraId="302FD129" w14:textId="53CD8004" w:rsidR="00A20E42" w:rsidRPr="00E73D94" w:rsidRDefault="00A20E42"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KP ir jābūt finansētai tādā veidā, lai tā darbotos efektīvi un spētu izpildīt ar likumiem uzliktos pienākumus un nerastos šaubas par tās spēju nodrošināt konkurences uzraudzību</w:t>
            </w:r>
            <w:r w:rsidR="00F6375D" w:rsidRPr="00E73D94">
              <w:rPr>
                <w:rFonts w:ascii="Times New Roman" w:hAnsi="Times New Roman" w:cs="Times New Roman"/>
                <w:color w:val="0D0D0D" w:themeColor="text1" w:themeTint="F2"/>
                <w:sz w:val="24"/>
                <w:szCs w:val="24"/>
                <w:lang w:val="lv-LV"/>
              </w:rPr>
              <w:t xml:space="preserve"> valstī</w:t>
            </w:r>
            <w:r w:rsidRPr="00E73D94">
              <w:rPr>
                <w:rFonts w:ascii="Times New Roman" w:hAnsi="Times New Roman" w:cs="Times New Roman"/>
                <w:color w:val="0D0D0D" w:themeColor="text1" w:themeTint="F2"/>
                <w:sz w:val="24"/>
                <w:szCs w:val="24"/>
                <w:lang w:val="lv-LV"/>
              </w:rPr>
              <w:t xml:space="preserve">. Tas nozīmē, ka </w:t>
            </w:r>
            <w:r w:rsidRPr="00E73D94">
              <w:rPr>
                <w:rFonts w:ascii="Times New Roman" w:hAnsi="Times New Roman" w:cs="Times New Roman"/>
                <w:color w:val="0D0D0D" w:themeColor="text1" w:themeTint="F2"/>
                <w:sz w:val="24"/>
                <w:szCs w:val="24"/>
                <w:lang w:val="lv-LV"/>
              </w:rPr>
              <w:lastRenderedPageBreak/>
              <w:t>iestādes budžetam ir jānodrošina skaitliski pietiekams personāls, kam ir uzraudzības procesā nepieciešamās iemaņas, un algu līmenim jābūt tādam, kas ļauj piesaistīt augsti kvalificētu personālu un nodrošināt zemu personāla mainību. Tieši spēja atbilstoši faktiskai tirgus situācijai piesaistīt un noturēt augsti kvalificētu personālu ar konkurētspējīgiem nosacījumiem stiprina uzraudzības kvalitāti un efektivitāti.</w:t>
            </w:r>
          </w:p>
          <w:p w14:paraId="330826FA" w14:textId="7D6032F1" w:rsidR="00A20E42" w:rsidRPr="00E73D94" w:rsidRDefault="00A20E42"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Tomēr KP atalgojuma sistēma nav atbilstoša faktiskai tirgus situācijai. Tā nespēj piesaistīt personālu ar nepieciešamām iemaņām un nenodrošina zemu personālu mainību. Potenciālos darbiniekus, kas var izpildīt KP ekspertīzes līmeņa uzdevumus, var piesaistīt no advokātu birojiem vai citām neatkarīgajām tirgus uzraudzības iestādēm, jo neviena no Latvijas augstskolu mācību programmām nav izstrādāta, lai sagatavotu konkurences tiesību uzraudzības speciālistus. Vairumā gadījumu tieši uz advokātu birojiem un neatkarīgajām </w:t>
            </w:r>
            <w:r w:rsidR="00F13FC8" w:rsidRPr="00E73D94">
              <w:rPr>
                <w:rFonts w:ascii="Times New Roman" w:hAnsi="Times New Roman" w:cs="Times New Roman"/>
                <w:color w:val="0D0D0D" w:themeColor="text1" w:themeTint="F2"/>
                <w:sz w:val="24"/>
                <w:szCs w:val="24"/>
                <w:lang w:val="lv-LV"/>
              </w:rPr>
              <w:t xml:space="preserve">tirgus </w:t>
            </w:r>
            <w:r w:rsidRPr="00E73D94">
              <w:rPr>
                <w:rFonts w:ascii="Times New Roman" w:hAnsi="Times New Roman" w:cs="Times New Roman"/>
                <w:color w:val="0D0D0D" w:themeColor="text1" w:themeTint="F2"/>
                <w:sz w:val="24"/>
                <w:szCs w:val="24"/>
                <w:lang w:val="lv-LV"/>
              </w:rPr>
              <w:t xml:space="preserve">uzraudzības iestādēm pāriet strādāt </w:t>
            </w:r>
            <w:r w:rsidR="00F6375D" w:rsidRPr="00E73D9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speciālisti. Līdz ar to amata darba pienākumu saturs atšķiras no valsts pārvaldē strādājošo amatiem un tādā veidā nav atbilstoši aizvietojams vai pielīdzināms. </w:t>
            </w:r>
          </w:p>
          <w:bookmarkEnd w:id="0"/>
          <w:p w14:paraId="17F835FC" w14:textId="606A1CEF" w:rsidR="00F13FC8" w:rsidRPr="00E73D94" w:rsidRDefault="00C716CB"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Šī jautājuma ilgstošas nerisināšanas rezultāts </w:t>
            </w:r>
            <w:r w:rsidR="00F13FC8" w:rsidRPr="00E73D94">
              <w:rPr>
                <w:rFonts w:ascii="Times New Roman" w:hAnsi="Times New Roman" w:cs="Times New Roman"/>
                <w:color w:val="0D0D0D" w:themeColor="text1" w:themeTint="F2"/>
                <w:sz w:val="24"/>
                <w:szCs w:val="24"/>
                <w:lang w:val="lv-LV"/>
              </w:rPr>
              <w:t>atspoguļojas pēdējo trīs gadu statistikā par KP personāla mainību</w:t>
            </w:r>
            <w:r w:rsidRPr="00E73D94">
              <w:rPr>
                <w:rFonts w:ascii="Times New Roman" w:hAnsi="Times New Roman" w:cs="Times New Roman"/>
                <w:color w:val="0D0D0D" w:themeColor="text1" w:themeTint="F2"/>
                <w:sz w:val="24"/>
                <w:szCs w:val="24"/>
                <w:lang w:val="lv-LV"/>
              </w:rPr>
              <w:t xml:space="preserve">. Šobrīd visa līmeņa </w:t>
            </w:r>
            <w:r w:rsidR="0065176F" w:rsidRPr="00E73D9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darbinieku mainība p</w:t>
            </w:r>
            <w:r w:rsidR="00F13FC8" w:rsidRPr="00E73D94">
              <w:rPr>
                <w:rFonts w:ascii="Times New Roman" w:hAnsi="Times New Roman" w:cs="Times New Roman"/>
                <w:color w:val="0D0D0D" w:themeColor="text1" w:themeTint="F2"/>
                <w:sz w:val="24"/>
                <w:szCs w:val="24"/>
                <w:lang w:val="lv-LV"/>
              </w:rPr>
              <w:t xml:space="preserve">ar </w:t>
            </w:r>
            <w:r w:rsidRPr="00E73D94">
              <w:rPr>
                <w:rFonts w:ascii="Times New Roman" w:hAnsi="Times New Roman" w:cs="Times New Roman"/>
                <w:color w:val="0D0D0D" w:themeColor="text1" w:themeTint="F2"/>
                <w:sz w:val="24"/>
                <w:szCs w:val="24"/>
                <w:lang w:val="lv-LV"/>
              </w:rPr>
              <w:t xml:space="preserve">2017. </w:t>
            </w:r>
            <w:r w:rsidR="00F13FC8" w:rsidRPr="00E73D94">
              <w:rPr>
                <w:rFonts w:ascii="Times New Roman" w:hAnsi="Times New Roman" w:cs="Times New Roman"/>
                <w:color w:val="0D0D0D" w:themeColor="text1" w:themeTint="F2"/>
                <w:sz w:val="24"/>
                <w:szCs w:val="24"/>
                <w:lang w:val="lv-LV"/>
              </w:rPr>
              <w:t xml:space="preserve">- </w:t>
            </w:r>
            <w:r w:rsidRPr="00E73D94">
              <w:rPr>
                <w:rFonts w:ascii="Times New Roman" w:hAnsi="Times New Roman" w:cs="Times New Roman"/>
                <w:color w:val="0D0D0D" w:themeColor="text1" w:themeTint="F2"/>
                <w:sz w:val="24"/>
                <w:szCs w:val="24"/>
                <w:lang w:val="lv-LV"/>
              </w:rPr>
              <w:t>2019. gad</w:t>
            </w:r>
            <w:r w:rsidR="00F13FC8" w:rsidRPr="00E73D94">
              <w:rPr>
                <w:rFonts w:ascii="Times New Roman" w:hAnsi="Times New Roman" w:cs="Times New Roman"/>
                <w:color w:val="0D0D0D" w:themeColor="text1" w:themeTint="F2"/>
                <w:sz w:val="24"/>
                <w:szCs w:val="24"/>
                <w:lang w:val="lv-LV"/>
              </w:rPr>
              <w:t>u</w:t>
            </w:r>
            <w:r w:rsidRPr="00E73D94">
              <w:rPr>
                <w:rFonts w:ascii="Times New Roman" w:hAnsi="Times New Roman" w:cs="Times New Roman"/>
                <w:color w:val="0D0D0D" w:themeColor="text1" w:themeTint="F2"/>
                <w:sz w:val="24"/>
                <w:szCs w:val="24"/>
                <w:lang w:val="lv-LV"/>
              </w:rPr>
              <w:t xml:space="preserve"> vidēji gadā ir sasniegusi 24 % no darbinieku kopskaita</w:t>
            </w:r>
            <w:r w:rsidR="00F13FC8" w:rsidRPr="00E73D94">
              <w:rPr>
                <w:rFonts w:ascii="Times New Roman" w:hAnsi="Times New Roman" w:cs="Times New Roman"/>
                <w:color w:val="0D0D0D" w:themeColor="text1" w:themeTint="F2"/>
                <w:sz w:val="24"/>
                <w:szCs w:val="24"/>
                <w:lang w:val="lv-LV"/>
              </w:rPr>
              <w:t xml:space="preserve">, </w:t>
            </w:r>
            <w:r w:rsidRPr="00E73D94">
              <w:rPr>
                <w:rFonts w:ascii="Times New Roman" w:hAnsi="Times New Roman" w:cs="Times New Roman"/>
                <w:color w:val="0D0D0D" w:themeColor="text1" w:themeTint="F2"/>
                <w:sz w:val="24"/>
                <w:szCs w:val="24"/>
                <w:lang w:val="lv-LV"/>
              </w:rPr>
              <w:t>2019. gad</w:t>
            </w:r>
            <w:r w:rsidR="00F13FC8" w:rsidRPr="00E73D94">
              <w:rPr>
                <w:rFonts w:ascii="Times New Roman" w:hAnsi="Times New Roman" w:cs="Times New Roman"/>
                <w:color w:val="0D0D0D" w:themeColor="text1" w:themeTint="F2"/>
                <w:sz w:val="24"/>
                <w:szCs w:val="24"/>
                <w:lang w:val="lv-LV"/>
              </w:rPr>
              <w:t>ā</w:t>
            </w:r>
            <w:r w:rsidRPr="00E73D94">
              <w:rPr>
                <w:rFonts w:ascii="Times New Roman" w:hAnsi="Times New Roman" w:cs="Times New Roman"/>
                <w:color w:val="0D0D0D" w:themeColor="text1" w:themeTint="F2"/>
                <w:sz w:val="24"/>
                <w:szCs w:val="24"/>
                <w:lang w:val="lv-LV"/>
              </w:rPr>
              <w:t xml:space="preserve">  sasniedzot jau 32%. </w:t>
            </w:r>
            <w:r w:rsidR="00F13FC8" w:rsidRPr="00E73D94">
              <w:rPr>
                <w:rFonts w:ascii="Times New Roman" w:hAnsi="Times New Roman" w:cs="Times New Roman"/>
                <w:color w:val="0D0D0D" w:themeColor="text1" w:themeTint="F2"/>
                <w:sz w:val="24"/>
                <w:szCs w:val="24"/>
                <w:lang w:val="lv-LV"/>
              </w:rPr>
              <w:t>K</w:t>
            </w:r>
            <w:r w:rsidRPr="00E73D94">
              <w:rPr>
                <w:rFonts w:ascii="Times New Roman" w:hAnsi="Times New Roman" w:cs="Times New Roman"/>
                <w:color w:val="0D0D0D" w:themeColor="text1" w:themeTint="F2"/>
                <w:sz w:val="24"/>
                <w:szCs w:val="24"/>
                <w:lang w:val="lv-LV"/>
              </w:rPr>
              <w:t xml:space="preserve">opš 2017.gada sākuma </w:t>
            </w:r>
            <w:r w:rsidR="0065176F" w:rsidRPr="00E73D9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jau nomainīj</w:t>
            </w:r>
            <w:r w:rsidR="00F13FC8" w:rsidRPr="00E73D94">
              <w:rPr>
                <w:rFonts w:ascii="Times New Roman" w:hAnsi="Times New Roman" w:cs="Times New Roman"/>
                <w:color w:val="0D0D0D" w:themeColor="text1" w:themeTint="F2"/>
                <w:sz w:val="24"/>
                <w:szCs w:val="24"/>
                <w:lang w:val="lv-LV"/>
              </w:rPr>
              <w:t>ā</w:t>
            </w:r>
            <w:r w:rsidRPr="00E73D94">
              <w:rPr>
                <w:rFonts w:ascii="Times New Roman" w:hAnsi="Times New Roman" w:cs="Times New Roman"/>
                <w:color w:val="0D0D0D" w:themeColor="text1" w:themeTint="F2"/>
                <w:sz w:val="24"/>
                <w:szCs w:val="24"/>
                <w:lang w:val="lv-LV"/>
              </w:rPr>
              <w:t xml:space="preserve">s vairāk kā puse iestādes darbinieku, mainībai sasniedzot </w:t>
            </w:r>
            <w:r w:rsidR="00F13FC8" w:rsidRPr="00E73D94">
              <w:rPr>
                <w:rFonts w:ascii="Times New Roman" w:hAnsi="Times New Roman" w:cs="Times New Roman"/>
                <w:color w:val="0D0D0D" w:themeColor="text1" w:themeTint="F2"/>
                <w:sz w:val="24"/>
                <w:szCs w:val="24"/>
                <w:lang w:val="lv-LV"/>
              </w:rPr>
              <w:t xml:space="preserve">vēl nepieredzētu </w:t>
            </w:r>
            <w:r w:rsidRPr="00E73D94">
              <w:rPr>
                <w:rFonts w:ascii="Times New Roman" w:hAnsi="Times New Roman" w:cs="Times New Roman"/>
                <w:color w:val="0D0D0D" w:themeColor="text1" w:themeTint="F2"/>
                <w:sz w:val="24"/>
                <w:szCs w:val="24"/>
                <w:lang w:val="lv-LV"/>
              </w:rPr>
              <w:t>52 % apmēru no darbinieku kopskaita.</w:t>
            </w:r>
            <w:r w:rsidR="00EF70CA" w:rsidRPr="00E73D94">
              <w:rPr>
                <w:rFonts w:ascii="Times New Roman" w:hAnsi="Times New Roman" w:cs="Times New Roman"/>
                <w:color w:val="0D0D0D" w:themeColor="text1" w:themeTint="F2"/>
                <w:sz w:val="24"/>
                <w:szCs w:val="24"/>
                <w:lang w:val="lv-LV"/>
              </w:rPr>
              <w:t xml:space="preserve"> </w:t>
            </w:r>
          </w:p>
          <w:p w14:paraId="556BE416" w14:textId="531DA1A4" w:rsidR="00372978" w:rsidRPr="00E73D94" w:rsidRDefault="00F13FC8"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Tik augsta darbinieku mainība nav savietojama ar spēju efektīvi izpildīt KP ar likumiem uzliktos pienākumus.</w:t>
            </w:r>
            <w:r w:rsidRPr="00CD3CDE">
              <w:rPr>
                <w:rFonts w:ascii="Times New Roman" w:hAnsi="Times New Roman" w:cs="Times New Roman"/>
                <w:color w:val="0D0D0D" w:themeColor="text1" w:themeTint="F2"/>
                <w:lang w:val="lv-LV"/>
              </w:rPr>
              <w:t xml:space="preserve"> </w:t>
            </w:r>
            <w:r w:rsidR="00620C6F" w:rsidRPr="00E73D94">
              <w:rPr>
                <w:rFonts w:ascii="Times New Roman" w:hAnsi="Times New Roman" w:cs="Times New Roman"/>
                <w:color w:val="0D0D0D" w:themeColor="text1" w:themeTint="F2"/>
                <w:sz w:val="24"/>
                <w:szCs w:val="24"/>
                <w:lang w:val="lv-LV"/>
              </w:rPr>
              <w:t>A</w:t>
            </w:r>
            <w:r w:rsidR="00AD5C8D" w:rsidRPr="00E73D94">
              <w:rPr>
                <w:rFonts w:ascii="Times New Roman" w:hAnsi="Times New Roman" w:cs="Times New Roman"/>
                <w:color w:val="0D0D0D" w:themeColor="text1" w:themeTint="F2"/>
                <w:sz w:val="24"/>
                <w:szCs w:val="24"/>
                <w:lang w:val="lv-LV"/>
              </w:rPr>
              <w:t xml:space="preserve">ugsta darbinieku mainība </w:t>
            </w:r>
            <w:r w:rsidR="00377CD3" w:rsidRPr="00E73D94">
              <w:rPr>
                <w:rFonts w:ascii="Times New Roman" w:hAnsi="Times New Roman" w:cs="Times New Roman"/>
                <w:color w:val="0D0D0D" w:themeColor="text1" w:themeTint="F2"/>
                <w:sz w:val="24"/>
                <w:szCs w:val="24"/>
                <w:lang w:val="lv-LV"/>
              </w:rPr>
              <w:t xml:space="preserve">nenovēršami </w:t>
            </w:r>
            <w:r w:rsidR="00AD5C8D" w:rsidRPr="00E73D94">
              <w:rPr>
                <w:rFonts w:ascii="Times New Roman" w:hAnsi="Times New Roman" w:cs="Times New Roman"/>
                <w:color w:val="0D0D0D" w:themeColor="text1" w:themeTint="F2"/>
                <w:sz w:val="24"/>
                <w:szCs w:val="24"/>
                <w:lang w:val="lv-LV"/>
              </w:rPr>
              <w:t xml:space="preserve">noved pie iestādes institucionālās atmiņas un pieredzes zaudēšanas, negatīvi ietekmējot </w:t>
            </w:r>
            <w:r w:rsidR="0065176F" w:rsidRPr="00E73D94">
              <w:rPr>
                <w:rFonts w:ascii="Times New Roman" w:hAnsi="Times New Roman" w:cs="Times New Roman"/>
                <w:color w:val="0D0D0D" w:themeColor="text1" w:themeTint="F2"/>
                <w:sz w:val="24"/>
                <w:szCs w:val="24"/>
                <w:lang w:val="lv-LV"/>
              </w:rPr>
              <w:t>KP</w:t>
            </w:r>
            <w:r w:rsidR="00AD5C8D" w:rsidRPr="00E73D94">
              <w:rPr>
                <w:rFonts w:ascii="Times New Roman" w:hAnsi="Times New Roman" w:cs="Times New Roman"/>
                <w:color w:val="0D0D0D" w:themeColor="text1" w:themeTint="F2"/>
                <w:sz w:val="24"/>
                <w:szCs w:val="24"/>
                <w:lang w:val="lv-LV"/>
              </w:rPr>
              <w:t xml:space="preserve"> uzdevumu izpildi kopumā. </w:t>
            </w:r>
            <w:r w:rsidR="00620C6F" w:rsidRPr="00E73D94">
              <w:rPr>
                <w:rFonts w:ascii="Times New Roman" w:hAnsi="Times New Roman" w:cs="Times New Roman"/>
                <w:color w:val="0D0D0D" w:themeColor="text1" w:themeTint="F2"/>
                <w:sz w:val="24"/>
                <w:szCs w:val="24"/>
                <w:lang w:val="lv-LV"/>
              </w:rPr>
              <w:t xml:space="preserve">KP </w:t>
            </w:r>
            <w:r w:rsidR="004E0AE1" w:rsidRPr="00E73D94">
              <w:rPr>
                <w:rFonts w:ascii="Times New Roman" w:hAnsi="Times New Roman" w:cs="Times New Roman"/>
                <w:color w:val="0D0D0D" w:themeColor="text1" w:themeTint="F2"/>
                <w:sz w:val="24"/>
                <w:szCs w:val="24"/>
                <w:lang w:val="lv-LV"/>
              </w:rPr>
              <w:t>pie</w:t>
            </w:r>
            <w:r w:rsidR="00000791" w:rsidRPr="00E73D94">
              <w:rPr>
                <w:rFonts w:ascii="Times New Roman" w:hAnsi="Times New Roman" w:cs="Times New Roman"/>
                <w:color w:val="0D0D0D" w:themeColor="text1" w:themeTint="F2"/>
                <w:sz w:val="24"/>
                <w:szCs w:val="24"/>
                <w:lang w:val="lv-LV"/>
              </w:rPr>
              <w:t xml:space="preserve">šķirtais </w:t>
            </w:r>
            <w:r w:rsidR="004E0AE1" w:rsidRPr="00E73D94">
              <w:rPr>
                <w:rFonts w:ascii="Times New Roman" w:hAnsi="Times New Roman" w:cs="Times New Roman"/>
                <w:color w:val="0D0D0D" w:themeColor="text1" w:themeTint="F2"/>
                <w:sz w:val="24"/>
                <w:szCs w:val="24"/>
                <w:lang w:val="lv-LV"/>
              </w:rPr>
              <w:t>finansējuma apjoms</w:t>
            </w:r>
            <w:r w:rsidR="004340A0" w:rsidRPr="00E73D94">
              <w:rPr>
                <w:rFonts w:ascii="Times New Roman" w:hAnsi="Times New Roman" w:cs="Times New Roman"/>
                <w:color w:val="0D0D0D" w:themeColor="text1" w:themeTint="F2"/>
                <w:sz w:val="24"/>
                <w:szCs w:val="24"/>
                <w:lang w:val="lv-LV"/>
              </w:rPr>
              <w:t xml:space="preserve"> neļauj</w:t>
            </w:r>
            <w:r w:rsidR="004340A0" w:rsidRPr="00CD3CDE">
              <w:rPr>
                <w:rFonts w:ascii="Times New Roman" w:hAnsi="Times New Roman" w:cs="Times New Roman"/>
                <w:color w:val="0D0D0D" w:themeColor="text1" w:themeTint="F2"/>
                <w:lang w:val="lv-LV"/>
              </w:rPr>
              <w:t xml:space="preserve"> </w:t>
            </w:r>
            <w:r w:rsidR="004340A0" w:rsidRPr="00E73D94">
              <w:rPr>
                <w:rFonts w:ascii="Times New Roman" w:hAnsi="Times New Roman" w:cs="Times New Roman"/>
                <w:color w:val="0D0D0D" w:themeColor="text1" w:themeTint="F2"/>
                <w:sz w:val="24"/>
                <w:szCs w:val="24"/>
                <w:lang w:val="lv-LV"/>
              </w:rPr>
              <w:t xml:space="preserve"> </w:t>
            </w:r>
            <w:r w:rsidR="00000791" w:rsidRPr="00E73D94">
              <w:rPr>
                <w:rFonts w:ascii="Times New Roman" w:hAnsi="Times New Roman" w:cs="Times New Roman"/>
                <w:color w:val="0D0D0D" w:themeColor="text1" w:themeTint="F2"/>
                <w:sz w:val="24"/>
                <w:szCs w:val="24"/>
                <w:lang w:val="lv-LV"/>
              </w:rPr>
              <w:t xml:space="preserve">tās speciālistiem </w:t>
            </w:r>
            <w:r w:rsidR="004340A0" w:rsidRPr="0083366E">
              <w:rPr>
                <w:rFonts w:ascii="Times New Roman" w:hAnsi="Times New Roman" w:cs="Times New Roman"/>
                <w:color w:val="0D0D0D" w:themeColor="text1" w:themeTint="F2"/>
                <w:sz w:val="24"/>
                <w:szCs w:val="24"/>
                <w:lang w:val="lv-LV"/>
              </w:rPr>
              <w:t>noteikt konkurētspējīgu atalgojumu</w:t>
            </w:r>
            <w:r w:rsidR="004340A0" w:rsidRPr="00CD3CDE">
              <w:rPr>
                <w:rFonts w:ascii="Times New Roman" w:hAnsi="Times New Roman" w:cs="Times New Roman"/>
                <w:color w:val="0D0D0D" w:themeColor="text1" w:themeTint="F2"/>
                <w:lang w:val="lv-LV"/>
              </w:rPr>
              <w:t xml:space="preserve"> </w:t>
            </w:r>
            <w:r w:rsidR="004340A0" w:rsidRPr="00E73D94">
              <w:rPr>
                <w:rFonts w:ascii="Times New Roman" w:hAnsi="Times New Roman" w:cs="Times New Roman"/>
                <w:color w:val="0D0D0D" w:themeColor="text1" w:themeTint="F2"/>
                <w:sz w:val="24"/>
                <w:szCs w:val="24"/>
                <w:lang w:val="lv-LV"/>
              </w:rPr>
              <w:t>ar citām līdzīgām valsts tirgus uzraudzības</w:t>
            </w:r>
            <w:r w:rsidR="00000791" w:rsidRPr="0083366E">
              <w:rPr>
                <w:rFonts w:ascii="Times New Roman" w:hAnsi="Times New Roman" w:cs="Times New Roman"/>
                <w:color w:val="0D0D0D" w:themeColor="text1" w:themeTint="F2"/>
                <w:sz w:val="24"/>
                <w:szCs w:val="24"/>
                <w:lang w:val="lv-LV"/>
              </w:rPr>
              <w:t xml:space="preserve"> iestādēm</w:t>
            </w:r>
            <w:r w:rsidR="004340A0" w:rsidRPr="00CD3CDE">
              <w:rPr>
                <w:rFonts w:ascii="Times New Roman" w:hAnsi="Times New Roman" w:cs="Times New Roman"/>
                <w:color w:val="0D0D0D" w:themeColor="text1" w:themeTint="F2"/>
                <w:lang w:val="lv-LV"/>
              </w:rPr>
              <w:t xml:space="preserve"> </w:t>
            </w:r>
            <w:r w:rsidR="004340A0" w:rsidRPr="00E73D94">
              <w:rPr>
                <w:rFonts w:ascii="Times New Roman" w:hAnsi="Times New Roman" w:cs="Times New Roman"/>
                <w:color w:val="0D0D0D" w:themeColor="text1" w:themeTint="F2"/>
                <w:sz w:val="24"/>
                <w:szCs w:val="24"/>
                <w:lang w:val="lv-LV"/>
              </w:rPr>
              <w:t>un ilgtermiņā noturēt kvalificētus, jau speciālas prasmes un zināšanas apguvušus darbiniekus</w:t>
            </w:r>
            <w:r w:rsidR="007511EE" w:rsidRPr="00E73D94">
              <w:rPr>
                <w:rFonts w:ascii="Times New Roman" w:hAnsi="Times New Roman" w:cs="Times New Roman"/>
                <w:color w:val="0D0D0D" w:themeColor="text1" w:themeTint="F2"/>
                <w:sz w:val="24"/>
                <w:szCs w:val="24"/>
                <w:lang w:val="lv-LV"/>
              </w:rPr>
              <w:t xml:space="preserve">, ierobežojot </w:t>
            </w:r>
            <w:r w:rsidR="004340A0" w:rsidRPr="00E73D94">
              <w:rPr>
                <w:rFonts w:ascii="Times New Roman" w:hAnsi="Times New Roman" w:cs="Times New Roman"/>
                <w:color w:val="0D0D0D" w:themeColor="text1" w:themeTint="F2"/>
                <w:sz w:val="24"/>
                <w:szCs w:val="24"/>
                <w:lang w:val="lv-LV"/>
              </w:rPr>
              <w:t xml:space="preserve"> </w:t>
            </w:r>
            <w:r w:rsidR="004E0AE1" w:rsidRPr="00E73D94">
              <w:rPr>
                <w:rFonts w:ascii="Times New Roman" w:hAnsi="Times New Roman" w:cs="Times New Roman"/>
                <w:color w:val="0D0D0D" w:themeColor="text1" w:themeTint="F2"/>
                <w:sz w:val="24"/>
                <w:szCs w:val="24"/>
                <w:lang w:val="lv-LV"/>
              </w:rPr>
              <w:t>augsto darbinieku mainību</w:t>
            </w:r>
            <w:r w:rsidR="007511EE" w:rsidRPr="00E73D94">
              <w:rPr>
                <w:rFonts w:ascii="Times New Roman" w:hAnsi="Times New Roman" w:cs="Times New Roman"/>
                <w:color w:val="0D0D0D" w:themeColor="text1" w:themeTint="F2"/>
                <w:sz w:val="24"/>
                <w:szCs w:val="24"/>
                <w:lang w:val="lv-LV"/>
              </w:rPr>
              <w:t>.</w:t>
            </w:r>
          </w:p>
          <w:p w14:paraId="1C5E39B2" w14:textId="0B6F826B" w:rsidR="00620C6F" w:rsidRPr="00E73D94" w:rsidRDefault="00000791"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Ne</w:t>
            </w:r>
            <w:r w:rsidR="00620C6F" w:rsidRPr="00E73D94">
              <w:rPr>
                <w:rFonts w:ascii="Times New Roman" w:hAnsi="Times New Roman" w:cs="Times New Roman"/>
                <w:color w:val="0D0D0D" w:themeColor="text1" w:themeTint="F2"/>
                <w:sz w:val="24"/>
                <w:szCs w:val="24"/>
                <w:lang w:val="lv-LV"/>
              </w:rPr>
              <w:t xml:space="preserve">pietiekamais </w:t>
            </w:r>
            <w:r w:rsidRPr="00E73D94">
              <w:rPr>
                <w:rFonts w:ascii="Times New Roman" w:hAnsi="Times New Roman" w:cs="Times New Roman"/>
                <w:color w:val="0D0D0D" w:themeColor="text1" w:themeTint="F2"/>
                <w:sz w:val="24"/>
                <w:szCs w:val="24"/>
                <w:lang w:val="lv-LV"/>
              </w:rPr>
              <w:t xml:space="preserve">finansējums </w:t>
            </w:r>
            <w:r w:rsidR="00620C6F" w:rsidRPr="00E73D94">
              <w:rPr>
                <w:rFonts w:ascii="Times New Roman" w:hAnsi="Times New Roman" w:cs="Times New Roman"/>
                <w:color w:val="0D0D0D" w:themeColor="text1" w:themeTint="F2"/>
                <w:sz w:val="24"/>
                <w:szCs w:val="24"/>
                <w:lang w:val="lv-LV"/>
              </w:rPr>
              <w:t xml:space="preserve">šobrīd tiešā veidā apdraud </w:t>
            </w:r>
            <w:r w:rsidRPr="00E73D94">
              <w:rPr>
                <w:rFonts w:ascii="Times New Roman" w:hAnsi="Times New Roman" w:cs="Times New Roman"/>
                <w:color w:val="0D0D0D" w:themeColor="text1" w:themeTint="F2"/>
                <w:sz w:val="24"/>
                <w:szCs w:val="24"/>
                <w:lang w:val="lv-LV"/>
              </w:rPr>
              <w:t xml:space="preserve">gan </w:t>
            </w:r>
            <w:r w:rsidR="00620C6F" w:rsidRPr="00E73D94">
              <w:rPr>
                <w:rFonts w:ascii="Times New Roman" w:hAnsi="Times New Roman" w:cs="Times New Roman"/>
                <w:color w:val="0D0D0D" w:themeColor="text1" w:themeTint="F2"/>
                <w:sz w:val="24"/>
                <w:szCs w:val="24"/>
                <w:lang w:val="lv-LV"/>
              </w:rPr>
              <w:t xml:space="preserve"> Direktīvas prasību pienācīgu pārņemšanu, </w:t>
            </w:r>
            <w:r w:rsidRPr="00E73D94">
              <w:rPr>
                <w:rFonts w:ascii="Times New Roman" w:hAnsi="Times New Roman" w:cs="Times New Roman"/>
                <w:color w:val="0D0D0D" w:themeColor="text1" w:themeTint="F2"/>
                <w:sz w:val="24"/>
                <w:szCs w:val="24"/>
                <w:lang w:val="lv-LV"/>
              </w:rPr>
              <w:t>gan</w:t>
            </w:r>
            <w:r w:rsidR="00620C6F" w:rsidRPr="00E73D94">
              <w:rPr>
                <w:rFonts w:ascii="Times New Roman" w:hAnsi="Times New Roman" w:cs="Times New Roman"/>
                <w:color w:val="0D0D0D" w:themeColor="text1" w:themeTint="F2"/>
                <w:sz w:val="24"/>
                <w:szCs w:val="24"/>
                <w:lang w:val="lv-LV"/>
              </w:rPr>
              <w:t xml:space="preserve"> arī </w:t>
            </w:r>
            <w:r w:rsidR="00F6375D" w:rsidRPr="00E73D94">
              <w:rPr>
                <w:rFonts w:ascii="Times New Roman" w:hAnsi="Times New Roman" w:cs="Times New Roman"/>
                <w:color w:val="0D0D0D" w:themeColor="text1" w:themeTint="F2"/>
                <w:sz w:val="24"/>
                <w:szCs w:val="24"/>
                <w:lang w:val="lv-LV"/>
              </w:rPr>
              <w:t xml:space="preserve">Likumā </w:t>
            </w:r>
            <w:r w:rsidR="00620C6F" w:rsidRPr="00E73D94">
              <w:rPr>
                <w:rFonts w:ascii="Times New Roman" w:hAnsi="Times New Roman" w:cs="Times New Roman"/>
                <w:color w:val="0D0D0D" w:themeColor="text1" w:themeTint="F2"/>
                <w:sz w:val="24"/>
                <w:szCs w:val="24"/>
                <w:lang w:val="lv-LV"/>
              </w:rPr>
              <w:t xml:space="preserve">noteikto iestādes pamatfunkciju efektīvu turpmāko īstenošanu, nodrošinot tautsaimniecībai īpaši būtisku un sevišķi smagu jau uzsāktu konkurences pārkāpumu lietu izmeklēšanu un  jaunu lietu uzsākšanu. Līdztekus tirgus dalībnieku apvienošanās lietām, kuru izskatīšana jānodrošina īsos termiņos, KP 2020. un 2021. gadā ir jānodrošina tirgus uzraudzība un izmeklēšana visai sabiedrībai nozīmīgās </w:t>
            </w:r>
            <w:r w:rsidR="00620C6F" w:rsidRPr="00E73D94">
              <w:rPr>
                <w:rFonts w:ascii="Times New Roman" w:hAnsi="Times New Roman" w:cs="Times New Roman"/>
                <w:color w:val="0D0D0D" w:themeColor="text1" w:themeTint="F2"/>
                <w:sz w:val="24"/>
                <w:szCs w:val="24"/>
                <w:lang w:val="lv-LV"/>
              </w:rPr>
              <w:lastRenderedPageBreak/>
              <w:t>konkurences lietās nozarēs, kurās uzņēmumu apgrozījums pārsniedz 3,3 mlj</w:t>
            </w:r>
            <w:r w:rsidR="007C507B" w:rsidRPr="00E73D94">
              <w:rPr>
                <w:rFonts w:ascii="Times New Roman" w:hAnsi="Times New Roman" w:cs="Times New Roman"/>
                <w:color w:val="0D0D0D" w:themeColor="text1" w:themeTint="F2"/>
                <w:sz w:val="24"/>
                <w:szCs w:val="24"/>
                <w:lang w:val="lv-LV"/>
              </w:rPr>
              <w:t>r</w:t>
            </w:r>
            <w:r w:rsidR="00620C6F" w:rsidRPr="00E73D94">
              <w:rPr>
                <w:rFonts w:ascii="Times New Roman" w:hAnsi="Times New Roman" w:cs="Times New Roman"/>
                <w:color w:val="0D0D0D" w:themeColor="text1" w:themeTint="F2"/>
                <w:sz w:val="24"/>
                <w:szCs w:val="24"/>
                <w:lang w:val="lv-LV"/>
              </w:rPr>
              <w:t xml:space="preserve">d. </w:t>
            </w:r>
            <w:proofErr w:type="spellStart"/>
            <w:r w:rsidR="00620C6F" w:rsidRPr="00E73D94">
              <w:rPr>
                <w:rFonts w:ascii="Times New Roman" w:hAnsi="Times New Roman" w:cs="Times New Roman"/>
                <w:i/>
                <w:iCs/>
                <w:color w:val="0D0D0D" w:themeColor="text1" w:themeTint="F2"/>
                <w:sz w:val="24"/>
                <w:szCs w:val="24"/>
                <w:lang w:val="lv-LV"/>
              </w:rPr>
              <w:t>euro</w:t>
            </w:r>
            <w:proofErr w:type="spellEnd"/>
            <w:r w:rsidR="00620C6F" w:rsidRPr="00E73D94">
              <w:rPr>
                <w:rFonts w:ascii="Times New Roman" w:hAnsi="Times New Roman" w:cs="Times New Roman"/>
                <w:color w:val="0D0D0D" w:themeColor="text1" w:themeTint="F2"/>
                <w:sz w:val="24"/>
                <w:szCs w:val="24"/>
                <w:lang w:val="lv-LV"/>
              </w:rPr>
              <w:t xml:space="preserve"> jeb vairāk kā 11% no IKP.</w:t>
            </w:r>
          </w:p>
          <w:p w14:paraId="65D8331C" w14:textId="05E526E3" w:rsidR="00620C6F" w:rsidRPr="00E73D94" w:rsidRDefault="00620C6F"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Augstās personāla mainības rezultātā arī šajās lietās ir būtiski un vairākkārtēji nomainījies izmeklētāju sastāvs, aizplūdusi pieredze un samazinājusies iestādes institucionālā atmiņa. </w:t>
            </w:r>
            <w:r w:rsidR="00000791" w:rsidRPr="00E73D94">
              <w:rPr>
                <w:rFonts w:ascii="Times New Roman" w:hAnsi="Times New Roman" w:cs="Times New Roman"/>
                <w:color w:val="0D0D0D" w:themeColor="text1" w:themeTint="F2"/>
                <w:sz w:val="24"/>
                <w:szCs w:val="24"/>
                <w:lang w:val="lv-LV"/>
              </w:rPr>
              <w:t>Tas ir rezultāts nepietiekamajam KP finansējumam un tas vairs</w:t>
            </w:r>
            <w:r w:rsidRPr="00E73D94">
              <w:rPr>
                <w:rFonts w:ascii="Times New Roman" w:hAnsi="Times New Roman" w:cs="Times New Roman"/>
                <w:color w:val="0D0D0D" w:themeColor="text1" w:themeTint="F2"/>
                <w:sz w:val="24"/>
                <w:szCs w:val="24"/>
                <w:lang w:val="lv-LV"/>
              </w:rPr>
              <w:t xml:space="preserve"> nav savietojam</w:t>
            </w:r>
            <w:r w:rsidR="00000791" w:rsidRPr="00E73D94">
              <w:rPr>
                <w:rFonts w:ascii="Times New Roman" w:hAnsi="Times New Roman" w:cs="Times New Roman"/>
                <w:color w:val="0D0D0D" w:themeColor="text1" w:themeTint="F2"/>
                <w:sz w:val="24"/>
                <w:szCs w:val="24"/>
                <w:lang w:val="lv-LV"/>
              </w:rPr>
              <w:t>s</w:t>
            </w:r>
            <w:r w:rsidRPr="00E73D94">
              <w:rPr>
                <w:rFonts w:ascii="Times New Roman" w:hAnsi="Times New Roman" w:cs="Times New Roman"/>
                <w:color w:val="0D0D0D" w:themeColor="text1" w:themeTint="F2"/>
                <w:sz w:val="24"/>
                <w:szCs w:val="24"/>
                <w:lang w:val="lv-LV"/>
              </w:rPr>
              <w:t xml:space="preserve"> ar visai sabiedrībai </w:t>
            </w:r>
            <w:r w:rsidR="00000791" w:rsidRPr="00E73D94">
              <w:rPr>
                <w:rFonts w:ascii="Times New Roman" w:hAnsi="Times New Roman" w:cs="Times New Roman"/>
                <w:color w:val="0D0D0D" w:themeColor="text1" w:themeTint="F2"/>
                <w:sz w:val="24"/>
                <w:szCs w:val="24"/>
                <w:lang w:val="lv-LV"/>
              </w:rPr>
              <w:t xml:space="preserve">būtisku </w:t>
            </w:r>
            <w:r w:rsidRPr="00E73D94">
              <w:rPr>
                <w:rFonts w:ascii="Times New Roman" w:hAnsi="Times New Roman" w:cs="Times New Roman"/>
                <w:color w:val="0D0D0D" w:themeColor="text1" w:themeTint="F2"/>
                <w:sz w:val="24"/>
                <w:szCs w:val="24"/>
                <w:lang w:val="lv-LV"/>
              </w:rPr>
              <w:t>konkurences lietu operatīvu, vispusīgu un sekmīgu izmeklēšanu un veiksmīga rezultāta sasniegšanu. Turklāt KP arī patstāvīgi nodrošina iestādes pārstāvību tiesās, kas, pieaugot lietu sarežģītībai, prasa arvien vairāk KP resursu piesaisti, samazinot resursu pieejamību citu funkciju izpildē.</w:t>
            </w:r>
          </w:p>
          <w:p w14:paraId="5C65CA2C" w14:textId="6A089AD2" w:rsidR="00DF3E6E" w:rsidRPr="00E73D94" w:rsidRDefault="00372978"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Mūsdienu </w:t>
            </w:r>
            <w:r w:rsidR="00943FD6" w:rsidRPr="00E73D94">
              <w:rPr>
                <w:rFonts w:ascii="Times New Roman" w:hAnsi="Times New Roman" w:cs="Times New Roman"/>
                <w:color w:val="0D0D0D" w:themeColor="text1" w:themeTint="F2"/>
                <w:sz w:val="24"/>
                <w:szCs w:val="24"/>
                <w:lang w:val="lv-LV"/>
              </w:rPr>
              <w:t xml:space="preserve">preču, pakalpojumu, </w:t>
            </w:r>
            <w:r w:rsidRPr="00E73D94">
              <w:rPr>
                <w:rFonts w:ascii="Times New Roman" w:hAnsi="Times New Roman" w:cs="Times New Roman"/>
                <w:color w:val="0D0D0D" w:themeColor="text1" w:themeTint="F2"/>
                <w:sz w:val="24"/>
                <w:szCs w:val="24"/>
                <w:lang w:val="lv-LV"/>
              </w:rPr>
              <w:t xml:space="preserve">tehnoloģiju attīstības laikmetā konkurences tiesību pārkāpumu, jo īpaši karteļu atklāšana, ievērojot pārkāpumu komplicētību, tehnikas un tehnoloģisko attīstību, kļūst arvien sarežģītāka. </w:t>
            </w:r>
            <w:r w:rsidR="0083359D" w:rsidRPr="00E73D94">
              <w:rPr>
                <w:rFonts w:ascii="Times New Roman" w:hAnsi="Times New Roman" w:cs="Times New Roman"/>
                <w:color w:val="0D0D0D" w:themeColor="text1" w:themeTint="F2"/>
                <w:sz w:val="24"/>
                <w:szCs w:val="24"/>
                <w:lang w:val="lv-LV"/>
              </w:rPr>
              <w:t xml:space="preserve">Lai sekotu līdzi un spētu efektīvi vērsties pret  jaunākajām </w:t>
            </w:r>
            <w:r w:rsidR="00943FD6" w:rsidRPr="00E73D94">
              <w:rPr>
                <w:rFonts w:ascii="Times New Roman" w:hAnsi="Times New Roman" w:cs="Times New Roman"/>
                <w:color w:val="0D0D0D" w:themeColor="text1" w:themeTint="F2"/>
                <w:sz w:val="24"/>
                <w:szCs w:val="24"/>
                <w:lang w:val="lv-LV"/>
              </w:rPr>
              <w:t xml:space="preserve">konkurences tiesību </w:t>
            </w:r>
            <w:r w:rsidR="0083359D" w:rsidRPr="00E73D94">
              <w:rPr>
                <w:rFonts w:ascii="Times New Roman" w:hAnsi="Times New Roman" w:cs="Times New Roman"/>
                <w:color w:val="0D0D0D" w:themeColor="text1" w:themeTint="F2"/>
                <w:sz w:val="24"/>
                <w:szCs w:val="24"/>
                <w:lang w:val="lv-LV"/>
              </w:rPr>
              <w:t xml:space="preserve">pārkāpumu izpausmes tendencēm, tostarp digitālajā vidē, KP darbiniekiem ir nepieciešams regulāri piedalīties pamatā ārvalstīs rīkotos profesionālās kvalifikācijas celšanas pasākumos un zināšanu un pieredzes apmaiņā ar vadošajiem konkurences tiesību ekspertiem, jo īpaši no citām ES dalībvalstu konkurences iestādēm. </w:t>
            </w:r>
            <w:r w:rsidR="0065176F" w:rsidRPr="00E73D9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w:t>
            </w:r>
            <w:r w:rsidR="00943FD6" w:rsidRPr="00E73D94">
              <w:rPr>
                <w:rFonts w:ascii="Times New Roman" w:hAnsi="Times New Roman" w:cs="Times New Roman"/>
                <w:color w:val="0D0D0D" w:themeColor="text1" w:themeTint="F2"/>
                <w:sz w:val="24"/>
                <w:szCs w:val="24"/>
                <w:lang w:val="lv-LV"/>
              </w:rPr>
              <w:t xml:space="preserve">specializētā IT personāla </w:t>
            </w:r>
            <w:r w:rsidR="007A1328" w:rsidRPr="00E73D94">
              <w:rPr>
                <w:rFonts w:ascii="Times New Roman" w:hAnsi="Times New Roman" w:cs="Times New Roman"/>
                <w:color w:val="0D0D0D" w:themeColor="text1" w:themeTint="F2"/>
                <w:sz w:val="24"/>
                <w:szCs w:val="24"/>
                <w:lang w:val="lv-LV"/>
              </w:rPr>
              <w:t xml:space="preserve">nepietiekamā </w:t>
            </w:r>
            <w:r w:rsidR="00943FD6" w:rsidRPr="00E73D94">
              <w:rPr>
                <w:rFonts w:ascii="Times New Roman" w:hAnsi="Times New Roman" w:cs="Times New Roman"/>
                <w:color w:val="0D0D0D" w:themeColor="text1" w:themeTint="F2"/>
                <w:sz w:val="24"/>
                <w:szCs w:val="24"/>
                <w:lang w:val="lv-LV"/>
              </w:rPr>
              <w:t>kapacitāte</w:t>
            </w:r>
            <w:r w:rsidR="00B55CEF" w:rsidRPr="00E73D94">
              <w:rPr>
                <w:rFonts w:ascii="Times New Roman" w:hAnsi="Times New Roman" w:cs="Times New Roman"/>
                <w:color w:val="0D0D0D" w:themeColor="text1" w:themeTint="F2"/>
                <w:sz w:val="24"/>
                <w:szCs w:val="24"/>
                <w:lang w:val="lv-LV"/>
              </w:rPr>
              <w:t xml:space="preserve"> (KP ir </w:t>
            </w:r>
            <w:r w:rsidR="007A1328" w:rsidRPr="00E73D94">
              <w:rPr>
                <w:rFonts w:ascii="Times New Roman" w:hAnsi="Times New Roman" w:cs="Times New Roman"/>
                <w:color w:val="0D0D0D" w:themeColor="text1" w:themeTint="F2"/>
                <w:sz w:val="24"/>
                <w:szCs w:val="24"/>
                <w:lang w:val="lv-LV"/>
              </w:rPr>
              <w:t xml:space="preserve">tikai </w:t>
            </w:r>
            <w:r w:rsidR="00B55CEF" w:rsidRPr="00E73D94">
              <w:rPr>
                <w:rFonts w:ascii="Times New Roman" w:hAnsi="Times New Roman" w:cs="Times New Roman"/>
                <w:color w:val="0D0D0D" w:themeColor="text1" w:themeTint="F2"/>
                <w:sz w:val="24"/>
                <w:szCs w:val="24"/>
                <w:lang w:val="lv-LV"/>
              </w:rPr>
              <w:t>1 IT izmeklētājs)</w:t>
            </w:r>
            <w:r w:rsidR="00943FD6" w:rsidRPr="00E73D94">
              <w:rPr>
                <w:rFonts w:ascii="Times New Roman" w:hAnsi="Times New Roman" w:cs="Times New Roman"/>
                <w:color w:val="0D0D0D" w:themeColor="text1" w:themeTint="F2"/>
                <w:sz w:val="24"/>
                <w:szCs w:val="24"/>
                <w:lang w:val="lv-LV"/>
              </w:rPr>
              <w:t xml:space="preserve">, kā arī </w:t>
            </w:r>
            <w:r w:rsidRPr="00E73D94">
              <w:rPr>
                <w:rFonts w:ascii="Times New Roman" w:hAnsi="Times New Roman" w:cs="Times New Roman"/>
                <w:color w:val="0D0D0D" w:themeColor="text1" w:themeTint="F2"/>
                <w:sz w:val="24"/>
                <w:szCs w:val="24"/>
                <w:lang w:val="lv-LV"/>
              </w:rPr>
              <w:t>tehniskais aprīkojums digitālo pierādījumu iegūšanai un apstrādei ir nepietiekams</w:t>
            </w:r>
            <w:r w:rsidR="00943FD6" w:rsidRPr="00E73D94">
              <w:rPr>
                <w:rFonts w:ascii="Times New Roman" w:hAnsi="Times New Roman" w:cs="Times New Roman"/>
                <w:color w:val="0D0D0D" w:themeColor="text1" w:themeTint="F2"/>
                <w:sz w:val="24"/>
                <w:szCs w:val="24"/>
                <w:lang w:val="lv-LV"/>
              </w:rPr>
              <w:t>, turklāt</w:t>
            </w:r>
            <w:r w:rsidRPr="00E73D94">
              <w:rPr>
                <w:rFonts w:ascii="Times New Roman" w:hAnsi="Times New Roman" w:cs="Times New Roman"/>
                <w:color w:val="0D0D0D" w:themeColor="text1" w:themeTint="F2"/>
                <w:sz w:val="24"/>
                <w:szCs w:val="24"/>
                <w:lang w:val="lv-LV"/>
              </w:rPr>
              <w:t xml:space="preserve"> atpaliek no tiem risinājumiem, kas ir tirgus dalībnieku rīcībā, slēpjot pierādījumus. </w:t>
            </w:r>
            <w:r w:rsidR="007E5C50" w:rsidRPr="00E73D94">
              <w:rPr>
                <w:rFonts w:ascii="Times New Roman" w:hAnsi="Times New Roman" w:cs="Times New Roman"/>
                <w:color w:val="0D0D0D" w:themeColor="text1" w:themeTint="F2"/>
                <w:sz w:val="24"/>
                <w:szCs w:val="24"/>
                <w:lang w:val="lv-LV"/>
              </w:rPr>
              <w:t>Direktīva paredz</w:t>
            </w:r>
            <w:r w:rsidR="00B55CEF" w:rsidRPr="00E73D94">
              <w:rPr>
                <w:rFonts w:ascii="Times New Roman" w:hAnsi="Times New Roman" w:cs="Times New Roman"/>
                <w:color w:val="0D0D0D" w:themeColor="text1" w:themeTint="F2"/>
                <w:sz w:val="24"/>
                <w:szCs w:val="24"/>
                <w:lang w:val="lv-LV"/>
              </w:rPr>
              <w:t xml:space="preserve"> arī</w:t>
            </w:r>
            <w:r w:rsidR="007E5C50" w:rsidRPr="0083366E">
              <w:rPr>
                <w:rFonts w:ascii="Times New Roman" w:hAnsi="Times New Roman" w:cs="Times New Roman"/>
                <w:color w:val="0D0D0D" w:themeColor="text1" w:themeTint="F2"/>
                <w:sz w:val="24"/>
                <w:szCs w:val="24"/>
                <w:lang w:val="lv-LV"/>
              </w:rPr>
              <w:t xml:space="preserve"> pienākumu konkurences iestādi nodrošināt ar </w:t>
            </w:r>
            <w:r w:rsidR="00943FD6" w:rsidRPr="00E73D94">
              <w:rPr>
                <w:rFonts w:ascii="Times New Roman" w:hAnsi="Times New Roman" w:cs="Times New Roman"/>
                <w:color w:val="0D0D0D" w:themeColor="text1" w:themeTint="F2"/>
                <w:sz w:val="24"/>
                <w:szCs w:val="24"/>
                <w:lang w:val="lv-LV"/>
              </w:rPr>
              <w:t>kvalificēt</w:t>
            </w:r>
            <w:r w:rsidR="00B55CEF" w:rsidRPr="00E73D94">
              <w:rPr>
                <w:rFonts w:ascii="Times New Roman" w:hAnsi="Times New Roman" w:cs="Times New Roman"/>
                <w:color w:val="0D0D0D" w:themeColor="text1" w:themeTint="F2"/>
                <w:sz w:val="24"/>
                <w:szCs w:val="24"/>
                <w:lang w:val="lv-LV"/>
              </w:rPr>
              <w:t>u personālu ar speciālajām zināšanām</w:t>
            </w:r>
            <w:r w:rsidR="00943FD6" w:rsidRPr="00E73D94">
              <w:rPr>
                <w:rFonts w:ascii="Times New Roman" w:hAnsi="Times New Roman" w:cs="Times New Roman"/>
                <w:color w:val="0D0D0D" w:themeColor="text1" w:themeTint="F2"/>
                <w:sz w:val="24"/>
                <w:szCs w:val="24"/>
                <w:lang w:val="lv-LV"/>
              </w:rPr>
              <w:t xml:space="preserve">, tostarp </w:t>
            </w:r>
            <w:proofErr w:type="spellStart"/>
            <w:r w:rsidR="00943FD6" w:rsidRPr="00E73D94">
              <w:rPr>
                <w:rFonts w:ascii="Times New Roman" w:hAnsi="Times New Roman" w:cs="Times New Roman"/>
                <w:color w:val="0D0D0D" w:themeColor="text1" w:themeTint="F2"/>
                <w:sz w:val="24"/>
                <w:szCs w:val="24"/>
                <w:lang w:val="lv-LV"/>
              </w:rPr>
              <w:t>Forensic</w:t>
            </w:r>
            <w:proofErr w:type="spellEnd"/>
            <w:r w:rsidR="00943FD6" w:rsidRPr="00E73D94">
              <w:rPr>
                <w:rFonts w:ascii="Times New Roman" w:hAnsi="Times New Roman" w:cs="Times New Roman"/>
                <w:color w:val="0D0D0D" w:themeColor="text1" w:themeTint="F2"/>
                <w:sz w:val="24"/>
                <w:szCs w:val="24"/>
                <w:lang w:val="lv-LV"/>
              </w:rPr>
              <w:t xml:space="preserve"> IT jomā, </w:t>
            </w:r>
            <w:r w:rsidR="007E5C50" w:rsidRPr="00E73D94">
              <w:rPr>
                <w:rFonts w:ascii="Times New Roman" w:hAnsi="Times New Roman" w:cs="Times New Roman"/>
                <w:color w:val="0D0D0D" w:themeColor="text1" w:themeTint="F2"/>
                <w:sz w:val="24"/>
                <w:szCs w:val="24"/>
                <w:lang w:val="lv-LV"/>
              </w:rPr>
              <w:t xml:space="preserve">atbilstošām tehniskām iekārtām un </w:t>
            </w:r>
            <w:r w:rsidR="00542FC4" w:rsidRPr="00E73D94">
              <w:rPr>
                <w:rFonts w:ascii="Times New Roman" w:hAnsi="Times New Roman" w:cs="Times New Roman"/>
                <w:color w:val="0D0D0D" w:themeColor="text1" w:themeTint="F2"/>
                <w:sz w:val="24"/>
                <w:szCs w:val="24"/>
                <w:lang w:val="lv-LV"/>
              </w:rPr>
              <w:t xml:space="preserve">izmeklēšanas </w:t>
            </w:r>
            <w:r w:rsidR="007E5C50" w:rsidRPr="00E73D94">
              <w:rPr>
                <w:rFonts w:ascii="Times New Roman" w:hAnsi="Times New Roman" w:cs="Times New Roman"/>
                <w:color w:val="0D0D0D" w:themeColor="text1" w:themeTint="F2"/>
                <w:sz w:val="24"/>
                <w:szCs w:val="24"/>
                <w:lang w:val="lv-LV"/>
              </w:rPr>
              <w:t xml:space="preserve">programmām efektīvu procesuālo darbību īstenošanai </w:t>
            </w:r>
            <w:r w:rsidR="00542FC4" w:rsidRPr="00E73D94">
              <w:rPr>
                <w:rFonts w:ascii="Times New Roman" w:hAnsi="Times New Roman" w:cs="Times New Roman"/>
                <w:color w:val="0D0D0D" w:themeColor="text1" w:themeTint="F2"/>
                <w:sz w:val="24"/>
                <w:szCs w:val="24"/>
                <w:lang w:val="lv-LV"/>
              </w:rPr>
              <w:t xml:space="preserve">kā pie izmeklējamām personām, tā </w:t>
            </w:r>
            <w:r w:rsidR="007E5C50" w:rsidRPr="00E73D94">
              <w:rPr>
                <w:rFonts w:ascii="Times New Roman" w:hAnsi="Times New Roman" w:cs="Times New Roman"/>
                <w:color w:val="0D0D0D" w:themeColor="text1" w:themeTint="F2"/>
                <w:sz w:val="24"/>
                <w:szCs w:val="24"/>
                <w:lang w:val="lv-LV"/>
              </w:rPr>
              <w:t xml:space="preserve">konkurences iestādes vai citās telpās. </w:t>
            </w:r>
            <w:r w:rsidRPr="00E73D94">
              <w:rPr>
                <w:rFonts w:ascii="Times New Roman" w:hAnsi="Times New Roman" w:cs="Times New Roman"/>
                <w:color w:val="0D0D0D" w:themeColor="text1" w:themeTint="F2"/>
                <w:sz w:val="24"/>
                <w:szCs w:val="24"/>
                <w:lang w:val="lv-LV"/>
              </w:rPr>
              <w:t>Līdz ar to, lai nodrošinātu efektīvu konkurences tiesību pārkāpumu</w:t>
            </w:r>
            <w:r w:rsidR="0083359D" w:rsidRPr="00E73D94">
              <w:rPr>
                <w:rFonts w:ascii="Times New Roman" w:hAnsi="Times New Roman" w:cs="Times New Roman"/>
                <w:color w:val="0D0D0D" w:themeColor="text1" w:themeTint="F2"/>
                <w:sz w:val="24"/>
                <w:szCs w:val="24"/>
                <w:lang w:val="lv-LV"/>
              </w:rPr>
              <w:t xml:space="preserve"> identificēšanu,</w:t>
            </w:r>
            <w:r w:rsidRPr="00E73D94">
              <w:rPr>
                <w:rFonts w:ascii="Times New Roman" w:hAnsi="Times New Roman" w:cs="Times New Roman"/>
                <w:color w:val="0D0D0D" w:themeColor="text1" w:themeTint="F2"/>
                <w:sz w:val="24"/>
                <w:szCs w:val="24"/>
                <w:lang w:val="lv-LV"/>
              </w:rPr>
              <w:t xml:space="preserve"> izmeklēšanu</w:t>
            </w:r>
            <w:r w:rsidR="0083359D" w:rsidRPr="00E73D94">
              <w:rPr>
                <w:rFonts w:ascii="Times New Roman" w:hAnsi="Times New Roman" w:cs="Times New Roman"/>
                <w:color w:val="0D0D0D" w:themeColor="text1" w:themeTint="F2"/>
                <w:sz w:val="24"/>
                <w:szCs w:val="24"/>
                <w:lang w:val="lv-LV"/>
              </w:rPr>
              <w:t xml:space="preserve"> un atklāšanu</w:t>
            </w:r>
            <w:r w:rsidRPr="00E73D94">
              <w:rPr>
                <w:rFonts w:ascii="Times New Roman" w:hAnsi="Times New Roman" w:cs="Times New Roman"/>
                <w:color w:val="0D0D0D" w:themeColor="text1" w:themeTint="F2"/>
                <w:sz w:val="24"/>
                <w:szCs w:val="24"/>
                <w:lang w:val="lv-LV"/>
              </w:rPr>
              <w:t xml:space="preserve">, ir nepieciešams </w:t>
            </w:r>
            <w:r w:rsidR="00647C61" w:rsidRPr="00E73D94">
              <w:rPr>
                <w:rFonts w:ascii="Times New Roman" w:hAnsi="Times New Roman" w:cs="Times New Roman"/>
                <w:color w:val="0D0D0D" w:themeColor="text1" w:themeTint="F2"/>
                <w:sz w:val="24"/>
                <w:szCs w:val="24"/>
                <w:lang w:val="lv-LV"/>
              </w:rPr>
              <w:t xml:space="preserve">atbilstošs </w:t>
            </w:r>
            <w:r w:rsidRPr="00E73D94">
              <w:rPr>
                <w:rFonts w:ascii="Times New Roman" w:hAnsi="Times New Roman" w:cs="Times New Roman"/>
                <w:color w:val="0D0D0D" w:themeColor="text1" w:themeTint="F2"/>
                <w:sz w:val="24"/>
                <w:szCs w:val="24"/>
                <w:lang w:val="lv-LV"/>
              </w:rPr>
              <w:t xml:space="preserve">finansējums </w:t>
            </w:r>
            <w:r w:rsidR="00647C61" w:rsidRPr="00E73D94">
              <w:rPr>
                <w:rFonts w:ascii="Times New Roman" w:hAnsi="Times New Roman" w:cs="Times New Roman"/>
                <w:color w:val="0D0D0D" w:themeColor="text1" w:themeTint="F2"/>
                <w:sz w:val="24"/>
                <w:szCs w:val="24"/>
                <w:lang w:val="lv-LV"/>
              </w:rPr>
              <w:t>darbinieku profesionālās kvalifikācijas celšanai</w:t>
            </w:r>
            <w:r w:rsidR="00B55CEF" w:rsidRPr="00E73D94">
              <w:rPr>
                <w:rFonts w:ascii="Times New Roman" w:hAnsi="Times New Roman" w:cs="Times New Roman"/>
                <w:color w:val="0D0D0D" w:themeColor="text1" w:themeTint="F2"/>
                <w:sz w:val="24"/>
                <w:szCs w:val="24"/>
                <w:lang w:val="lv-LV"/>
              </w:rPr>
              <w:t xml:space="preserve"> (tostarp paplašinot IT izmeklētāj</w:t>
            </w:r>
            <w:r w:rsidR="00542FC4" w:rsidRPr="00E73D94">
              <w:rPr>
                <w:rFonts w:ascii="Times New Roman" w:hAnsi="Times New Roman" w:cs="Times New Roman"/>
                <w:color w:val="0D0D0D" w:themeColor="text1" w:themeTint="F2"/>
                <w:sz w:val="24"/>
                <w:szCs w:val="24"/>
                <w:lang w:val="lv-LV"/>
              </w:rPr>
              <w:t>u</w:t>
            </w:r>
            <w:r w:rsidR="00E7242F" w:rsidRPr="00E73D94">
              <w:rPr>
                <w:rFonts w:ascii="Times New Roman" w:hAnsi="Times New Roman" w:cs="Times New Roman"/>
                <w:color w:val="0D0D0D" w:themeColor="text1" w:themeTint="F2"/>
                <w:sz w:val="24"/>
                <w:szCs w:val="24"/>
                <w:lang w:val="lv-LV"/>
              </w:rPr>
              <w:t xml:space="preserve"> prasmes un zināšanas</w:t>
            </w:r>
            <w:r w:rsidR="00B55CEF" w:rsidRPr="00E73D94">
              <w:rPr>
                <w:rFonts w:ascii="Times New Roman" w:hAnsi="Times New Roman" w:cs="Times New Roman"/>
                <w:color w:val="0D0D0D" w:themeColor="text1" w:themeTint="F2"/>
                <w:sz w:val="24"/>
                <w:szCs w:val="24"/>
                <w:lang w:val="lv-LV"/>
              </w:rPr>
              <w:t>), vienlaikus piesaistot papildu speciālistu</w:t>
            </w:r>
            <w:r w:rsidR="00E7242F" w:rsidRPr="00E73D94">
              <w:rPr>
                <w:rFonts w:ascii="Times New Roman" w:hAnsi="Times New Roman" w:cs="Times New Roman"/>
                <w:color w:val="0D0D0D" w:themeColor="text1" w:themeTint="F2"/>
                <w:sz w:val="24"/>
                <w:szCs w:val="24"/>
                <w:lang w:val="lv-LV"/>
              </w:rPr>
              <w:t xml:space="preserve"> </w:t>
            </w:r>
            <w:proofErr w:type="spellStart"/>
            <w:r w:rsidR="00E7242F" w:rsidRPr="00E73D94">
              <w:rPr>
                <w:rFonts w:ascii="Times New Roman" w:hAnsi="Times New Roman" w:cs="Times New Roman"/>
                <w:color w:val="0D0D0D" w:themeColor="text1" w:themeTint="F2"/>
                <w:sz w:val="24"/>
                <w:szCs w:val="24"/>
                <w:lang w:val="lv-LV"/>
              </w:rPr>
              <w:t>Forensic</w:t>
            </w:r>
            <w:proofErr w:type="spellEnd"/>
            <w:r w:rsidR="00E7242F" w:rsidRPr="00E73D94">
              <w:rPr>
                <w:rFonts w:ascii="Times New Roman" w:hAnsi="Times New Roman" w:cs="Times New Roman"/>
                <w:color w:val="0D0D0D" w:themeColor="text1" w:themeTint="F2"/>
                <w:sz w:val="24"/>
                <w:szCs w:val="24"/>
                <w:lang w:val="lv-LV"/>
              </w:rPr>
              <w:t xml:space="preserve"> IT jomā,</w:t>
            </w:r>
            <w:r w:rsidR="00647C61" w:rsidRPr="00E73D94">
              <w:rPr>
                <w:rFonts w:ascii="Times New Roman" w:hAnsi="Times New Roman" w:cs="Times New Roman"/>
                <w:color w:val="0D0D0D" w:themeColor="text1" w:themeTint="F2"/>
                <w:sz w:val="24"/>
                <w:szCs w:val="24"/>
                <w:lang w:val="lv-LV"/>
              </w:rPr>
              <w:t xml:space="preserve"> </w:t>
            </w:r>
            <w:r w:rsidRPr="00E73D94">
              <w:rPr>
                <w:rFonts w:ascii="Times New Roman" w:hAnsi="Times New Roman" w:cs="Times New Roman"/>
                <w:color w:val="0D0D0D" w:themeColor="text1" w:themeTint="F2"/>
                <w:sz w:val="24"/>
                <w:szCs w:val="24"/>
                <w:lang w:val="lv-LV"/>
              </w:rPr>
              <w:t>mūsdienu prasībām atbilstošas digitālo pierādījumu izpētes un apstrādes laboratorijas izveidei</w:t>
            </w:r>
            <w:r w:rsidR="00E665E9" w:rsidRPr="00E73D94">
              <w:rPr>
                <w:rFonts w:ascii="Times New Roman" w:hAnsi="Times New Roman" w:cs="Times New Roman"/>
                <w:color w:val="0D0D0D" w:themeColor="text1" w:themeTint="F2"/>
                <w:sz w:val="24"/>
                <w:szCs w:val="24"/>
                <w:lang w:val="lv-LV"/>
              </w:rPr>
              <w:t xml:space="preserve"> un uzturēšanai</w:t>
            </w:r>
            <w:r w:rsidRPr="00E73D94">
              <w:rPr>
                <w:rFonts w:ascii="Times New Roman" w:hAnsi="Times New Roman" w:cs="Times New Roman"/>
                <w:color w:val="0D0D0D" w:themeColor="text1" w:themeTint="F2"/>
                <w:sz w:val="24"/>
                <w:szCs w:val="24"/>
                <w:lang w:val="lv-LV"/>
              </w:rPr>
              <w:t>, kas ietver ātrgaitas datu nesējus, speciālās digitālo pierādījumu iegūšanas un apstrādes programmatūras u.c. tehniskās ierīces</w:t>
            </w:r>
            <w:r w:rsidR="007E5C50" w:rsidRPr="00E73D94">
              <w:rPr>
                <w:rFonts w:ascii="Times New Roman" w:hAnsi="Times New Roman" w:cs="Times New Roman"/>
                <w:color w:val="0D0D0D" w:themeColor="text1" w:themeTint="F2"/>
                <w:sz w:val="24"/>
                <w:szCs w:val="24"/>
                <w:lang w:val="lv-LV"/>
              </w:rPr>
              <w:t>,</w:t>
            </w:r>
            <w:r w:rsidR="00943FD6" w:rsidRPr="00E73D94">
              <w:rPr>
                <w:rFonts w:ascii="Times New Roman" w:hAnsi="Times New Roman" w:cs="Times New Roman"/>
                <w:color w:val="0D0D0D" w:themeColor="text1" w:themeTint="F2"/>
                <w:sz w:val="24"/>
                <w:szCs w:val="24"/>
                <w:lang w:val="lv-LV"/>
              </w:rPr>
              <w:t xml:space="preserve"> to regulāru atjaunošanu,</w:t>
            </w:r>
            <w:r w:rsidR="007E5C50" w:rsidRPr="00E73D94">
              <w:rPr>
                <w:rFonts w:ascii="Times New Roman" w:hAnsi="Times New Roman" w:cs="Times New Roman"/>
                <w:color w:val="0D0D0D" w:themeColor="text1" w:themeTint="F2"/>
                <w:sz w:val="24"/>
                <w:szCs w:val="24"/>
                <w:lang w:val="lv-LV"/>
              </w:rPr>
              <w:t xml:space="preserve"> kā arī atbilstoši aprīkotas telpas procesuālo darbību efektīvai nodrošināšanai</w:t>
            </w:r>
            <w:r w:rsidRPr="00E73D94">
              <w:rPr>
                <w:rFonts w:ascii="Times New Roman" w:hAnsi="Times New Roman" w:cs="Times New Roman"/>
                <w:color w:val="0D0D0D" w:themeColor="text1" w:themeTint="F2"/>
                <w:sz w:val="24"/>
                <w:szCs w:val="24"/>
                <w:lang w:val="lv-LV"/>
              </w:rPr>
              <w:t xml:space="preserve">. </w:t>
            </w:r>
            <w:r w:rsidR="00DF3E6E" w:rsidRPr="00E73D94">
              <w:rPr>
                <w:rFonts w:ascii="Times New Roman" w:hAnsi="Times New Roman" w:cs="Times New Roman"/>
                <w:color w:val="0D0D0D" w:themeColor="text1" w:themeTint="F2"/>
                <w:sz w:val="24"/>
                <w:szCs w:val="24"/>
                <w:lang w:val="lv-LV"/>
              </w:rPr>
              <w:t xml:space="preserve">Uz vajadzību risināt KP nepietiekamo IT kapacitāti, tajā skaitā attiecībā uz IT personāla patstāvīgo apmācību darbam ar speciālajām programmatūrām nepieciešamību un papildu darbinieka piesaisti, </w:t>
            </w:r>
            <w:r w:rsidR="00DF3E6E" w:rsidRPr="00E73D94">
              <w:rPr>
                <w:rFonts w:ascii="Times New Roman" w:hAnsi="Times New Roman" w:cs="Times New Roman"/>
                <w:color w:val="0D0D0D" w:themeColor="text1" w:themeTint="F2"/>
                <w:sz w:val="24"/>
                <w:szCs w:val="24"/>
                <w:lang w:val="lv-LV"/>
              </w:rPr>
              <w:lastRenderedPageBreak/>
              <w:t>tika norādīts arī Informatīvajā ziņojum</w:t>
            </w:r>
            <w:r w:rsidR="00A225FC" w:rsidRPr="00E73D94">
              <w:rPr>
                <w:rFonts w:ascii="Times New Roman" w:hAnsi="Times New Roman" w:cs="Times New Roman"/>
                <w:color w:val="0D0D0D" w:themeColor="text1" w:themeTint="F2"/>
                <w:sz w:val="24"/>
                <w:szCs w:val="24"/>
                <w:lang w:val="lv-LV"/>
              </w:rPr>
              <w:t>ā</w:t>
            </w:r>
            <w:r w:rsidR="00DF3E6E" w:rsidRPr="00E73D94">
              <w:rPr>
                <w:rFonts w:ascii="Times New Roman" w:hAnsi="Times New Roman" w:cs="Times New Roman"/>
                <w:color w:val="0D0D0D" w:themeColor="text1" w:themeTint="F2"/>
                <w:sz w:val="24"/>
                <w:szCs w:val="24"/>
                <w:lang w:val="lv-LV"/>
              </w:rPr>
              <w:t xml:space="preserve"> “Par priekšlikumiem publisko iepirkumu sistēmas uzlabošanai”</w:t>
            </w:r>
            <w:r w:rsidR="00DF3E6E" w:rsidRPr="00E73D94">
              <w:rPr>
                <w:rStyle w:val="FootnoteReference"/>
                <w:rFonts w:ascii="Times New Roman" w:hAnsi="Times New Roman" w:cs="Times New Roman"/>
                <w:color w:val="0D0D0D" w:themeColor="text1" w:themeTint="F2"/>
                <w:sz w:val="24"/>
                <w:szCs w:val="24"/>
                <w:lang w:val="lv-LV"/>
              </w:rPr>
              <w:footnoteReference w:id="3"/>
            </w:r>
            <w:r w:rsidR="00DF3E6E" w:rsidRPr="00E73D94">
              <w:rPr>
                <w:rFonts w:ascii="Times New Roman" w:hAnsi="Times New Roman" w:cs="Times New Roman"/>
                <w:color w:val="0D0D0D" w:themeColor="text1" w:themeTint="F2"/>
                <w:sz w:val="24"/>
                <w:szCs w:val="24"/>
                <w:lang w:val="lv-LV"/>
              </w:rPr>
              <w:t>.</w:t>
            </w:r>
          </w:p>
          <w:p w14:paraId="3134514B" w14:textId="1280347A" w:rsidR="00F62B5E" w:rsidRPr="00E73D94" w:rsidRDefault="00F62B5E"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Komplicētu </w:t>
            </w:r>
            <w:r w:rsidR="00647C61" w:rsidRPr="00E73D94">
              <w:rPr>
                <w:rFonts w:ascii="Times New Roman" w:hAnsi="Times New Roman" w:cs="Times New Roman"/>
                <w:color w:val="0D0D0D" w:themeColor="text1" w:themeTint="F2"/>
                <w:sz w:val="24"/>
                <w:szCs w:val="24"/>
                <w:lang w:val="lv-LV"/>
              </w:rPr>
              <w:t xml:space="preserve">konkurences </w:t>
            </w:r>
            <w:r w:rsidRPr="00E73D94">
              <w:rPr>
                <w:rFonts w:ascii="Times New Roman" w:hAnsi="Times New Roman" w:cs="Times New Roman"/>
                <w:color w:val="0D0D0D" w:themeColor="text1" w:themeTint="F2"/>
                <w:sz w:val="24"/>
                <w:szCs w:val="24"/>
                <w:lang w:val="lv-LV"/>
              </w:rPr>
              <w:t>lietu, kurās nepieciešamas specifiskas konkrētas nozares, pakalpojumu, tehniskas zināšanas</w:t>
            </w:r>
            <w:r w:rsidR="00B9684E" w:rsidRPr="00E73D94">
              <w:rPr>
                <w:rFonts w:ascii="Times New Roman" w:hAnsi="Times New Roman" w:cs="Times New Roman"/>
                <w:color w:val="0D0D0D" w:themeColor="text1" w:themeTint="F2"/>
                <w:sz w:val="24"/>
                <w:szCs w:val="24"/>
                <w:lang w:val="lv-LV"/>
              </w:rPr>
              <w:t>,</w:t>
            </w:r>
            <w:r w:rsidRPr="00E73D94">
              <w:rPr>
                <w:rFonts w:ascii="Times New Roman" w:hAnsi="Times New Roman" w:cs="Times New Roman"/>
                <w:color w:val="0D0D0D" w:themeColor="text1" w:themeTint="F2"/>
                <w:sz w:val="24"/>
                <w:szCs w:val="24"/>
                <w:lang w:val="lv-LV"/>
              </w:rPr>
              <w:t xml:space="preserve"> </w:t>
            </w:r>
            <w:r w:rsidR="00B9684E" w:rsidRPr="00E73D94">
              <w:rPr>
                <w:rFonts w:ascii="Times New Roman" w:hAnsi="Times New Roman" w:cs="Times New Roman"/>
                <w:color w:val="0D0D0D" w:themeColor="text1" w:themeTint="F2"/>
                <w:sz w:val="24"/>
                <w:szCs w:val="24"/>
                <w:lang w:val="lv-LV"/>
              </w:rPr>
              <w:t>efektīvai izmeklēšanai ir nepieciešams piesaistīt ārējos ekspertus atzinuma saņemšanai. Jo īpaši apvienošanās un dominējošā stāvokļa lietās, lai novērtētu klientu un patērētāju uzvedību un reakciju un lēmumu varētu pieņemt uz vispusīgi novērtētiem faktiem, nepieciešams piesaistīt ārējo pakalpojumu sniedzējus atbilstošu pētījumu veikšanai.</w:t>
            </w:r>
          </w:p>
          <w:p w14:paraId="7E4AFECB" w14:textId="5D50204D" w:rsidR="00B55CEF" w:rsidRPr="00E73D94" w:rsidRDefault="0065176F" w:rsidP="009614EB">
            <w:pPr>
              <w:spacing w:after="120" w:line="240" w:lineRule="auto"/>
              <w:jc w:val="both"/>
              <w:rPr>
                <w:rFonts w:ascii="Times New Roman" w:hAnsi="Times New Roman" w:cs="Times New Roman"/>
                <w:color w:val="0D0D0D" w:themeColor="text1" w:themeTint="F2"/>
                <w:sz w:val="24"/>
                <w:szCs w:val="24"/>
                <w:highlight w:val="yellow"/>
                <w:lang w:val="lv-LV"/>
              </w:rPr>
            </w:pPr>
            <w:r w:rsidRPr="00E73D94">
              <w:rPr>
                <w:rFonts w:ascii="Times New Roman" w:hAnsi="Times New Roman" w:cs="Times New Roman"/>
                <w:color w:val="0D0D0D" w:themeColor="text1" w:themeTint="F2"/>
                <w:sz w:val="24"/>
                <w:szCs w:val="24"/>
                <w:lang w:val="lv-LV"/>
              </w:rPr>
              <w:t>KP</w:t>
            </w:r>
            <w:r w:rsidR="00372978" w:rsidRPr="00E73D94">
              <w:rPr>
                <w:rFonts w:ascii="Times New Roman" w:hAnsi="Times New Roman" w:cs="Times New Roman"/>
                <w:color w:val="0D0D0D" w:themeColor="text1" w:themeTint="F2"/>
                <w:sz w:val="24"/>
                <w:szCs w:val="24"/>
                <w:lang w:val="lv-LV"/>
              </w:rPr>
              <w:t xml:space="preserve"> rīcībā nav nepieciešamie finanšu līdzekļi</w:t>
            </w:r>
            <w:r w:rsidR="00713DAC" w:rsidRPr="00E73D94">
              <w:rPr>
                <w:rFonts w:ascii="Times New Roman" w:hAnsi="Times New Roman" w:cs="Times New Roman"/>
                <w:color w:val="0D0D0D" w:themeColor="text1" w:themeTint="F2"/>
                <w:sz w:val="24"/>
                <w:szCs w:val="24"/>
                <w:lang w:val="lv-LV"/>
              </w:rPr>
              <w:t xml:space="preserve">, lai piesaistītu un  noturētu kvalificētu personālu ar nepieciešamajām iemaņām, </w:t>
            </w:r>
            <w:r w:rsidR="00647C61" w:rsidRPr="00E73D94">
              <w:rPr>
                <w:rFonts w:ascii="Times New Roman" w:hAnsi="Times New Roman" w:cs="Times New Roman"/>
                <w:color w:val="0D0D0D" w:themeColor="text1" w:themeTint="F2"/>
                <w:sz w:val="24"/>
                <w:szCs w:val="24"/>
                <w:lang w:val="lv-LV"/>
              </w:rPr>
              <w:t>darbinieku</w:t>
            </w:r>
            <w:r w:rsidR="008C00AE" w:rsidRPr="00E73D94">
              <w:rPr>
                <w:rFonts w:ascii="Times New Roman" w:hAnsi="Times New Roman" w:cs="Times New Roman"/>
                <w:color w:val="0D0D0D" w:themeColor="text1" w:themeTint="F2"/>
                <w:sz w:val="24"/>
                <w:szCs w:val="24"/>
                <w:lang w:val="lv-LV"/>
              </w:rPr>
              <w:t>, tostarp IT sp</w:t>
            </w:r>
            <w:r w:rsidR="00E226B0" w:rsidRPr="00E73D94">
              <w:rPr>
                <w:rFonts w:ascii="Times New Roman" w:hAnsi="Times New Roman" w:cs="Times New Roman"/>
                <w:color w:val="0D0D0D" w:themeColor="text1" w:themeTint="F2"/>
                <w:sz w:val="24"/>
                <w:szCs w:val="24"/>
                <w:lang w:val="lv-LV"/>
              </w:rPr>
              <w:t>e</w:t>
            </w:r>
            <w:r w:rsidR="008C00AE" w:rsidRPr="00E73D94">
              <w:rPr>
                <w:rFonts w:ascii="Times New Roman" w:hAnsi="Times New Roman" w:cs="Times New Roman"/>
                <w:color w:val="0D0D0D" w:themeColor="text1" w:themeTint="F2"/>
                <w:sz w:val="24"/>
                <w:szCs w:val="24"/>
                <w:lang w:val="lv-LV"/>
              </w:rPr>
              <w:t>ciālistu,</w:t>
            </w:r>
            <w:r w:rsidR="00647C61" w:rsidRPr="00E73D94">
              <w:rPr>
                <w:rFonts w:ascii="Times New Roman" w:hAnsi="Times New Roman" w:cs="Times New Roman"/>
                <w:color w:val="0D0D0D" w:themeColor="text1" w:themeTint="F2"/>
                <w:sz w:val="24"/>
                <w:szCs w:val="24"/>
                <w:lang w:val="lv-LV"/>
              </w:rPr>
              <w:t xml:space="preserve"> dalībai profesionālās kvalifikācijas</w:t>
            </w:r>
            <w:r w:rsidR="007E5C50" w:rsidRPr="00E73D94">
              <w:rPr>
                <w:rFonts w:ascii="Times New Roman" w:hAnsi="Times New Roman" w:cs="Times New Roman"/>
                <w:color w:val="0D0D0D" w:themeColor="text1" w:themeTint="F2"/>
                <w:sz w:val="24"/>
                <w:szCs w:val="24"/>
                <w:lang w:val="lv-LV"/>
              </w:rPr>
              <w:t xml:space="preserve"> </w:t>
            </w:r>
            <w:r w:rsidR="00647C61" w:rsidRPr="00E73D94">
              <w:rPr>
                <w:rFonts w:ascii="Times New Roman" w:hAnsi="Times New Roman" w:cs="Times New Roman"/>
                <w:color w:val="0D0D0D" w:themeColor="text1" w:themeTint="F2"/>
                <w:sz w:val="24"/>
                <w:szCs w:val="24"/>
                <w:lang w:val="lv-LV"/>
              </w:rPr>
              <w:t xml:space="preserve">celšanas pasākumos, </w:t>
            </w:r>
            <w:r w:rsidR="007E5C50" w:rsidRPr="00E73D94">
              <w:rPr>
                <w:rFonts w:ascii="Times New Roman" w:hAnsi="Times New Roman" w:cs="Times New Roman"/>
                <w:color w:val="0D0D0D" w:themeColor="text1" w:themeTint="F2"/>
                <w:sz w:val="24"/>
                <w:szCs w:val="24"/>
                <w:lang w:val="lv-LV"/>
              </w:rPr>
              <w:t xml:space="preserve">pētījumu veikšanai, </w:t>
            </w:r>
            <w:r w:rsidR="00B9684E" w:rsidRPr="00E73D94">
              <w:rPr>
                <w:rFonts w:ascii="Times New Roman" w:hAnsi="Times New Roman" w:cs="Times New Roman"/>
                <w:color w:val="0D0D0D" w:themeColor="text1" w:themeTint="F2"/>
                <w:sz w:val="24"/>
                <w:szCs w:val="24"/>
                <w:lang w:val="lv-LV"/>
              </w:rPr>
              <w:t>ārējo ekspert</w:t>
            </w:r>
            <w:r w:rsidR="007E5C50" w:rsidRPr="00E73D94">
              <w:rPr>
                <w:rFonts w:ascii="Times New Roman" w:hAnsi="Times New Roman" w:cs="Times New Roman"/>
                <w:color w:val="0D0D0D" w:themeColor="text1" w:themeTint="F2"/>
                <w:sz w:val="24"/>
                <w:szCs w:val="24"/>
                <w:lang w:val="lv-LV"/>
              </w:rPr>
              <w:t xml:space="preserve">u piesaistei un </w:t>
            </w:r>
            <w:r w:rsidR="00647C61" w:rsidRPr="00E73D94">
              <w:rPr>
                <w:rFonts w:ascii="Times New Roman" w:hAnsi="Times New Roman" w:cs="Times New Roman"/>
                <w:color w:val="0D0D0D" w:themeColor="text1" w:themeTint="F2"/>
                <w:sz w:val="24"/>
                <w:szCs w:val="24"/>
                <w:lang w:val="lv-LV"/>
              </w:rPr>
              <w:t xml:space="preserve">specializēto </w:t>
            </w:r>
            <w:proofErr w:type="spellStart"/>
            <w:r w:rsidR="00647C61" w:rsidRPr="00E73D94">
              <w:rPr>
                <w:rFonts w:ascii="Times New Roman" w:hAnsi="Times New Roman" w:cs="Times New Roman"/>
                <w:color w:val="0D0D0D" w:themeColor="text1" w:themeTint="F2"/>
                <w:sz w:val="24"/>
                <w:szCs w:val="24"/>
                <w:lang w:val="lv-LV"/>
              </w:rPr>
              <w:t>Forensic</w:t>
            </w:r>
            <w:proofErr w:type="spellEnd"/>
            <w:r w:rsidR="00647C61" w:rsidRPr="00E73D94">
              <w:rPr>
                <w:rFonts w:ascii="Times New Roman" w:hAnsi="Times New Roman" w:cs="Times New Roman"/>
                <w:color w:val="0D0D0D" w:themeColor="text1" w:themeTint="F2"/>
                <w:sz w:val="24"/>
                <w:szCs w:val="24"/>
                <w:lang w:val="lv-LV"/>
              </w:rPr>
              <w:t xml:space="preserve"> IT izmeklēšanas </w:t>
            </w:r>
            <w:r w:rsidR="00372978" w:rsidRPr="00E73D94">
              <w:rPr>
                <w:rFonts w:ascii="Times New Roman" w:hAnsi="Times New Roman" w:cs="Times New Roman"/>
                <w:color w:val="0D0D0D" w:themeColor="text1" w:themeTint="F2"/>
                <w:sz w:val="24"/>
                <w:szCs w:val="24"/>
                <w:lang w:val="lv-LV"/>
              </w:rPr>
              <w:t>iekārtu</w:t>
            </w:r>
            <w:r w:rsidR="00AD5C8D" w:rsidRPr="00E73D94">
              <w:rPr>
                <w:rFonts w:ascii="Times New Roman" w:hAnsi="Times New Roman" w:cs="Times New Roman"/>
                <w:color w:val="0D0D0D" w:themeColor="text1" w:themeTint="F2"/>
                <w:sz w:val="24"/>
                <w:szCs w:val="24"/>
                <w:lang w:val="lv-LV"/>
              </w:rPr>
              <w:t>, tehnikas</w:t>
            </w:r>
            <w:r w:rsidR="00713DAC" w:rsidRPr="00E73D94">
              <w:rPr>
                <w:rFonts w:ascii="Times New Roman" w:hAnsi="Times New Roman" w:cs="Times New Roman"/>
                <w:color w:val="0D0D0D" w:themeColor="text1" w:themeTint="F2"/>
                <w:sz w:val="24"/>
                <w:szCs w:val="24"/>
                <w:lang w:val="lv-LV"/>
              </w:rPr>
              <w:t xml:space="preserve">, </w:t>
            </w:r>
            <w:r w:rsidR="00372978" w:rsidRPr="00E73D94">
              <w:rPr>
                <w:rFonts w:ascii="Times New Roman" w:hAnsi="Times New Roman" w:cs="Times New Roman"/>
                <w:color w:val="0D0D0D" w:themeColor="text1" w:themeTint="F2"/>
                <w:sz w:val="24"/>
                <w:szCs w:val="24"/>
                <w:lang w:val="lv-LV"/>
              </w:rPr>
              <w:t>programmatūru iegādei</w:t>
            </w:r>
            <w:r w:rsidR="00713DAC" w:rsidRPr="00E73D94">
              <w:rPr>
                <w:rFonts w:ascii="Times New Roman" w:hAnsi="Times New Roman" w:cs="Times New Roman"/>
                <w:color w:val="0D0D0D" w:themeColor="text1" w:themeTint="F2"/>
                <w:sz w:val="24"/>
                <w:szCs w:val="24"/>
                <w:lang w:val="lv-LV"/>
              </w:rPr>
              <w:t xml:space="preserve"> un</w:t>
            </w:r>
            <w:r w:rsidR="0061318F" w:rsidRPr="00E73D94">
              <w:rPr>
                <w:rFonts w:ascii="Times New Roman" w:hAnsi="Times New Roman" w:cs="Times New Roman"/>
                <w:color w:val="0D0D0D" w:themeColor="text1" w:themeTint="F2"/>
                <w:sz w:val="24"/>
                <w:szCs w:val="24"/>
                <w:lang w:val="lv-LV"/>
              </w:rPr>
              <w:t xml:space="preserve"> </w:t>
            </w:r>
            <w:r w:rsidR="00713DAC" w:rsidRPr="00E73D94">
              <w:rPr>
                <w:rFonts w:ascii="Times New Roman" w:hAnsi="Times New Roman" w:cs="Times New Roman"/>
                <w:color w:val="0D0D0D" w:themeColor="text1" w:themeTint="F2"/>
                <w:sz w:val="24"/>
                <w:szCs w:val="24"/>
                <w:lang w:val="lv-LV"/>
              </w:rPr>
              <w:t xml:space="preserve">papildus telpu aprīkošanai šīm vajadzībām, </w:t>
            </w:r>
            <w:r w:rsidR="0061318F" w:rsidRPr="00E73D94">
              <w:rPr>
                <w:rFonts w:ascii="Times New Roman" w:hAnsi="Times New Roman" w:cs="Times New Roman"/>
                <w:color w:val="0D0D0D" w:themeColor="text1" w:themeTint="F2"/>
                <w:sz w:val="24"/>
                <w:szCs w:val="24"/>
                <w:lang w:val="lv-LV"/>
              </w:rPr>
              <w:t xml:space="preserve">kā </w:t>
            </w:r>
            <w:r w:rsidR="00713DAC" w:rsidRPr="00E73D94">
              <w:rPr>
                <w:rFonts w:ascii="Times New Roman" w:hAnsi="Times New Roman" w:cs="Times New Roman"/>
                <w:color w:val="0D0D0D" w:themeColor="text1" w:themeTint="F2"/>
                <w:sz w:val="24"/>
                <w:szCs w:val="24"/>
                <w:lang w:val="lv-LV"/>
              </w:rPr>
              <w:t xml:space="preserve">arī papildus </w:t>
            </w:r>
            <w:proofErr w:type="spellStart"/>
            <w:r w:rsidR="00B55CEF" w:rsidRPr="00E73D94">
              <w:rPr>
                <w:rFonts w:ascii="Times New Roman" w:hAnsi="Times New Roman" w:cs="Times New Roman"/>
                <w:color w:val="0D0D0D" w:themeColor="text1" w:themeTint="F2"/>
                <w:sz w:val="24"/>
                <w:szCs w:val="24"/>
                <w:lang w:val="lv-LV"/>
              </w:rPr>
              <w:t>Forensic</w:t>
            </w:r>
            <w:proofErr w:type="spellEnd"/>
            <w:r w:rsidR="00B55CEF" w:rsidRPr="00E73D94">
              <w:rPr>
                <w:rFonts w:ascii="Times New Roman" w:hAnsi="Times New Roman" w:cs="Times New Roman"/>
                <w:color w:val="0D0D0D" w:themeColor="text1" w:themeTint="F2"/>
                <w:sz w:val="24"/>
                <w:szCs w:val="24"/>
                <w:lang w:val="lv-LV"/>
              </w:rPr>
              <w:t xml:space="preserve"> IT speciālista piesaistei un apmācībai. </w:t>
            </w:r>
          </w:p>
          <w:p w14:paraId="4504A751" w14:textId="4B8E3755" w:rsidR="000F75A4" w:rsidRPr="00E73D94" w:rsidRDefault="002975A1"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Ievērojot minēto, lai risinātu</w:t>
            </w:r>
            <w:r w:rsidRPr="009614EB">
              <w:rPr>
                <w:rFonts w:ascii="Times New Roman" w:hAnsi="Times New Roman" w:cs="Times New Roman"/>
                <w:color w:val="0D0D0D" w:themeColor="text1" w:themeTint="F2"/>
                <w:lang w:val="lv-LV"/>
              </w:rPr>
              <w:t xml:space="preserve"> </w:t>
            </w:r>
            <w:r w:rsidRPr="00E73D94">
              <w:rPr>
                <w:rFonts w:ascii="Times New Roman" w:hAnsi="Times New Roman" w:cs="Times New Roman"/>
                <w:color w:val="0D0D0D" w:themeColor="text1" w:themeTint="F2"/>
                <w:sz w:val="24"/>
                <w:szCs w:val="24"/>
                <w:lang w:val="lv-LV"/>
              </w:rPr>
              <w:t xml:space="preserve">Direktīvā noteikto pienākumu dalībvalstīm nodrošināt, ka </w:t>
            </w:r>
            <w:r w:rsidR="00E665E9" w:rsidRPr="00E73D94">
              <w:rPr>
                <w:rFonts w:ascii="Times New Roman" w:hAnsi="Times New Roman" w:cs="Times New Roman"/>
                <w:color w:val="0D0D0D" w:themeColor="text1" w:themeTint="F2"/>
                <w:sz w:val="24"/>
                <w:szCs w:val="24"/>
                <w:lang w:val="lv-LV"/>
              </w:rPr>
              <w:t xml:space="preserve">dalībvalsts </w:t>
            </w:r>
            <w:r w:rsidRPr="00E73D94">
              <w:rPr>
                <w:rFonts w:ascii="Times New Roman" w:hAnsi="Times New Roman" w:cs="Times New Roman"/>
                <w:color w:val="0D0D0D" w:themeColor="text1" w:themeTint="F2"/>
                <w:sz w:val="24"/>
                <w:szCs w:val="24"/>
                <w:lang w:val="lv-LV"/>
              </w:rPr>
              <w:t>konkurences iestādes rīcībā ir pietiekams skaits kvalificētu darbinieku un pietiekami finanšu, tehniskie un tehnoloģiskie resursi</w:t>
            </w:r>
            <w:r w:rsidR="00DB0806" w:rsidRPr="00E73D94">
              <w:rPr>
                <w:rFonts w:ascii="Times New Roman" w:hAnsi="Times New Roman" w:cs="Times New Roman"/>
                <w:color w:val="0D0D0D" w:themeColor="text1" w:themeTint="F2"/>
                <w:sz w:val="24"/>
                <w:szCs w:val="24"/>
                <w:lang w:val="lv-LV"/>
              </w:rPr>
              <w:t xml:space="preserve"> konkurences lietu efektīvai izmeklēšanai un atklāšanai</w:t>
            </w:r>
            <w:r w:rsidRPr="00E73D94">
              <w:rPr>
                <w:rFonts w:ascii="Times New Roman" w:hAnsi="Times New Roman" w:cs="Times New Roman"/>
                <w:color w:val="0D0D0D" w:themeColor="text1" w:themeTint="F2"/>
                <w:sz w:val="24"/>
                <w:szCs w:val="24"/>
                <w:lang w:val="lv-LV"/>
              </w:rPr>
              <w:t>,</w:t>
            </w:r>
            <w:r w:rsidR="00E665E9" w:rsidRPr="00E73D94">
              <w:rPr>
                <w:rFonts w:ascii="Times New Roman" w:hAnsi="Times New Roman" w:cs="Times New Roman"/>
                <w:color w:val="0D0D0D" w:themeColor="text1" w:themeTint="F2"/>
                <w:sz w:val="24"/>
                <w:szCs w:val="24"/>
                <w:lang w:val="lv-LV"/>
              </w:rPr>
              <w:t xml:space="preserve"> </w:t>
            </w:r>
            <w:r w:rsidR="008C00AE" w:rsidRPr="00E73D94">
              <w:rPr>
                <w:rFonts w:ascii="Times New Roman" w:hAnsi="Times New Roman" w:cs="Times New Roman"/>
                <w:color w:val="0D0D0D" w:themeColor="text1" w:themeTint="F2"/>
                <w:sz w:val="24"/>
                <w:szCs w:val="24"/>
                <w:lang w:val="lv-LV"/>
              </w:rPr>
              <w:t xml:space="preserve">efektīvai </w:t>
            </w:r>
            <w:r w:rsidR="00E665E9" w:rsidRPr="00E73D94">
              <w:rPr>
                <w:rFonts w:ascii="Times New Roman" w:hAnsi="Times New Roman" w:cs="Times New Roman"/>
                <w:color w:val="0D0D0D" w:themeColor="text1" w:themeTint="F2"/>
                <w:sz w:val="24"/>
                <w:szCs w:val="24"/>
                <w:lang w:val="lv-LV"/>
              </w:rPr>
              <w:t xml:space="preserve">sadarbības nodrošināšanai ar citu dalībvalstu konkurences iestādēm un Eiropas Komisiju, </w:t>
            </w:r>
            <w:r w:rsidRPr="00E73D94">
              <w:rPr>
                <w:rFonts w:ascii="Times New Roman" w:hAnsi="Times New Roman" w:cs="Times New Roman"/>
                <w:color w:val="0D0D0D" w:themeColor="text1" w:themeTint="F2"/>
                <w:sz w:val="24"/>
                <w:szCs w:val="24"/>
                <w:lang w:val="lv-LV"/>
              </w:rPr>
              <w:t xml:space="preserve"> Valdības rīcības plān</w:t>
            </w:r>
            <w:r w:rsidR="008C00AE" w:rsidRPr="00E73D94">
              <w:rPr>
                <w:rFonts w:ascii="Times New Roman" w:hAnsi="Times New Roman" w:cs="Times New Roman"/>
                <w:color w:val="0D0D0D" w:themeColor="text1" w:themeTint="F2"/>
                <w:sz w:val="24"/>
                <w:szCs w:val="24"/>
                <w:lang w:val="lv-LV"/>
              </w:rPr>
              <w:t>ā</w:t>
            </w:r>
            <w:r w:rsidRPr="00E73D94">
              <w:rPr>
                <w:rFonts w:ascii="Times New Roman" w:hAnsi="Times New Roman" w:cs="Times New Roman"/>
                <w:color w:val="0D0D0D" w:themeColor="text1" w:themeTint="F2"/>
                <w:sz w:val="24"/>
                <w:szCs w:val="24"/>
                <w:lang w:val="lv-LV"/>
              </w:rPr>
              <w:t xml:space="preserve"> Deklarācijas par Artura Krišjāņa Kariņa vadītā Ministru kabineta iecerēto darbību īstenošanai 33.1. un 33.2.punktā paredzēto</w:t>
            </w:r>
            <w:r w:rsidR="00DB0806" w:rsidRPr="00E73D94">
              <w:rPr>
                <w:rFonts w:ascii="Times New Roman" w:hAnsi="Times New Roman" w:cs="Times New Roman"/>
                <w:color w:val="0D0D0D" w:themeColor="text1" w:themeTint="F2"/>
                <w:sz w:val="24"/>
                <w:szCs w:val="24"/>
                <w:lang w:val="lv-LV"/>
              </w:rPr>
              <w:t>s</w:t>
            </w:r>
            <w:r w:rsidRPr="00E73D94">
              <w:rPr>
                <w:rFonts w:ascii="Times New Roman" w:hAnsi="Times New Roman" w:cs="Times New Roman"/>
                <w:color w:val="0D0D0D" w:themeColor="text1" w:themeTint="F2"/>
                <w:sz w:val="24"/>
                <w:szCs w:val="24"/>
                <w:lang w:val="lv-LV"/>
              </w:rPr>
              <w:t xml:space="preserve"> uzdevum</w:t>
            </w:r>
            <w:r w:rsidR="00DB0806" w:rsidRPr="00E73D94">
              <w:rPr>
                <w:rFonts w:ascii="Times New Roman" w:hAnsi="Times New Roman" w:cs="Times New Roman"/>
                <w:color w:val="0D0D0D" w:themeColor="text1" w:themeTint="F2"/>
                <w:sz w:val="24"/>
                <w:szCs w:val="24"/>
                <w:lang w:val="lv-LV"/>
              </w:rPr>
              <w:t>us</w:t>
            </w:r>
            <w:r w:rsidRPr="00E73D94">
              <w:rPr>
                <w:rFonts w:ascii="Times New Roman" w:hAnsi="Times New Roman" w:cs="Times New Roman"/>
                <w:color w:val="0D0D0D" w:themeColor="text1" w:themeTint="F2"/>
                <w:sz w:val="24"/>
                <w:szCs w:val="24"/>
                <w:lang w:val="lv-LV"/>
              </w:rPr>
              <w:t xml:space="preserve">, nepieciešams </w:t>
            </w:r>
            <w:r w:rsidR="0065176F" w:rsidRPr="00E73D94">
              <w:rPr>
                <w:rFonts w:ascii="Times New Roman" w:hAnsi="Times New Roman" w:cs="Times New Roman"/>
                <w:color w:val="0D0D0D" w:themeColor="text1" w:themeTint="F2"/>
                <w:sz w:val="24"/>
                <w:szCs w:val="24"/>
                <w:lang w:val="lv-LV"/>
              </w:rPr>
              <w:t>KP</w:t>
            </w:r>
            <w:r w:rsidRPr="00E73D94">
              <w:rPr>
                <w:rFonts w:ascii="Times New Roman" w:hAnsi="Times New Roman" w:cs="Times New Roman"/>
                <w:color w:val="0D0D0D" w:themeColor="text1" w:themeTint="F2"/>
                <w:sz w:val="24"/>
                <w:szCs w:val="24"/>
                <w:lang w:val="lv-LV"/>
              </w:rPr>
              <w:t xml:space="preserve"> piešķirt papildus finansējumu</w:t>
            </w:r>
            <w:r w:rsidR="00E665E9" w:rsidRPr="00E73D94">
              <w:rPr>
                <w:rFonts w:ascii="Times New Roman" w:hAnsi="Times New Roman" w:cs="Times New Roman"/>
                <w:color w:val="0D0D0D" w:themeColor="text1" w:themeTint="F2"/>
                <w:sz w:val="24"/>
                <w:szCs w:val="24"/>
                <w:lang w:val="lv-LV"/>
              </w:rPr>
              <w:t>, kas ir pietiekams efektīvas</w:t>
            </w:r>
            <w:r w:rsidR="00DB0806" w:rsidRPr="00E73D94">
              <w:rPr>
                <w:rFonts w:ascii="Times New Roman" w:hAnsi="Times New Roman" w:cs="Times New Roman"/>
                <w:color w:val="0D0D0D" w:themeColor="text1" w:themeTint="F2"/>
                <w:sz w:val="24"/>
                <w:szCs w:val="24"/>
                <w:lang w:val="lv-LV"/>
              </w:rPr>
              <w:t xml:space="preserve"> </w:t>
            </w:r>
            <w:r w:rsidR="008C00AE" w:rsidRPr="00E73D94">
              <w:rPr>
                <w:rFonts w:ascii="Times New Roman" w:hAnsi="Times New Roman" w:cs="Times New Roman"/>
                <w:color w:val="0D0D0D" w:themeColor="text1" w:themeTint="F2"/>
                <w:sz w:val="24"/>
                <w:szCs w:val="24"/>
                <w:lang w:val="lv-LV"/>
              </w:rPr>
              <w:t>starptautiskās sadar</w:t>
            </w:r>
            <w:r w:rsidR="00A225FC" w:rsidRPr="00E73D94">
              <w:rPr>
                <w:rFonts w:ascii="Times New Roman" w:hAnsi="Times New Roman" w:cs="Times New Roman"/>
                <w:color w:val="0D0D0D" w:themeColor="text1" w:themeTint="F2"/>
                <w:sz w:val="24"/>
                <w:szCs w:val="24"/>
                <w:lang w:val="lv-LV"/>
              </w:rPr>
              <w:t>b</w:t>
            </w:r>
            <w:r w:rsidR="008C00AE" w:rsidRPr="00E73D94">
              <w:rPr>
                <w:rFonts w:ascii="Times New Roman" w:hAnsi="Times New Roman" w:cs="Times New Roman"/>
                <w:color w:val="0D0D0D" w:themeColor="text1" w:themeTint="F2"/>
                <w:sz w:val="24"/>
                <w:szCs w:val="24"/>
                <w:lang w:val="lv-LV"/>
              </w:rPr>
              <w:t xml:space="preserve">ības, </w:t>
            </w:r>
            <w:r w:rsidR="00DB0806" w:rsidRPr="00E73D94">
              <w:rPr>
                <w:rFonts w:ascii="Times New Roman" w:hAnsi="Times New Roman" w:cs="Times New Roman"/>
                <w:color w:val="0D0D0D" w:themeColor="text1" w:themeTint="F2"/>
                <w:sz w:val="24"/>
                <w:szCs w:val="24"/>
                <w:lang w:val="lv-LV"/>
              </w:rPr>
              <w:t xml:space="preserve">tirgus uzraudzības un </w:t>
            </w:r>
            <w:r w:rsidR="00EC3F61" w:rsidRPr="00E73D94">
              <w:rPr>
                <w:rFonts w:ascii="Times New Roman" w:hAnsi="Times New Roman" w:cs="Times New Roman"/>
                <w:color w:val="0D0D0D" w:themeColor="text1" w:themeTint="F2"/>
                <w:sz w:val="24"/>
                <w:szCs w:val="24"/>
                <w:lang w:val="lv-LV"/>
              </w:rPr>
              <w:t xml:space="preserve">konkurences lietu </w:t>
            </w:r>
            <w:r w:rsidR="00DB0806" w:rsidRPr="00E73D94">
              <w:rPr>
                <w:rFonts w:ascii="Times New Roman" w:hAnsi="Times New Roman" w:cs="Times New Roman"/>
                <w:color w:val="0D0D0D" w:themeColor="text1" w:themeTint="F2"/>
                <w:sz w:val="24"/>
                <w:szCs w:val="24"/>
                <w:lang w:val="lv-LV"/>
              </w:rPr>
              <w:t>izmeklēšanas kapacitātes nodrošināšanai.</w:t>
            </w:r>
            <w:r w:rsidRPr="00E73D94">
              <w:rPr>
                <w:rFonts w:ascii="Times New Roman" w:hAnsi="Times New Roman" w:cs="Times New Roman"/>
                <w:color w:val="0D0D0D" w:themeColor="text1" w:themeTint="F2"/>
                <w:sz w:val="24"/>
                <w:szCs w:val="24"/>
                <w:lang w:val="lv-LV"/>
              </w:rPr>
              <w:t xml:space="preserve"> </w:t>
            </w:r>
          </w:p>
          <w:p w14:paraId="47C7E35A" w14:textId="3D3770C8" w:rsidR="00F0315B" w:rsidRPr="00E73D94" w:rsidRDefault="001923C6"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u w:val="single"/>
                <w:lang w:val="lv-LV"/>
              </w:rPr>
              <w:t>Iestādes neatkarības nozīme un īstenojamie pasākumi tās stiprināšanai</w:t>
            </w:r>
            <w:r w:rsidRPr="00E73D94">
              <w:rPr>
                <w:rFonts w:ascii="Times New Roman" w:hAnsi="Times New Roman" w:cs="Times New Roman"/>
                <w:color w:val="0D0D0D" w:themeColor="text1" w:themeTint="F2"/>
                <w:sz w:val="24"/>
                <w:szCs w:val="24"/>
                <w:lang w:val="lv-LV"/>
              </w:rPr>
              <w:t xml:space="preserve">. </w:t>
            </w:r>
            <w:r w:rsidR="0065176F" w:rsidRPr="00E73D94">
              <w:rPr>
                <w:rFonts w:ascii="Times New Roman" w:hAnsi="Times New Roman" w:cs="Times New Roman"/>
                <w:color w:val="0D0D0D" w:themeColor="text1" w:themeTint="F2"/>
                <w:sz w:val="24"/>
                <w:szCs w:val="24"/>
                <w:lang w:val="lv-LV"/>
              </w:rPr>
              <w:t>KP</w:t>
            </w:r>
            <w:r w:rsidR="000F75A4" w:rsidRPr="00E73D94">
              <w:rPr>
                <w:rFonts w:ascii="Times New Roman" w:hAnsi="Times New Roman" w:cs="Times New Roman"/>
                <w:color w:val="0D0D0D" w:themeColor="text1" w:themeTint="F2"/>
                <w:sz w:val="24"/>
                <w:szCs w:val="24"/>
                <w:lang w:val="lv-LV"/>
              </w:rPr>
              <w:t xml:space="preserve"> </w:t>
            </w:r>
            <w:r w:rsidR="00F0315B" w:rsidRPr="00E73D94">
              <w:rPr>
                <w:rFonts w:ascii="Times New Roman" w:hAnsi="Times New Roman" w:cs="Times New Roman"/>
                <w:color w:val="0D0D0D" w:themeColor="text1" w:themeTint="F2"/>
                <w:sz w:val="24"/>
                <w:szCs w:val="24"/>
                <w:lang w:val="lv-LV"/>
              </w:rPr>
              <w:t>veic konkurences tiesību uzraudzību visās tautsaimniecības nozarēs, izmeklējot iespējamos dominējošā stāvokļa ļaunprātīgas izmantošanas gadījumus, aizliegtas vienošanās, kā arī uzraugot tirgus dalībnieku apvienošanos, lai novērstu tirgus pārmērīgas koncentrācijas vai monopolu veidošanos.</w:t>
            </w:r>
            <w:r w:rsidR="00803490" w:rsidRPr="00E73D94">
              <w:rPr>
                <w:rFonts w:ascii="Times New Roman" w:hAnsi="Times New Roman" w:cs="Times New Roman"/>
                <w:color w:val="0D0D0D" w:themeColor="text1" w:themeTint="F2"/>
                <w:sz w:val="24"/>
                <w:szCs w:val="24"/>
                <w:lang w:val="lv-LV"/>
              </w:rPr>
              <w:t xml:space="preserve"> Neatkarīgas uzraudzības prasība konkurences iestādei vienlīdz attiecināma </w:t>
            </w:r>
            <w:r w:rsidR="007F7489" w:rsidRPr="00E73D94">
              <w:rPr>
                <w:rFonts w:ascii="Times New Roman" w:hAnsi="Times New Roman" w:cs="Times New Roman"/>
                <w:color w:val="0D0D0D" w:themeColor="text1" w:themeTint="F2"/>
                <w:sz w:val="24"/>
                <w:szCs w:val="24"/>
                <w:lang w:val="lv-LV"/>
              </w:rPr>
              <w:t xml:space="preserve">kā uz tirgu dalībniekiem ar privāto kapitālu, tā </w:t>
            </w:r>
            <w:r w:rsidR="00803490" w:rsidRPr="00E73D94">
              <w:rPr>
                <w:rFonts w:ascii="Times New Roman" w:hAnsi="Times New Roman" w:cs="Times New Roman"/>
                <w:color w:val="0D0D0D" w:themeColor="text1" w:themeTint="F2"/>
                <w:sz w:val="24"/>
                <w:szCs w:val="24"/>
                <w:lang w:val="lv-LV"/>
              </w:rPr>
              <w:t>uz valsts un pašvaldību kapitālsabiedrībām, kuras pārvalda izpildvara, kā arī citos gadījumos, kad publiskā</w:t>
            </w:r>
            <w:r w:rsidR="004360DF" w:rsidRPr="00E73D94">
              <w:rPr>
                <w:rFonts w:ascii="Times New Roman" w:hAnsi="Times New Roman" w:cs="Times New Roman"/>
                <w:color w:val="0D0D0D" w:themeColor="text1" w:themeTint="F2"/>
                <w:sz w:val="24"/>
                <w:szCs w:val="24"/>
                <w:lang w:val="lv-LV"/>
              </w:rPr>
              <w:t>s</w:t>
            </w:r>
            <w:r w:rsidR="00803490" w:rsidRPr="00E73D94">
              <w:rPr>
                <w:rFonts w:ascii="Times New Roman" w:hAnsi="Times New Roman" w:cs="Times New Roman"/>
                <w:color w:val="0D0D0D" w:themeColor="text1" w:themeTint="F2"/>
                <w:sz w:val="24"/>
                <w:szCs w:val="24"/>
                <w:lang w:val="lv-LV"/>
              </w:rPr>
              <w:t xml:space="preserve"> persona</w:t>
            </w:r>
            <w:r w:rsidR="004360DF" w:rsidRPr="00E73D94">
              <w:rPr>
                <w:rFonts w:ascii="Times New Roman" w:hAnsi="Times New Roman" w:cs="Times New Roman"/>
                <w:color w:val="0D0D0D" w:themeColor="text1" w:themeTint="F2"/>
                <w:sz w:val="24"/>
                <w:szCs w:val="24"/>
                <w:lang w:val="lv-LV"/>
              </w:rPr>
              <w:t>s darbība</w:t>
            </w:r>
            <w:r w:rsidR="006A3984" w:rsidRPr="00E73D94">
              <w:rPr>
                <w:rFonts w:ascii="Times New Roman" w:hAnsi="Times New Roman" w:cs="Times New Roman"/>
                <w:color w:val="0D0D0D" w:themeColor="text1" w:themeTint="F2"/>
                <w:sz w:val="24"/>
                <w:szCs w:val="24"/>
                <w:lang w:val="lv-LV"/>
              </w:rPr>
              <w:t xml:space="preserve"> var ierobežot brīvu un godīgu konkurenci</w:t>
            </w:r>
            <w:r w:rsidR="00803490" w:rsidRPr="00E73D94">
              <w:rPr>
                <w:rFonts w:ascii="Times New Roman" w:hAnsi="Times New Roman" w:cs="Times New Roman"/>
                <w:color w:val="0D0D0D" w:themeColor="text1" w:themeTint="F2"/>
                <w:sz w:val="24"/>
                <w:szCs w:val="24"/>
                <w:lang w:val="lv-LV"/>
              </w:rPr>
              <w:t>.</w:t>
            </w:r>
            <w:r w:rsidR="00D112D0" w:rsidRPr="00E73D94">
              <w:rPr>
                <w:rFonts w:ascii="Times New Roman" w:hAnsi="Times New Roman" w:cs="Times New Roman"/>
                <w:color w:val="0D0D0D" w:themeColor="text1" w:themeTint="F2"/>
                <w:sz w:val="24"/>
                <w:szCs w:val="24"/>
                <w:lang w:val="lv-LV"/>
              </w:rPr>
              <w:t xml:space="preserve"> </w:t>
            </w:r>
          </w:p>
          <w:p w14:paraId="605B2E86" w14:textId="12F78038" w:rsidR="00093282" w:rsidRPr="00E73D94" w:rsidRDefault="00093282"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lastRenderedPageBreak/>
              <w:t xml:space="preserve">Būtiska nozīme ir konkurences iestādes neatkarīgam izvērtējamam par publisko personu pieņemtajiem tiesību aktiem un veiktajiem pasākumiem, ja tie ierobežo konkurenci. </w:t>
            </w:r>
          </w:p>
          <w:p w14:paraId="223940EB" w14:textId="77777777" w:rsidR="0044595F" w:rsidRPr="00E73D94" w:rsidRDefault="00F0315B" w:rsidP="009614EB">
            <w:pPr>
              <w:spacing w:after="120" w:line="240" w:lineRule="auto"/>
              <w:jc w:val="both"/>
              <w:rPr>
                <w:rFonts w:ascii="Times New Roman" w:eastAsia="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Konkurences tiesības balstās vienīgi uz objektīviem ekonomikas principiem, lai atbilstoši KL un LESD nodrošinātu vienlīdzīgu konkurences vidi visiem tirgus dalībniekiem</w:t>
            </w:r>
            <w:r w:rsidRPr="00E73D94">
              <w:rPr>
                <w:rStyle w:val="FootnoteReference"/>
                <w:rFonts w:ascii="Times New Roman" w:hAnsi="Times New Roman" w:cs="Times New Roman"/>
                <w:color w:val="0D0D0D" w:themeColor="text1" w:themeTint="F2"/>
                <w:sz w:val="24"/>
                <w:szCs w:val="24"/>
                <w:lang w:val="lv-LV"/>
              </w:rPr>
              <w:footnoteReference w:id="4"/>
            </w:r>
            <w:r w:rsidRPr="00E73D94">
              <w:rPr>
                <w:rFonts w:ascii="Times New Roman" w:hAnsi="Times New Roman" w:cs="Times New Roman"/>
                <w:color w:val="0D0D0D" w:themeColor="text1" w:themeTint="F2"/>
                <w:sz w:val="24"/>
                <w:szCs w:val="24"/>
                <w:lang w:val="lv-LV"/>
              </w:rPr>
              <w:t xml:space="preserve">, neatkarīgi no to juridiskās formas un finansēšanas avota no valsts, pašvaldības vai privātiem līdzekļiem. KP visos gadījumos jāsniedz objektīvs, politiski neitrāls vērtējums. </w:t>
            </w:r>
            <w:r w:rsidR="00F256A0" w:rsidRPr="00E73D94">
              <w:rPr>
                <w:rFonts w:ascii="Times New Roman" w:hAnsi="Times New Roman" w:cs="Times New Roman"/>
                <w:color w:val="0D0D0D" w:themeColor="text1" w:themeTint="F2"/>
                <w:sz w:val="24"/>
                <w:szCs w:val="24"/>
                <w:lang w:val="lv-LV"/>
              </w:rPr>
              <w:t>Arī Direktīvas</w:t>
            </w:r>
            <w:r w:rsidR="00F256A0" w:rsidRPr="00E73D94">
              <w:rPr>
                <w:rFonts w:ascii="Times New Roman" w:hAnsi="Times New Roman" w:cs="Times New Roman"/>
                <w:color w:val="0D0D0D" w:themeColor="text1" w:themeTint="F2"/>
                <w:sz w:val="24"/>
                <w:szCs w:val="24"/>
                <w:shd w:val="clear" w:color="auto" w:fill="FFFFFF"/>
                <w:lang w:val="lv-LV"/>
              </w:rPr>
              <w:t xml:space="preserve"> 4.pants paredz, ka, lai </w:t>
            </w:r>
            <w:r w:rsidR="00F256A0" w:rsidRPr="00E73D94">
              <w:rPr>
                <w:rFonts w:ascii="Times New Roman" w:eastAsia="Times New Roman" w:hAnsi="Times New Roman" w:cs="Times New Roman"/>
                <w:color w:val="0D0D0D" w:themeColor="text1" w:themeTint="F2"/>
                <w:sz w:val="24"/>
                <w:szCs w:val="24"/>
                <w:lang w:val="lv-LV"/>
              </w:rPr>
              <w:t xml:space="preserve">nodrošinātu administratīvo valsts konkurences iestāžu neatkarību LESD 101. un 102. panta piemērošanā, dalībvalstis nodrošina, lai šādas iestādes savus pienākumus pildītu un pilnvaras īstenotu objektīvi un efektīvas un vienveidīgas minēto noteikumu piemērošanas interesēs, ievērojot samērīgas </w:t>
            </w:r>
            <w:proofErr w:type="spellStart"/>
            <w:r w:rsidR="00F256A0" w:rsidRPr="00E73D94">
              <w:rPr>
                <w:rFonts w:ascii="Times New Roman" w:eastAsia="Times New Roman" w:hAnsi="Times New Roman" w:cs="Times New Roman"/>
                <w:color w:val="0D0D0D" w:themeColor="text1" w:themeTint="F2"/>
                <w:sz w:val="24"/>
                <w:szCs w:val="24"/>
                <w:lang w:val="lv-LV"/>
              </w:rPr>
              <w:t>pārskatatbildības</w:t>
            </w:r>
            <w:proofErr w:type="spellEnd"/>
            <w:r w:rsidR="00F256A0" w:rsidRPr="00E73D94">
              <w:rPr>
                <w:rFonts w:ascii="Times New Roman" w:eastAsia="Times New Roman" w:hAnsi="Times New Roman" w:cs="Times New Roman"/>
                <w:color w:val="0D0D0D" w:themeColor="text1" w:themeTint="F2"/>
                <w:sz w:val="24"/>
                <w:szCs w:val="24"/>
                <w:lang w:val="lv-LV"/>
              </w:rPr>
              <w:t xml:space="preserve"> prasības un neskarot ciešu konkurences iestāžu sadarbību Eiropas Konkurences tīklā.</w:t>
            </w:r>
          </w:p>
          <w:p w14:paraId="034DC779" w14:textId="2B9DD318" w:rsidR="0044595F" w:rsidRPr="00E73D94" w:rsidRDefault="00F256A0"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eastAsia="Times New Roman" w:hAnsi="Times New Roman" w:cs="Times New Roman"/>
                <w:color w:val="0D0D0D" w:themeColor="text1" w:themeTint="F2"/>
                <w:sz w:val="24"/>
                <w:szCs w:val="24"/>
                <w:lang w:val="lv-LV"/>
              </w:rPr>
              <w:t>Direktīvas</w:t>
            </w:r>
            <w:r w:rsidRPr="00E73D94">
              <w:rPr>
                <w:rFonts w:ascii="Times New Roman" w:hAnsi="Times New Roman" w:cs="Times New Roman"/>
                <w:color w:val="0D0D0D" w:themeColor="text1" w:themeTint="F2"/>
                <w:sz w:val="24"/>
                <w:szCs w:val="24"/>
                <w:shd w:val="clear" w:color="auto" w:fill="FFFFFF"/>
                <w:lang w:val="lv-LV"/>
              </w:rPr>
              <w:t xml:space="preserve"> 5.pant</w:t>
            </w:r>
            <w:r w:rsidR="0044595F" w:rsidRPr="00E73D94">
              <w:rPr>
                <w:rFonts w:ascii="Times New Roman" w:hAnsi="Times New Roman" w:cs="Times New Roman"/>
                <w:color w:val="0D0D0D" w:themeColor="text1" w:themeTint="F2"/>
                <w:sz w:val="24"/>
                <w:szCs w:val="24"/>
                <w:shd w:val="clear" w:color="auto" w:fill="FFFFFF"/>
                <w:lang w:val="lv-LV"/>
              </w:rPr>
              <w:t>ā</w:t>
            </w:r>
            <w:r w:rsidRPr="00E73D94">
              <w:rPr>
                <w:rFonts w:ascii="Times New Roman" w:hAnsi="Times New Roman" w:cs="Times New Roman"/>
                <w:color w:val="0D0D0D" w:themeColor="text1" w:themeTint="F2"/>
                <w:sz w:val="24"/>
                <w:szCs w:val="24"/>
                <w:shd w:val="clear" w:color="auto" w:fill="FFFFFF"/>
                <w:lang w:val="lv-LV"/>
              </w:rPr>
              <w:t xml:space="preserve">, kurā paredzēts konkurences iestāžu resursu nodrošinājuma minimums, </w:t>
            </w:r>
            <w:r w:rsidR="0044595F" w:rsidRPr="00E73D94">
              <w:rPr>
                <w:rFonts w:ascii="Times New Roman" w:hAnsi="Times New Roman" w:cs="Times New Roman"/>
                <w:color w:val="0D0D0D" w:themeColor="text1" w:themeTint="F2"/>
                <w:sz w:val="24"/>
                <w:szCs w:val="24"/>
                <w:shd w:val="clear" w:color="auto" w:fill="FFFFFF"/>
                <w:lang w:val="lv-LV"/>
              </w:rPr>
              <w:t xml:space="preserve">savukārt </w:t>
            </w:r>
            <w:r w:rsidRPr="00E73D94">
              <w:rPr>
                <w:rFonts w:ascii="Times New Roman" w:hAnsi="Times New Roman" w:cs="Times New Roman"/>
                <w:color w:val="0D0D0D" w:themeColor="text1" w:themeTint="F2"/>
                <w:sz w:val="24"/>
                <w:szCs w:val="24"/>
                <w:shd w:val="clear" w:color="auto" w:fill="FFFFFF"/>
                <w:lang w:val="lv-LV"/>
              </w:rPr>
              <w:t>paredzēt</w:t>
            </w:r>
            <w:r w:rsidR="00093282" w:rsidRPr="00E73D94">
              <w:rPr>
                <w:rFonts w:ascii="Times New Roman" w:hAnsi="Times New Roman" w:cs="Times New Roman"/>
                <w:color w:val="0D0D0D" w:themeColor="text1" w:themeTint="F2"/>
                <w:sz w:val="24"/>
                <w:szCs w:val="24"/>
                <w:shd w:val="clear" w:color="auto" w:fill="FFFFFF"/>
                <w:lang w:val="lv-LV"/>
              </w:rPr>
              <w:t>a</w:t>
            </w:r>
            <w:r w:rsidRPr="00E73D94">
              <w:rPr>
                <w:rFonts w:ascii="Times New Roman" w:hAnsi="Times New Roman" w:cs="Times New Roman"/>
                <w:color w:val="0D0D0D" w:themeColor="text1" w:themeTint="F2"/>
                <w:sz w:val="24"/>
                <w:szCs w:val="24"/>
                <w:shd w:val="clear" w:color="auto" w:fill="FFFFFF"/>
                <w:lang w:val="lv-LV"/>
              </w:rPr>
              <w:t xml:space="preserve"> nepieciešamīb</w:t>
            </w:r>
            <w:r w:rsidR="000F75A4" w:rsidRPr="00E73D94">
              <w:rPr>
                <w:rFonts w:ascii="Times New Roman" w:hAnsi="Times New Roman" w:cs="Times New Roman"/>
                <w:color w:val="0D0D0D" w:themeColor="text1" w:themeTint="F2"/>
                <w:sz w:val="24"/>
                <w:szCs w:val="24"/>
                <w:shd w:val="clear" w:color="auto" w:fill="FFFFFF"/>
                <w:lang w:val="lv-LV"/>
              </w:rPr>
              <w:t>a</w:t>
            </w:r>
            <w:r w:rsidRPr="00E73D94">
              <w:rPr>
                <w:rFonts w:ascii="Times New Roman" w:hAnsi="Times New Roman" w:cs="Times New Roman"/>
                <w:color w:val="0D0D0D" w:themeColor="text1" w:themeTint="F2"/>
                <w:sz w:val="24"/>
                <w:szCs w:val="24"/>
                <w:shd w:val="clear" w:color="auto" w:fill="FFFFFF"/>
                <w:lang w:val="lv-LV"/>
              </w:rPr>
              <w:t xml:space="preserve"> nodrošināt, ka valsts konkurences iestādēm tiktu dota neatkarība attiecībā uz piešķirto budžeta līdzekļu izlietojumu. </w:t>
            </w:r>
          </w:p>
          <w:p w14:paraId="53263D60" w14:textId="369167F4" w:rsidR="00F256A0" w:rsidRPr="00E73D94" w:rsidRDefault="00F256A0"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shd w:val="clear" w:color="auto" w:fill="FFFFFF"/>
                <w:lang w:val="lv-LV"/>
              </w:rPr>
              <w:t xml:space="preserve">Tātad Direktīva paredz </w:t>
            </w:r>
            <w:r w:rsidR="00093282" w:rsidRPr="00E73D94">
              <w:rPr>
                <w:rFonts w:ascii="Times New Roman" w:hAnsi="Times New Roman" w:cs="Times New Roman"/>
                <w:color w:val="0D0D0D" w:themeColor="text1" w:themeTint="F2"/>
                <w:sz w:val="24"/>
                <w:szCs w:val="24"/>
                <w:shd w:val="clear" w:color="auto" w:fill="FFFFFF"/>
                <w:lang w:val="lv-LV"/>
              </w:rPr>
              <w:t xml:space="preserve">stiprināt </w:t>
            </w:r>
            <w:r w:rsidRPr="00E73D94">
              <w:rPr>
                <w:rFonts w:ascii="Times New Roman" w:hAnsi="Times New Roman" w:cs="Times New Roman"/>
                <w:color w:val="0D0D0D" w:themeColor="text1" w:themeTint="F2"/>
                <w:sz w:val="24"/>
                <w:szCs w:val="24"/>
                <w:shd w:val="clear" w:color="auto" w:fill="FFFFFF"/>
                <w:lang w:val="lv-LV"/>
              </w:rPr>
              <w:t>iestādes neatkarību, pildot savus uzdevumus un īstenojot  savas pilnvaras saskaņā ar Direktīvu.</w:t>
            </w:r>
          </w:p>
          <w:p w14:paraId="407CAC27" w14:textId="7E8D991B" w:rsidR="00F0315B" w:rsidRPr="00E73D94" w:rsidRDefault="00C0145F"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lang w:val="lv-LV"/>
              </w:rPr>
              <w:t>Saskaņā ar Likuma 8.panta sestajā daļā noteikto jau šobrīd norādījumus par lietas izpētes uzsākšanu konkrētajā gadījumā, kā arī par to, kādā veidā veicama izpēte vai pieņemams lēmums, KP priekšsēdētājam un tās locekļiem nevar dot ne Ministru kabinets, ne ekonomikas ministrs, ne citas personas. KP nesaskaņo arī uzziņas ar augstāku iestādi. Vienlaikus</w:t>
            </w:r>
            <w:r w:rsidR="00C833FA" w:rsidRPr="00E73D94">
              <w:rPr>
                <w:rFonts w:ascii="Times New Roman" w:hAnsi="Times New Roman" w:cs="Times New Roman"/>
                <w:color w:val="0D0D0D" w:themeColor="text1" w:themeTint="F2"/>
                <w:sz w:val="24"/>
                <w:szCs w:val="24"/>
                <w:lang w:val="lv-LV"/>
              </w:rPr>
              <w:t xml:space="preserve"> likumprojekts paredz</w:t>
            </w:r>
            <w:r w:rsidR="00F0315B" w:rsidRPr="00E73D94">
              <w:rPr>
                <w:rFonts w:ascii="Times New Roman" w:hAnsi="Times New Roman" w:cs="Times New Roman"/>
                <w:color w:val="0D0D0D" w:themeColor="text1" w:themeTint="F2"/>
                <w:sz w:val="24"/>
                <w:szCs w:val="24"/>
                <w:lang w:val="lv-LV"/>
              </w:rPr>
              <w:t xml:space="preserve">: </w:t>
            </w:r>
            <w:r w:rsidR="007B5E9F" w:rsidRPr="00E73D94">
              <w:rPr>
                <w:rFonts w:ascii="Times New Roman" w:hAnsi="Times New Roman" w:cs="Times New Roman"/>
                <w:color w:val="0D0D0D" w:themeColor="text1" w:themeTint="F2"/>
                <w:sz w:val="24"/>
                <w:szCs w:val="24"/>
                <w:lang w:val="lv-LV"/>
              </w:rPr>
              <w:t xml:space="preserve">1) </w:t>
            </w:r>
            <w:r w:rsidRPr="00E73D94">
              <w:rPr>
                <w:rFonts w:ascii="Times New Roman" w:hAnsi="Times New Roman" w:cs="Times New Roman"/>
                <w:color w:val="0D0D0D" w:themeColor="text1" w:themeTint="F2"/>
                <w:sz w:val="24"/>
                <w:szCs w:val="24"/>
                <w:lang w:val="lv-LV"/>
              </w:rPr>
              <w:t>stiprināt KP patstāvību iekšējās organizācijas jautājumu risināšanā</w:t>
            </w:r>
            <w:r w:rsidR="00C833FA" w:rsidRPr="00E73D94">
              <w:rPr>
                <w:rFonts w:ascii="Times New Roman" w:hAnsi="Times New Roman" w:cs="Times New Roman"/>
                <w:color w:val="0D0D0D" w:themeColor="text1" w:themeTint="F2"/>
                <w:sz w:val="24"/>
                <w:szCs w:val="24"/>
                <w:lang w:val="lv-LV"/>
              </w:rPr>
              <w:t>, piemēram, starpresoru vienošanos slēgšan</w:t>
            </w:r>
            <w:r w:rsidR="00764ED7" w:rsidRPr="00E73D94">
              <w:rPr>
                <w:rFonts w:ascii="Times New Roman" w:hAnsi="Times New Roman" w:cs="Times New Roman"/>
                <w:color w:val="0D0D0D" w:themeColor="text1" w:themeTint="F2"/>
                <w:sz w:val="24"/>
                <w:szCs w:val="24"/>
                <w:lang w:val="lv-LV"/>
              </w:rPr>
              <w:t>ā</w:t>
            </w:r>
            <w:r w:rsidR="00C833FA" w:rsidRPr="00E73D94">
              <w:rPr>
                <w:rFonts w:ascii="Times New Roman" w:hAnsi="Times New Roman" w:cs="Times New Roman"/>
                <w:color w:val="0D0D0D" w:themeColor="text1" w:themeTint="F2"/>
                <w:sz w:val="24"/>
                <w:szCs w:val="24"/>
                <w:lang w:val="lv-LV"/>
              </w:rPr>
              <w:t>, iekšējo normatīvo aktu izdošan</w:t>
            </w:r>
            <w:r w:rsidR="00764ED7" w:rsidRPr="00E73D94">
              <w:rPr>
                <w:rFonts w:ascii="Times New Roman" w:hAnsi="Times New Roman" w:cs="Times New Roman"/>
                <w:color w:val="0D0D0D" w:themeColor="text1" w:themeTint="F2"/>
                <w:sz w:val="24"/>
                <w:szCs w:val="24"/>
                <w:lang w:val="lv-LV"/>
              </w:rPr>
              <w:t>ā, lēmum</w:t>
            </w:r>
            <w:r w:rsidRPr="00E73D94">
              <w:rPr>
                <w:rFonts w:ascii="Times New Roman" w:hAnsi="Times New Roman" w:cs="Times New Roman"/>
                <w:color w:val="0D0D0D" w:themeColor="text1" w:themeTint="F2"/>
                <w:sz w:val="24"/>
                <w:szCs w:val="24"/>
                <w:lang w:val="lv-LV"/>
              </w:rPr>
              <w:t>u</w:t>
            </w:r>
            <w:r w:rsidR="00764ED7" w:rsidRPr="00E73D94">
              <w:rPr>
                <w:rFonts w:ascii="Times New Roman" w:hAnsi="Times New Roman" w:cs="Times New Roman"/>
                <w:color w:val="0D0D0D" w:themeColor="text1" w:themeTint="F2"/>
                <w:sz w:val="24"/>
                <w:szCs w:val="24"/>
                <w:lang w:val="lv-LV"/>
              </w:rPr>
              <w:t xml:space="preserve">, kuri attiecas uz iestādē nodarbinātajiem, pieņemšanā </w:t>
            </w:r>
            <w:r w:rsidR="007B5E9F" w:rsidRPr="00E73D94">
              <w:rPr>
                <w:rFonts w:ascii="Times New Roman" w:hAnsi="Times New Roman" w:cs="Times New Roman"/>
                <w:color w:val="0D0D0D" w:themeColor="text1" w:themeTint="F2"/>
                <w:sz w:val="24"/>
                <w:szCs w:val="24"/>
                <w:lang w:val="lv-LV"/>
              </w:rPr>
              <w:t>un 2</w:t>
            </w:r>
            <w:r w:rsidR="00F0315B" w:rsidRPr="00E73D94">
              <w:rPr>
                <w:rFonts w:ascii="Times New Roman" w:hAnsi="Times New Roman" w:cs="Times New Roman"/>
                <w:color w:val="0D0D0D" w:themeColor="text1" w:themeTint="F2"/>
                <w:sz w:val="24"/>
                <w:szCs w:val="24"/>
                <w:lang w:val="lv-LV"/>
              </w:rPr>
              <w:t xml:space="preserve">) </w:t>
            </w:r>
            <w:r w:rsidR="00C833FA" w:rsidRPr="00E73D94">
              <w:rPr>
                <w:rFonts w:ascii="Times New Roman" w:hAnsi="Times New Roman" w:cs="Times New Roman"/>
                <w:color w:val="0D0D0D" w:themeColor="text1" w:themeTint="F2"/>
                <w:sz w:val="24"/>
                <w:szCs w:val="24"/>
                <w:lang w:val="lv-LV"/>
              </w:rPr>
              <w:t>ierobežot</w:t>
            </w:r>
            <w:r w:rsidR="00F0315B" w:rsidRPr="00E73D94">
              <w:rPr>
                <w:rFonts w:ascii="Times New Roman" w:hAnsi="Times New Roman" w:cs="Times New Roman"/>
                <w:color w:val="0D0D0D" w:themeColor="text1" w:themeTint="F2"/>
                <w:sz w:val="24"/>
                <w:szCs w:val="24"/>
                <w:lang w:val="lv-LV"/>
              </w:rPr>
              <w:t xml:space="preserve"> padomes locekļu atcelšanas iespējas, lai nodrošinātu, ka atcelšana iespējama tikai </w:t>
            </w:r>
            <w:r w:rsidR="00C833FA" w:rsidRPr="00E73D94">
              <w:rPr>
                <w:rFonts w:ascii="Times New Roman" w:hAnsi="Times New Roman" w:cs="Times New Roman"/>
                <w:color w:val="0D0D0D" w:themeColor="text1" w:themeTint="F2"/>
                <w:sz w:val="24"/>
                <w:szCs w:val="24"/>
                <w:lang w:val="lv-LV"/>
              </w:rPr>
              <w:t>likumā noteiktos</w:t>
            </w:r>
            <w:r w:rsidR="00F0315B" w:rsidRPr="00E73D94">
              <w:rPr>
                <w:rFonts w:ascii="Times New Roman" w:hAnsi="Times New Roman" w:cs="Times New Roman"/>
                <w:color w:val="0D0D0D" w:themeColor="text1" w:themeTint="F2"/>
                <w:sz w:val="24"/>
                <w:szCs w:val="24"/>
                <w:lang w:val="lv-LV"/>
              </w:rPr>
              <w:t xml:space="preserve"> gadījumos</w:t>
            </w:r>
            <w:r w:rsidR="00A225FC" w:rsidRPr="00E73D94">
              <w:rPr>
                <w:rFonts w:ascii="Times New Roman" w:hAnsi="Times New Roman" w:cs="Times New Roman"/>
                <w:color w:val="0D0D0D" w:themeColor="text1" w:themeTint="F2"/>
                <w:sz w:val="24"/>
                <w:szCs w:val="24"/>
                <w:shd w:val="clear" w:color="auto" w:fill="FFFFFF"/>
                <w:lang w:val="lv-LV"/>
              </w:rPr>
              <w:t>.</w:t>
            </w:r>
          </w:p>
          <w:p w14:paraId="2F2FDCB4" w14:textId="6F1B84C7" w:rsidR="000636E2" w:rsidRPr="00E73D94" w:rsidRDefault="000636E2"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lang w:val="lv-LV"/>
              </w:rPr>
              <w:t>Tā kā Direktīva</w:t>
            </w:r>
            <w:r w:rsidRPr="00E73D94">
              <w:rPr>
                <w:rFonts w:ascii="Times New Roman" w:hAnsi="Times New Roman" w:cs="Times New Roman"/>
                <w:color w:val="0D0D0D" w:themeColor="text1" w:themeTint="F2"/>
                <w:sz w:val="24"/>
                <w:szCs w:val="24"/>
                <w:shd w:val="clear" w:color="auto" w:fill="FFFFFF"/>
                <w:lang w:val="lv-LV"/>
              </w:rPr>
              <w:t xml:space="preserve"> vienlaikus paredz arī neatkarības </w:t>
            </w:r>
            <w:r w:rsidR="00764ED7" w:rsidRPr="00E73D94">
              <w:rPr>
                <w:rFonts w:ascii="Times New Roman" w:hAnsi="Times New Roman" w:cs="Times New Roman"/>
                <w:color w:val="0D0D0D" w:themeColor="text1" w:themeTint="F2"/>
                <w:sz w:val="24"/>
                <w:szCs w:val="24"/>
                <w:shd w:val="clear" w:color="auto" w:fill="FFFFFF"/>
                <w:lang w:val="lv-LV"/>
              </w:rPr>
              <w:t>prasības</w:t>
            </w:r>
            <w:r w:rsidRPr="00E73D94">
              <w:rPr>
                <w:rFonts w:ascii="Times New Roman" w:hAnsi="Times New Roman" w:cs="Times New Roman"/>
                <w:color w:val="0D0D0D" w:themeColor="text1" w:themeTint="F2"/>
                <w:sz w:val="24"/>
                <w:szCs w:val="24"/>
                <w:shd w:val="clear" w:color="auto" w:fill="FFFFFF"/>
                <w:lang w:val="lv-LV"/>
              </w:rPr>
              <w:t>, kas saistīt</w:t>
            </w:r>
            <w:r w:rsidR="00764ED7" w:rsidRPr="00E73D94">
              <w:rPr>
                <w:rFonts w:ascii="Times New Roman" w:hAnsi="Times New Roman" w:cs="Times New Roman"/>
                <w:color w:val="0D0D0D" w:themeColor="text1" w:themeTint="F2"/>
                <w:sz w:val="24"/>
                <w:szCs w:val="24"/>
                <w:shd w:val="clear" w:color="auto" w:fill="FFFFFF"/>
                <w:lang w:val="lv-LV"/>
              </w:rPr>
              <w:t>as</w:t>
            </w:r>
            <w:r w:rsidRPr="00E73D94">
              <w:rPr>
                <w:rFonts w:ascii="Times New Roman" w:hAnsi="Times New Roman" w:cs="Times New Roman"/>
                <w:color w:val="0D0D0D" w:themeColor="text1" w:themeTint="F2"/>
                <w:sz w:val="24"/>
                <w:szCs w:val="24"/>
                <w:shd w:val="clear" w:color="auto" w:fill="FFFFFF"/>
                <w:lang w:val="lv-LV"/>
              </w:rPr>
              <w:t xml:space="preserve"> ar </w:t>
            </w:r>
            <w:r w:rsidR="00764ED7" w:rsidRPr="00E73D94">
              <w:rPr>
                <w:rFonts w:ascii="Times New Roman" w:hAnsi="Times New Roman" w:cs="Times New Roman"/>
                <w:color w:val="0D0D0D" w:themeColor="text1" w:themeTint="F2"/>
                <w:sz w:val="24"/>
                <w:szCs w:val="24"/>
                <w:shd w:val="clear" w:color="auto" w:fill="FFFFFF"/>
                <w:lang w:val="lv-LV"/>
              </w:rPr>
              <w:t>lēmuma pieņēmēju</w:t>
            </w:r>
            <w:r w:rsidRPr="00E73D94">
              <w:rPr>
                <w:rFonts w:ascii="Times New Roman" w:hAnsi="Times New Roman" w:cs="Times New Roman"/>
                <w:color w:val="0D0D0D" w:themeColor="text1" w:themeTint="F2"/>
                <w:sz w:val="24"/>
                <w:szCs w:val="24"/>
                <w:shd w:val="clear" w:color="auto" w:fill="FFFFFF"/>
                <w:lang w:val="lv-LV"/>
              </w:rPr>
              <w:t xml:space="preserve"> atlasi, iecelšanas un atcelšanas noteikumiem, ar mērķi nodrošināt </w:t>
            </w:r>
            <w:r w:rsidR="00764ED7" w:rsidRPr="00E73D94">
              <w:rPr>
                <w:rFonts w:ascii="Times New Roman" w:hAnsi="Times New Roman" w:cs="Times New Roman"/>
                <w:color w:val="0D0D0D" w:themeColor="text1" w:themeTint="F2"/>
                <w:sz w:val="24"/>
                <w:szCs w:val="24"/>
                <w:shd w:val="clear" w:color="auto" w:fill="FFFFFF"/>
                <w:lang w:val="lv-LV"/>
              </w:rPr>
              <w:t xml:space="preserve">lēmuma pieņēmēju </w:t>
            </w:r>
            <w:r w:rsidRPr="00E73D94">
              <w:rPr>
                <w:rFonts w:ascii="Times New Roman" w:hAnsi="Times New Roman" w:cs="Times New Roman"/>
                <w:color w:val="0D0D0D" w:themeColor="text1" w:themeTint="F2"/>
                <w:sz w:val="24"/>
                <w:szCs w:val="24"/>
                <w:shd w:val="clear" w:color="auto" w:fill="FFFFFF"/>
                <w:lang w:val="lv-LV"/>
              </w:rPr>
              <w:t xml:space="preserve">neatkarīgu atlasi, Likumprojektā paredzēts, ka KP priekšsēdētāju un divus padomes locekļus pēc Valsts kancelejas direktora ieteikuma amatā uz pieciem gadiem ieceļ Ministru kabinets. </w:t>
            </w:r>
            <w:r w:rsidR="00E82D35" w:rsidRPr="00E73D94">
              <w:rPr>
                <w:rFonts w:ascii="Times New Roman" w:hAnsi="Times New Roman" w:cs="Times New Roman"/>
                <w:color w:val="0D0D0D" w:themeColor="text1" w:themeTint="F2"/>
                <w:sz w:val="24"/>
                <w:szCs w:val="24"/>
                <w:shd w:val="clear" w:color="auto" w:fill="FFFFFF"/>
                <w:lang w:val="lv-LV"/>
              </w:rPr>
              <w:t xml:space="preserve">Papildus paredzēta arī padomes priekšsēdētāja un padomes locekļu atlases kārtība, </w:t>
            </w:r>
            <w:r w:rsidR="00E82D35" w:rsidRPr="00E73D94">
              <w:rPr>
                <w:rFonts w:ascii="Times New Roman" w:hAnsi="Times New Roman" w:cs="Times New Roman"/>
                <w:color w:val="0D0D0D" w:themeColor="text1" w:themeTint="F2"/>
                <w:sz w:val="24"/>
                <w:szCs w:val="24"/>
                <w:shd w:val="clear" w:color="auto" w:fill="FFFFFF"/>
                <w:lang w:val="lv-LV"/>
              </w:rPr>
              <w:lastRenderedPageBreak/>
              <w:t xml:space="preserve">ierobežojumi padomes locekļiem un to kandidātiem, kā arī padomes locekļa atbrīvošanas no amata kritēriji. </w:t>
            </w:r>
            <w:r w:rsidRPr="00E73D94">
              <w:rPr>
                <w:rFonts w:ascii="Times New Roman" w:hAnsi="Times New Roman" w:cs="Times New Roman"/>
                <w:color w:val="0D0D0D" w:themeColor="text1" w:themeTint="F2"/>
                <w:sz w:val="24"/>
                <w:szCs w:val="24"/>
                <w:shd w:val="clear" w:color="auto" w:fill="FFFFFF"/>
                <w:lang w:val="lv-LV"/>
              </w:rPr>
              <w:t xml:space="preserve"> </w:t>
            </w:r>
          </w:p>
          <w:p w14:paraId="2979FA78" w14:textId="0AF3EC24" w:rsidR="00542B12" w:rsidRPr="00E73D94" w:rsidRDefault="009954DF" w:rsidP="009614EB">
            <w:pPr>
              <w:pStyle w:val="ListParagraph"/>
              <w:numPr>
                <w:ilvl w:val="0"/>
                <w:numId w:val="15"/>
              </w:numPr>
              <w:spacing w:after="120" w:line="240" w:lineRule="auto"/>
              <w:ind w:left="714" w:hanging="357"/>
              <w:contextualSpacing w:val="0"/>
              <w:jc w:val="both"/>
              <w:rPr>
                <w:rFonts w:ascii="Times New Roman" w:hAnsi="Times New Roman" w:cs="Times New Roman"/>
                <w:b/>
                <w:bCs/>
                <w:color w:val="0D0D0D" w:themeColor="text1" w:themeTint="F2"/>
                <w:sz w:val="24"/>
                <w:szCs w:val="24"/>
              </w:rPr>
            </w:pPr>
            <w:r w:rsidRPr="00E73D94">
              <w:rPr>
                <w:rFonts w:ascii="Times New Roman" w:hAnsi="Times New Roman" w:cs="Times New Roman"/>
                <w:b/>
                <w:bCs/>
                <w:color w:val="0D0D0D" w:themeColor="text1" w:themeTint="F2"/>
                <w:sz w:val="24"/>
                <w:szCs w:val="24"/>
              </w:rPr>
              <w:t>Efektīvas izmeklēšanas pilnvaras</w:t>
            </w:r>
          </w:p>
          <w:p w14:paraId="55E3DF0E" w14:textId="517EDF4C" w:rsidR="000636E2" w:rsidRPr="00E73D94" w:rsidRDefault="007A77BE"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 xml:space="preserve">Likuma </w:t>
            </w:r>
            <w:r w:rsidR="000636E2" w:rsidRPr="00E73D94">
              <w:rPr>
                <w:rFonts w:ascii="Times New Roman" w:hAnsi="Times New Roman" w:cs="Times New Roman"/>
                <w:color w:val="0D0D0D" w:themeColor="text1" w:themeTint="F2"/>
                <w:sz w:val="24"/>
                <w:szCs w:val="24"/>
                <w:lang w:val="lv-LV"/>
              </w:rPr>
              <w:t xml:space="preserve">9.panta piektā daļa šobrīd neparedz atsevišķas izmeklēšanas pilnvaras, kuras kā minimālās prasības konkurences iestādēm nosaka Direktīva, lai tās spētu efektīvi izmeklēt konkurences tiesību pārkāpumus. Piemēram, veicot </w:t>
            </w:r>
            <w:r w:rsidRPr="00E73D94">
              <w:rPr>
                <w:rFonts w:ascii="Times New Roman" w:hAnsi="Times New Roman" w:cs="Times New Roman"/>
                <w:color w:val="0D0D0D" w:themeColor="text1" w:themeTint="F2"/>
                <w:sz w:val="24"/>
                <w:szCs w:val="24"/>
                <w:lang w:val="lv-LV"/>
              </w:rPr>
              <w:t>Likuma</w:t>
            </w:r>
            <w:r w:rsidR="000636E2" w:rsidRPr="00E73D94">
              <w:rPr>
                <w:rFonts w:ascii="Times New Roman" w:hAnsi="Times New Roman" w:cs="Times New Roman"/>
                <w:color w:val="0D0D0D" w:themeColor="text1" w:themeTint="F2"/>
                <w:sz w:val="24"/>
                <w:szCs w:val="24"/>
                <w:lang w:val="lv-LV"/>
              </w:rPr>
              <w:t xml:space="preserve"> 9.panta piektās daļas 4.punktā norādī</w:t>
            </w:r>
            <w:r w:rsidRPr="00E73D94">
              <w:rPr>
                <w:rFonts w:ascii="Times New Roman" w:hAnsi="Times New Roman" w:cs="Times New Roman"/>
                <w:color w:val="0D0D0D" w:themeColor="text1" w:themeTint="F2"/>
                <w:sz w:val="24"/>
                <w:szCs w:val="24"/>
                <w:lang w:val="lv-LV"/>
              </w:rPr>
              <w:t>tā</w:t>
            </w:r>
            <w:r w:rsidR="000636E2" w:rsidRPr="00E73D94">
              <w:rPr>
                <w:rFonts w:ascii="Times New Roman" w:hAnsi="Times New Roman" w:cs="Times New Roman"/>
                <w:color w:val="0D0D0D" w:themeColor="text1" w:themeTint="F2"/>
                <w:sz w:val="24"/>
                <w:szCs w:val="24"/>
                <w:lang w:val="lv-LV"/>
              </w:rPr>
              <w:t>s procesuālās darbības pie tirgus dalībniekiem, pierādījumu saglabāšanas nolūkā KP ir laikā, t.i.</w:t>
            </w:r>
            <w:r w:rsidR="00213859" w:rsidRPr="00E73D94">
              <w:rPr>
                <w:rFonts w:ascii="Times New Roman" w:hAnsi="Times New Roman" w:cs="Times New Roman"/>
                <w:color w:val="0D0D0D" w:themeColor="text1" w:themeTint="F2"/>
                <w:sz w:val="24"/>
                <w:szCs w:val="24"/>
                <w:lang w:val="lv-LV"/>
              </w:rPr>
              <w:t>,</w:t>
            </w:r>
            <w:r w:rsidR="000636E2" w:rsidRPr="00E73D94">
              <w:rPr>
                <w:rFonts w:ascii="Times New Roman" w:hAnsi="Times New Roman" w:cs="Times New Roman"/>
                <w:color w:val="0D0D0D" w:themeColor="text1" w:themeTint="F2"/>
                <w:sz w:val="24"/>
                <w:szCs w:val="24"/>
                <w:lang w:val="lv-LV"/>
              </w:rPr>
              <w:t xml:space="preserve"> līdz 72 stundām</w:t>
            </w:r>
            <w:r w:rsidR="00213859" w:rsidRPr="00E73D94">
              <w:rPr>
                <w:rFonts w:ascii="Times New Roman" w:hAnsi="Times New Roman" w:cs="Times New Roman"/>
                <w:color w:val="0D0D0D" w:themeColor="text1" w:themeTint="F2"/>
                <w:sz w:val="24"/>
                <w:szCs w:val="24"/>
                <w:lang w:val="lv-LV"/>
              </w:rPr>
              <w:t>,</w:t>
            </w:r>
            <w:r w:rsidR="000636E2" w:rsidRPr="00E73D94">
              <w:rPr>
                <w:rFonts w:ascii="Times New Roman" w:hAnsi="Times New Roman" w:cs="Times New Roman"/>
                <w:color w:val="0D0D0D" w:themeColor="text1" w:themeTint="F2"/>
                <w:sz w:val="24"/>
                <w:szCs w:val="24"/>
                <w:lang w:val="lv-LV"/>
              </w:rPr>
              <w:t xml:space="preserve"> ierobežotas tiesības aizzīmogot telpas un tajās esošās glabātavas. Tomēr atkarībā no, piemēram, tirgus dalībnieka lieluma, </w:t>
            </w:r>
            <w:r w:rsidR="0063196D" w:rsidRPr="00E73D94">
              <w:rPr>
                <w:rFonts w:ascii="Times New Roman" w:hAnsi="Times New Roman" w:cs="Times New Roman"/>
                <w:color w:val="0D0D0D" w:themeColor="text1" w:themeTint="F2"/>
                <w:sz w:val="24"/>
                <w:szCs w:val="24"/>
                <w:lang w:val="lv-LV"/>
              </w:rPr>
              <w:t xml:space="preserve">informācijas apjoma, esošās sadarbības </w:t>
            </w:r>
            <w:r w:rsidR="000636E2" w:rsidRPr="00E73D94">
              <w:rPr>
                <w:rFonts w:ascii="Times New Roman" w:hAnsi="Times New Roman" w:cs="Times New Roman"/>
                <w:color w:val="0D0D0D" w:themeColor="text1" w:themeTint="F2"/>
                <w:sz w:val="24"/>
                <w:szCs w:val="24"/>
                <w:lang w:val="lv-LV"/>
              </w:rPr>
              <w:t xml:space="preserve">var būt nepieciešams ilgāks laiks procesuālo darbību veikšanai un līdz ar to iespējai saglabāt pierādījumus neizmainītus pie tirgus dalībnieka, jo īpaši, sniedzot palīdzību Eiropas Komisijai vai citas dalībvalsts konkurences iestādei konkurences tiesību pārkāpumu izmeklēšanā. Direktīvas 6.panta 1.punkta d) apakšpunkts nosaka dalībvalstu pienākumu nodrošināt pilnvaras konkurences iestādei aizzīmogot uzņēmumu vai to apvienību telpas uz tik ilgu laiku un tādā apjomā, kāds vajadzīgs </w:t>
            </w:r>
            <w:r w:rsidR="0063196D" w:rsidRPr="00E73D94">
              <w:rPr>
                <w:rFonts w:ascii="Times New Roman" w:hAnsi="Times New Roman" w:cs="Times New Roman"/>
                <w:color w:val="0D0D0D" w:themeColor="text1" w:themeTint="F2"/>
                <w:sz w:val="24"/>
                <w:szCs w:val="24"/>
                <w:lang w:val="lv-LV"/>
              </w:rPr>
              <w:t>procesuālo darbību veikšanai</w:t>
            </w:r>
            <w:r w:rsidR="000636E2" w:rsidRPr="00E73D94">
              <w:rPr>
                <w:rFonts w:ascii="Times New Roman" w:hAnsi="Times New Roman" w:cs="Times New Roman"/>
                <w:color w:val="0D0D0D" w:themeColor="text1" w:themeTint="F2"/>
                <w:sz w:val="24"/>
                <w:szCs w:val="24"/>
                <w:lang w:val="lv-LV"/>
              </w:rPr>
              <w:t xml:space="preserve">. Līdz ar to atbilstoši Direktīvas prasībām </w:t>
            </w:r>
            <w:r w:rsidR="009A032E" w:rsidRPr="00E73D94">
              <w:rPr>
                <w:rFonts w:ascii="Times New Roman" w:hAnsi="Times New Roman" w:cs="Times New Roman"/>
                <w:color w:val="0D0D0D" w:themeColor="text1" w:themeTint="F2"/>
                <w:sz w:val="24"/>
                <w:szCs w:val="24"/>
                <w:lang w:val="lv-LV"/>
              </w:rPr>
              <w:t>L</w:t>
            </w:r>
            <w:r w:rsidR="000636E2" w:rsidRPr="00E73D94">
              <w:rPr>
                <w:rFonts w:ascii="Times New Roman" w:hAnsi="Times New Roman" w:cs="Times New Roman"/>
                <w:color w:val="0D0D0D" w:themeColor="text1" w:themeTint="F2"/>
                <w:sz w:val="24"/>
                <w:szCs w:val="24"/>
                <w:lang w:val="lv-LV"/>
              </w:rPr>
              <w:t xml:space="preserve">ikumprojektā nepieciešams precizēt </w:t>
            </w:r>
            <w:r w:rsidR="006344E7" w:rsidRPr="00E73D94">
              <w:rPr>
                <w:rFonts w:ascii="Times New Roman" w:hAnsi="Times New Roman" w:cs="Times New Roman"/>
                <w:color w:val="0D0D0D" w:themeColor="text1" w:themeTint="F2"/>
                <w:sz w:val="24"/>
                <w:szCs w:val="24"/>
                <w:lang w:val="lv-LV"/>
              </w:rPr>
              <w:t>Likuma</w:t>
            </w:r>
            <w:r w:rsidR="000636E2" w:rsidRPr="00E73D94">
              <w:rPr>
                <w:rFonts w:ascii="Times New Roman" w:hAnsi="Times New Roman" w:cs="Times New Roman"/>
                <w:color w:val="0D0D0D" w:themeColor="text1" w:themeTint="F2"/>
                <w:sz w:val="24"/>
                <w:szCs w:val="24"/>
                <w:lang w:val="lv-LV"/>
              </w:rPr>
              <w:t xml:space="preserve"> 9.panta piektās daļas 4.punkta g) apakšpunktā paredzētās KP tiesības procesuālo darbību laikā</w:t>
            </w:r>
            <w:r w:rsidR="007A6E5A" w:rsidRPr="00E73D94">
              <w:rPr>
                <w:rFonts w:ascii="Times New Roman" w:hAnsi="Times New Roman" w:cs="Times New Roman"/>
                <w:color w:val="0D0D0D" w:themeColor="text1" w:themeTint="F2"/>
                <w:sz w:val="24"/>
                <w:szCs w:val="24"/>
                <w:lang w:val="lv-LV"/>
              </w:rPr>
              <w:t>,</w:t>
            </w:r>
            <w:r w:rsidR="000636E2" w:rsidRPr="00E73D94">
              <w:rPr>
                <w:rFonts w:ascii="Times New Roman" w:hAnsi="Times New Roman" w:cs="Times New Roman"/>
                <w:color w:val="0D0D0D" w:themeColor="text1" w:themeTint="F2"/>
                <w:sz w:val="24"/>
                <w:szCs w:val="24"/>
                <w:lang w:val="lv-LV"/>
              </w:rPr>
              <w:t xml:space="preserve"> aizzīmogot tirgus dalībnieku telpas, glabātuves un citus objektus.</w:t>
            </w:r>
          </w:p>
          <w:p w14:paraId="4DA45CFD" w14:textId="70A9586C" w:rsidR="000636E2" w:rsidRPr="00A854D4" w:rsidRDefault="006344E7" w:rsidP="009614EB">
            <w:pPr>
              <w:spacing w:after="120" w:line="240" w:lineRule="auto"/>
              <w:jc w:val="both"/>
              <w:rPr>
                <w:rFonts w:ascii="Times New Roman" w:hAnsi="Times New Roman" w:cs="Times New Roman"/>
                <w:color w:val="0D0D0D" w:themeColor="text1" w:themeTint="F2"/>
                <w:sz w:val="24"/>
                <w:szCs w:val="24"/>
                <w:lang w:val="lv-LV"/>
              </w:rPr>
            </w:pPr>
            <w:r w:rsidRPr="009B6E97">
              <w:rPr>
                <w:rFonts w:ascii="Times New Roman" w:hAnsi="Times New Roman" w:cs="Times New Roman"/>
                <w:color w:val="0D0D0D" w:themeColor="text1" w:themeTint="F2"/>
                <w:sz w:val="24"/>
                <w:szCs w:val="24"/>
                <w:lang w:val="lv-LV"/>
              </w:rPr>
              <w:t>Likuma</w:t>
            </w:r>
            <w:r w:rsidR="000636E2" w:rsidRPr="009B6E97">
              <w:rPr>
                <w:rFonts w:ascii="Times New Roman" w:hAnsi="Times New Roman" w:cs="Times New Roman"/>
                <w:color w:val="0D0D0D" w:themeColor="text1" w:themeTint="F2"/>
                <w:sz w:val="24"/>
                <w:szCs w:val="24"/>
                <w:lang w:val="lv-LV"/>
              </w:rPr>
              <w:t xml:space="preserve"> 9.pantā paredzētas tiesības vienīgi KP amatpersonām īstenot šā panta piektās daļas 4.punktā paredzētās izmeklēšanas pilnvaras un šo procesuālo darbību īstenošanā saņemt </w:t>
            </w:r>
            <w:r w:rsidR="00D055AC" w:rsidRPr="009B6E97">
              <w:rPr>
                <w:rFonts w:ascii="Times New Roman" w:hAnsi="Times New Roman" w:cs="Times New Roman"/>
                <w:color w:val="0D0D0D" w:themeColor="text1" w:themeTint="F2"/>
                <w:sz w:val="24"/>
                <w:szCs w:val="24"/>
                <w:lang w:val="lv-LV"/>
              </w:rPr>
              <w:t>ti</w:t>
            </w:r>
            <w:r w:rsidR="003E0373" w:rsidRPr="00196555">
              <w:rPr>
                <w:rFonts w:ascii="Times New Roman" w:hAnsi="Times New Roman" w:cs="Times New Roman"/>
                <w:color w:val="0D0D0D" w:themeColor="text1" w:themeTint="F2"/>
                <w:sz w:val="24"/>
                <w:szCs w:val="24"/>
                <w:lang w:val="lv-LV"/>
              </w:rPr>
              <w:t>eši</w:t>
            </w:r>
            <w:r w:rsidR="00D055AC" w:rsidRPr="00196555">
              <w:rPr>
                <w:rFonts w:ascii="Times New Roman" w:hAnsi="Times New Roman" w:cs="Times New Roman"/>
                <w:color w:val="0D0D0D" w:themeColor="text1" w:themeTint="F2"/>
                <w:sz w:val="24"/>
                <w:szCs w:val="24"/>
                <w:lang w:val="lv-LV"/>
              </w:rPr>
              <w:t xml:space="preserve"> </w:t>
            </w:r>
            <w:r w:rsidR="000636E2" w:rsidRPr="00196555">
              <w:rPr>
                <w:rFonts w:ascii="Times New Roman" w:hAnsi="Times New Roman" w:cs="Times New Roman"/>
                <w:color w:val="0D0D0D" w:themeColor="text1" w:themeTint="F2"/>
                <w:sz w:val="24"/>
                <w:szCs w:val="24"/>
                <w:lang w:val="lv-LV"/>
              </w:rPr>
              <w:t xml:space="preserve">valsts policijas palīdzību. </w:t>
            </w:r>
            <w:r w:rsidR="00C5268B" w:rsidRPr="001F08CC">
              <w:rPr>
                <w:rFonts w:ascii="Times New Roman" w:hAnsi="Times New Roman" w:cs="Times New Roman"/>
                <w:color w:val="0D0D0D" w:themeColor="text1" w:themeTint="F2"/>
                <w:sz w:val="24"/>
                <w:szCs w:val="24"/>
                <w:lang w:val="lv-LV"/>
              </w:rPr>
              <w:t xml:space="preserve">Esošais regulējums neatbilst Direktīvas prasībām. </w:t>
            </w:r>
            <w:r w:rsidR="002665B3" w:rsidRPr="00693BC1">
              <w:rPr>
                <w:rFonts w:ascii="Times New Roman" w:hAnsi="Times New Roman" w:cs="Times New Roman"/>
                <w:color w:val="0D0D0D" w:themeColor="text1" w:themeTint="F2"/>
                <w:sz w:val="24"/>
                <w:szCs w:val="24"/>
                <w:lang w:val="lv-LV"/>
              </w:rPr>
              <w:t xml:space="preserve">Lai nacionālajām </w:t>
            </w:r>
            <w:r w:rsidR="0033265A" w:rsidRPr="008F709D">
              <w:rPr>
                <w:rFonts w:ascii="Times New Roman" w:hAnsi="Times New Roman" w:cs="Times New Roman"/>
                <w:color w:val="0D0D0D" w:themeColor="text1" w:themeTint="F2"/>
                <w:sz w:val="24"/>
                <w:szCs w:val="24"/>
                <w:lang w:val="lv-LV"/>
              </w:rPr>
              <w:t xml:space="preserve">konkurences iestādēm </w:t>
            </w:r>
            <w:r w:rsidR="009531AC" w:rsidRPr="008F709D">
              <w:rPr>
                <w:rFonts w:ascii="Times New Roman" w:hAnsi="Times New Roman" w:cs="Times New Roman"/>
                <w:color w:val="0D0D0D" w:themeColor="text1" w:themeTint="F2"/>
                <w:sz w:val="24"/>
                <w:szCs w:val="24"/>
                <w:lang w:val="lv-LV"/>
              </w:rPr>
              <w:t xml:space="preserve">piešķirtu </w:t>
            </w:r>
            <w:r w:rsidR="0033265A" w:rsidRPr="008F709D">
              <w:rPr>
                <w:rFonts w:ascii="Times New Roman" w:hAnsi="Times New Roman" w:cs="Times New Roman"/>
                <w:color w:val="0D0D0D" w:themeColor="text1" w:themeTint="F2"/>
                <w:sz w:val="24"/>
                <w:szCs w:val="24"/>
                <w:lang w:val="lv-LV"/>
              </w:rPr>
              <w:t>efektīvas izmekl</w:t>
            </w:r>
            <w:r w:rsidR="0033265A" w:rsidRPr="00780BF9">
              <w:rPr>
                <w:rFonts w:ascii="Times New Roman" w:hAnsi="Times New Roman" w:cs="Times New Roman"/>
                <w:color w:val="0D0D0D" w:themeColor="text1" w:themeTint="F2"/>
                <w:sz w:val="24"/>
                <w:szCs w:val="24"/>
                <w:lang w:val="lv-LV"/>
              </w:rPr>
              <w:t>ēšanas pilnvaras</w:t>
            </w:r>
            <w:r w:rsidR="00BD1ED1">
              <w:rPr>
                <w:rFonts w:ascii="Times New Roman" w:hAnsi="Times New Roman" w:cs="Times New Roman"/>
                <w:color w:val="0D0D0D" w:themeColor="text1" w:themeTint="F2"/>
                <w:sz w:val="24"/>
                <w:szCs w:val="24"/>
                <w:lang w:val="lv-LV"/>
              </w:rPr>
              <w:t xml:space="preserve"> atbilstoši Direktīvas prasībām</w:t>
            </w:r>
            <w:r w:rsidR="00766BBB" w:rsidRPr="00780BF9">
              <w:rPr>
                <w:rFonts w:ascii="Times New Roman" w:hAnsi="Times New Roman" w:cs="Times New Roman"/>
                <w:color w:val="0D0D0D" w:themeColor="text1" w:themeTint="F2"/>
                <w:sz w:val="24"/>
                <w:szCs w:val="24"/>
                <w:lang w:val="lv-LV"/>
              </w:rPr>
              <w:t xml:space="preserve">, </w:t>
            </w:r>
            <w:r w:rsidR="00954C84" w:rsidRPr="00780BF9">
              <w:rPr>
                <w:rFonts w:ascii="Times New Roman" w:hAnsi="Times New Roman" w:cs="Times New Roman"/>
                <w:color w:val="0D0D0D" w:themeColor="text1" w:themeTint="F2"/>
                <w:sz w:val="24"/>
                <w:szCs w:val="24"/>
                <w:lang w:val="lv-LV"/>
              </w:rPr>
              <w:t>Direktīva</w:t>
            </w:r>
            <w:r w:rsidR="00E5181A" w:rsidRPr="00780BF9">
              <w:rPr>
                <w:rFonts w:ascii="Times New Roman" w:hAnsi="Times New Roman" w:cs="Times New Roman"/>
                <w:color w:val="0D0D0D" w:themeColor="text1" w:themeTint="F2"/>
                <w:sz w:val="24"/>
                <w:szCs w:val="24"/>
                <w:lang w:val="lv-LV"/>
              </w:rPr>
              <w:t>s</w:t>
            </w:r>
            <w:r w:rsidR="00954C84" w:rsidRPr="00780BF9">
              <w:rPr>
                <w:rFonts w:ascii="Times New Roman" w:hAnsi="Times New Roman" w:cs="Times New Roman"/>
                <w:color w:val="0D0D0D" w:themeColor="text1" w:themeTint="F2"/>
                <w:sz w:val="24"/>
                <w:szCs w:val="24"/>
                <w:lang w:val="lv-LV"/>
              </w:rPr>
              <w:t xml:space="preserve"> </w:t>
            </w:r>
            <w:r w:rsidR="00CC75F0" w:rsidRPr="0096346D">
              <w:rPr>
                <w:rFonts w:ascii="Times New Roman" w:hAnsi="Times New Roman" w:cs="Times New Roman"/>
                <w:color w:val="0D0D0D" w:themeColor="text1" w:themeTint="F2"/>
                <w:sz w:val="24"/>
                <w:szCs w:val="24"/>
                <w:lang w:val="lv-LV"/>
              </w:rPr>
              <w:t xml:space="preserve">preambulas </w:t>
            </w:r>
            <w:r w:rsidR="00A56BF4" w:rsidRPr="0096346D">
              <w:rPr>
                <w:rFonts w:ascii="Times New Roman" w:hAnsi="Times New Roman" w:cs="Times New Roman"/>
                <w:color w:val="0D0D0D" w:themeColor="text1" w:themeTint="F2"/>
                <w:sz w:val="24"/>
                <w:szCs w:val="24"/>
                <w:lang w:val="lv-LV"/>
              </w:rPr>
              <w:t>34.punkt</w:t>
            </w:r>
            <w:r w:rsidR="00DC0933" w:rsidRPr="0096346D">
              <w:rPr>
                <w:rFonts w:ascii="Times New Roman" w:hAnsi="Times New Roman" w:cs="Times New Roman"/>
                <w:color w:val="0D0D0D" w:themeColor="text1" w:themeTint="F2"/>
                <w:sz w:val="24"/>
                <w:szCs w:val="24"/>
                <w:lang w:val="lv-LV"/>
              </w:rPr>
              <w:t>s</w:t>
            </w:r>
            <w:r w:rsidR="00DC4A37" w:rsidRPr="0096346D">
              <w:rPr>
                <w:rFonts w:ascii="Times New Roman" w:hAnsi="Times New Roman" w:cs="Times New Roman"/>
                <w:color w:val="0D0D0D" w:themeColor="text1" w:themeTint="F2"/>
                <w:sz w:val="24"/>
                <w:szCs w:val="24"/>
                <w:lang w:val="lv-LV"/>
              </w:rPr>
              <w:t xml:space="preserve"> </w:t>
            </w:r>
            <w:r w:rsidR="00BD1ED1">
              <w:rPr>
                <w:rFonts w:ascii="Times New Roman" w:hAnsi="Times New Roman" w:cs="Times New Roman"/>
                <w:color w:val="0D0D0D" w:themeColor="text1" w:themeTint="F2"/>
                <w:sz w:val="24"/>
                <w:szCs w:val="24"/>
                <w:lang w:val="lv-LV"/>
              </w:rPr>
              <w:t xml:space="preserve">skaidro </w:t>
            </w:r>
            <w:r w:rsidR="00DC4A37" w:rsidRPr="0096346D">
              <w:rPr>
                <w:rFonts w:ascii="Times New Roman" w:hAnsi="Times New Roman" w:cs="Times New Roman"/>
                <w:color w:val="0D0D0D" w:themeColor="text1" w:themeTint="F2"/>
                <w:sz w:val="24"/>
                <w:szCs w:val="24"/>
                <w:lang w:val="lv-LV"/>
              </w:rPr>
              <w:t xml:space="preserve">un </w:t>
            </w:r>
            <w:r w:rsidR="00644A92" w:rsidRPr="0096346D">
              <w:rPr>
                <w:rFonts w:ascii="Times New Roman" w:hAnsi="Times New Roman" w:cs="Times New Roman"/>
                <w:color w:val="0D0D0D" w:themeColor="text1" w:themeTint="F2"/>
                <w:sz w:val="24"/>
                <w:szCs w:val="24"/>
                <w:lang w:val="lv-LV"/>
              </w:rPr>
              <w:t>6.panta 2.punkts</w:t>
            </w:r>
            <w:r w:rsidR="007F1405" w:rsidRPr="0096346D">
              <w:rPr>
                <w:rFonts w:ascii="Times New Roman" w:hAnsi="Times New Roman" w:cs="Times New Roman"/>
                <w:color w:val="0D0D0D" w:themeColor="text1" w:themeTint="F2"/>
                <w:sz w:val="24"/>
                <w:szCs w:val="24"/>
                <w:lang w:val="lv-LV"/>
              </w:rPr>
              <w:t xml:space="preserve"> </w:t>
            </w:r>
            <w:r w:rsidR="006B72FE" w:rsidRPr="0096346D">
              <w:rPr>
                <w:rFonts w:ascii="Times New Roman" w:hAnsi="Times New Roman" w:cs="Times New Roman"/>
                <w:color w:val="0D0D0D" w:themeColor="text1" w:themeTint="F2"/>
                <w:sz w:val="24"/>
                <w:szCs w:val="24"/>
                <w:lang w:val="lv-LV"/>
              </w:rPr>
              <w:t>paredz</w:t>
            </w:r>
            <w:r w:rsidR="00473A9A" w:rsidRPr="0096346D">
              <w:rPr>
                <w:rFonts w:ascii="Times New Roman" w:hAnsi="Times New Roman" w:cs="Times New Roman"/>
                <w:color w:val="0D0D0D" w:themeColor="text1" w:themeTint="F2"/>
                <w:sz w:val="24"/>
                <w:szCs w:val="24"/>
                <w:lang w:val="lv-LV"/>
              </w:rPr>
              <w:t xml:space="preserve"> dalībvalstīm pienākumu nodrošināt</w:t>
            </w:r>
            <w:r w:rsidR="003D634B" w:rsidRPr="0096346D">
              <w:rPr>
                <w:rFonts w:ascii="Times New Roman" w:hAnsi="Times New Roman" w:cs="Times New Roman"/>
                <w:color w:val="0D0D0D" w:themeColor="text1" w:themeTint="F2"/>
                <w:sz w:val="24"/>
                <w:szCs w:val="24"/>
                <w:lang w:val="lv-LV"/>
              </w:rPr>
              <w:t xml:space="preserve">, ka procesuālās </w:t>
            </w:r>
            <w:r w:rsidR="006B72FE" w:rsidRPr="0096346D">
              <w:rPr>
                <w:rFonts w:ascii="Times New Roman" w:hAnsi="Times New Roman" w:cs="Times New Roman"/>
                <w:color w:val="0D0D0D" w:themeColor="text1" w:themeTint="F2"/>
                <w:sz w:val="24"/>
                <w:szCs w:val="24"/>
                <w:lang w:val="lv-LV"/>
              </w:rPr>
              <w:t xml:space="preserve"> </w:t>
            </w:r>
            <w:r w:rsidR="00DD6103" w:rsidRPr="0096346D">
              <w:rPr>
                <w:rFonts w:ascii="Times New Roman" w:hAnsi="Times New Roman" w:cs="Times New Roman"/>
                <w:color w:val="0D0D0D" w:themeColor="text1" w:themeTint="F2"/>
                <w:sz w:val="24"/>
                <w:szCs w:val="24"/>
                <w:lang w:val="lv-LV"/>
              </w:rPr>
              <w:t xml:space="preserve">darbības </w:t>
            </w:r>
            <w:r w:rsidR="00D82D2A" w:rsidRPr="0096346D">
              <w:rPr>
                <w:rFonts w:ascii="Times New Roman" w:hAnsi="Times New Roman" w:cs="Times New Roman"/>
                <w:color w:val="0D0D0D" w:themeColor="text1" w:themeTint="F2"/>
                <w:sz w:val="24"/>
                <w:szCs w:val="24"/>
                <w:lang w:val="lv-LV"/>
              </w:rPr>
              <w:t xml:space="preserve">(inspekcijas) </w:t>
            </w:r>
            <w:r w:rsidR="00DD6103" w:rsidRPr="00927240">
              <w:rPr>
                <w:rFonts w:ascii="Times New Roman" w:hAnsi="Times New Roman" w:cs="Times New Roman"/>
                <w:color w:val="0D0D0D" w:themeColor="text1" w:themeTint="F2"/>
                <w:sz w:val="24"/>
                <w:szCs w:val="24"/>
                <w:lang w:val="lv-LV"/>
              </w:rPr>
              <w:t xml:space="preserve">var veikt </w:t>
            </w:r>
            <w:r w:rsidR="00E17C5B" w:rsidRPr="00927240">
              <w:rPr>
                <w:rFonts w:ascii="Times New Roman" w:hAnsi="Times New Roman" w:cs="Times New Roman"/>
                <w:color w:val="0D0D0D" w:themeColor="text1" w:themeTint="F2"/>
                <w:sz w:val="24"/>
                <w:szCs w:val="24"/>
                <w:lang w:val="lv-LV"/>
              </w:rPr>
              <w:t xml:space="preserve">ne vien </w:t>
            </w:r>
            <w:r w:rsidR="00355FBD" w:rsidRPr="00927240">
              <w:rPr>
                <w:rFonts w:ascii="Times New Roman" w:hAnsi="Times New Roman" w:cs="Times New Roman"/>
                <w:color w:val="0D0D0D" w:themeColor="text1" w:themeTint="F2"/>
                <w:sz w:val="24"/>
                <w:szCs w:val="24"/>
                <w:lang w:val="lv-LV"/>
              </w:rPr>
              <w:t>konkurences iestāde</w:t>
            </w:r>
            <w:r w:rsidR="005371B8" w:rsidRPr="00927240">
              <w:rPr>
                <w:rFonts w:ascii="Times New Roman" w:hAnsi="Times New Roman" w:cs="Times New Roman"/>
                <w:color w:val="0D0D0D" w:themeColor="text1" w:themeTint="F2"/>
                <w:sz w:val="24"/>
                <w:szCs w:val="24"/>
                <w:lang w:val="lv-LV"/>
              </w:rPr>
              <w:t xml:space="preserve"> pati</w:t>
            </w:r>
            <w:r w:rsidR="00355FBD" w:rsidRPr="00927240">
              <w:rPr>
                <w:rFonts w:ascii="Times New Roman" w:hAnsi="Times New Roman" w:cs="Times New Roman"/>
                <w:color w:val="0D0D0D" w:themeColor="text1" w:themeTint="F2"/>
                <w:sz w:val="24"/>
                <w:szCs w:val="24"/>
                <w:lang w:val="lv-LV"/>
              </w:rPr>
              <w:t xml:space="preserve">, </w:t>
            </w:r>
            <w:r w:rsidR="00DE513E" w:rsidRPr="00927240">
              <w:rPr>
                <w:rFonts w:ascii="Times New Roman" w:hAnsi="Times New Roman" w:cs="Times New Roman"/>
                <w:color w:val="0D0D0D" w:themeColor="text1" w:themeTint="F2"/>
                <w:sz w:val="24"/>
                <w:szCs w:val="24"/>
                <w:lang w:val="lv-LV"/>
              </w:rPr>
              <w:t xml:space="preserve">saņemot nepieciešamo </w:t>
            </w:r>
            <w:r w:rsidR="00843FE7">
              <w:rPr>
                <w:rFonts w:ascii="Times New Roman" w:hAnsi="Times New Roman" w:cs="Times New Roman"/>
                <w:color w:val="0D0D0D" w:themeColor="text1" w:themeTint="F2"/>
                <w:sz w:val="24"/>
                <w:szCs w:val="24"/>
                <w:lang w:val="lv-LV"/>
              </w:rPr>
              <w:t>atbalstu</w:t>
            </w:r>
            <w:r w:rsidR="001C013C" w:rsidRPr="00843FE7">
              <w:rPr>
                <w:rFonts w:ascii="Times New Roman" w:hAnsi="Times New Roman" w:cs="Times New Roman"/>
                <w:color w:val="0D0D0D" w:themeColor="text1" w:themeTint="F2"/>
                <w:sz w:val="24"/>
                <w:szCs w:val="24"/>
                <w:lang w:val="lv-LV"/>
              </w:rPr>
              <w:t xml:space="preserve"> no policijas vai citas līdzvērtīgas tiesībaizsardzības iestāde</w:t>
            </w:r>
            <w:r w:rsidR="00D9003B" w:rsidRPr="00843FE7">
              <w:rPr>
                <w:rFonts w:ascii="Times New Roman" w:hAnsi="Times New Roman" w:cs="Times New Roman"/>
                <w:color w:val="0D0D0D" w:themeColor="text1" w:themeTint="F2"/>
                <w:sz w:val="24"/>
                <w:szCs w:val="24"/>
                <w:lang w:val="lv-LV"/>
              </w:rPr>
              <w:t>s</w:t>
            </w:r>
            <w:r w:rsidR="001C013C" w:rsidRPr="00843FE7">
              <w:rPr>
                <w:rFonts w:ascii="Times New Roman" w:hAnsi="Times New Roman" w:cs="Times New Roman"/>
                <w:color w:val="0D0D0D" w:themeColor="text1" w:themeTint="F2"/>
                <w:sz w:val="24"/>
                <w:szCs w:val="24"/>
                <w:lang w:val="lv-LV"/>
              </w:rPr>
              <w:t xml:space="preserve">, </w:t>
            </w:r>
            <w:r w:rsidR="00355FBD" w:rsidRPr="009B6E97">
              <w:rPr>
                <w:rFonts w:ascii="Times New Roman" w:hAnsi="Times New Roman" w:cs="Times New Roman"/>
                <w:color w:val="0D0D0D" w:themeColor="text1" w:themeTint="F2"/>
                <w:sz w:val="24"/>
                <w:szCs w:val="24"/>
                <w:lang w:val="lv-LV"/>
              </w:rPr>
              <w:t>bet šo darbību veikša</w:t>
            </w:r>
            <w:r w:rsidR="00355FBD" w:rsidRPr="00196555">
              <w:rPr>
                <w:rFonts w:ascii="Times New Roman" w:hAnsi="Times New Roman" w:cs="Times New Roman"/>
                <w:color w:val="0D0D0D" w:themeColor="text1" w:themeTint="F2"/>
                <w:sz w:val="24"/>
                <w:szCs w:val="24"/>
                <w:lang w:val="lv-LV"/>
              </w:rPr>
              <w:t>n</w:t>
            </w:r>
            <w:r w:rsidR="005371B8" w:rsidRPr="00196555">
              <w:rPr>
                <w:rFonts w:ascii="Times New Roman" w:hAnsi="Times New Roman" w:cs="Times New Roman"/>
                <w:color w:val="0D0D0D" w:themeColor="text1" w:themeTint="F2"/>
                <w:sz w:val="24"/>
                <w:szCs w:val="24"/>
                <w:lang w:val="lv-LV"/>
              </w:rPr>
              <w:t>u tā</w:t>
            </w:r>
            <w:r w:rsidR="00355FBD" w:rsidRPr="00196555">
              <w:rPr>
                <w:rFonts w:ascii="Times New Roman" w:hAnsi="Times New Roman" w:cs="Times New Roman"/>
                <w:color w:val="0D0D0D" w:themeColor="text1" w:themeTint="F2"/>
                <w:sz w:val="24"/>
                <w:szCs w:val="24"/>
                <w:lang w:val="lv-LV"/>
              </w:rPr>
              <w:t xml:space="preserve"> </w:t>
            </w:r>
            <w:r w:rsidR="00584B3A" w:rsidRPr="00196555">
              <w:rPr>
                <w:rFonts w:ascii="Times New Roman" w:hAnsi="Times New Roman" w:cs="Times New Roman"/>
                <w:color w:val="0D0D0D" w:themeColor="text1" w:themeTint="F2"/>
                <w:sz w:val="24"/>
                <w:szCs w:val="24"/>
                <w:lang w:val="lv-LV"/>
              </w:rPr>
              <w:t xml:space="preserve">pilnā vai daļējā apmērā </w:t>
            </w:r>
            <w:r w:rsidR="005371B8" w:rsidRPr="001F08CC">
              <w:rPr>
                <w:rFonts w:ascii="Times New Roman" w:hAnsi="Times New Roman" w:cs="Times New Roman"/>
                <w:color w:val="0D0D0D" w:themeColor="text1" w:themeTint="F2"/>
                <w:sz w:val="24"/>
                <w:szCs w:val="24"/>
                <w:lang w:val="lv-LV"/>
              </w:rPr>
              <w:t xml:space="preserve">var uzticēt </w:t>
            </w:r>
            <w:r w:rsidR="00026FAA" w:rsidRPr="001F08CC">
              <w:rPr>
                <w:rFonts w:ascii="Times New Roman" w:hAnsi="Times New Roman" w:cs="Times New Roman"/>
                <w:color w:val="0D0D0D" w:themeColor="text1" w:themeTint="F2"/>
                <w:sz w:val="24"/>
                <w:szCs w:val="24"/>
                <w:lang w:val="lv-LV"/>
              </w:rPr>
              <w:t xml:space="preserve">policijai vai līdzvērtīgai </w:t>
            </w:r>
            <w:r w:rsidR="002F4E0C" w:rsidRPr="00693BC1">
              <w:rPr>
                <w:rFonts w:ascii="Times New Roman" w:hAnsi="Times New Roman" w:cs="Times New Roman"/>
                <w:color w:val="0D0D0D" w:themeColor="text1" w:themeTint="F2"/>
                <w:sz w:val="24"/>
                <w:szCs w:val="24"/>
                <w:lang w:val="lv-LV"/>
              </w:rPr>
              <w:t>tiesībaizsardzības iestādei</w:t>
            </w:r>
            <w:r w:rsidR="00026FAA" w:rsidRPr="00693BC1">
              <w:rPr>
                <w:rFonts w:ascii="Times New Roman" w:hAnsi="Times New Roman" w:cs="Times New Roman"/>
                <w:color w:val="0D0D0D" w:themeColor="text1" w:themeTint="F2"/>
                <w:sz w:val="24"/>
                <w:szCs w:val="24"/>
                <w:lang w:val="lv-LV"/>
              </w:rPr>
              <w:t xml:space="preserve"> ar noteikumu, ka </w:t>
            </w:r>
            <w:r w:rsidR="00C96E33" w:rsidRPr="008F709D">
              <w:rPr>
                <w:rFonts w:ascii="Times New Roman" w:hAnsi="Times New Roman" w:cs="Times New Roman"/>
                <w:color w:val="0D0D0D" w:themeColor="text1" w:themeTint="F2"/>
                <w:sz w:val="24"/>
                <w:szCs w:val="24"/>
                <w:lang w:val="lv-LV"/>
              </w:rPr>
              <w:t xml:space="preserve">izmeklēšanas darbības </w:t>
            </w:r>
            <w:r w:rsidR="00026FAA" w:rsidRPr="008F709D">
              <w:rPr>
                <w:rFonts w:ascii="Times New Roman" w:hAnsi="Times New Roman" w:cs="Times New Roman"/>
                <w:color w:val="0D0D0D" w:themeColor="text1" w:themeTint="F2"/>
                <w:sz w:val="24"/>
                <w:szCs w:val="24"/>
                <w:lang w:val="lv-LV"/>
              </w:rPr>
              <w:t>tiek veikta</w:t>
            </w:r>
            <w:r w:rsidR="00C96E33" w:rsidRPr="008F709D">
              <w:rPr>
                <w:rFonts w:ascii="Times New Roman" w:hAnsi="Times New Roman" w:cs="Times New Roman"/>
                <w:color w:val="0D0D0D" w:themeColor="text1" w:themeTint="F2"/>
                <w:sz w:val="24"/>
                <w:szCs w:val="24"/>
                <w:lang w:val="lv-LV"/>
              </w:rPr>
              <w:t>s</w:t>
            </w:r>
            <w:r w:rsidR="00026FAA" w:rsidRPr="008F709D">
              <w:rPr>
                <w:rFonts w:ascii="Times New Roman" w:hAnsi="Times New Roman" w:cs="Times New Roman"/>
                <w:color w:val="0D0D0D" w:themeColor="text1" w:themeTint="F2"/>
                <w:sz w:val="24"/>
                <w:szCs w:val="24"/>
                <w:lang w:val="lv-LV"/>
              </w:rPr>
              <w:t xml:space="preserve"> konkurences iestādes klātbūtnē.</w:t>
            </w:r>
            <w:r w:rsidR="00F34B1D" w:rsidRPr="008F709D">
              <w:rPr>
                <w:rFonts w:ascii="Times New Roman" w:hAnsi="Times New Roman" w:cs="Times New Roman"/>
                <w:color w:val="0D0D0D" w:themeColor="text1" w:themeTint="F2"/>
                <w:sz w:val="24"/>
                <w:szCs w:val="24"/>
                <w:lang w:val="lv-LV"/>
              </w:rPr>
              <w:t xml:space="preserve"> Tam ir izšķiroša nozīme</w:t>
            </w:r>
            <w:r w:rsidR="00941F5A" w:rsidRPr="008F709D">
              <w:rPr>
                <w:rFonts w:ascii="Times New Roman" w:hAnsi="Times New Roman" w:cs="Times New Roman"/>
                <w:color w:val="0D0D0D" w:themeColor="text1" w:themeTint="F2"/>
                <w:sz w:val="24"/>
                <w:szCs w:val="24"/>
                <w:lang w:val="lv-LV"/>
              </w:rPr>
              <w:t>,</w:t>
            </w:r>
            <w:r w:rsidR="00111B4B" w:rsidRPr="008F709D">
              <w:rPr>
                <w:rFonts w:ascii="Times New Roman" w:hAnsi="Times New Roman" w:cs="Times New Roman"/>
                <w:color w:val="0D0D0D" w:themeColor="text1" w:themeTint="F2"/>
                <w:sz w:val="24"/>
                <w:szCs w:val="24"/>
                <w:lang w:val="lv-LV"/>
              </w:rPr>
              <w:t xml:space="preserve"> jo īpaši </w:t>
            </w:r>
            <w:r w:rsidR="00AF4076" w:rsidRPr="008F709D">
              <w:rPr>
                <w:rFonts w:ascii="Times New Roman" w:hAnsi="Times New Roman" w:cs="Times New Roman"/>
                <w:color w:val="0D0D0D" w:themeColor="text1" w:themeTint="F2"/>
                <w:sz w:val="24"/>
                <w:szCs w:val="24"/>
                <w:lang w:val="lv-LV"/>
              </w:rPr>
              <w:t>konkurences iest</w:t>
            </w:r>
            <w:r w:rsidR="00AF4076" w:rsidRPr="00780BF9">
              <w:rPr>
                <w:rFonts w:ascii="Times New Roman" w:hAnsi="Times New Roman" w:cs="Times New Roman"/>
                <w:color w:val="0D0D0D" w:themeColor="text1" w:themeTint="F2"/>
                <w:sz w:val="24"/>
                <w:szCs w:val="24"/>
                <w:lang w:val="lv-LV"/>
              </w:rPr>
              <w:t xml:space="preserve">ādei </w:t>
            </w:r>
            <w:r w:rsidR="00111B4B" w:rsidRPr="00780BF9">
              <w:rPr>
                <w:rFonts w:ascii="Times New Roman" w:hAnsi="Times New Roman" w:cs="Times New Roman"/>
                <w:color w:val="0D0D0D" w:themeColor="text1" w:themeTint="F2"/>
                <w:sz w:val="24"/>
                <w:szCs w:val="24"/>
                <w:lang w:val="lv-LV"/>
              </w:rPr>
              <w:t xml:space="preserve">nodrošinot </w:t>
            </w:r>
            <w:r w:rsidR="00AF4076" w:rsidRPr="00780BF9">
              <w:rPr>
                <w:rFonts w:ascii="Times New Roman" w:hAnsi="Times New Roman" w:cs="Times New Roman"/>
                <w:color w:val="0D0D0D" w:themeColor="text1" w:themeTint="F2"/>
                <w:sz w:val="24"/>
                <w:szCs w:val="24"/>
                <w:lang w:val="lv-LV"/>
              </w:rPr>
              <w:t>plaša mēroga</w:t>
            </w:r>
            <w:r w:rsidR="00E13129" w:rsidRPr="00780BF9">
              <w:rPr>
                <w:rFonts w:ascii="Times New Roman" w:hAnsi="Times New Roman" w:cs="Times New Roman"/>
                <w:color w:val="0D0D0D" w:themeColor="text1" w:themeTint="F2"/>
                <w:sz w:val="24"/>
                <w:szCs w:val="24"/>
                <w:lang w:val="lv-LV"/>
              </w:rPr>
              <w:t>,</w:t>
            </w:r>
            <w:r w:rsidR="00AF4076" w:rsidRPr="00780BF9">
              <w:rPr>
                <w:rFonts w:ascii="Times New Roman" w:hAnsi="Times New Roman" w:cs="Times New Roman"/>
                <w:color w:val="0D0D0D" w:themeColor="text1" w:themeTint="F2"/>
                <w:sz w:val="24"/>
                <w:szCs w:val="24"/>
                <w:lang w:val="lv-LV"/>
              </w:rPr>
              <w:t xml:space="preserve"> </w:t>
            </w:r>
            <w:r w:rsidR="00111B4B" w:rsidRPr="0096346D">
              <w:rPr>
                <w:rFonts w:ascii="Times New Roman" w:hAnsi="Times New Roman" w:cs="Times New Roman"/>
                <w:color w:val="0D0D0D" w:themeColor="text1" w:themeTint="F2"/>
                <w:sz w:val="24"/>
                <w:szCs w:val="24"/>
                <w:lang w:val="lv-LV"/>
              </w:rPr>
              <w:t>apjomīgu procesuālo darbību (inspekciju) īstenošanu</w:t>
            </w:r>
            <w:r w:rsidR="00397D0A" w:rsidRPr="0096346D">
              <w:rPr>
                <w:rFonts w:ascii="Times New Roman" w:hAnsi="Times New Roman" w:cs="Times New Roman"/>
                <w:color w:val="0D0D0D" w:themeColor="text1" w:themeTint="F2"/>
                <w:sz w:val="24"/>
                <w:szCs w:val="24"/>
                <w:lang w:val="lv-LV"/>
              </w:rPr>
              <w:t xml:space="preserve">, </w:t>
            </w:r>
            <w:r w:rsidR="00EB38C4" w:rsidRPr="00BD1ED1">
              <w:rPr>
                <w:rFonts w:ascii="Times New Roman" w:hAnsi="Times New Roman" w:cs="Times New Roman"/>
                <w:color w:val="0D0D0D" w:themeColor="text1" w:themeTint="F2"/>
                <w:sz w:val="24"/>
                <w:szCs w:val="24"/>
                <w:lang w:val="lv-LV"/>
              </w:rPr>
              <w:t>tostarp</w:t>
            </w:r>
            <w:r w:rsidR="00EF3090" w:rsidRPr="00BD1ED1">
              <w:rPr>
                <w:rFonts w:ascii="Times New Roman" w:hAnsi="Times New Roman" w:cs="Times New Roman"/>
                <w:color w:val="0D0D0D" w:themeColor="text1" w:themeTint="F2"/>
                <w:sz w:val="24"/>
                <w:szCs w:val="24"/>
                <w:lang w:val="lv-LV"/>
              </w:rPr>
              <w:t xml:space="preserve"> </w:t>
            </w:r>
            <w:r w:rsidR="00D56345" w:rsidRPr="009614EB">
              <w:rPr>
                <w:rFonts w:ascii="Times New Roman" w:hAnsi="Times New Roman" w:cs="Times New Roman"/>
                <w:sz w:val="24"/>
                <w:szCs w:val="24"/>
                <w:lang w:val="lv-LV"/>
              </w:rPr>
              <w:t xml:space="preserve">īstenojot no </w:t>
            </w:r>
            <w:r w:rsidR="00D56345" w:rsidRPr="00BD1ED1">
              <w:rPr>
                <w:rFonts w:ascii="Times New Roman" w:hAnsi="Times New Roman" w:cs="Times New Roman"/>
                <w:color w:val="0D0D0D" w:themeColor="text1" w:themeTint="F2"/>
                <w:sz w:val="24"/>
                <w:szCs w:val="24"/>
                <w:lang w:val="lv-LV"/>
              </w:rPr>
              <w:t>Regulas (EK) Nr. 1</w:t>
            </w:r>
            <w:r w:rsidR="00D56345" w:rsidRPr="00E73D94">
              <w:rPr>
                <w:rFonts w:ascii="Times New Roman" w:hAnsi="Times New Roman" w:cs="Times New Roman"/>
                <w:color w:val="0D0D0D" w:themeColor="text1" w:themeTint="F2"/>
                <w:sz w:val="24"/>
                <w:szCs w:val="24"/>
                <w:lang w:val="lv-LV"/>
              </w:rPr>
              <w:t>/2003</w:t>
            </w:r>
            <w:r w:rsidR="00D56345" w:rsidRPr="00805461">
              <w:rPr>
                <w:rFonts w:ascii="Times New Roman" w:hAnsi="Times New Roman" w:cs="Times New Roman"/>
                <w:color w:val="0D0D0D" w:themeColor="text1" w:themeTint="F2"/>
                <w:sz w:val="24"/>
                <w:szCs w:val="24"/>
                <w:lang w:val="lv-LV"/>
              </w:rPr>
              <w:t xml:space="preserve"> izrietošo pienākumu </w:t>
            </w:r>
            <w:r w:rsidR="0089348B" w:rsidRPr="004517A1">
              <w:rPr>
                <w:rFonts w:ascii="Times New Roman" w:hAnsi="Times New Roman" w:cs="Times New Roman"/>
                <w:color w:val="0D0D0D" w:themeColor="text1" w:themeTint="F2"/>
                <w:sz w:val="24"/>
                <w:szCs w:val="24"/>
                <w:lang w:val="lv-LV"/>
              </w:rPr>
              <w:t>snie</w:t>
            </w:r>
            <w:r w:rsidR="00F71E77" w:rsidRPr="004517A1">
              <w:rPr>
                <w:rFonts w:ascii="Times New Roman" w:hAnsi="Times New Roman" w:cs="Times New Roman"/>
                <w:color w:val="0D0D0D" w:themeColor="text1" w:themeTint="F2"/>
                <w:sz w:val="24"/>
                <w:szCs w:val="24"/>
                <w:lang w:val="lv-LV"/>
              </w:rPr>
              <w:t>g</w:t>
            </w:r>
            <w:r w:rsidR="0089348B" w:rsidRPr="004517A1">
              <w:rPr>
                <w:rFonts w:ascii="Times New Roman" w:hAnsi="Times New Roman" w:cs="Times New Roman"/>
                <w:color w:val="0D0D0D" w:themeColor="text1" w:themeTint="F2"/>
                <w:sz w:val="24"/>
                <w:szCs w:val="24"/>
                <w:lang w:val="lv-LV"/>
              </w:rPr>
              <w:t>t palīdzību Eiropas Komisijai vai citas dalībvalsts konkurences iestādei konkurences tiesību pārkāpumu izmeklēšanā</w:t>
            </w:r>
            <w:r w:rsidR="0032204A">
              <w:rPr>
                <w:rFonts w:ascii="Times New Roman" w:hAnsi="Times New Roman" w:cs="Times New Roman"/>
                <w:color w:val="0D0D0D" w:themeColor="text1" w:themeTint="F2"/>
                <w:sz w:val="24"/>
                <w:szCs w:val="24"/>
                <w:lang w:val="lv-LV"/>
              </w:rPr>
              <w:t xml:space="preserve">, situācijā, kad </w:t>
            </w:r>
            <w:r w:rsidR="007F5BFE">
              <w:rPr>
                <w:rFonts w:ascii="Times New Roman" w:hAnsi="Times New Roman" w:cs="Times New Roman"/>
                <w:color w:val="0D0D0D" w:themeColor="text1" w:themeTint="F2"/>
                <w:sz w:val="24"/>
                <w:szCs w:val="24"/>
                <w:lang w:val="lv-LV"/>
              </w:rPr>
              <w:t>konkurences iestādes</w:t>
            </w:r>
            <w:r w:rsidR="00805461">
              <w:rPr>
                <w:rFonts w:ascii="Times New Roman" w:hAnsi="Times New Roman" w:cs="Times New Roman"/>
                <w:color w:val="0D0D0D" w:themeColor="text1" w:themeTint="F2"/>
                <w:sz w:val="24"/>
                <w:szCs w:val="24"/>
                <w:lang w:val="lv-LV"/>
              </w:rPr>
              <w:t xml:space="preserve"> rīcībā nav pietiekamu </w:t>
            </w:r>
            <w:r w:rsidR="006A1453">
              <w:rPr>
                <w:rFonts w:ascii="Times New Roman" w:hAnsi="Times New Roman" w:cs="Times New Roman"/>
                <w:color w:val="0D0D0D" w:themeColor="text1" w:themeTint="F2"/>
                <w:sz w:val="24"/>
                <w:szCs w:val="24"/>
                <w:lang w:val="lv-LV"/>
              </w:rPr>
              <w:t>cilvēkresursu, tehnisko un tehnoloģisko resursu.</w:t>
            </w:r>
            <w:r w:rsidR="00A07D2D" w:rsidRPr="0032204A">
              <w:rPr>
                <w:rFonts w:ascii="Times New Roman" w:hAnsi="Times New Roman" w:cs="Times New Roman"/>
                <w:color w:val="0D0D0D" w:themeColor="text1" w:themeTint="F2"/>
                <w:sz w:val="24"/>
                <w:szCs w:val="24"/>
                <w:lang w:val="lv-LV"/>
              </w:rPr>
              <w:t xml:space="preserve"> </w:t>
            </w:r>
            <w:r w:rsidR="00071302">
              <w:rPr>
                <w:rFonts w:ascii="Times New Roman" w:hAnsi="Times New Roman" w:cs="Times New Roman"/>
                <w:color w:val="0D0D0D" w:themeColor="text1" w:themeTint="F2"/>
                <w:sz w:val="24"/>
                <w:szCs w:val="24"/>
                <w:lang w:val="lv-LV"/>
              </w:rPr>
              <w:t>Šādos gadījumos</w:t>
            </w:r>
            <w:r w:rsidR="00DE027D">
              <w:rPr>
                <w:rFonts w:ascii="Times New Roman" w:hAnsi="Times New Roman" w:cs="Times New Roman"/>
                <w:color w:val="0D0D0D" w:themeColor="text1" w:themeTint="F2"/>
                <w:sz w:val="24"/>
                <w:szCs w:val="24"/>
                <w:lang w:val="lv-LV"/>
              </w:rPr>
              <w:t>, lai izpildītu Direktīvas prasības</w:t>
            </w:r>
            <w:r w:rsidR="004517A1">
              <w:rPr>
                <w:rFonts w:ascii="Times New Roman" w:hAnsi="Times New Roman" w:cs="Times New Roman"/>
                <w:color w:val="0D0D0D" w:themeColor="text1" w:themeTint="F2"/>
                <w:sz w:val="24"/>
                <w:szCs w:val="24"/>
                <w:lang w:val="lv-LV"/>
              </w:rPr>
              <w:t xml:space="preserve">, </w:t>
            </w:r>
            <w:r w:rsidR="00071302">
              <w:rPr>
                <w:rFonts w:ascii="Times New Roman" w:hAnsi="Times New Roman" w:cs="Times New Roman"/>
                <w:color w:val="0D0D0D" w:themeColor="text1" w:themeTint="F2"/>
                <w:sz w:val="24"/>
                <w:szCs w:val="24"/>
                <w:lang w:val="lv-LV"/>
              </w:rPr>
              <w:t>e</w:t>
            </w:r>
            <w:r w:rsidR="00B861E3" w:rsidRPr="0083366E">
              <w:rPr>
                <w:rFonts w:ascii="Times New Roman" w:hAnsi="Times New Roman" w:cs="Times New Roman"/>
                <w:color w:val="0D0D0D" w:themeColor="text1" w:themeTint="F2"/>
                <w:sz w:val="24"/>
                <w:szCs w:val="24"/>
                <w:lang w:val="lv-LV"/>
              </w:rPr>
              <w:t>fektīv</w:t>
            </w:r>
            <w:r w:rsidR="00B861E3" w:rsidRPr="00F9115F">
              <w:rPr>
                <w:rFonts w:ascii="Times New Roman" w:hAnsi="Times New Roman" w:cs="Times New Roman"/>
                <w:color w:val="0D0D0D" w:themeColor="text1" w:themeTint="F2"/>
                <w:sz w:val="24"/>
                <w:szCs w:val="24"/>
                <w:lang w:val="lv-LV"/>
              </w:rPr>
              <w:t xml:space="preserve">u izmeklēšanas darbību nolūkos </w:t>
            </w:r>
            <w:r w:rsidR="00F9115F">
              <w:rPr>
                <w:rFonts w:ascii="Times New Roman" w:hAnsi="Times New Roman" w:cs="Times New Roman"/>
                <w:color w:val="0D0D0D" w:themeColor="text1" w:themeTint="F2"/>
                <w:sz w:val="24"/>
                <w:szCs w:val="24"/>
                <w:lang w:val="lv-LV"/>
              </w:rPr>
              <w:t xml:space="preserve">konkurences </w:t>
            </w:r>
            <w:r w:rsidR="00F9115F">
              <w:rPr>
                <w:rFonts w:ascii="Times New Roman" w:hAnsi="Times New Roman" w:cs="Times New Roman"/>
                <w:color w:val="0D0D0D" w:themeColor="text1" w:themeTint="F2"/>
                <w:sz w:val="24"/>
                <w:szCs w:val="24"/>
                <w:lang w:val="lv-LV"/>
              </w:rPr>
              <w:lastRenderedPageBreak/>
              <w:t xml:space="preserve">iestādei var būt nepieciešams </w:t>
            </w:r>
            <w:r w:rsidR="0063182A">
              <w:rPr>
                <w:rFonts w:ascii="Times New Roman" w:hAnsi="Times New Roman" w:cs="Times New Roman"/>
                <w:color w:val="0D0D0D" w:themeColor="text1" w:themeTint="F2"/>
                <w:sz w:val="24"/>
                <w:szCs w:val="24"/>
                <w:lang w:val="lv-LV"/>
              </w:rPr>
              <w:t>saņemt valsts policijas</w:t>
            </w:r>
            <w:r w:rsidR="005F56E6" w:rsidRPr="00F9115F">
              <w:rPr>
                <w:rFonts w:ascii="Times New Roman" w:hAnsi="Times New Roman" w:cs="Times New Roman"/>
                <w:color w:val="0D0D0D" w:themeColor="text1" w:themeTint="F2"/>
                <w:sz w:val="24"/>
                <w:szCs w:val="24"/>
                <w:lang w:val="lv-LV"/>
              </w:rPr>
              <w:t xml:space="preserve"> va</w:t>
            </w:r>
            <w:r w:rsidR="005F56E6">
              <w:rPr>
                <w:rFonts w:ascii="Times New Roman" w:hAnsi="Times New Roman" w:cs="Times New Roman"/>
                <w:color w:val="0D0D0D" w:themeColor="text1" w:themeTint="F2"/>
                <w:sz w:val="24"/>
                <w:szCs w:val="24"/>
                <w:lang w:val="lv-LV"/>
              </w:rPr>
              <w:t>i</w:t>
            </w:r>
            <w:r w:rsidR="005F56E6" w:rsidRPr="00F9115F">
              <w:rPr>
                <w:rFonts w:ascii="Times New Roman" w:hAnsi="Times New Roman" w:cs="Times New Roman"/>
                <w:color w:val="0D0D0D" w:themeColor="text1" w:themeTint="F2"/>
                <w:sz w:val="24"/>
                <w:szCs w:val="24"/>
                <w:lang w:val="lv-LV"/>
              </w:rPr>
              <w:t xml:space="preserve"> </w:t>
            </w:r>
            <w:r w:rsidR="005F56E6" w:rsidRPr="004517A1">
              <w:rPr>
                <w:rFonts w:ascii="Times New Roman" w:hAnsi="Times New Roman" w:cs="Times New Roman"/>
                <w:color w:val="0D0D0D" w:themeColor="text1" w:themeTint="F2"/>
                <w:sz w:val="24"/>
                <w:szCs w:val="24"/>
                <w:lang w:val="lv-LV"/>
              </w:rPr>
              <w:t>citas līdzvērtīgas tiesībaizsardzības iestādes</w:t>
            </w:r>
            <w:r w:rsidR="00E74EC2">
              <w:rPr>
                <w:rFonts w:ascii="Times New Roman" w:hAnsi="Times New Roman" w:cs="Times New Roman"/>
                <w:color w:val="0D0D0D" w:themeColor="text1" w:themeTint="F2"/>
                <w:sz w:val="24"/>
                <w:szCs w:val="24"/>
                <w:lang w:val="lv-LV"/>
              </w:rPr>
              <w:t>,</w:t>
            </w:r>
            <w:r w:rsidR="005F56E6">
              <w:rPr>
                <w:rFonts w:ascii="Times New Roman" w:hAnsi="Times New Roman" w:cs="Times New Roman"/>
                <w:color w:val="0D0D0D" w:themeColor="text1" w:themeTint="F2"/>
                <w:sz w:val="24"/>
                <w:szCs w:val="24"/>
                <w:lang w:val="lv-LV"/>
              </w:rPr>
              <w:t xml:space="preserve"> piemēram, </w:t>
            </w:r>
            <w:r w:rsidR="00E74EC2">
              <w:rPr>
                <w:rFonts w:ascii="Times New Roman" w:hAnsi="Times New Roman" w:cs="Times New Roman"/>
                <w:color w:val="0D0D0D" w:themeColor="text1" w:themeTint="F2"/>
                <w:sz w:val="24"/>
                <w:szCs w:val="24"/>
                <w:lang w:val="lv-LV"/>
              </w:rPr>
              <w:t xml:space="preserve">Korupcijas novēršanas un apkarošanas biroja, Nodokļu un muitas policijas pārvaldes </w:t>
            </w:r>
            <w:r w:rsidR="00E424B6">
              <w:rPr>
                <w:rFonts w:ascii="Times New Roman" w:hAnsi="Times New Roman" w:cs="Times New Roman"/>
                <w:color w:val="0D0D0D" w:themeColor="text1" w:themeTint="F2"/>
                <w:sz w:val="24"/>
                <w:szCs w:val="24"/>
                <w:lang w:val="lv-LV"/>
              </w:rPr>
              <w:t>palīdzību</w:t>
            </w:r>
            <w:r w:rsidR="002220D7">
              <w:rPr>
                <w:rFonts w:ascii="Times New Roman" w:hAnsi="Times New Roman" w:cs="Times New Roman"/>
                <w:color w:val="0D0D0D" w:themeColor="text1" w:themeTint="F2"/>
                <w:sz w:val="24"/>
                <w:szCs w:val="24"/>
                <w:lang w:val="lv-LV"/>
              </w:rPr>
              <w:t xml:space="preserve"> visu vai atsevišķu</w:t>
            </w:r>
            <w:r w:rsidR="00710054">
              <w:rPr>
                <w:rFonts w:ascii="Times New Roman" w:hAnsi="Times New Roman" w:cs="Times New Roman"/>
                <w:color w:val="0D0D0D" w:themeColor="text1" w:themeTint="F2"/>
                <w:sz w:val="24"/>
                <w:szCs w:val="24"/>
                <w:lang w:val="lv-LV"/>
              </w:rPr>
              <w:t xml:space="preserve"> L</w:t>
            </w:r>
            <w:r w:rsidR="00E80508">
              <w:rPr>
                <w:rFonts w:ascii="Times New Roman" w:hAnsi="Times New Roman" w:cs="Times New Roman"/>
                <w:color w:val="0D0D0D" w:themeColor="text1" w:themeTint="F2"/>
                <w:sz w:val="24"/>
                <w:szCs w:val="24"/>
                <w:lang w:val="lv-LV"/>
              </w:rPr>
              <w:t xml:space="preserve">ikuma </w:t>
            </w:r>
            <w:r w:rsidR="00710054">
              <w:rPr>
                <w:rFonts w:ascii="Times New Roman" w:hAnsi="Times New Roman" w:cs="Times New Roman"/>
                <w:color w:val="0D0D0D" w:themeColor="text1" w:themeTint="F2"/>
                <w:sz w:val="24"/>
                <w:szCs w:val="24"/>
                <w:lang w:val="lv-LV"/>
              </w:rPr>
              <w:t xml:space="preserve"> 9.panta piektās daļas 4.punktā noteikto procesuālo darbību </w:t>
            </w:r>
            <w:r w:rsidR="006C1F71">
              <w:rPr>
                <w:rFonts w:ascii="Times New Roman" w:hAnsi="Times New Roman" w:cs="Times New Roman"/>
                <w:color w:val="0D0D0D" w:themeColor="text1" w:themeTint="F2"/>
                <w:sz w:val="24"/>
                <w:szCs w:val="24"/>
                <w:lang w:val="lv-LV"/>
              </w:rPr>
              <w:t>īstenošanā</w:t>
            </w:r>
            <w:r w:rsidR="00E74EC2">
              <w:rPr>
                <w:rFonts w:ascii="Times New Roman" w:hAnsi="Times New Roman" w:cs="Times New Roman"/>
                <w:color w:val="0D0D0D" w:themeColor="text1" w:themeTint="F2"/>
                <w:sz w:val="24"/>
                <w:szCs w:val="24"/>
                <w:lang w:val="lv-LV"/>
              </w:rPr>
              <w:t xml:space="preserve">, piemēram, </w:t>
            </w:r>
            <w:r w:rsidR="003B5A8C">
              <w:rPr>
                <w:rFonts w:ascii="Times New Roman" w:hAnsi="Times New Roman" w:cs="Times New Roman"/>
                <w:color w:val="0D0D0D" w:themeColor="text1" w:themeTint="F2"/>
                <w:sz w:val="24"/>
                <w:szCs w:val="24"/>
                <w:lang w:val="lv-LV"/>
              </w:rPr>
              <w:t>uzticot</w:t>
            </w:r>
            <w:r w:rsidR="00D41FCB">
              <w:rPr>
                <w:rFonts w:ascii="Times New Roman" w:hAnsi="Times New Roman" w:cs="Times New Roman"/>
                <w:color w:val="0D0D0D" w:themeColor="text1" w:themeTint="F2"/>
                <w:sz w:val="24"/>
                <w:szCs w:val="24"/>
                <w:lang w:val="lv-LV"/>
              </w:rPr>
              <w:t xml:space="preserve"> </w:t>
            </w:r>
            <w:r w:rsidR="00710054">
              <w:rPr>
                <w:rFonts w:ascii="Times New Roman" w:hAnsi="Times New Roman" w:cs="Times New Roman"/>
                <w:color w:val="0D0D0D" w:themeColor="text1" w:themeTint="F2"/>
                <w:sz w:val="24"/>
                <w:szCs w:val="24"/>
                <w:lang w:val="lv-LV"/>
              </w:rPr>
              <w:t>procesuālo darbību īstenošanu</w:t>
            </w:r>
            <w:r w:rsidR="00A40386">
              <w:rPr>
                <w:rFonts w:ascii="Times New Roman" w:hAnsi="Times New Roman" w:cs="Times New Roman"/>
                <w:color w:val="0D0D0D" w:themeColor="text1" w:themeTint="F2"/>
                <w:sz w:val="24"/>
                <w:szCs w:val="24"/>
                <w:lang w:val="lv-LV"/>
              </w:rPr>
              <w:t xml:space="preserve"> </w:t>
            </w:r>
            <w:r w:rsidR="00A02AE7">
              <w:rPr>
                <w:rFonts w:ascii="Times New Roman" w:hAnsi="Times New Roman" w:cs="Times New Roman"/>
                <w:color w:val="0D0D0D" w:themeColor="text1" w:themeTint="F2"/>
                <w:sz w:val="24"/>
                <w:szCs w:val="24"/>
                <w:lang w:val="lv-LV"/>
              </w:rPr>
              <w:t xml:space="preserve">šo iestāžu informācijas tehnoloģiju ekspertiem </w:t>
            </w:r>
            <w:r w:rsidR="000E1DF7">
              <w:rPr>
                <w:rFonts w:ascii="Times New Roman" w:hAnsi="Times New Roman" w:cs="Times New Roman"/>
                <w:color w:val="0D0D0D" w:themeColor="text1" w:themeTint="F2"/>
                <w:sz w:val="24"/>
                <w:szCs w:val="24"/>
                <w:lang w:val="lv-LV"/>
              </w:rPr>
              <w:t xml:space="preserve">un </w:t>
            </w:r>
            <w:r w:rsidR="00A02AE7">
              <w:rPr>
                <w:rFonts w:ascii="Times New Roman" w:hAnsi="Times New Roman" w:cs="Times New Roman"/>
                <w:color w:val="0D0D0D" w:themeColor="text1" w:themeTint="F2"/>
                <w:sz w:val="24"/>
                <w:szCs w:val="24"/>
                <w:lang w:val="lv-LV"/>
              </w:rPr>
              <w:t>citiem speciālistiem</w:t>
            </w:r>
            <w:r w:rsidR="00495F64">
              <w:rPr>
                <w:rFonts w:ascii="Times New Roman" w:hAnsi="Times New Roman" w:cs="Times New Roman"/>
                <w:color w:val="0D0D0D" w:themeColor="text1" w:themeTint="F2"/>
                <w:sz w:val="24"/>
                <w:szCs w:val="24"/>
                <w:lang w:val="lv-LV"/>
              </w:rPr>
              <w:t>.</w:t>
            </w:r>
            <w:r w:rsidR="00A45DB0">
              <w:rPr>
                <w:rFonts w:ascii="Times New Roman" w:hAnsi="Times New Roman" w:cs="Times New Roman"/>
                <w:color w:val="0D0D0D" w:themeColor="text1" w:themeTint="F2"/>
                <w:sz w:val="24"/>
                <w:szCs w:val="24"/>
                <w:lang w:val="lv-LV"/>
              </w:rPr>
              <w:t xml:space="preserve"> Līdz ar to </w:t>
            </w:r>
            <w:r w:rsidR="006144C6">
              <w:rPr>
                <w:rFonts w:ascii="Times New Roman" w:hAnsi="Times New Roman" w:cs="Times New Roman"/>
                <w:color w:val="0D0D0D" w:themeColor="text1" w:themeTint="F2"/>
                <w:sz w:val="24"/>
                <w:szCs w:val="24"/>
                <w:lang w:val="lv-LV"/>
              </w:rPr>
              <w:t>Likum</w:t>
            </w:r>
            <w:r w:rsidR="003D04DE">
              <w:rPr>
                <w:rFonts w:ascii="Times New Roman" w:hAnsi="Times New Roman" w:cs="Times New Roman"/>
                <w:color w:val="0D0D0D" w:themeColor="text1" w:themeTint="F2"/>
                <w:sz w:val="24"/>
                <w:szCs w:val="24"/>
                <w:lang w:val="lv-LV"/>
              </w:rPr>
              <w:t>projektā</w:t>
            </w:r>
            <w:r w:rsidR="006144C6">
              <w:rPr>
                <w:rFonts w:ascii="Times New Roman" w:hAnsi="Times New Roman" w:cs="Times New Roman"/>
                <w:color w:val="0D0D0D" w:themeColor="text1" w:themeTint="F2"/>
                <w:sz w:val="24"/>
                <w:szCs w:val="24"/>
                <w:lang w:val="lv-LV"/>
              </w:rPr>
              <w:t xml:space="preserve"> </w:t>
            </w:r>
            <w:r w:rsidR="005A79C4">
              <w:rPr>
                <w:rFonts w:ascii="Times New Roman" w:hAnsi="Times New Roman" w:cs="Times New Roman"/>
                <w:color w:val="0D0D0D" w:themeColor="text1" w:themeTint="F2"/>
                <w:sz w:val="24"/>
                <w:szCs w:val="24"/>
                <w:lang w:val="lv-LV"/>
              </w:rPr>
              <w:t>paredz</w:t>
            </w:r>
            <w:r w:rsidR="00C67B65">
              <w:rPr>
                <w:rFonts w:ascii="Times New Roman" w:hAnsi="Times New Roman" w:cs="Times New Roman"/>
                <w:color w:val="0D0D0D" w:themeColor="text1" w:themeTint="F2"/>
                <w:sz w:val="24"/>
                <w:szCs w:val="24"/>
                <w:lang w:val="lv-LV"/>
              </w:rPr>
              <w:t>ēts</w:t>
            </w:r>
            <w:r w:rsidR="005A79C4">
              <w:rPr>
                <w:rFonts w:ascii="Times New Roman" w:hAnsi="Times New Roman" w:cs="Times New Roman"/>
                <w:color w:val="0D0D0D" w:themeColor="text1" w:themeTint="F2"/>
                <w:sz w:val="24"/>
                <w:szCs w:val="24"/>
                <w:lang w:val="lv-LV"/>
              </w:rPr>
              <w:t>, ka palīdzību</w:t>
            </w:r>
            <w:r w:rsidR="00E80508">
              <w:rPr>
                <w:rFonts w:ascii="Times New Roman" w:hAnsi="Times New Roman" w:cs="Times New Roman"/>
                <w:color w:val="0D0D0D" w:themeColor="text1" w:themeTint="F2"/>
                <w:sz w:val="24"/>
                <w:szCs w:val="24"/>
                <w:lang w:val="lv-LV"/>
              </w:rPr>
              <w:t xml:space="preserve"> </w:t>
            </w:r>
            <w:r w:rsidR="00E80508" w:rsidRPr="0091507D">
              <w:rPr>
                <w:rFonts w:ascii="Times New Roman" w:hAnsi="Times New Roman" w:cs="Times New Roman"/>
                <w:color w:val="0D0D0D" w:themeColor="text1" w:themeTint="F2"/>
                <w:sz w:val="24"/>
                <w:szCs w:val="24"/>
                <w:lang w:val="lv-LV"/>
              </w:rPr>
              <w:t>procesuālo darbību (inspekciju) īstenošanā</w:t>
            </w:r>
            <w:r w:rsidR="006F7503">
              <w:rPr>
                <w:rFonts w:ascii="Times New Roman" w:hAnsi="Times New Roman" w:cs="Times New Roman"/>
                <w:color w:val="0D0D0D" w:themeColor="text1" w:themeTint="F2"/>
                <w:sz w:val="24"/>
                <w:szCs w:val="24"/>
                <w:lang w:val="lv-LV"/>
              </w:rPr>
              <w:t xml:space="preserve"> KP </w:t>
            </w:r>
            <w:r w:rsidR="00B66DF8">
              <w:rPr>
                <w:rFonts w:ascii="Times New Roman" w:hAnsi="Times New Roman" w:cs="Times New Roman"/>
                <w:color w:val="0D0D0D" w:themeColor="text1" w:themeTint="F2"/>
                <w:sz w:val="24"/>
                <w:szCs w:val="24"/>
                <w:lang w:val="lv-LV"/>
              </w:rPr>
              <w:t xml:space="preserve">ir tiesīga saņemt un tai </w:t>
            </w:r>
            <w:r w:rsidR="006F7503">
              <w:rPr>
                <w:rFonts w:ascii="Times New Roman" w:hAnsi="Times New Roman" w:cs="Times New Roman"/>
                <w:color w:val="0D0D0D" w:themeColor="text1" w:themeTint="F2"/>
                <w:sz w:val="24"/>
                <w:szCs w:val="24"/>
                <w:lang w:val="lv-LV"/>
              </w:rPr>
              <w:t xml:space="preserve">sniedz ne vien </w:t>
            </w:r>
            <w:r w:rsidR="00B66DF8">
              <w:rPr>
                <w:rFonts w:ascii="Times New Roman" w:hAnsi="Times New Roman" w:cs="Times New Roman"/>
                <w:color w:val="0D0D0D" w:themeColor="text1" w:themeTint="F2"/>
                <w:sz w:val="24"/>
                <w:szCs w:val="24"/>
                <w:lang w:val="lv-LV"/>
              </w:rPr>
              <w:t xml:space="preserve">valsts policija, bet </w:t>
            </w:r>
            <w:r w:rsidR="00FA6010">
              <w:rPr>
                <w:rFonts w:ascii="Times New Roman" w:hAnsi="Times New Roman" w:cs="Times New Roman"/>
                <w:color w:val="0D0D0D" w:themeColor="text1" w:themeTint="F2"/>
                <w:sz w:val="24"/>
                <w:szCs w:val="24"/>
                <w:lang w:val="lv-LV"/>
              </w:rPr>
              <w:t xml:space="preserve">arī </w:t>
            </w:r>
            <w:r w:rsidR="00CB2EF8" w:rsidRPr="00B66DF8">
              <w:rPr>
                <w:rFonts w:ascii="Times New Roman" w:hAnsi="Times New Roman" w:cs="Times New Roman"/>
                <w:color w:val="0D0D0D" w:themeColor="text1" w:themeTint="F2"/>
                <w:sz w:val="24"/>
                <w:szCs w:val="24"/>
                <w:lang w:val="lv-LV"/>
              </w:rPr>
              <w:t xml:space="preserve">citas </w:t>
            </w:r>
            <w:r w:rsidR="00032F1A" w:rsidRPr="00B66DF8">
              <w:rPr>
                <w:rFonts w:ascii="Times New Roman" w:hAnsi="Times New Roman" w:cs="Times New Roman"/>
                <w:color w:val="0D0D0D" w:themeColor="text1" w:themeTint="F2"/>
                <w:sz w:val="24"/>
                <w:szCs w:val="24"/>
                <w:lang w:val="lv-LV"/>
              </w:rPr>
              <w:t>līdzvērtīgas tiesībaizsardzības iestādes</w:t>
            </w:r>
            <w:r w:rsidR="00FA6010">
              <w:rPr>
                <w:rFonts w:ascii="Times New Roman" w:hAnsi="Times New Roman" w:cs="Times New Roman"/>
                <w:color w:val="0D0D0D" w:themeColor="text1" w:themeTint="F2"/>
                <w:sz w:val="24"/>
                <w:szCs w:val="24"/>
                <w:lang w:val="lv-LV"/>
              </w:rPr>
              <w:t>.</w:t>
            </w:r>
            <w:r w:rsidR="0008716A">
              <w:rPr>
                <w:rFonts w:ascii="Times New Roman" w:hAnsi="Times New Roman" w:cs="Times New Roman"/>
                <w:color w:val="0D0D0D" w:themeColor="text1" w:themeTint="F2"/>
                <w:sz w:val="24"/>
                <w:szCs w:val="24"/>
                <w:lang w:val="lv-LV"/>
              </w:rPr>
              <w:t xml:space="preserve"> </w:t>
            </w:r>
            <w:r w:rsidR="00953F80">
              <w:rPr>
                <w:rFonts w:ascii="Times New Roman" w:hAnsi="Times New Roman" w:cs="Times New Roman"/>
                <w:color w:val="0D0D0D" w:themeColor="text1" w:themeTint="F2"/>
                <w:sz w:val="24"/>
                <w:szCs w:val="24"/>
                <w:lang w:val="lv-LV"/>
              </w:rPr>
              <w:t xml:space="preserve">Efektīvu izmeklēšanas </w:t>
            </w:r>
            <w:r w:rsidR="002C0276">
              <w:rPr>
                <w:rFonts w:ascii="Times New Roman" w:hAnsi="Times New Roman" w:cs="Times New Roman"/>
                <w:color w:val="0D0D0D" w:themeColor="text1" w:themeTint="F2"/>
                <w:sz w:val="24"/>
                <w:szCs w:val="24"/>
                <w:lang w:val="lv-LV"/>
              </w:rPr>
              <w:t xml:space="preserve">darbību īstenošanas nolūkā </w:t>
            </w:r>
            <w:r w:rsidR="0008716A">
              <w:rPr>
                <w:rFonts w:ascii="Times New Roman" w:hAnsi="Times New Roman" w:cs="Times New Roman"/>
                <w:color w:val="0D0D0D" w:themeColor="text1" w:themeTint="F2"/>
                <w:sz w:val="24"/>
                <w:szCs w:val="24"/>
                <w:lang w:val="lv-LV"/>
              </w:rPr>
              <w:t>Direktīva dalībvalstīm prasa nodrošināt</w:t>
            </w:r>
            <w:r w:rsidR="00693BC1">
              <w:rPr>
                <w:rFonts w:ascii="Times New Roman" w:hAnsi="Times New Roman" w:cs="Times New Roman"/>
                <w:color w:val="0D0D0D" w:themeColor="text1" w:themeTint="F2"/>
                <w:sz w:val="24"/>
                <w:szCs w:val="24"/>
                <w:lang w:val="lv-LV"/>
              </w:rPr>
              <w:t xml:space="preserve">, ka </w:t>
            </w:r>
            <w:r w:rsidR="00484DA1">
              <w:rPr>
                <w:rFonts w:ascii="Times New Roman" w:hAnsi="Times New Roman" w:cs="Times New Roman"/>
                <w:color w:val="0D0D0D" w:themeColor="text1" w:themeTint="F2"/>
                <w:sz w:val="24"/>
                <w:szCs w:val="24"/>
                <w:lang w:val="lv-LV"/>
              </w:rPr>
              <w:t>gan</w:t>
            </w:r>
            <w:r w:rsidR="00FA3B03">
              <w:rPr>
                <w:rFonts w:ascii="Times New Roman" w:hAnsi="Times New Roman" w:cs="Times New Roman"/>
                <w:color w:val="0D0D0D" w:themeColor="text1" w:themeTint="F2"/>
                <w:sz w:val="24"/>
                <w:szCs w:val="24"/>
                <w:lang w:val="lv-LV"/>
              </w:rPr>
              <w:t xml:space="preserve"> </w:t>
            </w:r>
            <w:r w:rsidR="008F709D">
              <w:rPr>
                <w:rFonts w:ascii="Times New Roman" w:hAnsi="Times New Roman" w:cs="Times New Roman"/>
                <w:color w:val="0D0D0D" w:themeColor="text1" w:themeTint="F2"/>
                <w:sz w:val="24"/>
                <w:szCs w:val="24"/>
                <w:lang w:val="lv-LV"/>
              </w:rPr>
              <w:t>konkurences iestāde</w:t>
            </w:r>
            <w:r w:rsidR="0096346D">
              <w:rPr>
                <w:rFonts w:ascii="Times New Roman" w:hAnsi="Times New Roman" w:cs="Times New Roman"/>
                <w:color w:val="0D0D0D" w:themeColor="text1" w:themeTint="F2"/>
                <w:sz w:val="24"/>
                <w:szCs w:val="24"/>
                <w:lang w:val="lv-LV"/>
              </w:rPr>
              <w:t xml:space="preserve">s </w:t>
            </w:r>
            <w:r w:rsidR="00927240">
              <w:rPr>
                <w:rFonts w:ascii="Times New Roman" w:hAnsi="Times New Roman" w:cs="Times New Roman"/>
                <w:color w:val="0D0D0D" w:themeColor="text1" w:themeTint="F2"/>
                <w:sz w:val="24"/>
                <w:szCs w:val="24"/>
                <w:lang w:val="lv-LV"/>
              </w:rPr>
              <w:t>amatpersonām</w:t>
            </w:r>
            <w:r w:rsidR="00FA3B03">
              <w:rPr>
                <w:rFonts w:ascii="Times New Roman" w:hAnsi="Times New Roman" w:cs="Times New Roman"/>
                <w:color w:val="0D0D0D" w:themeColor="text1" w:themeTint="F2"/>
                <w:sz w:val="24"/>
                <w:szCs w:val="24"/>
                <w:lang w:val="lv-LV"/>
              </w:rPr>
              <w:t xml:space="preserve">, </w:t>
            </w:r>
            <w:r w:rsidR="009048F3">
              <w:rPr>
                <w:rFonts w:ascii="Times New Roman" w:hAnsi="Times New Roman" w:cs="Times New Roman"/>
                <w:color w:val="0D0D0D" w:themeColor="text1" w:themeTint="F2"/>
                <w:sz w:val="24"/>
                <w:szCs w:val="24"/>
                <w:lang w:val="lv-LV"/>
              </w:rPr>
              <w:t>gan</w:t>
            </w:r>
            <w:r w:rsidR="00FA3B03">
              <w:rPr>
                <w:rFonts w:ascii="Times New Roman" w:hAnsi="Times New Roman" w:cs="Times New Roman"/>
                <w:color w:val="0D0D0D" w:themeColor="text1" w:themeTint="F2"/>
                <w:sz w:val="24"/>
                <w:szCs w:val="24"/>
                <w:lang w:val="lv-LV"/>
              </w:rPr>
              <w:t xml:space="preserve"> arī</w:t>
            </w:r>
            <w:r w:rsidR="00927240">
              <w:rPr>
                <w:rFonts w:ascii="Times New Roman" w:hAnsi="Times New Roman" w:cs="Times New Roman"/>
                <w:color w:val="0D0D0D" w:themeColor="text1" w:themeTint="F2"/>
                <w:sz w:val="24"/>
                <w:szCs w:val="24"/>
                <w:lang w:val="lv-LV"/>
              </w:rPr>
              <w:t xml:space="preserve"> </w:t>
            </w:r>
            <w:r w:rsidR="0096346D">
              <w:rPr>
                <w:rFonts w:ascii="Times New Roman" w:hAnsi="Times New Roman" w:cs="Times New Roman"/>
                <w:color w:val="0D0D0D" w:themeColor="text1" w:themeTint="F2"/>
                <w:sz w:val="24"/>
                <w:szCs w:val="24"/>
                <w:lang w:val="lv-LV"/>
              </w:rPr>
              <w:t>c</w:t>
            </w:r>
            <w:r w:rsidR="00780BF9" w:rsidRPr="00780BF9">
              <w:rPr>
                <w:rFonts w:ascii="Times New Roman" w:hAnsi="Times New Roman" w:cs="Times New Roman"/>
                <w:color w:val="0D0D0D" w:themeColor="text1" w:themeTint="F2"/>
                <w:sz w:val="24"/>
                <w:szCs w:val="24"/>
                <w:lang w:val="lv-LV"/>
              </w:rPr>
              <w:t xml:space="preserve">itām </w:t>
            </w:r>
            <w:r w:rsidR="00927240">
              <w:rPr>
                <w:rFonts w:ascii="Times New Roman" w:hAnsi="Times New Roman" w:cs="Times New Roman"/>
                <w:color w:val="0D0D0D" w:themeColor="text1" w:themeTint="F2"/>
                <w:sz w:val="24"/>
                <w:szCs w:val="24"/>
                <w:lang w:val="lv-LV"/>
              </w:rPr>
              <w:t xml:space="preserve">tās </w:t>
            </w:r>
            <w:r w:rsidR="00780BF9" w:rsidRPr="00780BF9">
              <w:rPr>
                <w:rFonts w:ascii="Times New Roman" w:hAnsi="Times New Roman" w:cs="Times New Roman"/>
                <w:color w:val="0D0D0D" w:themeColor="text1" w:themeTint="F2"/>
                <w:sz w:val="24"/>
                <w:szCs w:val="24"/>
                <w:lang w:val="lv-LV"/>
              </w:rPr>
              <w:t xml:space="preserve">pavadošajām personām, ko konkurences iestādes pilnvarojušas vai iecēlušas </w:t>
            </w:r>
            <w:r w:rsidR="00622EF9">
              <w:rPr>
                <w:rFonts w:ascii="Times New Roman" w:hAnsi="Times New Roman" w:cs="Times New Roman"/>
                <w:color w:val="0D0D0D" w:themeColor="text1" w:themeTint="F2"/>
                <w:sz w:val="24"/>
                <w:szCs w:val="24"/>
                <w:lang w:val="lv-LV"/>
              </w:rPr>
              <w:t xml:space="preserve">procesuālo darbību </w:t>
            </w:r>
            <w:r w:rsidR="00622EF9" w:rsidRPr="00C47A6D">
              <w:rPr>
                <w:rFonts w:ascii="Times New Roman" w:hAnsi="Times New Roman" w:cs="Times New Roman"/>
                <w:color w:val="0D0D0D" w:themeColor="text1" w:themeTint="F2"/>
                <w:sz w:val="24"/>
                <w:szCs w:val="24"/>
                <w:lang w:val="lv-LV"/>
              </w:rPr>
              <w:t>(</w:t>
            </w:r>
            <w:r w:rsidR="00780BF9" w:rsidRPr="00C47A6D">
              <w:rPr>
                <w:rFonts w:ascii="Times New Roman" w:hAnsi="Times New Roman" w:cs="Times New Roman"/>
                <w:color w:val="0D0D0D" w:themeColor="text1" w:themeTint="F2"/>
                <w:sz w:val="24"/>
                <w:szCs w:val="24"/>
                <w:lang w:val="lv-LV"/>
              </w:rPr>
              <w:t>inspekciju</w:t>
            </w:r>
            <w:r w:rsidR="00622EF9" w:rsidRPr="00CC2BD4">
              <w:rPr>
                <w:rFonts w:ascii="Times New Roman" w:hAnsi="Times New Roman" w:cs="Times New Roman"/>
                <w:color w:val="0D0D0D" w:themeColor="text1" w:themeTint="F2"/>
                <w:sz w:val="24"/>
                <w:szCs w:val="24"/>
                <w:lang w:val="lv-LV"/>
              </w:rPr>
              <w:t>)</w:t>
            </w:r>
            <w:r w:rsidR="00780BF9" w:rsidRPr="00441E68">
              <w:rPr>
                <w:rFonts w:ascii="Times New Roman" w:hAnsi="Times New Roman" w:cs="Times New Roman"/>
                <w:color w:val="0D0D0D" w:themeColor="text1" w:themeTint="F2"/>
                <w:sz w:val="24"/>
                <w:szCs w:val="24"/>
                <w:lang w:val="lv-LV"/>
              </w:rPr>
              <w:t xml:space="preserve"> veikšanai</w:t>
            </w:r>
            <w:r w:rsidR="00FB4BF4" w:rsidRPr="00441E68">
              <w:rPr>
                <w:rFonts w:ascii="Times New Roman" w:hAnsi="Times New Roman" w:cs="Times New Roman"/>
                <w:color w:val="0D0D0D" w:themeColor="text1" w:themeTint="F2"/>
                <w:sz w:val="24"/>
                <w:szCs w:val="24"/>
                <w:lang w:val="lv-LV"/>
              </w:rPr>
              <w:t xml:space="preserve">, būtu </w:t>
            </w:r>
            <w:r w:rsidR="00875E6C" w:rsidRPr="00441E68">
              <w:rPr>
                <w:rFonts w:ascii="Times New Roman" w:hAnsi="Times New Roman" w:cs="Times New Roman"/>
                <w:color w:val="0D0D0D" w:themeColor="text1" w:themeTint="F2"/>
                <w:sz w:val="24"/>
                <w:szCs w:val="24"/>
                <w:lang w:val="lv-LV"/>
              </w:rPr>
              <w:t>tādas pašas pilnvaras</w:t>
            </w:r>
            <w:r w:rsidR="00B60676" w:rsidRPr="00BF0D8B">
              <w:rPr>
                <w:rFonts w:ascii="Times New Roman" w:hAnsi="Times New Roman" w:cs="Times New Roman"/>
                <w:color w:val="0D0D0D" w:themeColor="text1" w:themeTint="F2"/>
                <w:sz w:val="24"/>
                <w:szCs w:val="24"/>
                <w:lang w:val="lv-LV"/>
              </w:rPr>
              <w:t xml:space="preserve"> (Direktīvas</w:t>
            </w:r>
            <w:r w:rsidR="00442E73" w:rsidRPr="00BF0D8B">
              <w:rPr>
                <w:rFonts w:ascii="Times New Roman" w:hAnsi="Times New Roman" w:cs="Times New Roman"/>
                <w:color w:val="0D0D0D" w:themeColor="text1" w:themeTint="F2"/>
                <w:sz w:val="24"/>
                <w:szCs w:val="24"/>
                <w:lang w:val="lv-LV"/>
              </w:rPr>
              <w:t xml:space="preserve"> 6.panta 1.punkts, 7.panta 3.punkts</w:t>
            </w:r>
            <w:r w:rsidR="006A2E76" w:rsidRPr="00A854D4">
              <w:rPr>
                <w:rFonts w:ascii="Times New Roman" w:hAnsi="Times New Roman" w:cs="Times New Roman"/>
                <w:color w:val="0D0D0D" w:themeColor="text1" w:themeTint="F2"/>
                <w:sz w:val="24"/>
                <w:szCs w:val="24"/>
                <w:lang w:val="lv-LV"/>
              </w:rPr>
              <w:t>)</w:t>
            </w:r>
            <w:r w:rsidR="00875E6C" w:rsidRPr="0082622F">
              <w:rPr>
                <w:rFonts w:ascii="Times New Roman" w:hAnsi="Times New Roman" w:cs="Times New Roman"/>
                <w:color w:val="0D0D0D" w:themeColor="text1" w:themeTint="F2"/>
                <w:sz w:val="24"/>
                <w:szCs w:val="24"/>
                <w:lang w:val="lv-LV"/>
              </w:rPr>
              <w:t>.</w:t>
            </w:r>
            <w:r w:rsidR="00C47A6D" w:rsidRPr="00254962">
              <w:rPr>
                <w:rFonts w:ascii="Times New Roman" w:hAnsi="Times New Roman" w:cs="Times New Roman"/>
                <w:color w:val="0D0D0D" w:themeColor="text1" w:themeTint="F2"/>
                <w:sz w:val="24"/>
                <w:szCs w:val="24"/>
                <w:lang w:val="lv-LV"/>
              </w:rPr>
              <w:t xml:space="preserve"> </w:t>
            </w:r>
            <w:r w:rsidR="00C47A6D" w:rsidRPr="009614EB">
              <w:rPr>
                <w:rFonts w:ascii="Times New Roman" w:hAnsi="Times New Roman" w:cs="Times New Roman"/>
                <w:sz w:val="24"/>
                <w:szCs w:val="24"/>
                <w:lang w:val="lv-LV"/>
              </w:rPr>
              <w:t>Direktīva dalībvalstīm prasa arī nodrošināt</w:t>
            </w:r>
            <w:r w:rsidR="00CC2BD4">
              <w:rPr>
                <w:rFonts w:ascii="Times New Roman" w:hAnsi="Times New Roman" w:cs="Times New Roman"/>
                <w:sz w:val="24"/>
                <w:szCs w:val="24"/>
                <w:lang w:val="lv-LV"/>
              </w:rPr>
              <w:t xml:space="preserve">, ka gadījumā, ja </w:t>
            </w:r>
            <w:r w:rsidR="0027328D">
              <w:rPr>
                <w:rFonts w:ascii="Times New Roman" w:hAnsi="Times New Roman" w:cs="Times New Roman"/>
                <w:sz w:val="24"/>
                <w:szCs w:val="24"/>
                <w:lang w:val="lv-LV"/>
              </w:rPr>
              <w:t xml:space="preserve">saskaņā ar </w:t>
            </w:r>
            <w:r w:rsidR="007664C2" w:rsidRPr="00C47A6D">
              <w:rPr>
                <w:rFonts w:ascii="Times New Roman" w:hAnsi="Times New Roman" w:cs="Times New Roman"/>
                <w:color w:val="0D0D0D" w:themeColor="text1" w:themeTint="F2"/>
                <w:sz w:val="24"/>
                <w:szCs w:val="24"/>
                <w:lang w:val="lv-LV"/>
              </w:rPr>
              <w:t>Regulas (EK) Nr. 1/2003</w:t>
            </w:r>
            <w:r w:rsidR="00E60E95" w:rsidRPr="00CC2BD4">
              <w:rPr>
                <w:rFonts w:ascii="Times New Roman" w:hAnsi="Times New Roman" w:cs="Times New Roman"/>
                <w:color w:val="0D0D0D" w:themeColor="text1" w:themeTint="F2"/>
                <w:sz w:val="24"/>
                <w:szCs w:val="24"/>
                <w:lang w:val="lv-LV"/>
              </w:rPr>
              <w:t xml:space="preserve"> </w:t>
            </w:r>
            <w:r w:rsidR="0027328D">
              <w:rPr>
                <w:rFonts w:ascii="Times New Roman" w:hAnsi="Times New Roman" w:cs="Times New Roman"/>
                <w:color w:val="0D0D0D" w:themeColor="text1" w:themeTint="F2"/>
                <w:sz w:val="24"/>
                <w:szCs w:val="24"/>
                <w:lang w:val="lv-LV"/>
              </w:rPr>
              <w:t>22.pantu</w:t>
            </w:r>
            <w:r w:rsidR="00C5535E">
              <w:rPr>
                <w:rFonts w:ascii="Times New Roman" w:hAnsi="Times New Roman" w:cs="Times New Roman"/>
                <w:color w:val="0D0D0D" w:themeColor="text1" w:themeTint="F2"/>
                <w:sz w:val="24"/>
                <w:szCs w:val="24"/>
                <w:lang w:val="lv-LV"/>
              </w:rPr>
              <w:t xml:space="preserve"> konkurences iestāde veic procesuālās darbības citas </w:t>
            </w:r>
            <w:r w:rsidR="00940C80">
              <w:rPr>
                <w:rFonts w:ascii="Times New Roman" w:hAnsi="Times New Roman" w:cs="Times New Roman"/>
                <w:color w:val="0D0D0D" w:themeColor="text1" w:themeTint="F2"/>
                <w:sz w:val="24"/>
                <w:szCs w:val="24"/>
                <w:lang w:val="lv-LV"/>
              </w:rPr>
              <w:t>dalībvalsts konkurences iestādes vārdā un uzdevumā</w:t>
            </w:r>
            <w:r w:rsidR="00990F73">
              <w:rPr>
                <w:rFonts w:ascii="Times New Roman" w:hAnsi="Times New Roman" w:cs="Times New Roman"/>
                <w:color w:val="0D0D0D" w:themeColor="text1" w:themeTint="F2"/>
                <w:sz w:val="24"/>
                <w:szCs w:val="24"/>
                <w:lang w:val="lv-LV"/>
              </w:rPr>
              <w:t xml:space="preserve">, citas dalībvalsts konkurences iestādes </w:t>
            </w:r>
            <w:r w:rsidR="00862570">
              <w:rPr>
                <w:rFonts w:ascii="Times New Roman" w:hAnsi="Times New Roman" w:cs="Times New Roman"/>
                <w:color w:val="0D0D0D" w:themeColor="text1" w:themeTint="F2"/>
                <w:sz w:val="24"/>
                <w:szCs w:val="24"/>
                <w:lang w:val="lv-LV"/>
              </w:rPr>
              <w:t xml:space="preserve">pilnvarotām amatpersonām </w:t>
            </w:r>
            <w:r w:rsidR="00B34850">
              <w:rPr>
                <w:rFonts w:ascii="Times New Roman" w:hAnsi="Times New Roman" w:cs="Times New Roman"/>
                <w:color w:val="0D0D0D" w:themeColor="text1" w:themeTint="F2"/>
                <w:sz w:val="24"/>
                <w:szCs w:val="24"/>
                <w:lang w:val="lv-LV"/>
              </w:rPr>
              <w:t xml:space="preserve">būtu </w:t>
            </w:r>
            <w:r w:rsidR="006527A0">
              <w:rPr>
                <w:rFonts w:ascii="Times New Roman" w:hAnsi="Times New Roman" w:cs="Times New Roman"/>
                <w:color w:val="0D0D0D" w:themeColor="text1" w:themeTint="F2"/>
                <w:sz w:val="24"/>
                <w:szCs w:val="24"/>
                <w:lang w:val="lv-LV"/>
              </w:rPr>
              <w:t>tiesības aktīvi palīdzēt īstenot procesuālās darbības (inspekcijas)</w:t>
            </w:r>
            <w:r w:rsidR="00BD70E1">
              <w:rPr>
                <w:rFonts w:ascii="Times New Roman" w:hAnsi="Times New Roman" w:cs="Times New Roman"/>
                <w:color w:val="0D0D0D" w:themeColor="text1" w:themeTint="F2"/>
                <w:sz w:val="24"/>
                <w:szCs w:val="24"/>
                <w:lang w:val="lv-LV"/>
              </w:rPr>
              <w:t xml:space="preserve"> (Direktīvas </w:t>
            </w:r>
            <w:r w:rsidR="00E60D4F">
              <w:rPr>
                <w:rFonts w:ascii="Times New Roman" w:hAnsi="Times New Roman" w:cs="Times New Roman"/>
                <w:color w:val="0D0D0D" w:themeColor="text1" w:themeTint="F2"/>
                <w:sz w:val="24"/>
                <w:szCs w:val="24"/>
                <w:lang w:val="lv-LV"/>
              </w:rPr>
              <w:t>24.panta 1.punkts)</w:t>
            </w:r>
            <w:r w:rsidR="00441E68">
              <w:rPr>
                <w:rFonts w:ascii="Times New Roman" w:hAnsi="Times New Roman" w:cs="Times New Roman"/>
                <w:color w:val="0D0D0D" w:themeColor="text1" w:themeTint="F2"/>
                <w:sz w:val="24"/>
                <w:szCs w:val="24"/>
                <w:lang w:val="lv-LV"/>
              </w:rPr>
              <w:t>.</w:t>
            </w:r>
            <w:r w:rsidR="0094120A">
              <w:rPr>
                <w:rFonts w:ascii="Times New Roman" w:hAnsi="Times New Roman" w:cs="Times New Roman"/>
                <w:color w:val="0D0D0D" w:themeColor="text1" w:themeTint="F2"/>
                <w:sz w:val="24"/>
                <w:szCs w:val="24"/>
                <w:lang w:val="lv-LV"/>
              </w:rPr>
              <w:t xml:space="preserve"> </w:t>
            </w:r>
            <w:r w:rsidR="00BD70E1">
              <w:rPr>
                <w:rFonts w:ascii="Times New Roman" w:hAnsi="Times New Roman" w:cs="Times New Roman"/>
                <w:color w:val="0D0D0D" w:themeColor="text1" w:themeTint="F2"/>
                <w:sz w:val="24"/>
                <w:szCs w:val="24"/>
                <w:lang w:val="lv-LV"/>
              </w:rPr>
              <w:t>Līdz ar to</w:t>
            </w:r>
            <w:r w:rsidR="0094120A">
              <w:rPr>
                <w:rFonts w:ascii="Times New Roman" w:hAnsi="Times New Roman" w:cs="Times New Roman"/>
                <w:color w:val="0D0D0D" w:themeColor="text1" w:themeTint="F2"/>
                <w:sz w:val="24"/>
                <w:szCs w:val="24"/>
                <w:lang w:val="lv-LV"/>
              </w:rPr>
              <w:t>, lai nodrošinātu Direktīvas prasību pienācīgu pārņ</w:t>
            </w:r>
            <w:r w:rsidR="00684049">
              <w:rPr>
                <w:rFonts w:ascii="Times New Roman" w:hAnsi="Times New Roman" w:cs="Times New Roman"/>
                <w:color w:val="0D0D0D" w:themeColor="text1" w:themeTint="F2"/>
                <w:sz w:val="24"/>
                <w:szCs w:val="24"/>
                <w:lang w:val="lv-LV"/>
              </w:rPr>
              <w:t>e</w:t>
            </w:r>
            <w:r w:rsidR="0094120A">
              <w:rPr>
                <w:rFonts w:ascii="Times New Roman" w:hAnsi="Times New Roman" w:cs="Times New Roman"/>
                <w:color w:val="0D0D0D" w:themeColor="text1" w:themeTint="F2"/>
                <w:sz w:val="24"/>
                <w:szCs w:val="24"/>
                <w:lang w:val="lv-LV"/>
              </w:rPr>
              <w:t>mšanu</w:t>
            </w:r>
            <w:r w:rsidR="00E00B7D">
              <w:rPr>
                <w:rFonts w:ascii="Times New Roman" w:hAnsi="Times New Roman" w:cs="Times New Roman"/>
                <w:color w:val="0D0D0D" w:themeColor="text1" w:themeTint="F2"/>
                <w:sz w:val="24"/>
                <w:szCs w:val="24"/>
                <w:lang w:val="lv-LV"/>
              </w:rPr>
              <w:t>,</w:t>
            </w:r>
            <w:r w:rsidR="00BD70E1">
              <w:rPr>
                <w:rFonts w:ascii="Times New Roman" w:hAnsi="Times New Roman" w:cs="Times New Roman"/>
                <w:color w:val="0D0D0D" w:themeColor="text1" w:themeTint="F2"/>
                <w:sz w:val="24"/>
                <w:szCs w:val="24"/>
                <w:lang w:val="lv-LV"/>
              </w:rPr>
              <w:t xml:space="preserve"> Likumprojektā </w:t>
            </w:r>
            <w:r w:rsidR="00E60D4F">
              <w:rPr>
                <w:rFonts w:ascii="Times New Roman" w:hAnsi="Times New Roman" w:cs="Times New Roman"/>
                <w:color w:val="0D0D0D" w:themeColor="text1" w:themeTint="F2"/>
                <w:sz w:val="24"/>
                <w:szCs w:val="24"/>
                <w:lang w:val="lv-LV"/>
              </w:rPr>
              <w:t>paredzēts</w:t>
            </w:r>
            <w:r w:rsidR="00684049">
              <w:rPr>
                <w:rFonts w:ascii="Times New Roman" w:hAnsi="Times New Roman" w:cs="Times New Roman"/>
                <w:color w:val="0D0D0D" w:themeColor="text1" w:themeTint="F2"/>
                <w:sz w:val="24"/>
                <w:szCs w:val="24"/>
                <w:lang w:val="lv-LV"/>
              </w:rPr>
              <w:t xml:space="preserve"> </w:t>
            </w:r>
            <w:r w:rsidR="00BF0D8B">
              <w:rPr>
                <w:rFonts w:ascii="Times New Roman" w:hAnsi="Times New Roman" w:cs="Times New Roman"/>
                <w:color w:val="0D0D0D" w:themeColor="text1" w:themeTint="F2"/>
                <w:sz w:val="24"/>
                <w:szCs w:val="24"/>
                <w:lang w:val="lv-LV"/>
              </w:rPr>
              <w:t>noteikt, k</w:t>
            </w:r>
            <w:r w:rsidR="00963608">
              <w:rPr>
                <w:rFonts w:ascii="Times New Roman" w:hAnsi="Times New Roman" w:cs="Times New Roman"/>
                <w:color w:val="0D0D0D" w:themeColor="text1" w:themeTint="F2"/>
                <w:sz w:val="24"/>
                <w:szCs w:val="24"/>
                <w:lang w:val="lv-LV"/>
              </w:rPr>
              <w:t xml:space="preserve">a Likuma 9.panta </w:t>
            </w:r>
            <w:r w:rsidR="00BF0D8B" w:rsidRPr="00BF0D8B">
              <w:rPr>
                <w:rFonts w:ascii="Times New Roman" w:hAnsi="Times New Roman" w:cs="Times New Roman"/>
                <w:color w:val="0D0D0D" w:themeColor="text1" w:themeTint="F2"/>
                <w:sz w:val="24"/>
                <w:szCs w:val="24"/>
                <w:lang w:val="lv-LV"/>
              </w:rPr>
              <w:t xml:space="preserve">piektās daļas 4.punktā minētās procesuālās darbības ir tiesības veikt </w:t>
            </w:r>
            <w:r w:rsidR="00963608">
              <w:rPr>
                <w:rFonts w:ascii="Times New Roman" w:hAnsi="Times New Roman" w:cs="Times New Roman"/>
                <w:color w:val="0D0D0D" w:themeColor="text1" w:themeTint="F2"/>
                <w:sz w:val="24"/>
                <w:szCs w:val="24"/>
                <w:lang w:val="lv-LV"/>
              </w:rPr>
              <w:t xml:space="preserve">ne vien </w:t>
            </w:r>
            <w:r w:rsidR="00A854D4">
              <w:rPr>
                <w:rFonts w:ascii="Times New Roman" w:hAnsi="Times New Roman" w:cs="Times New Roman"/>
                <w:color w:val="0D0D0D" w:themeColor="text1" w:themeTint="F2"/>
                <w:sz w:val="24"/>
                <w:szCs w:val="24"/>
                <w:lang w:val="lv-LV"/>
              </w:rPr>
              <w:t xml:space="preserve">KP amatpersonām, bet arī KP </w:t>
            </w:r>
            <w:r w:rsidR="00BF0D8B" w:rsidRPr="00BF0D8B">
              <w:rPr>
                <w:rFonts w:ascii="Times New Roman" w:hAnsi="Times New Roman" w:cs="Times New Roman"/>
                <w:color w:val="0D0D0D" w:themeColor="text1" w:themeTint="F2"/>
                <w:sz w:val="24"/>
                <w:szCs w:val="24"/>
                <w:lang w:val="lv-LV"/>
              </w:rPr>
              <w:t>pilnvarotajām personām</w:t>
            </w:r>
            <w:r w:rsidR="00A854D4">
              <w:rPr>
                <w:rFonts w:ascii="Times New Roman" w:hAnsi="Times New Roman" w:cs="Times New Roman"/>
                <w:color w:val="0D0D0D" w:themeColor="text1" w:themeTint="F2"/>
                <w:sz w:val="24"/>
                <w:szCs w:val="24"/>
                <w:lang w:val="lv-LV"/>
              </w:rPr>
              <w:t>.</w:t>
            </w:r>
          </w:p>
          <w:p w14:paraId="773E9D34" w14:textId="69B72190" w:rsidR="000636E2" w:rsidRPr="00E73D94" w:rsidRDefault="006344E7"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Likuma</w:t>
            </w:r>
            <w:r w:rsidR="000636E2" w:rsidRPr="00E73D94">
              <w:rPr>
                <w:rFonts w:ascii="Times New Roman" w:hAnsi="Times New Roman" w:cs="Times New Roman"/>
                <w:color w:val="0D0D0D" w:themeColor="text1" w:themeTint="F2"/>
                <w:sz w:val="24"/>
                <w:szCs w:val="24"/>
                <w:lang w:val="lv-LV"/>
              </w:rPr>
              <w:t xml:space="preserve"> 9.panta piektajā daļā šobrīd tieši un nepārprotami nav noteiktas KP tiesības nepieciešamības gadījumā turpināt īstenot šī panta 4.punktā paredzētās procesuālās darbības KP vai citās telpās. Līdz ar to </w:t>
            </w:r>
            <w:r w:rsidR="00081B33" w:rsidRPr="00E73D94">
              <w:rPr>
                <w:rFonts w:ascii="Times New Roman" w:hAnsi="Times New Roman" w:cs="Times New Roman"/>
                <w:color w:val="0D0D0D" w:themeColor="text1" w:themeTint="F2"/>
                <w:sz w:val="24"/>
                <w:szCs w:val="24"/>
                <w:lang w:val="lv-LV"/>
              </w:rPr>
              <w:t xml:space="preserve">personām </w:t>
            </w:r>
            <w:r w:rsidR="000636E2" w:rsidRPr="00E73D94">
              <w:rPr>
                <w:rFonts w:ascii="Times New Roman" w:hAnsi="Times New Roman" w:cs="Times New Roman"/>
                <w:color w:val="0D0D0D" w:themeColor="text1" w:themeTint="F2"/>
                <w:sz w:val="24"/>
                <w:szCs w:val="24"/>
                <w:lang w:val="lv-LV"/>
              </w:rPr>
              <w:t xml:space="preserve">var </w:t>
            </w:r>
            <w:r w:rsidR="00584DF3" w:rsidRPr="00E73D94">
              <w:rPr>
                <w:rFonts w:ascii="Times New Roman" w:hAnsi="Times New Roman" w:cs="Times New Roman"/>
                <w:color w:val="0D0D0D" w:themeColor="text1" w:themeTint="F2"/>
                <w:sz w:val="24"/>
                <w:szCs w:val="24"/>
                <w:lang w:val="lv-LV"/>
              </w:rPr>
              <w:t>rasties objektīva neskaidrība par</w:t>
            </w:r>
            <w:r w:rsidR="000636E2" w:rsidRPr="00E73D94">
              <w:rPr>
                <w:rFonts w:ascii="Times New Roman" w:hAnsi="Times New Roman" w:cs="Times New Roman"/>
                <w:color w:val="0D0D0D" w:themeColor="text1" w:themeTint="F2"/>
                <w:sz w:val="24"/>
                <w:szCs w:val="24"/>
                <w:lang w:val="lv-LV"/>
              </w:rPr>
              <w:t xml:space="preserve"> šādu KP pilnvaru</w:t>
            </w:r>
            <w:r w:rsidR="00081B33" w:rsidRPr="00E73D94">
              <w:rPr>
                <w:rFonts w:ascii="Times New Roman" w:hAnsi="Times New Roman" w:cs="Times New Roman"/>
                <w:color w:val="0D0D0D" w:themeColor="text1" w:themeTint="F2"/>
                <w:sz w:val="24"/>
                <w:szCs w:val="24"/>
                <w:lang w:val="lv-LV"/>
              </w:rPr>
              <w:t xml:space="preserve"> esamību</w:t>
            </w:r>
            <w:r w:rsidR="000636E2" w:rsidRPr="00E73D94">
              <w:rPr>
                <w:rFonts w:ascii="Times New Roman" w:hAnsi="Times New Roman" w:cs="Times New Roman"/>
                <w:color w:val="0D0D0D" w:themeColor="text1" w:themeTint="F2"/>
                <w:sz w:val="24"/>
                <w:szCs w:val="24"/>
                <w:lang w:val="lv-LV"/>
              </w:rPr>
              <w:t xml:space="preserve">. Tomēr, ievērojot izmeklējamās lietās nepieciešamo pārbaudāmo pierādījumu, jo īpaši elektroniskā veidā glabāto, apjomu, vispusīgas un pilnīgas pierādījumu pārbaudes nolūkos var būt nepieciešama ilgstoša pierādījumu meklēšana procesuālo darbību laikā. Direktīvas preambulas 33.punktā un 6.panta 1.punkta c)apakšpunktā, 7.panta 1. un 3.punktā noteikts, ka, lai novērstu, ka </w:t>
            </w:r>
            <w:r w:rsidR="00081B33" w:rsidRPr="00E73D94">
              <w:rPr>
                <w:rFonts w:ascii="Times New Roman" w:hAnsi="Times New Roman" w:cs="Times New Roman"/>
                <w:color w:val="0D0D0D" w:themeColor="text1" w:themeTint="F2"/>
                <w:sz w:val="24"/>
                <w:szCs w:val="24"/>
                <w:lang w:val="lv-LV"/>
              </w:rPr>
              <w:t>procesuālās darbības</w:t>
            </w:r>
            <w:r w:rsidR="000636E2" w:rsidRPr="00E73D94">
              <w:rPr>
                <w:rFonts w:ascii="Times New Roman" w:hAnsi="Times New Roman" w:cs="Times New Roman"/>
                <w:color w:val="0D0D0D" w:themeColor="text1" w:themeTint="F2"/>
                <w:sz w:val="24"/>
                <w:szCs w:val="24"/>
                <w:lang w:val="lv-LV"/>
              </w:rPr>
              <w:t xml:space="preserve"> pie uzņēmuma, uzņēmumu apvienības vai citas personas nevajadzīgi ieilgst, dalībvalstij jānodrošina, ka konkurences iestādei ir pilnvaras turpināt ar </w:t>
            </w:r>
            <w:proofErr w:type="spellStart"/>
            <w:r w:rsidR="000636E2" w:rsidRPr="00E73D94">
              <w:rPr>
                <w:rFonts w:ascii="Times New Roman" w:hAnsi="Times New Roman" w:cs="Times New Roman"/>
                <w:color w:val="0D0D0D" w:themeColor="text1" w:themeTint="F2"/>
                <w:sz w:val="24"/>
                <w:szCs w:val="24"/>
                <w:lang w:val="lv-LV"/>
              </w:rPr>
              <w:t>darījumdarbību</w:t>
            </w:r>
            <w:proofErr w:type="spellEnd"/>
            <w:r w:rsidR="000636E2" w:rsidRPr="00E73D94">
              <w:rPr>
                <w:rFonts w:ascii="Times New Roman" w:hAnsi="Times New Roman" w:cs="Times New Roman"/>
                <w:color w:val="0D0D0D" w:themeColor="text1" w:themeTint="F2"/>
                <w:sz w:val="24"/>
                <w:szCs w:val="24"/>
                <w:lang w:val="lv-LV"/>
              </w:rPr>
              <w:t xml:space="preserve"> saistīto grāmatvedības un citu dokumentu kopiju vai izvilkumu meklēšanu un atlasīt tos iestādes telpās </w:t>
            </w:r>
            <w:bookmarkStart w:id="1" w:name="_Hlk25780502"/>
            <w:r w:rsidR="000636E2" w:rsidRPr="00E73D94">
              <w:rPr>
                <w:rFonts w:ascii="Times New Roman" w:hAnsi="Times New Roman" w:cs="Times New Roman"/>
                <w:color w:val="0D0D0D" w:themeColor="text1" w:themeTint="F2"/>
                <w:sz w:val="24"/>
                <w:szCs w:val="24"/>
                <w:lang w:val="lv-LV"/>
              </w:rPr>
              <w:t xml:space="preserve">vai citās attiecīgi noteiktās </w:t>
            </w:r>
            <w:bookmarkEnd w:id="1"/>
            <w:r w:rsidR="000636E2" w:rsidRPr="00E73D94">
              <w:rPr>
                <w:rFonts w:ascii="Times New Roman" w:hAnsi="Times New Roman" w:cs="Times New Roman"/>
                <w:color w:val="0D0D0D" w:themeColor="text1" w:themeTint="F2"/>
                <w:sz w:val="24"/>
                <w:szCs w:val="24"/>
                <w:lang w:val="lv-LV"/>
              </w:rPr>
              <w:t xml:space="preserve">telpās. Līdz ar to atbilstoši Direktīvas prasībām </w:t>
            </w:r>
            <w:r w:rsidR="009A032E" w:rsidRPr="00E73D94">
              <w:rPr>
                <w:rFonts w:ascii="Times New Roman" w:hAnsi="Times New Roman" w:cs="Times New Roman"/>
                <w:color w:val="0D0D0D" w:themeColor="text1" w:themeTint="F2"/>
                <w:sz w:val="24"/>
                <w:szCs w:val="24"/>
                <w:lang w:val="lv-LV"/>
              </w:rPr>
              <w:t>L</w:t>
            </w:r>
            <w:r w:rsidR="000636E2" w:rsidRPr="00E73D94">
              <w:rPr>
                <w:rFonts w:ascii="Times New Roman" w:hAnsi="Times New Roman" w:cs="Times New Roman"/>
                <w:color w:val="0D0D0D" w:themeColor="text1" w:themeTint="F2"/>
                <w:sz w:val="24"/>
                <w:szCs w:val="24"/>
                <w:lang w:val="lv-LV"/>
              </w:rPr>
              <w:t xml:space="preserve">ikumprojektā nepieciešams paredzēt KP un tās pilnvaroto personu tiesības turpināt </w:t>
            </w:r>
            <w:r w:rsidR="003A4F00" w:rsidRPr="00E73D94">
              <w:rPr>
                <w:rFonts w:ascii="Times New Roman" w:hAnsi="Times New Roman" w:cs="Times New Roman"/>
                <w:color w:val="0D0D0D" w:themeColor="text1" w:themeTint="F2"/>
                <w:sz w:val="24"/>
                <w:szCs w:val="24"/>
                <w:lang w:val="lv-LV"/>
              </w:rPr>
              <w:t>Likuma</w:t>
            </w:r>
            <w:r w:rsidR="000636E2" w:rsidRPr="00E73D94">
              <w:rPr>
                <w:rFonts w:ascii="Times New Roman" w:hAnsi="Times New Roman" w:cs="Times New Roman"/>
                <w:color w:val="0D0D0D" w:themeColor="text1" w:themeTint="F2"/>
                <w:sz w:val="24"/>
                <w:szCs w:val="24"/>
                <w:lang w:val="lv-LV"/>
              </w:rPr>
              <w:t xml:space="preserve"> 9.panta piektās daļas 4.punktā noteikto procesuālo darbību īstenošanu KP vai citās attiecīgi noteiktās telpās.</w:t>
            </w:r>
          </w:p>
          <w:p w14:paraId="35CCFCAC" w14:textId="79CD4AA7" w:rsidR="00FC3E91" w:rsidRPr="00E73D94" w:rsidRDefault="000636E2"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bookmarkStart w:id="2" w:name="_Hlk42872108"/>
            <w:r w:rsidRPr="00E73D94">
              <w:rPr>
                <w:rFonts w:ascii="Times New Roman" w:hAnsi="Times New Roman" w:cs="Times New Roman"/>
                <w:color w:val="0D0D0D" w:themeColor="text1" w:themeTint="F2"/>
                <w:sz w:val="24"/>
                <w:szCs w:val="24"/>
                <w:shd w:val="clear" w:color="auto" w:fill="FFFFFF"/>
                <w:lang w:val="lv-LV"/>
              </w:rPr>
              <w:t xml:space="preserve">Direktīvas preambulas 35.punktā, 6.panta 1.punkta </w:t>
            </w:r>
            <w:r w:rsidR="007A6E5A" w:rsidRPr="00E73D94">
              <w:rPr>
                <w:rFonts w:ascii="Times New Roman" w:hAnsi="Times New Roman" w:cs="Times New Roman"/>
                <w:color w:val="0D0D0D" w:themeColor="text1" w:themeTint="F2"/>
                <w:sz w:val="24"/>
                <w:szCs w:val="24"/>
                <w:shd w:val="clear" w:color="auto" w:fill="FFFFFF"/>
                <w:lang w:val="lv-LV"/>
              </w:rPr>
              <w:t>e</w:t>
            </w:r>
            <w:r w:rsidRPr="00E73D94">
              <w:rPr>
                <w:rFonts w:ascii="Times New Roman" w:hAnsi="Times New Roman" w:cs="Times New Roman"/>
                <w:color w:val="0D0D0D" w:themeColor="text1" w:themeTint="F2"/>
                <w:sz w:val="24"/>
                <w:szCs w:val="24"/>
                <w:shd w:val="clear" w:color="auto" w:fill="FFFFFF"/>
                <w:lang w:val="lv-LV"/>
              </w:rPr>
              <w:t>)</w:t>
            </w:r>
            <w:r w:rsidR="00333205" w:rsidRPr="00E73D94">
              <w:rPr>
                <w:rFonts w:ascii="Times New Roman" w:hAnsi="Times New Roman" w:cs="Times New Roman"/>
                <w:color w:val="0D0D0D" w:themeColor="text1" w:themeTint="F2"/>
                <w:sz w:val="24"/>
                <w:szCs w:val="24"/>
                <w:shd w:val="clear" w:color="auto" w:fill="FFFFFF"/>
                <w:lang w:val="lv-LV"/>
              </w:rPr>
              <w:t xml:space="preserve"> </w:t>
            </w:r>
            <w:r w:rsidRPr="00E73D94">
              <w:rPr>
                <w:rFonts w:ascii="Times New Roman" w:hAnsi="Times New Roman" w:cs="Times New Roman"/>
                <w:color w:val="0D0D0D" w:themeColor="text1" w:themeTint="F2"/>
                <w:sz w:val="24"/>
                <w:szCs w:val="24"/>
                <w:shd w:val="clear" w:color="auto" w:fill="FFFFFF"/>
                <w:lang w:val="lv-LV"/>
              </w:rPr>
              <w:t xml:space="preserve">apakšpunktā, 13.panta 2.punkta c) apakšpunktā </w:t>
            </w:r>
            <w:bookmarkEnd w:id="2"/>
            <w:r w:rsidRPr="00E73D94">
              <w:rPr>
                <w:rFonts w:ascii="Times New Roman" w:hAnsi="Times New Roman" w:cs="Times New Roman"/>
                <w:color w:val="0D0D0D" w:themeColor="text1" w:themeTint="F2"/>
                <w:sz w:val="24"/>
                <w:szCs w:val="24"/>
                <w:shd w:val="clear" w:color="auto" w:fill="FFFFFF"/>
                <w:lang w:val="lv-LV"/>
              </w:rPr>
              <w:t xml:space="preserve">paredzētas konkurences iestādes </w:t>
            </w:r>
            <w:r w:rsidRPr="00E73D94">
              <w:rPr>
                <w:rFonts w:ascii="Times New Roman" w:hAnsi="Times New Roman" w:cs="Times New Roman"/>
                <w:color w:val="0D0D0D" w:themeColor="text1" w:themeTint="F2"/>
                <w:sz w:val="24"/>
                <w:szCs w:val="24"/>
                <w:shd w:val="clear" w:color="auto" w:fill="FFFFFF"/>
                <w:lang w:val="lv-LV"/>
              </w:rPr>
              <w:lastRenderedPageBreak/>
              <w:t xml:space="preserve">pilnvaras pieprasīt jebkuram uzņēmuma vai to apvienības darbiniekam, vai pārstāvim sniegt paskaidrojumus par faktiem vai dokumentiem, kas attiecas uz </w:t>
            </w:r>
            <w:r w:rsidR="00267172" w:rsidRPr="00E73D94">
              <w:rPr>
                <w:rFonts w:ascii="Times New Roman" w:hAnsi="Times New Roman" w:cs="Times New Roman"/>
                <w:color w:val="0D0D0D" w:themeColor="text1" w:themeTint="F2"/>
                <w:sz w:val="24"/>
                <w:szCs w:val="24"/>
                <w:shd w:val="clear" w:color="auto" w:fill="FFFFFF"/>
                <w:lang w:val="lv-LV"/>
              </w:rPr>
              <w:t xml:space="preserve">procesuālo darbību </w:t>
            </w:r>
            <w:r w:rsidRPr="00E73D94">
              <w:rPr>
                <w:rFonts w:ascii="Times New Roman" w:hAnsi="Times New Roman" w:cs="Times New Roman"/>
                <w:color w:val="0D0D0D" w:themeColor="text1" w:themeTint="F2"/>
                <w:sz w:val="24"/>
                <w:szCs w:val="24"/>
                <w:shd w:val="clear" w:color="auto" w:fill="FFFFFF"/>
                <w:lang w:val="lv-LV"/>
              </w:rPr>
              <w:t>priekšmetu un mērķi, kā arī noteikt atbildību, ja tās nepakļaujas minētajām pilnvarām. Līdz ar to</w:t>
            </w:r>
            <w:r w:rsidRPr="00E73D94">
              <w:rPr>
                <w:rFonts w:ascii="Times New Roman" w:hAnsi="Times New Roman" w:cs="Times New Roman"/>
                <w:color w:val="0D0D0D" w:themeColor="text1" w:themeTint="F2"/>
                <w:sz w:val="24"/>
                <w:szCs w:val="24"/>
                <w:lang w:val="lv-LV"/>
              </w:rPr>
              <w:t xml:space="preserve"> </w:t>
            </w:r>
            <w:r w:rsidRPr="00E73D94">
              <w:rPr>
                <w:rFonts w:ascii="Times New Roman" w:hAnsi="Times New Roman" w:cs="Times New Roman"/>
                <w:color w:val="0D0D0D" w:themeColor="text1" w:themeTint="F2"/>
                <w:sz w:val="24"/>
                <w:szCs w:val="24"/>
                <w:shd w:val="clear" w:color="auto" w:fill="FFFFFF"/>
                <w:lang w:val="lv-LV"/>
              </w:rPr>
              <w:t xml:space="preserve">atbilstoši Direktīvas prasībām </w:t>
            </w:r>
            <w:r w:rsidR="009A032E" w:rsidRPr="00E73D94">
              <w:rPr>
                <w:rFonts w:ascii="Times New Roman" w:hAnsi="Times New Roman" w:cs="Times New Roman"/>
                <w:color w:val="0D0D0D" w:themeColor="text1" w:themeTint="F2"/>
                <w:sz w:val="24"/>
                <w:szCs w:val="24"/>
                <w:shd w:val="clear" w:color="auto" w:fill="FFFFFF"/>
                <w:lang w:val="lv-LV"/>
              </w:rPr>
              <w:t>L</w:t>
            </w:r>
            <w:r w:rsidRPr="00E73D94">
              <w:rPr>
                <w:rFonts w:ascii="Times New Roman" w:hAnsi="Times New Roman" w:cs="Times New Roman"/>
                <w:color w:val="0D0D0D" w:themeColor="text1" w:themeTint="F2"/>
                <w:sz w:val="24"/>
                <w:szCs w:val="24"/>
                <w:shd w:val="clear" w:color="auto" w:fill="FFFFFF"/>
                <w:lang w:val="lv-LV"/>
              </w:rPr>
              <w:t>ikumprojektā nepieciešams precizēt tirgus dalībnieku</w:t>
            </w:r>
            <w:r w:rsidR="00267172" w:rsidRPr="00E73D94">
              <w:rPr>
                <w:rFonts w:ascii="Times New Roman" w:hAnsi="Times New Roman" w:cs="Times New Roman"/>
                <w:color w:val="0D0D0D" w:themeColor="text1" w:themeTint="F2"/>
                <w:sz w:val="24"/>
                <w:szCs w:val="24"/>
                <w:shd w:val="clear" w:color="auto" w:fill="FFFFFF"/>
                <w:lang w:val="lv-LV"/>
              </w:rPr>
              <w:t>,</w:t>
            </w:r>
            <w:r w:rsidRPr="00E73D94">
              <w:rPr>
                <w:rFonts w:ascii="Times New Roman" w:hAnsi="Times New Roman" w:cs="Times New Roman"/>
                <w:color w:val="0D0D0D" w:themeColor="text1" w:themeTint="F2"/>
                <w:sz w:val="24"/>
                <w:szCs w:val="24"/>
                <w:shd w:val="clear" w:color="auto" w:fill="FFFFFF"/>
                <w:lang w:val="lv-LV"/>
              </w:rPr>
              <w:t xml:space="preserve"> to apvienību</w:t>
            </w:r>
            <w:r w:rsidR="00267172" w:rsidRPr="00E73D94">
              <w:rPr>
                <w:rFonts w:ascii="Times New Roman" w:hAnsi="Times New Roman" w:cs="Times New Roman"/>
                <w:color w:val="0D0D0D" w:themeColor="text1" w:themeTint="F2"/>
                <w:sz w:val="24"/>
                <w:szCs w:val="24"/>
                <w:shd w:val="clear" w:color="auto" w:fill="FFFFFF"/>
                <w:lang w:val="lv-LV"/>
              </w:rPr>
              <w:t xml:space="preserve"> un citu personu</w:t>
            </w:r>
            <w:r w:rsidRPr="00E73D94">
              <w:rPr>
                <w:rFonts w:ascii="Times New Roman" w:hAnsi="Times New Roman" w:cs="Times New Roman"/>
                <w:color w:val="0D0D0D" w:themeColor="text1" w:themeTint="F2"/>
                <w:sz w:val="24"/>
                <w:szCs w:val="24"/>
                <w:shd w:val="clear" w:color="auto" w:fill="FFFFFF"/>
                <w:lang w:val="lv-LV"/>
              </w:rPr>
              <w:t xml:space="preserve"> atbildību, ja tiek sniegti nepilnīgi paskaidrojumi</w:t>
            </w:r>
            <w:r w:rsidR="00EF70CA" w:rsidRPr="00E73D94">
              <w:rPr>
                <w:rFonts w:ascii="Times New Roman" w:hAnsi="Times New Roman" w:cs="Times New Roman"/>
                <w:color w:val="0D0D0D" w:themeColor="text1" w:themeTint="F2"/>
                <w:sz w:val="24"/>
                <w:szCs w:val="24"/>
                <w:shd w:val="clear" w:color="auto" w:fill="FFFFFF"/>
                <w:lang w:val="lv-LV"/>
              </w:rPr>
              <w:t xml:space="preserve"> (Likuma 9.</w:t>
            </w:r>
            <w:r w:rsidR="00EF70CA" w:rsidRPr="00E73D94">
              <w:rPr>
                <w:rFonts w:ascii="Times New Roman" w:hAnsi="Times New Roman" w:cs="Times New Roman"/>
                <w:color w:val="0D0D0D" w:themeColor="text1" w:themeTint="F2"/>
                <w:sz w:val="24"/>
                <w:szCs w:val="24"/>
                <w:shd w:val="clear" w:color="auto" w:fill="FFFFFF"/>
                <w:vertAlign w:val="superscript"/>
                <w:lang w:val="lv-LV"/>
              </w:rPr>
              <w:t>4</w:t>
            </w:r>
            <w:r w:rsidR="00EF70CA" w:rsidRPr="00E73D94">
              <w:rPr>
                <w:rFonts w:ascii="Times New Roman" w:hAnsi="Times New Roman" w:cs="Times New Roman"/>
                <w:color w:val="0D0D0D" w:themeColor="text1" w:themeTint="F2"/>
                <w:sz w:val="24"/>
                <w:szCs w:val="24"/>
                <w:shd w:val="clear" w:color="auto" w:fill="FFFFFF"/>
                <w:lang w:val="lv-LV"/>
              </w:rPr>
              <w:t xml:space="preserve"> pants)</w:t>
            </w:r>
            <w:r w:rsidRPr="00E73D94">
              <w:rPr>
                <w:rFonts w:ascii="Times New Roman" w:hAnsi="Times New Roman" w:cs="Times New Roman"/>
                <w:color w:val="0D0D0D" w:themeColor="text1" w:themeTint="F2"/>
                <w:sz w:val="24"/>
                <w:szCs w:val="24"/>
                <w:shd w:val="clear" w:color="auto" w:fill="FFFFFF"/>
                <w:lang w:val="lv-LV"/>
              </w:rPr>
              <w:t>.</w:t>
            </w:r>
          </w:p>
          <w:p w14:paraId="504B77A2" w14:textId="75277B94" w:rsidR="00FC3E91" w:rsidRPr="00E73D94" w:rsidRDefault="00FC3E91"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shd w:val="clear" w:color="auto" w:fill="FFFFFF"/>
                <w:lang w:val="lv-LV"/>
              </w:rPr>
              <w:t xml:space="preserve">Direktīvas 6.pantā paredzētas minimālās konkurences iestāžu izmeklēšanas pilnvaras, t.sk. attiecībā uz  un Direktīvas preambulas 32.apsvērumā </w:t>
            </w:r>
            <w:r w:rsidR="00D0099B" w:rsidRPr="00E73D94">
              <w:rPr>
                <w:rFonts w:ascii="Times New Roman" w:hAnsi="Times New Roman" w:cs="Times New Roman"/>
                <w:color w:val="0D0D0D" w:themeColor="text1" w:themeTint="F2"/>
                <w:sz w:val="24"/>
                <w:szCs w:val="24"/>
                <w:shd w:val="clear" w:color="auto" w:fill="FFFFFF"/>
                <w:lang w:val="lv-LV"/>
              </w:rPr>
              <w:t xml:space="preserve">norādīto, proti, </w:t>
            </w:r>
            <w:r w:rsidR="00D0099B" w:rsidRPr="00E73D94">
              <w:rPr>
                <w:rFonts w:ascii="Times New Roman" w:hAnsi="Times New Roman" w:cs="Times New Roman"/>
                <w:color w:val="0D0D0D" w:themeColor="text1" w:themeTint="F2"/>
                <w:sz w:val="24"/>
                <w:szCs w:val="24"/>
                <w:lang w:val="lv-LV"/>
              </w:rPr>
              <w:t xml:space="preserve">lai konkurences iestāžu </w:t>
            </w:r>
            <w:r w:rsidR="00267172" w:rsidRPr="00E73D94">
              <w:rPr>
                <w:rFonts w:ascii="Times New Roman" w:hAnsi="Times New Roman" w:cs="Times New Roman"/>
                <w:color w:val="0D0D0D" w:themeColor="text1" w:themeTint="F2"/>
                <w:sz w:val="24"/>
                <w:szCs w:val="24"/>
                <w:lang w:val="lv-LV"/>
              </w:rPr>
              <w:t xml:space="preserve">procesuālo darbību </w:t>
            </w:r>
            <w:r w:rsidR="00D0099B" w:rsidRPr="00E73D94">
              <w:rPr>
                <w:rFonts w:ascii="Times New Roman" w:hAnsi="Times New Roman" w:cs="Times New Roman"/>
                <w:color w:val="0D0D0D" w:themeColor="text1" w:themeTint="F2"/>
                <w:sz w:val="24"/>
                <w:szCs w:val="24"/>
                <w:lang w:val="lv-LV"/>
              </w:rPr>
              <w:t>veikšanas pilnvaras būtu efektīvas, tām būtu jādod šīm iestādēm iespēja piekļūt informācijai</w:t>
            </w:r>
            <w:r w:rsidR="0030041D" w:rsidRPr="00E73D94">
              <w:rPr>
                <w:rFonts w:ascii="Times New Roman" w:hAnsi="Times New Roman" w:cs="Times New Roman"/>
                <w:color w:val="0D0D0D" w:themeColor="text1" w:themeTint="F2"/>
                <w:sz w:val="24"/>
                <w:szCs w:val="24"/>
                <w:lang w:val="lv-LV"/>
              </w:rPr>
              <w:t xml:space="preserve"> neatkarīgi no uzglabāšanas vietas un veida</w:t>
            </w:r>
            <w:r w:rsidR="00D0099B" w:rsidRPr="00E73D94">
              <w:rPr>
                <w:rFonts w:ascii="Times New Roman" w:hAnsi="Times New Roman" w:cs="Times New Roman"/>
                <w:color w:val="0D0D0D" w:themeColor="text1" w:themeTint="F2"/>
                <w:sz w:val="24"/>
                <w:szCs w:val="24"/>
                <w:lang w:val="lv-LV"/>
              </w:rPr>
              <w:t xml:space="preserve">, kas ir pieejama attiecīgajam uzņēmumam vai uzņēmumu apvienībai, vai personai, uz kuru attiecas </w:t>
            </w:r>
            <w:r w:rsidR="00267172" w:rsidRPr="00E73D94">
              <w:rPr>
                <w:rFonts w:ascii="Times New Roman" w:hAnsi="Times New Roman" w:cs="Times New Roman"/>
                <w:color w:val="0D0D0D" w:themeColor="text1" w:themeTint="F2"/>
                <w:sz w:val="24"/>
                <w:szCs w:val="24"/>
                <w:lang w:val="lv-LV"/>
              </w:rPr>
              <w:t>procesuālās darbības</w:t>
            </w:r>
            <w:r w:rsidR="00D0099B" w:rsidRPr="00E73D94">
              <w:rPr>
                <w:rFonts w:ascii="Times New Roman" w:hAnsi="Times New Roman" w:cs="Times New Roman"/>
                <w:color w:val="0D0D0D" w:themeColor="text1" w:themeTint="F2"/>
                <w:sz w:val="24"/>
                <w:szCs w:val="24"/>
                <w:lang w:val="lv-LV"/>
              </w:rPr>
              <w:t xml:space="preserve">, un kas attiecas uz uzņēmumu vai uzņēmumu apvienību, uz kuru attiecas izmeklēšana. Atbilstoši </w:t>
            </w:r>
            <w:r w:rsidR="003A4F00" w:rsidRPr="00E73D94">
              <w:rPr>
                <w:rFonts w:ascii="Times New Roman" w:hAnsi="Times New Roman" w:cs="Times New Roman"/>
                <w:color w:val="0D0D0D" w:themeColor="text1" w:themeTint="F2"/>
                <w:sz w:val="24"/>
                <w:szCs w:val="24"/>
                <w:lang w:val="lv-LV"/>
              </w:rPr>
              <w:t>Likuma</w:t>
            </w:r>
            <w:r w:rsidR="0077527A" w:rsidRPr="00E73D94">
              <w:rPr>
                <w:rFonts w:ascii="Times New Roman" w:hAnsi="Times New Roman" w:cs="Times New Roman"/>
                <w:color w:val="0D0D0D" w:themeColor="text1" w:themeTint="F2"/>
                <w:sz w:val="24"/>
                <w:szCs w:val="24"/>
                <w:lang w:val="lv-LV"/>
              </w:rPr>
              <w:t xml:space="preserve"> 9.panta sestās daļas 2.punktā tiek precizēts ar izmeklējamo lietu saistīto personu pienākums nodrošināt piekļuvi informācijai (ziņām), kas </w:t>
            </w:r>
            <w:r w:rsidR="0030041D" w:rsidRPr="00E73D94">
              <w:rPr>
                <w:rFonts w:ascii="Times New Roman" w:hAnsi="Times New Roman" w:cs="Times New Roman"/>
                <w:color w:val="0D0D0D" w:themeColor="text1" w:themeTint="F2"/>
                <w:sz w:val="24"/>
                <w:szCs w:val="24"/>
                <w:lang w:val="lv-LV"/>
              </w:rPr>
              <w:t xml:space="preserve">tām </w:t>
            </w:r>
            <w:r w:rsidR="0077527A" w:rsidRPr="00E73D94">
              <w:rPr>
                <w:rFonts w:ascii="Times New Roman" w:hAnsi="Times New Roman" w:cs="Times New Roman"/>
                <w:color w:val="0D0D0D" w:themeColor="text1" w:themeTint="F2"/>
                <w:sz w:val="24"/>
                <w:szCs w:val="24"/>
                <w:lang w:val="lv-LV"/>
              </w:rPr>
              <w:t xml:space="preserve">ir pieejama. </w:t>
            </w:r>
          </w:p>
          <w:p w14:paraId="6C98E249" w14:textId="3FC7DE3B" w:rsidR="00860019" w:rsidRPr="00E73D94" w:rsidRDefault="000636E2"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shd w:val="clear" w:color="auto" w:fill="FFFFFF"/>
                <w:lang w:val="lv-LV"/>
              </w:rPr>
              <w:t>KL 27.</w:t>
            </w:r>
            <w:r w:rsidRPr="00E73D94">
              <w:rPr>
                <w:rFonts w:ascii="Times New Roman" w:hAnsi="Times New Roman" w:cs="Times New Roman"/>
                <w:color w:val="0D0D0D" w:themeColor="text1" w:themeTint="F2"/>
                <w:sz w:val="24"/>
                <w:szCs w:val="24"/>
                <w:shd w:val="clear" w:color="auto" w:fill="FFFFFF"/>
                <w:vertAlign w:val="superscript"/>
                <w:lang w:val="lv-LV"/>
              </w:rPr>
              <w:t xml:space="preserve">3 </w:t>
            </w:r>
            <w:r w:rsidRPr="00E73D94">
              <w:rPr>
                <w:rFonts w:ascii="Times New Roman" w:hAnsi="Times New Roman" w:cs="Times New Roman"/>
                <w:color w:val="0D0D0D" w:themeColor="text1" w:themeTint="F2"/>
                <w:sz w:val="24"/>
                <w:szCs w:val="24"/>
                <w:shd w:val="clear" w:color="auto" w:fill="FFFFFF"/>
                <w:lang w:val="lv-LV"/>
              </w:rPr>
              <w:t>panta trešā daļa nosaka, ka administratīvā līguma pārsūdzēšana, ar kuru izbeigts tiesas process, neaptur tā izpildi. Šobrīd KL neparedz kārtību, kādā tiek veikta tiesisko pienākumu, kurus tirgus dalībnieks apņēmies pildīt administratīvajā līgumā, ar kuru izbeigts tiesas process, izpilde, ja tie netiek pildīti. KL arī nenosaka tiesisko pienākumu piespiedu izpildes kārtību, kurus tirgus dalībnieks apņēmies pildīt administratīvajā līgumā, ar kuru izbeigt</w:t>
            </w:r>
            <w:r w:rsidR="0030041D" w:rsidRPr="00E73D94">
              <w:rPr>
                <w:rFonts w:ascii="Times New Roman" w:hAnsi="Times New Roman" w:cs="Times New Roman"/>
                <w:color w:val="0D0D0D" w:themeColor="text1" w:themeTint="F2"/>
                <w:sz w:val="24"/>
                <w:szCs w:val="24"/>
                <w:shd w:val="clear" w:color="auto" w:fill="FFFFFF"/>
                <w:lang w:val="lv-LV"/>
              </w:rPr>
              <w:t>s</w:t>
            </w:r>
            <w:r w:rsidRPr="00E73D94">
              <w:rPr>
                <w:rFonts w:ascii="Times New Roman" w:hAnsi="Times New Roman" w:cs="Times New Roman"/>
                <w:color w:val="0D0D0D" w:themeColor="text1" w:themeTint="F2"/>
                <w:sz w:val="24"/>
                <w:szCs w:val="24"/>
                <w:shd w:val="clear" w:color="auto" w:fill="FFFFFF"/>
                <w:lang w:val="lv-LV"/>
              </w:rPr>
              <w:t xml:space="preserve"> strīds iestādē. Tāpat KL šobrīd neparedz atbildību tirgus dalībniekam, ja konkurences tiesību iespējamā pārkāpuma izpētes lietā a</w:t>
            </w:r>
            <w:r w:rsidRPr="00E73D94">
              <w:rPr>
                <w:rFonts w:ascii="Times New Roman" w:hAnsi="Times New Roman" w:cs="Times New Roman"/>
                <w:color w:val="0D0D0D" w:themeColor="text1" w:themeTint="F2"/>
                <w:sz w:val="24"/>
                <w:szCs w:val="24"/>
                <w:lang w:val="lv-LV"/>
              </w:rPr>
              <w:t>tbilstoši KL 27.</w:t>
            </w:r>
            <w:r w:rsidRPr="00E73D94">
              <w:rPr>
                <w:rFonts w:ascii="Times New Roman" w:hAnsi="Times New Roman" w:cs="Times New Roman"/>
                <w:color w:val="0D0D0D" w:themeColor="text1" w:themeTint="F2"/>
                <w:sz w:val="24"/>
                <w:szCs w:val="24"/>
                <w:vertAlign w:val="superscript"/>
                <w:lang w:val="lv-LV"/>
              </w:rPr>
              <w:t xml:space="preserve">3 </w:t>
            </w:r>
            <w:r w:rsidRPr="00E73D94">
              <w:rPr>
                <w:rFonts w:ascii="Times New Roman" w:hAnsi="Times New Roman" w:cs="Times New Roman"/>
                <w:color w:val="0D0D0D" w:themeColor="text1" w:themeTint="F2"/>
                <w:sz w:val="24"/>
                <w:szCs w:val="24"/>
                <w:lang w:val="lv-LV"/>
              </w:rPr>
              <w:t xml:space="preserve">pantā noteiktam regulējumam tirgus dalībnieks pretēji noslēgtajai vienošanās pārkāpis noteiktos tiesiskos pienākumus, kas novērš konkurences kavēšanu, ierobežošanu un deformēšanu. </w:t>
            </w:r>
            <w:r w:rsidRPr="00E73D94">
              <w:rPr>
                <w:rFonts w:ascii="Times New Roman" w:hAnsi="Times New Roman" w:cs="Times New Roman"/>
                <w:color w:val="0D0D0D" w:themeColor="text1" w:themeTint="F2"/>
                <w:sz w:val="24"/>
                <w:szCs w:val="24"/>
                <w:shd w:val="clear" w:color="auto" w:fill="FFFFFF"/>
                <w:lang w:val="lv-LV"/>
              </w:rPr>
              <w:t xml:space="preserve">Tiesisko pienākumu nepildīšana kavē konkurences ierobežojumu novēršanu, līdz ar to nepieciešams paredzēt efektīvu un pietiekami preventīvu tiesisko mehānismu, kas nodrošina tiesisko pienākumu ievērošanu. Tādējādi </w:t>
            </w:r>
            <w:r w:rsidR="009A032E" w:rsidRPr="00E73D94">
              <w:rPr>
                <w:rFonts w:ascii="Times New Roman" w:hAnsi="Times New Roman" w:cs="Times New Roman"/>
                <w:color w:val="0D0D0D" w:themeColor="text1" w:themeTint="F2"/>
                <w:sz w:val="24"/>
                <w:szCs w:val="24"/>
                <w:shd w:val="clear" w:color="auto" w:fill="FFFFFF"/>
                <w:lang w:val="lv-LV"/>
              </w:rPr>
              <w:t>L</w:t>
            </w:r>
            <w:r w:rsidRPr="00E73D94">
              <w:rPr>
                <w:rFonts w:ascii="Times New Roman" w:hAnsi="Times New Roman" w:cs="Times New Roman"/>
                <w:color w:val="0D0D0D" w:themeColor="text1" w:themeTint="F2"/>
                <w:sz w:val="24"/>
                <w:szCs w:val="24"/>
                <w:shd w:val="clear" w:color="auto" w:fill="FFFFFF"/>
                <w:lang w:val="lv-LV"/>
              </w:rPr>
              <w:t>ikumprojekts nosaka, ka</w:t>
            </w:r>
            <w:r w:rsidR="00213859" w:rsidRPr="00E73D94">
              <w:rPr>
                <w:rFonts w:ascii="Times New Roman" w:hAnsi="Times New Roman" w:cs="Times New Roman"/>
                <w:color w:val="0D0D0D" w:themeColor="text1" w:themeTint="F2"/>
                <w:sz w:val="24"/>
                <w:szCs w:val="24"/>
                <w:shd w:val="clear" w:color="auto" w:fill="FFFFFF"/>
                <w:lang w:val="lv-LV"/>
              </w:rPr>
              <w:t>,</w:t>
            </w:r>
            <w:r w:rsidRPr="00E73D94">
              <w:rPr>
                <w:rFonts w:ascii="Times New Roman" w:hAnsi="Times New Roman" w:cs="Times New Roman"/>
                <w:color w:val="0D0D0D" w:themeColor="text1" w:themeTint="F2"/>
                <w:sz w:val="24"/>
                <w:szCs w:val="24"/>
                <w:shd w:val="clear" w:color="auto" w:fill="FFFFFF"/>
                <w:lang w:val="lv-LV"/>
              </w:rPr>
              <w:t xml:space="preserve"> ja tiesiskie pienākumi, kurus tirgus dalībnieks apņēmies pildīt administratīvajā līgumā, netiek pildīti, KP pieņem lēmumu par naudas soda uzlikšanu un nodrošina tiesisko pienākumu piespiedu izpildi šā likuma 8.</w:t>
            </w:r>
            <w:r w:rsidRPr="00E73D94">
              <w:rPr>
                <w:rFonts w:ascii="Times New Roman" w:hAnsi="Times New Roman" w:cs="Times New Roman"/>
                <w:color w:val="0D0D0D" w:themeColor="text1" w:themeTint="F2"/>
                <w:sz w:val="24"/>
                <w:szCs w:val="24"/>
                <w:shd w:val="clear" w:color="auto" w:fill="FFFFFF"/>
                <w:vertAlign w:val="superscript"/>
                <w:lang w:val="lv-LV"/>
              </w:rPr>
              <w:t>1</w:t>
            </w:r>
            <w:r w:rsidRPr="00E73D94">
              <w:rPr>
                <w:rFonts w:ascii="Times New Roman" w:hAnsi="Times New Roman" w:cs="Times New Roman"/>
                <w:color w:val="0D0D0D" w:themeColor="text1" w:themeTint="F2"/>
                <w:sz w:val="24"/>
                <w:szCs w:val="24"/>
                <w:shd w:val="clear" w:color="auto" w:fill="FFFFFF"/>
                <w:lang w:val="lv-LV"/>
              </w:rPr>
              <w:t xml:space="preserve"> pantā noteiktajā kārtībā.</w:t>
            </w:r>
            <w:r w:rsidR="00BC60A3">
              <w:rPr>
                <w:rFonts w:ascii="Times New Roman" w:hAnsi="Times New Roman" w:cs="Times New Roman"/>
                <w:color w:val="0D0D0D" w:themeColor="text1" w:themeTint="F2"/>
                <w:sz w:val="24"/>
                <w:szCs w:val="24"/>
                <w:shd w:val="clear" w:color="auto" w:fill="FFFFFF"/>
                <w:lang w:val="lv-LV"/>
              </w:rPr>
              <w:t xml:space="preserve"> Atbilstoši KL </w:t>
            </w:r>
            <w:r w:rsidR="00BC60A3" w:rsidRPr="00587EA7">
              <w:rPr>
                <w:rFonts w:ascii="Times New Roman" w:hAnsi="Times New Roman" w:cs="Times New Roman"/>
                <w:color w:val="0D0D0D" w:themeColor="text1" w:themeTint="F2"/>
                <w:sz w:val="24"/>
                <w:szCs w:val="24"/>
                <w:shd w:val="clear" w:color="auto" w:fill="FFFFFF"/>
                <w:lang w:val="lv-LV"/>
              </w:rPr>
              <w:t>8.</w:t>
            </w:r>
            <w:r w:rsidR="00BC60A3" w:rsidRPr="00587EA7">
              <w:rPr>
                <w:rFonts w:ascii="Times New Roman" w:hAnsi="Times New Roman" w:cs="Times New Roman"/>
                <w:color w:val="0D0D0D" w:themeColor="text1" w:themeTint="F2"/>
                <w:sz w:val="24"/>
                <w:szCs w:val="24"/>
                <w:shd w:val="clear" w:color="auto" w:fill="FFFFFF"/>
                <w:vertAlign w:val="superscript"/>
                <w:lang w:val="lv-LV"/>
              </w:rPr>
              <w:t>1</w:t>
            </w:r>
            <w:r w:rsidR="00BC60A3" w:rsidRPr="00587EA7">
              <w:rPr>
                <w:rFonts w:ascii="Times New Roman" w:hAnsi="Times New Roman" w:cs="Times New Roman"/>
                <w:color w:val="0D0D0D" w:themeColor="text1" w:themeTint="F2"/>
                <w:sz w:val="24"/>
                <w:szCs w:val="24"/>
                <w:shd w:val="clear" w:color="auto" w:fill="FFFFFF"/>
                <w:lang w:val="lv-LV"/>
              </w:rPr>
              <w:t xml:space="preserve"> pant</w:t>
            </w:r>
            <w:r w:rsidR="00BC60A3">
              <w:rPr>
                <w:rFonts w:ascii="Times New Roman" w:hAnsi="Times New Roman" w:cs="Times New Roman"/>
                <w:color w:val="0D0D0D" w:themeColor="text1" w:themeTint="F2"/>
                <w:sz w:val="24"/>
                <w:szCs w:val="24"/>
                <w:shd w:val="clear" w:color="auto" w:fill="FFFFFF"/>
                <w:lang w:val="lv-LV"/>
              </w:rPr>
              <w:t xml:space="preserve">a pirmajai daļai tiesisko pienākumu piespiedu izpilde notiek </w:t>
            </w:r>
            <w:r w:rsidR="009614EB">
              <w:rPr>
                <w:rFonts w:ascii="Times New Roman" w:hAnsi="Times New Roman" w:cs="Times New Roman"/>
                <w:color w:val="0D0D0D" w:themeColor="text1" w:themeTint="F2"/>
                <w:sz w:val="24"/>
                <w:szCs w:val="24"/>
                <w:shd w:val="clear" w:color="auto" w:fill="FFFFFF"/>
                <w:lang w:val="lv-LV"/>
              </w:rPr>
              <w:t>Administratīvā procesa likuma</w:t>
            </w:r>
            <w:r w:rsidR="00BC60A3">
              <w:rPr>
                <w:rFonts w:ascii="Times New Roman" w:hAnsi="Times New Roman" w:cs="Times New Roman"/>
                <w:color w:val="0D0D0D" w:themeColor="text1" w:themeTint="F2"/>
                <w:sz w:val="24"/>
                <w:szCs w:val="24"/>
                <w:shd w:val="clear" w:color="auto" w:fill="FFFFFF"/>
                <w:lang w:val="lv-LV"/>
              </w:rPr>
              <w:t xml:space="preserve"> noteiktajā kārtībā, KL paredzot atsevišķus noteikumus. Ņemot vērā, ka A</w:t>
            </w:r>
            <w:r w:rsidR="009614EB">
              <w:rPr>
                <w:rFonts w:ascii="Times New Roman" w:hAnsi="Times New Roman" w:cs="Times New Roman"/>
                <w:color w:val="0D0D0D" w:themeColor="text1" w:themeTint="F2"/>
                <w:sz w:val="24"/>
                <w:szCs w:val="24"/>
                <w:shd w:val="clear" w:color="auto" w:fill="FFFFFF"/>
                <w:lang w:val="lv-LV"/>
              </w:rPr>
              <w:t>dministratīvā procesa likuma</w:t>
            </w:r>
            <w:r w:rsidR="00BC60A3">
              <w:rPr>
                <w:rFonts w:ascii="Times New Roman" w:hAnsi="Times New Roman" w:cs="Times New Roman"/>
                <w:color w:val="0D0D0D" w:themeColor="text1" w:themeTint="F2"/>
                <w:sz w:val="24"/>
                <w:szCs w:val="24"/>
                <w:shd w:val="clear" w:color="auto" w:fill="FFFFFF"/>
                <w:lang w:val="lv-LV"/>
              </w:rPr>
              <w:t xml:space="preserve"> “D” daļa izpildes ietvarā lieto jēdzienu “adresāts”, tad Likumprojekts </w:t>
            </w:r>
            <w:r w:rsidR="00B3506A">
              <w:rPr>
                <w:rFonts w:ascii="Times New Roman" w:hAnsi="Times New Roman" w:cs="Times New Roman"/>
                <w:color w:val="0D0D0D" w:themeColor="text1" w:themeTint="F2"/>
                <w:sz w:val="24"/>
                <w:szCs w:val="24"/>
                <w:shd w:val="clear" w:color="auto" w:fill="FFFFFF"/>
                <w:lang w:val="lv-LV"/>
              </w:rPr>
              <w:t xml:space="preserve">sistēmiski </w:t>
            </w:r>
            <w:r w:rsidR="00BC60A3">
              <w:rPr>
                <w:rFonts w:ascii="Times New Roman" w:hAnsi="Times New Roman" w:cs="Times New Roman"/>
                <w:color w:val="0D0D0D" w:themeColor="text1" w:themeTint="F2"/>
                <w:sz w:val="24"/>
                <w:szCs w:val="24"/>
                <w:shd w:val="clear" w:color="auto" w:fill="FFFFFF"/>
                <w:lang w:val="lv-LV"/>
              </w:rPr>
              <w:t>precizē minētā jēdziena lietošanu arī KL, ciktāl tas skar tiesisko pienākumu piespiedu izpildi.</w:t>
            </w:r>
          </w:p>
          <w:p w14:paraId="7AA4E4FF" w14:textId="7109CD03" w:rsidR="00542B12" w:rsidRPr="00E73D94" w:rsidRDefault="00542B12" w:rsidP="009614EB">
            <w:pPr>
              <w:pStyle w:val="ListParagraph"/>
              <w:numPr>
                <w:ilvl w:val="0"/>
                <w:numId w:val="15"/>
              </w:numPr>
              <w:spacing w:after="120" w:line="240" w:lineRule="auto"/>
              <w:ind w:left="714" w:hanging="357"/>
              <w:contextualSpacing w:val="0"/>
              <w:jc w:val="both"/>
              <w:rPr>
                <w:rFonts w:ascii="Times New Roman" w:hAnsi="Times New Roman" w:cs="Times New Roman"/>
                <w:b/>
                <w:bCs/>
                <w:color w:val="0D0D0D" w:themeColor="text1" w:themeTint="F2"/>
                <w:sz w:val="24"/>
                <w:szCs w:val="24"/>
              </w:rPr>
            </w:pPr>
            <w:r w:rsidRPr="00E73D94">
              <w:rPr>
                <w:rFonts w:ascii="Times New Roman" w:hAnsi="Times New Roman" w:cs="Times New Roman"/>
                <w:b/>
                <w:bCs/>
                <w:color w:val="0D0D0D" w:themeColor="text1" w:themeTint="F2"/>
                <w:sz w:val="24"/>
                <w:szCs w:val="24"/>
              </w:rPr>
              <w:lastRenderedPageBreak/>
              <w:t>Tirgus dalībniekam piemērojamie naudas sodi</w:t>
            </w:r>
          </w:p>
          <w:p w14:paraId="7809A8E0" w14:textId="44B34C40" w:rsidR="00C66DA8" w:rsidRPr="00E73D94" w:rsidRDefault="001923C6"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lang w:val="lv-LV"/>
              </w:rPr>
              <w:t xml:space="preserve">Naudas sodu atturošā iedarbība Eiropas Savienībā ievērojami atšķiras, kas būtiski mazina atturēšanu </w:t>
            </w:r>
            <w:r w:rsidR="00E82D35" w:rsidRPr="00E73D94">
              <w:rPr>
                <w:rFonts w:ascii="Times New Roman" w:hAnsi="Times New Roman" w:cs="Times New Roman"/>
                <w:color w:val="0D0D0D" w:themeColor="text1" w:themeTint="F2"/>
                <w:sz w:val="24"/>
                <w:szCs w:val="24"/>
                <w:lang w:val="lv-LV"/>
              </w:rPr>
              <w:t xml:space="preserve">no </w:t>
            </w:r>
            <w:r w:rsidRPr="00E73D94">
              <w:rPr>
                <w:rFonts w:ascii="Times New Roman" w:hAnsi="Times New Roman" w:cs="Times New Roman"/>
                <w:color w:val="0D0D0D" w:themeColor="text1" w:themeTint="F2"/>
                <w:sz w:val="24"/>
                <w:szCs w:val="24"/>
                <w:lang w:val="lv-LV"/>
              </w:rPr>
              <w:t xml:space="preserve">konkurences tiesību pārkāpumu izdarīšanas. Tādējādi ir īpaši svarīgi unificēt naudas soda minimālo apmēru ES ietveros. </w:t>
            </w:r>
            <w:r w:rsidR="00F40840" w:rsidRPr="00E73D94">
              <w:rPr>
                <w:rFonts w:ascii="Times New Roman" w:hAnsi="Times New Roman" w:cs="Times New Roman"/>
                <w:color w:val="0D0D0D" w:themeColor="text1" w:themeTint="F2"/>
                <w:sz w:val="24"/>
                <w:szCs w:val="24"/>
                <w:lang w:val="lv-LV"/>
              </w:rPr>
              <w:t xml:space="preserve">Lai nodrošinātu, ka valstu konkurences iestādes var uzlikt atturošus naudas sodus, naudas soda maksimālais apmērs, ko </w:t>
            </w:r>
            <w:r w:rsidR="00D8427A" w:rsidRPr="00E73D94">
              <w:rPr>
                <w:rFonts w:ascii="Times New Roman" w:hAnsi="Times New Roman" w:cs="Times New Roman"/>
                <w:color w:val="0D0D0D" w:themeColor="text1" w:themeTint="F2"/>
                <w:sz w:val="24"/>
                <w:szCs w:val="24"/>
                <w:lang w:val="lv-LV"/>
              </w:rPr>
              <w:t xml:space="preserve">pieļaujams </w:t>
            </w:r>
            <w:r w:rsidR="00F40840" w:rsidRPr="00E73D94">
              <w:rPr>
                <w:rFonts w:ascii="Times New Roman" w:hAnsi="Times New Roman" w:cs="Times New Roman"/>
                <w:color w:val="0D0D0D" w:themeColor="text1" w:themeTint="F2"/>
                <w:sz w:val="24"/>
                <w:szCs w:val="24"/>
                <w:lang w:val="lv-LV"/>
              </w:rPr>
              <w:t>uzlikt par katru LESD 101. vai 102. panta pārkāpumu būtu jānosaka ne mazāks kā 10% no attiecīgā uzņēmuma kopējā apgrozījuma pasaulē.</w:t>
            </w:r>
            <w:r w:rsidR="00E44C39" w:rsidRPr="00E73D94">
              <w:rPr>
                <w:rFonts w:ascii="Times New Roman" w:hAnsi="Times New Roman" w:cs="Times New Roman"/>
                <w:color w:val="0D0D0D" w:themeColor="text1" w:themeTint="F2"/>
                <w:sz w:val="24"/>
                <w:szCs w:val="24"/>
                <w:shd w:val="clear" w:color="auto" w:fill="FFFFFF"/>
                <w:lang w:val="lv-LV"/>
              </w:rPr>
              <w:t xml:space="preserve"> Ievērojot to, ka LESD 101. un 102. panta pārkāpumiem analoģisks pārkāpuma sastāvs paredzēts </w:t>
            </w:r>
            <w:r w:rsidR="00C66DA8" w:rsidRPr="00E73D94">
              <w:rPr>
                <w:rFonts w:ascii="Times New Roman" w:hAnsi="Times New Roman" w:cs="Times New Roman"/>
                <w:color w:val="0D0D0D" w:themeColor="text1" w:themeTint="F2"/>
                <w:sz w:val="24"/>
                <w:szCs w:val="24"/>
                <w:shd w:val="clear" w:color="auto" w:fill="FFFFFF"/>
                <w:lang w:val="lv-LV"/>
              </w:rPr>
              <w:t>Likuma</w:t>
            </w:r>
            <w:r w:rsidR="00E44C39" w:rsidRPr="00E73D94">
              <w:rPr>
                <w:rFonts w:ascii="Times New Roman" w:hAnsi="Times New Roman" w:cs="Times New Roman"/>
                <w:color w:val="0D0D0D" w:themeColor="text1" w:themeTint="F2"/>
                <w:sz w:val="24"/>
                <w:szCs w:val="24"/>
                <w:shd w:val="clear" w:color="auto" w:fill="FFFFFF"/>
                <w:lang w:val="lv-LV"/>
              </w:rPr>
              <w:t xml:space="preserve"> 11. un 13.pantā</w:t>
            </w:r>
            <w:r w:rsidR="003230EA" w:rsidRPr="00E73D94">
              <w:rPr>
                <w:rFonts w:ascii="Times New Roman" w:hAnsi="Times New Roman" w:cs="Times New Roman"/>
                <w:color w:val="0D0D0D" w:themeColor="text1" w:themeTint="F2"/>
                <w:sz w:val="24"/>
                <w:szCs w:val="24"/>
                <w:shd w:val="clear" w:color="auto" w:fill="FFFFFF"/>
                <w:lang w:val="lv-LV"/>
              </w:rPr>
              <w:t xml:space="preserve"> un to paralēlo piemērojamību</w:t>
            </w:r>
            <w:r w:rsidR="00C0764E" w:rsidRPr="00E73D94">
              <w:rPr>
                <w:rFonts w:ascii="Times New Roman" w:hAnsi="Times New Roman" w:cs="Times New Roman"/>
                <w:color w:val="0D0D0D" w:themeColor="text1" w:themeTint="F2"/>
                <w:sz w:val="24"/>
                <w:szCs w:val="24"/>
                <w:shd w:val="clear" w:color="auto" w:fill="FFFFFF"/>
                <w:lang w:val="lv-LV"/>
              </w:rPr>
              <w:t>,</w:t>
            </w:r>
            <w:r w:rsidR="00E44C39" w:rsidRPr="00E73D94">
              <w:rPr>
                <w:rFonts w:ascii="Times New Roman" w:hAnsi="Times New Roman" w:cs="Times New Roman"/>
                <w:color w:val="0D0D0D" w:themeColor="text1" w:themeTint="F2"/>
                <w:sz w:val="24"/>
                <w:szCs w:val="24"/>
                <w:shd w:val="clear" w:color="auto" w:fill="FFFFFF"/>
                <w:lang w:val="lv-LV"/>
              </w:rPr>
              <w:t xml:space="preserve"> </w:t>
            </w:r>
            <w:r w:rsidR="00C66DA8" w:rsidRPr="00E73D94">
              <w:rPr>
                <w:rFonts w:ascii="Times New Roman" w:hAnsi="Times New Roman" w:cs="Times New Roman"/>
                <w:color w:val="0D0D0D" w:themeColor="text1" w:themeTint="F2"/>
                <w:sz w:val="24"/>
                <w:szCs w:val="24"/>
                <w:shd w:val="clear" w:color="auto" w:fill="FFFFFF"/>
                <w:lang w:val="lv-LV"/>
              </w:rPr>
              <w:t>Likuma</w:t>
            </w:r>
            <w:r w:rsidR="00E44C39" w:rsidRPr="00E73D94">
              <w:rPr>
                <w:rFonts w:ascii="Times New Roman" w:hAnsi="Times New Roman" w:cs="Times New Roman"/>
                <w:color w:val="0D0D0D" w:themeColor="text1" w:themeTint="F2"/>
                <w:sz w:val="24"/>
                <w:szCs w:val="24"/>
                <w:shd w:val="clear" w:color="auto" w:fill="FFFFFF"/>
                <w:lang w:val="lv-LV"/>
              </w:rPr>
              <w:t xml:space="preserve"> pārkāpuma gadījumā maksimālais naudas soda apmērs nebūtu jānosaka atšķirīgs kā LESD 101. un 102. pārkāpuma gadījumā</w:t>
            </w:r>
            <w:r w:rsidR="00D8427A" w:rsidRPr="00E73D94">
              <w:rPr>
                <w:rFonts w:ascii="Times New Roman" w:hAnsi="Times New Roman" w:cs="Times New Roman"/>
                <w:color w:val="0D0D0D" w:themeColor="text1" w:themeTint="F2"/>
                <w:sz w:val="24"/>
                <w:szCs w:val="24"/>
                <w:shd w:val="clear" w:color="auto" w:fill="FFFFFF"/>
                <w:lang w:val="lv-LV"/>
              </w:rPr>
              <w:t>, lai nodrošinātu vienlīdz atturošu un efektīvu šo nomu piemērošanu</w:t>
            </w:r>
            <w:r w:rsidR="00E44C39" w:rsidRPr="00E73D94">
              <w:rPr>
                <w:rFonts w:ascii="Times New Roman" w:hAnsi="Times New Roman" w:cs="Times New Roman"/>
                <w:color w:val="0D0D0D" w:themeColor="text1" w:themeTint="F2"/>
                <w:sz w:val="24"/>
                <w:szCs w:val="24"/>
                <w:shd w:val="clear" w:color="auto" w:fill="FFFFFF"/>
                <w:lang w:val="lv-LV"/>
              </w:rPr>
              <w:t xml:space="preserve">. </w:t>
            </w:r>
            <w:r w:rsidR="00880941">
              <w:rPr>
                <w:rFonts w:ascii="Times New Roman" w:hAnsi="Times New Roman" w:cs="Times New Roman"/>
                <w:color w:val="0D0D0D" w:themeColor="text1" w:themeTint="F2"/>
                <w:sz w:val="24"/>
                <w:szCs w:val="24"/>
                <w:shd w:val="clear" w:color="auto" w:fill="FFFFFF"/>
                <w:lang w:val="lv-LV"/>
              </w:rPr>
              <w:t xml:space="preserve">Jāņem vērā, ka </w:t>
            </w:r>
            <w:r w:rsidR="00AE255B">
              <w:rPr>
                <w:rFonts w:ascii="Times New Roman" w:hAnsi="Times New Roman" w:cs="Times New Roman"/>
                <w:color w:val="0D0D0D" w:themeColor="text1" w:themeTint="F2"/>
                <w:sz w:val="24"/>
                <w:szCs w:val="24"/>
                <w:shd w:val="clear" w:color="auto" w:fill="FFFFFF"/>
                <w:lang w:val="lv-LV"/>
              </w:rPr>
              <w:t xml:space="preserve">šobrīd jau lielākā daļa ES dalībvalstis paredz </w:t>
            </w:r>
            <w:r w:rsidR="00B97B5A">
              <w:rPr>
                <w:rFonts w:ascii="Times New Roman" w:hAnsi="Times New Roman" w:cs="Times New Roman"/>
                <w:color w:val="0D0D0D" w:themeColor="text1" w:themeTint="F2"/>
                <w:sz w:val="24"/>
                <w:szCs w:val="24"/>
                <w:shd w:val="clear" w:color="auto" w:fill="FFFFFF"/>
                <w:lang w:val="lv-LV"/>
              </w:rPr>
              <w:t xml:space="preserve">atbildību no </w:t>
            </w:r>
            <w:r w:rsidR="003878DE">
              <w:rPr>
                <w:rFonts w:ascii="Times New Roman" w:hAnsi="Times New Roman" w:cs="Times New Roman"/>
                <w:color w:val="0D0D0D" w:themeColor="text1" w:themeTint="F2"/>
                <w:sz w:val="24"/>
                <w:szCs w:val="24"/>
                <w:shd w:val="clear" w:color="auto" w:fill="FFFFFF"/>
                <w:lang w:val="lv-LV"/>
              </w:rPr>
              <w:t>tirgus dalībnieka apgrozījuma pasaulē</w:t>
            </w:r>
            <w:r w:rsidR="00FA0834">
              <w:rPr>
                <w:rFonts w:ascii="Times New Roman" w:hAnsi="Times New Roman" w:cs="Times New Roman"/>
                <w:color w:val="0D0D0D" w:themeColor="text1" w:themeTint="F2"/>
                <w:sz w:val="24"/>
                <w:szCs w:val="24"/>
                <w:shd w:val="clear" w:color="auto" w:fill="FFFFFF"/>
                <w:lang w:val="lv-LV"/>
              </w:rPr>
              <w:t xml:space="preserve"> un nediferencē atbildības maksimālo apmēru par LESD vai nacionālo konkurences tiesību pārkāpumiem. </w:t>
            </w:r>
            <w:r w:rsidR="00F06856" w:rsidRPr="00E73D94">
              <w:rPr>
                <w:rFonts w:ascii="Times New Roman" w:hAnsi="Times New Roman" w:cs="Times New Roman"/>
                <w:color w:val="0D0D0D" w:themeColor="text1" w:themeTint="F2"/>
                <w:sz w:val="24"/>
                <w:szCs w:val="24"/>
                <w:shd w:val="clear" w:color="auto" w:fill="FFFFFF"/>
                <w:lang w:val="lv-LV"/>
              </w:rPr>
              <w:t>Līdz ar to, lai nodrošinātu</w:t>
            </w:r>
            <w:r w:rsidR="00F06856" w:rsidRPr="009614EB">
              <w:rPr>
                <w:rFonts w:ascii="Times New Roman" w:hAnsi="Times New Roman" w:cs="Times New Roman"/>
                <w:color w:val="0D0D0D" w:themeColor="text1" w:themeTint="F2"/>
                <w:lang w:val="lv-LV"/>
              </w:rPr>
              <w:t xml:space="preserve"> </w:t>
            </w:r>
            <w:r w:rsidR="00F06856" w:rsidRPr="00E73D94">
              <w:rPr>
                <w:rFonts w:ascii="Times New Roman" w:hAnsi="Times New Roman" w:cs="Times New Roman"/>
                <w:color w:val="0D0D0D" w:themeColor="text1" w:themeTint="F2"/>
                <w:sz w:val="24"/>
                <w:szCs w:val="24"/>
                <w:shd w:val="clear" w:color="auto" w:fill="FFFFFF"/>
                <w:lang w:val="lv-LV"/>
              </w:rPr>
              <w:t>Direktīvas prasību izpildi, a</w:t>
            </w:r>
            <w:r w:rsidR="00E44C39" w:rsidRPr="00E73D94">
              <w:rPr>
                <w:rFonts w:ascii="Times New Roman" w:hAnsi="Times New Roman" w:cs="Times New Roman"/>
                <w:color w:val="0D0D0D" w:themeColor="text1" w:themeTint="F2"/>
                <w:sz w:val="24"/>
                <w:szCs w:val="24"/>
                <w:shd w:val="clear" w:color="auto" w:fill="FFFFFF"/>
                <w:lang w:val="lv-LV"/>
              </w:rPr>
              <w:t xml:space="preserve">r </w:t>
            </w:r>
            <w:r w:rsidR="009A032E" w:rsidRPr="00F9115F">
              <w:rPr>
                <w:rFonts w:ascii="Times New Roman" w:hAnsi="Times New Roman" w:cs="Times New Roman"/>
                <w:color w:val="0D0D0D" w:themeColor="text1" w:themeTint="F2"/>
                <w:sz w:val="24"/>
                <w:szCs w:val="24"/>
                <w:shd w:val="clear" w:color="auto" w:fill="FFFFFF"/>
                <w:lang w:val="lv-LV"/>
              </w:rPr>
              <w:t>L</w:t>
            </w:r>
            <w:r w:rsidR="00E44C39" w:rsidRPr="00F9115F">
              <w:rPr>
                <w:rFonts w:ascii="Times New Roman" w:hAnsi="Times New Roman" w:cs="Times New Roman"/>
                <w:color w:val="0D0D0D" w:themeColor="text1" w:themeTint="F2"/>
                <w:sz w:val="24"/>
                <w:szCs w:val="24"/>
                <w:shd w:val="clear" w:color="auto" w:fill="FFFFFF"/>
                <w:lang w:val="lv-LV"/>
              </w:rPr>
              <w:t xml:space="preserve">ikumprojektu precizētas </w:t>
            </w:r>
            <w:r w:rsidR="00C66DA8" w:rsidRPr="00E73D94">
              <w:rPr>
                <w:rFonts w:ascii="Times New Roman" w:hAnsi="Times New Roman" w:cs="Times New Roman"/>
                <w:color w:val="0D0D0D" w:themeColor="text1" w:themeTint="F2"/>
                <w:sz w:val="24"/>
                <w:szCs w:val="24"/>
                <w:shd w:val="clear" w:color="auto" w:fill="FFFFFF"/>
                <w:lang w:val="lv-LV"/>
              </w:rPr>
              <w:t>Likuma</w:t>
            </w:r>
            <w:r w:rsidR="00E44C39" w:rsidRPr="00E73D94">
              <w:rPr>
                <w:rFonts w:ascii="Times New Roman" w:hAnsi="Times New Roman" w:cs="Times New Roman"/>
                <w:color w:val="0D0D0D" w:themeColor="text1" w:themeTint="F2"/>
                <w:sz w:val="24"/>
                <w:szCs w:val="24"/>
                <w:shd w:val="clear" w:color="auto" w:fill="FFFFFF"/>
                <w:lang w:val="lv-LV"/>
              </w:rPr>
              <w:t xml:space="preserve"> tiesību normas, kas paredz </w:t>
            </w:r>
            <w:r w:rsidR="00F06856" w:rsidRPr="00E73D94">
              <w:rPr>
                <w:rFonts w:ascii="Times New Roman" w:hAnsi="Times New Roman" w:cs="Times New Roman"/>
                <w:color w:val="0D0D0D" w:themeColor="text1" w:themeTint="F2"/>
                <w:sz w:val="24"/>
                <w:szCs w:val="24"/>
                <w:shd w:val="clear" w:color="auto" w:fill="FFFFFF"/>
                <w:lang w:val="lv-LV"/>
              </w:rPr>
              <w:t xml:space="preserve">naudas soda aprēķināšanai izmantojamo apgrozījumu un </w:t>
            </w:r>
            <w:r w:rsidR="00E44C39" w:rsidRPr="00E73D94">
              <w:rPr>
                <w:rFonts w:ascii="Times New Roman" w:hAnsi="Times New Roman" w:cs="Times New Roman"/>
                <w:color w:val="0D0D0D" w:themeColor="text1" w:themeTint="F2"/>
                <w:sz w:val="24"/>
                <w:szCs w:val="24"/>
                <w:shd w:val="clear" w:color="auto" w:fill="FFFFFF"/>
                <w:lang w:val="lv-LV"/>
              </w:rPr>
              <w:t xml:space="preserve">maksimālo naudas soda apmēru attiecībā uz procesuālajiem pārkāpumiem, piespiedu naudu un </w:t>
            </w:r>
            <w:r w:rsidR="00C66DA8" w:rsidRPr="00E73D94">
              <w:rPr>
                <w:rFonts w:ascii="Times New Roman" w:hAnsi="Times New Roman" w:cs="Times New Roman"/>
                <w:color w:val="0D0D0D" w:themeColor="text1" w:themeTint="F2"/>
                <w:sz w:val="24"/>
                <w:szCs w:val="24"/>
                <w:shd w:val="clear" w:color="auto" w:fill="FFFFFF"/>
                <w:lang w:val="lv-LV"/>
              </w:rPr>
              <w:t>Likuma</w:t>
            </w:r>
            <w:r w:rsidR="00E44C39" w:rsidRPr="00E73D94">
              <w:rPr>
                <w:rFonts w:ascii="Times New Roman" w:hAnsi="Times New Roman" w:cs="Times New Roman"/>
                <w:color w:val="0D0D0D" w:themeColor="text1" w:themeTint="F2"/>
                <w:sz w:val="24"/>
                <w:szCs w:val="24"/>
                <w:shd w:val="clear" w:color="auto" w:fill="FFFFFF"/>
                <w:lang w:val="lv-LV"/>
              </w:rPr>
              <w:t xml:space="preserve"> 11. un 13.pantā paredzēt</w:t>
            </w:r>
            <w:r w:rsidR="00C66DA8" w:rsidRPr="00E73D94">
              <w:rPr>
                <w:rFonts w:ascii="Times New Roman" w:hAnsi="Times New Roman" w:cs="Times New Roman"/>
                <w:color w:val="0D0D0D" w:themeColor="text1" w:themeTint="F2"/>
                <w:sz w:val="24"/>
                <w:szCs w:val="24"/>
                <w:shd w:val="clear" w:color="auto" w:fill="FFFFFF"/>
                <w:lang w:val="lv-LV"/>
              </w:rPr>
              <w:t>ajiem</w:t>
            </w:r>
            <w:r w:rsidR="00E44C39" w:rsidRPr="00E73D94">
              <w:rPr>
                <w:rFonts w:ascii="Times New Roman" w:hAnsi="Times New Roman" w:cs="Times New Roman"/>
                <w:color w:val="0D0D0D" w:themeColor="text1" w:themeTint="F2"/>
                <w:sz w:val="24"/>
                <w:szCs w:val="24"/>
                <w:shd w:val="clear" w:color="auto" w:fill="FFFFFF"/>
                <w:lang w:val="lv-LV"/>
              </w:rPr>
              <w:t xml:space="preserve"> pārkāpum</w:t>
            </w:r>
            <w:r w:rsidR="00C66DA8" w:rsidRPr="00E73D94">
              <w:rPr>
                <w:rFonts w:ascii="Times New Roman" w:hAnsi="Times New Roman" w:cs="Times New Roman"/>
                <w:color w:val="0D0D0D" w:themeColor="text1" w:themeTint="F2"/>
                <w:sz w:val="24"/>
                <w:szCs w:val="24"/>
                <w:shd w:val="clear" w:color="auto" w:fill="FFFFFF"/>
                <w:lang w:val="lv-LV"/>
              </w:rPr>
              <w:t>iem</w:t>
            </w:r>
            <w:r w:rsidR="00E44C39" w:rsidRPr="00E73D94">
              <w:rPr>
                <w:rFonts w:ascii="Times New Roman" w:hAnsi="Times New Roman" w:cs="Times New Roman"/>
                <w:color w:val="0D0D0D" w:themeColor="text1" w:themeTint="F2"/>
                <w:sz w:val="24"/>
                <w:szCs w:val="24"/>
                <w:shd w:val="clear" w:color="auto" w:fill="FFFFFF"/>
                <w:lang w:val="lv-LV"/>
              </w:rPr>
              <w:t xml:space="preserve"> (proti, </w:t>
            </w:r>
            <w:r w:rsidR="00C66DA8" w:rsidRPr="00E73D94">
              <w:rPr>
                <w:rFonts w:ascii="Times New Roman" w:hAnsi="Times New Roman" w:cs="Times New Roman"/>
                <w:color w:val="0D0D0D" w:themeColor="text1" w:themeTint="F2"/>
                <w:sz w:val="24"/>
                <w:szCs w:val="24"/>
                <w:shd w:val="clear" w:color="auto" w:fill="FFFFFF"/>
                <w:lang w:val="lv-LV"/>
              </w:rPr>
              <w:t>Likuma</w:t>
            </w:r>
            <w:r w:rsidR="00C0764E" w:rsidRPr="00E73D94">
              <w:rPr>
                <w:rFonts w:ascii="Times New Roman" w:hAnsi="Times New Roman" w:cs="Times New Roman"/>
                <w:color w:val="0D0D0D" w:themeColor="text1" w:themeTint="F2"/>
                <w:sz w:val="24"/>
                <w:szCs w:val="24"/>
                <w:shd w:val="clear" w:color="auto" w:fill="FFFFFF"/>
                <w:lang w:val="lv-LV"/>
              </w:rPr>
              <w:t xml:space="preserve"> 8</w:t>
            </w:r>
            <w:r w:rsidR="00C0764E" w:rsidRPr="00E73D94">
              <w:rPr>
                <w:rFonts w:ascii="Times New Roman" w:hAnsi="Times New Roman" w:cs="Times New Roman"/>
                <w:color w:val="0D0D0D" w:themeColor="text1" w:themeTint="F2"/>
                <w:sz w:val="24"/>
                <w:szCs w:val="24"/>
                <w:shd w:val="clear" w:color="auto" w:fill="FFFFFF"/>
                <w:vertAlign w:val="superscript"/>
                <w:lang w:val="lv-LV"/>
              </w:rPr>
              <w:t>1</w:t>
            </w:r>
            <w:r w:rsidR="00C0764E" w:rsidRPr="00E73D94">
              <w:rPr>
                <w:rFonts w:ascii="Times New Roman" w:hAnsi="Times New Roman" w:cs="Times New Roman"/>
                <w:color w:val="0D0D0D" w:themeColor="text1" w:themeTint="F2"/>
                <w:sz w:val="24"/>
                <w:szCs w:val="24"/>
                <w:shd w:val="clear" w:color="auto" w:fill="FFFFFF"/>
                <w:lang w:val="lv-LV"/>
              </w:rPr>
              <w:t xml:space="preserve">.panta piektā daļa, </w:t>
            </w:r>
            <w:r w:rsidR="00C0764E" w:rsidRPr="00E73D94">
              <w:rPr>
                <w:rFonts w:ascii="Times New Roman" w:hAnsi="Times New Roman" w:cs="Times New Roman"/>
                <w:color w:val="0D0D0D" w:themeColor="text1" w:themeTint="F2"/>
                <w:sz w:val="24"/>
                <w:szCs w:val="24"/>
                <w:lang w:val="lv-LV"/>
              </w:rPr>
              <w:t>9.</w:t>
            </w:r>
            <w:r w:rsidR="00C0764E" w:rsidRPr="00E73D94">
              <w:rPr>
                <w:rFonts w:ascii="Times New Roman" w:hAnsi="Times New Roman" w:cs="Times New Roman"/>
                <w:color w:val="0D0D0D" w:themeColor="text1" w:themeTint="F2"/>
                <w:sz w:val="24"/>
                <w:szCs w:val="24"/>
                <w:vertAlign w:val="superscript"/>
                <w:lang w:val="lv-LV"/>
              </w:rPr>
              <w:t xml:space="preserve">4 </w:t>
            </w:r>
            <w:r w:rsidR="00C0764E" w:rsidRPr="00E73D94">
              <w:rPr>
                <w:rFonts w:ascii="Times New Roman" w:hAnsi="Times New Roman" w:cs="Times New Roman"/>
                <w:color w:val="0D0D0D" w:themeColor="text1" w:themeTint="F2"/>
                <w:sz w:val="24"/>
                <w:szCs w:val="24"/>
                <w:lang w:val="lv-LV"/>
              </w:rPr>
              <w:t>panta otrā daļa</w:t>
            </w:r>
            <w:r w:rsidR="00A60285" w:rsidRPr="00E73D94">
              <w:rPr>
                <w:rFonts w:ascii="Times New Roman" w:hAnsi="Times New Roman" w:cs="Times New Roman"/>
                <w:color w:val="0D0D0D" w:themeColor="text1" w:themeTint="F2"/>
                <w:sz w:val="24"/>
                <w:szCs w:val="24"/>
                <w:shd w:val="clear" w:color="auto" w:fill="FFFFFF"/>
                <w:lang w:val="lv-LV"/>
              </w:rPr>
              <w:t xml:space="preserve">, </w:t>
            </w:r>
            <w:r w:rsidR="00E44C39" w:rsidRPr="00E73D94">
              <w:rPr>
                <w:rFonts w:ascii="Times New Roman" w:hAnsi="Times New Roman" w:cs="Times New Roman"/>
                <w:color w:val="0D0D0D" w:themeColor="text1" w:themeTint="F2"/>
                <w:sz w:val="24"/>
                <w:szCs w:val="24"/>
                <w:shd w:val="clear" w:color="auto" w:fill="FFFFFF"/>
                <w:lang w:val="lv-LV"/>
              </w:rPr>
              <w:t>12.panta otrā daļa</w:t>
            </w:r>
            <w:r w:rsidR="00A60285" w:rsidRPr="00E73D94">
              <w:rPr>
                <w:rFonts w:ascii="Times New Roman" w:hAnsi="Times New Roman" w:cs="Times New Roman"/>
                <w:color w:val="0D0D0D" w:themeColor="text1" w:themeTint="F2"/>
                <w:sz w:val="24"/>
                <w:szCs w:val="24"/>
                <w:shd w:val="clear" w:color="auto" w:fill="FFFFFF"/>
                <w:lang w:val="lv-LV"/>
              </w:rPr>
              <w:t>, 14.panta otrā daļa</w:t>
            </w:r>
            <w:r w:rsidR="00E44C39" w:rsidRPr="00E73D94">
              <w:rPr>
                <w:rFonts w:ascii="Times New Roman" w:hAnsi="Times New Roman" w:cs="Times New Roman"/>
                <w:color w:val="0D0D0D" w:themeColor="text1" w:themeTint="F2"/>
                <w:sz w:val="24"/>
                <w:szCs w:val="24"/>
                <w:shd w:val="clear" w:color="auto" w:fill="FFFFFF"/>
                <w:lang w:val="lv-LV"/>
              </w:rPr>
              <w:t>).</w:t>
            </w:r>
            <w:r w:rsidR="00F06856" w:rsidRPr="00E73D94">
              <w:rPr>
                <w:rFonts w:ascii="Times New Roman" w:hAnsi="Times New Roman" w:cs="Times New Roman"/>
                <w:color w:val="0D0D0D" w:themeColor="text1" w:themeTint="F2"/>
                <w:sz w:val="24"/>
                <w:szCs w:val="24"/>
                <w:shd w:val="clear" w:color="auto" w:fill="FFFFFF"/>
                <w:lang w:val="lv-LV"/>
              </w:rPr>
              <w:t xml:space="preserve"> </w:t>
            </w:r>
          </w:p>
          <w:p w14:paraId="193A8B39" w14:textId="200B84B5" w:rsidR="00E44C39" w:rsidRPr="00E73D94" w:rsidRDefault="000820B1"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shd w:val="clear" w:color="auto" w:fill="FFFFFF"/>
                <w:lang w:val="lv-LV"/>
              </w:rPr>
              <w:t>Likumā</w:t>
            </w:r>
            <w:r w:rsidR="00CC6648" w:rsidRPr="00E73D94">
              <w:rPr>
                <w:rFonts w:ascii="Times New Roman" w:hAnsi="Times New Roman" w:cs="Times New Roman"/>
                <w:color w:val="0D0D0D" w:themeColor="text1" w:themeTint="F2"/>
                <w:sz w:val="24"/>
                <w:szCs w:val="24"/>
                <w:shd w:val="clear" w:color="auto" w:fill="FFFFFF"/>
                <w:lang w:val="lv-LV"/>
              </w:rPr>
              <w:t xml:space="preserve"> lietotai</w:t>
            </w:r>
            <w:r w:rsidR="00F3736A" w:rsidRPr="00E73D94">
              <w:rPr>
                <w:rFonts w:ascii="Times New Roman" w:hAnsi="Times New Roman" w:cs="Times New Roman"/>
                <w:color w:val="0D0D0D" w:themeColor="text1" w:themeTint="F2"/>
                <w:sz w:val="24"/>
                <w:szCs w:val="24"/>
                <w:shd w:val="clear" w:color="auto" w:fill="FFFFFF"/>
                <w:lang w:val="lv-LV"/>
              </w:rPr>
              <w:t>s</w:t>
            </w:r>
            <w:r w:rsidR="00CC6648" w:rsidRPr="00E73D94">
              <w:rPr>
                <w:rFonts w:ascii="Times New Roman" w:hAnsi="Times New Roman" w:cs="Times New Roman"/>
                <w:color w:val="0D0D0D" w:themeColor="text1" w:themeTint="F2"/>
                <w:sz w:val="24"/>
                <w:szCs w:val="24"/>
                <w:shd w:val="clear" w:color="auto" w:fill="FFFFFF"/>
                <w:lang w:val="lv-LV"/>
              </w:rPr>
              <w:t xml:space="preserve"> jēdziens “tirgus dalībnieks” pēc sava satura ir identisks </w:t>
            </w:r>
            <w:r w:rsidR="00012F05" w:rsidRPr="00E73D94">
              <w:rPr>
                <w:rFonts w:ascii="Times New Roman" w:hAnsi="Times New Roman" w:cs="Times New Roman"/>
                <w:color w:val="0D0D0D" w:themeColor="text1" w:themeTint="F2"/>
                <w:sz w:val="24"/>
                <w:szCs w:val="24"/>
                <w:shd w:val="clear" w:color="auto" w:fill="FFFFFF"/>
                <w:lang w:val="lv-LV"/>
              </w:rPr>
              <w:t xml:space="preserve">Eiropas Komisijas lēmumos un Eiropas Savienības Tiesas spriedumos skaidrotajam </w:t>
            </w:r>
            <w:r w:rsidR="00CC6648" w:rsidRPr="00E73D94">
              <w:rPr>
                <w:rFonts w:ascii="Times New Roman" w:hAnsi="Times New Roman" w:cs="Times New Roman"/>
                <w:color w:val="0D0D0D" w:themeColor="text1" w:themeTint="F2"/>
                <w:sz w:val="24"/>
                <w:szCs w:val="24"/>
                <w:shd w:val="clear" w:color="auto" w:fill="FFFFFF"/>
                <w:lang w:val="lv-LV"/>
              </w:rPr>
              <w:t>jēdzienam “uzņēmums”. Direktīv</w:t>
            </w:r>
            <w:r w:rsidR="00012F05" w:rsidRPr="00E73D94">
              <w:rPr>
                <w:rFonts w:ascii="Times New Roman" w:hAnsi="Times New Roman" w:cs="Times New Roman"/>
                <w:color w:val="0D0D0D" w:themeColor="text1" w:themeTint="F2"/>
                <w:sz w:val="24"/>
                <w:szCs w:val="24"/>
                <w:shd w:val="clear" w:color="auto" w:fill="FFFFFF"/>
                <w:lang w:val="lv-LV"/>
              </w:rPr>
              <w:t>ā</w:t>
            </w:r>
            <w:r w:rsidR="00CC6648" w:rsidRPr="00E73D94">
              <w:rPr>
                <w:rFonts w:ascii="Times New Roman" w:hAnsi="Times New Roman" w:cs="Times New Roman"/>
                <w:color w:val="0D0D0D" w:themeColor="text1" w:themeTint="F2"/>
                <w:sz w:val="24"/>
                <w:szCs w:val="24"/>
                <w:shd w:val="clear" w:color="auto" w:fill="FFFFFF"/>
                <w:lang w:val="lv-LV"/>
              </w:rPr>
              <w:t xml:space="preserve"> </w:t>
            </w:r>
            <w:r w:rsidR="00012F05" w:rsidRPr="00E73D94">
              <w:rPr>
                <w:rFonts w:ascii="Times New Roman" w:hAnsi="Times New Roman" w:cs="Times New Roman"/>
                <w:color w:val="0D0D0D" w:themeColor="text1" w:themeTint="F2"/>
                <w:sz w:val="24"/>
                <w:szCs w:val="24"/>
                <w:shd w:val="clear" w:color="auto" w:fill="FFFFFF"/>
                <w:lang w:val="lv-LV"/>
              </w:rPr>
              <w:t xml:space="preserve"> ir ietverta </w:t>
            </w:r>
            <w:r w:rsidR="00CC6648" w:rsidRPr="00E73D94">
              <w:rPr>
                <w:rFonts w:ascii="Times New Roman" w:hAnsi="Times New Roman" w:cs="Times New Roman"/>
                <w:color w:val="0D0D0D" w:themeColor="text1" w:themeTint="F2"/>
                <w:sz w:val="24"/>
                <w:szCs w:val="24"/>
                <w:shd w:val="clear" w:color="auto" w:fill="FFFFFF"/>
                <w:lang w:val="lv-LV"/>
              </w:rPr>
              <w:t>termin</w:t>
            </w:r>
            <w:r w:rsidR="00012F05" w:rsidRPr="00E73D94">
              <w:rPr>
                <w:rFonts w:ascii="Times New Roman" w:hAnsi="Times New Roman" w:cs="Times New Roman"/>
                <w:color w:val="0D0D0D" w:themeColor="text1" w:themeTint="F2"/>
                <w:sz w:val="24"/>
                <w:szCs w:val="24"/>
                <w:shd w:val="clear" w:color="auto" w:fill="FFFFFF"/>
                <w:lang w:val="lv-LV"/>
              </w:rPr>
              <w:t>a</w:t>
            </w:r>
            <w:r w:rsidR="00CC6648" w:rsidRPr="00E73D94">
              <w:rPr>
                <w:rFonts w:ascii="Times New Roman" w:hAnsi="Times New Roman" w:cs="Times New Roman"/>
                <w:color w:val="0D0D0D" w:themeColor="text1" w:themeTint="F2"/>
                <w:sz w:val="24"/>
                <w:szCs w:val="24"/>
                <w:shd w:val="clear" w:color="auto" w:fill="FFFFFF"/>
                <w:lang w:val="lv-LV"/>
              </w:rPr>
              <w:t xml:space="preserve"> “uzņēmums”</w:t>
            </w:r>
            <w:r w:rsidR="00012F05" w:rsidRPr="00E73D94">
              <w:rPr>
                <w:rFonts w:ascii="Times New Roman" w:hAnsi="Times New Roman" w:cs="Times New Roman"/>
                <w:color w:val="0D0D0D" w:themeColor="text1" w:themeTint="F2"/>
                <w:sz w:val="24"/>
                <w:szCs w:val="24"/>
                <w:shd w:val="clear" w:color="auto" w:fill="FFFFFF"/>
                <w:lang w:val="lv-LV"/>
              </w:rPr>
              <w:t xml:space="preserve"> definīcija</w:t>
            </w:r>
            <w:r w:rsidR="00CC6648" w:rsidRPr="00E73D94">
              <w:rPr>
                <w:rFonts w:ascii="Times New Roman" w:hAnsi="Times New Roman" w:cs="Times New Roman"/>
                <w:color w:val="0D0D0D" w:themeColor="text1" w:themeTint="F2"/>
                <w:sz w:val="24"/>
                <w:szCs w:val="24"/>
                <w:shd w:val="clear" w:color="auto" w:fill="FFFFFF"/>
                <w:lang w:val="lv-LV"/>
              </w:rPr>
              <w:t xml:space="preserve">. </w:t>
            </w:r>
            <w:r w:rsidR="00A60285" w:rsidRPr="00E73D94">
              <w:rPr>
                <w:rFonts w:ascii="Times New Roman" w:hAnsi="Times New Roman" w:cs="Times New Roman"/>
                <w:color w:val="0D0D0D" w:themeColor="text1" w:themeTint="F2"/>
                <w:sz w:val="24"/>
                <w:szCs w:val="24"/>
                <w:shd w:val="clear" w:color="auto" w:fill="FFFFFF"/>
                <w:lang w:val="lv-LV"/>
              </w:rPr>
              <w:t>Atbilstoši</w:t>
            </w:r>
            <w:r w:rsidR="00CC6648" w:rsidRPr="00E73D94">
              <w:rPr>
                <w:rFonts w:ascii="Times New Roman" w:hAnsi="Times New Roman" w:cs="Times New Roman"/>
                <w:color w:val="0D0D0D" w:themeColor="text1" w:themeTint="F2"/>
                <w:sz w:val="24"/>
                <w:szCs w:val="24"/>
                <w:shd w:val="clear" w:color="auto" w:fill="FFFFFF"/>
                <w:lang w:val="lv-LV"/>
              </w:rPr>
              <w:t xml:space="preserve"> </w:t>
            </w:r>
            <w:r w:rsidR="0071368E" w:rsidRPr="00E73D94">
              <w:rPr>
                <w:rFonts w:ascii="Times New Roman" w:hAnsi="Times New Roman" w:cs="Times New Roman"/>
                <w:color w:val="0D0D0D" w:themeColor="text1" w:themeTint="F2"/>
                <w:sz w:val="24"/>
                <w:szCs w:val="24"/>
                <w:shd w:val="clear" w:color="auto" w:fill="FFFFFF"/>
                <w:lang w:val="lv-LV"/>
              </w:rPr>
              <w:t xml:space="preserve">nepieciešams </w:t>
            </w:r>
            <w:r w:rsidR="00E44C39" w:rsidRPr="00E73D94">
              <w:rPr>
                <w:rFonts w:ascii="Times New Roman" w:hAnsi="Times New Roman" w:cs="Times New Roman"/>
                <w:color w:val="0D0D0D" w:themeColor="text1" w:themeTint="F2"/>
                <w:sz w:val="24"/>
                <w:szCs w:val="24"/>
                <w:shd w:val="clear" w:color="auto" w:fill="FFFFFF"/>
                <w:lang w:val="lv-LV"/>
              </w:rPr>
              <w:t xml:space="preserve">precizēt </w:t>
            </w:r>
            <w:r w:rsidRPr="00E73D94">
              <w:rPr>
                <w:rFonts w:ascii="Times New Roman" w:hAnsi="Times New Roman" w:cs="Times New Roman"/>
                <w:color w:val="0D0D0D" w:themeColor="text1" w:themeTint="F2"/>
                <w:sz w:val="24"/>
                <w:szCs w:val="24"/>
                <w:shd w:val="clear" w:color="auto" w:fill="FFFFFF"/>
                <w:lang w:val="lv-LV"/>
              </w:rPr>
              <w:t>Likuma</w:t>
            </w:r>
            <w:r w:rsidR="00E44C39" w:rsidRPr="00E73D94">
              <w:rPr>
                <w:rFonts w:ascii="Times New Roman" w:hAnsi="Times New Roman" w:cs="Times New Roman"/>
                <w:color w:val="0D0D0D" w:themeColor="text1" w:themeTint="F2"/>
                <w:sz w:val="24"/>
                <w:szCs w:val="24"/>
                <w:shd w:val="clear" w:color="auto" w:fill="FFFFFF"/>
                <w:lang w:val="lv-LV"/>
              </w:rPr>
              <w:t xml:space="preserve"> 28.pant</w:t>
            </w:r>
            <w:r w:rsidR="0071368E" w:rsidRPr="00E73D94">
              <w:rPr>
                <w:rFonts w:ascii="Times New Roman" w:hAnsi="Times New Roman" w:cs="Times New Roman"/>
                <w:color w:val="0D0D0D" w:themeColor="text1" w:themeTint="F2"/>
                <w:sz w:val="24"/>
                <w:szCs w:val="24"/>
                <w:shd w:val="clear" w:color="auto" w:fill="FFFFFF"/>
                <w:lang w:val="lv-LV"/>
              </w:rPr>
              <w:t>u, nosakot, ka</w:t>
            </w:r>
            <w:r w:rsidR="00F3736A" w:rsidRPr="00E73D94">
              <w:rPr>
                <w:rFonts w:ascii="Times New Roman" w:hAnsi="Times New Roman" w:cs="Times New Roman"/>
                <w:color w:val="0D0D0D" w:themeColor="text1" w:themeTint="F2"/>
                <w:sz w:val="24"/>
                <w:szCs w:val="24"/>
                <w:shd w:val="clear" w:color="auto" w:fill="FFFFFF"/>
                <w:lang w:val="lv-LV"/>
              </w:rPr>
              <w:t xml:space="preserve"> </w:t>
            </w:r>
            <w:r w:rsidR="00012F05" w:rsidRPr="00E73D94">
              <w:rPr>
                <w:rFonts w:ascii="Times New Roman" w:hAnsi="Times New Roman" w:cs="Times New Roman"/>
                <w:color w:val="0D0D0D" w:themeColor="text1" w:themeTint="F2"/>
                <w:sz w:val="24"/>
                <w:szCs w:val="24"/>
                <w:shd w:val="clear" w:color="auto" w:fill="FFFFFF"/>
                <w:lang w:val="lv-LV"/>
              </w:rPr>
              <w:t>terminu "tirgus dalībnieks" saprot kā terminu "uzņēmums" Eiropas Komisijas lēmumos, Eiropas Savienības Tiesas spriedumos un Eiropas Savienības normatīvajos aktos</w:t>
            </w:r>
            <w:r w:rsidR="00E44C39" w:rsidRPr="00E73D94">
              <w:rPr>
                <w:rFonts w:ascii="Times New Roman" w:hAnsi="Times New Roman" w:cs="Times New Roman"/>
                <w:color w:val="0D0D0D" w:themeColor="text1" w:themeTint="F2"/>
                <w:sz w:val="24"/>
                <w:szCs w:val="24"/>
                <w:lang w:val="lv-LV"/>
              </w:rPr>
              <w:t>.</w:t>
            </w:r>
          </w:p>
          <w:p w14:paraId="60115E86" w14:textId="5762DF29" w:rsidR="00542B12" w:rsidRPr="00E73D94" w:rsidRDefault="00542B12" w:rsidP="009614EB">
            <w:pPr>
              <w:pStyle w:val="ListParagraph"/>
              <w:numPr>
                <w:ilvl w:val="0"/>
                <w:numId w:val="15"/>
              </w:numPr>
              <w:spacing w:after="120" w:line="240" w:lineRule="auto"/>
              <w:ind w:left="714" w:hanging="357"/>
              <w:contextualSpacing w:val="0"/>
              <w:jc w:val="both"/>
              <w:rPr>
                <w:rFonts w:ascii="Times New Roman" w:hAnsi="Times New Roman" w:cs="Times New Roman"/>
                <w:color w:val="0D0D0D" w:themeColor="text1" w:themeTint="F2"/>
                <w:sz w:val="24"/>
                <w:szCs w:val="24"/>
              </w:rPr>
            </w:pPr>
            <w:r w:rsidRPr="00E73D94">
              <w:rPr>
                <w:rFonts w:ascii="Times New Roman" w:hAnsi="Times New Roman" w:cs="Times New Roman"/>
                <w:b/>
                <w:bCs/>
                <w:color w:val="0D0D0D" w:themeColor="text1" w:themeTint="F2"/>
                <w:sz w:val="24"/>
                <w:szCs w:val="24"/>
              </w:rPr>
              <w:t>Iecietības programmas ietvars un tā paplašināšana</w:t>
            </w:r>
          </w:p>
          <w:p w14:paraId="75487AE8" w14:textId="3A761075" w:rsidR="00103DC2" w:rsidRPr="00E73D94" w:rsidRDefault="00CD13F5"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shd w:val="clear" w:color="auto" w:fill="FFFFFF"/>
                <w:lang w:val="lv-LV"/>
              </w:rPr>
              <w:t xml:space="preserve">Iecietības programma ir būtisks instruments, kas, konkurences tiesību pārkāpumā iesaistītajiem tirgus dalībniekiem sadarbojoties ar KP, palīdz atklāt konkurences tiesību pārkāpumus un veicina pārkāpumā iesaistīto tirgus dalībnieku efektīvu saukšanu pie atbildības par smagākajiem konkurences tiesību pārkāpumiem. </w:t>
            </w:r>
            <w:r w:rsidR="00F40840" w:rsidRPr="00E73D94">
              <w:rPr>
                <w:rFonts w:ascii="Times New Roman" w:hAnsi="Times New Roman" w:cs="Times New Roman"/>
                <w:color w:val="0D0D0D" w:themeColor="text1" w:themeTint="F2"/>
                <w:sz w:val="24"/>
                <w:szCs w:val="24"/>
                <w:shd w:val="clear" w:color="auto" w:fill="FFFFFF"/>
                <w:lang w:val="lv-LV"/>
              </w:rPr>
              <w:t xml:space="preserve">Dalībvalstu iecietības programmu atšķirības apdraud konkurences apstākļu vienlīdzību uzņēmumiem, kas darbojas iekšējā tirgū. Tāpēc ir lietderīgi palielināt juridisko noteiktību uzņēmumiem, kas darbojas iekšējā tirgū, un veicināt iecietības programmu pievilcību visā Eiropas Savienībā, samazinot šīs atšķirības tā, ka visas valstu konkurences iestādes ar vienādiem nosacījumiem var piešķirt </w:t>
            </w:r>
            <w:r w:rsidR="00F40840" w:rsidRPr="00E73D94">
              <w:rPr>
                <w:rFonts w:ascii="Times New Roman" w:hAnsi="Times New Roman" w:cs="Times New Roman"/>
                <w:color w:val="0D0D0D" w:themeColor="text1" w:themeTint="F2"/>
                <w:sz w:val="24"/>
                <w:szCs w:val="24"/>
                <w:shd w:val="clear" w:color="auto" w:fill="FFFFFF"/>
                <w:lang w:val="lv-LV"/>
              </w:rPr>
              <w:lastRenderedPageBreak/>
              <w:t xml:space="preserve">atbrīvojumu no naudas soda, samazināt naudas sodu un pieņemt kopsavilkuma pieteikumus. </w:t>
            </w:r>
          </w:p>
          <w:p w14:paraId="5E06C3E7" w14:textId="7D29CF69" w:rsidR="00103DC2" w:rsidRPr="00E73D94" w:rsidRDefault="00F40840"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shd w:val="clear" w:color="auto" w:fill="FFFFFF"/>
                <w:lang w:val="lv-LV"/>
              </w:rPr>
              <w:t>Atbilstoši Direktīvas 17.pantam tiek precizēti kritēriji</w:t>
            </w:r>
            <w:r w:rsidR="006F5E00" w:rsidRPr="00E73D94">
              <w:rPr>
                <w:rFonts w:ascii="Times New Roman" w:hAnsi="Times New Roman" w:cs="Times New Roman"/>
                <w:color w:val="0D0D0D" w:themeColor="text1" w:themeTint="F2"/>
                <w:sz w:val="24"/>
                <w:szCs w:val="24"/>
                <w:shd w:val="clear" w:color="auto" w:fill="FFFFFF"/>
                <w:lang w:val="lv-LV"/>
              </w:rPr>
              <w:t>,</w:t>
            </w:r>
            <w:r w:rsidRPr="00E73D94">
              <w:rPr>
                <w:rFonts w:ascii="Times New Roman" w:hAnsi="Times New Roman" w:cs="Times New Roman"/>
                <w:color w:val="0D0D0D" w:themeColor="text1" w:themeTint="F2"/>
                <w:sz w:val="24"/>
                <w:szCs w:val="24"/>
                <w:shd w:val="clear" w:color="auto" w:fill="FFFFFF"/>
                <w:lang w:val="lv-LV"/>
              </w:rPr>
              <w:t xml:space="preserve"> pie kuriem KP atbrīvo </w:t>
            </w:r>
            <w:r w:rsidR="00A60285" w:rsidRPr="00E73D94">
              <w:rPr>
                <w:rFonts w:ascii="Times New Roman" w:hAnsi="Times New Roman" w:cs="Times New Roman"/>
                <w:color w:val="0D0D0D" w:themeColor="text1" w:themeTint="F2"/>
                <w:sz w:val="24"/>
                <w:szCs w:val="24"/>
                <w:shd w:val="clear" w:color="auto" w:fill="FFFFFF"/>
                <w:lang w:val="lv-LV"/>
              </w:rPr>
              <w:t xml:space="preserve">tirgus dalībnieku </w:t>
            </w:r>
            <w:r w:rsidRPr="00E73D94">
              <w:rPr>
                <w:rFonts w:ascii="Times New Roman" w:hAnsi="Times New Roman" w:cs="Times New Roman"/>
                <w:color w:val="0D0D0D" w:themeColor="text1" w:themeTint="F2"/>
                <w:sz w:val="24"/>
                <w:szCs w:val="24"/>
                <w:shd w:val="clear" w:color="auto" w:fill="FFFFFF"/>
                <w:lang w:val="lv-LV"/>
              </w:rPr>
              <w:t xml:space="preserve">no naudas soda par vienošanās aizlieguma pārkāpumu, proti, ja tirgus dalībnieks </w:t>
            </w:r>
            <w:r w:rsidRPr="00E73D94">
              <w:rPr>
                <w:rFonts w:ascii="Times New Roman" w:eastAsia="Times New Roman" w:hAnsi="Times New Roman" w:cs="Times New Roman"/>
                <w:color w:val="0D0D0D" w:themeColor="text1" w:themeTint="F2"/>
                <w:sz w:val="24"/>
                <w:szCs w:val="24"/>
                <w:lang w:val="lv-LV"/>
              </w:rPr>
              <w:t xml:space="preserve">pirmais iesniedz pierādījumus un citas ar vienošanās aizlieguma pārkāpumu saistītas ziņas par faktiem un apstākļiem, kas ir pietiekami, lai veiktu </w:t>
            </w:r>
            <w:r w:rsidR="00DD6542" w:rsidRPr="00E73D94">
              <w:rPr>
                <w:rFonts w:ascii="Times New Roman" w:eastAsia="Times New Roman" w:hAnsi="Times New Roman" w:cs="Times New Roman"/>
                <w:color w:val="0D0D0D" w:themeColor="text1" w:themeTint="F2"/>
                <w:sz w:val="24"/>
                <w:szCs w:val="24"/>
                <w:lang w:val="lv-LV"/>
              </w:rPr>
              <w:t>L</w:t>
            </w:r>
            <w:r w:rsidRPr="00E73D94">
              <w:rPr>
                <w:rFonts w:ascii="Times New Roman" w:eastAsia="Times New Roman" w:hAnsi="Times New Roman" w:cs="Times New Roman"/>
                <w:color w:val="0D0D0D" w:themeColor="text1" w:themeTint="F2"/>
                <w:sz w:val="24"/>
                <w:szCs w:val="24"/>
                <w:lang w:val="lv-LV"/>
              </w:rPr>
              <w:t>ikuma 9.panta piektās daļas 4.punktā minētās procesuālās darbības, ar noteikumu, ka dalībvalsts konkurences iestādes rīcībā vēl nebija pietiekamu pierādījumu šādu darbību veikšanai un tā</w:t>
            </w:r>
            <w:r w:rsidR="006F5E00" w:rsidRPr="00E73D94">
              <w:rPr>
                <w:rFonts w:ascii="Times New Roman" w:eastAsia="Times New Roman" w:hAnsi="Times New Roman" w:cs="Times New Roman"/>
                <w:color w:val="0D0D0D" w:themeColor="text1" w:themeTint="F2"/>
                <w:sz w:val="24"/>
                <w:szCs w:val="24"/>
                <w:lang w:val="lv-LV"/>
              </w:rPr>
              <w:t>s</w:t>
            </w:r>
            <w:r w:rsidRPr="00E73D94">
              <w:rPr>
                <w:rFonts w:ascii="Times New Roman" w:eastAsia="Times New Roman" w:hAnsi="Times New Roman" w:cs="Times New Roman"/>
                <w:color w:val="0D0D0D" w:themeColor="text1" w:themeTint="F2"/>
                <w:sz w:val="24"/>
                <w:szCs w:val="24"/>
                <w:lang w:val="lv-LV"/>
              </w:rPr>
              <w:t xml:space="preserve"> vēl nav veiktas. Līdzšinējā kritērija tvērums paredzēja atbrīvojumu no naudas soda gadījumā, ja tirgus dalībnieka sniegtās ziņas ir pietiekamas, lai KP ierosinātu pārkāpuma lietu. Papildus</w:t>
            </w:r>
            <w:r w:rsidR="00B3710C" w:rsidRPr="00E73D94">
              <w:rPr>
                <w:rFonts w:ascii="Times New Roman" w:eastAsia="Times New Roman" w:hAnsi="Times New Roman" w:cs="Times New Roman"/>
                <w:color w:val="0D0D0D" w:themeColor="text1" w:themeTint="F2"/>
                <w:sz w:val="24"/>
                <w:szCs w:val="24"/>
                <w:lang w:val="lv-LV"/>
              </w:rPr>
              <w:t xml:space="preserve">, </w:t>
            </w:r>
            <w:r w:rsidR="0029395F" w:rsidRPr="00E73D94">
              <w:rPr>
                <w:rFonts w:ascii="Times New Roman" w:eastAsia="Times New Roman" w:hAnsi="Times New Roman" w:cs="Times New Roman"/>
                <w:color w:val="0D0D0D" w:themeColor="text1" w:themeTint="F2"/>
                <w:sz w:val="24"/>
                <w:szCs w:val="24"/>
                <w:lang w:val="lv-LV"/>
              </w:rPr>
              <w:t>atbilstoši Direktīvā iekļautajiem iecietības  programmas kvalifikācijas priekšnoteikumiem, Likumprojektā tiek</w:t>
            </w:r>
            <w:r w:rsidRPr="00E73D94">
              <w:rPr>
                <w:rFonts w:ascii="Times New Roman" w:eastAsia="Times New Roman" w:hAnsi="Times New Roman" w:cs="Times New Roman"/>
                <w:color w:val="0D0D0D" w:themeColor="text1" w:themeTint="F2"/>
                <w:sz w:val="24"/>
                <w:szCs w:val="24"/>
                <w:lang w:val="lv-LV"/>
              </w:rPr>
              <w:t xml:space="preserve"> paredz</w:t>
            </w:r>
            <w:r w:rsidR="0029395F" w:rsidRPr="00E73D94">
              <w:rPr>
                <w:rFonts w:ascii="Times New Roman" w:eastAsia="Times New Roman" w:hAnsi="Times New Roman" w:cs="Times New Roman"/>
                <w:color w:val="0D0D0D" w:themeColor="text1" w:themeTint="F2"/>
                <w:sz w:val="24"/>
                <w:szCs w:val="24"/>
                <w:lang w:val="lv-LV"/>
              </w:rPr>
              <w:t>ēts</w:t>
            </w:r>
            <w:r w:rsidRPr="00E73D94">
              <w:rPr>
                <w:rFonts w:ascii="Times New Roman" w:eastAsia="Times New Roman" w:hAnsi="Times New Roman" w:cs="Times New Roman"/>
                <w:color w:val="0D0D0D" w:themeColor="text1" w:themeTint="F2"/>
                <w:sz w:val="24"/>
                <w:szCs w:val="24"/>
                <w:lang w:val="lv-LV"/>
              </w:rPr>
              <w:t>, ka</w:t>
            </w:r>
            <w:r w:rsidR="0029395F" w:rsidRPr="00E73D94">
              <w:rPr>
                <w:rFonts w:ascii="Times New Roman" w:eastAsia="Times New Roman" w:hAnsi="Times New Roman" w:cs="Times New Roman"/>
                <w:color w:val="0D0D0D" w:themeColor="text1" w:themeTint="F2"/>
                <w:sz w:val="24"/>
                <w:szCs w:val="24"/>
                <w:lang w:val="lv-LV"/>
              </w:rPr>
              <w:t>, lai kvalificētos iecietības programmai</w:t>
            </w:r>
            <w:r w:rsidR="00A736A1" w:rsidRPr="00E73D94">
              <w:rPr>
                <w:rFonts w:ascii="Times New Roman" w:eastAsia="Times New Roman" w:hAnsi="Times New Roman" w:cs="Times New Roman"/>
                <w:color w:val="0D0D0D" w:themeColor="text1" w:themeTint="F2"/>
                <w:sz w:val="24"/>
                <w:szCs w:val="24"/>
                <w:lang w:val="lv-LV"/>
              </w:rPr>
              <w:t>,</w:t>
            </w:r>
            <w:r w:rsidR="0029395F" w:rsidRPr="00E73D94">
              <w:rPr>
                <w:rFonts w:ascii="Times New Roman" w:eastAsia="Times New Roman" w:hAnsi="Times New Roman" w:cs="Times New Roman"/>
                <w:color w:val="0D0D0D" w:themeColor="text1" w:themeTint="F2"/>
                <w:sz w:val="24"/>
                <w:szCs w:val="24"/>
                <w:lang w:val="lv-LV"/>
              </w:rPr>
              <w:t xml:space="preserve"> jāņem vērā arī tas, ka</w:t>
            </w:r>
            <w:r w:rsidRPr="00E73D94">
              <w:rPr>
                <w:rFonts w:ascii="Times New Roman" w:eastAsia="Times New Roman" w:hAnsi="Times New Roman" w:cs="Times New Roman"/>
                <w:color w:val="0D0D0D" w:themeColor="text1" w:themeTint="F2"/>
                <w:sz w:val="24"/>
                <w:szCs w:val="24"/>
                <w:lang w:val="lv-LV"/>
              </w:rPr>
              <w:t xml:space="preserve"> uz šo aizliegto vienošanos kāds cits tirgus dalībnieks jau nav kvalificējies atbrīvojumam no naudas soda. </w:t>
            </w:r>
          </w:p>
          <w:p w14:paraId="07CA9999" w14:textId="7E2462B1" w:rsidR="00CD13F5" w:rsidRPr="00E73D94" w:rsidRDefault="00103458" w:rsidP="009614EB">
            <w:pPr>
              <w:spacing w:after="120" w:line="240" w:lineRule="auto"/>
              <w:jc w:val="both"/>
              <w:rPr>
                <w:rFonts w:ascii="Times New Roman" w:hAnsi="Times New Roman" w:cs="Times New Roman"/>
                <w:color w:val="0D0D0D" w:themeColor="text1" w:themeTint="F2"/>
                <w:sz w:val="24"/>
                <w:szCs w:val="24"/>
                <w:shd w:val="clear" w:color="auto" w:fill="FFFFFF"/>
                <w:lang w:val="lv-LV"/>
              </w:rPr>
            </w:pPr>
            <w:r w:rsidRPr="00E73D94">
              <w:rPr>
                <w:rFonts w:ascii="Times New Roman" w:hAnsi="Times New Roman" w:cs="Times New Roman"/>
                <w:color w:val="0D0D0D" w:themeColor="text1" w:themeTint="F2"/>
                <w:sz w:val="24"/>
                <w:szCs w:val="24"/>
                <w:shd w:val="clear" w:color="auto" w:fill="FFFFFF"/>
                <w:lang w:val="lv-LV"/>
              </w:rPr>
              <w:t>Sadarbībā ar tirgus dalībniekiem</w:t>
            </w:r>
            <w:r w:rsidR="00CD13F5" w:rsidRPr="00E73D94">
              <w:rPr>
                <w:rFonts w:ascii="Times New Roman" w:hAnsi="Times New Roman" w:cs="Times New Roman"/>
                <w:color w:val="0D0D0D" w:themeColor="text1" w:themeTint="F2"/>
                <w:sz w:val="24"/>
                <w:szCs w:val="24"/>
                <w:shd w:val="clear" w:color="auto" w:fill="FFFFFF"/>
                <w:lang w:val="lv-LV"/>
              </w:rPr>
              <w:t xml:space="preserve"> iecietības programmas ietvaros KP līdz šim ir atklājusi 8 </w:t>
            </w:r>
            <w:proofErr w:type="spellStart"/>
            <w:r w:rsidR="00CD13F5" w:rsidRPr="00E73D94">
              <w:rPr>
                <w:rFonts w:ascii="Times New Roman" w:hAnsi="Times New Roman" w:cs="Times New Roman"/>
                <w:color w:val="0D0D0D" w:themeColor="text1" w:themeTint="F2"/>
                <w:sz w:val="24"/>
                <w:szCs w:val="24"/>
                <w:shd w:val="clear" w:color="auto" w:fill="FFFFFF"/>
                <w:lang w:val="lv-LV"/>
              </w:rPr>
              <w:t>karteļvienošanās</w:t>
            </w:r>
            <w:proofErr w:type="spellEnd"/>
            <w:r w:rsidR="00CD13F5" w:rsidRPr="00E73D94">
              <w:rPr>
                <w:rFonts w:ascii="Times New Roman" w:hAnsi="Times New Roman" w:cs="Times New Roman"/>
                <w:color w:val="0D0D0D" w:themeColor="text1" w:themeTint="F2"/>
                <w:sz w:val="24"/>
                <w:szCs w:val="24"/>
                <w:shd w:val="clear" w:color="auto" w:fill="FFFFFF"/>
                <w:lang w:val="lv-LV"/>
              </w:rPr>
              <w:t xml:space="preserve"> pārkāpumus, kurus citādi nebūtu atklājusi vai to izmeklēšana un pārkāpumā iesaistīto personu saukšana pie atbildības būtu būtiski kavēta. Vienlaikus </w:t>
            </w:r>
            <w:r w:rsidR="00A736A1" w:rsidRPr="00E73D94">
              <w:rPr>
                <w:rFonts w:ascii="Times New Roman" w:hAnsi="Times New Roman" w:cs="Times New Roman"/>
                <w:color w:val="0D0D0D" w:themeColor="text1" w:themeTint="F2"/>
                <w:sz w:val="24"/>
                <w:szCs w:val="24"/>
                <w:shd w:val="clear" w:color="auto" w:fill="FFFFFF"/>
                <w:lang w:val="lv-LV"/>
              </w:rPr>
              <w:t>Likuma</w:t>
            </w:r>
            <w:r w:rsidR="00CD13F5" w:rsidRPr="00E73D94">
              <w:rPr>
                <w:rFonts w:ascii="Times New Roman" w:hAnsi="Times New Roman" w:cs="Times New Roman"/>
                <w:color w:val="0D0D0D" w:themeColor="text1" w:themeTint="F2"/>
                <w:sz w:val="24"/>
                <w:szCs w:val="24"/>
                <w:shd w:val="clear" w:color="auto" w:fill="FFFFFF"/>
                <w:lang w:val="lv-LV"/>
              </w:rPr>
              <w:t xml:space="preserve"> 12.</w:t>
            </w:r>
            <w:r w:rsidR="00CD13F5" w:rsidRPr="00E73D94">
              <w:rPr>
                <w:rFonts w:ascii="Times New Roman" w:hAnsi="Times New Roman" w:cs="Times New Roman"/>
                <w:color w:val="0D0D0D" w:themeColor="text1" w:themeTint="F2"/>
                <w:sz w:val="24"/>
                <w:szCs w:val="24"/>
                <w:shd w:val="clear" w:color="auto" w:fill="FFFFFF"/>
                <w:vertAlign w:val="superscript"/>
                <w:lang w:val="lv-LV"/>
              </w:rPr>
              <w:t xml:space="preserve">1 </w:t>
            </w:r>
            <w:r w:rsidR="00CD13F5" w:rsidRPr="00E73D94">
              <w:rPr>
                <w:rFonts w:ascii="Times New Roman" w:hAnsi="Times New Roman" w:cs="Times New Roman"/>
                <w:color w:val="0D0D0D" w:themeColor="text1" w:themeTint="F2"/>
                <w:sz w:val="24"/>
                <w:szCs w:val="24"/>
                <w:shd w:val="clear" w:color="auto" w:fill="FFFFFF"/>
                <w:lang w:val="lv-LV"/>
              </w:rPr>
              <w:t xml:space="preserve">pants šobrīd paredz piemērot iecietības programmu </w:t>
            </w:r>
            <w:r w:rsidR="006F5E00" w:rsidRPr="00E73D94">
              <w:rPr>
                <w:rFonts w:ascii="Times New Roman" w:hAnsi="Times New Roman" w:cs="Times New Roman"/>
                <w:color w:val="0D0D0D" w:themeColor="text1" w:themeTint="F2"/>
                <w:sz w:val="24"/>
                <w:szCs w:val="24"/>
                <w:shd w:val="clear" w:color="auto" w:fill="FFFFFF"/>
                <w:lang w:val="lv-LV"/>
              </w:rPr>
              <w:t>ierobežotā apjomā, t.i.</w:t>
            </w:r>
            <w:r w:rsidR="00A736A1" w:rsidRPr="00E73D94">
              <w:rPr>
                <w:rFonts w:ascii="Times New Roman" w:hAnsi="Times New Roman" w:cs="Times New Roman"/>
                <w:color w:val="0D0D0D" w:themeColor="text1" w:themeTint="F2"/>
                <w:sz w:val="24"/>
                <w:szCs w:val="24"/>
                <w:shd w:val="clear" w:color="auto" w:fill="FFFFFF"/>
                <w:lang w:val="lv-LV"/>
              </w:rPr>
              <w:t>,</w:t>
            </w:r>
            <w:r w:rsidR="006F5E00" w:rsidRPr="00E73D94">
              <w:rPr>
                <w:rFonts w:ascii="Times New Roman" w:hAnsi="Times New Roman" w:cs="Times New Roman"/>
                <w:color w:val="0D0D0D" w:themeColor="text1" w:themeTint="F2"/>
                <w:sz w:val="24"/>
                <w:szCs w:val="24"/>
                <w:shd w:val="clear" w:color="auto" w:fill="FFFFFF"/>
                <w:lang w:val="lv-LV"/>
              </w:rPr>
              <w:t xml:space="preserve"> </w:t>
            </w:r>
            <w:r w:rsidR="00CD13F5" w:rsidRPr="00E73D94">
              <w:rPr>
                <w:rFonts w:ascii="Times New Roman" w:hAnsi="Times New Roman" w:cs="Times New Roman"/>
                <w:color w:val="0D0D0D" w:themeColor="text1" w:themeTint="F2"/>
                <w:sz w:val="24"/>
                <w:szCs w:val="24"/>
                <w:shd w:val="clear" w:color="auto" w:fill="FFFFFF"/>
                <w:lang w:val="lv-LV"/>
              </w:rPr>
              <w:t xml:space="preserve">tirgus dalībniekiem par sadarbību </w:t>
            </w:r>
            <w:r w:rsidR="0058485D" w:rsidRPr="00E73D94">
              <w:rPr>
                <w:rFonts w:ascii="Times New Roman" w:hAnsi="Times New Roman" w:cs="Times New Roman"/>
                <w:color w:val="0D0D0D" w:themeColor="text1" w:themeTint="F2"/>
                <w:sz w:val="24"/>
                <w:szCs w:val="24"/>
                <w:shd w:val="clear" w:color="auto" w:fill="FFFFFF"/>
                <w:lang w:val="lv-LV"/>
              </w:rPr>
              <w:t xml:space="preserve">tādu </w:t>
            </w:r>
            <w:r w:rsidR="00CD13F5" w:rsidRPr="00E73D94">
              <w:rPr>
                <w:rFonts w:ascii="Times New Roman" w:hAnsi="Times New Roman" w:cs="Times New Roman"/>
                <w:color w:val="0D0D0D" w:themeColor="text1" w:themeTint="F2"/>
                <w:sz w:val="24"/>
                <w:szCs w:val="24"/>
                <w:shd w:val="clear" w:color="auto" w:fill="FFFFFF"/>
                <w:lang w:val="lv-LV"/>
              </w:rPr>
              <w:t>konkurences tiesību pārkāpumu atklāšanā</w:t>
            </w:r>
            <w:r w:rsidR="0058485D" w:rsidRPr="00E73D94">
              <w:rPr>
                <w:rFonts w:ascii="Times New Roman" w:hAnsi="Times New Roman" w:cs="Times New Roman"/>
                <w:color w:val="0D0D0D" w:themeColor="text1" w:themeTint="F2"/>
                <w:sz w:val="24"/>
                <w:szCs w:val="24"/>
                <w:shd w:val="clear" w:color="auto" w:fill="FFFFFF"/>
                <w:lang w:val="lv-LV"/>
              </w:rPr>
              <w:t xml:space="preserve"> kā</w:t>
            </w:r>
            <w:r w:rsidR="00CD13F5" w:rsidRPr="00E73D94">
              <w:rPr>
                <w:rFonts w:ascii="Times New Roman" w:hAnsi="Times New Roman" w:cs="Times New Roman"/>
                <w:color w:val="0D0D0D" w:themeColor="text1" w:themeTint="F2"/>
                <w:sz w:val="24"/>
                <w:szCs w:val="24"/>
                <w:shd w:val="clear" w:color="auto" w:fill="FFFFFF"/>
                <w:lang w:val="lv-LV"/>
              </w:rPr>
              <w:t xml:space="preserve"> slepena karteļa vienošanās atklāšanā. Tajā pašā laikā KP konkurences tiesību piemērošanas prakse liecina, ka arī noteikta veida citas tirgus dalībnieku konkurenci kavējošas un ierobežojošas vienošanās, jo īpaši aizliegtas vertikālas vienošanās par tālākpārdošanas cenu noteikšanu vai pasīvās pārdošanas ierobežošanu</w:t>
            </w:r>
            <w:r w:rsidR="0058485D" w:rsidRPr="00E73D94">
              <w:rPr>
                <w:rFonts w:ascii="Times New Roman" w:hAnsi="Times New Roman" w:cs="Times New Roman"/>
                <w:color w:val="0D0D0D" w:themeColor="text1" w:themeTint="F2"/>
                <w:sz w:val="24"/>
                <w:szCs w:val="24"/>
                <w:shd w:val="clear" w:color="auto" w:fill="FFFFFF"/>
                <w:lang w:val="lv-LV"/>
              </w:rPr>
              <w:t>,</w:t>
            </w:r>
            <w:r w:rsidR="00CD13F5" w:rsidRPr="00E73D94">
              <w:rPr>
                <w:rFonts w:ascii="Times New Roman" w:hAnsi="Times New Roman" w:cs="Times New Roman"/>
                <w:color w:val="0D0D0D" w:themeColor="text1" w:themeTint="F2"/>
                <w:sz w:val="24"/>
                <w:szCs w:val="24"/>
                <w:shd w:val="clear" w:color="auto" w:fill="FFFFFF"/>
                <w:lang w:val="lv-LV"/>
              </w:rPr>
              <w:t xml:space="preserve"> var būtiski negatīvi ierobežot konkurenci un kaitēt klientu un patērētāju interesēm. Ņemot vērā minēto, lai veicinātu tirgus dalībnieku sadarbību šo aizliegtu vienošanos atklāšanā, </w:t>
            </w:r>
            <w:r w:rsidR="009A032E" w:rsidRPr="00E73D94">
              <w:rPr>
                <w:rFonts w:ascii="Times New Roman" w:hAnsi="Times New Roman" w:cs="Times New Roman"/>
                <w:color w:val="0D0D0D" w:themeColor="text1" w:themeTint="F2"/>
                <w:sz w:val="24"/>
                <w:szCs w:val="24"/>
                <w:shd w:val="clear" w:color="auto" w:fill="FFFFFF"/>
                <w:lang w:val="lv-LV"/>
              </w:rPr>
              <w:t>L</w:t>
            </w:r>
            <w:r w:rsidR="00CD13F5" w:rsidRPr="00E73D94">
              <w:rPr>
                <w:rFonts w:ascii="Times New Roman" w:hAnsi="Times New Roman" w:cs="Times New Roman"/>
                <w:color w:val="0D0D0D" w:themeColor="text1" w:themeTint="F2"/>
                <w:sz w:val="24"/>
                <w:szCs w:val="24"/>
                <w:shd w:val="clear" w:color="auto" w:fill="FFFFFF"/>
                <w:lang w:val="lv-LV"/>
              </w:rPr>
              <w:t>ikumprojekts paredz iecietības programmu paplašināt, to attiecinot arī uz tirgus dalībnieku sadarbību ar KP aizliegtu vertikālu vienošanos par tālākpārdošanas cenu noteikšanu vai pasīvās pārdošanas ierobežošanu atklāšanā.</w:t>
            </w:r>
          </w:p>
          <w:p w14:paraId="0688E2AF" w14:textId="0583BC9D" w:rsidR="00542B12" w:rsidRPr="00E73D94" w:rsidRDefault="00542B12" w:rsidP="009614EB">
            <w:pPr>
              <w:pStyle w:val="ListParagraph"/>
              <w:numPr>
                <w:ilvl w:val="0"/>
                <w:numId w:val="15"/>
              </w:numPr>
              <w:spacing w:after="120" w:line="240" w:lineRule="auto"/>
              <w:ind w:left="714" w:hanging="357"/>
              <w:contextualSpacing w:val="0"/>
              <w:jc w:val="both"/>
              <w:rPr>
                <w:rFonts w:ascii="Times New Roman" w:hAnsi="Times New Roman" w:cs="Times New Roman"/>
                <w:b/>
                <w:bCs/>
                <w:color w:val="0D0D0D" w:themeColor="text1" w:themeTint="F2"/>
                <w:sz w:val="24"/>
                <w:szCs w:val="24"/>
              </w:rPr>
            </w:pPr>
            <w:r w:rsidRPr="00E73D94">
              <w:rPr>
                <w:rFonts w:ascii="Times New Roman" w:hAnsi="Times New Roman" w:cs="Times New Roman"/>
                <w:b/>
                <w:bCs/>
                <w:color w:val="0D0D0D" w:themeColor="text1" w:themeTint="F2"/>
                <w:sz w:val="24"/>
                <w:szCs w:val="24"/>
              </w:rPr>
              <w:t>Konkurences iestāžu sadarbības noteikumi</w:t>
            </w:r>
          </w:p>
          <w:p w14:paraId="4395035A" w14:textId="4D8615A5" w:rsidR="004F787F" w:rsidRPr="00E73D94" w:rsidRDefault="004F787F"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Sistēmā, kurā Komisijai un valsts konkurences iestādēm ir paralēlas pilnvaras piemērot LESD 101. un 102. pantu, ir nepieciešama cieša konkurences iestāžu savstarpēja sadarbība, kā arī dalībvalstu un Komisijas sadarbība</w:t>
            </w:r>
            <w:r w:rsidR="00A31860" w:rsidRPr="00E73D94">
              <w:rPr>
                <w:rFonts w:ascii="Times New Roman" w:hAnsi="Times New Roman" w:cs="Times New Roman"/>
                <w:color w:val="0D0D0D" w:themeColor="text1" w:themeTint="F2"/>
                <w:sz w:val="24"/>
                <w:szCs w:val="24"/>
                <w:lang w:val="lv-LV"/>
              </w:rPr>
              <w:t>, j</w:t>
            </w:r>
            <w:r w:rsidRPr="00E73D94">
              <w:rPr>
                <w:rFonts w:ascii="Times New Roman" w:hAnsi="Times New Roman" w:cs="Times New Roman"/>
                <w:color w:val="0D0D0D" w:themeColor="text1" w:themeTint="F2"/>
                <w:sz w:val="24"/>
                <w:szCs w:val="24"/>
                <w:lang w:val="lv-LV"/>
              </w:rPr>
              <w:t xml:space="preserve">o īpaši gadījumos, kad viena valsts konkurences iestāde, ievērojot Regulas (EK) Nr. 1/2003 22. panta 1. punktu, veic </w:t>
            </w:r>
            <w:r w:rsidR="006F5E00" w:rsidRPr="00E73D94">
              <w:rPr>
                <w:rFonts w:ascii="Times New Roman" w:hAnsi="Times New Roman" w:cs="Times New Roman"/>
                <w:color w:val="0D0D0D" w:themeColor="text1" w:themeTint="F2"/>
                <w:sz w:val="24"/>
                <w:szCs w:val="24"/>
                <w:lang w:val="lv-LV"/>
              </w:rPr>
              <w:t>procesuālās darbības</w:t>
            </w:r>
            <w:r w:rsidRPr="00E73D94">
              <w:rPr>
                <w:rFonts w:ascii="Times New Roman" w:hAnsi="Times New Roman" w:cs="Times New Roman"/>
                <w:color w:val="0D0D0D" w:themeColor="text1" w:themeTint="F2"/>
                <w:sz w:val="24"/>
                <w:szCs w:val="24"/>
                <w:lang w:val="lv-LV"/>
              </w:rPr>
              <w:t xml:space="preserve"> vai </w:t>
            </w:r>
            <w:r w:rsidR="006F5E00" w:rsidRPr="00E73D94">
              <w:rPr>
                <w:rFonts w:ascii="Times New Roman" w:hAnsi="Times New Roman" w:cs="Times New Roman"/>
                <w:color w:val="0D0D0D" w:themeColor="text1" w:themeTint="F2"/>
                <w:sz w:val="24"/>
                <w:szCs w:val="24"/>
                <w:lang w:val="lv-LV"/>
              </w:rPr>
              <w:t>informācijas un paskaidrojumu iegūšanu</w:t>
            </w:r>
            <w:r w:rsidRPr="00E73D94">
              <w:rPr>
                <w:rFonts w:ascii="Times New Roman" w:hAnsi="Times New Roman" w:cs="Times New Roman"/>
                <w:color w:val="0D0D0D" w:themeColor="text1" w:themeTint="F2"/>
                <w:sz w:val="24"/>
                <w:szCs w:val="24"/>
                <w:lang w:val="lv-LV"/>
              </w:rPr>
              <w:t xml:space="preserve"> saskaņā ar savas valsts tiesību aktiem citas konkurences iestādes vārdā.</w:t>
            </w:r>
          </w:p>
          <w:p w14:paraId="7D27C25D" w14:textId="1C3852EF" w:rsidR="004F787F" w:rsidRPr="00E73D94" w:rsidRDefault="004F787F"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lastRenderedPageBreak/>
              <w:t xml:space="preserve">Direktīvas 24. un 27.pants paredz valsts konkurences iestāžu sadarbības vispārīgos nosacījumus, nosakot kārtību kādā konkurences iestādes savstarpēji apmainās ar ziņām par faktiem, kas liecina par iespējamu konkurences tiesību pārkāpumu un arī organizatoriska rakstura jautājumus, piemēram, attiecībā uz piemērojamiem tiesību aktiem, izmaksu segšanu, valodas lietojumu pieprasījumos u.c. Papildus tiek paredzēta iespēja, ka, lai palielinātu </w:t>
            </w:r>
            <w:r w:rsidR="006F5E00" w:rsidRPr="009614EB">
              <w:rPr>
                <w:rFonts w:ascii="Times New Roman" w:hAnsi="Times New Roman" w:cs="Times New Roman"/>
                <w:color w:val="0D0D0D" w:themeColor="text1" w:themeTint="F2"/>
                <w:lang w:val="lv-LV"/>
              </w:rPr>
              <w:t xml:space="preserve"> </w:t>
            </w:r>
            <w:r w:rsidR="006F5E00" w:rsidRPr="00E73D94">
              <w:rPr>
                <w:rFonts w:ascii="Times New Roman" w:hAnsi="Times New Roman" w:cs="Times New Roman"/>
                <w:color w:val="0D0D0D" w:themeColor="text1" w:themeTint="F2"/>
                <w:sz w:val="24"/>
                <w:szCs w:val="24"/>
                <w:lang w:val="lv-LV"/>
              </w:rPr>
              <w:t xml:space="preserve">procesuālo darbību </w:t>
            </w:r>
            <w:r w:rsidRPr="00F9115F">
              <w:rPr>
                <w:rFonts w:ascii="Times New Roman" w:hAnsi="Times New Roman" w:cs="Times New Roman"/>
                <w:color w:val="0D0D0D" w:themeColor="text1" w:themeTint="F2"/>
                <w:sz w:val="24"/>
                <w:szCs w:val="24"/>
                <w:lang w:val="lv-LV"/>
              </w:rPr>
              <w:t>(citas valsts konkurences iestādes vārdā) efektivitāti ar papildu resursiem un vispārīgajām un tehniskajām zināšanām, tajās piedalās un palīdz pieprasījuma iesniedzējas iestādes amatpersonas. Efektīva savstarpējā sadarbība konkurences iestāžu starpā nodr</w:t>
            </w:r>
            <w:r w:rsidRPr="00E73D94">
              <w:rPr>
                <w:rFonts w:ascii="Times New Roman" w:hAnsi="Times New Roman" w:cs="Times New Roman"/>
                <w:color w:val="0D0D0D" w:themeColor="text1" w:themeTint="F2"/>
                <w:sz w:val="24"/>
                <w:szCs w:val="24"/>
                <w:lang w:val="lv-LV"/>
              </w:rPr>
              <w:t>ošinā</w:t>
            </w:r>
            <w:r w:rsidR="006F5E00" w:rsidRPr="00E73D94">
              <w:rPr>
                <w:rFonts w:ascii="Times New Roman" w:hAnsi="Times New Roman" w:cs="Times New Roman"/>
                <w:color w:val="0D0D0D" w:themeColor="text1" w:themeTint="F2"/>
                <w:sz w:val="24"/>
                <w:szCs w:val="24"/>
                <w:lang w:val="lv-LV"/>
              </w:rPr>
              <w:t>s</w:t>
            </w:r>
            <w:r w:rsidRPr="00E73D94">
              <w:rPr>
                <w:rFonts w:ascii="Times New Roman" w:hAnsi="Times New Roman" w:cs="Times New Roman"/>
                <w:color w:val="0D0D0D" w:themeColor="text1" w:themeTint="F2"/>
                <w:sz w:val="24"/>
                <w:szCs w:val="24"/>
                <w:lang w:val="lv-LV"/>
              </w:rPr>
              <w:t xml:space="preserve"> efektīvu LESD 101. un 102. panta izpildi un sekmē</w:t>
            </w:r>
            <w:r w:rsidR="006F5E00" w:rsidRPr="00E73D94">
              <w:rPr>
                <w:rFonts w:ascii="Times New Roman" w:hAnsi="Times New Roman" w:cs="Times New Roman"/>
                <w:color w:val="0D0D0D" w:themeColor="text1" w:themeTint="F2"/>
                <w:sz w:val="24"/>
                <w:szCs w:val="24"/>
                <w:lang w:val="lv-LV"/>
              </w:rPr>
              <w:t>s</w:t>
            </w:r>
            <w:r w:rsidRPr="00E73D94">
              <w:rPr>
                <w:rFonts w:ascii="Times New Roman" w:hAnsi="Times New Roman" w:cs="Times New Roman"/>
                <w:color w:val="0D0D0D" w:themeColor="text1" w:themeTint="F2"/>
                <w:sz w:val="24"/>
                <w:szCs w:val="24"/>
                <w:lang w:val="lv-LV"/>
              </w:rPr>
              <w:t xml:space="preserve"> pienācīgu iekšējā tirgus darbību. Lai sekmētu šādu konkurences iestāžu sadarbību</w:t>
            </w:r>
            <w:r w:rsidR="00A31860" w:rsidRPr="00E73D94">
              <w:rPr>
                <w:rFonts w:ascii="Times New Roman" w:hAnsi="Times New Roman" w:cs="Times New Roman"/>
                <w:color w:val="0D0D0D" w:themeColor="text1" w:themeTint="F2"/>
                <w:sz w:val="24"/>
                <w:szCs w:val="24"/>
                <w:lang w:val="lv-LV"/>
              </w:rPr>
              <w:t xml:space="preserve"> un</w:t>
            </w:r>
            <w:r w:rsidRPr="00E73D94">
              <w:rPr>
                <w:rFonts w:ascii="Times New Roman" w:hAnsi="Times New Roman" w:cs="Times New Roman"/>
                <w:color w:val="0D0D0D" w:themeColor="text1" w:themeTint="F2"/>
                <w:sz w:val="24"/>
                <w:szCs w:val="24"/>
                <w:lang w:val="lv-LV"/>
              </w:rPr>
              <w:t xml:space="preserve"> palīdzību un</w:t>
            </w:r>
            <w:r w:rsidR="00A31860" w:rsidRPr="00E73D94">
              <w:rPr>
                <w:rFonts w:ascii="Times New Roman" w:hAnsi="Times New Roman" w:cs="Times New Roman"/>
                <w:color w:val="0D0D0D" w:themeColor="text1" w:themeTint="F2"/>
                <w:sz w:val="24"/>
                <w:szCs w:val="24"/>
                <w:lang w:val="lv-LV"/>
              </w:rPr>
              <w:t>,</w:t>
            </w:r>
            <w:r w:rsidRPr="00E73D94">
              <w:rPr>
                <w:rFonts w:ascii="Times New Roman" w:hAnsi="Times New Roman" w:cs="Times New Roman"/>
                <w:color w:val="0D0D0D" w:themeColor="text1" w:themeTint="F2"/>
                <w:sz w:val="24"/>
                <w:szCs w:val="24"/>
                <w:lang w:val="lv-LV"/>
              </w:rPr>
              <w:t xml:space="preserve"> ņemot vērā to, ka līdz šim </w:t>
            </w:r>
            <w:r w:rsidR="00A31860" w:rsidRPr="00E73D94">
              <w:rPr>
                <w:rFonts w:ascii="Times New Roman" w:hAnsi="Times New Roman" w:cs="Times New Roman"/>
                <w:color w:val="0D0D0D" w:themeColor="text1" w:themeTint="F2"/>
                <w:sz w:val="24"/>
                <w:szCs w:val="24"/>
                <w:lang w:val="lv-LV"/>
              </w:rPr>
              <w:t>Likums</w:t>
            </w:r>
            <w:r w:rsidRPr="00E73D94">
              <w:rPr>
                <w:rFonts w:ascii="Times New Roman" w:hAnsi="Times New Roman" w:cs="Times New Roman"/>
                <w:color w:val="0D0D0D" w:themeColor="text1" w:themeTint="F2"/>
                <w:sz w:val="24"/>
                <w:szCs w:val="24"/>
                <w:lang w:val="lv-LV"/>
              </w:rPr>
              <w:t xml:space="preserve"> neparedzēja konkrētu mehānismu konkurences iestāžu sadarbībai, </w:t>
            </w:r>
            <w:r w:rsidR="009A032E" w:rsidRPr="00E73D94">
              <w:rPr>
                <w:rFonts w:ascii="Times New Roman" w:hAnsi="Times New Roman" w:cs="Times New Roman"/>
                <w:color w:val="0D0D0D" w:themeColor="text1" w:themeTint="F2"/>
                <w:sz w:val="24"/>
                <w:szCs w:val="24"/>
                <w:lang w:val="lv-LV"/>
              </w:rPr>
              <w:t>L</w:t>
            </w:r>
            <w:r w:rsidRPr="00E73D94">
              <w:rPr>
                <w:rFonts w:ascii="Times New Roman" w:hAnsi="Times New Roman" w:cs="Times New Roman"/>
                <w:color w:val="0D0D0D" w:themeColor="text1" w:themeTint="F2"/>
                <w:sz w:val="24"/>
                <w:szCs w:val="24"/>
                <w:lang w:val="lv-LV"/>
              </w:rPr>
              <w:t xml:space="preserve">ikumprojektā paredzēts </w:t>
            </w:r>
            <w:r w:rsidR="00A31860" w:rsidRPr="00E73D94">
              <w:rPr>
                <w:rFonts w:ascii="Times New Roman" w:hAnsi="Times New Roman" w:cs="Times New Roman"/>
                <w:color w:val="0D0D0D" w:themeColor="text1" w:themeTint="F2"/>
                <w:sz w:val="24"/>
                <w:szCs w:val="24"/>
                <w:lang w:val="lv-LV"/>
              </w:rPr>
              <w:t>Likumu</w:t>
            </w:r>
            <w:r w:rsidRPr="00E73D94">
              <w:rPr>
                <w:rFonts w:ascii="Times New Roman" w:hAnsi="Times New Roman" w:cs="Times New Roman"/>
                <w:color w:val="0D0D0D" w:themeColor="text1" w:themeTint="F2"/>
                <w:sz w:val="24"/>
                <w:szCs w:val="24"/>
                <w:lang w:val="lv-LV"/>
              </w:rPr>
              <w:t xml:space="preserve"> papildināt ar IX nodaļu “Sadarbība”, kurā arī tiek atspoguļota konkurences iestāžu savstarpējās sadarbības kārtība</w:t>
            </w:r>
            <w:r w:rsidR="006F5E00" w:rsidRPr="00E73D94">
              <w:rPr>
                <w:rFonts w:ascii="Times New Roman" w:hAnsi="Times New Roman" w:cs="Times New Roman"/>
                <w:color w:val="0D0D0D" w:themeColor="text1" w:themeTint="F2"/>
                <w:sz w:val="24"/>
                <w:szCs w:val="24"/>
                <w:lang w:val="lv-LV"/>
              </w:rPr>
              <w:t xml:space="preserve"> un noteikumi</w:t>
            </w:r>
            <w:r w:rsidR="00A03A8F" w:rsidRPr="00E73D94">
              <w:rPr>
                <w:rFonts w:ascii="Times New Roman" w:hAnsi="Times New Roman" w:cs="Times New Roman"/>
                <w:color w:val="0D0D0D" w:themeColor="text1" w:themeTint="F2"/>
                <w:sz w:val="24"/>
                <w:szCs w:val="24"/>
                <w:lang w:val="lv-LV"/>
              </w:rPr>
              <w:t>, vienlaikus  precizē</w:t>
            </w:r>
            <w:r w:rsidR="00A736A1" w:rsidRPr="00E73D94">
              <w:rPr>
                <w:rFonts w:ascii="Times New Roman" w:hAnsi="Times New Roman" w:cs="Times New Roman"/>
                <w:color w:val="0D0D0D" w:themeColor="text1" w:themeTint="F2"/>
                <w:sz w:val="24"/>
                <w:szCs w:val="24"/>
                <w:lang w:val="lv-LV"/>
              </w:rPr>
              <w:t>jot</w:t>
            </w:r>
            <w:r w:rsidR="00A03A8F" w:rsidRPr="00E73D94">
              <w:rPr>
                <w:rFonts w:ascii="Times New Roman" w:hAnsi="Times New Roman" w:cs="Times New Roman"/>
                <w:color w:val="0D0D0D" w:themeColor="text1" w:themeTint="F2"/>
                <w:sz w:val="24"/>
                <w:szCs w:val="24"/>
                <w:lang w:val="lv-LV"/>
              </w:rPr>
              <w:t xml:space="preserve"> arī Likuma 34.pant</w:t>
            </w:r>
            <w:r w:rsidR="00A736A1" w:rsidRPr="00E73D94">
              <w:rPr>
                <w:rFonts w:ascii="Times New Roman" w:hAnsi="Times New Roman" w:cs="Times New Roman"/>
                <w:color w:val="0D0D0D" w:themeColor="text1" w:themeTint="F2"/>
                <w:sz w:val="24"/>
                <w:szCs w:val="24"/>
                <w:lang w:val="lv-LV"/>
              </w:rPr>
              <w:t>u</w:t>
            </w:r>
            <w:r w:rsidR="00A03A8F" w:rsidRPr="00E73D94">
              <w:rPr>
                <w:rFonts w:ascii="Times New Roman" w:hAnsi="Times New Roman" w:cs="Times New Roman"/>
                <w:color w:val="0D0D0D" w:themeColor="text1" w:themeTint="F2"/>
                <w:sz w:val="24"/>
                <w:szCs w:val="24"/>
                <w:lang w:val="lv-LV"/>
              </w:rPr>
              <w:t xml:space="preserve"> par informācijas apmaiņu iestāžu starpā starptautiskās sadarbības gadījumā</w:t>
            </w:r>
            <w:r w:rsidRPr="00E73D94">
              <w:rPr>
                <w:rFonts w:ascii="Times New Roman" w:hAnsi="Times New Roman" w:cs="Times New Roman"/>
                <w:color w:val="0D0D0D" w:themeColor="text1" w:themeTint="F2"/>
                <w:sz w:val="24"/>
                <w:szCs w:val="24"/>
                <w:lang w:val="lv-LV"/>
              </w:rPr>
              <w:t>.</w:t>
            </w:r>
            <w:r w:rsidR="0058485D" w:rsidRPr="00E73D94">
              <w:rPr>
                <w:rFonts w:ascii="Times New Roman" w:hAnsi="Times New Roman" w:cs="Times New Roman"/>
                <w:color w:val="0D0D0D" w:themeColor="text1" w:themeTint="F2"/>
                <w:sz w:val="24"/>
                <w:szCs w:val="24"/>
                <w:lang w:val="lv-LV"/>
              </w:rPr>
              <w:t xml:space="preserve"> </w:t>
            </w:r>
            <w:r w:rsidR="006F5E00" w:rsidRPr="00E73D94">
              <w:rPr>
                <w:rFonts w:ascii="Times New Roman" w:hAnsi="Times New Roman" w:cs="Times New Roman"/>
                <w:color w:val="0D0D0D" w:themeColor="text1" w:themeTint="F2"/>
                <w:sz w:val="24"/>
                <w:szCs w:val="24"/>
                <w:lang w:val="lv-LV"/>
              </w:rPr>
              <w:t xml:space="preserve">Direktīva uzliek par pienākumu </w:t>
            </w:r>
            <w:r w:rsidR="00A736A1" w:rsidRPr="00E73D94">
              <w:rPr>
                <w:rFonts w:ascii="Times New Roman" w:hAnsi="Times New Roman" w:cs="Times New Roman"/>
                <w:color w:val="0D0D0D" w:themeColor="text1" w:themeTint="F2"/>
                <w:sz w:val="24"/>
                <w:szCs w:val="24"/>
                <w:lang w:val="lv-LV"/>
              </w:rPr>
              <w:t xml:space="preserve">dalībvalstij nodrošināt, ka </w:t>
            </w:r>
            <w:r w:rsidR="006F5E00" w:rsidRPr="00E73D94">
              <w:rPr>
                <w:rFonts w:ascii="Times New Roman" w:hAnsi="Times New Roman" w:cs="Times New Roman"/>
                <w:color w:val="0D0D0D" w:themeColor="text1" w:themeTint="F2"/>
                <w:sz w:val="24"/>
                <w:szCs w:val="24"/>
                <w:lang w:val="lv-LV"/>
              </w:rPr>
              <w:t>a</w:t>
            </w:r>
            <w:r w:rsidR="0058485D" w:rsidRPr="00E73D94">
              <w:rPr>
                <w:rFonts w:ascii="Times New Roman" w:hAnsi="Times New Roman" w:cs="Times New Roman"/>
                <w:color w:val="0D0D0D" w:themeColor="text1" w:themeTint="F2"/>
                <w:sz w:val="24"/>
                <w:szCs w:val="24"/>
                <w:lang w:val="lv-LV"/>
              </w:rPr>
              <w:t xml:space="preserve">rī </w:t>
            </w:r>
            <w:r w:rsidR="00A736A1" w:rsidRPr="00E73D94">
              <w:rPr>
                <w:rFonts w:ascii="Times New Roman" w:hAnsi="Times New Roman" w:cs="Times New Roman"/>
                <w:color w:val="0D0D0D" w:themeColor="text1" w:themeTint="F2"/>
                <w:sz w:val="24"/>
                <w:szCs w:val="24"/>
                <w:lang w:val="lv-LV"/>
              </w:rPr>
              <w:t xml:space="preserve">iepriekš minēto </w:t>
            </w:r>
            <w:r w:rsidR="006F5E00" w:rsidRPr="00E73D94">
              <w:rPr>
                <w:rFonts w:ascii="Times New Roman" w:hAnsi="Times New Roman" w:cs="Times New Roman"/>
                <w:color w:val="0D0D0D" w:themeColor="text1" w:themeTint="F2"/>
                <w:sz w:val="24"/>
                <w:szCs w:val="24"/>
                <w:lang w:val="lv-LV"/>
              </w:rPr>
              <w:t xml:space="preserve">sadarbības </w:t>
            </w:r>
            <w:r w:rsidR="0058485D" w:rsidRPr="00E73D94">
              <w:rPr>
                <w:rFonts w:ascii="Times New Roman" w:hAnsi="Times New Roman" w:cs="Times New Roman"/>
                <w:color w:val="0D0D0D" w:themeColor="text1" w:themeTint="F2"/>
                <w:sz w:val="24"/>
                <w:szCs w:val="24"/>
                <w:lang w:val="lv-LV"/>
              </w:rPr>
              <w:t xml:space="preserve">pasākumu </w:t>
            </w:r>
            <w:r w:rsidR="006F5E00" w:rsidRPr="00E73D94">
              <w:rPr>
                <w:rFonts w:ascii="Times New Roman" w:hAnsi="Times New Roman" w:cs="Times New Roman"/>
                <w:color w:val="0D0D0D" w:themeColor="text1" w:themeTint="F2"/>
                <w:sz w:val="24"/>
                <w:szCs w:val="24"/>
                <w:lang w:val="lv-LV"/>
              </w:rPr>
              <w:t xml:space="preserve">efektīvas </w:t>
            </w:r>
            <w:r w:rsidR="0058485D" w:rsidRPr="00E73D94">
              <w:rPr>
                <w:rFonts w:ascii="Times New Roman" w:hAnsi="Times New Roman" w:cs="Times New Roman"/>
                <w:color w:val="0D0D0D" w:themeColor="text1" w:themeTint="F2"/>
                <w:sz w:val="24"/>
                <w:szCs w:val="24"/>
                <w:lang w:val="lv-LV"/>
              </w:rPr>
              <w:t>izpild</w:t>
            </w:r>
            <w:r w:rsidR="006F5E00" w:rsidRPr="00E73D94">
              <w:rPr>
                <w:rFonts w:ascii="Times New Roman" w:hAnsi="Times New Roman" w:cs="Times New Roman"/>
                <w:color w:val="0D0D0D" w:themeColor="text1" w:themeTint="F2"/>
                <w:sz w:val="24"/>
                <w:szCs w:val="24"/>
                <w:lang w:val="lv-LV"/>
              </w:rPr>
              <w:t>es īstenošanai nacionāl</w:t>
            </w:r>
            <w:r w:rsidR="00A736A1" w:rsidRPr="00E73D94">
              <w:rPr>
                <w:rFonts w:ascii="Times New Roman" w:hAnsi="Times New Roman" w:cs="Times New Roman"/>
                <w:color w:val="0D0D0D" w:themeColor="text1" w:themeTint="F2"/>
                <w:sz w:val="24"/>
                <w:szCs w:val="24"/>
                <w:lang w:val="lv-LV"/>
              </w:rPr>
              <w:t>ā</w:t>
            </w:r>
            <w:r w:rsidR="006F5E00" w:rsidRPr="00E73D94">
              <w:rPr>
                <w:rFonts w:ascii="Times New Roman" w:hAnsi="Times New Roman" w:cs="Times New Roman"/>
                <w:color w:val="0D0D0D" w:themeColor="text1" w:themeTint="F2"/>
                <w:sz w:val="24"/>
                <w:szCs w:val="24"/>
                <w:lang w:val="lv-LV"/>
              </w:rPr>
              <w:t xml:space="preserve"> </w:t>
            </w:r>
            <w:r w:rsidR="0058485D" w:rsidRPr="00E73D94">
              <w:rPr>
                <w:rFonts w:ascii="Times New Roman" w:hAnsi="Times New Roman" w:cs="Times New Roman"/>
                <w:color w:val="0D0D0D" w:themeColor="text1" w:themeTint="F2"/>
                <w:sz w:val="24"/>
                <w:szCs w:val="24"/>
                <w:lang w:val="lv-LV"/>
              </w:rPr>
              <w:t>konkurences iestād</w:t>
            </w:r>
            <w:r w:rsidR="00A736A1" w:rsidRPr="00E73D94">
              <w:rPr>
                <w:rFonts w:ascii="Times New Roman" w:hAnsi="Times New Roman" w:cs="Times New Roman"/>
                <w:color w:val="0D0D0D" w:themeColor="text1" w:themeTint="F2"/>
                <w:sz w:val="24"/>
                <w:szCs w:val="24"/>
                <w:lang w:val="lv-LV"/>
              </w:rPr>
              <w:t>e</w:t>
            </w:r>
            <w:r w:rsidR="006F5E00" w:rsidRPr="00E73D94">
              <w:rPr>
                <w:rFonts w:ascii="Times New Roman" w:hAnsi="Times New Roman" w:cs="Times New Roman"/>
                <w:color w:val="0D0D0D" w:themeColor="text1" w:themeTint="F2"/>
                <w:sz w:val="24"/>
                <w:szCs w:val="24"/>
                <w:lang w:val="lv-LV"/>
              </w:rPr>
              <w:t xml:space="preserve"> </w:t>
            </w:r>
            <w:r w:rsidR="00A736A1" w:rsidRPr="00E73D94">
              <w:rPr>
                <w:rFonts w:ascii="Times New Roman" w:hAnsi="Times New Roman" w:cs="Times New Roman"/>
                <w:color w:val="0D0D0D" w:themeColor="text1" w:themeTint="F2"/>
                <w:sz w:val="24"/>
                <w:szCs w:val="24"/>
                <w:lang w:val="lv-LV"/>
              </w:rPr>
              <w:t xml:space="preserve">ir jānodrošina </w:t>
            </w:r>
            <w:r w:rsidR="006F5E00" w:rsidRPr="00E73D94">
              <w:rPr>
                <w:rFonts w:ascii="Times New Roman" w:hAnsi="Times New Roman" w:cs="Times New Roman"/>
                <w:color w:val="0D0D0D" w:themeColor="text1" w:themeTint="F2"/>
                <w:sz w:val="24"/>
                <w:szCs w:val="24"/>
                <w:lang w:val="lv-LV"/>
              </w:rPr>
              <w:t>ar</w:t>
            </w:r>
            <w:r w:rsidR="0058485D" w:rsidRPr="00E73D94">
              <w:rPr>
                <w:rFonts w:ascii="Times New Roman" w:hAnsi="Times New Roman" w:cs="Times New Roman"/>
                <w:color w:val="0D0D0D" w:themeColor="text1" w:themeTint="F2"/>
                <w:sz w:val="24"/>
                <w:szCs w:val="24"/>
                <w:lang w:val="lv-LV"/>
              </w:rPr>
              <w:t xml:space="preserve"> pietiekam</w:t>
            </w:r>
            <w:r w:rsidR="006F5E00" w:rsidRPr="00E73D94">
              <w:rPr>
                <w:rFonts w:ascii="Times New Roman" w:hAnsi="Times New Roman" w:cs="Times New Roman"/>
                <w:color w:val="0D0D0D" w:themeColor="text1" w:themeTint="F2"/>
                <w:sz w:val="24"/>
                <w:szCs w:val="24"/>
                <w:lang w:val="lv-LV"/>
              </w:rPr>
              <w:t>iem</w:t>
            </w:r>
            <w:r w:rsidR="0058485D" w:rsidRPr="00E73D94">
              <w:rPr>
                <w:rFonts w:ascii="Times New Roman" w:hAnsi="Times New Roman" w:cs="Times New Roman"/>
                <w:color w:val="0D0D0D" w:themeColor="text1" w:themeTint="F2"/>
                <w:sz w:val="24"/>
                <w:szCs w:val="24"/>
                <w:lang w:val="lv-LV"/>
              </w:rPr>
              <w:t xml:space="preserve"> tehnisk</w:t>
            </w:r>
            <w:r w:rsidR="006F5E00" w:rsidRPr="00E73D94">
              <w:rPr>
                <w:rFonts w:ascii="Times New Roman" w:hAnsi="Times New Roman" w:cs="Times New Roman"/>
                <w:color w:val="0D0D0D" w:themeColor="text1" w:themeTint="F2"/>
                <w:sz w:val="24"/>
                <w:szCs w:val="24"/>
                <w:lang w:val="lv-LV"/>
              </w:rPr>
              <w:t>ajiem</w:t>
            </w:r>
            <w:r w:rsidR="0058485D" w:rsidRPr="00E73D94">
              <w:rPr>
                <w:rFonts w:ascii="Times New Roman" w:hAnsi="Times New Roman" w:cs="Times New Roman"/>
                <w:color w:val="0D0D0D" w:themeColor="text1" w:themeTint="F2"/>
                <w:sz w:val="24"/>
                <w:szCs w:val="24"/>
                <w:lang w:val="lv-LV"/>
              </w:rPr>
              <w:t xml:space="preserve"> un cilvēkresurs</w:t>
            </w:r>
            <w:r w:rsidR="006F5E00" w:rsidRPr="00E73D94">
              <w:rPr>
                <w:rFonts w:ascii="Times New Roman" w:hAnsi="Times New Roman" w:cs="Times New Roman"/>
                <w:color w:val="0D0D0D" w:themeColor="text1" w:themeTint="F2"/>
                <w:sz w:val="24"/>
                <w:szCs w:val="24"/>
                <w:lang w:val="lv-LV"/>
              </w:rPr>
              <w:t>iem</w:t>
            </w:r>
            <w:r w:rsidR="0058485D" w:rsidRPr="00E73D94">
              <w:rPr>
                <w:rFonts w:ascii="Times New Roman" w:hAnsi="Times New Roman" w:cs="Times New Roman"/>
                <w:color w:val="0D0D0D" w:themeColor="text1" w:themeTint="F2"/>
                <w:sz w:val="24"/>
                <w:szCs w:val="24"/>
                <w:lang w:val="lv-LV"/>
              </w:rPr>
              <w:t>.</w:t>
            </w:r>
          </w:p>
          <w:p w14:paraId="0C32499D" w14:textId="4E354296" w:rsidR="00A7105B" w:rsidRPr="00E73D94" w:rsidRDefault="00A7105B" w:rsidP="009614EB">
            <w:pPr>
              <w:pStyle w:val="ListParagraph"/>
              <w:numPr>
                <w:ilvl w:val="0"/>
                <w:numId w:val="15"/>
              </w:numPr>
              <w:spacing w:after="120" w:line="240" w:lineRule="auto"/>
              <w:ind w:left="714" w:hanging="357"/>
              <w:contextualSpacing w:val="0"/>
              <w:jc w:val="both"/>
              <w:rPr>
                <w:rFonts w:ascii="Times New Roman" w:hAnsi="Times New Roman" w:cs="Times New Roman"/>
                <w:color w:val="0D0D0D" w:themeColor="text1" w:themeTint="F2"/>
                <w:sz w:val="24"/>
                <w:szCs w:val="24"/>
              </w:rPr>
            </w:pPr>
            <w:r w:rsidRPr="00E73D94">
              <w:rPr>
                <w:rFonts w:ascii="Times New Roman" w:hAnsi="Times New Roman" w:cs="Times New Roman"/>
                <w:b/>
                <w:bCs/>
                <w:color w:val="0D0D0D" w:themeColor="text1" w:themeTint="F2"/>
                <w:sz w:val="24"/>
                <w:szCs w:val="24"/>
              </w:rPr>
              <w:t>Pagaidu noregulējuma piemērošana, atbildības noteikšana, pārsūdzēšana</w:t>
            </w:r>
          </w:p>
          <w:p w14:paraId="06CB9D79" w14:textId="25F45E2F" w:rsidR="007B0BDD" w:rsidRPr="00E73D94" w:rsidRDefault="009906BE" w:rsidP="009614EB">
            <w:pPr>
              <w:spacing w:after="120" w:line="240" w:lineRule="auto"/>
              <w:jc w:val="both"/>
              <w:rPr>
                <w:rFonts w:ascii="Times New Roman" w:hAnsi="Times New Roman" w:cs="Times New Roman"/>
                <w:color w:val="0D0D0D" w:themeColor="text1" w:themeTint="F2"/>
                <w:sz w:val="24"/>
                <w:szCs w:val="24"/>
                <w:lang w:val="lv-LV"/>
              </w:rPr>
            </w:pPr>
            <w:r w:rsidRPr="00E73D94">
              <w:rPr>
                <w:rFonts w:ascii="Times New Roman" w:hAnsi="Times New Roman" w:cs="Times New Roman"/>
                <w:color w:val="0D0D0D" w:themeColor="text1" w:themeTint="F2"/>
                <w:sz w:val="24"/>
                <w:szCs w:val="24"/>
                <w:lang w:val="lv-LV"/>
              </w:rPr>
              <w:t>Likums</w:t>
            </w:r>
            <w:r w:rsidR="007B0BDD" w:rsidRPr="00E73D94">
              <w:rPr>
                <w:rFonts w:ascii="Times New Roman" w:hAnsi="Times New Roman" w:cs="Times New Roman"/>
                <w:color w:val="0D0D0D" w:themeColor="text1" w:themeTint="F2"/>
                <w:sz w:val="24"/>
                <w:szCs w:val="24"/>
                <w:lang w:val="lv-LV"/>
              </w:rPr>
              <w:t xml:space="preserve"> šobrīd neparedz atbildību tirgus dalībniekam, kas nepilda KP lēmumā par pagaidu noregulējumu noteiktos tiesiskos pienākumus. Tas var samazināt šādu tiesisko pienākumu efektivitāti. Direktīvas preambulas 41.</w:t>
            </w:r>
            <w:r w:rsidR="00A03A8F" w:rsidRPr="00E73D94">
              <w:rPr>
                <w:rFonts w:ascii="Times New Roman" w:hAnsi="Times New Roman" w:cs="Times New Roman"/>
                <w:color w:val="0D0D0D" w:themeColor="text1" w:themeTint="F2"/>
                <w:sz w:val="24"/>
                <w:szCs w:val="24"/>
                <w:lang w:val="lv-LV"/>
              </w:rPr>
              <w:t>apsvērums</w:t>
            </w:r>
            <w:r w:rsidR="007B0BDD" w:rsidRPr="00E73D94">
              <w:rPr>
                <w:rFonts w:ascii="Times New Roman" w:hAnsi="Times New Roman" w:cs="Times New Roman"/>
                <w:color w:val="0D0D0D" w:themeColor="text1" w:themeTint="F2"/>
                <w:sz w:val="24"/>
                <w:szCs w:val="24"/>
                <w:lang w:val="lv-LV"/>
              </w:rPr>
              <w:t xml:space="preserve">, 13.panta 2.punkta f) apakšpunkts nosaka dalībvalstu pienākumu piešķirt pilnvaras konkurences iestādēm uzlikt naudas sodus, ja lēmumi par pagaidu noregulējuma pasākumu noteikšanu, ar kuriem uzņēmumiem vai to apvienībām uzlikti tiesiskie pienākumi, netiek pildīti. Līdz ar to atbilstoši Direktīvas prasībām </w:t>
            </w:r>
            <w:r w:rsidR="009A032E" w:rsidRPr="00E73D94">
              <w:rPr>
                <w:rFonts w:ascii="Times New Roman" w:hAnsi="Times New Roman" w:cs="Times New Roman"/>
                <w:color w:val="0D0D0D" w:themeColor="text1" w:themeTint="F2"/>
                <w:sz w:val="24"/>
                <w:szCs w:val="24"/>
                <w:lang w:val="lv-LV"/>
              </w:rPr>
              <w:t>L</w:t>
            </w:r>
            <w:r w:rsidR="007B0BDD" w:rsidRPr="00E73D94">
              <w:rPr>
                <w:rFonts w:ascii="Times New Roman" w:hAnsi="Times New Roman" w:cs="Times New Roman"/>
                <w:color w:val="0D0D0D" w:themeColor="text1" w:themeTint="F2"/>
                <w:sz w:val="24"/>
                <w:szCs w:val="24"/>
                <w:lang w:val="lv-LV"/>
              </w:rPr>
              <w:t>ikumprojektā nepieciešams noteikt efektīvus naudas sodus tirgus dalībniekiem un to apvienībām, ja tiesiskie pienākumi, kuri tirgus dalībniekam vai to apvienībām uzlikti ar lēmumu par pagaidu noregulējuma pasākumu noteikšanu, netiek pildīti</w:t>
            </w:r>
            <w:r w:rsidR="00A03A8F" w:rsidRPr="00E73D94">
              <w:rPr>
                <w:rFonts w:ascii="Times New Roman" w:hAnsi="Times New Roman" w:cs="Times New Roman"/>
                <w:color w:val="0D0D0D" w:themeColor="text1" w:themeTint="F2"/>
                <w:sz w:val="24"/>
                <w:szCs w:val="24"/>
                <w:lang w:val="lv-LV"/>
              </w:rPr>
              <w:t xml:space="preserve"> (Likuma 30.panta piektā daļa)</w:t>
            </w:r>
            <w:r w:rsidR="007B0BDD" w:rsidRPr="00E73D94">
              <w:rPr>
                <w:rFonts w:ascii="Times New Roman" w:hAnsi="Times New Roman" w:cs="Times New Roman"/>
                <w:color w:val="0D0D0D" w:themeColor="text1" w:themeTint="F2"/>
                <w:sz w:val="24"/>
                <w:szCs w:val="24"/>
                <w:lang w:val="lv-LV"/>
              </w:rPr>
              <w:t>.</w:t>
            </w:r>
          </w:p>
          <w:p w14:paraId="4C64DBA9" w14:textId="40B6F227" w:rsidR="007B0BDD" w:rsidRPr="00E73D94" w:rsidRDefault="009906BE" w:rsidP="009614EB">
            <w:pPr>
              <w:pStyle w:val="tv213"/>
              <w:shd w:val="clear" w:color="auto" w:fill="FFFFFF"/>
              <w:spacing w:before="0" w:beforeAutospacing="0" w:after="120" w:afterAutospacing="0"/>
              <w:jc w:val="both"/>
              <w:rPr>
                <w:color w:val="0D0D0D" w:themeColor="text1" w:themeTint="F2"/>
                <w:lang w:val="lv-LV"/>
              </w:rPr>
            </w:pPr>
            <w:r w:rsidRPr="00E73D94">
              <w:rPr>
                <w:color w:val="0D0D0D" w:themeColor="text1" w:themeTint="F2"/>
                <w:lang w:val="lv-LV"/>
              </w:rPr>
              <w:t>Likums</w:t>
            </w:r>
            <w:r w:rsidR="007B0BDD" w:rsidRPr="00E73D94">
              <w:rPr>
                <w:color w:val="0D0D0D" w:themeColor="text1" w:themeTint="F2"/>
                <w:lang w:val="lv-LV"/>
              </w:rPr>
              <w:t xml:space="preserve"> nosaka paātrinātu lēmuma par pagaidu noregulējuma piemērošanu pārsūdzības procedūru, nosakot konkrētu termiņu, kādā tiesa izskata lēmumu par pagaidu noregulējumu. Tajā pašā laikā likums precīzi neatrunā, vai KP lēmuma par pagaidu noregulējumu izskatīšanas termiņš ir arī tiesas lēmuma pieņemšanas termiņš. Līdz ar to </w:t>
            </w:r>
            <w:r w:rsidR="009A032E" w:rsidRPr="00E73D94">
              <w:rPr>
                <w:color w:val="0D0D0D" w:themeColor="text1" w:themeTint="F2"/>
                <w:lang w:val="lv-LV"/>
              </w:rPr>
              <w:t>L</w:t>
            </w:r>
            <w:r w:rsidR="007B0BDD" w:rsidRPr="00E73D94">
              <w:rPr>
                <w:color w:val="0D0D0D" w:themeColor="text1" w:themeTint="F2"/>
                <w:lang w:val="lv-LV"/>
              </w:rPr>
              <w:t xml:space="preserve">ikumprojekts paredz precizēt, ka tiesa izskata pieteikumu par </w:t>
            </w:r>
            <w:r w:rsidR="007B0BDD" w:rsidRPr="00E73D94">
              <w:rPr>
                <w:color w:val="0D0D0D" w:themeColor="text1" w:themeTint="F2"/>
                <w:lang w:val="lv-LV"/>
              </w:rPr>
              <w:lastRenderedPageBreak/>
              <w:t>lēmumu par pagaidu noregulējumu un pieņem lēmumu 14 dienu laikā</w:t>
            </w:r>
            <w:r w:rsidR="00A03A8F" w:rsidRPr="00E73D94">
              <w:rPr>
                <w:color w:val="0D0D0D" w:themeColor="text1" w:themeTint="F2"/>
                <w:lang w:val="lv-LV"/>
              </w:rPr>
              <w:t xml:space="preserve"> (Likuma 31.panta pirmā daļa)</w:t>
            </w:r>
            <w:r w:rsidR="007B0BDD" w:rsidRPr="00E73D94">
              <w:rPr>
                <w:color w:val="0D0D0D" w:themeColor="text1" w:themeTint="F2"/>
                <w:lang w:val="lv-LV"/>
              </w:rPr>
              <w:t>.</w:t>
            </w:r>
          </w:p>
          <w:p w14:paraId="544BBEC8" w14:textId="2BB21B60" w:rsidR="007B0BDD" w:rsidRPr="00E73D94" w:rsidRDefault="009906BE" w:rsidP="009614EB">
            <w:pPr>
              <w:pStyle w:val="tv213"/>
              <w:shd w:val="clear" w:color="auto" w:fill="FFFFFF"/>
              <w:spacing w:before="0" w:beforeAutospacing="0" w:after="120" w:afterAutospacing="0"/>
              <w:jc w:val="both"/>
              <w:rPr>
                <w:color w:val="0D0D0D" w:themeColor="text1" w:themeTint="F2"/>
                <w:lang w:val="lv-LV"/>
              </w:rPr>
            </w:pPr>
            <w:r w:rsidRPr="00E73D94">
              <w:rPr>
                <w:color w:val="0D0D0D" w:themeColor="text1" w:themeTint="F2"/>
                <w:lang w:val="lv-LV"/>
              </w:rPr>
              <w:t>Likuma</w:t>
            </w:r>
            <w:r w:rsidR="007B0BDD" w:rsidRPr="00E73D94">
              <w:rPr>
                <w:color w:val="0D0D0D" w:themeColor="text1" w:themeTint="F2"/>
                <w:lang w:val="lv-LV"/>
              </w:rPr>
              <w:t xml:space="preserve"> 31.panta otrā daļa paredz, ka lēmuma par pagaidu noregulējumu pārsūdzēšana neaptur pagaidu noregulējuma spēkā esamību un izpildi. Vienlaikus ne </w:t>
            </w:r>
            <w:r w:rsidRPr="00E73D94">
              <w:rPr>
                <w:color w:val="0D0D0D" w:themeColor="text1" w:themeTint="F2"/>
                <w:lang w:val="lv-LV"/>
              </w:rPr>
              <w:t>Likums</w:t>
            </w:r>
            <w:r w:rsidR="007B0BDD" w:rsidRPr="00E73D94">
              <w:rPr>
                <w:color w:val="0D0D0D" w:themeColor="text1" w:themeTint="F2"/>
                <w:lang w:val="lv-LV"/>
              </w:rPr>
              <w:t xml:space="preserve">, ne Administratīvā procesa likums skaidri nenosaka, vai persona, attiecībā uz kuru izdots pagaidu noregulējums, var lūgt pagaidu aizsardzību par KP lēmumu par pagaidu noregulējumu. Pagaidu noregulējums pats par sevi ir izņēmuma līdzeklis, lai novērstu tūlītēju būtisku un neatgriezenisku kaitējumu konkurencei, kamēr konkurences tiesību iespējamā pārkāpuma lieta tiek izmeklēta. Šī iemesla dēļ </w:t>
            </w:r>
            <w:r w:rsidRPr="00E73D94">
              <w:rPr>
                <w:color w:val="0D0D0D" w:themeColor="text1" w:themeTint="F2"/>
                <w:lang w:val="lv-LV"/>
              </w:rPr>
              <w:t>Likumā</w:t>
            </w:r>
            <w:r w:rsidR="007B0BDD" w:rsidRPr="00E73D94">
              <w:rPr>
                <w:color w:val="0D0D0D" w:themeColor="text1" w:themeTint="F2"/>
                <w:lang w:val="lv-LV"/>
              </w:rPr>
              <w:t xml:space="preserve"> jau ir paredzēta šī līdzekļa paātrināta tiesas kontroles procedūra. Līdz ar to līdztekus jau esošai paātrinātai tiesas kontroles procedūrai nav pamatoti piemērot citu paātrinātu tiesas kontroles procedūru ar pagaidu raksturu, novēršot situāciju, kad pagaidu aizsardzības līdzeklis tiek piemērots pret pagaidu noregulējumu, kura mērķis jau ir novērst tūlītēju būtisku un neatgriezenisku kaitējumu konkurencei. Tādējādi </w:t>
            </w:r>
            <w:r w:rsidR="009A032E" w:rsidRPr="00E73D94">
              <w:rPr>
                <w:color w:val="0D0D0D" w:themeColor="text1" w:themeTint="F2"/>
                <w:lang w:val="lv-LV"/>
              </w:rPr>
              <w:t>L</w:t>
            </w:r>
            <w:r w:rsidR="007B0BDD" w:rsidRPr="00E73D94">
              <w:rPr>
                <w:color w:val="0D0D0D" w:themeColor="text1" w:themeTint="F2"/>
                <w:lang w:val="lv-LV"/>
              </w:rPr>
              <w:t>ikumprojekts paredz noteikt, ka lūgums par pagaidu aizsardzību par lēmumu par pagaidu noregulējumu nav pieļaujams</w:t>
            </w:r>
            <w:r w:rsidR="00A03A8F" w:rsidRPr="00E73D94">
              <w:rPr>
                <w:color w:val="0D0D0D" w:themeColor="text1" w:themeTint="F2"/>
                <w:lang w:val="lv-LV"/>
              </w:rPr>
              <w:t xml:space="preserve"> (Likuma 31.panta otrā daļa)</w:t>
            </w:r>
            <w:r w:rsidR="007B0BDD" w:rsidRPr="00E73D94">
              <w:rPr>
                <w:color w:val="0D0D0D" w:themeColor="text1" w:themeTint="F2"/>
                <w:lang w:val="lv-LV"/>
              </w:rPr>
              <w:t>.</w:t>
            </w:r>
          </w:p>
          <w:p w14:paraId="48795CC9" w14:textId="6E205B27" w:rsidR="007B0BDD" w:rsidRPr="00E73D94" w:rsidRDefault="00A7105B" w:rsidP="009614EB">
            <w:pPr>
              <w:pStyle w:val="tv213"/>
              <w:shd w:val="clear" w:color="auto" w:fill="FFFFFF"/>
              <w:spacing w:before="0" w:beforeAutospacing="0" w:after="120" w:afterAutospacing="0"/>
              <w:jc w:val="both"/>
              <w:rPr>
                <w:color w:val="0D0D0D" w:themeColor="text1" w:themeTint="F2"/>
                <w:shd w:val="clear" w:color="auto" w:fill="FFFFFF"/>
                <w:lang w:val="lv-LV"/>
              </w:rPr>
            </w:pPr>
            <w:r w:rsidRPr="00E73D94">
              <w:rPr>
                <w:color w:val="0D0D0D" w:themeColor="text1" w:themeTint="F2"/>
                <w:lang w:val="lv-LV"/>
              </w:rPr>
              <w:t xml:space="preserve">Tā kā Direktīvas </w:t>
            </w:r>
            <w:r w:rsidRPr="00E73D94">
              <w:rPr>
                <w:color w:val="0D0D0D" w:themeColor="text1" w:themeTint="F2"/>
                <w:shd w:val="clear" w:color="auto" w:fill="FFFFFF"/>
                <w:lang w:val="lv-LV"/>
              </w:rPr>
              <w:t>11.panta (Pagaidu noregulējuma pasākumi) pirmajā daļā paredzēts, ka lēmums par pagaidu noregulējum</w:t>
            </w:r>
            <w:r w:rsidR="00575B08" w:rsidRPr="00E73D94">
              <w:rPr>
                <w:color w:val="0D0D0D" w:themeColor="text1" w:themeTint="F2"/>
                <w:shd w:val="clear" w:color="auto" w:fill="FFFFFF"/>
                <w:lang w:val="lv-LV"/>
              </w:rPr>
              <w:t>u</w:t>
            </w:r>
            <w:r w:rsidRPr="00E73D94">
              <w:rPr>
                <w:color w:val="0D0D0D" w:themeColor="text1" w:themeTint="F2"/>
                <w:shd w:val="clear" w:color="auto" w:fill="FFFFFF"/>
                <w:lang w:val="lv-LV"/>
              </w:rPr>
              <w:t xml:space="preserve"> ir piemērojams līdz konkurences iestādes galīgā lēmuma pieņemšanai, tiek </w:t>
            </w:r>
            <w:r w:rsidR="0030092D">
              <w:rPr>
                <w:color w:val="0D0D0D" w:themeColor="text1" w:themeTint="F2"/>
                <w:shd w:val="clear" w:color="auto" w:fill="FFFFFF"/>
                <w:lang w:val="lv-LV"/>
              </w:rPr>
              <w:t>sistēmiski</w:t>
            </w:r>
            <w:r w:rsidR="000A4941">
              <w:rPr>
                <w:color w:val="0D0D0D" w:themeColor="text1" w:themeTint="F2"/>
                <w:shd w:val="clear" w:color="auto" w:fill="FFFFFF"/>
                <w:lang w:val="lv-LV"/>
              </w:rPr>
              <w:t xml:space="preserve"> </w:t>
            </w:r>
            <w:r w:rsidRPr="00E73D94">
              <w:rPr>
                <w:color w:val="0D0D0D" w:themeColor="text1" w:themeTint="F2"/>
                <w:shd w:val="clear" w:color="auto" w:fill="FFFFFF"/>
                <w:lang w:val="lv-LV"/>
              </w:rPr>
              <w:t>precizēta</w:t>
            </w:r>
            <w:r w:rsidR="00A03A8F" w:rsidRPr="00E73D94">
              <w:rPr>
                <w:color w:val="0D0D0D" w:themeColor="text1" w:themeTint="F2"/>
                <w:shd w:val="clear" w:color="auto" w:fill="FFFFFF"/>
                <w:lang w:val="lv-LV"/>
              </w:rPr>
              <w:t xml:space="preserve"> arī</w:t>
            </w:r>
            <w:r w:rsidRPr="00E73D94">
              <w:rPr>
                <w:color w:val="0D0D0D" w:themeColor="text1" w:themeTint="F2"/>
                <w:shd w:val="clear" w:color="auto" w:fill="FFFFFF"/>
                <w:lang w:val="lv-LV"/>
              </w:rPr>
              <w:t xml:space="preserve"> </w:t>
            </w:r>
            <w:r w:rsidR="009906BE" w:rsidRPr="00E73D94">
              <w:rPr>
                <w:color w:val="0D0D0D" w:themeColor="text1" w:themeTint="F2"/>
                <w:shd w:val="clear" w:color="auto" w:fill="FFFFFF"/>
                <w:lang w:val="lv-LV"/>
              </w:rPr>
              <w:t>Likuma</w:t>
            </w:r>
            <w:r w:rsidRPr="00E73D94">
              <w:rPr>
                <w:color w:val="0D0D0D" w:themeColor="text1" w:themeTint="F2"/>
                <w:shd w:val="clear" w:color="auto" w:fill="FFFFFF"/>
                <w:lang w:val="lv-LV"/>
              </w:rPr>
              <w:t xml:space="preserve"> 30.panta ceturtā daļa. </w:t>
            </w:r>
          </w:p>
        </w:tc>
      </w:tr>
      <w:tr w:rsidR="007413D6" w:rsidRPr="00587EA7" w14:paraId="5DA2473B" w14:textId="77777777" w:rsidTr="002447DF">
        <w:trPr>
          <w:trHeight w:val="650"/>
        </w:trPr>
        <w:tc>
          <w:tcPr>
            <w:tcW w:w="459" w:type="dxa"/>
          </w:tcPr>
          <w:p w14:paraId="7D81AC98"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lastRenderedPageBreak/>
              <w:t>3.</w:t>
            </w:r>
          </w:p>
        </w:tc>
        <w:tc>
          <w:tcPr>
            <w:tcW w:w="2665" w:type="dxa"/>
          </w:tcPr>
          <w:p w14:paraId="72C72E70" w14:textId="77777777" w:rsidR="001E4601" w:rsidRPr="00587EA7" w:rsidRDefault="001E4601" w:rsidP="001E4601">
            <w:pPr>
              <w:pStyle w:val="naiskr"/>
              <w:spacing w:before="0" w:after="0"/>
              <w:ind w:right="182"/>
              <w:jc w:val="both"/>
              <w:rPr>
                <w:color w:val="0D0D0D" w:themeColor="text1" w:themeTint="F2"/>
              </w:rPr>
            </w:pPr>
            <w:r w:rsidRPr="00587EA7">
              <w:rPr>
                <w:color w:val="0D0D0D" w:themeColor="text1" w:themeTint="F2"/>
              </w:rPr>
              <w:t>Projekta izstrādē iesaistītās institūcijas</w:t>
            </w:r>
          </w:p>
        </w:tc>
        <w:tc>
          <w:tcPr>
            <w:tcW w:w="6601" w:type="dxa"/>
          </w:tcPr>
          <w:p w14:paraId="5E4D7C31" w14:textId="2A2DEA25" w:rsidR="001E4601" w:rsidRPr="00587EA7" w:rsidRDefault="007413D6" w:rsidP="001E4601">
            <w:pPr>
              <w:jc w:val="both"/>
              <w:rPr>
                <w:rFonts w:ascii="Times New Roman" w:hAnsi="Times New Roman" w:cs="Times New Roman"/>
                <w:color w:val="0D0D0D" w:themeColor="text1" w:themeTint="F2"/>
                <w:sz w:val="24"/>
                <w:szCs w:val="24"/>
                <w:lang w:val="lv-LV"/>
              </w:rPr>
            </w:pPr>
            <w:r w:rsidRPr="00587EA7">
              <w:rPr>
                <w:rFonts w:ascii="Times New Roman" w:hAnsi="Times New Roman" w:cs="Times New Roman"/>
                <w:color w:val="0D0D0D" w:themeColor="text1" w:themeTint="F2"/>
                <w:sz w:val="24"/>
                <w:szCs w:val="24"/>
                <w:lang w:val="lv-LV"/>
              </w:rPr>
              <w:t>K</w:t>
            </w:r>
            <w:r w:rsidR="00853A4D">
              <w:rPr>
                <w:rFonts w:ascii="Times New Roman" w:hAnsi="Times New Roman" w:cs="Times New Roman"/>
                <w:color w:val="0D0D0D" w:themeColor="text1" w:themeTint="F2"/>
                <w:sz w:val="24"/>
                <w:szCs w:val="24"/>
                <w:lang w:val="lv-LV"/>
              </w:rPr>
              <w:t>P</w:t>
            </w:r>
          </w:p>
        </w:tc>
      </w:tr>
      <w:tr w:rsidR="001E4601" w:rsidRPr="00587EA7" w14:paraId="0F814CD3" w14:textId="77777777" w:rsidTr="001E4601">
        <w:trPr>
          <w:trHeight w:val="384"/>
        </w:trPr>
        <w:tc>
          <w:tcPr>
            <w:tcW w:w="459" w:type="dxa"/>
          </w:tcPr>
          <w:p w14:paraId="35937DB2"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4.</w:t>
            </w:r>
          </w:p>
        </w:tc>
        <w:tc>
          <w:tcPr>
            <w:tcW w:w="2665" w:type="dxa"/>
          </w:tcPr>
          <w:p w14:paraId="7649F8A4"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Cita informācija</w:t>
            </w:r>
          </w:p>
        </w:tc>
        <w:tc>
          <w:tcPr>
            <w:tcW w:w="6601" w:type="dxa"/>
          </w:tcPr>
          <w:p w14:paraId="0ED4A9C3" w14:textId="51AF23FA" w:rsidR="001E4601" w:rsidRPr="00587EA7" w:rsidRDefault="001E4601" w:rsidP="001E4601">
            <w:pPr>
              <w:jc w:val="both"/>
              <w:rPr>
                <w:rFonts w:ascii="Times New Roman" w:hAnsi="Times New Roman" w:cs="Times New Roman"/>
                <w:bCs/>
                <w:color w:val="0D0D0D" w:themeColor="text1" w:themeTint="F2"/>
                <w:sz w:val="24"/>
                <w:szCs w:val="24"/>
                <w:lang w:val="lv-LV"/>
              </w:rPr>
            </w:pPr>
            <w:r w:rsidRPr="00587EA7">
              <w:rPr>
                <w:rFonts w:ascii="Times New Roman" w:hAnsi="Times New Roman" w:cs="Times New Roman"/>
                <w:bCs/>
                <w:color w:val="0D0D0D" w:themeColor="text1" w:themeTint="F2"/>
                <w:sz w:val="24"/>
                <w:szCs w:val="24"/>
                <w:lang w:val="lv-LV"/>
              </w:rPr>
              <w:t>Nav</w:t>
            </w:r>
          </w:p>
        </w:tc>
      </w:tr>
    </w:tbl>
    <w:p w14:paraId="5D56AD92" w14:textId="77777777" w:rsidR="002447DF" w:rsidRPr="00587EA7" w:rsidRDefault="002447DF" w:rsidP="002447DF">
      <w:pPr>
        <w:pStyle w:val="naisf"/>
        <w:spacing w:before="0" w:after="0"/>
        <w:ind w:firstLine="374"/>
        <w:rPr>
          <w:color w:val="0D0D0D" w:themeColor="text1" w:themeTint="F2"/>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77"/>
        <w:gridCol w:w="6384"/>
      </w:tblGrid>
      <w:tr w:rsidR="00587EA7" w:rsidRPr="00DA1DD3" w14:paraId="371B4E18" w14:textId="77777777" w:rsidTr="001E4601">
        <w:tc>
          <w:tcPr>
            <w:tcW w:w="9786" w:type="dxa"/>
            <w:gridSpan w:val="3"/>
            <w:vAlign w:val="center"/>
          </w:tcPr>
          <w:p w14:paraId="63546108" w14:textId="77777777" w:rsidR="001E4601" w:rsidRPr="00587EA7" w:rsidRDefault="001E4601" w:rsidP="001E4601">
            <w:pPr>
              <w:pStyle w:val="naisnod"/>
              <w:spacing w:before="0" w:after="0"/>
              <w:rPr>
                <w:color w:val="0D0D0D" w:themeColor="text1" w:themeTint="F2"/>
              </w:rPr>
            </w:pPr>
            <w:r w:rsidRPr="00587EA7">
              <w:rPr>
                <w:color w:val="0D0D0D" w:themeColor="text1" w:themeTint="F2"/>
              </w:rPr>
              <w:t>II. Tiesību akta projekta ietekme uz sabiedrību, tautsaimniecības attīstību un administratīvo slogu</w:t>
            </w:r>
          </w:p>
        </w:tc>
      </w:tr>
      <w:tr w:rsidR="00587EA7" w:rsidRPr="00DA1DD3" w14:paraId="71CA6724" w14:textId="77777777" w:rsidTr="001E4601">
        <w:trPr>
          <w:trHeight w:val="467"/>
        </w:trPr>
        <w:tc>
          <w:tcPr>
            <w:tcW w:w="425" w:type="dxa"/>
          </w:tcPr>
          <w:p w14:paraId="2D8FAE8F"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1.</w:t>
            </w:r>
          </w:p>
          <w:p w14:paraId="7C28747E" w14:textId="77777777" w:rsidR="001E4601" w:rsidRPr="00587EA7" w:rsidRDefault="001E4601" w:rsidP="001E4601">
            <w:pPr>
              <w:pStyle w:val="naiskr"/>
              <w:spacing w:before="0" w:after="0"/>
              <w:rPr>
                <w:color w:val="0D0D0D" w:themeColor="text1" w:themeTint="F2"/>
              </w:rPr>
            </w:pPr>
          </w:p>
        </w:tc>
        <w:tc>
          <w:tcPr>
            <w:tcW w:w="2977" w:type="dxa"/>
          </w:tcPr>
          <w:p w14:paraId="370A1018" w14:textId="77777777" w:rsidR="001E4601" w:rsidRPr="00587EA7" w:rsidRDefault="001E4601" w:rsidP="001E4601">
            <w:pPr>
              <w:pStyle w:val="naiskr"/>
              <w:spacing w:before="0" w:after="0"/>
              <w:rPr>
                <w:color w:val="0D0D0D" w:themeColor="text1" w:themeTint="F2"/>
              </w:rPr>
            </w:pPr>
            <w:r w:rsidRPr="00587EA7">
              <w:rPr>
                <w:color w:val="0D0D0D" w:themeColor="text1" w:themeTint="F2"/>
              </w:rPr>
              <w:t xml:space="preserve">Sabiedrības </w:t>
            </w:r>
            <w:proofErr w:type="spellStart"/>
            <w:r w:rsidRPr="00587EA7">
              <w:rPr>
                <w:color w:val="0D0D0D" w:themeColor="text1" w:themeTint="F2"/>
              </w:rPr>
              <w:t>mērķgrupas</w:t>
            </w:r>
            <w:proofErr w:type="spellEnd"/>
            <w:r w:rsidRPr="00587EA7">
              <w:rPr>
                <w:color w:val="0D0D0D" w:themeColor="text1" w:themeTint="F2"/>
              </w:rPr>
              <w:t>, kuras tiesiskais regulējums ietekmē vai varētu ietekmēt</w:t>
            </w:r>
          </w:p>
        </w:tc>
        <w:tc>
          <w:tcPr>
            <w:tcW w:w="6384" w:type="dxa"/>
          </w:tcPr>
          <w:p w14:paraId="18182830" w14:textId="433C4A1A" w:rsidR="001E4601" w:rsidRPr="00587EA7" w:rsidRDefault="004F787F" w:rsidP="005E5041">
            <w:pPr>
              <w:pStyle w:val="naiskr"/>
              <w:spacing w:before="0" w:after="120"/>
              <w:jc w:val="both"/>
              <w:rPr>
                <w:color w:val="0D0D0D" w:themeColor="text1" w:themeTint="F2"/>
              </w:rPr>
            </w:pPr>
            <w:r w:rsidRPr="00587EA7">
              <w:rPr>
                <w:color w:val="0D0D0D" w:themeColor="text1" w:themeTint="F2"/>
                <w:shd w:val="clear" w:color="auto" w:fill="FFFFFF"/>
              </w:rPr>
              <w:t>Tirgus dalībnieki, t.i., visas personas, kas veic saimniecisko darbību un var ietekmēt konkurenci</w:t>
            </w:r>
            <w:r w:rsidR="00A03A8F" w:rsidRPr="00587EA7">
              <w:rPr>
                <w:color w:val="0D0D0D" w:themeColor="text1" w:themeTint="F2"/>
                <w:shd w:val="clear" w:color="auto" w:fill="FFFFFF"/>
              </w:rPr>
              <w:t xml:space="preserve"> un konkurences iestādes (sadarbības ietvaros).</w:t>
            </w:r>
          </w:p>
        </w:tc>
      </w:tr>
      <w:tr w:rsidR="00876E61" w:rsidRPr="00350EE2" w14:paraId="6A91E215" w14:textId="77777777" w:rsidTr="001E4601">
        <w:trPr>
          <w:trHeight w:val="523"/>
        </w:trPr>
        <w:tc>
          <w:tcPr>
            <w:tcW w:w="425" w:type="dxa"/>
          </w:tcPr>
          <w:p w14:paraId="7CE3C8A2" w14:textId="77777777" w:rsidR="001E4601" w:rsidRPr="00587EA7" w:rsidRDefault="001E4601" w:rsidP="001E4601">
            <w:pPr>
              <w:pStyle w:val="naiskr"/>
              <w:spacing w:before="0" w:after="0"/>
              <w:jc w:val="both"/>
              <w:rPr>
                <w:color w:val="0D0D0D" w:themeColor="text1" w:themeTint="F2"/>
              </w:rPr>
            </w:pPr>
            <w:r w:rsidRPr="00587EA7">
              <w:rPr>
                <w:color w:val="0D0D0D" w:themeColor="text1" w:themeTint="F2"/>
              </w:rPr>
              <w:t>2.</w:t>
            </w:r>
          </w:p>
        </w:tc>
        <w:tc>
          <w:tcPr>
            <w:tcW w:w="2977" w:type="dxa"/>
          </w:tcPr>
          <w:p w14:paraId="4994F918" w14:textId="77777777" w:rsidR="001E4601" w:rsidRPr="00587EA7" w:rsidRDefault="001E4601" w:rsidP="001E4601">
            <w:pPr>
              <w:pStyle w:val="naiskr"/>
              <w:spacing w:before="0" w:after="0"/>
              <w:jc w:val="both"/>
              <w:rPr>
                <w:color w:val="0D0D0D" w:themeColor="text1" w:themeTint="F2"/>
              </w:rPr>
            </w:pPr>
            <w:r w:rsidRPr="00587EA7">
              <w:rPr>
                <w:color w:val="0D0D0D" w:themeColor="text1" w:themeTint="F2"/>
              </w:rPr>
              <w:t>Tiesiskā regulējuma ietekme uz tautsaimniecību un administratīvo slogu</w:t>
            </w:r>
          </w:p>
        </w:tc>
        <w:tc>
          <w:tcPr>
            <w:tcW w:w="6384" w:type="dxa"/>
          </w:tcPr>
          <w:p w14:paraId="2413B821" w14:textId="28C16F1F" w:rsidR="0094146E" w:rsidRPr="00587EA7" w:rsidRDefault="0094146E" w:rsidP="005E5041">
            <w:pPr>
              <w:spacing w:after="120" w:line="240" w:lineRule="auto"/>
              <w:jc w:val="both"/>
              <w:rPr>
                <w:rFonts w:ascii="Times New Roman" w:eastAsia="Times New Roman" w:hAnsi="Times New Roman" w:cs="Times New Roman"/>
                <w:color w:val="0D0D0D" w:themeColor="text1" w:themeTint="F2"/>
                <w:sz w:val="24"/>
                <w:szCs w:val="24"/>
                <w:lang w:val="lv-LV"/>
              </w:rPr>
            </w:pPr>
            <w:r w:rsidRPr="00587EA7">
              <w:rPr>
                <w:rFonts w:ascii="Times New Roman" w:eastAsia="Times New Roman" w:hAnsi="Times New Roman" w:cs="Times New Roman"/>
                <w:color w:val="0D0D0D" w:themeColor="text1" w:themeTint="F2"/>
                <w:sz w:val="24"/>
                <w:szCs w:val="24"/>
                <w:lang w:val="lv-LV"/>
              </w:rPr>
              <w:t>K</w:t>
            </w:r>
            <w:r w:rsidR="008F17E7" w:rsidRPr="00587EA7">
              <w:rPr>
                <w:rFonts w:ascii="Times New Roman" w:eastAsia="Times New Roman" w:hAnsi="Times New Roman" w:cs="Times New Roman"/>
                <w:color w:val="0D0D0D" w:themeColor="text1" w:themeTint="F2"/>
                <w:sz w:val="24"/>
                <w:szCs w:val="24"/>
                <w:lang w:val="lv-LV"/>
              </w:rPr>
              <w:t xml:space="preserve">onkurences </w:t>
            </w:r>
            <w:r w:rsidRPr="00587EA7">
              <w:rPr>
                <w:rFonts w:ascii="Times New Roman" w:eastAsia="Times New Roman" w:hAnsi="Times New Roman" w:cs="Times New Roman"/>
                <w:color w:val="0D0D0D" w:themeColor="text1" w:themeTint="F2"/>
                <w:sz w:val="24"/>
                <w:szCs w:val="24"/>
                <w:lang w:val="lv-LV"/>
              </w:rPr>
              <w:t>iestāde, kurai piešķirtas nepieciešamās pilnvaras,  neatkarības garantijas, atbilstoši finanšu resursi, cilvēkresursi, tehniskie un tehnoloģiskie resursi spēs efektīvi un vienveidīgi piemērot Eiropas Savienības un nacionālās konkurences tiesības, sniegt pietiekamu savstarpējo palīdzību Eiropas Komisijai un citu dalībvalstu konkurences iestādēm to pilnvaru īstenošanā, nodrošinot brīvas, godīgas un vienlīdzīgas konkurences aizsardzību, saglabāšanu un attīstību visās tautsaimniecības nozarēs</w:t>
            </w:r>
            <w:r w:rsidR="00DB747C" w:rsidRPr="00587EA7">
              <w:rPr>
                <w:rFonts w:ascii="Times New Roman" w:eastAsia="Times New Roman" w:hAnsi="Times New Roman" w:cs="Times New Roman"/>
                <w:color w:val="0D0D0D" w:themeColor="text1" w:themeTint="F2"/>
                <w:sz w:val="24"/>
                <w:szCs w:val="24"/>
                <w:lang w:val="lv-LV"/>
              </w:rPr>
              <w:t xml:space="preserve"> sabiedrības interesēs.</w:t>
            </w:r>
          </w:p>
          <w:p w14:paraId="5D8B8E03" w14:textId="3B44BF24" w:rsidR="00CF28DF" w:rsidRPr="00587EA7" w:rsidRDefault="00CF28DF" w:rsidP="005E5041">
            <w:pPr>
              <w:spacing w:after="120" w:line="240" w:lineRule="auto"/>
              <w:jc w:val="both"/>
              <w:rPr>
                <w:rFonts w:ascii="Times New Roman" w:eastAsia="Times New Roman" w:hAnsi="Times New Roman" w:cs="Times New Roman"/>
                <w:color w:val="0D0D0D" w:themeColor="text1" w:themeTint="F2"/>
                <w:sz w:val="24"/>
                <w:szCs w:val="24"/>
                <w:lang w:val="lv-LV"/>
              </w:rPr>
            </w:pPr>
            <w:r w:rsidRPr="00587EA7">
              <w:rPr>
                <w:rFonts w:ascii="Times New Roman" w:hAnsi="Times New Roman" w:cs="Times New Roman"/>
                <w:color w:val="0D0D0D" w:themeColor="text1" w:themeTint="F2"/>
                <w:sz w:val="24"/>
                <w:szCs w:val="24"/>
                <w:lang w:val="lv-LV"/>
              </w:rPr>
              <w:lastRenderedPageBreak/>
              <w:t>Ievērojot to, ka konkurences tiesību pārkāpumiem nereti ir pārnacionāls raksturs un Likumprojektam paredz</w:t>
            </w:r>
            <w:r w:rsidR="002A716D" w:rsidRPr="00587EA7">
              <w:rPr>
                <w:rFonts w:ascii="Times New Roman" w:hAnsi="Times New Roman" w:cs="Times New Roman"/>
                <w:color w:val="0D0D0D" w:themeColor="text1" w:themeTint="F2"/>
                <w:sz w:val="24"/>
                <w:szCs w:val="24"/>
                <w:lang w:val="lv-LV"/>
              </w:rPr>
              <w:t>ot</w:t>
            </w:r>
            <w:r w:rsidRPr="00587EA7">
              <w:rPr>
                <w:rFonts w:ascii="Times New Roman" w:hAnsi="Times New Roman" w:cs="Times New Roman"/>
                <w:color w:val="0D0D0D" w:themeColor="text1" w:themeTint="F2"/>
                <w:sz w:val="24"/>
                <w:szCs w:val="24"/>
                <w:lang w:val="lv-LV"/>
              </w:rPr>
              <w:t xml:space="preserve"> stiprināt konkurences iestāžu  sadarbību, izmeklējot konkurences tiesību pārkāpumus, kā arī </w:t>
            </w:r>
            <w:proofErr w:type="spellStart"/>
            <w:r w:rsidRPr="00587EA7">
              <w:rPr>
                <w:rFonts w:ascii="Times New Roman" w:hAnsi="Times New Roman" w:cs="Times New Roman"/>
                <w:color w:val="0D0D0D" w:themeColor="text1" w:themeTint="F2"/>
                <w:sz w:val="24"/>
                <w:szCs w:val="24"/>
                <w:lang w:val="lv-LV"/>
              </w:rPr>
              <w:t>efektivizēt</w:t>
            </w:r>
            <w:proofErr w:type="spellEnd"/>
            <w:r w:rsidRPr="00587EA7">
              <w:rPr>
                <w:rFonts w:ascii="Times New Roman" w:hAnsi="Times New Roman" w:cs="Times New Roman"/>
                <w:color w:val="0D0D0D" w:themeColor="text1" w:themeTint="F2"/>
                <w:sz w:val="24"/>
                <w:szCs w:val="24"/>
                <w:lang w:val="lv-LV"/>
              </w:rPr>
              <w:t xml:space="preserve"> konkurences pārkāpumu novēršanu, nodrošinot proporcionālu  naudas sodu politiku Eiropas Savienības ietvaros</w:t>
            </w:r>
            <w:r w:rsidR="002A716D" w:rsidRPr="00587EA7">
              <w:rPr>
                <w:rFonts w:ascii="Times New Roman" w:hAnsi="Times New Roman" w:cs="Times New Roman"/>
                <w:color w:val="0D0D0D" w:themeColor="text1" w:themeTint="F2"/>
                <w:sz w:val="24"/>
                <w:szCs w:val="24"/>
                <w:lang w:val="lv-LV"/>
              </w:rPr>
              <w:t>, tiek veicināta konkurences tiesību pārkāpumu atklāšana un izmeklēšana.</w:t>
            </w:r>
          </w:p>
          <w:p w14:paraId="7324EC80" w14:textId="296B3D06" w:rsidR="00562C6B" w:rsidRPr="00587EA7" w:rsidRDefault="00A92DF8" w:rsidP="005E5041">
            <w:pPr>
              <w:spacing w:after="120" w:line="240" w:lineRule="auto"/>
              <w:jc w:val="both"/>
              <w:rPr>
                <w:rFonts w:ascii="Times New Roman" w:hAnsi="Times New Roman" w:cs="Times New Roman"/>
                <w:color w:val="0D0D0D" w:themeColor="text1" w:themeTint="F2"/>
                <w:sz w:val="24"/>
                <w:szCs w:val="24"/>
                <w:lang w:val="lv-LV"/>
              </w:rPr>
            </w:pPr>
            <w:r w:rsidRPr="00587EA7">
              <w:rPr>
                <w:rFonts w:ascii="Times New Roman" w:hAnsi="Times New Roman" w:cs="Times New Roman"/>
                <w:color w:val="0D0D0D" w:themeColor="text1" w:themeTint="F2"/>
                <w:sz w:val="24"/>
                <w:szCs w:val="24"/>
                <w:lang w:val="lv-LV"/>
              </w:rPr>
              <w:t>Konkurences pārkāpumu ietekme uz tautsaimniecību kopumā ir negatīva</w:t>
            </w:r>
            <w:r w:rsidR="0029395F" w:rsidRPr="00587EA7">
              <w:rPr>
                <w:rFonts w:ascii="Times New Roman" w:hAnsi="Times New Roman" w:cs="Times New Roman"/>
                <w:color w:val="0D0D0D" w:themeColor="text1" w:themeTint="F2"/>
                <w:sz w:val="24"/>
                <w:szCs w:val="24"/>
                <w:lang w:val="lv-LV"/>
              </w:rPr>
              <w:t xml:space="preserve"> </w:t>
            </w:r>
            <w:r w:rsidRPr="00587EA7">
              <w:rPr>
                <w:rFonts w:ascii="Times New Roman" w:hAnsi="Times New Roman" w:cs="Times New Roman"/>
                <w:color w:val="0D0D0D" w:themeColor="text1" w:themeTint="F2"/>
                <w:sz w:val="24"/>
                <w:szCs w:val="24"/>
                <w:lang w:val="lv-LV"/>
              </w:rPr>
              <w:t>tieša</w:t>
            </w:r>
            <w:r w:rsidR="0029395F" w:rsidRPr="00587EA7">
              <w:rPr>
                <w:rFonts w:ascii="Times New Roman" w:hAnsi="Times New Roman" w:cs="Times New Roman"/>
                <w:color w:val="0D0D0D" w:themeColor="text1" w:themeTint="F2"/>
                <w:sz w:val="24"/>
                <w:szCs w:val="24"/>
                <w:lang w:val="lv-LV"/>
              </w:rPr>
              <w:t>s</w:t>
            </w:r>
            <w:r w:rsidRPr="00587EA7">
              <w:rPr>
                <w:rFonts w:ascii="Times New Roman" w:hAnsi="Times New Roman" w:cs="Times New Roman"/>
                <w:color w:val="0D0D0D" w:themeColor="text1" w:themeTint="F2"/>
                <w:sz w:val="24"/>
                <w:szCs w:val="24"/>
                <w:lang w:val="lv-LV"/>
              </w:rPr>
              <w:t xml:space="preserve"> vai netiešas ietekmes</w:t>
            </w:r>
            <w:r w:rsidR="0029395F" w:rsidRPr="00587EA7">
              <w:rPr>
                <w:rFonts w:ascii="Times New Roman" w:hAnsi="Times New Roman" w:cs="Times New Roman"/>
                <w:color w:val="0D0D0D" w:themeColor="text1" w:themeTint="F2"/>
                <w:sz w:val="24"/>
                <w:szCs w:val="24"/>
                <w:lang w:val="lv-LV"/>
              </w:rPr>
              <w:t xml:space="preserve"> dēļ</w:t>
            </w:r>
            <w:r w:rsidRPr="00587EA7">
              <w:rPr>
                <w:rFonts w:ascii="Times New Roman" w:hAnsi="Times New Roman" w:cs="Times New Roman"/>
                <w:color w:val="0D0D0D" w:themeColor="text1" w:themeTint="F2"/>
                <w:sz w:val="24"/>
                <w:szCs w:val="24"/>
                <w:lang w:val="lv-LV"/>
              </w:rPr>
              <w:t xml:space="preserve"> uz cenām klientiem un galapatērētājiem, kas gan karteļu, gan dominējošā stāvokļa ļaunprātīgas izmantošanas pārkāpumos izpaužas sadārdzinājuma formā, kurš parasti var būt robežās no 10 līdz 20%. KP pieņemto lēmumu, ar kuru pārtraukts pārkāpums, pozitīvā ekonomiskā ietekme kopumā veido visas sabiedrības (uzņēmēju, patērētāju) ieguvumu. To KP atbilstoši starptautiskai metodoloģijai noteica 2017.-2019.g. stratēģiskā cikla ietvaros,</w:t>
            </w:r>
            <w:r w:rsidRPr="00587EA7">
              <w:rPr>
                <w:rStyle w:val="FootnoteReference"/>
                <w:rFonts w:ascii="Times New Roman" w:hAnsi="Times New Roman" w:cs="Times New Roman"/>
                <w:color w:val="0D0D0D" w:themeColor="text1" w:themeTint="F2"/>
                <w:sz w:val="24"/>
                <w:szCs w:val="24"/>
                <w:lang w:val="lv-LV"/>
              </w:rPr>
              <w:footnoteReference w:id="5"/>
            </w:r>
            <w:r w:rsidRPr="00587EA7">
              <w:rPr>
                <w:rFonts w:ascii="Times New Roman" w:hAnsi="Times New Roman" w:cs="Times New Roman"/>
                <w:color w:val="0D0D0D" w:themeColor="text1" w:themeTint="F2"/>
                <w:sz w:val="24"/>
                <w:szCs w:val="24"/>
                <w:lang w:val="lv-LV"/>
              </w:rPr>
              <w:t xml:space="preserve"> un konstatēja, ka tās pieņemto lēmumu un pasākumu rezultātā sabiedrības ieguvums bija vismaz vidēji 20</w:t>
            </w:r>
            <w:r w:rsidR="00FE5721" w:rsidRPr="00587EA7">
              <w:rPr>
                <w:rFonts w:ascii="Times New Roman" w:hAnsi="Times New Roman" w:cs="Times New Roman"/>
                <w:color w:val="0D0D0D" w:themeColor="text1" w:themeTint="F2"/>
                <w:sz w:val="24"/>
                <w:szCs w:val="24"/>
                <w:lang w:val="lv-LV"/>
              </w:rPr>
              <w:t xml:space="preserve"> </w:t>
            </w:r>
            <w:proofErr w:type="spellStart"/>
            <w:r w:rsidRPr="00587EA7">
              <w:rPr>
                <w:rFonts w:ascii="Times New Roman" w:hAnsi="Times New Roman" w:cs="Times New Roman"/>
                <w:color w:val="0D0D0D" w:themeColor="text1" w:themeTint="F2"/>
                <w:sz w:val="24"/>
                <w:szCs w:val="24"/>
                <w:lang w:val="lv-LV"/>
              </w:rPr>
              <w:t>mlj</w:t>
            </w:r>
            <w:proofErr w:type="spellEnd"/>
            <w:r w:rsidRPr="00587EA7">
              <w:rPr>
                <w:rFonts w:ascii="Times New Roman" w:hAnsi="Times New Roman" w:cs="Times New Roman"/>
                <w:color w:val="0D0D0D" w:themeColor="text1" w:themeTint="F2"/>
                <w:sz w:val="24"/>
                <w:szCs w:val="24"/>
                <w:lang w:val="lv-LV"/>
              </w:rPr>
              <w:t>. gadā. Tiesisk</w:t>
            </w:r>
            <w:r w:rsidR="00350EE2">
              <w:rPr>
                <w:rFonts w:ascii="Times New Roman" w:hAnsi="Times New Roman" w:cs="Times New Roman"/>
                <w:color w:val="0D0D0D" w:themeColor="text1" w:themeTint="F2"/>
                <w:sz w:val="24"/>
                <w:szCs w:val="24"/>
                <w:lang w:val="lv-LV"/>
              </w:rPr>
              <w:t>ā</w:t>
            </w:r>
            <w:r w:rsidRPr="00587EA7">
              <w:rPr>
                <w:rFonts w:ascii="Times New Roman" w:hAnsi="Times New Roman" w:cs="Times New Roman"/>
                <w:color w:val="0D0D0D" w:themeColor="text1" w:themeTint="F2"/>
                <w:sz w:val="24"/>
                <w:szCs w:val="24"/>
                <w:lang w:val="lv-LV"/>
              </w:rPr>
              <w:t xml:space="preserve"> regulējum</w:t>
            </w:r>
            <w:r w:rsidR="00350EE2">
              <w:rPr>
                <w:rFonts w:ascii="Times New Roman" w:hAnsi="Times New Roman" w:cs="Times New Roman"/>
                <w:color w:val="0D0D0D" w:themeColor="text1" w:themeTint="F2"/>
                <w:sz w:val="24"/>
                <w:szCs w:val="24"/>
                <w:lang w:val="lv-LV"/>
              </w:rPr>
              <w:t>a</w:t>
            </w:r>
            <w:r w:rsidRPr="00587EA7">
              <w:rPr>
                <w:rFonts w:ascii="Times New Roman" w:hAnsi="Times New Roman" w:cs="Times New Roman"/>
                <w:color w:val="0D0D0D" w:themeColor="text1" w:themeTint="F2"/>
                <w:sz w:val="24"/>
                <w:szCs w:val="24"/>
                <w:lang w:val="lv-LV"/>
              </w:rPr>
              <w:t xml:space="preserve"> īstenošana, esot atbilstošam finansējumam KP cilvēku un tehnoloģiskiem resursiem, visticamāk ļaus pakāpeniski KP ilgtermiņā tieši kāpināt prioritāro lietu izpēt</w:t>
            </w:r>
            <w:r w:rsidR="00350EE2">
              <w:rPr>
                <w:rFonts w:ascii="Times New Roman" w:hAnsi="Times New Roman" w:cs="Times New Roman"/>
                <w:color w:val="0D0D0D" w:themeColor="text1" w:themeTint="F2"/>
                <w:sz w:val="24"/>
                <w:szCs w:val="24"/>
                <w:lang w:val="lv-LV"/>
              </w:rPr>
              <w:t>es</w:t>
            </w:r>
            <w:r w:rsidRPr="00587EA7">
              <w:rPr>
                <w:rFonts w:ascii="Times New Roman" w:hAnsi="Times New Roman" w:cs="Times New Roman"/>
                <w:color w:val="0D0D0D" w:themeColor="text1" w:themeTint="F2"/>
                <w:sz w:val="24"/>
                <w:szCs w:val="24"/>
                <w:lang w:val="lv-LV"/>
              </w:rPr>
              <w:t xml:space="preserve"> kvalitāti. Tas nodrošinās pakāpenisku sabiedrības ieguvumu pieaugumu.    </w:t>
            </w:r>
          </w:p>
        </w:tc>
      </w:tr>
      <w:tr w:rsidR="00876E61" w:rsidRPr="00587EA7" w14:paraId="6D2857F5" w14:textId="77777777" w:rsidTr="00120C05">
        <w:trPr>
          <w:trHeight w:val="765"/>
        </w:trPr>
        <w:tc>
          <w:tcPr>
            <w:tcW w:w="425" w:type="dxa"/>
          </w:tcPr>
          <w:p w14:paraId="799B3BEF" w14:textId="77777777" w:rsidR="001E4601" w:rsidRPr="00587EA7" w:rsidRDefault="001E4601" w:rsidP="001E4601">
            <w:pPr>
              <w:pStyle w:val="naiskr"/>
              <w:spacing w:before="0" w:after="0"/>
              <w:jc w:val="both"/>
              <w:rPr>
                <w:color w:val="0D0D0D" w:themeColor="text1" w:themeTint="F2"/>
              </w:rPr>
            </w:pPr>
            <w:r w:rsidRPr="00587EA7">
              <w:rPr>
                <w:color w:val="0D0D0D" w:themeColor="text1" w:themeTint="F2"/>
              </w:rPr>
              <w:lastRenderedPageBreak/>
              <w:t>3.</w:t>
            </w:r>
          </w:p>
        </w:tc>
        <w:tc>
          <w:tcPr>
            <w:tcW w:w="2977" w:type="dxa"/>
          </w:tcPr>
          <w:p w14:paraId="535726C6" w14:textId="77777777" w:rsidR="001E4601" w:rsidRPr="00587EA7" w:rsidRDefault="001E4601" w:rsidP="00120C05">
            <w:pPr>
              <w:pStyle w:val="naiskr"/>
              <w:spacing w:before="0" w:after="0"/>
              <w:rPr>
                <w:color w:val="0D0D0D" w:themeColor="text1" w:themeTint="F2"/>
              </w:rPr>
            </w:pPr>
            <w:r w:rsidRPr="00587EA7">
              <w:rPr>
                <w:color w:val="0D0D0D" w:themeColor="text1" w:themeTint="F2"/>
              </w:rPr>
              <w:t>Administratīvo izmaksu monetārs novērtējums</w:t>
            </w:r>
          </w:p>
        </w:tc>
        <w:tc>
          <w:tcPr>
            <w:tcW w:w="6384" w:type="dxa"/>
          </w:tcPr>
          <w:p w14:paraId="517769F2" w14:textId="5EC8CC47" w:rsidR="001E4601" w:rsidRPr="00587EA7" w:rsidRDefault="0087365B" w:rsidP="00120C05">
            <w:pPr>
              <w:pStyle w:val="naiskr"/>
              <w:spacing w:before="0" w:after="0"/>
              <w:rPr>
                <w:color w:val="0D0D0D" w:themeColor="text1" w:themeTint="F2"/>
              </w:rPr>
            </w:pPr>
            <w:r w:rsidRPr="00587EA7">
              <w:rPr>
                <w:color w:val="0D0D0D" w:themeColor="text1" w:themeTint="F2"/>
              </w:rPr>
              <w:t>P</w:t>
            </w:r>
            <w:r w:rsidR="001E4601" w:rsidRPr="00587EA7">
              <w:rPr>
                <w:color w:val="0D0D0D" w:themeColor="text1" w:themeTint="F2"/>
              </w:rPr>
              <w:t>rojekts šo jomu neskar</w:t>
            </w:r>
          </w:p>
        </w:tc>
      </w:tr>
      <w:tr w:rsidR="00876E61" w:rsidRPr="00587EA7" w14:paraId="03C2F496" w14:textId="77777777" w:rsidTr="00120C05">
        <w:trPr>
          <w:trHeight w:val="70"/>
        </w:trPr>
        <w:tc>
          <w:tcPr>
            <w:tcW w:w="425" w:type="dxa"/>
          </w:tcPr>
          <w:p w14:paraId="3FC33330" w14:textId="77777777" w:rsidR="001E4601" w:rsidRPr="00587EA7" w:rsidRDefault="001E4601" w:rsidP="001E4601">
            <w:pPr>
              <w:pStyle w:val="naiskr"/>
              <w:spacing w:before="0" w:after="0"/>
              <w:jc w:val="both"/>
              <w:rPr>
                <w:color w:val="0D0D0D" w:themeColor="text1" w:themeTint="F2"/>
              </w:rPr>
            </w:pPr>
            <w:r w:rsidRPr="00587EA7">
              <w:rPr>
                <w:color w:val="0D0D0D" w:themeColor="text1" w:themeTint="F2"/>
              </w:rPr>
              <w:t>4.</w:t>
            </w:r>
          </w:p>
        </w:tc>
        <w:tc>
          <w:tcPr>
            <w:tcW w:w="2977" w:type="dxa"/>
          </w:tcPr>
          <w:p w14:paraId="3E8F828B" w14:textId="77777777" w:rsidR="001E4601" w:rsidRPr="00587EA7" w:rsidRDefault="001E4601" w:rsidP="001E4601">
            <w:pPr>
              <w:pStyle w:val="naiskr"/>
              <w:spacing w:before="0" w:after="0"/>
              <w:jc w:val="both"/>
              <w:rPr>
                <w:color w:val="0D0D0D" w:themeColor="text1" w:themeTint="F2"/>
              </w:rPr>
            </w:pPr>
            <w:r w:rsidRPr="00587EA7">
              <w:rPr>
                <w:color w:val="0D0D0D" w:themeColor="text1" w:themeTint="F2"/>
              </w:rPr>
              <w:t>Cita informācija</w:t>
            </w:r>
          </w:p>
        </w:tc>
        <w:tc>
          <w:tcPr>
            <w:tcW w:w="6384" w:type="dxa"/>
          </w:tcPr>
          <w:p w14:paraId="228FDAA0" w14:textId="737EFCBB" w:rsidR="001E4601" w:rsidRPr="00587EA7" w:rsidRDefault="001E4601" w:rsidP="0050261F">
            <w:pPr>
              <w:pStyle w:val="naiskr"/>
              <w:spacing w:before="0" w:after="0"/>
              <w:rPr>
                <w:color w:val="0D0D0D" w:themeColor="text1" w:themeTint="F2"/>
              </w:rPr>
            </w:pPr>
            <w:r w:rsidRPr="00587EA7">
              <w:rPr>
                <w:color w:val="0D0D0D" w:themeColor="text1" w:themeTint="F2"/>
              </w:rPr>
              <w:t>Nav</w:t>
            </w:r>
          </w:p>
        </w:tc>
      </w:tr>
    </w:tbl>
    <w:p w14:paraId="79F7FBD8" w14:textId="77777777" w:rsidR="002447DF" w:rsidRDefault="002447DF"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136"/>
        <w:gridCol w:w="1024"/>
        <w:gridCol w:w="1110"/>
        <w:gridCol w:w="1160"/>
        <w:gridCol w:w="1177"/>
        <w:gridCol w:w="1146"/>
        <w:gridCol w:w="1405"/>
      </w:tblGrid>
      <w:tr w:rsidR="00853A4D" w:rsidRPr="00DA1DD3" w14:paraId="0A69FE70" w14:textId="77777777" w:rsidTr="00853A4D">
        <w:trPr>
          <w:jc w:val="center"/>
        </w:trPr>
        <w:tc>
          <w:tcPr>
            <w:tcW w:w="9776" w:type="dxa"/>
            <w:gridSpan w:val="8"/>
            <w:tcBorders>
              <w:top w:val="single" w:sz="4" w:space="0" w:color="auto"/>
              <w:left w:val="single" w:sz="4" w:space="0" w:color="auto"/>
              <w:bottom w:val="single" w:sz="4" w:space="0" w:color="auto"/>
              <w:right w:val="single" w:sz="4" w:space="0" w:color="auto"/>
            </w:tcBorders>
          </w:tcPr>
          <w:p w14:paraId="5EC6C46A" w14:textId="77777777" w:rsidR="00853A4D" w:rsidRPr="00587EA7" w:rsidRDefault="00853A4D" w:rsidP="00853A4D">
            <w:pPr>
              <w:pStyle w:val="naisnod"/>
              <w:spacing w:before="0" w:after="0"/>
              <w:rPr>
                <w:color w:val="0D0D0D" w:themeColor="text1" w:themeTint="F2"/>
              </w:rPr>
            </w:pPr>
            <w:r w:rsidRPr="00587EA7">
              <w:rPr>
                <w:color w:val="0D0D0D" w:themeColor="text1" w:themeTint="F2"/>
              </w:rPr>
              <w:t>III. Tiesību akta projekta ietekme uz valsts budžetu un pašvaldību budžetiem</w:t>
            </w:r>
          </w:p>
        </w:tc>
      </w:tr>
      <w:tr w:rsidR="00853A4D" w:rsidRPr="00587EA7" w14:paraId="2E437FBB"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1F52BFB1"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Rādītāji</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90BB33"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2020</w:t>
            </w:r>
          </w:p>
        </w:tc>
        <w:tc>
          <w:tcPr>
            <w:tcW w:w="5998" w:type="dxa"/>
            <w:gridSpan w:val="5"/>
            <w:tcBorders>
              <w:top w:val="single" w:sz="4" w:space="0" w:color="auto"/>
              <w:left w:val="single" w:sz="4" w:space="0" w:color="auto"/>
              <w:bottom w:val="single" w:sz="4" w:space="0" w:color="auto"/>
              <w:right w:val="single" w:sz="4" w:space="0" w:color="auto"/>
            </w:tcBorders>
            <w:vAlign w:val="center"/>
            <w:hideMark/>
          </w:tcPr>
          <w:p w14:paraId="7F6A5B74"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Turpmākie trīs gadi (</w:t>
            </w:r>
            <w:proofErr w:type="spellStart"/>
            <w:r w:rsidRPr="00587EA7">
              <w:rPr>
                <w:rFonts w:ascii="Times New Roman" w:eastAsia="Times New Roman" w:hAnsi="Times New Roman" w:cs="Times New Roman"/>
                <w:i/>
                <w:iCs/>
                <w:color w:val="0D0D0D" w:themeColor="text1" w:themeTint="F2"/>
                <w:sz w:val="24"/>
                <w:szCs w:val="24"/>
                <w:lang w:val="lv-LV" w:eastAsia="lv-LV"/>
              </w:rPr>
              <w:t>euro</w:t>
            </w:r>
            <w:proofErr w:type="spellEnd"/>
            <w:r w:rsidRPr="00587EA7">
              <w:rPr>
                <w:rFonts w:ascii="Times New Roman" w:eastAsia="Times New Roman" w:hAnsi="Times New Roman" w:cs="Times New Roman"/>
                <w:color w:val="0D0D0D" w:themeColor="text1" w:themeTint="F2"/>
                <w:sz w:val="24"/>
                <w:szCs w:val="24"/>
                <w:lang w:val="lv-LV" w:eastAsia="lv-LV"/>
              </w:rPr>
              <w:t>)</w:t>
            </w:r>
          </w:p>
        </w:tc>
      </w:tr>
      <w:tr w:rsidR="00853A4D" w:rsidRPr="00587EA7" w14:paraId="0C0E04B4"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6E87F5E2"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14:paraId="70F0CDD8"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6115C34A"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2021</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14:paraId="1AF1D669"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2022</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ABB3C88"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2023</w:t>
            </w:r>
          </w:p>
        </w:tc>
      </w:tr>
      <w:tr w:rsidR="00853A4D" w:rsidRPr="00587EA7" w14:paraId="68091E45"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vMerge/>
            <w:tcBorders>
              <w:top w:val="single" w:sz="4" w:space="0" w:color="auto"/>
              <w:left w:val="single" w:sz="4" w:space="0" w:color="auto"/>
              <w:bottom w:val="single" w:sz="4" w:space="0" w:color="auto"/>
              <w:right w:val="single" w:sz="4" w:space="0" w:color="auto"/>
            </w:tcBorders>
            <w:vAlign w:val="center"/>
            <w:hideMark/>
          </w:tcPr>
          <w:p w14:paraId="10D711F5"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5D8B00F"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saskaņā ar valsts budžetu kārtējam gadam</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4E6F0F1"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izmaiņas kārtējā gadā, salīdzinot ar valsts budžetu kārtējam gadam</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AB5F796"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saskaņā ar vidēja termiņa budžeta ietvaru</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1E80B83"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izmaiņas, salīdzinot ar vidēja termiņa budžeta ietvaru n+1 gadam</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E0E6825"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saskaņā ar vidēja termiņa budžeta ietvaru</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9BE3F30"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izmaiņas, salīdzinot ar vidēja termiņa budžeta ietvaru n+2 gadam</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28AF5EB"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izmaiņas, salīdzinot ar vidēja termiņa budžeta ietvaru n+2 gadam</w:t>
            </w:r>
          </w:p>
        </w:tc>
      </w:tr>
      <w:tr w:rsidR="00853A4D" w:rsidRPr="00587EA7" w14:paraId="3DF6B55E"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vAlign w:val="center"/>
            <w:hideMark/>
          </w:tcPr>
          <w:p w14:paraId="40DB3E78"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5F84FAC"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215374E"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2F75931"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6258CEE"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5</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99C8864"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529169B"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7</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4550D94" w14:textId="77777777" w:rsidR="00853A4D" w:rsidRPr="00587EA7" w:rsidRDefault="00853A4D" w:rsidP="00853A4D">
            <w:pPr>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lang w:eastAsia="lv-LV"/>
              </w:rPr>
            </w:pPr>
            <w:r w:rsidRPr="00587EA7">
              <w:rPr>
                <w:rFonts w:ascii="Times New Roman" w:eastAsia="Times New Roman" w:hAnsi="Times New Roman" w:cs="Times New Roman"/>
                <w:color w:val="0D0D0D" w:themeColor="text1" w:themeTint="F2"/>
                <w:sz w:val="24"/>
                <w:szCs w:val="24"/>
                <w:lang w:eastAsia="lv-LV"/>
              </w:rPr>
              <w:t>8</w:t>
            </w:r>
          </w:p>
        </w:tc>
      </w:tr>
      <w:tr w:rsidR="00853A4D" w:rsidRPr="00587EA7" w14:paraId="2D15990D"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3C989F61"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lastRenderedPageBreak/>
              <w:t>1. Budžeta ieņēmumi</w:t>
            </w:r>
          </w:p>
        </w:tc>
        <w:tc>
          <w:tcPr>
            <w:tcW w:w="1136" w:type="dxa"/>
            <w:tcBorders>
              <w:top w:val="single" w:sz="4" w:space="0" w:color="auto"/>
              <w:left w:val="single" w:sz="4" w:space="0" w:color="auto"/>
              <w:bottom w:val="single" w:sz="4" w:space="0" w:color="auto"/>
              <w:right w:val="single" w:sz="4" w:space="0" w:color="auto"/>
            </w:tcBorders>
            <w:vAlign w:val="center"/>
          </w:tcPr>
          <w:p w14:paraId="462729F9"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024" w:type="dxa"/>
            <w:tcBorders>
              <w:top w:val="single" w:sz="4" w:space="0" w:color="auto"/>
              <w:left w:val="single" w:sz="4" w:space="0" w:color="auto"/>
              <w:bottom w:val="single" w:sz="4" w:space="0" w:color="auto"/>
              <w:right w:val="single" w:sz="4" w:space="0" w:color="auto"/>
            </w:tcBorders>
            <w:vAlign w:val="center"/>
          </w:tcPr>
          <w:p w14:paraId="67821836"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10" w:type="dxa"/>
            <w:tcBorders>
              <w:top w:val="single" w:sz="4" w:space="0" w:color="auto"/>
              <w:left w:val="single" w:sz="4" w:space="0" w:color="auto"/>
              <w:bottom w:val="single" w:sz="4" w:space="0" w:color="auto"/>
              <w:right w:val="single" w:sz="4" w:space="0" w:color="auto"/>
            </w:tcBorders>
            <w:vAlign w:val="center"/>
          </w:tcPr>
          <w:p w14:paraId="04E7B8E5"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60" w:type="dxa"/>
            <w:tcBorders>
              <w:top w:val="single" w:sz="4" w:space="0" w:color="auto"/>
              <w:left w:val="single" w:sz="4" w:space="0" w:color="auto"/>
              <w:bottom w:val="single" w:sz="4" w:space="0" w:color="auto"/>
              <w:right w:val="single" w:sz="4" w:space="0" w:color="auto"/>
            </w:tcBorders>
            <w:vAlign w:val="center"/>
          </w:tcPr>
          <w:p w14:paraId="48ACE489"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77" w:type="dxa"/>
            <w:tcBorders>
              <w:top w:val="single" w:sz="4" w:space="0" w:color="auto"/>
              <w:left w:val="single" w:sz="4" w:space="0" w:color="auto"/>
              <w:bottom w:val="single" w:sz="4" w:space="0" w:color="auto"/>
              <w:right w:val="single" w:sz="4" w:space="0" w:color="auto"/>
            </w:tcBorders>
            <w:vAlign w:val="center"/>
          </w:tcPr>
          <w:p w14:paraId="2BC83037"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39EE7CA8"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D31083C"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r>
      <w:tr w:rsidR="00853A4D" w:rsidRPr="00587EA7" w14:paraId="399A566E"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309D447E"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1.1. valsts pamatbudžets, tai skaitā ieņēmumi no maksas pakalpojumiem un citi pašu ieņēmumi</w:t>
            </w:r>
          </w:p>
        </w:tc>
        <w:tc>
          <w:tcPr>
            <w:tcW w:w="1136" w:type="dxa"/>
            <w:tcBorders>
              <w:top w:val="single" w:sz="4" w:space="0" w:color="auto"/>
              <w:left w:val="single" w:sz="4" w:space="0" w:color="auto"/>
              <w:bottom w:val="single" w:sz="4" w:space="0" w:color="auto"/>
              <w:right w:val="single" w:sz="4" w:space="0" w:color="auto"/>
            </w:tcBorders>
            <w:vAlign w:val="center"/>
          </w:tcPr>
          <w:p w14:paraId="1C59552A"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024" w:type="dxa"/>
            <w:tcBorders>
              <w:top w:val="single" w:sz="4" w:space="0" w:color="auto"/>
              <w:left w:val="single" w:sz="4" w:space="0" w:color="auto"/>
              <w:bottom w:val="single" w:sz="4" w:space="0" w:color="auto"/>
              <w:right w:val="single" w:sz="4" w:space="0" w:color="auto"/>
            </w:tcBorders>
            <w:vAlign w:val="center"/>
          </w:tcPr>
          <w:p w14:paraId="2A24F95C"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10" w:type="dxa"/>
            <w:tcBorders>
              <w:top w:val="single" w:sz="4" w:space="0" w:color="auto"/>
              <w:left w:val="single" w:sz="4" w:space="0" w:color="auto"/>
              <w:bottom w:val="single" w:sz="4" w:space="0" w:color="auto"/>
              <w:right w:val="single" w:sz="4" w:space="0" w:color="auto"/>
            </w:tcBorders>
            <w:vAlign w:val="center"/>
          </w:tcPr>
          <w:p w14:paraId="677F14BD"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60" w:type="dxa"/>
            <w:tcBorders>
              <w:top w:val="single" w:sz="4" w:space="0" w:color="auto"/>
              <w:left w:val="single" w:sz="4" w:space="0" w:color="auto"/>
              <w:bottom w:val="single" w:sz="4" w:space="0" w:color="auto"/>
              <w:right w:val="single" w:sz="4" w:space="0" w:color="auto"/>
            </w:tcBorders>
            <w:vAlign w:val="center"/>
          </w:tcPr>
          <w:p w14:paraId="114B7A18"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77" w:type="dxa"/>
            <w:tcBorders>
              <w:top w:val="single" w:sz="4" w:space="0" w:color="auto"/>
              <w:left w:val="single" w:sz="4" w:space="0" w:color="auto"/>
              <w:bottom w:val="single" w:sz="4" w:space="0" w:color="auto"/>
              <w:right w:val="single" w:sz="4" w:space="0" w:color="auto"/>
            </w:tcBorders>
            <w:vAlign w:val="center"/>
          </w:tcPr>
          <w:p w14:paraId="17979F9F"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2ED35361"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C32880D"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r>
      <w:tr w:rsidR="00853A4D" w:rsidRPr="00737EAB" w14:paraId="7A6AEBFA"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70F28F9A"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1.2. valsts speciālais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47BF864"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2F4C81B"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3AD7AFE"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1542B2D"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509536F"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1D2AD5B"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A51425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0AD3D9BA"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72EBD6FE"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1.3. pašvaldību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CA3D42B"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40F663E"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DD20C3A"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E2BCD4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16F368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28C6835"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F86A0CF"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14C076B3"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7C5474B5"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 Budžeta izdevumi</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F0E302D"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1304484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E5B01E4"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46475F9"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1304484</w:t>
            </w:r>
          </w:p>
        </w:tc>
        <w:tc>
          <w:tcPr>
            <w:tcW w:w="1160" w:type="dxa"/>
            <w:tcBorders>
              <w:top w:val="single" w:sz="4" w:space="0" w:color="auto"/>
              <w:left w:val="single" w:sz="4" w:space="0" w:color="auto"/>
              <w:bottom w:val="single" w:sz="4" w:space="0" w:color="auto"/>
              <w:right w:val="single" w:sz="4" w:space="0" w:color="auto"/>
            </w:tcBorders>
            <w:vAlign w:val="center"/>
          </w:tcPr>
          <w:p w14:paraId="0D0EABE6"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hAnsi="Times New Roman" w:cs="Times New Roman"/>
                <w:color w:val="000000" w:themeColor="text1"/>
                <w:shd w:val="clear" w:color="auto" w:fill="FFFFFF"/>
                <w:lang w:val="lv-LV"/>
              </w:rPr>
              <w:t>716 891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6E5534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1304484</w:t>
            </w:r>
          </w:p>
        </w:tc>
        <w:tc>
          <w:tcPr>
            <w:tcW w:w="1146" w:type="dxa"/>
            <w:tcBorders>
              <w:top w:val="single" w:sz="4" w:space="0" w:color="auto"/>
              <w:left w:val="single" w:sz="4" w:space="0" w:color="auto"/>
              <w:bottom w:val="single" w:sz="4" w:space="0" w:color="auto"/>
              <w:right w:val="single" w:sz="4" w:space="0" w:color="auto"/>
            </w:tcBorders>
            <w:vAlign w:val="center"/>
          </w:tcPr>
          <w:p w14:paraId="26B776A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75075B4"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737EAB" w14:paraId="5EC6E82C"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3696719E"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2.1. valsts pamatbudžets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49183E7"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1304484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D7E160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91FCD9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1304484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41F7C9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hAnsi="Times New Roman" w:cs="Times New Roman"/>
                <w:color w:val="000000" w:themeColor="text1"/>
                <w:shd w:val="clear" w:color="auto" w:fill="FFFFFF"/>
                <w:lang w:val="lv-LV"/>
              </w:rPr>
              <w:t xml:space="preserve">716 891 </w:t>
            </w:r>
            <w:r w:rsidRPr="00737EAB">
              <w:rPr>
                <w:rFonts w:ascii="Times New Roman" w:eastAsia="Times New Roman" w:hAnsi="Times New Roman" w:cs="Times New Roman"/>
                <w:color w:val="0D0D0D" w:themeColor="text1" w:themeTint="F2"/>
                <w:sz w:val="24"/>
                <w:szCs w:val="24"/>
                <w:lang w:val="lv-LV" w:eastAsia="lv-LV"/>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6FB790E"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1304484</w:t>
            </w:r>
          </w:p>
        </w:tc>
        <w:tc>
          <w:tcPr>
            <w:tcW w:w="1146" w:type="dxa"/>
            <w:tcBorders>
              <w:top w:val="single" w:sz="4" w:space="0" w:color="auto"/>
              <w:left w:val="single" w:sz="4" w:space="0" w:color="auto"/>
              <w:bottom w:val="single" w:sz="4" w:space="0" w:color="auto"/>
              <w:right w:val="single" w:sz="4" w:space="0" w:color="auto"/>
            </w:tcBorders>
            <w:vAlign w:val="center"/>
          </w:tcPr>
          <w:p w14:paraId="586003DF"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681708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737EAB" w14:paraId="18B3F6BF"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0FC5C704"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2.2. valsts speciālais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1708E90"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61A074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F96D86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8F8F9E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297F0F4"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0398E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670DD512"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6A2B8C55"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4B0DC3BE"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2.3. pašvaldību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A1B3F5D"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25ACFD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0E44B03"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11E9F1D"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ECADA06"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71B04C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2921B3B"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34431F66"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23B39A48"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3. Finansiālā ietekme</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C328A3B"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79EDDD9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xml:space="preserve">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55BA441"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7B931C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716 891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6B647F3"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9F30DC5"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C6405E6"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737EAB" w14:paraId="381124FA"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0E18538A"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3.1. valsts pamatbudžets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649938C"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FAE4776"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xml:space="preserve">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BF85F65"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270844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716 891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18E6DEE"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01C25C5"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2E1B60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737EAB" w14:paraId="714CB77E"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04C46B68"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3.2. speciālais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E592D6C"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E3094BA"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C66D39"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F5912C1"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73130EF"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2F0ADA"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8C038B8"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7451F377"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27285602"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3.3. pašvaldību budžets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17860AB"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2216713"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67C0D69"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01B2FE4"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E0900E4"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A73F41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D68B0C3"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6C20536B"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06F61924"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t xml:space="preserve">4. Finanšu līdzekļi papildu izdevumu finansēšanai (kompensējošu izdevumu samazinājumu </w:t>
            </w:r>
            <w:r w:rsidRPr="00587EA7">
              <w:rPr>
                <w:rFonts w:ascii="Times New Roman" w:eastAsia="Times New Roman" w:hAnsi="Times New Roman" w:cs="Times New Roman"/>
                <w:color w:val="0D0D0D" w:themeColor="text1" w:themeTint="F2"/>
                <w:sz w:val="24"/>
                <w:szCs w:val="24"/>
                <w:lang w:val="lv-LV" w:eastAsia="lv-LV"/>
              </w:rPr>
              <w:lastRenderedPageBreak/>
              <w:t>norāda ar "+" zīmi)</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A2F25C3" w14:textId="77777777" w:rsidR="00853A4D" w:rsidRPr="00587EA7"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587EA7">
              <w:rPr>
                <w:rFonts w:ascii="Times New Roman" w:eastAsia="Times New Roman" w:hAnsi="Times New Roman" w:cs="Times New Roman"/>
                <w:color w:val="0D0D0D" w:themeColor="text1" w:themeTint="F2"/>
                <w:sz w:val="24"/>
                <w:szCs w:val="24"/>
                <w:lang w:val="lv-LV" w:eastAsia="lv-LV"/>
              </w:rPr>
              <w:lastRenderedPageBreak/>
              <w:t>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DC87FB5"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FD822BD"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1B97A5C"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398032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9BCA517"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5161B40" w14:textId="77777777" w:rsidR="00853A4D" w:rsidRPr="00737EAB" w:rsidRDefault="00853A4D" w:rsidP="00853A4D">
            <w:pPr>
              <w:spacing w:after="0" w:line="240" w:lineRule="auto"/>
              <w:rPr>
                <w:rFonts w:ascii="Times New Roman" w:eastAsia="Times New Roman" w:hAnsi="Times New Roman" w:cs="Times New Roman"/>
                <w:color w:val="0D0D0D" w:themeColor="text1" w:themeTint="F2"/>
                <w:sz w:val="24"/>
                <w:szCs w:val="24"/>
                <w:lang w:val="lv-LV" w:eastAsia="lv-LV"/>
              </w:rPr>
            </w:pPr>
            <w:r w:rsidRPr="00737EAB">
              <w:rPr>
                <w:rFonts w:ascii="Times New Roman" w:eastAsia="Times New Roman" w:hAnsi="Times New Roman" w:cs="Times New Roman"/>
                <w:color w:val="0D0D0D" w:themeColor="text1" w:themeTint="F2"/>
                <w:sz w:val="24"/>
                <w:szCs w:val="24"/>
                <w:lang w:val="lv-LV" w:eastAsia="lv-LV"/>
              </w:rPr>
              <w:t> </w:t>
            </w:r>
          </w:p>
        </w:tc>
      </w:tr>
      <w:tr w:rsidR="00853A4D" w:rsidRPr="00737EAB" w14:paraId="1818ED49"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2F2D22BD"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5. Precizēta finansiālā ietekme</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19A71AB"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024" w:type="dxa"/>
            <w:tcBorders>
              <w:top w:val="single" w:sz="4" w:space="0" w:color="auto"/>
              <w:left w:val="single" w:sz="4" w:space="0" w:color="auto"/>
              <w:bottom w:val="single" w:sz="4" w:space="0" w:color="auto"/>
              <w:right w:val="single" w:sz="4" w:space="0" w:color="auto"/>
            </w:tcBorders>
            <w:vAlign w:val="center"/>
          </w:tcPr>
          <w:p w14:paraId="4D079220"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14:paraId="367DA9C5"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DE6C3BC"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716 891</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68EFBC9D"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023D183"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9297FCF"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737EAB" w14:paraId="63E5B29B"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0F53CF22"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5.1. valsts pamatbudžets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D3DF504"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024" w:type="dxa"/>
            <w:tcBorders>
              <w:top w:val="single" w:sz="4" w:space="0" w:color="auto"/>
              <w:left w:val="single" w:sz="4" w:space="0" w:color="auto"/>
              <w:bottom w:val="single" w:sz="4" w:space="0" w:color="auto"/>
              <w:right w:val="single" w:sz="4" w:space="0" w:color="auto"/>
            </w:tcBorders>
            <w:vAlign w:val="center"/>
          </w:tcPr>
          <w:p w14:paraId="6CED4DA0"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66C7F5A6"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2027CB55"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716 891</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1B0302E"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4F35264F"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720 879</w:t>
            </w:r>
          </w:p>
        </w:tc>
        <w:tc>
          <w:tcPr>
            <w:tcW w:w="1405" w:type="dxa"/>
            <w:tcBorders>
              <w:top w:val="single" w:sz="4" w:space="0" w:color="auto"/>
              <w:left w:val="single" w:sz="4" w:space="0" w:color="auto"/>
              <w:bottom w:val="single" w:sz="4" w:space="0" w:color="auto"/>
              <w:right w:val="single" w:sz="4" w:space="0" w:color="auto"/>
            </w:tcBorders>
            <w:vAlign w:val="center"/>
            <w:hideMark/>
          </w:tcPr>
          <w:p w14:paraId="450B771F" w14:textId="77777777" w:rsidR="00853A4D" w:rsidRPr="00737EAB"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737EAB">
              <w:rPr>
                <w:rFonts w:ascii="Times New Roman" w:eastAsia="Times New Roman" w:hAnsi="Times New Roman" w:cs="Times New Roman"/>
                <w:color w:val="000000" w:themeColor="text1"/>
                <w:sz w:val="24"/>
                <w:szCs w:val="24"/>
                <w:lang w:val="lv-LV" w:eastAsia="lv-LV"/>
              </w:rPr>
              <w:t> -</w:t>
            </w:r>
            <w:r w:rsidRPr="00737EAB">
              <w:rPr>
                <w:rFonts w:ascii="Times New Roman" w:hAnsi="Times New Roman" w:cs="Times New Roman"/>
                <w:color w:val="000000" w:themeColor="text1"/>
                <w:shd w:val="clear" w:color="auto" w:fill="FFFFFF"/>
                <w:lang w:val="lv-LV"/>
              </w:rPr>
              <w:t>800 215</w:t>
            </w:r>
          </w:p>
        </w:tc>
      </w:tr>
      <w:tr w:rsidR="00853A4D" w:rsidRPr="00876E61" w14:paraId="31A363DB"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7E01D60C"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5.2. speciālais 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77D8039"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024" w:type="dxa"/>
            <w:tcBorders>
              <w:top w:val="single" w:sz="4" w:space="0" w:color="auto"/>
              <w:left w:val="single" w:sz="4" w:space="0" w:color="auto"/>
              <w:bottom w:val="single" w:sz="4" w:space="0" w:color="auto"/>
              <w:right w:val="single" w:sz="4" w:space="0" w:color="auto"/>
            </w:tcBorders>
            <w:vAlign w:val="center"/>
            <w:hideMark/>
          </w:tcPr>
          <w:p w14:paraId="14ACD9E9"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463072E5"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4BB49E52"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6B2A958A"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5BB7C299"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3B13DFA"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r>
      <w:tr w:rsidR="00853A4D" w:rsidRPr="00876E61" w14:paraId="5256A5DA"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643A9FB3"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5.3. pašvaldību 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80D7962"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024" w:type="dxa"/>
            <w:tcBorders>
              <w:top w:val="single" w:sz="4" w:space="0" w:color="auto"/>
              <w:left w:val="single" w:sz="4" w:space="0" w:color="auto"/>
              <w:bottom w:val="single" w:sz="4" w:space="0" w:color="auto"/>
              <w:right w:val="single" w:sz="4" w:space="0" w:color="auto"/>
            </w:tcBorders>
            <w:vAlign w:val="center"/>
            <w:hideMark/>
          </w:tcPr>
          <w:p w14:paraId="77F678E5"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4588D04B"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2CABA4B0"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4FD9CCCD"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7192BEA5"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5A8A88B"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 </w:t>
            </w:r>
          </w:p>
        </w:tc>
      </w:tr>
      <w:tr w:rsidR="00853A4D" w:rsidRPr="005B0E13" w14:paraId="026D6E61"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61256F5D"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6. Detalizēts ieņēmumu un izdevumu aprēķins (ja nepieciešams, detalizētu ieņēmumu un izdevumu aprēķinu var pievienot anotācijas pielikumā)</w:t>
            </w:r>
          </w:p>
        </w:tc>
        <w:tc>
          <w:tcPr>
            <w:tcW w:w="8158"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42E3473" w14:textId="77777777" w:rsidR="00853A4D" w:rsidRPr="00D818D7" w:rsidRDefault="00853A4D" w:rsidP="00853A4D">
            <w:pPr>
              <w:spacing w:before="120" w:after="0" w:line="240" w:lineRule="auto"/>
              <w:ind w:right="85"/>
              <w:jc w:val="both"/>
              <w:rPr>
                <w:rFonts w:ascii="Times New Roman" w:hAnsi="Times New Roman" w:cs="Times New Roman"/>
                <w:color w:val="000000" w:themeColor="text1"/>
                <w:sz w:val="24"/>
                <w:szCs w:val="24"/>
                <w:shd w:val="clear" w:color="auto" w:fill="FFFFFF"/>
                <w:lang w:val="lv-LV"/>
              </w:rPr>
            </w:pPr>
            <w:r w:rsidRPr="00D818D7">
              <w:rPr>
                <w:rFonts w:ascii="Times New Roman" w:hAnsi="Times New Roman" w:cs="Times New Roman"/>
                <w:color w:val="000000" w:themeColor="text1"/>
                <w:sz w:val="24"/>
                <w:szCs w:val="24"/>
                <w:lang w:val="lv-LV"/>
              </w:rPr>
              <w:t xml:space="preserve">Direktīvas </w:t>
            </w:r>
            <w:r w:rsidRPr="00D818D7">
              <w:rPr>
                <w:rFonts w:ascii="Times New Roman" w:hAnsi="Times New Roman" w:cs="Times New Roman"/>
                <w:color w:val="000000" w:themeColor="text1"/>
                <w:sz w:val="24"/>
                <w:szCs w:val="24"/>
                <w:shd w:val="clear" w:color="auto" w:fill="FFFFFF"/>
                <w:lang w:val="lv-LV"/>
              </w:rPr>
              <w:t xml:space="preserve">13., 14., 15.pants paredz tirgus dalībnieku un tirgus dalībnieku apvienībām piemērojamo naudas sodu vispārīgos noteikumus un naudas soda maksimālos apmērus (t.sk., attiecībā uz procesuālo pārkāpumu un periodisko maksājumu apmēru), proti, ne mazākus kā 10% no tirgus dalībnieka kopējā apgrozījuma pasaulē. Tādējādi līdz ar Direktīvas normu transponēšanu tiek būtiski palielināts potenciālo maksimālo sodu apmērs. Pašreiz atbildība par informācijas nesniegšanu, nepatiesas informācijas sniegšanu KP likumīgo prasību nepildīšanu un </w:t>
            </w:r>
            <w:proofErr w:type="spellStart"/>
            <w:r w:rsidRPr="00D818D7">
              <w:rPr>
                <w:rFonts w:ascii="Times New Roman" w:hAnsi="Times New Roman" w:cs="Times New Roman"/>
                <w:color w:val="000000" w:themeColor="text1"/>
                <w:sz w:val="24"/>
                <w:szCs w:val="24"/>
                <w:shd w:val="clear" w:color="auto" w:fill="FFFFFF"/>
                <w:lang w:val="lv-LV"/>
              </w:rPr>
              <w:t>aizzīmogojuma</w:t>
            </w:r>
            <w:proofErr w:type="spellEnd"/>
            <w:r w:rsidRPr="00D818D7">
              <w:rPr>
                <w:rFonts w:ascii="Times New Roman" w:hAnsi="Times New Roman" w:cs="Times New Roman"/>
                <w:color w:val="000000" w:themeColor="text1"/>
                <w:sz w:val="24"/>
                <w:szCs w:val="24"/>
                <w:shd w:val="clear" w:color="auto" w:fill="FFFFFF"/>
                <w:lang w:val="lv-LV"/>
              </w:rPr>
              <w:t xml:space="preserve"> bojāšanu paredzēta līdz vienam procentam no tirgus dalībnieka vai tirgus dalībnieku apvienības pēdējā finanšu gada neto apgrozījuma katram, bet ne mazāk kā 50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katram. Arī attiecībā uz atbildību par vienošanās aizlieguma pārkāpumu un dominējošā stāvokļa ļaunprātīgu izmantošanu, līdz šim KP bija tiesīga piemērot tirgus dalībniekiem naudas sodu līdz pieciem procentiem no pēdējā finanšu gada neto apgrozījuma. </w:t>
            </w:r>
          </w:p>
          <w:p w14:paraId="2B9F0EAC" w14:textId="77777777" w:rsidR="00853A4D" w:rsidRPr="00D818D7" w:rsidRDefault="00853A4D" w:rsidP="00853A4D">
            <w:pPr>
              <w:spacing w:before="120" w:after="0" w:line="240" w:lineRule="auto"/>
              <w:ind w:right="85"/>
              <w:jc w:val="both"/>
              <w:rPr>
                <w:rFonts w:ascii="Times New Roman" w:hAnsi="Times New Roman" w:cs="Times New Roman"/>
                <w:color w:val="000000" w:themeColor="text1"/>
                <w:sz w:val="24"/>
                <w:szCs w:val="24"/>
                <w:shd w:val="clear" w:color="auto" w:fill="FFFFFF"/>
                <w:lang w:val="lv-LV"/>
              </w:rPr>
            </w:pPr>
            <w:r w:rsidRPr="00D818D7">
              <w:rPr>
                <w:rFonts w:ascii="Times New Roman" w:hAnsi="Times New Roman" w:cs="Times New Roman"/>
                <w:color w:val="000000" w:themeColor="text1"/>
                <w:sz w:val="24"/>
                <w:szCs w:val="24"/>
                <w:shd w:val="clear" w:color="auto" w:fill="FFFFFF"/>
                <w:lang w:val="lv-LV"/>
              </w:rPr>
              <w:t xml:space="preserve">Ievērojot to, ka, piemērojot naudas sodu pašreizējo maksimālo naudas sodu robežu  ietvaros, KP kopš 2015.gada kopumā ir piemērojusi naudas sodus </w:t>
            </w:r>
            <w:r w:rsidRPr="00D818D7">
              <w:rPr>
                <w:rFonts w:ascii="Times New Roman" w:eastAsia="Times New Roman" w:hAnsi="Times New Roman" w:cs="Times New Roman"/>
                <w:color w:val="000000"/>
                <w:sz w:val="24"/>
                <w:szCs w:val="24"/>
                <w:lang w:val="lv-LV"/>
              </w:rPr>
              <w:t>13 124 288,48</w:t>
            </w:r>
            <w:r w:rsidRPr="00D818D7">
              <w:rPr>
                <w:rFonts w:ascii="Times New Roman" w:eastAsia="Times New Roman" w:hAnsi="Times New Roman" w:cs="Times New Roman"/>
                <w:i/>
                <w:iCs/>
                <w:color w:val="000000"/>
                <w:sz w:val="24"/>
                <w:szCs w:val="24"/>
                <w:lang w:val="lv-LV"/>
              </w:rPr>
              <w:t xml:space="preserve"> </w:t>
            </w:r>
            <w:proofErr w:type="spellStart"/>
            <w:r w:rsidRPr="00D818D7">
              <w:rPr>
                <w:rFonts w:ascii="Times New Roman" w:eastAsia="Times New Roman" w:hAnsi="Times New Roman" w:cs="Times New Roman"/>
                <w:i/>
                <w:iCs/>
                <w:color w:val="000000"/>
                <w:sz w:val="24"/>
                <w:szCs w:val="24"/>
                <w:lang w:val="lv-LV"/>
              </w:rPr>
              <w:t>euro</w:t>
            </w:r>
            <w:proofErr w:type="spellEnd"/>
            <w:r w:rsidRPr="00D818D7">
              <w:rPr>
                <w:rFonts w:ascii="Times New Roman" w:eastAsia="Times New Roman" w:hAnsi="Times New Roman" w:cs="Times New Roman"/>
                <w:color w:val="000000"/>
                <w:sz w:val="24"/>
                <w:szCs w:val="24"/>
                <w:lang w:val="lv-LV"/>
              </w:rPr>
              <w:t xml:space="preserve"> apmērā (no kuriem valsts budžetā iemaksāti jau 10281941,87 </w:t>
            </w:r>
            <w:proofErr w:type="spellStart"/>
            <w:r w:rsidRPr="00D818D7">
              <w:rPr>
                <w:rFonts w:ascii="Times New Roman" w:eastAsia="Times New Roman" w:hAnsi="Times New Roman" w:cs="Times New Roman"/>
                <w:i/>
                <w:iCs/>
                <w:color w:val="000000"/>
                <w:sz w:val="24"/>
                <w:szCs w:val="24"/>
                <w:lang w:val="lv-LV"/>
              </w:rPr>
              <w:t>euro</w:t>
            </w:r>
            <w:proofErr w:type="spellEnd"/>
            <w:r w:rsidRPr="00D818D7">
              <w:rPr>
                <w:rFonts w:ascii="Times New Roman" w:eastAsia="Times New Roman" w:hAnsi="Times New Roman" w:cs="Times New Roman"/>
                <w:b/>
                <w:bCs/>
                <w:color w:val="000000"/>
                <w:sz w:val="24"/>
                <w:szCs w:val="24"/>
                <w:lang w:val="lv-LV"/>
              </w:rPr>
              <w:t>)</w:t>
            </w:r>
            <w:r w:rsidRPr="00D818D7">
              <w:rPr>
                <w:rFonts w:ascii="Times New Roman" w:hAnsi="Times New Roman" w:cs="Times New Roman"/>
                <w:color w:val="000000" w:themeColor="text1"/>
                <w:sz w:val="24"/>
                <w:szCs w:val="24"/>
                <w:shd w:val="clear" w:color="auto" w:fill="FFFFFF"/>
                <w:lang w:val="lv-LV"/>
              </w:rPr>
              <w:t>, un naudas soda maksimālos apmērus, kas noteikti likumprojektā, ir pamats secināt, ka iespējami pieaugtu  arī valsts budžeta ieņēmumi arī turpmāk.</w:t>
            </w:r>
          </w:p>
          <w:p w14:paraId="1002AFBC" w14:textId="77777777" w:rsidR="00853A4D" w:rsidRPr="00D818D7" w:rsidRDefault="00853A4D" w:rsidP="00853A4D">
            <w:pPr>
              <w:spacing w:before="120" w:after="0" w:line="240" w:lineRule="auto"/>
              <w:ind w:right="85"/>
              <w:jc w:val="both"/>
              <w:rPr>
                <w:rFonts w:ascii="Times New Roman" w:hAnsi="Times New Roman" w:cs="Times New Roman"/>
                <w:color w:val="000000" w:themeColor="text1"/>
                <w:sz w:val="24"/>
                <w:szCs w:val="24"/>
                <w:shd w:val="clear" w:color="auto" w:fill="FFFFFF"/>
                <w:lang w:val="lv-LV"/>
              </w:rPr>
            </w:pPr>
            <w:r w:rsidRPr="00D818D7">
              <w:rPr>
                <w:rFonts w:ascii="Times New Roman" w:hAnsi="Times New Roman" w:cs="Times New Roman"/>
                <w:color w:val="000000" w:themeColor="text1"/>
                <w:sz w:val="24"/>
                <w:szCs w:val="24"/>
                <w:shd w:val="clear" w:color="auto" w:fill="FFFFFF"/>
                <w:lang w:val="lv-LV"/>
              </w:rPr>
              <w:t>Lai KP spētu efektīvi vērsties pret komplicētiem ekonomiski un tiesiski sarežģīti novērtējamiem konkurences tiesību pārkāpumiem, jaunākajām konkurences tiesību pārkāpumu izpausmes tendencēm, tostarp digitālajā vidē, tās identificējot, izmeklējot un atklājot, ir nepieciešams atbilstošs finansējums KP IT tehniskās kapacitātes un darbinieku profesionālās kvalifikācijas celšanai,  pētījumu veikšanai un ārējo ekspertu piesaistei.</w:t>
            </w:r>
          </w:p>
          <w:p w14:paraId="521C6B34" w14:textId="77777777" w:rsidR="00853A4D" w:rsidRPr="00D818D7" w:rsidRDefault="00853A4D" w:rsidP="00853A4D">
            <w:pPr>
              <w:spacing w:before="120" w:after="0" w:line="240" w:lineRule="auto"/>
              <w:ind w:right="85"/>
              <w:jc w:val="both"/>
              <w:rPr>
                <w:rFonts w:ascii="Times New Roman" w:hAnsi="Times New Roman" w:cs="Times New Roman"/>
                <w:color w:val="000000" w:themeColor="text1"/>
                <w:sz w:val="24"/>
                <w:szCs w:val="24"/>
                <w:shd w:val="clear" w:color="auto" w:fill="FFFFFF"/>
                <w:lang w:val="lv-LV"/>
              </w:rPr>
            </w:pPr>
            <w:r w:rsidRPr="00D818D7">
              <w:rPr>
                <w:rFonts w:ascii="Times New Roman" w:hAnsi="Times New Roman" w:cs="Times New Roman"/>
                <w:color w:val="000000" w:themeColor="text1"/>
                <w:sz w:val="24"/>
                <w:szCs w:val="24"/>
                <w:shd w:val="clear" w:color="auto" w:fill="FFFFFF"/>
                <w:lang w:val="lv-LV"/>
              </w:rPr>
              <w:t xml:space="preserve">Tādējādi, lai izpildītu ECN+ direktīvā noteiktos pienākumus, nepieciešams KP piešķirt papildus finansējumu personāla, tehniskās un tehnoloģiskās kapacitātes stiprināšanai. Pasākuma īstenošanai nepieciešamais papildus finansējums 2021.gadā - 716 891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t.sk. atlīdzībām 397 041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2022.gadā – 720 879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t.sk. atlīdzībām 557 829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2023.gadā – 800 215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 xml:space="preserve">, t.sk. atlīdzībām 662 165 </w:t>
            </w:r>
            <w:proofErr w:type="spellStart"/>
            <w:r w:rsidRPr="00D818D7">
              <w:rPr>
                <w:rFonts w:ascii="Times New Roman" w:hAnsi="Times New Roman" w:cs="Times New Roman"/>
                <w:i/>
                <w:iCs/>
                <w:color w:val="000000" w:themeColor="text1"/>
                <w:sz w:val="24"/>
                <w:szCs w:val="24"/>
                <w:shd w:val="clear" w:color="auto" w:fill="FFFFFF"/>
                <w:lang w:val="lv-LV"/>
              </w:rPr>
              <w:t>euro</w:t>
            </w:r>
            <w:proofErr w:type="spellEnd"/>
            <w:r w:rsidRPr="00D818D7">
              <w:rPr>
                <w:rFonts w:ascii="Times New Roman" w:hAnsi="Times New Roman" w:cs="Times New Roman"/>
                <w:color w:val="000000" w:themeColor="text1"/>
                <w:sz w:val="24"/>
                <w:szCs w:val="24"/>
                <w:shd w:val="clear" w:color="auto" w:fill="FFFFFF"/>
                <w:lang w:val="lv-LV"/>
              </w:rPr>
              <w:t>.</w:t>
            </w:r>
          </w:p>
          <w:p w14:paraId="274994AA" w14:textId="77777777" w:rsidR="00853A4D" w:rsidRPr="00D818D7" w:rsidRDefault="00853A4D" w:rsidP="00853A4D">
            <w:pPr>
              <w:spacing w:before="120" w:after="0" w:line="240" w:lineRule="auto"/>
              <w:ind w:right="85"/>
              <w:jc w:val="both"/>
              <w:rPr>
                <w:rFonts w:ascii="Times New Roman" w:eastAsia="Times New Roman" w:hAnsi="Times New Roman" w:cs="Times New Roman"/>
                <w:iCs/>
                <w:color w:val="000000" w:themeColor="text1"/>
                <w:sz w:val="24"/>
                <w:szCs w:val="24"/>
                <w:lang w:val="lv-LV" w:eastAsia="lv-LV"/>
              </w:rPr>
            </w:pPr>
            <w:r w:rsidRPr="00D818D7">
              <w:rPr>
                <w:rFonts w:ascii="Times New Roman" w:eastAsia="Times New Roman" w:hAnsi="Times New Roman" w:cs="Times New Roman"/>
                <w:iCs/>
                <w:color w:val="000000" w:themeColor="text1"/>
                <w:sz w:val="24"/>
                <w:szCs w:val="24"/>
                <w:lang w:val="lv-LV" w:eastAsia="lv-LV"/>
              </w:rPr>
              <w:t xml:space="preserve">Turpmāk tekstā atspoguļots arī detalizēts izdevumu aprēķins. </w:t>
            </w:r>
          </w:p>
          <w:p w14:paraId="4CD91161" w14:textId="77777777" w:rsidR="00853A4D" w:rsidRPr="00D818D7" w:rsidRDefault="00853A4D" w:rsidP="00853A4D">
            <w:pPr>
              <w:spacing w:before="240" w:after="0" w:line="240" w:lineRule="auto"/>
              <w:ind w:right="85"/>
              <w:jc w:val="both"/>
              <w:rPr>
                <w:rFonts w:ascii="Times New Roman" w:eastAsia="Times New Roman" w:hAnsi="Times New Roman" w:cs="Times New Roman"/>
                <w:b/>
                <w:bCs/>
                <w:iCs/>
                <w:color w:val="000000" w:themeColor="text1"/>
                <w:sz w:val="24"/>
                <w:szCs w:val="24"/>
                <w:u w:val="single"/>
                <w:lang w:val="lv-LV" w:eastAsia="lv-LV"/>
              </w:rPr>
            </w:pPr>
            <w:r w:rsidRPr="00D818D7">
              <w:rPr>
                <w:rFonts w:ascii="Times New Roman" w:hAnsi="Times New Roman" w:cs="Times New Roman"/>
                <w:b/>
                <w:bCs/>
                <w:iCs/>
                <w:color w:val="000000" w:themeColor="text1"/>
                <w:sz w:val="24"/>
                <w:szCs w:val="24"/>
                <w:u w:val="single"/>
                <w:lang w:val="lv-LV"/>
              </w:rPr>
              <w:lastRenderedPageBreak/>
              <w:t>Atlīdzība</w:t>
            </w:r>
            <w:r w:rsidRPr="00D818D7">
              <w:rPr>
                <w:rFonts w:ascii="Times New Roman" w:eastAsia="Times New Roman" w:hAnsi="Times New Roman" w:cs="Times New Roman"/>
                <w:b/>
                <w:bCs/>
                <w:iCs/>
                <w:color w:val="000000" w:themeColor="text1"/>
                <w:sz w:val="24"/>
                <w:szCs w:val="24"/>
                <w:u w:val="single"/>
                <w:lang w:val="lv-LV" w:eastAsia="lv-LV"/>
              </w:rPr>
              <w:t xml:space="preserve"> </w:t>
            </w:r>
          </w:p>
          <w:p w14:paraId="3E7C84FD" w14:textId="77777777" w:rsidR="00853A4D" w:rsidRPr="00D818D7" w:rsidRDefault="00853A4D" w:rsidP="00853A4D">
            <w:pPr>
              <w:spacing w:before="120" w:after="0" w:line="240" w:lineRule="auto"/>
              <w:ind w:right="85"/>
              <w:jc w:val="both"/>
              <w:rPr>
                <w:rFonts w:ascii="Times New Roman" w:hAnsi="Times New Roman" w:cs="Times New Roman"/>
                <w:iCs/>
                <w:color w:val="000000" w:themeColor="text1"/>
                <w:sz w:val="24"/>
                <w:szCs w:val="24"/>
                <w:lang w:val="lv-LV"/>
              </w:rPr>
            </w:pPr>
            <w:r w:rsidRPr="00D818D7">
              <w:rPr>
                <w:rFonts w:ascii="Times New Roman" w:eastAsia="Times New Roman" w:hAnsi="Times New Roman" w:cs="Times New Roman"/>
                <w:color w:val="000000" w:themeColor="text1"/>
                <w:sz w:val="24"/>
                <w:szCs w:val="24"/>
                <w:lang w:val="lv-LV" w:eastAsia="lv-LV"/>
              </w:rPr>
              <w:t>I</w:t>
            </w:r>
            <w:r w:rsidRPr="00D818D7">
              <w:rPr>
                <w:rFonts w:ascii="Times New Roman" w:hAnsi="Times New Roman" w:cs="Times New Roman"/>
                <w:iCs/>
                <w:color w:val="000000" w:themeColor="text1"/>
                <w:sz w:val="24"/>
                <w:szCs w:val="24"/>
                <w:lang w:val="lv-LV"/>
              </w:rPr>
              <w:t xml:space="preserve">estādei </w:t>
            </w:r>
            <w:r w:rsidRPr="00D818D7">
              <w:rPr>
                <w:rFonts w:ascii="Times New Roman" w:hAnsi="Times New Roman" w:cs="Times New Roman"/>
                <w:i/>
                <w:color w:val="000000" w:themeColor="text1"/>
                <w:sz w:val="24"/>
                <w:szCs w:val="24"/>
                <w:lang w:val="lv-LV"/>
              </w:rPr>
              <w:t xml:space="preserve">Atlīdzībām </w:t>
            </w:r>
            <w:r w:rsidRPr="00D818D7">
              <w:rPr>
                <w:rFonts w:ascii="Times New Roman" w:hAnsi="Times New Roman" w:cs="Times New Roman"/>
                <w:iCs/>
                <w:color w:val="000000" w:themeColor="text1"/>
                <w:sz w:val="24"/>
                <w:szCs w:val="24"/>
                <w:lang w:val="lv-LV"/>
              </w:rPr>
              <w:t xml:space="preserve">papildus nepieciešamais finansējums </w:t>
            </w:r>
            <w:r w:rsidRPr="00D818D7">
              <w:rPr>
                <w:rFonts w:ascii="Times New Roman" w:hAnsi="Times New Roman" w:cs="Times New Roman"/>
                <w:b/>
                <w:bCs/>
                <w:iCs/>
                <w:color w:val="000000" w:themeColor="text1"/>
                <w:sz w:val="24"/>
                <w:szCs w:val="24"/>
                <w:lang w:val="lv-LV"/>
              </w:rPr>
              <w:t>2021. gadā</w:t>
            </w:r>
            <w:r w:rsidRPr="00D818D7">
              <w:rPr>
                <w:rFonts w:ascii="Times New Roman" w:hAnsi="Times New Roman" w:cs="Times New Roman"/>
                <w:iCs/>
                <w:color w:val="000000" w:themeColor="text1"/>
                <w:sz w:val="24"/>
                <w:szCs w:val="24"/>
                <w:lang w:val="lv-LV"/>
              </w:rPr>
              <w:t xml:space="preserve"> veido </w:t>
            </w:r>
            <w:r w:rsidRPr="00D818D7">
              <w:rPr>
                <w:rFonts w:ascii="Times New Roman" w:hAnsi="Times New Roman" w:cs="Times New Roman"/>
                <w:b/>
                <w:bCs/>
                <w:iCs/>
                <w:color w:val="000000" w:themeColor="text1"/>
                <w:sz w:val="24"/>
                <w:szCs w:val="24"/>
                <w:lang w:val="lv-LV"/>
              </w:rPr>
              <w:t xml:space="preserve">397 041 </w:t>
            </w:r>
            <w:proofErr w:type="spellStart"/>
            <w:r w:rsidRPr="00D818D7">
              <w:rPr>
                <w:rFonts w:ascii="Times New Roman" w:hAnsi="Times New Roman" w:cs="Times New Roman"/>
                <w:b/>
                <w:bCs/>
                <w:i/>
                <w:color w:val="000000" w:themeColor="text1"/>
                <w:sz w:val="24"/>
                <w:szCs w:val="24"/>
                <w:lang w:val="lv-LV"/>
              </w:rPr>
              <w:t>euro</w:t>
            </w:r>
            <w:proofErr w:type="spellEnd"/>
            <w:r w:rsidRPr="00D818D7">
              <w:rPr>
                <w:rFonts w:ascii="Times New Roman" w:hAnsi="Times New Roman" w:cs="Times New Roman"/>
                <w:b/>
                <w:bCs/>
                <w:i/>
                <w:color w:val="000000" w:themeColor="text1"/>
                <w:sz w:val="24"/>
                <w:szCs w:val="24"/>
                <w:lang w:val="lv-LV"/>
              </w:rPr>
              <w:t>, 2022</w:t>
            </w:r>
            <w:r w:rsidRPr="00D818D7">
              <w:rPr>
                <w:rFonts w:ascii="Times New Roman" w:hAnsi="Times New Roman" w:cs="Times New Roman"/>
                <w:b/>
                <w:bCs/>
                <w:iCs/>
                <w:color w:val="000000" w:themeColor="text1"/>
                <w:sz w:val="24"/>
                <w:szCs w:val="24"/>
                <w:lang w:val="lv-LV"/>
              </w:rPr>
              <w:t xml:space="preserve">. gadā 557 829 </w:t>
            </w:r>
            <w:proofErr w:type="spellStart"/>
            <w:r w:rsidRPr="00D818D7">
              <w:rPr>
                <w:rFonts w:ascii="Times New Roman" w:hAnsi="Times New Roman" w:cs="Times New Roman"/>
                <w:b/>
                <w:bCs/>
                <w:i/>
                <w:color w:val="000000" w:themeColor="text1"/>
                <w:sz w:val="24"/>
                <w:szCs w:val="24"/>
                <w:lang w:val="lv-LV"/>
              </w:rPr>
              <w:t>euro</w:t>
            </w:r>
            <w:proofErr w:type="spellEnd"/>
            <w:r w:rsidRPr="00D818D7">
              <w:rPr>
                <w:rFonts w:ascii="Times New Roman" w:hAnsi="Times New Roman" w:cs="Times New Roman"/>
                <w:iCs/>
                <w:color w:val="000000" w:themeColor="text1"/>
                <w:sz w:val="24"/>
                <w:szCs w:val="24"/>
                <w:lang w:val="lv-LV"/>
              </w:rPr>
              <w:t xml:space="preserve"> un </w:t>
            </w:r>
            <w:r w:rsidRPr="00D818D7">
              <w:rPr>
                <w:rFonts w:ascii="Times New Roman" w:hAnsi="Times New Roman" w:cs="Times New Roman"/>
                <w:b/>
                <w:bCs/>
                <w:iCs/>
                <w:color w:val="000000" w:themeColor="text1"/>
                <w:sz w:val="24"/>
                <w:szCs w:val="24"/>
                <w:lang w:val="lv-LV"/>
              </w:rPr>
              <w:t xml:space="preserve">2023. gadā 662 165 </w:t>
            </w:r>
            <w:proofErr w:type="spellStart"/>
            <w:r w:rsidRPr="00D818D7">
              <w:rPr>
                <w:rFonts w:ascii="Times New Roman" w:hAnsi="Times New Roman" w:cs="Times New Roman"/>
                <w:b/>
                <w:bCs/>
                <w:i/>
                <w:color w:val="000000" w:themeColor="text1"/>
                <w:sz w:val="24"/>
                <w:szCs w:val="24"/>
                <w:lang w:val="lv-LV"/>
              </w:rPr>
              <w:t>euro</w:t>
            </w:r>
            <w:proofErr w:type="spellEnd"/>
            <w:r w:rsidRPr="00D818D7">
              <w:rPr>
                <w:rFonts w:ascii="Times New Roman" w:hAnsi="Times New Roman" w:cs="Times New Roman"/>
                <w:iCs/>
                <w:color w:val="000000" w:themeColor="text1"/>
                <w:sz w:val="24"/>
                <w:szCs w:val="24"/>
                <w:lang w:val="lv-LV"/>
              </w:rPr>
              <w:t>. Aprēķins ir balstīts uz pieņēmumu, ka mēnešalgu noteikšanā ir piemērots Valsts un pašvaldību institūciju amatpersonu un darbinieku atlīdzības likumā</w:t>
            </w:r>
            <w:r w:rsidRPr="00D818D7">
              <w:rPr>
                <w:rFonts w:ascii="Times New Roman" w:hAnsi="Times New Roman" w:cs="Times New Roman"/>
                <w:color w:val="000000" w:themeColor="text1"/>
                <w:sz w:val="24"/>
                <w:szCs w:val="24"/>
                <w:lang w:val="lv-LV"/>
              </w:rPr>
              <w:t xml:space="preserve"> </w:t>
            </w:r>
            <w:r w:rsidRPr="00D818D7">
              <w:rPr>
                <w:rFonts w:ascii="Times New Roman" w:hAnsi="Times New Roman" w:cs="Times New Roman"/>
                <w:iCs/>
                <w:color w:val="000000" w:themeColor="text1"/>
                <w:sz w:val="24"/>
                <w:szCs w:val="24"/>
                <w:lang w:val="lv-LV"/>
              </w:rPr>
              <w:t>KP noteiktais koeficients 4.05 un attiecīgā gada bāzes alga. Detalizētu aprēķinu skatīt pielikumā.</w:t>
            </w:r>
          </w:p>
          <w:p w14:paraId="4A06B414" w14:textId="77777777" w:rsidR="00853A4D" w:rsidRPr="00D818D7" w:rsidRDefault="00853A4D" w:rsidP="00853A4D">
            <w:pPr>
              <w:spacing w:before="120" w:after="0" w:line="240" w:lineRule="auto"/>
              <w:jc w:val="both"/>
              <w:rPr>
                <w:rFonts w:ascii="Times New Roman" w:hAnsi="Times New Roman" w:cs="Times New Roman"/>
                <w:b/>
                <w:bCs/>
                <w:iCs/>
                <w:color w:val="000000" w:themeColor="text1"/>
                <w:sz w:val="24"/>
                <w:szCs w:val="24"/>
                <w:lang w:val="lv-LV"/>
              </w:rPr>
            </w:pPr>
          </w:p>
          <w:p w14:paraId="7E3738C1" w14:textId="77777777" w:rsidR="00853A4D" w:rsidRPr="00D818D7" w:rsidRDefault="00853A4D" w:rsidP="00853A4D">
            <w:pPr>
              <w:spacing w:before="120"/>
              <w:ind w:right="85"/>
              <w:jc w:val="both"/>
              <w:rPr>
                <w:rFonts w:ascii="Times New Roman" w:hAnsi="Times New Roman" w:cs="Times New Roman"/>
                <w:b/>
                <w:bCs/>
                <w:iCs/>
                <w:sz w:val="24"/>
                <w:szCs w:val="24"/>
                <w:u w:val="single"/>
                <w:lang w:val="lv-LV"/>
              </w:rPr>
            </w:pPr>
            <w:r w:rsidRPr="00D818D7">
              <w:rPr>
                <w:rFonts w:ascii="Times New Roman" w:hAnsi="Times New Roman" w:cs="Times New Roman"/>
                <w:b/>
                <w:bCs/>
                <w:iCs/>
                <w:sz w:val="24"/>
                <w:szCs w:val="24"/>
                <w:u w:val="single"/>
                <w:lang w:val="lv-LV"/>
              </w:rPr>
              <w:t xml:space="preserve">Preces/pakalpojumi </w:t>
            </w:r>
          </w:p>
          <w:p w14:paraId="27894DFC" w14:textId="77777777" w:rsidR="00853A4D" w:rsidRPr="00D818D7" w:rsidRDefault="00853A4D" w:rsidP="00853A4D">
            <w:pPr>
              <w:spacing w:before="120"/>
              <w:jc w:val="both"/>
              <w:rPr>
                <w:rFonts w:ascii="Times New Roman" w:hAnsi="Times New Roman" w:cs="Times New Roman"/>
                <w:b/>
                <w:bCs/>
                <w:i/>
                <w:sz w:val="24"/>
                <w:szCs w:val="24"/>
                <w:lang w:val="lv-LV"/>
              </w:rPr>
            </w:pPr>
            <w:r w:rsidRPr="00D818D7">
              <w:rPr>
                <w:rFonts w:ascii="Times New Roman" w:hAnsi="Times New Roman" w:cs="Times New Roman"/>
                <w:b/>
                <w:bCs/>
                <w:i/>
                <w:sz w:val="24"/>
                <w:szCs w:val="24"/>
                <w:lang w:val="lv-LV"/>
              </w:rPr>
              <w:t>2021.gadā</w:t>
            </w:r>
          </w:p>
          <w:p w14:paraId="5981786A" w14:textId="7821E42C" w:rsidR="00853A4D" w:rsidRPr="00D818D7" w:rsidRDefault="00853A4D" w:rsidP="00853A4D">
            <w:pPr>
              <w:spacing w:before="120" w:after="0" w:line="240" w:lineRule="auto"/>
              <w:jc w:val="both"/>
              <w:rPr>
                <w:rFonts w:ascii="Times New Roman" w:hAnsi="Times New Roman" w:cs="Times New Roman"/>
                <w:iCs/>
                <w:sz w:val="24"/>
                <w:szCs w:val="24"/>
                <w:lang w:val="lv-LV"/>
              </w:rPr>
            </w:pPr>
            <w:r w:rsidRPr="00D818D7">
              <w:rPr>
                <w:rFonts w:ascii="Times New Roman" w:hAnsi="Times New Roman" w:cs="Times New Roman"/>
                <w:iCs/>
                <w:sz w:val="24"/>
                <w:szCs w:val="24"/>
                <w:lang w:val="lv-LV"/>
              </w:rPr>
              <w:t>K</w:t>
            </w:r>
            <w:r w:rsidR="0027068A" w:rsidRPr="00D818D7">
              <w:rPr>
                <w:rFonts w:ascii="Times New Roman" w:hAnsi="Times New Roman" w:cs="Times New Roman"/>
                <w:iCs/>
                <w:sz w:val="24"/>
                <w:szCs w:val="24"/>
                <w:lang w:val="lv-LV"/>
              </w:rPr>
              <w:t>P</w:t>
            </w:r>
            <w:r w:rsidRPr="00D818D7">
              <w:rPr>
                <w:rFonts w:ascii="Times New Roman" w:hAnsi="Times New Roman" w:cs="Times New Roman"/>
                <w:iCs/>
                <w:sz w:val="24"/>
                <w:szCs w:val="24"/>
                <w:lang w:val="lv-LV"/>
              </w:rPr>
              <w:t xml:space="preserve"> nepieciešams papildu finansējums:</w:t>
            </w:r>
          </w:p>
          <w:p w14:paraId="56F5595E"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ātrgaitas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datu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nesēji</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20 gab</w:t>
            </w:r>
            <w:r w:rsidRPr="00D818D7">
              <w:rPr>
                <w:rFonts w:ascii="Times New Roman" w:hAnsi="Times New Roman" w:cs="Times New Roman"/>
                <w:iCs/>
                <w:sz w:val="24"/>
                <w:szCs w:val="24"/>
              </w:rPr>
              <w:t xml:space="preserve">.) 3 600 </w:t>
            </w:r>
            <w:r w:rsidRPr="00D818D7">
              <w:rPr>
                <w:rFonts w:ascii="Times New Roman" w:hAnsi="Times New Roman" w:cs="Times New Roman"/>
                <w:i/>
                <w:sz w:val="24"/>
                <w:szCs w:val="24"/>
              </w:rPr>
              <w:t>euro;</w:t>
            </w:r>
          </w:p>
          <w:p w14:paraId="1D724357"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programmatūras</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X1Search</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250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438E326D"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Mac</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tipa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datora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analīzei</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1 000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413166ED"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sz w:val="24"/>
                <w:szCs w:val="24"/>
              </w:rPr>
              <w:t xml:space="preserve">- </w:t>
            </w:r>
            <w:r w:rsidRPr="00D818D7">
              <w:rPr>
                <w:rFonts w:ascii="Times New Roman" w:hAnsi="Times New Roman" w:cs="Times New Roman"/>
                <w:iCs/>
                <w:sz w:val="24"/>
                <w:szCs w:val="24"/>
              </w:rPr>
              <w:t xml:space="preserve">2-3 </w:t>
            </w:r>
            <w:proofErr w:type="spellStart"/>
            <w:r w:rsidRPr="00D818D7">
              <w:rPr>
                <w:rFonts w:ascii="Times New Roman" w:hAnsi="Times New Roman" w:cs="Times New Roman"/>
                <w:iCs/>
                <w:sz w:val="24"/>
                <w:szCs w:val="24"/>
              </w:rPr>
              <w:t>amatpersonu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stažēšanās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apmācības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citas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valsts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konkurences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iestādē</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līdz</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mēnešiem</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sadarbības</w:t>
            </w:r>
            <w:proofErr w:type="spellEnd"/>
            <w:r w:rsidRPr="00D818D7">
              <w:rPr>
                <w:rFonts w:ascii="Times New Roman" w:hAnsi="Times New Roman" w:cs="Times New Roman"/>
                <w:iCs/>
                <w:sz w:val="24"/>
                <w:szCs w:val="24"/>
              </w:rPr>
              <w:t xml:space="preserve"> un </w:t>
            </w:r>
            <w:proofErr w:type="spellStart"/>
            <w:r w:rsidRPr="00D818D7">
              <w:rPr>
                <w:rFonts w:ascii="Times New Roman" w:hAnsi="Times New Roman" w:cs="Times New Roman"/>
                <w:iCs/>
                <w:sz w:val="24"/>
                <w:szCs w:val="24"/>
              </w:rPr>
              <w:t>apmācību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nodrošināšanai</w:t>
            </w:r>
            <w:proofErr w:type="spellEnd"/>
            <w:r w:rsidRPr="00D818D7">
              <w:rPr>
                <w:rFonts w:ascii="Times New Roman" w:hAnsi="Times New Roman" w:cs="Times New Roman"/>
                <w:iCs/>
                <w:sz w:val="24"/>
                <w:szCs w:val="24"/>
              </w:rPr>
              <w:t xml:space="preserve"> (</w:t>
            </w:r>
            <w:proofErr w:type="gramStart"/>
            <w:r w:rsidRPr="00D818D7">
              <w:rPr>
                <w:rFonts w:ascii="Times New Roman" w:hAnsi="Times New Roman" w:cs="Times New Roman"/>
                <w:iCs/>
                <w:sz w:val="24"/>
                <w:szCs w:val="24"/>
              </w:rPr>
              <w:t>33 600</w:t>
            </w:r>
            <w:r w:rsidRPr="00D818D7">
              <w:rPr>
                <w:rFonts w:ascii="Times New Roman" w:hAnsi="Times New Roman" w:cs="Times New Roman"/>
                <w:i/>
                <w:sz w:val="24"/>
                <w:szCs w:val="24"/>
              </w:rPr>
              <w:t xml:space="preserve"> euro</w:t>
            </w:r>
            <w:proofErr w:type="gram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t.sk.</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aviobiļete</w:t>
            </w:r>
            <w:proofErr w:type="spellEnd"/>
            <w:r w:rsidRPr="00D818D7">
              <w:rPr>
                <w:rFonts w:ascii="Times New Roman" w:hAnsi="Times New Roman" w:cs="Times New Roman"/>
                <w:i/>
                <w:sz w:val="24"/>
                <w:szCs w:val="24"/>
              </w:rPr>
              <w:t xml:space="preserve"> 1 200 euro, </w:t>
            </w:r>
            <w:proofErr w:type="spellStart"/>
            <w:r w:rsidRPr="00D818D7">
              <w:rPr>
                <w:rFonts w:ascii="Times New Roman" w:hAnsi="Times New Roman" w:cs="Times New Roman"/>
                <w:i/>
                <w:sz w:val="24"/>
                <w:szCs w:val="24"/>
              </w:rPr>
              <w:t>viesnīca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- 27 000 euro,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nauda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- 5 400 euro</w:t>
            </w:r>
            <w:r w:rsidRPr="00D818D7">
              <w:rPr>
                <w:rFonts w:ascii="Times New Roman" w:hAnsi="Times New Roman" w:cs="Times New Roman"/>
                <w:iCs/>
                <w:sz w:val="24"/>
                <w:szCs w:val="24"/>
              </w:rPr>
              <w:t>);</w:t>
            </w:r>
          </w:p>
          <w:p w14:paraId="1F465815"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ārējo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ekspertu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pakalpojuma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piesaistīšana</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izpētes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lietās</w:t>
            </w:r>
            <w:proofErr w:type="spellEnd"/>
            <w:r w:rsidRPr="00D818D7">
              <w:rPr>
                <w:rFonts w:ascii="Times New Roman" w:hAnsi="Times New Roman" w:cs="Times New Roman"/>
                <w:iCs/>
                <w:sz w:val="24"/>
                <w:szCs w:val="24"/>
              </w:rPr>
              <w:t xml:space="preserve"> 15 000</w:t>
            </w:r>
            <w:r w:rsidRPr="00D818D7">
              <w:rPr>
                <w:rFonts w:ascii="Times New Roman" w:hAnsi="Times New Roman" w:cs="Times New Roman"/>
                <w:i/>
                <w:sz w:val="24"/>
                <w:szCs w:val="24"/>
              </w:rPr>
              <w:t xml:space="preserve"> euro</w:t>
            </w:r>
            <w:r w:rsidRPr="00D818D7">
              <w:rPr>
                <w:rFonts w:ascii="Times New Roman" w:hAnsi="Times New Roman" w:cs="Times New Roman"/>
                <w:iCs/>
                <w:sz w:val="24"/>
                <w:szCs w:val="24"/>
              </w:rPr>
              <w:t>;</w:t>
            </w:r>
          </w:p>
          <w:p w14:paraId="68ADEA21"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pētījumu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veikšana</w:t>
            </w:r>
            <w:proofErr w:type="spellEnd"/>
            <w:r w:rsidRPr="00D818D7">
              <w:rPr>
                <w:rFonts w:ascii="Times New Roman" w:hAnsi="Times New Roman" w:cs="Times New Roman"/>
                <w:iCs/>
                <w:sz w:val="24"/>
                <w:szCs w:val="24"/>
              </w:rPr>
              <w:t xml:space="preserve"> KP </w:t>
            </w:r>
            <w:proofErr w:type="spellStart"/>
            <w:r w:rsidRPr="00D818D7">
              <w:rPr>
                <w:rFonts w:ascii="Times New Roman" w:hAnsi="Times New Roman" w:cs="Times New Roman"/>
                <w:iCs/>
                <w:sz w:val="24"/>
                <w:szCs w:val="24"/>
              </w:rPr>
              <w:t>uzdevumā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trīs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gadā</w:t>
            </w:r>
            <w:proofErr w:type="spellEnd"/>
            <w:r w:rsidRPr="00D818D7">
              <w:rPr>
                <w:rFonts w:ascii="Times New Roman" w:hAnsi="Times New Roman" w:cs="Times New Roman"/>
                <w:iCs/>
                <w:sz w:val="24"/>
                <w:szCs w:val="24"/>
              </w:rPr>
              <w:t>) 20 000</w:t>
            </w:r>
            <w:r w:rsidRPr="00D818D7">
              <w:rPr>
                <w:rFonts w:ascii="Times New Roman" w:hAnsi="Times New Roman" w:cs="Times New Roman"/>
                <w:i/>
                <w:sz w:val="24"/>
                <w:szCs w:val="24"/>
              </w:rPr>
              <w:t xml:space="preserve"> euro</w:t>
            </w:r>
            <w:r w:rsidRPr="00D818D7">
              <w:rPr>
                <w:rFonts w:ascii="Times New Roman" w:hAnsi="Times New Roman" w:cs="Times New Roman"/>
                <w:iCs/>
                <w:sz w:val="24"/>
                <w:szCs w:val="24"/>
              </w:rPr>
              <w:t>;</w:t>
            </w:r>
          </w:p>
          <w:p w14:paraId="72FBDF48"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KP </w:t>
            </w:r>
            <w:proofErr w:type="spellStart"/>
            <w:r w:rsidRPr="00D818D7">
              <w:rPr>
                <w:rFonts w:ascii="Times New Roman" w:hAnsi="Times New Roman" w:cs="Times New Roman"/>
                <w:iCs/>
                <w:sz w:val="24"/>
                <w:szCs w:val="24"/>
              </w:rPr>
              <w:t>darbinieku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apmācības</w:t>
            </w:r>
            <w:proofErr w:type="spellEnd"/>
            <w:r w:rsidRPr="00D818D7">
              <w:rPr>
                <w:rFonts w:ascii="Times New Roman" w:hAnsi="Times New Roman" w:cs="Times New Roman"/>
                <w:iCs/>
                <w:sz w:val="24"/>
                <w:szCs w:val="24"/>
              </w:rPr>
              <w:t xml:space="preserve"> par </w:t>
            </w:r>
            <w:proofErr w:type="spellStart"/>
            <w:r w:rsidRPr="00D818D7">
              <w:rPr>
                <w:rFonts w:ascii="Times New Roman" w:hAnsi="Times New Roman" w:cs="Times New Roman"/>
                <w:i/>
                <w:sz w:val="24"/>
                <w:szCs w:val="24"/>
              </w:rPr>
              <w:t>Forencic</w:t>
            </w:r>
            <w:proofErr w:type="spellEnd"/>
            <w:r w:rsidRPr="00D818D7">
              <w:rPr>
                <w:rFonts w:ascii="Times New Roman" w:hAnsi="Times New Roman" w:cs="Times New Roman"/>
                <w:i/>
                <w:sz w:val="24"/>
                <w:szCs w:val="24"/>
              </w:rPr>
              <w:t xml:space="preserve"> IT</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prasmju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pilnveidošanu</w:t>
            </w:r>
            <w:proofErr w:type="spellEnd"/>
            <w:r w:rsidRPr="00D818D7">
              <w:rPr>
                <w:rFonts w:ascii="Times New Roman" w:hAnsi="Times New Roman" w:cs="Times New Roman"/>
                <w:iCs/>
                <w:sz w:val="24"/>
                <w:szCs w:val="24"/>
              </w:rPr>
              <w:t xml:space="preserve"> (2 </w:t>
            </w:r>
            <w:proofErr w:type="spellStart"/>
            <w:r w:rsidRPr="00D818D7">
              <w:rPr>
                <w:rFonts w:ascii="Times New Roman" w:hAnsi="Times New Roman" w:cs="Times New Roman"/>
                <w:iCs/>
                <w:sz w:val="24"/>
                <w:szCs w:val="24"/>
              </w:rPr>
              <w:t>amatpersonas</w:t>
            </w:r>
            <w:proofErr w:type="spellEnd"/>
            <w:r w:rsidRPr="00D818D7">
              <w:rPr>
                <w:rFonts w:ascii="Times New Roman" w:hAnsi="Times New Roman" w:cs="Times New Roman"/>
                <w:iCs/>
                <w:sz w:val="24"/>
                <w:szCs w:val="24"/>
              </w:rPr>
              <w:t xml:space="preserve">) un </w:t>
            </w:r>
            <w:proofErr w:type="spellStart"/>
            <w:r w:rsidRPr="00D818D7">
              <w:rPr>
                <w:rFonts w:ascii="Times New Roman" w:hAnsi="Times New Roman" w:cs="Times New Roman"/>
                <w:iCs/>
                <w:sz w:val="24"/>
                <w:szCs w:val="24"/>
              </w:rPr>
              <w:t>konkurences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tiesību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ekonomiskiem</w:t>
            </w:r>
            <w:proofErr w:type="spellEnd"/>
            <w:r w:rsidRPr="00D818D7">
              <w:rPr>
                <w:rFonts w:ascii="Times New Roman" w:hAnsi="Times New Roman" w:cs="Times New Roman"/>
                <w:iCs/>
                <w:sz w:val="24"/>
                <w:szCs w:val="24"/>
              </w:rPr>
              <w:t xml:space="preserve"> un </w:t>
            </w:r>
            <w:proofErr w:type="spellStart"/>
            <w:r w:rsidRPr="00D818D7">
              <w:rPr>
                <w:rFonts w:ascii="Times New Roman" w:hAnsi="Times New Roman" w:cs="Times New Roman"/>
                <w:iCs/>
                <w:sz w:val="24"/>
                <w:szCs w:val="24"/>
              </w:rPr>
              <w:t>juridiskiem</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aspektiem</w:t>
            </w:r>
            <w:proofErr w:type="spellEnd"/>
            <w:r w:rsidRPr="00D818D7">
              <w:rPr>
                <w:rFonts w:ascii="Times New Roman" w:hAnsi="Times New Roman" w:cs="Times New Roman"/>
                <w:iCs/>
                <w:sz w:val="24"/>
                <w:szCs w:val="24"/>
              </w:rPr>
              <w:t xml:space="preserve"> 50 000</w:t>
            </w:r>
            <w:r w:rsidRPr="00D818D7">
              <w:rPr>
                <w:rFonts w:ascii="Times New Roman" w:hAnsi="Times New Roman" w:cs="Times New Roman"/>
                <w:i/>
                <w:sz w:val="24"/>
                <w:szCs w:val="24"/>
              </w:rPr>
              <w:t xml:space="preserve"> euro;</w:t>
            </w:r>
          </w:p>
          <w:p w14:paraId="43B1D18E"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sz w:val="24"/>
                <w:szCs w:val="24"/>
              </w:rPr>
              <w:t xml:space="preserve">- </w:t>
            </w:r>
            <w:proofErr w:type="spellStart"/>
            <w:r w:rsidRPr="00D818D7">
              <w:rPr>
                <w:rFonts w:ascii="Times New Roman" w:hAnsi="Times New Roman" w:cs="Times New Roman"/>
                <w:iCs/>
                <w:sz w:val="24"/>
                <w:szCs w:val="24"/>
              </w:rPr>
              <w:t>ārējo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ekspertu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pakalpojuma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piesaistīšana</w:t>
            </w:r>
            <w:proofErr w:type="spellEnd"/>
            <w:r w:rsidRPr="00D818D7">
              <w:rPr>
                <w:rFonts w:ascii="Times New Roman" w:hAnsi="Times New Roman" w:cs="Times New Roman"/>
                <w:iCs/>
                <w:sz w:val="24"/>
                <w:szCs w:val="24"/>
              </w:rPr>
              <w:t xml:space="preserve"> </w:t>
            </w:r>
            <w:proofErr w:type="spellStart"/>
            <w:proofErr w:type="gramStart"/>
            <w:r w:rsidRPr="00D818D7">
              <w:rPr>
                <w:rFonts w:ascii="Times New Roman" w:hAnsi="Times New Roman" w:cs="Times New Roman"/>
                <w:iCs/>
                <w:sz w:val="24"/>
                <w:szCs w:val="24"/>
              </w:rPr>
              <w:t>sadarbībā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ar</w:t>
            </w:r>
            <w:proofErr w:type="spellEnd"/>
            <w:proofErr w:type="gramEnd"/>
            <w:r w:rsidRPr="00D818D7">
              <w:rPr>
                <w:rFonts w:ascii="Times New Roman" w:hAnsi="Times New Roman" w:cs="Times New Roman"/>
                <w:iCs/>
                <w:sz w:val="24"/>
                <w:szCs w:val="24"/>
              </w:rPr>
              <w:t xml:space="preserve"> EM </w:t>
            </w:r>
            <w:proofErr w:type="spellStart"/>
            <w:r w:rsidRPr="00D818D7">
              <w:rPr>
                <w:rFonts w:ascii="Times New Roman" w:hAnsi="Times New Roman" w:cs="Times New Roman"/>
                <w:iCs/>
                <w:sz w:val="24"/>
                <w:szCs w:val="24"/>
              </w:rPr>
              <w:t>Vienotas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darba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vietas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projekta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īstenošanā</w:t>
            </w:r>
            <w:proofErr w:type="spellEnd"/>
            <w:r w:rsidRPr="00D818D7">
              <w:rPr>
                <w:rFonts w:ascii="Times New Roman" w:hAnsi="Times New Roman" w:cs="Times New Roman"/>
                <w:iCs/>
                <w:sz w:val="24"/>
                <w:szCs w:val="24"/>
              </w:rPr>
              <w:t xml:space="preserve"> (IT </w:t>
            </w:r>
            <w:proofErr w:type="spellStart"/>
            <w:r w:rsidRPr="00D818D7">
              <w:rPr>
                <w:rFonts w:ascii="Times New Roman" w:hAnsi="Times New Roman" w:cs="Times New Roman"/>
                <w:iCs/>
                <w:sz w:val="24"/>
                <w:szCs w:val="24"/>
              </w:rPr>
              <w:t>rīks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karteļa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pazīmju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atklāšanai</w:t>
            </w:r>
            <w:proofErr w:type="spellEnd"/>
            <w:r w:rsidRPr="00D818D7">
              <w:rPr>
                <w:rFonts w:ascii="Times New Roman" w:hAnsi="Times New Roman" w:cs="Times New Roman"/>
                <w:iCs/>
                <w:sz w:val="24"/>
                <w:szCs w:val="24"/>
              </w:rPr>
              <w:t>) 10 000</w:t>
            </w:r>
            <w:r w:rsidRPr="00D818D7">
              <w:rPr>
                <w:rFonts w:ascii="Times New Roman" w:hAnsi="Times New Roman" w:cs="Times New Roman"/>
                <w:i/>
                <w:sz w:val="24"/>
                <w:szCs w:val="24"/>
              </w:rPr>
              <w:t xml:space="preserve"> euro</w:t>
            </w:r>
            <w:r w:rsidRPr="00D818D7">
              <w:rPr>
                <w:rFonts w:ascii="Times New Roman" w:hAnsi="Times New Roman" w:cs="Times New Roman"/>
                <w:iCs/>
                <w:sz w:val="24"/>
                <w:szCs w:val="24"/>
              </w:rPr>
              <w:t xml:space="preserve">;  </w:t>
            </w:r>
          </w:p>
          <w:p w14:paraId="17C10CEE"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apmācības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darbam</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jaunizveidotā</w:t>
            </w:r>
            <w:proofErr w:type="spellEnd"/>
            <w:r w:rsidRPr="00D818D7">
              <w:rPr>
                <w:rFonts w:ascii="Times New Roman" w:hAnsi="Times New Roman" w:cs="Times New Roman"/>
                <w:iCs/>
                <w:sz w:val="24"/>
                <w:szCs w:val="24"/>
              </w:rPr>
              <w:t xml:space="preserve"> IT </w:t>
            </w:r>
            <w:proofErr w:type="spellStart"/>
            <w:r w:rsidRPr="00D818D7">
              <w:rPr>
                <w:rFonts w:ascii="Times New Roman" w:hAnsi="Times New Roman" w:cs="Times New Roman"/>
                <w:iCs/>
                <w:sz w:val="24"/>
                <w:szCs w:val="24"/>
              </w:rPr>
              <w:t>laboratorijā</w:t>
            </w:r>
            <w:proofErr w:type="spellEnd"/>
            <w:r w:rsidRPr="00D818D7">
              <w:rPr>
                <w:rFonts w:ascii="Times New Roman" w:hAnsi="Times New Roman" w:cs="Times New Roman"/>
                <w:iCs/>
                <w:sz w:val="24"/>
                <w:szCs w:val="24"/>
              </w:rPr>
              <w:t xml:space="preserve"> 20 000</w:t>
            </w:r>
            <w:r w:rsidRPr="00D818D7">
              <w:rPr>
                <w:rFonts w:ascii="Times New Roman" w:hAnsi="Times New Roman" w:cs="Times New Roman"/>
                <w:i/>
                <w:sz w:val="24"/>
                <w:szCs w:val="24"/>
              </w:rPr>
              <w:t xml:space="preserve"> euro;</w:t>
            </w:r>
          </w:p>
          <w:p w14:paraId="6419BFDB"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dalībnieku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mobilo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tālruņu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apskates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2 gab</w:t>
            </w:r>
            <w:r w:rsidRPr="00D818D7">
              <w:rPr>
                <w:rFonts w:ascii="Times New Roman" w:hAnsi="Times New Roman" w:cs="Times New Roman"/>
                <w:iCs/>
                <w:sz w:val="24"/>
                <w:szCs w:val="24"/>
              </w:rPr>
              <w:t xml:space="preserve">.) 9 000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4AE213A4"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ārpakalpojums</w:t>
            </w:r>
            <w:proofErr w:type="spellEnd"/>
            <w:r w:rsidRPr="00D818D7">
              <w:rPr>
                <w:rFonts w:ascii="Times New Roman" w:hAnsi="Times New Roman" w:cs="Times New Roman"/>
                <w:iCs/>
                <w:sz w:val="24"/>
                <w:szCs w:val="24"/>
              </w:rPr>
              <w:t xml:space="preserve"> IT </w:t>
            </w:r>
            <w:proofErr w:type="spellStart"/>
            <w:r w:rsidRPr="00D818D7">
              <w:rPr>
                <w:rFonts w:ascii="Times New Roman" w:hAnsi="Times New Roman" w:cs="Times New Roman"/>
                <w:iCs/>
                <w:sz w:val="24"/>
                <w:szCs w:val="24"/>
              </w:rPr>
              <w:t>laboratorijas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ieviešanas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konsultācijas</w:t>
            </w:r>
            <w:proofErr w:type="spellEnd"/>
            <w:r w:rsidRPr="00D818D7">
              <w:rPr>
                <w:rFonts w:ascii="Times New Roman" w:hAnsi="Times New Roman" w:cs="Times New Roman"/>
                <w:iCs/>
                <w:sz w:val="24"/>
                <w:szCs w:val="24"/>
              </w:rPr>
              <w:t xml:space="preserve"> 10 000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5E1867AC"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IT </w:t>
            </w:r>
            <w:proofErr w:type="spellStart"/>
            <w:r w:rsidRPr="00D818D7">
              <w:rPr>
                <w:rFonts w:ascii="Times New Roman" w:hAnsi="Times New Roman" w:cs="Times New Roman"/>
                <w:iCs/>
                <w:sz w:val="24"/>
                <w:szCs w:val="24"/>
              </w:rPr>
              <w:t>laboratorijas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ieviešana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infrastruktūras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izveidošana</w:t>
            </w:r>
            <w:proofErr w:type="spellEnd"/>
            <w:r w:rsidRPr="00D818D7">
              <w:rPr>
                <w:rFonts w:ascii="Times New Roman" w:hAnsi="Times New Roman" w:cs="Times New Roman"/>
                <w:iCs/>
                <w:sz w:val="24"/>
                <w:szCs w:val="24"/>
              </w:rPr>
              <w:t xml:space="preserve">) 15 000 </w:t>
            </w:r>
            <w:r w:rsidRPr="00D818D7">
              <w:rPr>
                <w:rFonts w:ascii="Times New Roman" w:hAnsi="Times New Roman" w:cs="Times New Roman"/>
                <w:i/>
                <w:sz w:val="24"/>
                <w:szCs w:val="24"/>
              </w:rPr>
              <w:t>euro;</w:t>
            </w:r>
          </w:p>
          <w:p w14:paraId="694E1D4E"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lietojamo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programmatūru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licenču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gada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uzturēšana</w:t>
            </w:r>
            <w:proofErr w:type="spellEnd"/>
            <w:r w:rsidRPr="00D818D7">
              <w:rPr>
                <w:rFonts w:ascii="Times New Roman" w:hAnsi="Times New Roman" w:cs="Times New Roman"/>
                <w:i/>
                <w:iCs/>
                <w:sz w:val="24"/>
                <w:szCs w:val="24"/>
              </w:rPr>
              <w:t xml:space="preserve"> (DVS 5 200 euro, Microsoft 21 000 euro) 26 200euro</w:t>
            </w:r>
            <w:r w:rsidRPr="00D818D7">
              <w:rPr>
                <w:rFonts w:ascii="Times New Roman" w:hAnsi="Times New Roman" w:cs="Times New Roman"/>
                <w:iCs/>
                <w:sz w:val="24"/>
                <w:szCs w:val="24"/>
              </w:rPr>
              <w:t>.</w:t>
            </w:r>
          </w:p>
          <w:p w14:paraId="74C721C8" w14:textId="77777777" w:rsidR="00853A4D" w:rsidRPr="00D818D7" w:rsidRDefault="00853A4D" w:rsidP="00853A4D">
            <w:pPr>
              <w:spacing w:before="120"/>
              <w:jc w:val="both"/>
              <w:rPr>
                <w:rFonts w:ascii="Times New Roman" w:hAnsi="Times New Roman" w:cs="Times New Roman"/>
                <w:b/>
                <w:bCs/>
                <w:i/>
                <w:sz w:val="24"/>
                <w:szCs w:val="24"/>
              </w:rPr>
            </w:pPr>
            <w:proofErr w:type="spellStart"/>
            <w:r w:rsidRPr="00D818D7">
              <w:rPr>
                <w:rFonts w:ascii="Times New Roman" w:hAnsi="Times New Roman" w:cs="Times New Roman"/>
                <w:iCs/>
                <w:sz w:val="24"/>
                <w:szCs w:val="24"/>
              </w:rPr>
              <w:t>Kopā</w:t>
            </w:r>
            <w:proofErr w:type="spellEnd"/>
            <w:r w:rsidRPr="00D818D7">
              <w:rPr>
                <w:rFonts w:ascii="Times New Roman" w:hAnsi="Times New Roman" w:cs="Times New Roman"/>
                <w:iCs/>
                <w:sz w:val="24"/>
                <w:szCs w:val="24"/>
              </w:rPr>
              <w:t>:</w:t>
            </w:r>
            <w:r w:rsidRPr="00D818D7">
              <w:rPr>
                <w:rFonts w:ascii="Times New Roman" w:hAnsi="Times New Roman" w:cs="Times New Roman"/>
                <w:b/>
                <w:bCs/>
                <w:iCs/>
                <w:sz w:val="24"/>
                <w:szCs w:val="24"/>
              </w:rPr>
              <w:t xml:space="preserve"> 213 650 </w:t>
            </w:r>
            <w:r w:rsidRPr="00D818D7">
              <w:rPr>
                <w:rFonts w:ascii="Times New Roman" w:hAnsi="Times New Roman" w:cs="Times New Roman"/>
                <w:b/>
                <w:bCs/>
                <w:i/>
                <w:sz w:val="24"/>
                <w:szCs w:val="24"/>
              </w:rPr>
              <w:t xml:space="preserve">euro </w:t>
            </w:r>
          </w:p>
          <w:p w14:paraId="1667FDCE" w14:textId="77777777" w:rsidR="00853A4D" w:rsidRPr="00D818D7" w:rsidRDefault="00853A4D" w:rsidP="00853A4D">
            <w:pPr>
              <w:spacing w:before="120"/>
              <w:jc w:val="both"/>
              <w:rPr>
                <w:rFonts w:ascii="Times New Roman" w:hAnsi="Times New Roman" w:cs="Times New Roman"/>
                <w:b/>
                <w:bCs/>
                <w:i/>
                <w:sz w:val="24"/>
                <w:szCs w:val="24"/>
              </w:rPr>
            </w:pPr>
          </w:p>
          <w:p w14:paraId="2E807CF6" w14:textId="77777777" w:rsidR="00853A4D" w:rsidRPr="00D818D7" w:rsidRDefault="00853A4D" w:rsidP="00853A4D">
            <w:pPr>
              <w:spacing w:before="120"/>
              <w:jc w:val="both"/>
              <w:rPr>
                <w:rFonts w:ascii="Times New Roman" w:hAnsi="Times New Roman" w:cs="Times New Roman"/>
                <w:b/>
                <w:bCs/>
                <w:i/>
                <w:sz w:val="24"/>
                <w:szCs w:val="24"/>
              </w:rPr>
            </w:pPr>
            <w:r w:rsidRPr="00D818D7">
              <w:rPr>
                <w:rFonts w:ascii="Times New Roman" w:hAnsi="Times New Roman" w:cs="Times New Roman"/>
                <w:b/>
                <w:bCs/>
                <w:i/>
                <w:sz w:val="24"/>
                <w:szCs w:val="24"/>
              </w:rPr>
              <w:t xml:space="preserve">2022.gadā </w:t>
            </w:r>
          </w:p>
          <w:p w14:paraId="1246BAE4" w14:textId="09933EAB"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K</w:t>
            </w:r>
            <w:r w:rsidR="0027068A" w:rsidRPr="00D818D7">
              <w:rPr>
                <w:rFonts w:ascii="Times New Roman" w:hAnsi="Times New Roman" w:cs="Times New Roman"/>
                <w:iCs/>
                <w:sz w:val="24"/>
                <w:szCs w:val="24"/>
              </w:rPr>
              <w:t>P</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nepieciešams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papildu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finansējums</w:t>
            </w:r>
            <w:proofErr w:type="spellEnd"/>
            <w:r w:rsidRPr="00D818D7">
              <w:rPr>
                <w:rFonts w:ascii="Times New Roman" w:hAnsi="Times New Roman" w:cs="Times New Roman"/>
                <w:iCs/>
                <w:sz w:val="24"/>
                <w:szCs w:val="24"/>
              </w:rPr>
              <w:t>:</w:t>
            </w:r>
          </w:p>
          <w:p w14:paraId="3E7C8848"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dalībnieku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mobilo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tālruņu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apskates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licences</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2 gab</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uzturēšana</w:t>
            </w:r>
            <w:proofErr w:type="spellEnd"/>
            <w:r w:rsidRPr="00D818D7">
              <w:rPr>
                <w:rFonts w:ascii="Times New Roman" w:hAnsi="Times New Roman" w:cs="Times New Roman"/>
                <w:iCs/>
                <w:sz w:val="24"/>
                <w:szCs w:val="24"/>
              </w:rPr>
              <w:t xml:space="preserve"> 9 000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4A8508A0"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lastRenderedPageBreak/>
              <w:t xml:space="preserve"> - </w:t>
            </w:r>
            <w:proofErr w:type="spellStart"/>
            <w:r w:rsidRPr="00D818D7">
              <w:rPr>
                <w:rFonts w:ascii="Times New Roman" w:hAnsi="Times New Roman" w:cs="Times New Roman"/>
                <w:iCs/>
                <w:sz w:val="24"/>
                <w:szCs w:val="24"/>
              </w:rPr>
              <w:t>programmatūras</w:t>
            </w:r>
            <w:proofErr w:type="spellEnd"/>
            <w:r w:rsidRPr="00D818D7">
              <w:rPr>
                <w:rFonts w:ascii="Times New Roman" w:hAnsi="Times New Roman" w:cs="Times New Roman"/>
                <w:iCs/>
                <w:sz w:val="24"/>
                <w:szCs w:val="24"/>
              </w:rPr>
              <w:t xml:space="preserve"> X1Search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250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6CA8AD20"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 xml:space="preserve">Mac </w:t>
            </w:r>
            <w:proofErr w:type="spellStart"/>
            <w:r w:rsidRPr="00D818D7">
              <w:rPr>
                <w:rFonts w:ascii="Times New Roman" w:hAnsi="Times New Roman" w:cs="Times New Roman"/>
                <w:iCs/>
                <w:sz w:val="24"/>
                <w:szCs w:val="24"/>
              </w:rPr>
              <w:t>tipa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datora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analīzei</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1 000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1E069E03"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- 2 -3 </w:t>
            </w:r>
            <w:proofErr w:type="spellStart"/>
            <w:r w:rsidRPr="00D818D7">
              <w:rPr>
                <w:rFonts w:ascii="Times New Roman" w:hAnsi="Times New Roman" w:cs="Times New Roman"/>
                <w:iCs/>
                <w:sz w:val="24"/>
                <w:szCs w:val="24"/>
              </w:rPr>
              <w:t>amatpersonu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stažēšanās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apmācības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citas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valsts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konkurences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iestādē</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līdz</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mēnešiem</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sadarbības</w:t>
            </w:r>
            <w:proofErr w:type="spellEnd"/>
            <w:r w:rsidRPr="00D818D7">
              <w:rPr>
                <w:rFonts w:ascii="Times New Roman" w:hAnsi="Times New Roman" w:cs="Times New Roman"/>
                <w:iCs/>
                <w:sz w:val="24"/>
                <w:szCs w:val="24"/>
              </w:rPr>
              <w:t xml:space="preserve"> un </w:t>
            </w:r>
            <w:proofErr w:type="spellStart"/>
            <w:r w:rsidRPr="00D818D7">
              <w:rPr>
                <w:rFonts w:ascii="Times New Roman" w:hAnsi="Times New Roman" w:cs="Times New Roman"/>
                <w:iCs/>
                <w:sz w:val="24"/>
                <w:szCs w:val="24"/>
              </w:rPr>
              <w:t>apmācību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nodrošināšnai</w:t>
            </w:r>
            <w:proofErr w:type="spellEnd"/>
            <w:r w:rsidRPr="00D818D7">
              <w:rPr>
                <w:rFonts w:ascii="Times New Roman" w:hAnsi="Times New Roman" w:cs="Times New Roman"/>
                <w:iCs/>
                <w:sz w:val="24"/>
                <w:szCs w:val="24"/>
              </w:rPr>
              <w:t xml:space="preserve"> (</w:t>
            </w:r>
            <w:proofErr w:type="gramStart"/>
            <w:r w:rsidRPr="00D818D7">
              <w:rPr>
                <w:rFonts w:ascii="Times New Roman" w:hAnsi="Times New Roman" w:cs="Times New Roman"/>
                <w:iCs/>
                <w:sz w:val="24"/>
                <w:szCs w:val="24"/>
              </w:rPr>
              <w:t>33 600</w:t>
            </w:r>
            <w:r w:rsidRPr="00D818D7">
              <w:rPr>
                <w:rFonts w:ascii="Times New Roman" w:hAnsi="Times New Roman" w:cs="Times New Roman"/>
                <w:i/>
                <w:sz w:val="24"/>
                <w:szCs w:val="24"/>
              </w:rPr>
              <w:t xml:space="preserve"> euro</w:t>
            </w:r>
            <w:proofErr w:type="gram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t.sk.</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aviobiļete</w:t>
            </w:r>
            <w:proofErr w:type="spellEnd"/>
            <w:r w:rsidRPr="00D818D7">
              <w:rPr>
                <w:rFonts w:ascii="Times New Roman" w:hAnsi="Times New Roman" w:cs="Times New Roman"/>
                <w:i/>
                <w:sz w:val="24"/>
                <w:szCs w:val="24"/>
              </w:rPr>
              <w:t xml:space="preserve"> 1 200 euro, </w:t>
            </w:r>
            <w:proofErr w:type="spellStart"/>
            <w:r w:rsidRPr="00D818D7">
              <w:rPr>
                <w:rFonts w:ascii="Times New Roman" w:hAnsi="Times New Roman" w:cs="Times New Roman"/>
                <w:i/>
                <w:sz w:val="24"/>
                <w:szCs w:val="24"/>
              </w:rPr>
              <w:t>viesnīca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- 27 000 euro,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nauda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- 5 400 euro</w:t>
            </w:r>
            <w:r w:rsidRPr="00D818D7">
              <w:rPr>
                <w:rFonts w:ascii="Times New Roman" w:hAnsi="Times New Roman" w:cs="Times New Roman"/>
                <w:iCs/>
                <w:sz w:val="24"/>
                <w:szCs w:val="24"/>
              </w:rPr>
              <w:t>);</w:t>
            </w:r>
          </w:p>
          <w:p w14:paraId="7EE89674"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IT </w:t>
            </w:r>
            <w:proofErr w:type="spellStart"/>
            <w:r w:rsidRPr="00D818D7">
              <w:rPr>
                <w:rFonts w:ascii="Times New Roman" w:hAnsi="Times New Roman" w:cs="Times New Roman"/>
                <w:iCs/>
                <w:sz w:val="24"/>
                <w:szCs w:val="24"/>
              </w:rPr>
              <w:t>rīka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karteļa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pazīmju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atklāšanai</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uzturēšana</w:t>
            </w:r>
            <w:proofErr w:type="spellEnd"/>
            <w:r w:rsidRPr="00D818D7">
              <w:rPr>
                <w:rFonts w:ascii="Times New Roman" w:hAnsi="Times New Roman" w:cs="Times New Roman"/>
                <w:iCs/>
                <w:sz w:val="24"/>
                <w:szCs w:val="24"/>
              </w:rPr>
              <w:t xml:space="preserve"> 5 000 </w:t>
            </w:r>
            <w:r w:rsidRPr="00D818D7">
              <w:rPr>
                <w:rFonts w:ascii="Times New Roman" w:hAnsi="Times New Roman" w:cs="Times New Roman"/>
                <w:i/>
                <w:sz w:val="24"/>
                <w:szCs w:val="24"/>
              </w:rPr>
              <w:t>euro;</w:t>
            </w:r>
          </w:p>
          <w:p w14:paraId="3BE0D747"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pētījumu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veikšana</w:t>
            </w:r>
            <w:proofErr w:type="spellEnd"/>
            <w:r w:rsidRPr="00D818D7">
              <w:rPr>
                <w:rFonts w:ascii="Times New Roman" w:hAnsi="Times New Roman" w:cs="Times New Roman"/>
                <w:iCs/>
                <w:sz w:val="24"/>
                <w:szCs w:val="24"/>
              </w:rPr>
              <w:t xml:space="preserve"> KP </w:t>
            </w:r>
            <w:proofErr w:type="spellStart"/>
            <w:r w:rsidRPr="00D818D7">
              <w:rPr>
                <w:rFonts w:ascii="Times New Roman" w:hAnsi="Times New Roman" w:cs="Times New Roman"/>
                <w:iCs/>
                <w:sz w:val="24"/>
                <w:szCs w:val="24"/>
              </w:rPr>
              <w:t>uzdevumā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trīs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gadā</w:t>
            </w:r>
            <w:proofErr w:type="spellEnd"/>
            <w:r w:rsidRPr="00D818D7">
              <w:rPr>
                <w:rFonts w:ascii="Times New Roman" w:hAnsi="Times New Roman" w:cs="Times New Roman"/>
                <w:iCs/>
                <w:sz w:val="24"/>
                <w:szCs w:val="24"/>
              </w:rPr>
              <w:t>) 20 000</w:t>
            </w:r>
            <w:r w:rsidRPr="00D818D7">
              <w:rPr>
                <w:rFonts w:ascii="Times New Roman" w:hAnsi="Times New Roman" w:cs="Times New Roman"/>
                <w:i/>
                <w:sz w:val="24"/>
                <w:szCs w:val="24"/>
              </w:rPr>
              <w:t xml:space="preserve"> euro;</w:t>
            </w:r>
          </w:p>
          <w:p w14:paraId="3BAF9171" w14:textId="77777777" w:rsidR="00853A4D" w:rsidRPr="00D818D7" w:rsidRDefault="00853A4D" w:rsidP="00853A4D">
            <w:pPr>
              <w:spacing w:before="120" w:after="0" w:line="240" w:lineRule="auto"/>
              <w:jc w:val="both"/>
              <w:rPr>
                <w:rFonts w:ascii="Times New Roman" w:hAnsi="Times New Roman" w:cs="Times New Roman"/>
                <w:i/>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lietojamo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programmatūru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licenču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gada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uzturēšana</w:t>
            </w:r>
            <w:proofErr w:type="spellEnd"/>
            <w:r w:rsidRPr="00D818D7">
              <w:rPr>
                <w:rFonts w:ascii="Times New Roman" w:hAnsi="Times New Roman" w:cs="Times New Roman"/>
                <w:i/>
                <w:iCs/>
                <w:sz w:val="24"/>
                <w:szCs w:val="24"/>
              </w:rPr>
              <w:t xml:space="preserve"> (DVS 5 200 euro, Microsoft 21 000 euro) 26 200euro;</w:t>
            </w:r>
          </w:p>
          <w:p w14:paraId="596B5CF0"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Cs/>
                <w:sz w:val="24"/>
                <w:szCs w:val="24"/>
              </w:rPr>
              <w:t>ārējo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ekspertu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pakalpojuma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piesaistīšana</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izpētes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lietās</w:t>
            </w:r>
            <w:proofErr w:type="spellEnd"/>
            <w:r w:rsidRPr="00D818D7">
              <w:rPr>
                <w:rFonts w:ascii="Times New Roman" w:hAnsi="Times New Roman" w:cs="Times New Roman"/>
                <w:iCs/>
                <w:sz w:val="24"/>
                <w:szCs w:val="24"/>
              </w:rPr>
              <w:t xml:space="preserve"> 15 000</w:t>
            </w:r>
            <w:r w:rsidRPr="00D818D7">
              <w:rPr>
                <w:rFonts w:ascii="Times New Roman" w:hAnsi="Times New Roman" w:cs="Times New Roman"/>
                <w:i/>
                <w:sz w:val="24"/>
                <w:szCs w:val="24"/>
              </w:rPr>
              <w:t xml:space="preserve"> euro.</w:t>
            </w:r>
          </w:p>
          <w:p w14:paraId="06D94892" w14:textId="77777777" w:rsidR="00853A4D" w:rsidRPr="00D818D7" w:rsidRDefault="00853A4D" w:rsidP="00853A4D">
            <w:pPr>
              <w:spacing w:before="120" w:after="0" w:line="240" w:lineRule="auto"/>
              <w:jc w:val="both"/>
              <w:rPr>
                <w:rFonts w:ascii="Times New Roman" w:hAnsi="Times New Roman" w:cs="Times New Roman"/>
                <w:b/>
                <w:bCs/>
                <w:i/>
                <w:sz w:val="24"/>
                <w:szCs w:val="24"/>
              </w:rPr>
            </w:pPr>
            <w:proofErr w:type="spellStart"/>
            <w:r w:rsidRPr="00D818D7">
              <w:rPr>
                <w:rFonts w:ascii="Times New Roman" w:hAnsi="Times New Roman" w:cs="Times New Roman"/>
                <w:iCs/>
                <w:sz w:val="24"/>
                <w:szCs w:val="24"/>
              </w:rPr>
              <w:t>Kopā</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b/>
                <w:bCs/>
                <w:iCs/>
                <w:sz w:val="24"/>
                <w:szCs w:val="24"/>
              </w:rPr>
              <w:t>110 050</w:t>
            </w:r>
            <w:r w:rsidRPr="00D818D7">
              <w:rPr>
                <w:rFonts w:ascii="Times New Roman" w:hAnsi="Times New Roman" w:cs="Times New Roman"/>
                <w:iCs/>
                <w:sz w:val="24"/>
                <w:szCs w:val="24"/>
              </w:rPr>
              <w:t xml:space="preserve"> </w:t>
            </w:r>
            <w:r w:rsidRPr="00D818D7">
              <w:rPr>
                <w:rFonts w:ascii="Times New Roman" w:hAnsi="Times New Roman" w:cs="Times New Roman"/>
                <w:b/>
                <w:bCs/>
                <w:i/>
                <w:sz w:val="24"/>
                <w:szCs w:val="24"/>
              </w:rPr>
              <w:t xml:space="preserve">euro </w:t>
            </w:r>
          </w:p>
          <w:p w14:paraId="58C1B34C" w14:textId="77777777" w:rsidR="00853A4D" w:rsidRPr="00D818D7" w:rsidRDefault="00853A4D" w:rsidP="00853A4D">
            <w:pPr>
              <w:spacing w:before="120"/>
              <w:jc w:val="both"/>
              <w:rPr>
                <w:rFonts w:ascii="Times New Roman" w:hAnsi="Times New Roman" w:cs="Times New Roman"/>
                <w:b/>
                <w:bCs/>
                <w:i/>
                <w:sz w:val="24"/>
                <w:szCs w:val="24"/>
              </w:rPr>
            </w:pPr>
          </w:p>
          <w:p w14:paraId="1A085589" w14:textId="77777777" w:rsidR="00853A4D" w:rsidRPr="00D818D7" w:rsidRDefault="00853A4D" w:rsidP="00853A4D">
            <w:pPr>
              <w:spacing w:before="120"/>
              <w:jc w:val="both"/>
              <w:rPr>
                <w:rFonts w:ascii="Times New Roman" w:hAnsi="Times New Roman" w:cs="Times New Roman"/>
                <w:b/>
                <w:bCs/>
                <w:i/>
                <w:sz w:val="24"/>
                <w:szCs w:val="24"/>
              </w:rPr>
            </w:pPr>
            <w:r w:rsidRPr="00D818D7">
              <w:rPr>
                <w:rFonts w:ascii="Times New Roman" w:hAnsi="Times New Roman" w:cs="Times New Roman"/>
                <w:b/>
                <w:bCs/>
                <w:i/>
                <w:sz w:val="24"/>
                <w:szCs w:val="24"/>
              </w:rPr>
              <w:t>2023.gadā</w:t>
            </w:r>
          </w:p>
          <w:p w14:paraId="4CC623F6" w14:textId="6DF5BF2F"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K</w:t>
            </w:r>
            <w:r w:rsidR="0027068A" w:rsidRPr="00D818D7">
              <w:rPr>
                <w:rFonts w:ascii="Times New Roman" w:hAnsi="Times New Roman" w:cs="Times New Roman"/>
                <w:iCs/>
                <w:sz w:val="24"/>
                <w:szCs w:val="24"/>
              </w:rPr>
              <w:t>P</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nepieciešams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papildu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finansējums</w:t>
            </w:r>
            <w:proofErr w:type="spellEnd"/>
            <w:r w:rsidRPr="00D818D7">
              <w:rPr>
                <w:rFonts w:ascii="Times New Roman" w:hAnsi="Times New Roman" w:cs="Times New Roman"/>
                <w:iCs/>
                <w:sz w:val="24"/>
                <w:szCs w:val="24"/>
              </w:rPr>
              <w:t>:</w:t>
            </w:r>
          </w:p>
          <w:p w14:paraId="685E813C"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dalībnieku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mobilo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tālruņu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apskates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licences</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2 gab</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uzturēšana</w:t>
            </w:r>
            <w:proofErr w:type="spellEnd"/>
            <w:r w:rsidRPr="00D818D7">
              <w:rPr>
                <w:rFonts w:ascii="Times New Roman" w:hAnsi="Times New Roman" w:cs="Times New Roman"/>
                <w:iCs/>
                <w:sz w:val="24"/>
                <w:szCs w:val="24"/>
              </w:rPr>
              <w:t xml:space="preserve"> 9 000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0C90D815"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programmatūras</w:t>
            </w:r>
            <w:proofErr w:type="spellEnd"/>
            <w:r w:rsidRPr="00D818D7">
              <w:rPr>
                <w:rFonts w:ascii="Times New Roman" w:hAnsi="Times New Roman" w:cs="Times New Roman"/>
                <w:iCs/>
                <w:sz w:val="24"/>
                <w:szCs w:val="24"/>
              </w:rPr>
              <w:t xml:space="preserve"> X1Search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250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2BBE45B8"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programmatūra</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Mac</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tipa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datora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analīzei</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licence</w:t>
            </w:r>
            <w:proofErr w:type="spellEnd"/>
            <w:r w:rsidRPr="00D818D7">
              <w:rPr>
                <w:rFonts w:ascii="Times New Roman" w:hAnsi="Times New Roman" w:cs="Times New Roman"/>
                <w:iCs/>
                <w:sz w:val="24"/>
                <w:szCs w:val="24"/>
              </w:rPr>
              <w:t xml:space="preserve">) 1 000 </w:t>
            </w:r>
            <w:r w:rsidRPr="00D818D7">
              <w:rPr>
                <w:rFonts w:ascii="Times New Roman" w:hAnsi="Times New Roman" w:cs="Times New Roman"/>
                <w:i/>
                <w:sz w:val="24"/>
                <w:szCs w:val="24"/>
              </w:rPr>
              <w:t>euro</w:t>
            </w:r>
            <w:r w:rsidRPr="00D818D7">
              <w:rPr>
                <w:rFonts w:ascii="Times New Roman" w:hAnsi="Times New Roman" w:cs="Times New Roman"/>
                <w:iCs/>
                <w:sz w:val="24"/>
                <w:szCs w:val="24"/>
              </w:rPr>
              <w:t>;</w:t>
            </w:r>
          </w:p>
          <w:p w14:paraId="3D855E23"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 xml:space="preserve">- 2 – 3 </w:t>
            </w:r>
            <w:proofErr w:type="spellStart"/>
            <w:r w:rsidRPr="00D818D7">
              <w:rPr>
                <w:rFonts w:ascii="Times New Roman" w:hAnsi="Times New Roman" w:cs="Times New Roman"/>
                <w:iCs/>
                <w:sz w:val="24"/>
                <w:szCs w:val="24"/>
              </w:rPr>
              <w:t>amatpersonu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stažēšanās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apmācības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citas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valsts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konkurences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iestādē</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līdz</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mēnešiem</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sadarbības</w:t>
            </w:r>
            <w:proofErr w:type="spellEnd"/>
            <w:r w:rsidRPr="00D818D7">
              <w:rPr>
                <w:rFonts w:ascii="Times New Roman" w:hAnsi="Times New Roman" w:cs="Times New Roman"/>
                <w:iCs/>
                <w:sz w:val="24"/>
                <w:szCs w:val="24"/>
              </w:rPr>
              <w:t xml:space="preserve"> un </w:t>
            </w:r>
            <w:proofErr w:type="spellStart"/>
            <w:r w:rsidRPr="00D818D7">
              <w:rPr>
                <w:rFonts w:ascii="Times New Roman" w:hAnsi="Times New Roman" w:cs="Times New Roman"/>
                <w:iCs/>
                <w:sz w:val="24"/>
                <w:szCs w:val="24"/>
              </w:rPr>
              <w:t>apmācību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nodrošināšnai</w:t>
            </w:r>
            <w:proofErr w:type="spellEnd"/>
            <w:r w:rsidRPr="00D818D7">
              <w:rPr>
                <w:rFonts w:ascii="Times New Roman" w:hAnsi="Times New Roman" w:cs="Times New Roman"/>
                <w:iCs/>
                <w:sz w:val="24"/>
                <w:szCs w:val="24"/>
              </w:rPr>
              <w:t xml:space="preserve"> (</w:t>
            </w:r>
            <w:proofErr w:type="gramStart"/>
            <w:r w:rsidRPr="00D818D7">
              <w:rPr>
                <w:rFonts w:ascii="Times New Roman" w:hAnsi="Times New Roman" w:cs="Times New Roman"/>
                <w:iCs/>
                <w:sz w:val="24"/>
                <w:szCs w:val="24"/>
              </w:rPr>
              <w:t>33 600</w:t>
            </w:r>
            <w:r w:rsidRPr="00D818D7">
              <w:rPr>
                <w:rFonts w:ascii="Times New Roman" w:hAnsi="Times New Roman" w:cs="Times New Roman"/>
                <w:i/>
                <w:sz w:val="24"/>
                <w:szCs w:val="24"/>
              </w:rPr>
              <w:t xml:space="preserve"> euro</w:t>
            </w:r>
            <w:proofErr w:type="gram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t.sk.</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aviobiļete</w:t>
            </w:r>
            <w:proofErr w:type="spellEnd"/>
            <w:r w:rsidRPr="00D818D7">
              <w:rPr>
                <w:rFonts w:ascii="Times New Roman" w:hAnsi="Times New Roman" w:cs="Times New Roman"/>
                <w:i/>
                <w:sz w:val="24"/>
                <w:szCs w:val="24"/>
              </w:rPr>
              <w:t xml:space="preserve"> 1 200 euro, </w:t>
            </w:r>
            <w:proofErr w:type="spellStart"/>
            <w:r w:rsidRPr="00D818D7">
              <w:rPr>
                <w:rFonts w:ascii="Times New Roman" w:hAnsi="Times New Roman" w:cs="Times New Roman"/>
                <w:i/>
                <w:sz w:val="24"/>
                <w:szCs w:val="24"/>
              </w:rPr>
              <w:t>viesnīca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- 27 000 euro,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nauda</w:t>
            </w:r>
            <w:proofErr w:type="spellEnd"/>
            <w:r w:rsidRPr="00D818D7">
              <w:rPr>
                <w:rFonts w:ascii="Times New Roman" w:hAnsi="Times New Roman" w:cs="Times New Roman"/>
                <w:i/>
                <w:sz w:val="24"/>
                <w:szCs w:val="24"/>
              </w:rPr>
              <w:t xml:space="preserve"> 90 </w:t>
            </w:r>
            <w:proofErr w:type="spellStart"/>
            <w:r w:rsidRPr="00D818D7">
              <w:rPr>
                <w:rFonts w:ascii="Times New Roman" w:hAnsi="Times New Roman" w:cs="Times New Roman"/>
                <w:i/>
                <w:sz w:val="24"/>
                <w:szCs w:val="24"/>
              </w:rPr>
              <w:t>dienas</w:t>
            </w:r>
            <w:proofErr w:type="spellEnd"/>
            <w:r w:rsidRPr="00D818D7">
              <w:rPr>
                <w:rFonts w:ascii="Times New Roman" w:hAnsi="Times New Roman" w:cs="Times New Roman"/>
                <w:i/>
                <w:sz w:val="24"/>
                <w:szCs w:val="24"/>
              </w:rPr>
              <w:t xml:space="preserve"> - 5 400 euro</w:t>
            </w:r>
            <w:r w:rsidRPr="00D818D7">
              <w:rPr>
                <w:rFonts w:ascii="Times New Roman" w:hAnsi="Times New Roman" w:cs="Times New Roman"/>
                <w:iCs/>
                <w:sz w:val="24"/>
                <w:szCs w:val="24"/>
              </w:rPr>
              <w:t>);</w:t>
            </w:r>
          </w:p>
          <w:p w14:paraId="40794AB1"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tirgus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pētījumu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veikšana</w:t>
            </w:r>
            <w:proofErr w:type="spellEnd"/>
            <w:r w:rsidRPr="00D818D7">
              <w:rPr>
                <w:rFonts w:ascii="Times New Roman" w:hAnsi="Times New Roman" w:cs="Times New Roman"/>
                <w:iCs/>
                <w:sz w:val="24"/>
                <w:szCs w:val="24"/>
              </w:rPr>
              <w:t xml:space="preserve"> KP </w:t>
            </w:r>
            <w:proofErr w:type="spellStart"/>
            <w:r w:rsidRPr="00D818D7">
              <w:rPr>
                <w:rFonts w:ascii="Times New Roman" w:hAnsi="Times New Roman" w:cs="Times New Roman"/>
                <w:iCs/>
                <w:sz w:val="24"/>
                <w:szCs w:val="24"/>
              </w:rPr>
              <w:t>uzdevumā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
                <w:sz w:val="24"/>
                <w:szCs w:val="24"/>
              </w:rPr>
              <w:t>trīs</w:t>
            </w:r>
            <w:proofErr w:type="spellEnd"/>
            <w:r w:rsidRPr="00D818D7">
              <w:rPr>
                <w:rFonts w:ascii="Times New Roman" w:hAnsi="Times New Roman" w:cs="Times New Roman"/>
                <w:i/>
                <w:sz w:val="24"/>
                <w:szCs w:val="24"/>
              </w:rPr>
              <w:t xml:space="preserve"> </w:t>
            </w:r>
            <w:proofErr w:type="spellStart"/>
            <w:r w:rsidRPr="00D818D7">
              <w:rPr>
                <w:rFonts w:ascii="Times New Roman" w:hAnsi="Times New Roman" w:cs="Times New Roman"/>
                <w:i/>
                <w:sz w:val="24"/>
                <w:szCs w:val="24"/>
              </w:rPr>
              <w:t>gadā</w:t>
            </w:r>
            <w:proofErr w:type="spellEnd"/>
            <w:r w:rsidRPr="00D818D7">
              <w:rPr>
                <w:rFonts w:ascii="Times New Roman" w:hAnsi="Times New Roman" w:cs="Times New Roman"/>
                <w:iCs/>
                <w:sz w:val="24"/>
                <w:szCs w:val="24"/>
              </w:rPr>
              <w:t>) 20 000</w:t>
            </w:r>
            <w:r w:rsidRPr="00D818D7">
              <w:rPr>
                <w:rFonts w:ascii="Times New Roman" w:hAnsi="Times New Roman" w:cs="Times New Roman"/>
                <w:i/>
                <w:sz w:val="24"/>
                <w:szCs w:val="24"/>
              </w:rPr>
              <w:t xml:space="preserve"> euro;</w:t>
            </w:r>
          </w:p>
          <w:p w14:paraId="08334A50" w14:textId="77777777" w:rsidR="00853A4D" w:rsidRPr="00D818D7" w:rsidRDefault="00853A4D" w:rsidP="00853A4D">
            <w:pPr>
              <w:spacing w:before="120" w:after="0" w:line="240" w:lineRule="auto"/>
              <w:jc w:val="both"/>
              <w:rPr>
                <w:rFonts w:ascii="Times New Roman" w:hAnsi="Times New Roman" w:cs="Times New Roman"/>
                <w:i/>
                <w:iCs/>
                <w:sz w:val="24"/>
                <w:szCs w:val="24"/>
              </w:rPr>
            </w:pPr>
            <w:proofErr w:type="spellStart"/>
            <w:r w:rsidRPr="00D818D7">
              <w:rPr>
                <w:rFonts w:ascii="Times New Roman" w:hAnsi="Times New Roman" w:cs="Times New Roman"/>
                <w:sz w:val="24"/>
                <w:szCs w:val="24"/>
              </w:rPr>
              <w:t>lietojamo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programmatūru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licenču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gada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uzturēšana</w:t>
            </w:r>
            <w:proofErr w:type="spellEnd"/>
            <w:r w:rsidRPr="00D818D7">
              <w:rPr>
                <w:rFonts w:ascii="Times New Roman" w:hAnsi="Times New Roman" w:cs="Times New Roman"/>
                <w:i/>
                <w:iCs/>
                <w:sz w:val="24"/>
                <w:szCs w:val="24"/>
              </w:rPr>
              <w:t xml:space="preserve"> (DVS 5 200 euro, Microsoft 21 000 euro) 26 200euro;</w:t>
            </w:r>
          </w:p>
          <w:p w14:paraId="32B682A8"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Cs/>
                <w:sz w:val="24"/>
                <w:szCs w:val="24"/>
              </w:rPr>
              <w:t>ārējo</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ekspertu</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pakalpojuma</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piesaistīšana</w:t>
            </w:r>
            <w:proofErr w:type="spellEnd"/>
            <w:r w:rsidRPr="00D818D7">
              <w:rPr>
                <w:rFonts w:ascii="Times New Roman" w:hAnsi="Times New Roman" w:cs="Times New Roman"/>
                <w:iCs/>
                <w:sz w:val="24"/>
                <w:szCs w:val="24"/>
              </w:rPr>
              <w:t xml:space="preserve"> 3 </w:t>
            </w:r>
            <w:proofErr w:type="spellStart"/>
            <w:r w:rsidRPr="00D818D7">
              <w:rPr>
                <w:rFonts w:ascii="Times New Roman" w:hAnsi="Times New Roman" w:cs="Times New Roman"/>
                <w:iCs/>
                <w:sz w:val="24"/>
                <w:szCs w:val="24"/>
              </w:rPr>
              <w:t>izpētes</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lietās</w:t>
            </w:r>
            <w:proofErr w:type="spellEnd"/>
            <w:r w:rsidRPr="00D818D7">
              <w:rPr>
                <w:rFonts w:ascii="Times New Roman" w:hAnsi="Times New Roman" w:cs="Times New Roman"/>
                <w:iCs/>
                <w:sz w:val="24"/>
                <w:szCs w:val="24"/>
              </w:rPr>
              <w:t xml:space="preserve"> 15 000</w:t>
            </w:r>
            <w:r w:rsidRPr="00D818D7">
              <w:rPr>
                <w:rFonts w:ascii="Times New Roman" w:hAnsi="Times New Roman" w:cs="Times New Roman"/>
                <w:i/>
                <w:sz w:val="24"/>
                <w:szCs w:val="24"/>
              </w:rPr>
              <w:t xml:space="preserve"> euro.</w:t>
            </w:r>
          </w:p>
          <w:p w14:paraId="1EBF2539" w14:textId="77777777" w:rsidR="00853A4D" w:rsidRPr="00D818D7" w:rsidRDefault="00853A4D" w:rsidP="00853A4D">
            <w:pPr>
              <w:spacing w:before="120" w:after="0" w:line="240" w:lineRule="auto"/>
              <w:jc w:val="both"/>
              <w:rPr>
                <w:rFonts w:ascii="Times New Roman" w:hAnsi="Times New Roman" w:cs="Times New Roman"/>
                <w:b/>
                <w:bCs/>
                <w:i/>
                <w:sz w:val="24"/>
                <w:szCs w:val="24"/>
              </w:rPr>
            </w:pPr>
            <w:proofErr w:type="spellStart"/>
            <w:r w:rsidRPr="00D818D7">
              <w:rPr>
                <w:rFonts w:ascii="Times New Roman" w:hAnsi="Times New Roman" w:cs="Times New Roman"/>
                <w:iCs/>
                <w:sz w:val="24"/>
                <w:szCs w:val="24"/>
              </w:rPr>
              <w:t>Kopā</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b/>
                <w:bCs/>
                <w:iCs/>
                <w:sz w:val="24"/>
                <w:szCs w:val="24"/>
              </w:rPr>
              <w:t>105 050</w:t>
            </w:r>
            <w:r w:rsidRPr="00D818D7">
              <w:rPr>
                <w:rFonts w:ascii="Times New Roman" w:hAnsi="Times New Roman" w:cs="Times New Roman"/>
                <w:iCs/>
                <w:sz w:val="24"/>
                <w:szCs w:val="24"/>
              </w:rPr>
              <w:t xml:space="preserve"> </w:t>
            </w:r>
            <w:r w:rsidRPr="00D818D7">
              <w:rPr>
                <w:rFonts w:ascii="Times New Roman" w:hAnsi="Times New Roman" w:cs="Times New Roman"/>
                <w:b/>
                <w:bCs/>
                <w:i/>
                <w:sz w:val="24"/>
                <w:szCs w:val="24"/>
              </w:rPr>
              <w:t xml:space="preserve">euro </w:t>
            </w:r>
          </w:p>
          <w:p w14:paraId="2603CC68" w14:textId="77777777" w:rsidR="00853A4D" w:rsidRPr="00D818D7" w:rsidRDefault="00853A4D" w:rsidP="00853A4D">
            <w:pPr>
              <w:spacing w:before="120" w:after="0" w:line="240" w:lineRule="auto"/>
              <w:jc w:val="both"/>
              <w:rPr>
                <w:rFonts w:ascii="Times New Roman" w:hAnsi="Times New Roman" w:cs="Times New Roman"/>
                <w:b/>
                <w:bCs/>
                <w:iCs/>
                <w:sz w:val="24"/>
                <w:szCs w:val="24"/>
              </w:rPr>
            </w:pPr>
          </w:p>
          <w:p w14:paraId="7AC57D4E" w14:textId="77777777" w:rsidR="00853A4D" w:rsidRPr="00D818D7" w:rsidRDefault="00853A4D" w:rsidP="00853A4D">
            <w:pPr>
              <w:spacing w:before="120"/>
              <w:jc w:val="both"/>
              <w:rPr>
                <w:rFonts w:ascii="Times New Roman" w:hAnsi="Times New Roman" w:cs="Times New Roman"/>
                <w:iCs/>
                <w:sz w:val="24"/>
                <w:szCs w:val="24"/>
                <w:u w:val="single"/>
              </w:rPr>
            </w:pPr>
            <w:proofErr w:type="spellStart"/>
            <w:r w:rsidRPr="00D818D7">
              <w:rPr>
                <w:rFonts w:ascii="Times New Roman" w:hAnsi="Times New Roman" w:cs="Times New Roman"/>
                <w:b/>
                <w:bCs/>
                <w:iCs/>
                <w:sz w:val="24"/>
                <w:szCs w:val="24"/>
                <w:u w:val="single"/>
              </w:rPr>
              <w:t>Kapitālie</w:t>
            </w:r>
            <w:proofErr w:type="spellEnd"/>
            <w:r w:rsidRPr="00D818D7">
              <w:rPr>
                <w:rFonts w:ascii="Times New Roman" w:hAnsi="Times New Roman" w:cs="Times New Roman"/>
                <w:b/>
                <w:bCs/>
                <w:iCs/>
                <w:sz w:val="24"/>
                <w:szCs w:val="24"/>
                <w:u w:val="single"/>
              </w:rPr>
              <w:t xml:space="preserve"> </w:t>
            </w:r>
            <w:proofErr w:type="spellStart"/>
            <w:r w:rsidRPr="00D818D7">
              <w:rPr>
                <w:rFonts w:ascii="Times New Roman" w:hAnsi="Times New Roman" w:cs="Times New Roman"/>
                <w:b/>
                <w:bCs/>
                <w:iCs/>
                <w:sz w:val="24"/>
                <w:szCs w:val="24"/>
                <w:u w:val="single"/>
              </w:rPr>
              <w:t>izdevumi</w:t>
            </w:r>
            <w:proofErr w:type="spellEnd"/>
            <w:r w:rsidRPr="00D818D7">
              <w:rPr>
                <w:rFonts w:ascii="Times New Roman" w:hAnsi="Times New Roman" w:cs="Times New Roman"/>
                <w:iCs/>
                <w:sz w:val="24"/>
                <w:szCs w:val="24"/>
                <w:u w:val="single"/>
              </w:rPr>
              <w:t xml:space="preserve"> </w:t>
            </w:r>
          </w:p>
          <w:p w14:paraId="05651D24" w14:textId="77777777" w:rsidR="00853A4D" w:rsidRPr="00D818D7" w:rsidRDefault="00853A4D" w:rsidP="00853A4D">
            <w:pPr>
              <w:spacing w:before="120"/>
              <w:jc w:val="both"/>
              <w:rPr>
                <w:rFonts w:ascii="Times New Roman" w:hAnsi="Times New Roman" w:cs="Times New Roman"/>
                <w:b/>
                <w:bCs/>
                <w:i/>
                <w:sz w:val="24"/>
                <w:szCs w:val="24"/>
              </w:rPr>
            </w:pPr>
            <w:r w:rsidRPr="00D818D7">
              <w:rPr>
                <w:rFonts w:ascii="Times New Roman" w:hAnsi="Times New Roman" w:cs="Times New Roman"/>
                <w:b/>
                <w:bCs/>
                <w:i/>
                <w:sz w:val="24"/>
                <w:szCs w:val="24"/>
              </w:rPr>
              <w:t xml:space="preserve">2021.gadā </w:t>
            </w:r>
          </w:p>
          <w:p w14:paraId="131B8EAD" w14:textId="159A208F"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K</w:t>
            </w:r>
            <w:r w:rsidR="0027068A" w:rsidRPr="00D818D7">
              <w:rPr>
                <w:rFonts w:ascii="Times New Roman" w:hAnsi="Times New Roman" w:cs="Times New Roman"/>
                <w:iCs/>
                <w:sz w:val="24"/>
                <w:szCs w:val="24"/>
              </w:rPr>
              <w:t>P</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nepieciešamā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w:t>
            </w:r>
            <w:r w:rsidRPr="00D818D7">
              <w:rPr>
                <w:rFonts w:ascii="Times New Roman" w:hAnsi="Times New Roman" w:cs="Times New Roman"/>
                <w:sz w:val="24"/>
                <w:szCs w:val="24"/>
              </w:rPr>
              <w:t>ehniskā</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aprīkojuma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iegāde</w:t>
            </w:r>
            <w:proofErr w:type="spellEnd"/>
            <w:r w:rsidRPr="00D818D7">
              <w:rPr>
                <w:rFonts w:ascii="Times New Roman" w:hAnsi="Times New Roman" w:cs="Times New Roman"/>
                <w:sz w:val="24"/>
                <w:szCs w:val="24"/>
              </w:rPr>
              <w:t xml:space="preserve">, t.sk.  </w:t>
            </w:r>
            <w:proofErr w:type="spellStart"/>
            <w:r w:rsidRPr="00D818D7">
              <w:rPr>
                <w:rFonts w:ascii="Times New Roman" w:hAnsi="Times New Roman" w:cs="Times New Roman"/>
                <w:sz w:val="24"/>
                <w:szCs w:val="24"/>
              </w:rPr>
              <w:t>digitālo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pierādījumu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iegūšanai</w:t>
            </w:r>
            <w:proofErr w:type="spellEnd"/>
            <w:r w:rsidRPr="00D818D7">
              <w:rPr>
                <w:rFonts w:ascii="Times New Roman" w:hAnsi="Times New Roman" w:cs="Times New Roman"/>
                <w:sz w:val="24"/>
                <w:szCs w:val="24"/>
              </w:rPr>
              <w:t xml:space="preserve"> un </w:t>
            </w:r>
            <w:proofErr w:type="spellStart"/>
            <w:r w:rsidRPr="00D818D7">
              <w:rPr>
                <w:rFonts w:ascii="Times New Roman" w:hAnsi="Times New Roman" w:cs="Times New Roman"/>
                <w:sz w:val="24"/>
                <w:szCs w:val="24"/>
              </w:rPr>
              <w:t>apstrādei</w:t>
            </w:r>
            <w:proofErr w:type="spellEnd"/>
            <w:r w:rsidRPr="00D818D7">
              <w:rPr>
                <w:rFonts w:ascii="Times New Roman" w:hAnsi="Times New Roman" w:cs="Times New Roman"/>
                <w:iCs/>
                <w:sz w:val="24"/>
                <w:szCs w:val="24"/>
              </w:rPr>
              <w:t>:</w:t>
            </w:r>
          </w:p>
          <w:p w14:paraId="233D36DA" w14:textId="77777777" w:rsidR="00853A4D" w:rsidRPr="00D818D7" w:rsidRDefault="00853A4D" w:rsidP="00853A4D">
            <w:pPr>
              <w:pStyle w:val="ListParagraph"/>
              <w:numPr>
                <w:ilvl w:val="0"/>
                <w:numId w:val="13"/>
              </w:numPr>
              <w:spacing w:before="120" w:after="0" w:line="240" w:lineRule="auto"/>
              <w:ind w:left="357"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t xml:space="preserve">laboratorijas </w:t>
            </w:r>
            <w:r w:rsidRPr="00D818D7">
              <w:rPr>
                <w:rFonts w:ascii="Times New Roman" w:hAnsi="Times New Roman" w:cs="Times New Roman"/>
                <w:i/>
                <w:sz w:val="24"/>
                <w:szCs w:val="24"/>
              </w:rPr>
              <w:t xml:space="preserve">NUIX </w:t>
            </w:r>
            <w:proofErr w:type="spellStart"/>
            <w:r w:rsidRPr="00D818D7">
              <w:rPr>
                <w:rFonts w:ascii="Times New Roman" w:hAnsi="Times New Roman" w:cs="Times New Roman"/>
                <w:i/>
                <w:sz w:val="24"/>
                <w:szCs w:val="24"/>
              </w:rPr>
              <w:t>Investigate</w:t>
            </w:r>
            <w:proofErr w:type="spellEnd"/>
            <w:r w:rsidRPr="00D818D7">
              <w:rPr>
                <w:rFonts w:ascii="Times New Roman" w:hAnsi="Times New Roman" w:cs="Times New Roman"/>
                <w:iCs/>
                <w:sz w:val="24"/>
                <w:szCs w:val="24"/>
              </w:rPr>
              <w:t xml:space="preserve"> 33 000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Cs/>
                <w:sz w:val="24"/>
                <w:szCs w:val="24"/>
              </w:rPr>
              <w:t>;</w:t>
            </w:r>
          </w:p>
          <w:p w14:paraId="7E6DFEEA" w14:textId="77777777" w:rsidR="00853A4D" w:rsidRPr="00D818D7" w:rsidRDefault="00853A4D" w:rsidP="00853A4D">
            <w:pPr>
              <w:pStyle w:val="ListParagraph"/>
              <w:numPr>
                <w:ilvl w:val="0"/>
                <w:numId w:val="13"/>
              </w:numPr>
              <w:spacing w:before="120" w:after="0" w:line="240" w:lineRule="auto"/>
              <w:ind w:left="357"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t>stacionārie datori (</w:t>
            </w:r>
            <w:r w:rsidRPr="00D818D7">
              <w:rPr>
                <w:rFonts w:ascii="Times New Roman" w:hAnsi="Times New Roman" w:cs="Times New Roman"/>
                <w:i/>
                <w:sz w:val="24"/>
                <w:szCs w:val="24"/>
              </w:rPr>
              <w:t>4 gab</w:t>
            </w:r>
            <w:r w:rsidRPr="00D818D7">
              <w:rPr>
                <w:rFonts w:ascii="Times New Roman" w:hAnsi="Times New Roman" w:cs="Times New Roman"/>
                <w:iCs/>
                <w:sz w:val="24"/>
                <w:szCs w:val="24"/>
              </w:rPr>
              <w:t xml:space="preserve">.) 4 000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Cs/>
                <w:sz w:val="24"/>
                <w:szCs w:val="24"/>
              </w:rPr>
              <w:t>;</w:t>
            </w:r>
          </w:p>
          <w:p w14:paraId="5CD96046" w14:textId="77777777" w:rsidR="00853A4D" w:rsidRPr="00D818D7" w:rsidRDefault="00853A4D" w:rsidP="00853A4D">
            <w:pPr>
              <w:pStyle w:val="ListParagraph"/>
              <w:numPr>
                <w:ilvl w:val="0"/>
                <w:numId w:val="13"/>
              </w:numPr>
              <w:spacing w:before="120" w:after="0" w:line="240" w:lineRule="auto"/>
              <w:ind w:left="357"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t>jaudīgas darbstacijas (</w:t>
            </w:r>
            <w:r w:rsidRPr="00D818D7">
              <w:rPr>
                <w:rFonts w:ascii="Times New Roman" w:hAnsi="Times New Roman" w:cs="Times New Roman"/>
                <w:i/>
                <w:sz w:val="24"/>
                <w:szCs w:val="24"/>
              </w:rPr>
              <w:t>4 gab</w:t>
            </w:r>
            <w:r w:rsidRPr="00D818D7">
              <w:rPr>
                <w:rFonts w:ascii="Times New Roman" w:hAnsi="Times New Roman" w:cs="Times New Roman"/>
                <w:iCs/>
                <w:sz w:val="24"/>
                <w:szCs w:val="24"/>
              </w:rPr>
              <w:t xml:space="preserve">.) 24 000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Cs/>
                <w:sz w:val="24"/>
                <w:szCs w:val="24"/>
              </w:rPr>
              <w:t>;</w:t>
            </w:r>
          </w:p>
          <w:p w14:paraId="1A4F54A5" w14:textId="77777777" w:rsidR="00853A4D" w:rsidRPr="00D818D7" w:rsidRDefault="00853A4D" w:rsidP="00853A4D">
            <w:pPr>
              <w:pStyle w:val="ListParagraph"/>
              <w:numPr>
                <w:ilvl w:val="0"/>
                <w:numId w:val="13"/>
              </w:numPr>
              <w:spacing w:before="120" w:after="0" w:line="240" w:lineRule="auto"/>
              <w:ind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lastRenderedPageBreak/>
              <w:t>serveru  (</w:t>
            </w:r>
            <w:r w:rsidRPr="00D818D7">
              <w:rPr>
                <w:rFonts w:ascii="Times New Roman" w:hAnsi="Times New Roman" w:cs="Times New Roman"/>
                <w:i/>
                <w:sz w:val="24"/>
                <w:szCs w:val="24"/>
              </w:rPr>
              <w:t>2 gab</w:t>
            </w:r>
            <w:r w:rsidRPr="00D818D7">
              <w:rPr>
                <w:rFonts w:ascii="Times New Roman" w:hAnsi="Times New Roman" w:cs="Times New Roman"/>
                <w:iCs/>
                <w:sz w:val="24"/>
                <w:szCs w:val="24"/>
              </w:rPr>
              <w:t xml:space="preserve">.) programmatūra 20 000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
                <w:sz w:val="24"/>
                <w:szCs w:val="24"/>
              </w:rPr>
              <w:t>;</w:t>
            </w:r>
          </w:p>
          <w:p w14:paraId="706EF10A"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printeri</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inspekcijās</w:t>
            </w:r>
            <w:proofErr w:type="spellEnd"/>
            <w:r w:rsidRPr="00D818D7">
              <w:rPr>
                <w:rFonts w:ascii="Times New Roman" w:hAnsi="Times New Roman" w:cs="Times New Roman"/>
                <w:iCs/>
                <w:sz w:val="24"/>
                <w:szCs w:val="24"/>
              </w:rPr>
              <w:t xml:space="preserve"> (2 gab.) 2 000</w:t>
            </w:r>
            <w:r w:rsidRPr="00D818D7">
              <w:rPr>
                <w:rFonts w:ascii="Times New Roman" w:hAnsi="Times New Roman" w:cs="Times New Roman"/>
                <w:i/>
                <w:sz w:val="24"/>
                <w:szCs w:val="24"/>
              </w:rPr>
              <w:t xml:space="preserve"> euro;</w:t>
            </w:r>
          </w:p>
          <w:p w14:paraId="6B220830" w14:textId="77777777" w:rsidR="00853A4D" w:rsidRPr="00D818D7" w:rsidRDefault="00853A4D" w:rsidP="00853A4D">
            <w:pPr>
              <w:spacing w:before="120" w:after="0" w:line="240" w:lineRule="auto"/>
              <w:jc w:val="both"/>
              <w:rPr>
                <w:rFonts w:ascii="Times New Roman" w:hAnsi="Times New Roman" w:cs="Times New Roman"/>
                <w:i/>
                <w:sz w:val="24"/>
                <w:szCs w:val="24"/>
              </w:rPr>
            </w:pP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portatīvie</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skeneri</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i/>
                <w:sz w:val="24"/>
                <w:szCs w:val="24"/>
              </w:rPr>
              <w:t>4 gab</w:t>
            </w:r>
            <w:r w:rsidRPr="00D818D7">
              <w:rPr>
                <w:rFonts w:ascii="Times New Roman" w:hAnsi="Times New Roman" w:cs="Times New Roman"/>
                <w:iCs/>
                <w:sz w:val="24"/>
                <w:szCs w:val="24"/>
              </w:rPr>
              <w:t xml:space="preserve">,) 3 200 </w:t>
            </w:r>
            <w:r w:rsidRPr="00D818D7">
              <w:rPr>
                <w:rFonts w:ascii="Times New Roman" w:hAnsi="Times New Roman" w:cs="Times New Roman"/>
                <w:i/>
                <w:sz w:val="24"/>
                <w:szCs w:val="24"/>
              </w:rPr>
              <w:t>euro;</w:t>
            </w:r>
          </w:p>
          <w:p w14:paraId="13A10783"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portatīvie</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datori</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nomaiņa</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pret</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stacionāriem</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darbiniekiem</w:t>
            </w:r>
            <w:proofErr w:type="spellEnd"/>
            <w:r w:rsidRPr="00D818D7">
              <w:rPr>
                <w:rFonts w:ascii="Times New Roman" w:hAnsi="Times New Roman" w:cs="Times New Roman"/>
                <w:i/>
                <w:iCs/>
                <w:sz w:val="24"/>
                <w:szCs w:val="24"/>
              </w:rPr>
              <w:t xml:space="preserve"> (20 gab.) 20 000 euro.</w:t>
            </w:r>
          </w:p>
          <w:p w14:paraId="23A9D9A0" w14:textId="77777777" w:rsidR="00853A4D" w:rsidRPr="00D818D7" w:rsidRDefault="00853A4D" w:rsidP="00853A4D">
            <w:pPr>
              <w:spacing w:before="120" w:after="0" w:line="240" w:lineRule="auto"/>
              <w:jc w:val="both"/>
              <w:rPr>
                <w:rFonts w:ascii="Times New Roman" w:hAnsi="Times New Roman" w:cs="Times New Roman"/>
                <w:b/>
                <w:bCs/>
                <w:iCs/>
                <w:sz w:val="24"/>
                <w:szCs w:val="24"/>
              </w:rPr>
            </w:pPr>
            <w:proofErr w:type="spellStart"/>
            <w:r w:rsidRPr="00D818D7">
              <w:rPr>
                <w:rFonts w:ascii="Times New Roman" w:hAnsi="Times New Roman" w:cs="Times New Roman"/>
                <w:iCs/>
                <w:sz w:val="24"/>
                <w:szCs w:val="24"/>
              </w:rPr>
              <w:t>Kopā</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b/>
                <w:bCs/>
                <w:iCs/>
                <w:sz w:val="24"/>
                <w:szCs w:val="24"/>
              </w:rPr>
              <w:t>106 200</w:t>
            </w:r>
            <w:r w:rsidRPr="00D818D7">
              <w:rPr>
                <w:rFonts w:ascii="Times New Roman" w:hAnsi="Times New Roman" w:cs="Times New Roman"/>
                <w:iCs/>
                <w:sz w:val="24"/>
                <w:szCs w:val="24"/>
              </w:rPr>
              <w:t xml:space="preserve"> </w:t>
            </w:r>
            <w:r w:rsidRPr="00D818D7">
              <w:rPr>
                <w:rFonts w:ascii="Times New Roman" w:hAnsi="Times New Roman" w:cs="Times New Roman"/>
                <w:b/>
                <w:bCs/>
                <w:i/>
                <w:sz w:val="24"/>
                <w:szCs w:val="24"/>
              </w:rPr>
              <w:t>euro</w:t>
            </w:r>
          </w:p>
          <w:p w14:paraId="460E88F8" w14:textId="77777777" w:rsidR="00853A4D" w:rsidRPr="00D818D7" w:rsidRDefault="00853A4D" w:rsidP="00853A4D">
            <w:pPr>
              <w:spacing w:before="120"/>
              <w:jc w:val="both"/>
              <w:rPr>
                <w:rFonts w:ascii="Times New Roman" w:hAnsi="Times New Roman" w:cs="Times New Roman"/>
                <w:b/>
                <w:bCs/>
                <w:i/>
                <w:sz w:val="24"/>
                <w:szCs w:val="24"/>
              </w:rPr>
            </w:pPr>
          </w:p>
          <w:p w14:paraId="36A974A0" w14:textId="77777777" w:rsidR="00853A4D" w:rsidRPr="00D818D7" w:rsidRDefault="00853A4D" w:rsidP="00853A4D">
            <w:pPr>
              <w:spacing w:before="120"/>
              <w:jc w:val="both"/>
              <w:rPr>
                <w:rFonts w:ascii="Times New Roman" w:hAnsi="Times New Roman" w:cs="Times New Roman"/>
                <w:b/>
                <w:bCs/>
                <w:i/>
                <w:sz w:val="24"/>
                <w:szCs w:val="24"/>
              </w:rPr>
            </w:pPr>
            <w:r w:rsidRPr="00D818D7">
              <w:rPr>
                <w:rFonts w:ascii="Times New Roman" w:hAnsi="Times New Roman" w:cs="Times New Roman"/>
                <w:b/>
                <w:bCs/>
                <w:i/>
                <w:sz w:val="24"/>
                <w:szCs w:val="24"/>
              </w:rPr>
              <w:t xml:space="preserve">2022.gadā </w:t>
            </w:r>
          </w:p>
          <w:p w14:paraId="1DEBF27F" w14:textId="1695E12F"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K</w:t>
            </w:r>
            <w:r w:rsidR="0027068A" w:rsidRPr="00D818D7">
              <w:rPr>
                <w:rFonts w:ascii="Times New Roman" w:hAnsi="Times New Roman" w:cs="Times New Roman"/>
                <w:iCs/>
                <w:sz w:val="24"/>
                <w:szCs w:val="24"/>
              </w:rPr>
              <w:t>P</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nepieciešamā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w:t>
            </w:r>
            <w:r w:rsidRPr="00D818D7">
              <w:rPr>
                <w:rFonts w:ascii="Times New Roman" w:hAnsi="Times New Roman" w:cs="Times New Roman"/>
                <w:sz w:val="24"/>
                <w:szCs w:val="24"/>
              </w:rPr>
              <w:t>ehniskā</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aprīkojuma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iegāde</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digitālo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pierādījumu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iegūšanai</w:t>
            </w:r>
            <w:proofErr w:type="spellEnd"/>
            <w:r w:rsidRPr="00D818D7">
              <w:rPr>
                <w:rFonts w:ascii="Times New Roman" w:hAnsi="Times New Roman" w:cs="Times New Roman"/>
                <w:sz w:val="24"/>
                <w:szCs w:val="24"/>
              </w:rPr>
              <w:t xml:space="preserve"> un </w:t>
            </w:r>
            <w:proofErr w:type="spellStart"/>
            <w:r w:rsidRPr="00D818D7">
              <w:rPr>
                <w:rFonts w:ascii="Times New Roman" w:hAnsi="Times New Roman" w:cs="Times New Roman"/>
                <w:sz w:val="24"/>
                <w:szCs w:val="24"/>
              </w:rPr>
              <w:t>apstrādei</w:t>
            </w:r>
            <w:proofErr w:type="spellEnd"/>
            <w:r w:rsidRPr="00D818D7">
              <w:rPr>
                <w:rFonts w:ascii="Times New Roman" w:hAnsi="Times New Roman" w:cs="Times New Roman"/>
                <w:iCs/>
                <w:sz w:val="24"/>
                <w:szCs w:val="24"/>
              </w:rPr>
              <w:t>:</w:t>
            </w:r>
          </w:p>
          <w:p w14:paraId="7FC2B9D7" w14:textId="77777777" w:rsidR="00853A4D" w:rsidRPr="00D818D7" w:rsidRDefault="00853A4D" w:rsidP="00853A4D">
            <w:pPr>
              <w:pStyle w:val="ListParagraph"/>
              <w:numPr>
                <w:ilvl w:val="0"/>
                <w:numId w:val="13"/>
              </w:numPr>
              <w:spacing w:before="120" w:after="0" w:line="240" w:lineRule="auto"/>
              <w:ind w:left="357"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t xml:space="preserve">laboratorijas </w:t>
            </w:r>
            <w:r w:rsidRPr="00D818D7">
              <w:rPr>
                <w:rFonts w:ascii="Times New Roman" w:hAnsi="Times New Roman" w:cs="Times New Roman"/>
                <w:i/>
                <w:sz w:val="24"/>
                <w:szCs w:val="24"/>
              </w:rPr>
              <w:t xml:space="preserve">NUIX </w:t>
            </w:r>
            <w:proofErr w:type="spellStart"/>
            <w:r w:rsidRPr="00D818D7">
              <w:rPr>
                <w:rFonts w:ascii="Times New Roman" w:hAnsi="Times New Roman" w:cs="Times New Roman"/>
                <w:i/>
                <w:sz w:val="24"/>
                <w:szCs w:val="24"/>
              </w:rPr>
              <w:t>Investigate</w:t>
            </w:r>
            <w:proofErr w:type="spellEnd"/>
            <w:r w:rsidRPr="00D818D7">
              <w:rPr>
                <w:rFonts w:ascii="Times New Roman" w:hAnsi="Times New Roman" w:cs="Times New Roman"/>
                <w:iCs/>
                <w:sz w:val="24"/>
                <w:szCs w:val="24"/>
              </w:rPr>
              <w:t xml:space="preserve"> 33 000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
                <w:sz w:val="24"/>
                <w:szCs w:val="24"/>
              </w:rPr>
              <w:t>;</w:t>
            </w:r>
          </w:p>
          <w:p w14:paraId="6C6066C9" w14:textId="77777777"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portatīvie</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datori</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nomaiņa</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pret</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i/>
                <w:iCs/>
                <w:sz w:val="24"/>
                <w:szCs w:val="24"/>
              </w:rPr>
              <w:t>stacionāriem</w:t>
            </w:r>
            <w:proofErr w:type="spellEnd"/>
            <w:r w:rsidRPr="00D818D7">
              <w:rPr>
                <w:rFonts w:ascii="Times New Roman" w:hAnsi="Times New Roman" w:cs="Times New Roman"/>
                <w:i/>
                <w:iCs/>
                <w:sz w:val="24"/>
                <w:szCs w:val="24"/>
              </w:rPr>
              <w:t xml:space="preserve">) </w:t>
            </w:r>
            <w:proofErr w:type="spellStart"/>
            <w:r w:rsidRPr="00D818D7">
              <w:rPr>
                <w:rFonts w:ascii="Times New Roman" w:hAnsi="Times New Roman" w:cs="Times New Roman"/>
                <w:sz w:val="24"/>
                <w:szCs w:val="24"/>
              </w:rPr>
              <w:t>darbiniekiem</w:t>
            </w:r>
            <w:proofErr w:type="spellEnd"/>
            <w:r w:rsidRPr="00D818D7">
              <w:rPr>
                <w:rFonts w:ascii="Times New Roman" w:hAnsi="Times New Roman" w:cs="Times New Roman"/>
                <w:i/>
                <w:iCs/>
                <w:sz w:val="24"/>
                <w:szCs w:val="24"/>
              </w:rPr>
              <w:t xml:space="preserve"> (20 gab.) 20 000 euro.</w:t>
            </w:r>
          </w:p>
          <w:p w14:paraId="49542C9F" w14:textId="77777777" w:rsidR="00853A4D" w:rsidRPr="00D818D7" w:rsidRDefault="00853A4D" w:rsidP="00853A4D">
            <w:pPr>
              <w:spacing w:before="120" w:after="0" w:line="240" w:lineRule="auto"/>
              <w:jc w:val="both"/>
              <w:rPr>
                <w:rFonts w:ascii="Times New Roman" w:hAnsi="Times New Roman" w:cs="Times New Roman"/>
                <w:iCs/>
                <w:sz w:val="24"/>
                <w:szCs w:val="24"/>
              </w:rPr>
            </w:pPr>
            <w:proofErr w:type="spellStart"/>
            <w:r w:rsidRPr="00D818D7">
              <w:rPr>
                <w:rFonts w:ascii="Times New Roman" w:hAnsi="Times New Roman" w:cs="Times New Roman"/>
                <w:iCs/>
                <w:sz w:val="24"/>
                <w:szCs w:val="24"/>
              </w:rPr>
              <w:t>Kopā</w:t>
            </w:r>
            <w:proofErr w:type="spellEnd"/>
            <w:r w:rsidRPr="00D818D7">
              <w:rPr>
                <w:rFonts w:ascii="Times New Roman" w:hAnsi="Times New Roman" w:cs="Times New Roman"/>
                <w:iCs/>
                <w:sz w:val="24"/>
                <w:szCs w:val="24"/>
              </w:rPr>
              <w:t xml:space="preserve">: </w:t>
            </w:r>
            <w:r w:rsidRPr="00D818D7">
              <w:rPr>
                <w:rFonts w:ascii="Times New Roman" w:hAnsi="Times New Roman" w:cs="Times New Roman"/>
                <w:b/>
                <w:bCs/>
                <w:iCs/>
                <w:sz w:val="24"/>
                <w:szCs w:val="24"/>
              </w:rPr>
              <w:t>53 000</w:t>
            </w:r>
            <w:r w:rsidRPr="00D818D7">
              <w:rPr>
                <w:rFonts w:ascii="Times New Roman" w:hAnsi="Times New Roman" w:cs="Times New Roman"/>
                <w:b/>
                <w:bCs/>
                <w:i/>
                <w:sz w:val="24"/>
                <w:szCs w:val="24"/>
              </w:rPr>
              <w:t xml:space="preserve"> euro.</w:t>
            </w:r>
          </w:p>
          <w:p w14:paraId="3D40B67D" w14:textId="77777777" w:rsidR="00853A4D" w:rsidRPr="00D818D7" w:rsidRDefault="00853A4D" w:rsidP="00853A4D">
            <w:pPr>
              <w:spacing w:before="120"/>
              <w:jc w:val="both"/>
              <w:rPr>
                <w:rFonts w:ascii="Times New Roman" w:hAnsi="Times New Roman" w:cs="Times New Roman"/>
                <w:b/>
                <w:bCs/>
                <w:i/>
                <w:sz w:val="24"/>
                <w:szCs w:val="24"/>
              </w:rPr>
            </w:pPr>
          </w:p>
          <w:p w14:paraId="76A5B45F" w14:textId="77777777" w:rsidR="00853A4D" w:rsidRPr="00D818D7" w:rsidRDefault="00853A4D" w:rsidP="00853A4D">
            <w:pPr>
              <w:spacing w:before="120"/>
              <w:jc w:val="both"/>
              <w:rPr>
                <w:rFonts w:ascii="Times New Roman" w:hAnsi="Times New Roman" w:cs="Times New Roman"/>
                <w:b/>
                <w:bCs/>
                <w:i/>
                <w:sz w:val="24"/>
                <w:szCs w:val="24"/>
              </w:rPr>
            </w:pPr>
            <w:r w:rsidRPr="00D818D7">
              <w:rPr>
                <w:rFonts w:ascii="Times New Roman" w:hAnsi="Times New Roman" w:cs="Times New Roman"/>
                <w:b/>
                <w:bCs/>
                <w:i/>
                <w:sz w:val="24"/>
                <w:szCs w:val="24"/>
              </w:rPr>
              <w:t>2023.gadā</w:t>
            </w:r>
          </w:p>
          <w:p w14:paraId="4E058DFB" w14:textId="11673EA9" w:rsidR="00853A4D" w:rsidRPr="00D818D7" w:rsidRDefault="00853A4D" w:rsidP="00853A4D">
            <w:pPr>
              <w:spacing w:before="120" w:after="0" w:line="240" w:lineRule="auto"/>
              <w:jc w:val="both"/>
              <w:rPr>
                <w:rFonts w:ascii="Times New Roman" w:hAnsi="Times New Roman" w:cs="Times New Roman"/>
                <w:iCs/>
                <w:sz w:val="24"/>
                <w:szCs w:val="24"/>
              </w:rPr>
            </w:pPr>
            <w:r w:rsidRPr="00D818D7">
              <w:rPr>
                <w:rFonts w:ascii="Times New Roman" w:hAnsi="Times New Roman" w:cs="Times New Roman"/>
                <w:iCs/>
                <w:sz w:val="24"/>
                <w:szCs w:val="24"/>
              </w:rPr>
              <w:t>K</w:t>
            </w:r>
            <w:r w:rsidR="0027068A" w:rsidRPr="00D818D7">
              <w:rPr>
                <w:rFonts w:ascii="Times New Roman" w:hAnsi="Times New Roman" w:cs="Times New Roman"/>
                <w:iCs/>
                <w:sz w:val="24"/>
                <w:szCs w:val="24"/>
              </w:rPr>
              <w:t>P</w:t>
            </w:r>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nepieciešamā</w:t>
            </w:r>
            <w:proofErr w:type="spellEnd"/>
            <w:r w:rsidRPr="00D818D7">
              <w:rPr>
                <w:rFonts w:ascii="Times New Roman" w:hAnsi="Times New Roman" w:cs="Times New Roman"/>
                <w:iCs/>
                <w:sz w:val="24"/>
                <w:szCs w:val="24"/>
              </w:rPr>
              <w:t xml:space="preserve"> </w:t>
            </w:r>
            <w:proofErr w:type="spellStart"/>
            <w:r w:rsidRPr="00D818D7">
              <w:rPr>
                <w:rFonts w:ascii="Times New Roman" w:hAnsi="Times New Roman" w:cs="Times New Roman"/>
                <w:iCs/>
                <w:sz w:val="24"/>
                <w:szCs w:val="24"/>
              </w:rPr>
              <w:t>t</w:t>
            </w:r>
            <w:r w:rsidRPr="00D818D7">
              <w:rPr>
                <w:rFonts w:ascii="Times New Roman" w:hAnsi="Times New Roman" w:cs="Times New Roman"/>
                <w:sz w:val="24"/>
                <w:szCs w:val="24"/>
              </w:rPr>
              <w:t>ehniskā</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aprīkojuma</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iegāde</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digitālo</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pierādījumu</w:t>
            </w:r>
            <w:proofErr w:type="spellEnd"/>
            <w:r w:rsidRPr="00D818D7">
              <w:rPr>
                <w:rFonts w:ascii="Times New Roman" w:hAnsi="Times New Roman" w:cs="Times New Roman"/>
                <w:sz w:val="24"/>
                <w:szCs w:val="24"/>
              </w:rPr>
              <w:t xml:space="preserve"> </w:t>
            </w:r>
            <w:proofErr w:type="spellStart"/>
            <w:r w:rsidRPr="00D818D7">
              <w:rPr>
                <w:rFonts w:ascii="Times New Roman" w:hAnsi="Times New Roman" w:cs="Times New Roman"/>
                <w:sz w:val="24"/>
                <w:szCs w:val="24"/>
              </w:rPr>
              <w:t>iegūšanai</w:t>
            </w:r>
            <w:proofErr w:type="spellEnd"/>
            <w:r w:rsidRPr="00D818D7">
              <w:rPr>
                <w:rFonts w:ascii="Times New Roman" w:hAnsi="Times New Roman" w:cs="Times New Roman"/>
                <w:sz w:val="24"/>
                <w:szCs w:val="24"/>
              </w:rPr>
              <w:t xml:space="preserve"> un </w:t>
            </w:r>
            <w:proofErr w:type="spellStart"/>
            <w:r w:rsidRPr="00D818D7">
              <w:rPr>
                <w:rFonts w:ascii="Times New Roman" w:hAnsi="Times New Roman" w:cs="Times New Roman"/>
                <w:sz w:val="24"/>
                <w:szCs w:val="24"/>
              </w:rPr>
              <w:t>apstrādei</w:t>
            </w:r>
            <w:proofErr w:type="spellEnd"/>
            <w:r w:rsidRPr="00D818D7">
              <w:rPr>
                <w:rFonts w:ascii="Times New Roman" w:hAnsi="Times New Roman" w:cs="Times New Roman"/>
                <w:iCs/>
                <w:sz w:val="24"/>
                <w:szCs w:val="24"/>
              </w:rPr>
              <w:t>:</w:t>
            </w:r>
          </w:p>
          <w:p w14:paraId="4624BE8F" w14:textId="77777777" w:rsidR="00853A4D" w:rsidRPr="00D818D7" w:rsidRDefault="00853A4D" w:rsidP="00853A4D">
            <w:pPr>
              <w:pStyle w:val="ListParagraph"/>
              <w:numPr>
                <w:ilvl w:val="0"/>
                <w:numId w:val="13"/>
              </w:numPr>
              <w:spacing w:before="120" w:after="0" w:line="240" w:lineRule="auto"/>
              <w:ind w:left="357" w:hanging="357"/>
              <w:contextualSpacing w:val="0"/>
              <w:jc w:val="both"/>
              <w:rPr>
                <w:rFonts w:ascii="Times New Roman" w:hAnsi="Times New Roman" w:cs="Times New Roman"/>
                <w:iCs/>
                <w:sz w:val="24"/>
                <w:szCs w:val="24"/>
              </w:rPr>
            </w:pPr>
            <w:r w:rsidRPr="00D818D7">
              <w:rPr>
                <w:rFonts w:ascii="Times New Roman" w:hAnsi="Times New Roman" w:cs="Times New Roman"/>
                <w:iCs/>
                <w:sz w:val="24"/>
                <w:szCs w:val="24"/>
              </w:rPr>
              <w:t xml:space="preserve">laboratorijas </w:t>
            </w:r>
            <w:r w:rsidRPr="00D818D7">
              <w:rPr>
                <w:rFonts w:ascii="Times New Roman" w:hAnsi="Times New Roman" w:cs="Times New Roman"/>
                <w:i/>
                <w:sz w:val="24"/>
                <w:szCs w:val="24"/>
              </w:rPr>
              <w:t xml:space="preserve">NUIX </w:t>
            </w:r>
            <w:proofErr w:type="spellStart"/>
            <w:r w:rsidRPr="00D818D7">
              <w:rPr>
                <w:rFonts w:ascii="Times New Roman" w:hAnsi="Times New Roman" w:cs="Times New Roman"/>
                <w:i/>
                <w:sz w:val="24"/>
                <w:szCs w:val="24"/>
              </w:rPr>
              <w:t>Investigate</w:t>
            </w:r>
            <w:proofErr w:type="spellEnd"/>
            <w:r w:rsidRPr="00D818D7">
              <w:rPr>
                <w:rFonts w:ascii="Times New Roman" w:hAnsi="Times New Roman" w:cs="Times New Roman"/>
                <w:iCs/>
                <w:sz w:val="24"/>
                <w:szCs w:val="24"/>
              </w:rPr>
              <w:t xml:space="preserve"> ieviešana 33 000 </w:t>
            </w:r>
            <w:proofErr w:type="spellStart"/>
            <w:r w:rsidRPr="00D818D7">
              <w:rPr>
                <w:rFonts w:ascii="Times New Roman" w:hAnsi="Times New Roman" w:cs="Times New Roman"/>
                <w:i/>
                <w:sz w:val="24"/>
                <w:szCs w:val="24"/>
              </w:rPr>
              <w:t>euro</w:t>
            </w:r>
            <w:proofErr w:type="spellEnd"/>
            <w:r w:rsidRPr="00D818D7">
              <w:rPr>
                <w:rFonts w:ascii="Times New Roman" w:hAnsi="Times New Roman" w:cs="Times New Roman"/>
                <w:i/>
                <w:sz w:val="24"/>
                <w:szCs w:val="24"/>
              </w:rPr>
              <w:t>;</w:t>
            </w:r>
          </w:p>
          <w:p w14:paraId="0AAF4EC4" w14:textId="77777777" w:rsidR="00853A4D" w:rsidRPr="00D818D7" w:rsidRDefault="00853A4D" w:rsidP="00853A4D">
            <w:pPr>
              <w:pStyle w:val="Heading1"/>
              <w:spacing w:before="120"/>
              <w:ind w:right="-666"/>
              <w:jc w:val="both"/>
              <w:rPr>
                <w:color w:val="000000" w:themeColor="text1"/>
                <w:sz w:val="24"/>
                <w:szCs w:val="24"/>
              </w:rPr>
            </w:pPr>
            <w:r w:rsidRPr="00D818D7">
              <w:rPr>
                <w:iCs/>
                <w:sz w:val="24"/>
                <w:szCs w:val="24"/>
              </w:rPr>
              <w:t xml:space="preserve">Kopā: </w:t>
            </w:r>
            <w:r w:rsidRPr="00D818D7">
              <w:rPr>
                <w:b/>
                <w:bCs/>
                <w:iCs/>
                <w:sz w:val="24"/>
                <w:szCs w:val="24"/>
              </w:rPr>
              <w:t>33 000</w:t>
            </w:r>
            <w:r w:rsidRPr="00D818D7">
              <w:rPr>
                <w:b/>
                <w:bCs/>
                <w:i/>
                <w:sz w:val="24"/>
                <w:szCs w:val="24"/>
              </w:rPr>
              <w:t xml:space="preserve"> </w:t>
            </w:r>
            <w:proofErr w:type="spellStart"/>
            <w:r w:rsidRPr="00D818D7">
              <w:rPr>
                <w:b/>
                <w:bCs/>
                <w:i/>
                <w:sz w:val="24"/>
                <w:szCs w:val="24"/>
              </w:rPr>
              <w:t>euro</w:t>
            </w:r>
            <w:proofErr w:type="spellEnd"/>
            <w:r w:rsidRPr="00D818D7">
              <w:rPr>
                <w:b/>
                <w:bCs/>
                <w:i/>
                <w:sz w:val="24"/>
                <w:szCs w:val="24"/>
              </w:rPr>
              <w:t>.</w:t>
            </w:r>
          </w:p>
        </w:tc>
      </w:tr>
      <w:tr w:rsidR="00853A4D" w:rsidRPr="00876E61" w14:paraId="462A1D69"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3B30230E"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6.1. detalizēts ieņēmumu aprēķins</w:t>
            </w:r>
          </w:p>
        </w:tc>
        <w:tc>
          <w:tcPr>
            <w:tcW w:w="8158" w:type="dxa"/>
            <w:gridSpan w:val="7"/>
            <w:vMerge/>
            <w:tcBorders>
              <w:top w:val="single" w:sz="4" w:space="0" w:color="auto"/>
              <w:left w:val="single" w:sz="4" w:space="0" w:color="auto"/>
              <w:bottom w:val="single" w:sz="4" w:space="0" w:color="auto"/>
              <w:right w:val="single" w:sz="4" w:space="0" w:color="auto"/>
            </w:tcBorders>
            <w:vAlign w:val="center"/>
            <w:hideMark/>
          </w:tcPr>
          <w:p w14:paraId="40BDA32F"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r>
      <w:tr w:rsidR="00853A4D" w:rsidRPr="00876E61" w14:paraId="56A2DB3A"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58B72F18"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6.2. detalizēts izdevumu aprēķins</w:t>
            </w:r>
          </w:p>
        </w:tc>
        <w:tc>
          <w:tcPr>
            <w:tcW w:w="8158" w:type="dxa"/>
            <w:gridSpan w:val="7"/>
            <w:vMerge/>
            <w:tcBorders>
              <w:top w:val="single" w:sz="4" w:space="0" w:color="auto"/>
              <w:left w:val="single" w:sz="4" w:space="0" w:color="auto"/>
              <w:bottom w:val="single" w:sz="4" w:space="0" w:color="auto"/>
              <w:right w:val="single" w:sz="4" w:space="0" w:color="auto"/>
            </w:tcBorders>
            <w:vAlign w:val="center"/>
            <w:hideMark/>
          </w:tcPr>
          <w:p w14:paraId="06967F6B"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p>
        </w:tc>
      </w:tr>
      <w:tr w:rsidR="00853A4D" w:rsidRPr="00876E61" w14:paraId="52CEE52F" w14:textId="77777777" w:rsidTr="00853A4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1618" w:type="dxa"/>
            <w:tcBorders>
              <w:top w:val="single" w:sz="4" w:space="0" w:color="auto"/>
              <w:left w:val="single" w:sz="4" w:space="0" w:color="auto"/>
              <w:bottom w:val="single" w:sz="4" w:space="0" w:color="auto"/>
              <w:right w:val="single" w:sz="4" w:space="0" w:color="auto"/>
            </w:tcBorders>
            <w:hideMark/>
          </w:tcPr>
          <w:p w14:paraId="40C1121E" w14:textId="77777777" w:rsidR="00853A4D" w:rsidRPr="00876E61" w:rsidRDefault="00853A4D" w:rsidP="00853A4D">
            <w:pPr>
              <w:spacing w:after="0" w:line="240" w:lineRule="auto"/>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lastRenderedPageBreak/>
              <w:t>7. Amata vietu skaita izmaiņas</w:t>
            </w:r>
          </w:p>
        </w:tc>
        <w:tc>
          <w:tcPr>
            <w:tcW w:w="8158" w:type="dxa"/>
            <w:gridSpan w:val="7"/>
            <w:tcBorders>
              <w:top w:val="single" w:sz="4" w:space="0" w:color="auto"/>
              <w:left w:val="single" w:sz="4" w:space="0" w:color="auto"/>
              <w:bottom w:val="single" w:sz="4" w:space="0" w:color="auto"/>
              <w:right w:val="single" w:sz="4" w:space="0" w:color="auto"/>
            </w:tcBorders>
            <w:hideMark/>
          </w:tcPr>
          <w:p w14:paraId="49E0DEC4" w14:textId="77777777" w:rsidR="00853A4D" w:rsidRPr="00876E61" w:rsidRDefault="00853A4D" w:rsidP="00853A4D">
            <w:pPr>
              <w:spacing w:after="0" w:line="240" w:lineRule="auto"/>
              <w:jc w:val="both"/>
              <w:rPr>
                <w:rFonts w:ascii="Times New Roman" w:eastAsia="Times New Roman" w:hAnsi="Times New Roman" w:cs="Times New Roman"/>
                <w:color w:val="000000" w:themeColor="text1"/>
                <w:sz w:val="24"/>
                <w:szCs w:val="24"/>
                <w:lang w:val="lv-LV" w:eastAsia="lv-LV"/>
              </w:rPr>
            </w:pPr>
            <w:r w:rsidRPr="00876E61">
              <w:rPr>
                <w:rFonts w:ascii="Times New Roman" w:eastAsia="Times New Roman" w:hAnsi="Times New Roman" w:cs="Times New Roman"/>
                <w:color w:val="000000" w:themeColor="text1"/>
                <w:sz w:val="24"/>
                <w:szCs w:val="24"/>
                <w:lang w:val="lv-LV" w:eastAsia="lv-LV"/>
              </w:rPr>
              <w:t>Sākot ar 2021.gadu plānotas amata vietu izmaiņas, t.sk. palielinot skaitu (</w:t>
            </w:r>
            <w:r w:rsidRPr="00876E61">
              <w:rPr>
                <w:rFonts w:ascii="Times New Roman" w:eastAsia="Times New Roman" w:hAnsi="Times New Roman" w:cs="Times New Roman"/>
                <w:i/>
                <w:iCs/>
                <w:color w:val="000000" w:themeColor="text1"/>
                <w:sz w:val="24"/>
                <w:szCs w:val="24"/>
                <w:lang w:val="lv-LV" w:eastAsia="lv-LV"/>
              </w:rPr>
              <w:t>48</w:t>
            </w:r>
            <w:r w:rsidRPr="00876E61">
              <w:rPr>
                <w:rFonts w:ascii="Times New Roman" w:eastAsia="Times New Roman" w:hAnsi="Times New Roman" w:cs="Times New Roman"/>
                <w:color w:val="000000" w:themeColor="text1"/>
                <w:sz w:val="24"/>
                <w:szCs w:val="24"/>
                <w:lang w:val="lv-LV" w:eastAsia="lv-LV"/>
              </w:rPr>
              <w:t>) par</w:t>
            </w:r>
            <w:r>
              <w:rPr>
                <w:rFonts w:ascii="Times New Roman" w:eastAsia="Times New Roman" w:hAnsi="Times New Roman" w:cs="Times New Roman"/>
                <w:color w:val="000000" w:themeColor="text1"/>
                <w:sz w:val="24"/>
                <w:szCs w:val="24"/>
                <w:lang w:val="lv-LV" w:eastAsia="lv-LV"/>
              </w:rPr>
              <w:t xml:space="preserve"> 1</w:t>
            </w:r>
            <w:r w:rsidRPr="00876E61">
              <w:rPr>
                <w:rFonts w:ascii="Times New Roman" w:eastAsia="Times New Roman" w:hAnsi="Times New Roman" w:cs="Times New Roman"/>
                <w:color w:val="000000" w:themeColor="text1"/>
                <w:sz w:val="24"/>
                <w:szCs w:val="24"/>
                <w:lang w:val="lv-LV" w:eastAsia="lv-LV"/>
              </w:rPr>
              <w:t xml:space="preserve"> amata viet</w:t>
            </w:r>
            <w:r>
              <w:rPr>
                <w:rFonts w:ascii="Times New Roman" w:eastAsia="Times New Roman" w:hAnsi="Times New Roman" w:cs="Times New Roman"/>
                <w:color w:val="000000" w:themeColor="text1"/>
                <w:sz w:val="24"/>
                <w:szCs w:val="24"/>
                <w:lang w:val="lv-LV" w:eastAsia="lv-LV"/>
              </w:rPr>
              <w:t xml:space="preserve">u – </w:t>
            </w:r>
            <w:r w:rsidRPr="00876E61">
              <w:rPr>
                <w:rFonts w:ascii="Times New Roman" w:eastAsia="Times New Roman" w:hAnsi="Times New Roman" w:cs="Times New Roman"/>
                <w:i/>
                <w:iCs/>
                <w:color w:val="000000" w:themeColor="text1"/>
                <w:sz w:val="24"/>
                <w:szCs w:val="24"/>
                <w:lang w:val="lv-LV" w:eastAsia="lv-LV"/>
              </w:rPr>
              <w:t>IT izmeklētājs</w:t>
            </w:r>
            <w:r>
              <w:rPr>
                <w:rFonts w:ascii="Times New Roman" w:eastAsia="Times New Roman" w:hAnsi="Times New Roman" w:cs="Times New Roman"/>
                <w:i/>
                <w:iCs/>
                <w:color w:val="000000" w:themeColor="text1"/>
                <w:sz w:val="24"/>
                <w:szCs w:val="24"/>
                <w:lang w:val="lv-LV" w:eastAsia="lv-LV"/>
              </w:rPr>
              <w:t>.</w:t>
            </w:r>
          </w:p>
        </w:tc>
      </w:tr>
    </w:tbl>
    <w:p w14:paraId="663B3010" w14:textId="7B7D6578" w:rsidR="00853A4D" w:rsidRDefault="00853A4D" w:rsidP="00853A4D">
      <w:pPr>
        <w:pStyle w:val="naisf"/>
        <w:spacing w:before="0" w:after="0"/>
        <w:rPr>
          <w:color w:val="0D0D0D" w:themeColor="text1" w:themeTint="F2"/>
        </w:rPr>
      </w:pPr>
    </w:p>
    <w:p w14:paraId="14AA9C9E" w14:textId="77777777" w:rsidR="008C71F1" w:rsidRDefault="008C71F1"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591"/>
        <w:gridCol w:w="6337"/>
      </w:tblGrid>
      <w:tr w:rsidR="00853A4D" w:rsidRPr="00DA1DD3" w14:paraId="64273EE2" w14:textId="77777777" w:rsidTr="00853A4D">
        <w:trPr>
          <w:jc w:val="center"/>
        </w:trPr>
        <w:tc>
          <w:tcPr>
            <w:tcW w:w="9776" w:type="dxa"/>
            <w:gridSpan w:val="3"/>
          </w:tcPr>
          <w:p w14:paraId="1BE61102" w14:textId="77777777" w:rsidR="00853A4D" w:rsidRPr="00876E61" w:rsidRDefault="00853A4D" w:rsidP="00853A4D">
            <w:pPr>
              <w:pStyle w:val="naisnod"/>
              <w:spacing w:before="0" w:after="0"/>
              <w:rPr>
                <w:color w:val="000000" w:themeColor="text1"/>
              </w:rPr>
            </w:pPr>
            <w:r w:rsidRPr="00876E61">
              <w:rPr>
                <w:color w:val="000000" w:themeColor="text1"/>
              </w:rPr>
              <w:t>IV. Tiesību akta projekta ietekme uz spēkā esošo tiesību normu sistēmu</w:t>
            </w:r>
          </w:p>
        </w:tc>
      </w:tr>
      <w:tr w:rsidR="00853A4D" w:rsidRPr="00DA1DD3" w14:paraId="52F2C743" w14:textId="77777777" w:rsidTr="00853A4D">
        <w:trPr>
          <w:jc w:val="center"/>
        </w:trPr>
        <w:tc>
          <w:tcPr>
            <w:tcW w:w="848" w:type="dxa"/>
          </w:tcPr>
          <w:p w14:paraId="50A4570A" w14:textId="77777777" w:rsidR="00853A4D" w:rsidRPr="00876E61" w:rsidRDefault="00853A4D" w:rsidP="00853A4D">
            <w:pPr>
              <w:pStyle w:val="naiskr"/>
              <w:tabs>
                <w:tab w:val="left" w:pos="2628"/>
              </w:tabs>
              <w:spacing w:before="0" w:after="0"/>
              <w:jc w:val="both"/>
              <w:rPr>
                <w:iCs/>
                <w:color w:val="000000" w:themeColor="text1"/>
              </w:rPr>
            </w:pPr>
            <w:r w:rsidRPr="00876E61">
              <w:rPr>
                <w:iCs/>
                <w:color w:val="000000" w:themeColor="text1"/>
              </w:rPr>
              <w:t>1.</w:t>
            </w:r>
          </w:p>
        </w:tc>
        <w:tc>
          <w:tcPr>
            <w:tcW w:w="2591" w:type="dxa"/>
          </w:tcPr>
          <w:p w14:paraId="4BAC0CE6" w14:textId="77777777" w:rsidR="00853A4D" w:rsidRPr="00876E61" w:rsidRDefault="00853A4D" w:rsidP="00853A4D">
            <w:pPr>
              <w:pStyle w:val="naiskr"/>
              <w:tabs>
                <w:tab w:val="left" w:pos="2628"/>
              </w:tabs>
              <w:spacing w:before="0" w:after="0"/>
              <w:jc w:val="both"/>
              <w:rPr>
                <w:iCs/>
                <w:color w:val="000000" w:themeColor="text1"/>
              </w:rPr>
            </w:pPr>
            <w:r w:rsidRPr="00876E61">
              <w:rPr>
                <w:color w:val="000000" w:themeColor="text1"/>
              </w:rPr>
              <w:t>Nepieciešamie saistītie tiesību aktu projekti</w:t>
            </w:r>
          </w:p>
        </w:tc>
        <w:tc>
          <w:tcPr>
            <w:tcW w:w="6337" w:type="dxa"/>
          </w:tcPr>
          <w:p w14:paraId="2277AD79" w14:textId="77777777" w:rsidR="00853A4D" w:rsidRPr="00E36A81" w:rsidRDefault="00853A4D" w:rsidP="005E5041">
            <w:pPr>
              <w:spacing w:after="120" w:line="240" w:lineRule="auto"/>
              <w:jc w:val="both"/>
              <w:rPr>
                <w:rFonts w:ascii="Times New Roman" w:hAnsi="Times New Roman" w:cs="Times New Roman"/>
                <w:iCs/>
                <w:sz w:val="24"/>
                <w:szCs w:val="24"/>
                <w:lang w:val="lv-LV"/>
              </w:rPr>
            </w:pPr>
            <w:r w:rsidRPr="00E36A81">
              <w:rPr>
                <w:rFonts w:ascii="Times New Roman" w:hAnsi="Times New Roman" w:cs="Times New Roman"/>
                <w:iCs/>
                <w:sz w:val="24"/>
                <w:szCs w:val="24"/>
                <w:lang w:val="lv-LV"/>
              </w:rPr>
              <w:t>Lai nodrošinātu Direktīvas pilnīgu pārņemšanu, papildus nepieciešams sagatavot turpmāk minētos normatīvo aktu projektus:</w:t>
            </w:r>
          </w:p>
          <w:p w14:paraId="6446AD3B" w14:textId="738E33DF" w:rsidR="00853A4D" w:rsidRPr="00E36A81" w:rsidRDefault="005E5041" w:rsidP="005E5041">
            <w:pPr>
              <w:spacing w:after="120" w:line="240" w:lineRule="auto"/>
              <w:jc w:val="both"/>
              <w:rPr>
                <w:rFonts w:ascii="Times New Roman" w:hAnsi="Times New Roman" w:cs="Times New Roman"/>
                <w:iCs/>
                <w:sz w:val="24"/>
                <w:szCs w:val="24"/>
                <w:lang w:val="lv-LV"/>
              </w:rPr>
            </w:pPr>
            <w:r w:rsidRPr="00E36A81">
              <w:rPr>
                <w:rFonts w:ascii="Times New Roman" w:hAnsi="Times New Roman" w:cs="Times New Roman"/>
                <w:iCs/>
                <w:sz w:val="24"/>
                <w:szCs w:val="24"/>
                <w:lang w:val="lv-LV"/>
              </w:rPr>
              <w:t>1) </w:t>
            </w:r>
            <w:r w:rsidR="00853A4D" w:rsidRPr="00E36A81">
              <w:rPr>
                <w:rFonts w:ascii="Times New Roman" w:hAnsi="Times New Roman" w:cs="Times New Roman"/>
                <w:i/>
                <w:sz w:val="24"/>
                <w:szCs w:val="24"/>
                <w:lang w:val="lv-LV"/>
              </w:rPr>
              <w:t>grozījumus 2016. gada 29. marta Ministru kabineta noteikumos Nr. 179 “Kārtība, kādā nosakāms naudas sods par Konkurences likuma 11. panta pirmajā daļā, 13. 14.</w:t>
            </w:r>
            <w:r w:rsidR="00853A4D" w:rsidRPr="00E36A81">
              <w:rPr>
                <w:rFonts w:ascii="Times New Roman" w:hAnsi="Times New Roman" w:cs="Times New Roman"/>
                <w:i/>
                <w:sz w:val="24"/>
                <w:szCs w:val="24"/>
                <w:vertAlign w:val="superscript"/>
                <w:lang w:val="lv-LV"/>
              </w:rPr>
              <w:t>1</w:t>
            </w:r>
            <w:r w:rsidR="00853A4D" w:rsidRPr="00E36A81">
              <w:rPr>
                <w:rFonts w:ascii="Times New Roman" w:hAnsi="Times New Roman" w:cs="Times New Roman"/>
                <w:i/>
                <w:sz w:val="24"/>
                <w:szCs w:val="24"/>
                <w:lang w:val="lv-LV"/>
              </w:rPr>
              <w:t xml:space="preserve"> pantā un Negodīgas mazumtirdzniecības prakses aizlieguma likuma 5., 6., 7. un 8.paredzētajiem pārkāpumiem”</w:t>
            </w:r>
            <w:r w:rsidR="00853A4D" w:rsidRPr="00E36A81">
              <w:rPr>
                <w:rFonts w:ascii="Times New Roman" w:hAnsi="Times New Roman" w:cs="Times New Roman"/>
                <w:iCs/>
                <w:sz w:val="24"/>
                <w:szCs w:val="24"/>
                <w:lang w:val="lv-LV"/>
              </w:rPr>
              <w:t xml:space="preserve"> (</w:t>
            </w:r>
            <w:r w:rsidR="00853A4D" w:rsidRPr="00E36A81">
              <w:rPr>
                <w:rFonts w:ascii="Times New Roman" w:hAnsi="Times New Roman" w:cs="Times New Roman"/>
                <w:sz w:val="24"/>
                <w:szCs w:val="24"/>
                <w:lang w:val="lv-LV"/>
              </w:rPr>
              <w:t xml:space="preserve">ņemot vērā, ka Direktīva paredz noteikt naudas sodus proporcionāli tirgus dalībnieka kopējam apgrozījumam pasaulē un ietver prasības naudas soda apmēra noteikšanai, kā arī nosacījumus naudas soda samazināšanai vai atbrīvojumiem no naudas soda Iecietības programmas ietvaros (Direktīvas 14., 15., 17., 18. pants), </w:t>
            </w:r>
            <w:r w:rsidR="00853A4D" w:rsidRPr="00E36A81">
              <w:rPr>
                <w:rFonts w:ascii="Times New Roman" w:hAnsi="Times New Roman" w:cs="Times New Roman"/>
                <w:iCs/>
                <w:sz w:val="24"/>
                <w:szCs w:val="24"/>
                <w:lang w:val="lv-LV"/>
              </w:rPr>
              <w:t xml:space="preserve">pārskatāma noteikumos noteiktā </w:t>
            </w:r>
            <w:r w:rsidR="00853A4D" w:rsidRPr="00E36A81">
              <w:rPr>
                <w:rFonts w:ascii="Times New Roman" w:hAnsi="Times New Roman" w:cs="Times New Roman"/>
                <w:sz w:val="24"/>
                <w:szCs w:val="24"/>
                <w:lang w:val="lv-LV"/>
              </w:rPr>
              <w:t xml:space="preserve">kārtība, kādā nosaka naudas </w:t>
            </w:r>
            <w:r w:rsidR="00853A4D" w:rsidRPr="00E36A81">
              <w:rPr>
                <w:rFonts w:ascii="Times New Roman" w:hAnsi="Times New Roman" w:cs="Times New Roman"/>
                <w:sz w:val="24"/>
                <w:szCs w:val="24"/>
                <w:lang w:val="lv-LV"/>
              </w:rPr>
              <w:lastRenderedPageBreak/>
              <w:t>sodu par Likumā paredzētajiem pārkāpumiem, kā arī finanšu gada neto apgrozījuma aprēķināšanas īpatnības un naudas soda apmēra aprēķināšanas kārtība</w:t>
            </w:r>
            <w:r w:rsidR="00853A4D" w:rsidRPr="00E36A81">
              <w:rPr>
                <w:rFonts w:ascii="Times New Roman" w:hAnsi="Times New Roman" w:cs="Times New Roman"/>
                <w:iCs/>
                <w:sz w:val="24"/>
                <w:szCs w:val="24"/>
                <w:lang w:val="lv-LV"/>
              </w:rPr>
              <w:t>)</w:t>
            </w:r>
            <w:r w:rsidR="005B750E" w:rsidRPr="00E36A81">
              <w:rPr>
                <w:rFonts w:ascii="Times New Roman" w:hAnsi="Times New Roman" w:cs="Times New Roman"/>
                <w:iCs/>
                <w:sz w:val="24"/>
                <w:szCs w:val="24"/>
                <w:lang w:val="lv-LV"/>
              </w:rPr>
              <w:t>.</w:t>
            </w:r>
            <w:r w:rsidR="005B750E" w:rsidRPr="00E36A81">
              <w:rPr>
                <w:rFonts w:ascii="Times New Roman" w:hAnsi="Times New Roman" w:cs="Times New Roman"/>
                <w:bCs/>
                <w:sz w:val="24"/>
                <w:szCs w:val="24"/>
                <w:lang w:val="lv-LV"/>
              </w:rPr>
              <w:t xml:space="preserve"> Par Ministru kabineta noteikumu projektu izstrādi atbildīgā institūcija – EM sadarbībā ar Konkurences padomi.</w:t>
            </w:r>
          </w:p>
          <w:p w14:paraId="2B85D6C7" w14:textId="33BDB52F" w:rsidR="00853A4D" w:rsidRPr="00E36A81" w:rsidRDefault="00853A4D" w:rsidP="005B750E">
            <w:pPr>
              <w:shd w:val="clear" w:color="auto" w:fill="FFFFFF"/>
              <w:jc w:val="both"/>
              <w:rPr>
                <w:rFonts w:ascii="Times New Roman" w:hAnsi="Times New Roman" w:cs="Times New Roman"/>
                <w:sz w:val="24"/>
                <w:szCs w:val="24"/>
                <w:lang w:val="lv-LV" w:eastAsia="lv-LV"/>
              </w:rPr>
            </w:pPr>
            <w:r w:rsidRPr="00E36A81">
              <w:rPr>
                <w:rFonts w:ascii="Times New Roman" w:hAnsi="Times New Roman" w:cs="Times New Roman"/>
                <w:iCs/>
                <w:sz w:val="24"/>
                <w:szCs w:val="24"/>
                <w:lang w:val="lv-LV"/>
              </w:rPr>
              <w:t>2)</w:t>
            </w:r>
            <w:r w:rsidR="005E5041" w:rsidRPr="00E36A81">
              <w:rPr>
                <w:rFonts w:ascii="Times New Roman" w:hAnsi="Times New Roman" w:cs="Times New Roman"/>
                <w:iCs/>
                <w:sz w:val="24"/>
                <w:szCs w:val="24"/>
                <w:lang w:val="lv-LV"/>
              </w:rPr>
              <w:t> </w:t>
            </w:r>
            <w:r w:rsidR="00E36A81" w:rsidRPr="00E36A81">
              <w:rPr>
                <w:rFonts w:ascii="Times New Roman" w:hAnsi="Times New Roman" w:cs="Times New Roman"/>
                <w:i/>
                <w:sz w:val="24"/>
                <w:szCs w:val="24"/>
                <w:lang w:val="lv-LV"/>
              </w:rPr>
              <w:t>grozījumus</w:t>
            </w:r>
            <w:r w:rsidR="00A218F2" w:rsidRPr="00E36A81">
              <w:rPr>
                <w:rFonts w:ascii="Times New Roman" w:hAnsi="Times New Roman" w:cs="Times New Roman"/>
                <w:i/>
                <w:sz w:val="24"/>
                <w:szCs w:val="24"/>
                <w:lang w:val="lv-LV"/>
              </w:rPr>
              <w:t xml:space="preserve"> 2015.gada 9.jūnija Ministru kabineta noteikum</w:t>
            </w:r>
            <w:r w:rsidR="00E36A81" w:rsidRPr="00E36A81">
              <w:rPr>
                <w:rFonts w:ascii="Times New Roman" w:hAnsi="Times New Roman" w:cs="Times New Roman"/>
                <w:i/>
                <w:sz w:val="24"/>
                <w:szCs w:val="24"/>
                <w:lang w:val="lv-LV"/>
              </w:rPr>
              <w:t>o</w:t>
            </w:r>
            <w:r w:rsidR="00A218F2" w:rsidRPr="00E36A81">
              <w:rPr>
                <w:rFonts w:ascii="Times New Roman" w:hAnsi="Times New Roman" w:cs="Times New Roman"/>
                <w:i/>
                <w:sz w:val="24"/>
                <w:szCs w:val="24"/>
                <w:lang w:val="lv-LV"/>
              </w:rPr>
              <w:t>s Nr.293 “Valsts tiešās pārvaldes iestāžu vadītāju atlases kārtība”</w:t>
            </w:r>
            <w:r w:rsidR="00A218F2" w:rsidRPr="00E36A81">
              <w:rPr>
                <w:rFonts w:ascii="Times New Roman" w:hAnsi="Times New Roman" w:cs="Times New Roman"/>
                <w:sz w:val="24"/>
                <w:szCs w:val="24"/>
                <w:lang w:val="lv-LV"/>
              </w:rPr>
              <w:t xml:space="preserve"> ar risinājumiem, kas ir nepieciešami </w:t>
            </w:r>
            <w:r w:rsidRPr="00E36A81">
              <w:rPr>
                <w:rFonts w:ascii="Times New Roman" w:hAnsi="Times New Roman" w:cs="Times New Roman"/>
                <w:i/>
                <w:sz w:val="24"/>
                <w:szCs w:val="24"/>
                <w:lang w:val="lv-LV"/>
              </w:rPr>
              <w:t xml:space="preserve"> K</w:t>
            </w:r>
            <w:r w:rsidR="0027068A" w:rsidRPr="00E36A81">
              <w:rPr>
                <w:rFonts w:ascii="Times New Roman" w:hAnsi="Times New Roman" w:cs="Times New Roman"/>
                <w:i/>
                <w:sz w:val="24"/>
                <w:szCs w:val="24"/>
                <w:lang w:val="lv-LV"/>
              </w:rPr>
              <w:t>P</w:t>
            </w:r>
            <w:r w:rsidRPr="00E36A81">
              <w:rPr>
                <w:rFonts w:ascii="Times New Roman" w:hAnsi="Times New Roman" w:cs="Times New Roman"/>
                <w:i/>
                <w:sz w:val="24"/>
                <w:szCs w:val="24"/>
                <w:lang w:val="lv-LV"/>
              </w:rPr>
              <w:t xml:space="preserve"> priekšsēdētāja un padomes locekļu pretendentu atlasei</w:t>
            </w:r>
            <w:r w:rsidR="00E36A81">
              <w:rPr>
                <w:rFonts w:ascii="Times New Roman" w:hAnsi="Times New Roman" w:cs="Times New Roman"/>
                <w:i/>
                <w:sz w:val="24"/>
                <w:szCs w:val="24"/>
                <w:lang w:val="lv-LV"/>
              </w:rPr>
              <w:t xml:space="preserve"> </w:t>
            </w:r>
            <w:r w:rsidR="00E36A81">
              <w:rPr>
                <w:rFonts w:ascii="Times New Roman" w:hAnsi="Times New Roman" w:cs="Times New Roman"/>
                <w:iCs/>
                <w:sz w:val="24"/>
                <w:szCs w:val="24"/>
                <w:lang w:val="lv-LV"/>
              </w:rPr>
              <w:t>(lai</w:t>
            </w:r>
            <w:r w:rsidR="005053A1" w:rsidRPr="00E36A81">
              <w:rPr>
                <w:rFonts w:ascii="Times New Roman" w:hAnsi="Times New Roman" w:cs="Times New Roman"/>
                <w:iCs/>
                <w:sz w:val="24"/>
                <w:szCs w:val="24"/>
                <w:lang w:val="lv-LV"/>
              </w:rPr>
              <w:t xml:space="preserve"> </w:t>
            </w:r>
            <w:r w:rsidRPr="00E36A81">
              <w:rPr>
                <w:rFonts w:ascii="Times New Roman" w:hAnsi="Times New Roman" w:cs="Times New Roman"/>
                <w:iCs/>
                <w:sz w:val="24"/>
                <w:szCs w:val="24"/>
                <w:lang w:val="lv-LV"/>
              </w:rPr>
              <w:t>nodrošināt</w:t>
            </w:r>
            <w:r w:rsidR="00E36A81">
              <w:rPr>
                <w:rFonts w:ascii="Times New Roman" w:hAnsi="Times New Roman" w:cs="Times New Roman"/>
                <w:iCs/>
                <w:sz w:val="24"/>
                <w:szCs w:val="24"/>
                <w:lang w:val="lv-LV"/>
              </w:rPr>
              <w:t>u</w:t>
            </w:r>
            <w:r w:rsidRPr="00E36A81">
              <w:rPr>
                <w:rFonts w:ascii="Times New Roman" w:hAnsi="Times New Roman" w:cs="Times New Roman"/>
                <w:iCs/>
                <w:sz w:val="24"/>
                <w:szCs w:val="24"/>
                <w:lang w:val="lv-LV"/>
              </w:rPr>
              <w:t xml:space="preserve"> Direktīvas 4.panta (4) daļā ietvertās prasības pārņemšanu, kas paredz dalībvalstij </w:t>
            </w:r>
            <w:r w:rsidRPr="00E36A81">
              <w:rPr>
                <w:rFonts w:ascii="Times New Roman" w:eastAsia="Times New Roman" w:hAnsi="Times New Roman" w:cs="Times New Roman"/>
                <w:sz w:val="24"/>
                <w:szCs w:val="24"/>
                <w:lang w:val="lv-LV"/>
              </w:rPr>
              <w:t xml:space="preserve">nodrošināt, ka konkurences iestāžu </w:t>
            </w:r>
            <w:proofErr w:type="spellStart"/>
            <w:r w:rsidRPr="00E36A81">
              <w:rPr>
                <w:rFonts w:ascii="Times New Roman" w:eastAsia="Times New Roman" w:hAnsi="Times New Roman" w:cs="Times New Roman"/>
                <w:sz w:val="24"/>
                <w:szCs w:val="24"/>
                <w:lang w:val="lv-LV"/>
              </w:rPr>
              <w:t>lēmējstruktūras</w:t>
            </w:r>
            <w:proofErr w:type="spellEnd"/>
            <w:r w:rsidRPr="00E36A81">
              <w:rPr>
                <w:rFonts w:ascii="Times New Roman" w:eastAsia="Times New Roman" w:hAnsi="Times New Roman" w:cs="Times New Roman"/>
                <w:sz w:val="24"/>
                <w:szCs w:val="24"/>
                <w:lang w:val="lv-LV"/>
              </w:rPr>
              <w:t xml:space="preserve"> locekļus atlasa, pieņem darbā vai ieceļ amatā saskaņā ar skaidrām un pārredzamām procedūrām, kas iepriekš noteiktas valsts tiesību aktos. Attiecīgi</w:t>
            </w:r>
            <w:r w:rsidR="005053A1" w:rsidRPr="00E36A81">
              <w:rPr>
                <w:rFonts w:ascii="Times New Roman" w:eastAsia="Times New Roman" w:hAnsi="Times New Roman" w:cs="Times New Roman"/>
                <w:sz w:val="24"/>
                <w:szCs w:val="24"/>
                <w:lang w:val="lv-LV"/>
              </w:rPr>
              <w:t xml:space="preserve"> tiks izpildīts</w:t>
            </w:r>
            <w:r w:rsidRPr="00E36A81">
              <w:rPr>
                <w:rFonts w:ascii="Times New Roman" w:eastAsia="Times New Roman" w:hAnsi="Times New Roman" w:cs="Times New Roman"/>
                <w:sz w:val="24"/>
                <w:szCs w:val="24"/>
                <w:lang w:val="lv-LV"/>
              </w:rPr>
              <w:t xml:space="preserve"> Likumprojekta </w:t>
            </w:r>
            <w:r w:rsidR="005053A1" w:rsidRPr="00E36A81">
              <w:rPr>
                <w:rFonts w:ascii="Times New Roman" w:eastAsia="Times New Roman" w:hAnsi="Times New Roman" w:cs="Times New Roman"/>
                <w:sz w:val="24"/>
                <w:szCs w:val="24"/>
                <w:lang w:val="lv-LV"/>
              </w:rPr>
              <w:t>3</w:t>
            </w:r>
            <w:r w:rsidRPr="00E36A81">
              <w:rPr>
                <w:rFonts w:ascii="Times New Roman" w:eastAsia="Times New Roman" w:hAnsi="Times New Roman" w:cs="Times New Roman"/>
                <w:sz w:val="24"/>
                <w:szCs w:val="24"/>
                <w:lang w:val="lv-LV"/>
              </w:rPr>
              <w:t>.pantā ietvert</w:t>
            </w:r>
            <w:r w:rsidR="00E36A81">
              <w:rPr>
                <w:rFonts w:ascii="Times New Roman" w:eastAsia="Times New Roman" w:hAnsi="Times New Roman" w:cs="Times New Roman"/>
                <w:sz w:val="24"/>
                <w:szCs w:val="24"/>
                <w:lang w:val="lv-LV"/>
              </w:rPr>
              <w:t>ai</w:t>
            </w:r>
            <w:r w:rsidRPr="00E36A81">
              <w:rPr>
                <w:rFonts w:ascii="Times New Roman" w:eastAsia="Times New Roman" w:hAnsi="Times New Roman" w:cs="Times New Roman"/>
                <w:sz w:val="24"/>
                <w:szCs w:val="24"/>
                <w:lang w:val="lv-LV"/>
              </w:rPr>
              <w:t xml:space="preserve">s pilnvarojums Ministru kabinetam </w:t>
            </w:r>
            <w:r w:rsidR="005053A1" w:rsidRPr="00E36A81">
              <w:rPr>
                <w:rFonts w:ascii="Times New Roman" w:eastAsia="Times New Roman" w:hAnsi="Times New Roman" w:cs="Times New Roman"/>
                <w:sz w:val="24"/>
                <w:szCs w:val="24"/>
                <w:lang w:val="lv-LV"/>
              </w:rPr>
              <w:t>izdot noteikumus.</w:t>
            </w:r>
            <w:r w:rsidR="00E36A81">
              <w:rPr>
                <w:rFonts w:ascii="Times New Roman" w:eastAsia="Times New Roman" w:hAnsi="Times New Roman" w:cs="Times New Roman"/>
                <w:sz w:val="24"/>
                <w:szCs w:val="24"/>
                <w:lang w:val="lv-LV"/>
              </w:rPr>
              <w:t>)</w:t>
            </w:r>
            <w:r w:rsidR="005053A1" w:rsidRPr="00E36A81">
              <w:rPr>
                <w:rFonts w:ascii="Times New Roman" w:eastAsia="Times New Roman" w:hAnsi="Times New Roman" w:cs="Times New Roman"/>
                <w:sz w:val="24"/>
                <w:szCs w:val="24"/>
                <w:lang w:val="lv-LV"/>
              </w:rPr>
              <w:t xml:space="preserve"> </w:t>
            </w:r>
            <w:r w:rsidRPr="00E36A81">
              <w:rPr>
                <w:rFonts w:ascii="Times New Roman" w:hAnsi="Times New Roman" w:cs="Times New Roman"/>
                <w:bCs/>
                <w:sz w:val="24"/>
                <w:szCs w:val="24"/>
                <w:lang w:val="lv-LV"/>
              </w:rPr>
              <w:t xml:space="preserve">Par Ministru kabineta noteikumu projektu izstrādi atbildīgā institūcija – </w:t>
            </w:r>
            <w:r w:rsidR="00E36A81">
              <w:rPr>
                <w:rFonts w:ascii="Times New Roman" w:hAnsi="Times New Roman" w:cs="Times New Roman"/>
                <w:bCs/>
                <w:sz w:val="24"/>
                <w:szCs w:val="24"/>
                <w:lang w:val="lv-LV"/>
              </w:rPr>
              <w:t xml:space="preserve">Valsts kanceleja sadarbībā ar </w:t>
            </w:r>
            <w:r w:rsidRPr="00E36A81">
              <w:rPr>
                <w:rFonts w:ascii="Times New Roman" w:hAnsi="Times New Roman" w:cs="Times New Roman"/>
                <w:bCs/>
                <w:sz w:val="24"/>
                <w:szCs w:val="24"/>
                <w:lang w:val="lv-LV"/>
              </w:rPr>
              <w:t>E</w:t>
            </w:r>
            <w:r w:rsidR="0027068A" w:rsidRPr="00E36A81">
              <w:rPr>
                <w:rFonts w:ascii="Times New Roman" w:hAnsi="Times New Roman" w:cs="Times New Roman"/>
                <w:bCs/>
                <w:sz w:val="24"/>
                <w:szCs w:val="24"/>
                <w:lang w:val="lv-LV"/>
              </w:rPr>
              <w:t>M</w:t>
            </w:r>
            <w:r w:rsidR="00E36A81">
              <w:rPr>
                <w:rFonts w:ascii="Times New Roman" w:hAnsi="Times New Roman" w:cs="Times New Roman"/>
                <w:bCs/>
                <w:sz w:val="24"/>
                <w:szCs w:val="24"/>
                <w:lang w:val="lv-LV"/>
              </w:rPr>
              <w:t>.</w:t>
            </w:r>
          </w:p>
          <w:p w14:paraId="7ADE0D40" w14:textId="5FB9146F" w:rsidR="005B750E" w:rsidRPr="00136057" w:rsidRDefault="005053A1" w:rsidP="005B750E">
            <w:pPr>
              <w:shd w:val="clear" w:color="auto" w:fill="FFFFFF"/>
              <w:jc w:val="both"/>
              <w:rPr>
                <w:rFonts w:ascii="Times New Roman" w:hAnsi="Times New Roman" w:cs="Times New Roman"/>
                <w:sz w:val="24"/>
                <w:szCs w:val="24"/>
                <w:lang w:val="lv-LV" w:eastAsia="lv-LV"/>
              </w:rPr>
            </w:pPr>
            <w:r w:rsidRPr="00E36A81">
              <w:rPr>
                <w:rFonts w:ascii="Times New Roman" w:hAnsi="Times New Roman" w:cs="Times New Roman"/>
                <w:bCs/>
                <w:sz w:val="24"/>
                <w:szCs w:val="24"/>
                <w:lang w:val="lv-LV"/>
              </w:rPr>
              <w:t xml:space="preserve">3) </w:t>
            </w:r>
            <w:r w:rsidR="00E36A81" w:rsidRPr="00136057">
              <w:rPr>
                <w:rFonts w:ascii="Times New Roman" w:hAnsi="Times New Roman" w:cs="Times New Roman"/>
                <w:bCs/>
                <w:i/>
                <w:iCs/>
                <w:sz w:val="24"/>
                <w:szCs w:val="24"/>
                <w:lang w:val="lv-LV"/>
              </w:rPr>
              <w:t xml:space="preserve">grozījumus </w:t>
            </w:r>
            <w:r w:rsidR="00F320E3" w:rsidRPr="00136057">
              <w:rPr>
                <w:rFonts w:ascii="Times New Roman" w:hAnsi="Times New Roman" w:cs="Times New Roman"/>
                <w:bCs/>
                <w:i/>
                <w:iCs/>
                <w:sz w:val="24"/>
                <w:szCs w:val="24"/>
                <w:lang w:val="lv-LV"/>
              </w:rPr>
              <w:t>Civilprocesa likumā</w:t>
            </w:r>
            <w:r w:rsidR="00F320E3">
              <w:rPr>
                <w:rFonts w:ascii="Times New Roman" w:hAnsi="Times New Roman" w:cs="Times New Roman"/>
                <w:bCs/>
                <w:sz w:val="24"/>
                <w:szCs w:val="24"/>
                <w:lang w:val="lv-LV"/>
              </w:rPr>
              <w:t xml:space="preserve"> (lai Direktīvas pārņemšanas procesā: 1) </w:t>
            </w:r>
            <w:r w:rsidR="00F320E3" w:rsidRPr="00D818D7">
              <w:rPr>
                <w:rFonts w:ascii="Times New Roman" w:eastAsia="Times New Roman" w:hAnsi="Times New Roman" w:cs="Times New Roman"/>
                <w:color w:val="000000" w:themeColor="text1"/>
                <w:sz w:val="24"/>
                <w:szCs w:val="24"/>
                <w:lang w:val="lv-LV"/>
              </w:rPr>
              <w:t>panāktu vienotu un sistēmisku</w:t>
            </w:r>
            <w:r w:rsidR="00F320E3" w:rsidRPr="00136057">
              <w:rPr>
                <w:rFonts w:ascii="Times New Roman" w:eastAsia="Times New Roman" w:hAnsi="Times New Roman" w:cs="Times New Roman"/>
                <w:color w:val="000000" w:themeColor="text1"/>
                <w:sz w:val="24"/>
                <w:szCs w:val="24"/>
                <w:u w:val="single"/>
                <w:lang w:val="lv-LV"/>
              </w:rPr>
              <w:t xml:space="preserve"> </w:t>
            </w:r>
            <w:r w:rsidR="00F320E3">
              <w:rPr>
                <w:rFonts w:ascii="Times New Roman" w:eastAsia="Times New Roman" w:hAnsi="Times New Roman" w:cs="Times New Roman"/>
                <w:color w:val="000000" w:themeColor="text1"/>
                <w:sz w:val="24"/>
                <w:szCs w:val="24"/>
                <w:u w:val="single"/>
                <w:lang w:val="lv-LV"/>
              </w:rPr>
              <w:t>“</w:t>
            </w:r>
            <w:r w:rsidR="00F320E3" w:rsidRPr="00136057">
              <w:rPr>
                <w:rFonts w:ascii="Times New Roman" w:eastAsia="Times New Roman" w:hAnsi="Times New Roman" w:cs="Times New Roman"/>
                <w:color w:val="000000" w:themeColor="text1"/>
                <w:sz w:val="24"/>
                <w:szCs w:val="24"/>
                <w:lang w:val="lv-LV"/>
              </w:rPr>
              <w:t>izlīguma iesnieguma</w:t>
            </w:r>
            <w:r w:rsidR="00F320E3">
              <w:rPr>
                <w:rFonts w:ascii="Times New Roman" w:eastAsia="Times New Roman" w:hAnsi="Times New Roman" w:cs="Times New Roman"/>
                <w:color w:val="000000" w:themeColor="text1"/>
                <w:sz w:val="24"/>
                <w:szCs w:val="24"/>
                <w:lang w:val="lv-LV"/>
              </w:rPr>
              <w:t>”</w:t>
            </w:r>
            <w:r w:rsidR="00F320E3" w:rsidRPr="00136057">
              <w:rPr>
                <w:rFonts w:ascii="Times New Roman" w:eastAsia="Times New Roman" w:hAnsi="Times New Roman" w:cs="Times New Roman"/>
                <w:color w:val="000000" w:themeColor="text1"/>
                <w:sz w:val="24"/>
                <w:szCs w:val="24"/>
                <w:lang w:val="lv-LV"/>
              </w:rPr>
              <w:t xml:space="preserve"> un </w:t>
            </w:r>
            <w:r w:rsidR="00F320E3">
              <w:rPr>
                <w:rFonts w:ascii="Times New Roman" w:eastAsia="Times New Roman" w:hAnsi="Times New Roman" w:cs="Times New Roman"/>
                <w:color w:val="000000" w:themeColor="text1"/>
                <w:sz w:val="24"/>
                <w:szCs w:val="24"/>
                <w:lang w:val="lv-LV"/>
              </w:rPr>
              <w:t>“</w:t>
            </w:r>
            <w:r w:rsidR="00F320E3" w:rsidRPr="00136057">
              <w:rPr>
                <w:rFonts w:ascii="Times New Roman" w:eastAsia="Times New Roman" w:hAnsi="Times New Roman" w:cs="Times New Roman"/>
                <w:color w:val="000000" w:themeColor="text1"/>
                <w:sz w:val="24"/>
                <w:szCs w:val="24"/>
                <w:lang w:val="lv-LV"/>
              </w:rPr>
              <w:t>iecietības programmas ietvaros sniegtas liecības</w:t>
            </w:r>
            <w:r w:rsidR="00F320E3">
              <w:rPr>
                <w:rFonts w:ascii="Times New Roman" w:eastAsia="Times New Roman" w:hAnsi="Times New Roman" w:cs="Times New Roman"/>
                <w:color w:val="000000" w:themeColor="text1"/>
                <w:sz w:val="24"/>
                <w:szCs w:val="24"/>
                <w:lang w:val="lv-LV"/>
              </w:rPr>
              <w:t>”</w:t>
            </w:r>
            <w:r w:rsidR="00F320E3" w:rsidRPr="00136057">
              <w:rPr>
                <w:rFonts w:ascii="Times New Roman" w:eastAsia="Times New Roman" w:hAnsi="Times New Roman" w:cs="Times New Roman"/>
                <w:color w:val="000000" w:themeColor="text1"/>
                <w:sz w:val="24"/>
                <w:szCs w:val="24"/>
                <w:lang w:val="lv-LV"/>
              </w:rPr>
              <w:t xml:space="preserve"> definīcij</w:t>
            </w:r>
            <w:r w:rsidR="00F320E3">
              <w:rPr>
                <w:rFonts w:ascii="Times New Roman" w:eastAsia="Times New Roman" w:hAnsi="Times New Roman" w:cs="Times New Roman"/>
                <w:color w:val="000000" w:themeColor="text1"/>
                <w:sz w:val="24"/>
                <w:szCs w:val="24"/>
                <w:lang w:val="lv-LV"/>
              </w:rPr>
              <w:t>u interpretāciju un 2) </w:t>
            </w:r>
            <w:r w:rsidR="00F320E3" w:rsidRPr="00136057">
              <w:rPr>
                <w:rFonts w:ascii="Times New Roman" w:eastAsia="Times New Roman" w:hAnsi="Times New Roman" w:cs="Times New Roman"/>
                <w:color w:val="000000" w:themeColor="text1"/>
                <w:sz w:val="24"/>
                <w:szCs w:val="24"/>
                <w:lang w:val="lv-LV"/>
              </w:rPr>
              <w:t>papildināt</w:t>
            </w:r>
            <w:r w:rsidR="00F320E3">
              <w:rPr>
                <w:rFonts w:ascii="Times New Roman" w:eastAsia="Times New Roman" w:hAnsi="Times New Roman" w:cs="Times New Roman"/>
                <w:color w:val="000000" w:themeColor="text1"/>
                <w:sz w:val="24"/>
                <w:szCs w:val="24"/>
                <w:lang w:val="lv-LV"/>
              </w:rPr>
              <w:t>u Civilprocesa likumu</w:t>
            </w:r>
            <w:r w:rsidR="00F320E3" w:rsidRPr="00136057">
              <w:rPr>
                <w:rFonts w:ascii="Times New Roman" w:eastAsia="Times New Roman" w:hAnsi="Times New Roman" w:cs="Times New Roman"/>
                <w:color w:val="000000" w:themeColor="text1"/>
                <w:sz w:val="24"/>
                <w:szCs w:val="24"/>
                <w:lang w:val="lv-LV"/>
              </w:rPr>
              <w:t xml:space="preserve"> ar jaunu izpildu dokumenta veidu - </w:t>
            </w:r>
            <w:r w:rsidR="00F320E3" w:rsidRPr="00D818D7">
              <w:rPr>
                <w:rFonts w:ascii="Times New Roman" w:eastAsia="Times New Roman" w:hAnsi="Times New Roman" w:cs="Times New Roman"/>
                <w:color w:val="000000" w:themeColor="text1"/>
                <w:sz w:val="24"/>
                <w:szCs w:val="24"/>
                <w:lang w:val="lv-LV"/>
              </w:rPr>
              <w:t>Eiropas Savienības dalībvalsts konkurences iestādes izdotu vienoto instrumentu, kas attiecas uz lēmumu par naudas sodu vai periodisko soda maksājumu izpildi</w:t>
            </w:r>
            <w:r w:rsidR="00F320E3" w:rsidRPr="00D818D7">
              <w:rPr>
                <w:rFonts w:ascii="Times New Roman" w:hAnsi="Times New Roman" w:cs="Times New Roman"/>
                <w:bCs/>
                <w:sz w:val="24"/>
                <w:szCs w:val="24"/>
                <w:lang w:val="lv-LV"/>
              </w:rPr>
              <w:t>).</w:t>
            </w:r>
            <w:r w:rsidR="00136057" w:rsidRPr="00D818D7">
              <w:rPr>
                <w:rFonts w:ascii="Times New Roman" w:hAnsi="Times New Roman" w:cs="Times New Roman"/>
                <w:bCs/>
                <w:sz w:val="24"/>
                <w:szCs w:val="24"/>
                <w:lang w:val="lv-LV"/>
              </w:rPr>
              <w:t xml:space="preserve"> Par lik</w:t>
            </w:r>
            <w:r w:rsidR="00136057">
              <w:rPr>
                <w:rFonts w:ascii="Times New Roman" w:hAnsi="Times New Roman" w:cs="Times New Roman"/>
                <w:bCs/>
                <w:sz w:val="24"/>
                <w:szCs w:val="24"/>
                <w:lang w:val="lv-LV"/>
              </w:rPr>
              <w:t>umprojekta izstrādi atbildīgā institūcija – Tieslietu ministrija sadarbībā ar EM.</w:t>
            </w:r>
          </w:p>
          <w:p w14:paraId="1EB65604" w14:textId="1E60B4ED" w:rsidR="005053A1" w:rsidRPr="00136057" w:rsidRDefault="005B750E" w:rsidP="005053A1">
            <w:pPr>
              <w:pStyle w:val="tv213"/>
              <w:shd w:val="clear" w:color="auto" w:fill="FFFFFF"/>
              <w:spacing w:before="0" w:beforeAutospacing="0" w:after="0" w:afterAutospacing="0"/>
              <w:jc w:val="both"/>
              <w:rPr>
                <w:lang w:val="lv-LV" w:eastAsia="lv-LV"/>
              </w:rPr>
            </w:pPr>
            <w:r w:rsidRPr="00136057">
              <w:rPr>
                <w:lang w:val="lv-LV" w:eastAsia="lv-LV"/>
              </w:rPr>
              <w:t xml:space="preserve">4) </w:t>
            </w:r>
            <w:r w:rsidR="00136057" w:rsidRPr="00136057">
              <w:rPr>
                <w:i/>
                <w:iCs/>
                <w:lang w:val="lv-LV" w:eastAsia="lv-LV"/>
              </w:rPr>
              <w:t>grozījumus</w:t>
            </w:r>
            <w:r w:rsidRPr="00136057">
              <w:rPr>
                <w:i/>
                <w:iCs/>
                <w:lang w:val="lv-LV" w:eastAsia="lv-LV"/>
              </w:rPr>
              <w:t xml:space="preserve"> Likumā par budžetu un finanšu vadību</w:t>
            </w:r>
            <w:r w:rsidR="00706902" w:rsidRPr="00136057">
              <w:rPr>
                <w:lang w:val="lv-LV" w:eastAsia="lv-LV"/>
              </w:rPr>
              <w:t xml:space="preserve"> </w:t>
            </w:r>
            <w:r w:rsidR="00136057">
              <w:rPr>
                <w:lang w:val="lv-LV" w:eastAsia="lv-LV"/>
              </w:rPr>
              <w:t>(</w:t>
            </w:r>
            <w:r w:rsidR="00706902" w:rsidRPr="00136057">
              <w:rPr>
                <w:lang w:val="lv-LV" w:eastAsia="lv-LV"/>
              </w:rPr>
              <w:t>lai nostiprinātu Konkurences padomes neatkarīgas darbības pilnvaras attiecībā uz budžeta izstrādes procesu</w:t>
            </w:r>
            <w:r w:rsidR="00136057">
              <w:rPr>
                <w:lang w:val="lv-LV" w:eastAsia="lv-LV"/>
              </w:rPr>
              <w:t>)</w:t>
            </w:r>
            <w:r w:rsidR="00706902" w:rsidRPr="00136057">
              <w:rPr>
                <w:lang w:val="lv-LV" w:eastAsia="lv-LV"/>
              </w:rPr>
              <w:t>.</w:t>
            </w:r>
            <w:r w:rsidR="00706902" w:rsidRPr="00E36A81">
              <w:rPr>
                <w:bCs/>
                <w:lang w:val="lv-LV"/>
              </w:rPr>
              <w:t xml:space="preserve"> Par </w:t>
            </w:r>
            <w:r w:rsidR="00706902" w:rsidRPr="00F320E3">
              <w:rPr>
                <w:bCs/>
                <w:lang w:val="lv-LV"/>
              </w:rPr>
              <w:t>likumprojekt</w:t>
            </w:r>
            <w:r w:rsidR="00136057">
              <w:rPr>
                <w:bCs/>
                <w:lang w:val="lv-LV"/>
              </w:rPr>
              <w:t>a</w:t>
            </w:r>
            <w:r w:rsidR="00706902" w:rsidRPr="00F320E3">
              <w:rPr>
                <w:bCs/>
                <w:lang w:val="lv-LV"/>
              </w:rPr>
              <w:t xml:space="preserve"> izstrādi atbildīgā institūcija – EM sadarbībā ar Finanšu ministriju.</w:t>
            </w:r>
          </w:p>
          <w:p w14:paraId="3225B6E4" w14:textId="37084AAB" w:rsidR="005053A1" w:rsidRPr="00E36A81" w:rsidRDefault="005053A1" w:rsidP="00D818D7">
            <w:pPr>
              <w:pStyle w:val="NormalWeb"/>
              <w:tabs>
                <w:tab w:val="left" w:pos="190"/>
                <w:tab w:val="left" w:pos="332"/>
              </w:tabs>
              <w:spacing w:before="0" w:beforeAutospacing="0" w:after="0" w:afterAutospacing="0"/>
              <w:jc w:val="both"/>
              <w:rPr>
                <w:bCs/>
              </w:rPr>
            </w:pPr>
          </w:p>
          <w:p w14:paraId="7189EA6A" w14:textId="4153993B" w:rsidR="00853A4D" w:rsidRPr="00136057" w:rsidRDefault="00706902" w:rsidP="00D818D7">
            <w:pPr>
              <w:pStyle w:val="NormalWeb"/>
              <w:tabs>
                <w:tab w:val="left" w:pos="190"/>
                <w:tab w:val="left" w:pos="332"/>
              </w:tabs>
              <w:spacing w:before="0" w:beforeAutospacing="0" w:after="0" w:afterAutospacing="0"/>
              <w:jc w:val="both"/>
              <w:rPr>
                <w:iCs/>
              </w:rPr>
            </w:pPr>
            <w:r w:rsidRPr="00F320E3">
              <w:rPr>
                <w:bCs/>
              </w:rPr>
              <w:t>Normatīvo aktu</w:t>
            </w:r>
            <w:r w:rsidR="00853A4D" w:rsidRPr="00F320E3">
              <w:rPr>
                <w:bCs/>
              </w:rPr>
              <w:t xml:space="preserve"> projekti iesniedzami izskatīšanai Ministru kabinetā pēc tam, kad Likumprojekts tiks pieņemts Saeimas otrajā lasīju</w:t>
            </w:r>
            <w:r w:rsidR="00853A4D" w:rsidRPr="00136057">
              <w:rPr>
                <w:bCs/>
              </w:rPr>
              <w:t>mā.</w:t>
            </w:r>
          </w:p>
        </w:tc>
      </w:tr>
      <w:tr w:rsidR="00853A4D" w:rsidRPr="00876E61" w14:paraId="6E1441AC" w14:textId="77777777" w:rsidTr="00853A4D">
        <w:trPr>
          <w:trHeight w:val="376"/>
          <w:jc w:val="center"/>
        </w:trPr>
        <w:tc>
          <w:tcPr>
            <w:tcW w:w="848" w:type="dxa"/>
          </w:tcPr>
          <w:p w14:paraId="46D33EC4" w14:textId="77777777" w:rsidR="00853A4D" w:rsidRPr="00876E61" w:rsidRDefault="00853A4D" w:rsidP="00853A4D">
            <w:pPr>
              <w:pStyle w:val="naiskr"/>
              <w:tabs>
                <w:tab w:val="left" w:pos="2628"/>
              </w:tabs>
              <w:spacing w:before="0" w:after="0"/>
              <w:jc w:val="both"/>
              <w:rPr>
                <w:iCs/>
                <w:color w:val="000000" w:themeColor="text1"/>
              </w:rPr>
            </w:pPr>
            <w:r w:rsidRPr="00876E61">
              <w:rPr>
                <w:iCs/>
                <w:color w:val="000000" w:themeColor="text1"/>
              </w:rPr>
              <w:lastRenderedPageBreak/>
              <w:t>2.</w:t>
            </w:r>
          </w:p>
        </w:tc>
        <w:tc>
          <w:tcPr>
            <w:tcW w:w="2591" w:type="dxa"/>
          </w:tcPr>
          <w:p w14:paraId="311BAE7C" w14:textId="77777777" w:rsidR="00853A4D" w:rsidRPr="00876E61" w:rsidRDefault="00853A4D" w:rsidP="00853A4D">
            <w:pPr>
              <w:pStyle w:val="naiskr"/>
              <w:tabs>
                <w:tab w:val="left" w:pos="2628"/>
              </w:tabs>
              <w:spacing w:before="0" w:after="0"/>
              <w:jc w:val="both"/>
              <w:rPr>
                <w:iCs/>
                <w:color w:val="000000" w:themeColor="text1"/>
              </w:rPr>
            </w:pPr>
            <w:r w:rsidRPr="00876E61">
              <w:rPr>
                <w:iCs/>
                <w:color w:val="000000" w:themeColor="text1"/>
              </w:rPr>
              <w:t>Atbildīgā institūcija</w:t>
            </w:r>
          </w:p>
        </w:tc>
        <w:tc>
          <w:tcPr>
            <w:tcW w:w="6337" w:type="dxa"/>
          </w:tcPr>
          <w:p w14:paraId="0E019741" w14:textId="2E4DB1E5" w:rsidR="00853A4D" w:rsidRPr="00876E61" w:rsidRDefault="0027068A" w:rsidP="00853A4D">
            <w:pPr>
              <w:pStyle w:val="naiskr"/>
              <w:tabs>
                <w:tab w:val="left" w:pos="459"/>
              </w:tabs>
              <w:spacing w:before="0" w:after="0"/>
              <w:jc w:val="both"/>
              <w:rPr>
                <w:iCs/>
                <w:color w:val="000000" w:themeColor="text1"/>
              </w:rPr>
            </w:pPr>
            <w:r>
              <w:rPr>
                <w:iCs/>
                <w:color w:val="000000" w:themeColor="text1"/>
              </w:rPr>
              <w:t>EM</w:t>
            </w:r>
          </w:p>
        </w:tc>
      </w:tr>
      <w:tr w:rsidR="00853A4D" w:rsidRPr="00876E61" w14:paraId="34D52814" w14:textId="77777777" w:rsidTr="00853A4D">
        <w:trPr>
          <w:trHeight w:val="375"/>
          <w:jc w:val="center"/>
        </w:trPr>
        <w:tc>
          <w:tcPr>
            <w:tcW w:w="848" w:type="dxa"/>
          </w:tcPr>
          <w:p w14:paraId="1A285202" w14:textId="77777777" w:rsidR="00853A4D" w:rsidRPr="00876E61" w:rsidRDefault="00853A4D" w:rsidP="00853A4D">
            <w:pPr>
              <w:pStyle w:val="naiskr"/>
              <w:tabs>
                <w:tab w:val="left" w:pos="2628"/>
              </w:tabs>
              <w:spacing w:before="0" w:after="0"/>
              <w:jc w:val="both"/>
              <w:rPr>
                <w:iCs/>
                <w:color w:val="000000" w:themeColor="text1"/>
              </w:rPr>
            </w:pPr>
            <w:r w:rsidRPr="00876E61">
              <w:rPr>
                <w:iCs/>
                <w:color w:val="000000" w:themeColor="text1"/>
              </w:rPr>
              <w:t>3.</w:t>
            </w:r>
          </w:p>
        </w:tc>
        <w:tc>
          <w:tcPr>
            <w:tcW w:w="2591" w:type="dxa"/>
          </w:tcPr>
          <w:p w14:paraId="17DEC735" w14:textId="77777777" w:rsidR="00853A4D" w:rsidRPr="00876E61" w:rsidRDefault="00853A4D" w:rsidP="00853A4D">
            <w:pPr>
              <w:pStyle w:val="naiskr"/>
              <w:tabs>
                <w:tab w:val="left" w:pos="2628"/>
              </w:tabs>
              <w:spacing w:before="0" w:after="0"/>
              <w:jc w:val="both"/>
              <w:rPr>
                <w:iCs/>
                <w:color w:val="000000" w:themeColor="text1"/>
              </w:rPr>
            </w:pPr>
            <w:r w:rsidRPr="00876E61">
              <w:rPr>
                <w:color w:val="000000" w:themeColor="text1"/>
              </w:rPr>
              <w:t>Cita informācija</w:t>
            </w:r>
          </w:p>
        </w:tc>
        <w:tc>
          <w:tcPr>
            <w:tcW w:w="6337" w:type="dxa"/>
          </w:tcPr>
          <w:p w14:paraId="588D03BC" w14:textId="77777777" w:rsidR="00853A4D" w:rsidRPr="00876E61" w:rsidRDefault="00853A4D" w:rsidP="00853A4D">
            <w:pPr>
              <w:pStyle w:val="naiskr"/>
              <w:tabs>
                <w:tab w:val="left" w:pos="459"/>
              </w:tabs>
              <w:spacing w:before="0" w:after="0"/>
              <w:jc w:val="both"/>
              <w:rPr>
                <w:iCs/>
                <w:color w:val="000000" w:themeColor="text1"/>
              </w:rPr>
            </w:pPr>
            <w:r w:rsidRPr="00876E61">
              <w:rPr>
                <w:color w:val="000000" w:themeColor="text1"/>
              </w:rPr>
              <w:t>Nav</w:t>
            </w:r>
          </w:p>
        </w:tc>
      </w:tr>
    </w:tbl>
    <w:p w14:paraId="25A4A19F" w14:textId="6365DF50" w:rsidR="001E4601" w:rsidRDefault="001E4601" w:rsidP="00E30415">
      <w:pPr>
        <w:pStyle w:val="naisf"/>
        <w:spacing w:before="0" w:after="0"/>
        <w:ind w:firstLine="0"/>
        <w:rPr>
          <w:color w:val="000000" w:themeColor="text1"/>
        </w:rPr>
      </w:pPr>
    </w:p>
    <w:p w14:paraId="5634DFF8" w14:textId="45811A1D" w:rsidR="00D818D7" w:rsidRDefault="00D818D7" w:rsidP="00E30415">
      <w:pPr>
        <w:pStyle w:val="naisf"/>
        <w:spacing w:before="0" w:after="0"/>
        <w:ind w:firstLine="0"/>
        <w:rPr>
          <w:color w:val="000000" w:themeColor="text1"/>
        </w:rPr>
      </w:pPr>
    </w:p>
    <w:p w14:paraId="04D3AF64" w14:textId="77777777" w:rsidR="00D818D7" w:rsidRDefault="00D818D7" w:rsidP="00E30415">
      <w:pPr>
        <w:pStyle w:val="naisf"/>
        <w:spacing w:before="0" w:after="0"/>
        <w:ind w:firstLine="0"/>
        <w:rPr>
          <w:color w:val="000000" w:themeColor="text1"/>
        </w:rPr>
      </w:pPr>
    </w:p>
    <w:tbl>
      <w:tblPr>
        <w:tblW w:w="9821" w:type="dxa"/>
        <w:tblInd w:w="-57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821"/>
      </w:tblGrid>
      <w:tr w:rsidR="00876E61" w:rsidRPr="00876E61" w14:paraId="1F95F2F9" w14:textId="77777777" w:rsidTr="00D818D7">
        <w:tc>
          <w:tcPr>
            <w:tcW w:w="9821" w:type="dxa"/>
            <w:tcBorders>
              <w:top w:val="outset" w:sz="6" w:space="0" w:color="auto"/>
              <w:left w:val="outset" w:sz="6" w:space="0" w:color="auto"/>
              <w:bottom w:val="outset" w:sz="6" w:space="0" w:color="auto"/>
              <w:right w:val="outset" w:sz="6" w:space="0" w:color="auto"/>
            </w:tcBorders>
            <w:vAlign w:val="center"/>
          </w:tcPr>
          <w:p w14:paraId="56EC275C" w14:textId="77777777" w:rsidR="001E4601" w:rsidRPr="00876E61" w:rsidRDefault="001E4601" w:rsidP="0050261F">
            <w:pPr>
              <w:jc w:val="center"/>
              <w:rPr>
                <w:rFonts w:ascii="Times New Roman" w:hAnsi="Times New Roman" w:cs="Times New Roman"/>
                <w:b/>
                <w:color w:val="000000" w:themeColor="text1"/>
                <w:sz w:val="24"/>
                <w:szCs w:val="24"/>
                <w:lang w:val="lv-LV"/>
              </w:rPr>
            </w:pPr>
            <w:r w:rsidRPr="00876E61">
              <w:rPr>
                <w:rFonts w:ascii="Times New Roman" w:hAnsi="Times New Roman" w:cs="Times New Roman"/>
                <w:b/>
                <w:color w:val="000000" w:themeColor="text1"/>
                <w:sz w:val="24"/>
                <w:szCs w:val="24"/>
                <w:lang w:val="lv-LV"/>
              </w:rPr>
              <w:lastRenderedPageBreak/>
              <w:t>V. Tiesību akta projekta atbilstība Latvijas Republikas starptautiskajām saistībām</w:t>
            </w:r>
          </w:p>
          <w:tbl>
            <w:tblPr>
              <w:tblStyle w:val="TableGrid"/>
              <w:tblW w:w="9755" w:type="dxa"/>
              <w:tblLook w:val="04A0" w:firstRow="1" w:lastRow="0" w:firstColumn="1" w:lastColumn="0" w:noHBand="0" w:noVBand="1"/>
            </w:tblPr>
            <w:tblGrid>
              <w:gridCol w:w="421"/>
              <w:gridCol w:w="3893"/>
              <w:gridCol w:w="5441"/>
            </w:tblGrid>
            <w:tr w:rsidR="00876E61" w:rsidRPr="00876E61" w14:paraId="456CB4EE" w14:textId="77777777" w:rsidTr="0050261F">
              <w:tc>
                <w:tcPr>
                  <w:tcW w:w="421" w:type="dxa"/>
                </w:tcPr>
                <w:p w14:paraId="2C83E0FE"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1.</w:t>
                  </w:r>
                </w:p>
              </w:tc>
              <w:tc>
                <w:tcPr>
                  <w:tcW w:w="3893" w:type="dxa"/>
                </w:tcPr>
                <w:p w14:paraId="5A5B43BE"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Saistības pret Eiropas Savienību</w:t>
                  </w:r>
                </w:p>
              </w:tc>
              <w:tc>
                <w:tcPr>
                  <w:tcW w:w="5441" w:type="dxa"/>
                </w:tcPr>
                <w:p w14:paraId="6C7AFDEF" w14:textId="7EB85C2A" w:rsidR="0050261F" w:rsidRPr="00B460E5" w:rsidRDefault="0050261F" w:rsidP="005E5041">
                  <w:pPr>
                    <w:jc w:val="both"/>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 xml:space="preserve">Eiropas Parlamenta un Padomes 2018. gada 11. decembra direktīvas par apstākļu nodrošināšanu nolūkā dot dalībvalstu konkurences iestādēm iespēju efektīvāk izpildīt konkurences noteikumus un par iekšējā tirgus pienācīgas darbības nodrošināšanu. Saskaņā ar Direktīvas 2019/1/ES 34.pantu tās ieviešanas termiņš ir  </w:t>
                  </w:r>
                  <w:r w:rsidRPr="00876E61">
                    <w:rPr>
                      <w:rFonts w:ascii="Times New Roman" w:eastAsia="Times New Roman" w:hAnsi="Times New Roman" w:cs="Times New Roman"/>
                      <w:color w:val="000000" w:themeColor="text1"/>
                      <w:sz w:val="24"/>
                      <w:szCs w:val="24"/>
                      <w:lang w:val="lv-LV"/>
                    </w:rPr>
                    <w:t>2021.gada 4.februāris.</w:t>
                  </w:r>
                </w:p>
              </w:tc>
            </w:tr>
            <w:tr w:rsidR="00876E61" w:rsidRPr="00876E61" w14:paraId="39E9DA44" w14:textId="77777777" w:rsidTr="0050261F">
              <w:tc>
                <w:tcPr>
                  <w:tcW w:w="421" w:type="dxa"/>
                </w:tcPr>
                <w:p w14:paraId="7665F915"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2.</w:t>
                  </w:r>
                </w:p>
              </w:tc>
              <w:tc>
                <w:tcPr>
                  <w:tcW w:w="3893" w:type="dxa"/>
                </w:tcPr>
                <w:p w14:paraId="411186AD"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Citas starptautiskās saistības</w:t>
                  </w:r>
                </w:p>
              </w:tc>
              <w:tc>
                <w:tcPr>
                  <w:tcW w:w="5441" w:type="dxa"/>
                </w:tcPr>
                <w:p w14:paraId="586871FD"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Projekts šo jomu neskar</w:t>
                  </w:r>
                </w:p>
              </w:tc>
            </w:tr>
            <w:tr w:rsidR="00876E61" w:rsidRPr="00876E61" w14:paraId="3CFFD350" w14:textId="77777777" w:rsidTr="0050261F">
              <w:tc>
                <w:tcPr>
                  <w:tcW w:w="421" w:type="dxa"/>
                </w:tcPr>
                <w:p w14:paraId="5B6736FF"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3.</w:t>
                  </w:r>
                </w:p>
              </w:tc>
              <w:tc>
                <w:tcPr>
                  <w:tcW w:w="3893" w:type="dxa"/>
                </w:tcPr>
                <w:p w14:paraId="21B5BBBD"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Cita informācija</w:t>
                  </w:r>
                </w:p>
              </w:tc>
              <w:tc>
                <w:tcPr>
                  <w:tcW w:w="5441" w:type="dxa"/>
                </w:tcPr>
                <w:p w14:paraId="53F0191A" w14:textId="679BB6F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 xml:space="preserve">Nav </w:t>
                  </w:r>
                </w:p>
              </w:tc>
            </w:tr>
          </w:tbl>
          <w:p w14:paraId="2052B27C" w14:textId="519EDF5F" w:rsidR="0050261F" w:rsidRPr="00876E61" w:rsidRDefault="0050261F" w:rsidP="0050261F">
            <w:pPr>
              <w:jc w:val="center"/>
              <w:rPr>
                <w:rFonts w:ascii="Times New Roman" w:hAnsi="Times New Roman" w:cs="Times New Roman"/>
                <w:b/>
                <w:color w:val="000000" w:themeColor="text1"/>
                <w:sz w:val="24"/>
                <w:szCs w:val="24"/>
                <w:lang w:val="lv-LV"/>
              </w:rPr>
            </w:pPr>
          </w:p>
        </w:tc>
      </w:tr>
    </w:tbl>
    <w:p w14:paraId="56970F93" w14:textId="7D9CE9B4" w:rsidR="001E4601" w:rsidRDefault="001E4601" w:rsidP="00E30415">
      <w:pPr>
        <w:pStyle w:val="naisf"/>
        <w:spacing w:before="0" w:after="0"/>
        <w:ind w:firstLine="0"/>
        <w:rPr>
          <w:color w:val="000000" w:themeColor="text1"/>
        </w:rPr>
      </w:pPr>
    </w:p>
    <w:tbl>
      <w:tblPr>
        <w:tblStyle w:val="TableGrid"/>
        <w:tblW w:w="9781" w:type="dxa"/>
        <w:tblInd w:w="-572" w:type="dxa"/>
        <w:tblLook w:val="04A0" w:firstRow="1" w:lastRow="0" w:firstColumn="1" w:lastColumn="0" w:noHBand="0" w:noVBand="1"/>
      </w:tblPr>
      <w:tblGrid>
        <w:gridCol w:w="2356"/>
        <w:gridCol w:w="2736"/>
        <w:gridCol w:w="2046"/>
        <w:gridCol w:w="2643"/>
      </w:tblGrid>
      <w:tr w:rsidR="00F571E3" w:rsidRPr="00DA1DD3" w14:paraId="526E4917" w14:textId="77777777" w:rsidTr="00853A4D">
        <w:tc>
          <w:tcPr>
            <w:tcW w:w="9781" w:type="dxa"/>
            <w:gridSpan w:val="4"/>
          </w:tcPr>
          <w:p w14:paraId="5B96B922" w14:textId="77777777" w:rsidR="00F571E3" w:rsidRPr="0083025E" w:rsidRDefault="00F571E3" w:rsidP="00853A4D">
            <w:pPr>
              <w:shd w:val="clear" w:color="auto" w:fill="FFFFFF"/>
              <w:jc w:val="center"/>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b/>
                <w:bCs/>
                <w:color w:val="000000" w:themeColor="text1"/>
                <w:sz w:val="24"/>
                <w:szCs w:val="24"/>
                <w:lang w:val="lv-LV"/>
              </w:rPr>
              <w:t>1.tabula</w:t>
            </w:r>
          </w:p>
          <w:p w14:paraId="40492DC9" w14:textId="77777777" w:rsidR="00F571E3" w:rsidRPr="0083025E" w:rsidRDefault="00F571E3" w:rsidP="00853A4D">
            <w:pPr>
              <w:shd w:val="clear" w:color="auto" w:fill="FFFFFF"/>
              <w:ind w:left="57"/>
              <w:jc w:val="center"/>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b/>
                <w:bCs/>
                <w:color w:val="000000" w:themeColor="text1"/>
                <w:sz w:val="24"/>
                <w:szCs w:val="24"/>
                <w:lang w:val="lv-LV"/>
              </w:rPr>
              <w:t>Tiesību akta projekta atbilstība ES tiesību aktiem</w:t>
            </w:r>
          </w:p>
        </w:tc>
      </w:tr>
      <w:tr w:rsidR="00F571E3" w:rsidRPr="00DA1DD3" w14:paraId="68BC0D2C" w14:textId="77777777" w:rsidTr="00853A4D">
        <w:tc>
          <w:tcPr>
            <w:tcW w:w="2356" w:type="dxa"/>
          </w:tcPr>
          <w:p w14:paraId="6BF6E5B9"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Attiecīgā ES tiesību akta datums, numurs un nosaukums</w:t>
            </w:r>
          </w:p>
        </w:tc>
        <w:tc>
          <w:tcPr>
            <w:tcW w:w="7425" w:type="dxa"/>
            <w:gridSpan w:val="3"/>
          </w:tcPr>
          <w:p w14:paraId="79D7D966"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Eiropas Parlamenta un Padomes 2018. gada 11. decembra direktīvas par apstākļu nodrošināšanu nolūkā dot dalībvalstu konkurences iestādēm iespēju efektīvāk izpildīt konkurences noteikumus un par iekšējā tirgus pienācīgas darbības nodrošināšanu</w:t>
            </w:r>
          </w:p>
        </w:tc>
      </w:tr>
      <w:tr w:rsidR="00F571E3" w:rsidRPr="0083025E" w14:paraId="5825B0CE" w14:textId="77777777" w:rsidTr="00853A4D">
        <w:tc>
          <w:tcPr>
            <w:tcW w:w="2356" w:type="dxa"/>
          </w:tcPr>
          <w:p w14:paraId="11523936"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A</w:t>
            </w:r>
          </w:p>
        </w:tc>
        <w:tc>
          <w:tcPr>
            <w:tcW w:w="2736" w:type="dxa"/>
          </w:tcPr>
          <w:p w14:paraId="1A69997F"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B</w:t>
            </w:r>
          </w:p>
        </w:tc>
        <w:tc>
          <w:tcPr>
            <w:tcW w:w="2046" w:type="dxa"/>
          </w:tcPr>
          <w:p w14:paraId="60325E8C"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C</w:t>
            </w:r>
          </w:p>
        </w:tc>
        <w:tc>
          <w:tcPr>
            <w:tcW w:w="2643" w:type="dxa"/>
          </w:tcPr>
          <w:p w14:paraId="076210A8" w14:textId="77777777" w:rsidR="00F571E3" w:rsidRPr="0083025E" w:rsidRDefault="00F571E3" w:rsidP="00853A4D">
            <w:pPr>
              <w:jc w:val="center"/>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D</w:t>
            </w:r>
          </w:p>
        </w:tc>
      </w:tr>
      <w:tr w:rsidR="00F571E3" w:rsidRPr="00DA1DD3" w14:paraId="22A45A0E" w14:textId="77777777" w:rsidTr="00853A4D">
        <w:tc>
          <w:tcPr>
            <w:tcW w:w="2356" w:type="dxa"/>
          </w:tcPr>
          <w:p w14:paraId="38FCBC62"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Attiecīgā ES tiesību akta panta numurs (uzskaitot katru tiesību akta vienību – pantu, daļu, punktu, apakšpunktu)</w:t>
            </w:r>
          </w:p>
        </w:tc>
        <w:tc>
          <w:tcPr>
            <w:tcW w:w="2736" w:type="dxa"/>
          </w:tcPr>
          <w:p w14:paraId="52D3C482"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Projekta vienība, kas pārņem vai ievieš katru šīs tabulas A ailē minēto ES tiesību akta vienību, vai tiesību akts, kur attiecīgā ES tiesību akta vienība pārņemta vai ieviesta</w:t>
            </w:r>
          </w:p>
        </w:tc>
        <w:tc>
          <w:tcPr>
            <w:tcW w:w="2046" w:type="dxa"/>
          </w:tcPr>
          <w:p w14:paraId="21267EF4" w14:textId="77777777" w:rsidR="00F571E3" w:rsidRPr="0083025E" w:rsidRDefault="00F571E3" w:rsidP="00853A4D">
            <w:pPr>
              <w:shd w:val="clear" w:color="auto" w:fill="FFFFFF"/>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pacing w:val="-3"/>
                <w:sz w:val="24"/>
                <w:szCs w:val="24"/>
                <w:lang w:val="lv-LV"/>
              </w:rPr>
              <w:t>Informācija par to, vai šīs tabulas A ailē minētās ES tiesību akta vienības tiek pārņemtas vai ieviestas pilnībā vai daļēji.</w:t>
            </w:r>
          </w:p>
          <w:p w14:paraId="5CE1144E" w14:textId="77777777" w:rsidR="00F571E3" w:rsidRPr="0083025E" w:rsidRDefault="00F571E3" w:rsidP="00853A4D">
            <w:pPr>
              <w:shd w:val="clear" w:color="auto" w:fill="FFFFFF"/>
              <w:ind w:left="57"/>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pacing w:val="-3"/>
                <w:sz w:val="24"/>
                <w:szCs w:val="24"/>
                <w:lang w:val="lv-LV"/>
              </w:rPr>
              <w:t>Ja attiecīgā ES tiesību akta vienība tiek pārņemta vai ieviesta daļēji, sniedz attiecīgu skaidrojumu, kā arī precīzi norāda, kad un kādā veidā ES tiesību akta vienība tiks pārņemta vai ieviesta pilnībā.</w:t>
            </w:r>
          </w:p>
          <w:p w14:paraId="41D4E0FB" w14:textId="77777777" w:rsidR="00F571E3" w:rsidRPr="0083025E" w:rsidRDefault="00F571E3" w:rsidP="00853A4D">
            <w:pPr>
              <w:shd w:val="clear" w:color="auto" w:fill="FFFFFF"/>
              <w:ind w:left="57"/>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pacing w:val="-3"/>
                <w:sz w:val="24"/>
                <w:szCs w:val="24"/>
                <w:lang w:val="lv-LV"/>
              </w:rPr>
              <w:t>Norāda institūciju, kas ir atbildīga par šo saistību izpildi pilnībā.</w:t>
            </w:r>
          </w:p>
        </w:tc>
        <w:tc>
          <w:tcPr>
            <w:tcW w:w="2643" w:type="dxa"/>
          </w:tcPr>
          <w:p w14:paraId="1EC7E590" w14:textId="77777777" w:rsidR="00F571E3" w:rsidRPr="0083025E" w:rsidRDefault="00F571E3" w:rsidP="00853A4D">
            <w:pPr>
              <w:shd w:val="clear" w:color="auto" w:fill="FFFFFF"/>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pacing w:val="-3"/>
                <w:sz w:val="24"/>
                <w:szCs w:val="24"/>
                <w:lang w:val="lv-LV"/>
              </w:rPr>
              <w:t>Informācija par to, vai šīs </w:t>
            </w:r>
            <w:r w:rsidRPr="0083025E">
              <w:rPr>
                <w:rFonts w:ascii="Times New Roman" w:eastAsia="Times New Roman" w:hAnsi="Times New Roman" w:cs="Times New Roman"/>
                <w:color w:val="000000" w:themeColor="text1"/>
                <w:sz w:val="24"/>
                <w:szCs w:val="24"/>
                <w:lang w:val="lv-LV"/>
              </w:rPr>
              <w:t>tabulas B ailē minētās projekta vienības paredz stingrākas prasības nekā šīs tabulas A ailē minētās ES tiesību akta vienības.</w:t>
            </w:r>
          </w:p>
          <w:p w14:paraId="75BE79C2" w14:textId="77777777" w:rsidR="00F571E3" w:rsidRPr="0083025E" w:rsidRDefault="00F571E3" w:rsidP="00853A4D">
            <w:pPr>
              <w:shd w:val="clear" w:color="auto" w:fill="FFFFFF"/>
              <w:ind w:left="57"/>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z w:val="24"/>
                <w:szCs w:val="24"/>
                <w:lang w:val="lv-LV"/>
              </w:rPr>
              <w:t>Ja projekts satur stingrākas prasības nekā attiecīgais ES tiesību akts, norāda pamatojumu un samērīgumu.</w:t>
            </w:r>
          </w:p>
          <w:p w14:paraId="27520D60" w14:textId="77777777" w:rsidR="00F571E3" w:rsidRPr="0083025E" w:rsidRDefault="00F571E3" w:rsidP="00853A4D">
            <w:pPr>
              <w:shd w:val="clear" w:color="auto" w:fill="FFFFFF"/>
              <w:ind w:left="57"/>
              <w:jc w:val="both"/>
              <w:rPr>
                <w:rFonts w:ascii="Times New Roman" w:eastAsia="Times New Roman" w:hAnsi="Times New Roman" w:cs="Times New Roman"/>
                <w:color w:val="000000" w:themeColor="text1"/>
                <w:sz w:val="24"/>
                <w:szCs w:val="24"/>
                <w:lang w:val="lv-LV"/>
              </w:rPr>
            </w:pPr>
            <w:r w:rsidRPr="0083025E">
              <w:rPr>
                <w:rFonts w:ascii="Times New Roman" w:eastAsia="Times New Roman" w:hAnsi="Times New Roman" w:cs="Times New Roman"/>
                <w:color w:val="000000" w:themeColor="text1"/>
                <w:sz w:val="24"/>
                <w:szCs w:val="24"/>
                <w:lang w:val="lv-LV"/>
              </w:rPr>
              <w:t>Norāda iespējamās alternatīvas (t.sk. alternatīvas, kas neparedz tiesiskā regulējuma izstrādi) – kādos gadījumos būtu iespējams izvairīties no stingrāku prasību</w:t>
            </w:r>
            <w:r w:rsidRPr="0083025E">
              <w:rPr>
                <w:rFonts w:ascii="Times New Roman" w:eastAsia="Times New Roman" w:hAnsi="Times New Roman" w:cs="Times New Roman"/>
                <w:color w:val="000000" w:themeColor="text1"/>
                <w:spacing w:val="-3"/>
                <w:sz w:val="24"/>
                <w:szCs w:val="24"/>
                <w:lang w:val="lv-LV"/>
              </w:rPr>
              <w:t> noteikšanas, nekā paredzēts attiecīgajos ES tiesību aktos.</w:t>
            </w:r>
          </w:p>
          <w:p w14:paraId="11D7E622" w14:textId="77777777" w:rsidR="00F571E3" w:rsidRPr="0083025E" w:rsidRDefault="00F571E3" w:rsidP="00853A4D">
            <w:pPr>
              <w:jc w:val="both"/>
              <w:rPr>
                <w:rFonts w:ascii="Times New Roman" w:hAnsi="Times New Roman" w:cs="Times New Roman"/>
                <w:color w:val="000000" w:themeColor="text1"/>
                <w:sz w:val="24"/>
                <w:szCs w:val="24"/>
                <w:lang w:val="lv-LV"/>
              </w:rPr>
            </w:pPr>
          </w:p>
        </w:tc>
      </w:tr>
      <w:tr w:rsidR="00F571E3" w:rsidRPr="0083025E" w14:paraId="7B96EF9E" w14:textId="77777777" w:rsidTr="00853A4D">
        <w:tc>
          <w:tcPr>
            <w:tcW w:w="2356" w:type="dxa"/>
          </w:tcPr>
          <w:p w14:paraId="23440E28" w14:textId="7A0C57C4" w:rsidR="00F571E3" w:rsidRPr="006E7580" w:rsidRDefault="007D270E" w:rsidP="00853A4D">
            <w:pPr>
              <w:jc w:val="both"/>
              <w:rPr>
                <w:rFonts w:ascii="Times New Roman" w:hAnsi="Times New Roman" w:cs="Times New Roman"/>
                <w:color w:val="000000" w:themeColor="text1"/>
                <w:sz w:val="24"/>
                <w:szCs w:val="24"/>
                <w:lang w:val="lv-LV"/>
              </w:rPr>
            </w:pPr>
            <w:r w:rsidRPr="006E7580">
              <w:rPr>
                <w:rFonts w:ascii="Times New Roman" w:hAnsi="Times New Roman" w:cs="Times New Roman"/>
                <w:sz w:val="24"/>
                <w:szCs w:val="24"/>
              </w:rPr>
              <w:t xml:space="preserve">2.panta </w:t>
            </w:r>
            <w:proofErr w:type="gramStart"/>
            <w:r w:rsidRPr="006E7580">
              <w:rPr>
                <w:rFonts w:ascii="Times New Roman" w:hAnsi="Times New Roman" w:cs="Times New Roman"/>
                <w:sz w:val="24"/>
                <w:szCs w:val="24"/>
              </w:rPr>
              <w:t>1.punkta</w:t>
            </w:r>
            <w:proofErr w:type="gramEnd"/>
            <w:r w:rsidRPr="006E7580">
              <w:rPr>
                <w:rFonts w:ascii="Times New Roman" w:hAnsi="Times New Roman" w:cs="Times New Roman"/>
                <w:sz w:val="24"/>
                <w:szCs w:val="24"/>
              </w:rPr>
              <w:t xml:space="preserve"> 4) </w:t>
            </w:r>
            <w:proofErr w:type="spellStart"/>
            <w:r w:rsidRPr="006E7580">
              <w:rPr>
                <w:rFonts w:ascii="Times New Roman" w:hAnsi="Times New Roman" w:cs="Times New Roman"/>
                <w:sz w:val="24"/>
                <w:szCs w:val="24"/>
              </w:rPr>
              <w:t>apakšpunkts</w:t>
            </w:r>
            <w:proofErr w:type="spellEnd"/>
          </w:p>
        </w:tc>
        <w:tc>
          <w:tcPr>
            <w:tcW w:w="2736" w:type="dxa"/>
          </w:tcPr>
          <w:p w14:paraId="04DFD25A" w14:textId="26AC7F49"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rPr>
              <w:t>1.panta 1</w:t>
            </w:r>
            <w:r w:rsidR="001062A7">
              <w:rPr>
                <w:rFonts w:ascii="Times New Roman" w:hAnsi="Times New Roman" w:cs="Times New Roman"/>
                <w:color w:val="000000" w:themeColor="text1"/>
                <w:sz w:val="24"/>
                <w:szCs w:val="24"/>
              </w:rPr>
              <w:t>4</w:t>
            </w:r>
            <w:r w:rsidR="00D818D7">
              <w:rPr>
                <w:rFonts w:ascii="Times New Roman" w:hAnsi="Times New Roman" w:cs="Times New Roman"/>
                <w:color w:val="000000" w:themeColor="text1"/>
                <w:sz w:val="24"/>
                <w:szCs w:val="24"/>
              </w:rPr>
              <w:t>.</w:t>
            </w:r>
            <w:r w:rsidRPr="0083025E">
              <w:rPr>
                <w:rFonts w:ascii="Times New Roman" w:hAnsi="Times New Roman" w:cs="Times New Roman"/>
                <w:color w:val="000000" w:themeColor="text1"/>
                <w:sz w:val="24"/>
                <w:szCs w:val="24"/>
                <w:lang w:val="lv-LV"/>
              </w:rPr>
              <w:t>punkts)</w:t>
            </w:r>
          </w:p>
        </w:tc>
        <w:tc>
          <w:tcPr>
            <w:tcW w:w="2046" w:type="dxa"/>
          </w:tcPr>
          <w:p w14:paraId="1995748E"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15A5255C"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3B9B6DFC" w14:textId="77777777" w:rsidTr="00853A4D">
        <w:tc>
          <w:tcPr>
            <w:tcW w:w="2356" w:type="dxa"/>
          </w:tcPr>
          <w:p w14:paraId="58A91E77" w14:textId="46395FDE" w:rsidR="007D270E" w:rsidRPr="006E7580" w:rsidRDefault="007D270E" w:rsidP="007D270E">
            <w:pPr>
              <w:pStyle w:val="CommentText"/>
              <w:rPr>
                <w:rFonts w:ascii="Times New Roman" w:hAnsi="Times New Roman" w:cs="Times New Roman"/>
                <w:sz w:val="24"/>
                <w:szCs w:val="24"/>
              </w:rPr>
            </w:pPr>
            <w:r w:rsidRPr="006E7580">
              <w:rPr>
                <w:rFonts w:ascii="Times New Roman" w:hAnsi="Times New Roman" w:cs="Times New Roman"/>
                <w:sz w:val="24"/>
                <w:szCs w:val="24"/>
              </w:rPr>
              <w:lastRenderedPageBreak/>
              <w:t xml:space="preserve">2.panta </w:t>
            </w:r>
            <w:proofErr w:type="gramStart"/>
            <w:r w:rsidRPr="006E7580">
              <w:rPr>
                <w:rFonts w:ascii="Times New Roman" w:hAnsi="Times New Roman" w:cs="Times New Roman"/>
                <w:sz w:val="24"/>
                <w:szCs w:val="24"/>
              </w:rPr>
              <w:t>1.punkta</w:t>
            </w:r>
            <w:proofErr w:type="gramEnd"/>
            <w:r w:rsidRPr="006E7580">
              <w:rPr>
                <w:rFonts w:ascii="Times New Roman" w:hAnsi="Times New Roman" w:cs="Times New Roman"/>
                <w:sz w:val="24"/>
                <w:szCs w:val="24"/>
              </w:rPr>
              <w:t xml:space="preserve"> 5) </w:t>
            </w:r>
            <w:proofErr w:type="spellStart"/>
            <w:r w:rsidRPr="006E7580">
              <w:rPr>
                <w:rFonts w:ascii="Times New Roman" w:hAnsi="Times New Roman" w:cs="Times New Roman"/>
                <w:sz w:val="24"/>
                <w:szCs w:val="24"/>
              </w:rPr>
              <w:t>apakšpunkts</w:t>
            </w:r>
            <w:proofErr w:type="spellEnd"/>
          </w:p>
          <w:p w14:paraId="68737F40" w14:textId="6B02A540" w:rsidR="00F571E3" w:rsidRPr="006E7580" w:rsidRDefault="00F571E3" w:rsidP="00853A4D">
            <w:pPr>
              <w:jc w:val="both"/>
              <w:rPr>
                <w:rFonts w:ascii="Times New Roman" w:hAnsi="Times New Roman" w:cs="Times New Roman"/>
                <w:color w:val="000000" w:themeColor="text1"/>
                <w:sz w:val="24"/>
                <w:szCs w:val="24"/>
                <w:lang w:val="lv-LV"/>
              </w:rPr>
            </w:pPr>
          </w:p>
        </w:tc>
        <w:tc>
          <w:tcPr>
            <w:tcW w:w="2736" w:type="dxa"/>
          </w:tcPr>
          <w:p w14:paraId="31E5A805" w14:textId="2CD66C54"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rPr>
              <w:t>1.panta 2</w:t>
            </w:r>
            <w:r w:rsidR="00D818D7">
              <w:rPr>
                <w:rFonts w:ascii="Times New Roman" w:hAnsi="Times New Roman" w:cs="Times New Roman"/>
                <w:color w:val="000000" w:themeColor="text1"/>
                <w:sz w:val="24"/>
                <w:szCs w:val="24"/>
              </w:rPr>
              <w:t>.</w:t>
            </w:r>
            <w:r w:rsidRPr="0083025E">
              <w:rPr>
                <w:rFonts w:ascii="Times New Roman" w:hAnsi="Times New Roman" w:cs="Times New Roman"/>
                <w:color w:val="000000" w:themeColor="text1"/>
                <w:sz w:val="24"/>
                <w:szCs w:val="24"/>
                <w:lang w:val="lv-LV"/>
              </w:rPr>
              <w:t>punkts)</w:t>
            </w:r>
          </w:p>
        </w:tc>
        <w:tc>
          <w:tcPr>
            <w:tcW w:w="2046" w:type="dxa"/>
          </w:tcPr>
          <w:p w14:paraId="526BA5A0"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6BDD4DA"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19E6151D" w14:textId="77777777" w:rsidTr="00853A4D">
        <w:tc>
          <w:tcPr>
            <w:tcW w:w="2356" w:type="dxa"/>
          </w:tcPr>
          <w:p w14:paraId="33898DBD" w14:textId="48C1E118" w:rsidR="00242136" w:rsidRPr="006E7580" w:rsidRDefault="00242136" w:rsidP="00242136">
            <w:pPr>
              <w:pStyle w:val="CommentText"/>
              <w:rPr>
                <w:rFonts w:ascii="Times New Roman" w:hAnsi="Times New Roman" w:cs="Times New Roman"/>
                <w:sz w:val="24"/>
                <w:szCs w:val="24"/>
              </w:rPr>
            </w:pPr>
            <w:r w:rsidRPr="006E7580">
              <w:rPr>
                <w:rFonts w:ascii="Times New Roman" w:hAnsi="Times New Roman" w:cs="Times New Roman"/>
                <w:sz w:val="24"/>
                <w:szCs w:val="24"/>
              </w:rPr>
              <w:t xml:space="preserve">2.panta </w:t>
            </w:r>
            <w:proofErr w:type="gramStart"/>
            <w:r w:rsidRPr="006E7580">
              <w:rPr>
                <w:rFonts w:ascii="Times New Roman" w:hAnsi="Times New Roman" w:cs="Times New Roman"/>
                <w:sz w:val="24"/>
                <w:szCs w:val="24"/>
              </w:rPr>
              <w:t>1.punkta</w:t>
            </w:r>
            <w:proofErr w:type="gramEnd"/>
            <w:r w:rsidRPr="006E7580">
              <w:rPr>
                <w:rFonts w:ascii="Times New Roman" w:hAnsi="Times New Roman" w:cs="Times New Roman"/>
                <w:sz w:val="24"/>
                <w:szCs w:val="24"/>
              </w:rPr>
              <w:t xml:space="preserve"> 10) </w:t>
            </w:r>
            <w:proofErr w:type="spellStart"/>
            <w:r w:rsidRPr="006E7580">
              <w:rPr>
                <w:rFonts w:ascii="Times New Roman" w:hAnsi="Times New Roman" w:cs="Times New Roman"/>
                <w:sz w:val="24"/>
                <w:szCs w:val="24"/>
              </w:rPr>
              <w:t>apakšpunkts</w:t>
            </w:r>
            <w:proofErr w:type="spellEnd"/>
          </w:p>
          <w:p w14:paraId="54D73EA1" w14:textId="3F0F5551" w:rsidR="00F571E3" w:rsidRPr="006E7580" w:rsidRDefault="00F571E3" w:rsidP="00853A4D">
            <w:pPr>
              <w:jc w:val="both"/>
              <w:rPr>
                <w:rFonts w:ascii="Times New Roman" w:hAnsi="Times New Roman" w:cs="Times New Roman"/>
                <w:color w:val="000000" w:themeColor="text1"/>
                <w:sz w:val="24"/>
                <w:szCs w:val="24"/>
                <w:lang w:val="lv-LV"/>
              </w:rPr>
            </w:pPr>
          </w:p>
        </w:tc>
        <w:tc>
          <w:tcPr>
            <w:tcW w:w="2736" w:type="dxa"/>
          </w:tcPr>
          <w:p w14:paraId="608A7769" w14:textId="45E20625"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1062A7">
              <w:rPr>
                <w:rFonts w:ascii="Times New Roman" w:hAnsi="Times New Roman" w:cs="Times New Roman"/>
                <w:color w:val="000000" w:themeColor="text1"/>
                <w:spacing w:val="-3"/>
                <w:sz w:val="24"/>
                <w:szCs w:val="24"/>
                <w:shd w:val="clear" w:color="auto" w:fill="FFFFFF"/>
                <w:lang w:val="lv-LV"/>
              </w:rPr>
              <w:t>19</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lang w:val="lv-LV"/>
              </w:rPr>
              <w:t>28.panta trešā daļa)</w:t>
            </w:r>
          </w:p>
        </w:tc>
        <w:tc>
          <w:tcPr>
            <w:tcW w:w="2046" w:type="dxa"/>
          </w:tcPr>
          <w:p w14:paraId="3B13D794"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34219D8"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6BF5B58F" w14:textId="77777777" w:rsidTr="00853A4D">
        <w:tc>
          <w:tcPr>
            <w:tcW w:w="2356" w:type="dxa"/>
          </w:tcPr>
          <w:p w14:paraId="2AC4C25F" w14:textId="3B9AAE5F"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11</w:t>
            </w:r>
            <w:r w:rsidR="00242136">
              <w:rPr>
                <w:rFonts w:ascii="Times New Roman" w:hAnsi="Times New Roman" w:cs="Times New Roman"/>
                <w:color w:val="000000" w:themeColor="text1"/>
                <w:sz w:val="24"/>
                <w:szCs w:val="24"/>
                <w:lang w:val="lv-LV"/>
              </w:rPr>
              <w:t>) apakšpunkts</w:t>
            </w:r>
          </w:p>
        </w:tc>
        <w:tc>
          <w:tcPr>
            <w:tcW w:w="2736" w:type="dxa"/>
          </w:tcPr>
          <w:p w14:paraId="59616FE8" w14:textId="02650171"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shd w:val="clear" w:color="auto" w:fill="FFFFFF"/>
                <w:lang w:val="lv-LV"/>
              </w:rPr>
              <w:t xml:space="preserve">1.panta </w:t>
            </w:r>
            <w:r w:rsidR="001062A7">
              <w:rPr>
                <w:rFonts w:ascii="Times New Roman" w:hAnsi="Times New Roman" w:cs="Times New Roman"/>
                <w:color w:val="000000" w:themeColor="text1"/>
                <w:sz w:val="24"/>
                <w:szCs w:val="24"/>
                <w:shd w:val="clear" w:color="auto" w:fill="FFFFFF"/>
                <w:lang w:val="lv-LV"/>
              </w:rPr>
              <w:t>9</w:t>
            </w:r>
            <w:r w:rsidR="00D818D7">
              <w:rPr>
                <w:rFonts w:ascii="Times New Roman" w:hAnsi="Times New Roman" w:cs="Times New Roman"/>
                <w:color w:val="000000" w:themeColor="text1"/>
                <w:sz w:val="24"/>
                <w:szCs w:val="24"/>
                <w:shd w:val="clear" w:color="auto" w:fill="FFFFFF"/>
                <w:lang w:val="lv-LV"/>
              </w:rPr>
              <w:t>.</w:t>
            </w:r>
            <w:r w:rsidRPr="0083025E">
              <w:rPr>
                <w:rFonts w:ascii="Times New Roman" w:hAnsi="Times New Roman" w:cs="Times New Roman"/>
                <w:color w:val="000000" w:themeColor="text1"/>
                <w:sz w:val="24"/>
                <w:szCs w:val="24"/>
                <w:shd w:val="clear" w:color="auto" w:fill="FFFFFF"/>
                <w:lang w:val="lv-LV"/>
              </w:rPr>
              <w:t>punkts)</w:t>
            </w:r>
          </w:p>
        </w:tc>
        <w:tc>
          <w:tcPr>
            <w:tcW w:w="2046" w:type="dxa"/>
          </w:tcPr>
          <w:p w14:paraId="0A0EF65E"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B0E3AE1"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6048F623" w14:textId="77777777" w:rsidTr="00853A4D">
        <w:tc>
          <w:tcPr>
            <w:tcW w:w="2356" w:type="dxa"/>
          </w:tcPr>
          <w:p w14:paraId="4C431779" w14:textId="18817FF4"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16</w:t>
            </w:r>
            <w:r w:rsidR="00242136">
              <w:rPr>
                <w:rFonts w:ascii="Times New Roman" w:hAnsi="Times New Roman" w:cs="Times New Roman"/>
                <w:color w:val="000000" w:themeColor="text1"/>
                <w:sz w:val="24"/>
                <w:szCs w:val="24"/>
                <w:lang w:val="lv-LV"/>
              </w:rPr>
              <w:t>) apakšpunkts</w:t>
            </w:r>
          </w:p>
        </w:tc>
        <w:tc>
          <w:tcPr>
            <w:tcW w:w="2736" w:type="dxa"/>
          </w:tcPr>
          <w:p w14:paraId="44E865C8" w14:textId="1354E572" w:rsidR="00F571E3" w:rsidRPr="0083025E" w:rsidRDefault="00F571E3" w:rsidP="00853A4D">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lang w:val="lv-LV"/>
              </w:rPr>
              <w:t>1.panta 3</w:t>
            </w:r>
            <w:r w:rsidR="00D818D7">
              <w:rPr>
                <w:rFonts w:ascii="Times New Roman" w:hAnsi="Times New Roman" w:cs="Times New Roman"/>
                <w:color w:val="000000" w:themeColor="text1"/>
                <w:sz w:val="24"/>
                <w:szCs w:val="24"/>
                <w:lang w:val="lv-LV"/>
              </w:rPr>
              <w:t>.</w:t>
            </w:r>
            <w:r w:rsidRPr="0083025E">
              <w:rPr>
                <w:rFonts w:ascii="Times New Roman" w:hAnsi="Times New Roman" w:cs="Times New Roman"/>
                <w:color w:val="000000" w:themeColor="text1"/>
                <w:sz w:val="24"/>
                <w:szCs w:val="24"/>
                <w:lang w:val="lv-LV"/>
              </w:rPr>
              <w:t>punkts)</w:t>
            </w:r>
          </w:p>
        </w:tc>
        <w:tc>
          <w:tcPr>
            <w:tcW w:w="2046" w:type="dxa"/>
          </w:tcPr>
          <w:p w14:paraId="229587EB"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5D8C092D"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36E5024A" w14:textId="77777777" w:rsidTr="00853A4D">
        <w:tc>
          <w:tcPr>
            <w:tcW w:w="2356" w:type="dxa"/>
          </w:tcPr>
          <w:p w14:paraId="6A17810B" w14:textId="4B76B43F"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17</w:t>
            </w:r>
            <w:r w:rsidR="00242136">
              <w:rPr>
                <w:rFonts w:ascii="Times New Roman" w:hAnsi="Times New Roman" w:cs="Times New Roman"/>
                <w:color w:val="000000" w:themeColor="text1"/>
                <w:sz w:val="24"/>
                <w:szCs w:val="24"/>
                <w:lang w:val="lv-LV"/>
              </w:rPr>
              <w:t>) apakšpunkts</w:t>
            </w:r>
          </w:p>
        </w:tc>
        <w:tc>
          <w:tcPr>
            <w:tcW w:w="2736" w:type="dxa"/>
          </w:tcPr>
          <w:p w14:paraId="22BE6527" w14:textId="20990EFC"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shd w:val="clear" w:color="auto" w:fill="FFFFFF"/>
                <w:lang w:val="lv-LV"/>
              </w:rPr>
              <w:t>1.panta 1</w:t>
            </w:r>
            <w:r w:rsidR="001062A7">
              <w:rPr>
                <w:rFonts w:ascii="Times New Roman" w:hAnsi="Times New Roman" w:cs="Times New Roman"/>
                <w:color w:val="000000" w:themeColor="text1"/>
                <w:sz w:val="24"/>
                <w:szCs w:val="24"/>
                <w:shd w:val="clear" w:color="auto" w:fill="FFFFFF"/>
                <w:lang w:val="lv-LV"/>
              </w:rPr>
              <w:t>6</w:t>
            </w:r>
            <w:r w:rsidR="00D818D7">
              <w:rPr>
                <w:rFonts w:ascii="Times New Roman" w:hAnsi="Times New Roman" w:cs="Times New Roman"/>
                <w:color w:val="000000" w:themeColor="text1"/>
                <w:sz w:val="24"/>
                <w:szCs w:val="24"/>
                <w:shd w:val="clear" w:color="auto" w:fill="FFFFFF"/>
                <w:lang w:val="lv-LV"/>
              </w:rPr>
              <w:t>.</w:t>
            </w:r>
            <w:r w:rsidRPr="0083025E">
              <w:rPr>
                <w:rFonts w:ascii="Times New Roman" w:hAnsi="Times New Roman" w:cs="Times New Roman"/>
                <w:color w:val="000000" w:themeColor="text1"/>
                <w:sz w:val="24"/>
                <w:szCs w:val="24"/>
                <w:lang w:val="lv-LV"/>
              </w:rPr>
              <w:t>punkts)</w:t>
            </w:r>
          </w:p>
        </w:tc>
        <w:tc>
          <w:tcPr>
            <w:tcW w:w="2046" w:type="dxa"/>
          </w:tcPr>
          <w:p w14:paraId="7D3B610E"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6A0758C2"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26C55A92" w14:textId="77777777" w:rsidTr="00853A4D">
        <w:tc>
          <w:tcPr>
            <w:tcW w:w="2356" w:type="dxa"/>
          </w:tcPr>
          <w:p w14:paraId="0A95955F" w14:textId="2448605C"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18</w:t>
            </w:r>
            <w:r w:rsidR="00242136">
              <w:rPr>
                <w:rFonts w:ascii="Times New Roman" w:hAnsi="Times New Roman" w:cs="Times New Roman"/>
                <w:color w:val="000000" w:themeColor="text1"/>
                <w:sz w:val="24"/>
                <w:szCs w:val="24"/>
                <w:lang w:val="lv-LV"/>
              </w:rPr>
              <w:t>) apakšpunkts</w:t>
            </w:r>
          </w:p>
        </w:tc>
        <w:tc>
          <w:tcPr>
            <w:tcW w:w="2736" w:type="dxa"/>
          </w:tcPr>
          <w:p w14:paraId="279011BD" w14:textId="569621EF"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lang w:val="lv-LV"/>
              </w:rPr>
              <w:t xml:space="preserve">1.panta </w:t>
            </w:r>
            <w:r w:rsidR="001062A7">
              <w:rPr>
                <w:rFonts w:ascii="Times New Roman" w:hAnsi="Times New Roman" w:cs="Times New Roman"/>
                <w:color w:val="000000" w:themeColor="text1"/>
                <w:sz w:val="24"/>
                <w:szCs w:val="24"/>
                <w:lang w:val="lv-LV"/>
              </w:rPr>
              <w:t>7</w:t>
            </w:r>
            <w:r w:rsidR="00D818D7">
              <w:rPr>
                <w:rFonts w:ascii="Times New Roman" w:hAnsi="Times New Roman" w:cs="Times New Roman"/>
                <w:color w:val="000000" w:themeColor="text1"/>
                <w:sz w:val="24"/>
                <w:szCs w:val="24"/>
                <w:lang w:val="lv-LV"/>
              </w:rPr>
              <w:t>.</w:t>
            </w:r>
            <w:r w:rsidRPr="0083025E">
              <w:rPr>
                <w:rFonts w:ascii="Times New Roman" w:hAnsi="Times New Roman" w:cs="Times New Roman"/>
                <w:color w:val="000000" w:themeColor="text1"/>
                <w:sz w:val="24"/>
                <w:szCs w:val="24"/>
                <w:lang w:val="lv-LV"/>
              </w:rPr>
              <w:t>punkts)</w:t>
            </w:r>
          </w:p>
        </w:tc>
        <w:tc>
          <w:tcPr>
            <w:tcW w:w="2046" w:type="dxa"/>
          </w:tcPr>
          <w:p w14:paraId="5D054A4A"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2EFFCF6D"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5C90E584" w14:textId="77777777" w:rsidTr="00853A4D">
        <w:tc>
          <w:tcPr>
            <w:tcW w:w="2356" w:type="dxa"/>
          </w:tcPr>
          <w:p w14:paraId="7C3061EF" w14:textId="2CBB4595"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19</w:t>
            </w:r>
            <w:r w:rsidR="00242136">
              <w:rPr>
                <w:rFonts w:ascii="Times New Roman" w:hAnsi="Times New Roman" w:cs="Times New Roman"/>
                <w:color w:val="000000" w:themeColor="text1"/>
                <w:sz w:val="24"/>
                <w:szCs w:val="24"/>
                <w:lang w:val="lv-LV"/>
              </w:rPr>
              <w:t>) apakšpunkts</w:t>
            </w:r>
          </w:p>
        </w:tc>
        <w:tc>
          <w:tcPr>
            <w:tcW w:w="2736" w:type="dxa"/>
          </w:tcPr>
          <w:p w14:paraId="672A184A" w14:textId="3C69F106"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lang w:val="lv-LV"/>
              </w:rPr>
              <w:t xml:space="preserve">1.panta </w:t>
            </w:r>
            <w:r w:rsidR="001062A7">
              <w:rPr>
                <w:rFonts w:ascii="Times New Roman" w:hAnsi="Times New Roman" w:cs="Times New Roman"/>
                <w:color w:val="000000" w:themeColor="text1"/>
                <w:sz w:val="24"/>
                <w:szCs w:val="24"/>
                <w:lang w:val="lv-LV"/>
              </w:rPr>
              <w:t>5</w:t>
            </w:r>
            <w:r w:rsidR="00D818D7">
              <w:rPr>
                <w:rFonts w:ascii="Times New Roman" w:hAnsi="Times New Roman" w:cs="Times New Roman"/>
                <w:color w:val="000000" w:themeColor="text1"/>
                <w:sz w:val="24"/>
                <w:szCs w:val="24"/>
                <w:lang w:val="lv-LV"/>
              </w:rPr>
              <w:t>.</w:t>
            </w:r>
            <w:r w:rsidRPr="0083025E">
              <w:rPr>
                <w:rFonts w:ascii="Times New Roman" w:hAnsi="Times New Roman" w:cs="Times New Roman"/>
                <w:color w:val="000000" w:themeColor="text1"/>
                <w:sz w:val="24"/>
                <w:szCs w:val="24"/>
                <w:lang w:val="lv-LV"/>
              </w:rPr>
              <w:t>punkts)</w:t>
            </w:r>
          </w:p>
        </w:tc>
        <w:tc>
          <w:tcPr>
            <w:tcW w:w="2046" w:type="dxa"/>
          </w:tcPr>
          <w:p w14:paraId="54F2C27F"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01C6665"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07B5A010" w14:textId="77777777" w:rsidTr="00853A4D">
        <w:tc>
          <w:tcPr>
            <w:tcW w:w="2356" w:type="dxa"/>
          </w:tcPr>
          <w:p w14:paraId="3DC1D4F8" w14:textId="4DC94611"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20</w:t>
            </w:r>
            <w:r w:rsidR="00242136">
              <w:rPr>
                <w:rFonts w:ascii="Times New Roman" w:hAnsi="Times New Roman" w:cs="Times New Roman"/>
                <w:color w:val="000000" w:themeColor="text1"/>
                <w:sz w:val="24"/>
                <w:szCs w:val="24"/>
                <w:lang w:val="lv-LV"/>
              </w:rPr>
              <w:t>) apakšpunkts</w:t>
            </w:r>
          </w:p>
        </w:tc>
        <w:tc>
          <w:tcPr>
            <w:tcW w:w="2736" w:type="dxa"/>
          </w:tcPr>
          <w:p w14:paraId="5013F20E" w14:textId="5DF6CE1B"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lang w:val="lv-LV"/>
              </w:rPr>
              <w:t xml:space="preserve">1.panta </w:t>
            </w:r>
            <w:r w:rsidR="001062A7">
              <w:rPr>
                <w:rFonts w:ascii="Times New Roman" w:hAnsi="Times New Roman" w:cs="Times New Roman"/>
                <w:color w:val="000000" w:themeColor="text1"/>
                <w:sz w:val="24"/>
                <w:szCs w:val="24"/>
                <w:lang w:val="lv-LV"/>
              </w:rPr>
              <w:t>20</w:t>
            </w:r>
            <w:r w:rsidR="00D818D7">
              <w:rPr>
                <w:rFonts w:ascii="Times New Roman" w:hAnsi="Times New Roman" w:cs="Times New Roman"/>
                <w:color w:val="000000" w:themeColor="text1"/>
                <w:sz w:val="24"/>
                <w:szCs w:val="24"/>
                <w:lang w:val="lv-LV"/>
              </w:rPr>
              <w:t>.</w:t>
            </w:r>
            <w:r w:rsidRPr="0083025E">
              <w:rPr>
                <w:rFonts w:ascii="Times New Roman" w:hAnsi="Times New Roman" w:cs="Times New Roman"/>
                <w:color w:val="000000" w:themeColor="text1"/>
                <w:sz w:val="24"/>
                <w:szCs w:val="24"/>
                <w:lang w:val="lv-LV"/>
              </w:rPr>
              <w:t>punkts)</w:t>
            </w:r>
          </w:p>
        </w:tc>
        <w:tc>
          <w:tcPr>
            <w:tcW w:w="2046" w:type="dxa"/>
          </w:tcPr>
          <w:p w14:paraId="2839D343"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4D6A7274"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F571E3" w:rsidRPr="0083025E" w14:paraId="1A764CC5" w14:textId="77777777" w:rsidTr="00853A4D">
        <w:tc>
          <w:tcPr>
            <w:tcW w:w="2356" w:type="dxa"/>
          </w:tcPr>
          <w:p w14:paraId="5DCA4A12" w14:textId="174C784A"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2.panta </w:t>
            </w:r>
            <w:r w:rsidR="00242136">
              <w:rPr>
                <w:rFonts w:ascii="Times New Roman" w:hAnsi="Times New Roman" w:cs="Times New Roman"/>
                <w:color w:val="000000" w:themeColor="text1"/>
                <w:sz w:val="24"/>
                <w:szCs w:val="24"/>
                <w:lang w:val="lv-LV"/>
              </w:rPr>
              <w:t xml:space="preserve">1.punkta </w:t>
            </w:r>
            <w:r w:rsidRPr="0083025E">
              <w:rPr>
                <w:rFonts w:ascii="Times New Roman" w:hAnsi="Times New Roman" w:cs="Times New Roman"/>
                <w:color w:val="000000" w:themeColor="text1"/>
                <w:sz w:val="24"/>
                <w:szCs w:val="24"/>
                <w:lang w:val="lv-LV"/>
              </w:rPr>
              <w:t>21</w:t>
            </w:r>
            <w:r w:rsidR="00242136">
              <w:rPr>
                <w:rFonts w:ascii="Times New Roman" w:hAnsi="Times New Roman" w:cs="Times New Roman"/>
                <w:color w:val="000000" w:themeColor="text1"/>
                <w:sz w:val="24"/>
                <w:szCs w:val="24"/>
                <w:lang w:val="lv-LV"/>
              </w:rPr>
              <w:t>) apakšpunkts</w:t>
            </w:r>
          </w:p>
        </w:tc>
        <w:tc>
          <w:tcPr>
            <w:tcW w:w="2736" w:type="dxa"/>
          </w:tcPr>
          <w:p w14:paraId="34888096" w14:textId="5002C19F"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1.pants (</w:t>
            </w:r>
            <w:r w:rsidRPr="0083025E">
              <w:rPr>
                <w:rFonts w:ascii="Times New Roman" w:hAnsi="Times New Roman" w:cs="Times New Roman"/>
                <w:color w:val="000000" w:themeColor="text1"/>
                <w:sz w:val="24"/>
                <w:szCs w:val="24"/>
                <w:lang w:val="lv-LV"/>
              </w:rPr>
              <w:t xml:space="preserve">1.panta </w:t>
            </w:r>
            <w:r w:rsidR="001062A7">
              <w:rPr>
                <w:rFonts w:ascii="Times New Roman" w:hAnsi="Times New Roman" w:cs="Times New Roman"/>
                <w:color w:val="000000" w:themeColor="text1"/>
                <w:sz w:val="24"/>
                <w:szCs w:val="24"/>
                <w:lang w:val="lv-LV"/>
              </w:rPr>
              <w:t>21</w:t>
            </w:r>
            <w:r w:rsidR="00D818D7">
              <w:rPr>
                <w:rFonts w:ascii="Times New Roman" w:hAnsi="Times New Roman" w:cs="Times New Roman"/>
                <w:color w:val="000000" w:themeColor="text1"/>
                <w:sz w:val="24"/>
                <w:szCs w:val="24"/>
                <w:lang w:val="lv-LV"/>
              </w:rPr>
              <w:t>.</w:t>
            </w:r>
            <w:r w:rsidRPr="0083025E">
              <w:rPr>
                <w:rFonts w:ascii="Times New Roman" w:hAnsi="Times New Roman" w:cs="Times New Roman"/>
                <w:color w:val="000000" w:themeColor="text1"/>
                <w:sz w:val="24"/>
                <w:szCs w:val="24"/>
                <w:lang w:val="lv-LV"/>
              </w:rPr>
              <w:t>punkts)</w:t>
            </w:r>
          </w:p>
        </w:tc>
        <w:tc>
          <w:tcPr>
            <w:tcW w:w="2046" w:type="dxa"/>
          </w:tcPr>
          <w:p w14:paraId="73B9D17B"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3AA65777" w14:textId="77777777" w:rsidR="00F571E3" w:rsidRPr="0083025E" w:rsidRDefault="00F571E3" w:rsidP="00853A4D">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76EADCD2" w14:textId="77777777" w:rsidTr="00853A4D">
        <w:tc>
          <w:tcPr>
            <w:tcW w:w="2356" w:type="dxa"/>
          </w:tcPr>
          <w:p w14:paraId="23AE9DFD" w14:textId="4CEB5204" w:rsidR="00D97ED1" w:rsidRPr="0083025E" w:rsidRDefault="00D97ED1" w:rsidP="00D97ED1">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4.panta 2.punkta a) un b) apakšpunkts</w:t>
            </w:r>
          </w:p>
        </w:tc>
        <w:tc>
          <w:tcPr>
            <w:tcW w:w="2736" w:type="dxa"/>
          </w:tcPr>
          <w:p w14:paraId="7CEFC76D" w14:textId="1F84F741"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Pr>
                <w:rFonts w:ascii="Times New Roman" w:hAnsi="Times New Roman" w:cs="Times New Roman"/>
                <w:color w:val="000000" w:themeColor="text1"/>
                <w:spacing w:val="-3"/>
                <w:sz w:val="24"/>
                <w:szCs w:val="24"/>
                <w:shd w:val="clear" w:color="auto" w:fill="FFFFFF"/>
                <w:lang w:val="lv-LV"/>
              </w:rPr>
              <w:t xml:space="preserve">Likumprojekta 2., </w:t>
            </w:r>
            <w:r w:rsidR="00F37A5B">
              <w:rPr>
                <w:rFonts w:ascii="Times New Roman" w:hAnsi="Times New Roman" w:cs="Times New Roman"/>
                <w:color w:val="000000" w:themeColor="text1"/>
                <w:spacing w:val="-3"/>
                <w:sz w:val="24"/>
                <w:szCs w:val="24"/>
                <w:shd w:val="clear" w:color="auto" w:fill="FFFFFF"/>
                <w:lang w:val="lv-LV"/>
              </w:rPr>
              <w:t>8</w:t>
            </w:r>
            <w:r>
              <w:rPr>
                <w:rFonts w:ascii="Times New Roman" w:hAnsi="Times New Roman" w:cs="Times New Roman"/>
                <w:color w:val="000000" w:themeColor="text1"/>
                <w:spacing w:val="-3"/>
                <w:sz w:val="24"/>
                <w:szCs w:val="24"/>
                <w:shd w:val="clear" w:color="auto" w:fill="FFFFFF"/>
                <w:lang w:val="lv-LV"/>
              </w:rPr>
              <w:t>.pants (4.panta otrā daļa, 8.panta sestā daļa)</w:t>
            </w:r>
          </w:p>
        </w:tc>
        <w:tc>
          <w:tcPr>
            <w:tcW w:w="2046" w:type="dxa"/>
          </w:tcPr>
          <w:p w14:paraId="15C29C9B" w14:textId="4524AF60"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65FEB176" w14:textId="2B68D88F" w:rsidR="00D97ED1" w:rsidRPr="0083025E" w:rsidRDefault="00D97ED1" w:rsidP="00D97ED1">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53E1284D" w14:textId="77777777" w:rsidTr="00853A4D">
        <w:tc>
          <w:tcPr>
            <w:tcW w:w="2356" w:type="dxa"/>
          </w:tcPr>
          <w:p w14:paraId="476BE18E" w14:textId="4A1A8654"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4.panta </w:t>
            </w:r>
            <w:r w:rsidR="00B361CF">
              <w:rPr>
                <w:rFonts w:ascii="Times New Roman" w:hAnsi="Times New Roman" w:cs="Times New Roman"/>
                <w:color w:val="000000" w:themeColor="text1"/>
                <w:sz w:val="24"/>
                <w:szCs w:val="24"/>
                <w:lang w:val="lv-LV"/>
              </w:rPr>
              <w:t>3.punkts</w:t>
            </w:r>
          </w:p>
        </w:tc>
        <w:tc>
          <w:tcPr>
            <w:tcW w:w="2736" w:type="dxa"/>
          </w:tcPr>
          <w:p w14:paraId="10B8E313" w14:textId="7B818BB8"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6E7580">
              <w:rPr>
                <w:rFonts w:ascii="Times New Roman" w:hAnsi="Times New Roman" w:cs="Times New Roman"/>
                <w:color w:val="000000" w:themeColor="text1"/>
                <w:spacing w:val="-3"/>
                <w:sz w:val="24"/>
                <w:szCs w:val="24"/>
                <w:shd w:val="clear" w:color="auto" w:fill="FFFFFF"/>
                <w:lang w:val="lv-LV"/>
              </w:rPr>
              <w:t>4.</w:t>
            </w:r>
            <w:r w:rsidRPr="0083025E">
              <w:rPr>
                <w:rFonts w:ascii="Times New Roman" w:hAnsi="Times New Roman" w:cs="Times New Roman"/>
                <w:color w:val="000000" w:themeColor="text1"/>
                <w:spacing w:val="-3"/>
                <w:sz w:val="24"/>
                <w:szCs w:val="24"/>
                <w:shd w:val="clear" w:color="auto" w:fill="FFFFFF"/>
                <w:lang w:val="lv-LV"/>
              </w:rPr>
              <w:t>pants</w:t>
            </w:r>
            <w:r w:rsidR="00242136">
              <w:rPr>
                <w:rFonts w:ascii="Times New Roman" w:hAnsi="Times New Roman" w:cs="Times New Roman"/>
                <w:color w:val="000000" w:themeColor="text1"/>
                <w:spacing w:val="-3"/>
                <w:sz w:val="24"/>
                <w:szCs w:val="24"/>
                <w:shd w:val="clear" w:color="auto" w:fill="FFFFFF"/>
                <w:lang w:val="lv-LV"/>
              </w:rPr>
              <w:t xml:space="preserve"> </w:t>
            </w:r>
            <w:r w:rsidRPr="0083025E">
              <w:rPr>
                <w:rFonts w:ascii="Times New Roman" w:hAnsi="Times New Roman" w:cs="Times New Roman"/>
                <w:color w:val="000000" w:themeColor="text1"/>
                <w:spacing w:val="-3"/>
                <w:sz w:val="24"/>
                <w:szCs w:val="24"/>
                <w:shd w:val="clear" w:color="auto" w:fill="FFFFFF"/>
                <w:lang w:val="lv-LV"/>
              </w:rPr>
              <w:t>(</w:t>
            </w:r>
            <w:r w:rsidR="006E7580" w:rsidRPr="0083025E">
              <w:rPr>
                <w:rFonts w:ascii="Times New Roman" w:hAnsi="Times New Roman" w:cs="Times New Roman"/>
                <w:color w:val="000000" w:themeColor="text1"/>
                <w:sz w:val="24"/>
                <w:szCs w:val="24"/>
                <w:lang w:val="lv-LV"/>
              </w:rPr>
              <w:t>5.</w:t>
            </w:r>
            <w:r w:rsidR="006E7580">
              <w:rPr>
                <w:rFonts w:ascii="Times New Roman" w:hAnsi="Times New Roman" w:cs="Times New Roman"/>
                <w:color w:val="000000" w:themeColor="text1"/>
                <w:sz w:val="24"/>
                <w:szCs w:val="24"/>
                <w:vertAlign w:val="superscript"/>
                <w:lang w:val="lv-LV"/>
              </w:rPr>
              <w:t>1</w:t>
            </w:r>
            <w:r w:rsidR="00F37A5B">
              <w:rPr>
                <w:rFonts w:ascii="Times New Roman" w:hAnsi="Times New Roman" w:cs="Times New Roman"/>
                <w:color w:val="000000" w:themeColor="text1"/>
                <w:sz w:val="24"/>
                <w:szCs w:val="24"/>
                <w:vertAlign w:val="superscript"/>
                <w:lang w:val="lv-LV"/>
              </w:rPr>
              <w:t xml:space="preserve">, </w:t>
            </w:r>
            <w:r w:rsidR="006E7580" w:rsidRPr="0083025E">
              <w:rPr>
                <w:rFonts w:ascii="Times New Roman" w:hAnsi="Times New Roman" w:cs="Times New Roman"/>
                <w:color w:val="000000" w:themeColor="text1"/>
                <w:sz w:val="24"/>
                <w:szCs w:val="24"/>
                <w:lang w:val="lv-LV"/>
              </w:rPr>
              <w:t>5.</w:t>
            </w:r>
            <w:r w:rsidR="006E7580" w:rsidRPr="006E7580">
              <w:rPr>
                <w:rFonts w:ascii="Times New Roman" w:hAnsi="Times New Roman" w:cs="Times New Roman"/>
                <w:color w:val="000000" w:themeColor="text1"/>
                <w:sz w:val="24"/>
                <w:szCs w:val="24"/>
                <w:vertAlign w:val="superscript"/>
                <w:lang w:val="lv-LV"/>
              </w:rPr>
              <w:t>2</w:t>
            </w:r>
            <w:r w:rsidR="00F37A5B">
              <w:rPr>
                <w:rFonts w:ascii="Times New Roman" w:hAnsi="Times New Roman" w:cs="Times New Roman"/>
                <w:color w:val="000000" w:themeColor="text1"/>
                <w:sz w:val="24"/>
                <w:szCs w:val="24"/>
                <w:vertAlign w:val="superscript"/>
                <w:lang w:val="lv-LV"/>
              </w:rPr>
              <w:t xml:space="preserve">, </w:t>
            </w:r>
            <w:r w:rsidRPr="0083025E">
              <w:rPr>
                <w:rFonts w:ascii="Times New Roman" w:hAnsi="Times New Roman" w:cs="Times New Roman"/>
                <w:color w:val="000000" w:themeColor="text1"/>
                <w:sz w:val="24"/>
                <w:szCs w:val="24"/>
                <w:lang w:val="lv-LV"/>
              </w:rPr>
              <w:t>5.</w:t>
            </w:r>
            <w:r w:rsidRPr="0083025E">
              <w:rPr>
                <w:rFonts w:ascii="Times New Roman" w:hAnsi="Times New Roman" w:cs="Times New Roman"/>
                <w:color w:val="000000" w:themeColor="text1"/>
                <w:sz w:val="24"/>
                <w:szCs w:val="24"/>
                <w:vertAlign w:val="superscript"/>
                <w:lang w:val="lv-LV"/>
              </w:rPr>
              <w:t>3</w:t>
            </w:r>
            <w:r w:rsidR="006E7580">
              <w:rPr>
                <w:rFonts w:ascii="Times New Roman" w:hAnsi="Times New Roman" w:cs="Times New Roman"/>
                <w:color w:val="000000" w:themeColor="text1"/>
                <w:sz w:val="24"/>
                <w:szCs w:val="24"/>
                <w:lang w:val="lv-LV"/>
              </w:rPr>
              <w:t>pants</w:t>
            </w:r>
            <w:r w:rsidRPr="0083025E">
              <w:rPr>
                <w:rFonts w:ascii="Times New Roman" w:hAnsi="Times New Roman" w:cs="Times New Roman"/>
                <w:color w:val="000000" w:themeColor="text1"/>
                <w:sz w:val="24"/>
                <w:szCs w:val="24"/>
                <w:lang w:val="lv-LV"/>
              </w:rPr>
              <w:t>)</w:t>
            </w:r>
          </w:p>
        </w:tc>
        <w:tc>
          <w:tcPr>
            <w:tcW w:w="2046" w:type="dxa"/>
          </w:tcPr>
          <w:p w14:paraId="1FEC0541"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3C924EAD"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5B62264F" w14:textId="77777777" w:rsidTr="00853A4D">
        <w:tc>
          <w:tcPr>
            <w:tcW w:w="2356" w:type="dxa"/>
          </w:tcPr>
          <w:p w14:paraId="7FD3E98F" w14:textId="55128D6F"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4.panta </w:t>
            </w:r>
            <w:r w:rsidR="00B361CF">
              <w:rPr>
                <w:rFonts w:ascii="Times New Roman" w:hAnsi="Times New Roman" w:cs="Times New Roman"/>
                <w:color w:val="000000" w:themeColor="text1"/>
                <w:sz w:val="24"/>
                <w:szCs w:val="24"/>
                <w:lang w:val="lv-LV"/>
              </w:rPr>
              <w:t>4.punkts</w:t>
            </w:r>
          </w:p>
        </w:tc>
        <w:tc>
          <w:tcPr>
            <w:tcW w:w="2736" w:type="dxa"/>
          </w:tcPr>
          <w:p w14:paraId="7FB4201C" w14:textId="2937E684"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3</w:t>
            </w:r>
            <w:r w:rsidR="00F37A5B">
              <w:rPr>
                <w:rFonts w:ascii="Times New Roman" w:hAnsi="Times New Roman" w:cs="Times New Roman"/>
                <w:color w:val="000000" w:themeColor="text1"/>
                <w:spacing w:val="-3"/>
                <w:sz w:val="24"/>
                <w:szCs w:val="24"/>
                <w:shd w:val="clear" w:color="auto" w:fill="FFFFFF"/>
                <w:lang w:val="lv-LV"/>
              </w:rPr>
              <w:t>.pants (5.panta otrā, trešā un 3.</w:t>
            </w:r>
            <w:r w:rsidR="00F37A5B" w:rsidRPr="00F37A5B">
              <w:rPr>
                <w:rFonts w:ascii="Times New Roman" w:hAnsi="Times New Roman" w:cs="Times New Roman"/>
                <w:color w:val="000000" w:themeColor="text1"/>
                <w:spacing w:val="-3"/>
                <w:sz w:val="24"/>
                <w:szCs w:val="24"/>
                <w:shd w:val="clear" w:color="auto" w:fill="FFFFFF"/>
                <w:vertAlign w:val="superscript"/>
                <w:lang w:val="lv-LV"/>
              </w:rPr>
              <w:t>1</w:t>
            </w:r>
            <w:r w:rsidR="00F37A5B">
              <w:rPr>
                <w:rFonts w:ascii="Times New Roman" w:hAnsi="Times New Roman" w:cs="Times New Roman"/>
                <w:color w:val="000000" w:themeColor="text1"/>
                <w:spacing w:val="-3"/>
                <w:sz w:val="24"/>
                <w:szCs w:val="24"/>
                <w:shd w:val="clear" w:color="auto" w:fill="FFFFFF"/>
                <w:lang w:val="lv-LV"/>
              </w:rPr>
              <w:t xml:space="preserve"> daļa)</w:t>
            </w:r>
            <w:r w:rsidR="006E7580">
              <w:rPr>
                <w:rFonts w:ascii="Times New Roman" w:hAnsi="Times New Roman" w:cs="Times New Roman"/>
                <w:color w:val="000000" w:themeColor="text1"/>
                <w:spacing w:val="-3"/>
                <w:sz w:val="24"/>
                <w:szCs w:val="24"/>
                <w:shd w:val="clear" w:color="auto" w:fill="FFFFFF"/>
                <w:lang w:val="lv-LV"/>
              </w:rPr>
              <w:t xml:space="preserve"> un</w:t>
            </w:r>
            <w:r w:rsidRPr="0083025E">
              <w:rPr>
                <w:rFonts w:ascii="Times New Roman" w:hAnsi="Times New Roman" w:cs="Times New Roman"/>
                <w:color w:val="000000" w:themeColor="text1"/>
                <w:spacing w:val="-3"/>
                <w:sz w:val="24"/>
                <w:szCs w:val="24"/>
                <w:shd w:val="clear" w:color="auto" w:fill="FFFFFF"/>
                <w:lang w:val="lv-LV"/>
              </w:rPr>
              <w:t xml:space="preserve"> 4.pants</w:t>
            </w:r>
            <w:r w:rsidR="00F37A5B">
              <w:rPr>
                <w:rFonts w:ascii="Times New Roman" w:hAnsi="Times New Roman" w:cs="Times New Roman"/>
                <w:color w:val="000000" w:themeColor="text1"/>
                <w:spacing w:val="-3"/>
                <w:sz w:val="24"/>
                <w:szCs w:val="24"/>
                <w:shd w:val="clear" w:color="auto" w:fill="FFFFFF"/>
                <w:lang w:val="lv-LV"/>
              </w:rPr>
              <w:t xml:space="preserve"> (</w:t>
            </w:r>
            <w:r w:rsidR="00F37A5B" w:rsidRPr="0083025E">
              <w:rPr>
                <w:rFonts w:ascii="Times New Roman" w:hAnsi="Times New Roman" w:cs="Times New Roman"/>
                <w:color w:val="000000" w:themeColor="text1"/>
                <w:sz w:val="24"/>
                <w:szCs w:val="24"/>
                <w:lang w:val="lv-LV"/>
              </w:rPr>
              <w:t>5.</w:t>
            </w:r>
            <w:r w:rsidR="00F37A5B">
              <w:rPr>
                <w:rFonts w:ascii="Times New Roman" w:hAnsi="Times New Roman" w:cs="Times New Roman"/>
                <w:color w:val="000000" w:themeColor="text1"/>
                <w:sz w:val="24"/>
                <w:szCs w:val="24"/>
                <w:vertAlign w:val="superscript"/>
                <w:lang w:val="lv-LV"/>
              </w:rPr>
              <w:t xml:space="preserve">1, </w:t>
            </w:r>
            <w:r w:rsidR="00F37A5B" w:rsidRPr="0083025E">
              <w:rPr>
                <w:rFonts w:ascii="Times New Roman" w:hAnsi="Times New Roman" w:cs="Times New Roman"/>
                <w:color w:val="000000" w:themeColor="text1"/>
                <w:sz w:val="24"/>
                <w:szCs w:val="24"/>
                <w:lang w:val="lv-LV"/>
              </w:rPr>
              <w:t>5.</w:t>
            </w:r>
            <w:r w:rsidR="00F37A5B" w:rsidRPr="006E7580">
              <w:rPr>
                <w:rFonts w:ascii="Times New Roman" w:hAnsi="Times New Roman" w:cs="Times New Roman"/>
                <w:color w:val="000000" w:themeColor="text1"/>
                <w:sz w:val="24"/>
                <w:szCs w:val="24"/>
                <w:vertAlign w:val="superscript"/>
                <w:lang w:val="lv-LV"/>
              </w:rPr>
              <w:t>2</w:t>
            </w:r>
            <w:r w:rsidR="00F37A5B">
              <w:rPr>
                <w:rFonts w:ascii="Times New Roman" w:hAnsi="Times New Roman" w:cs="Times New Roman"/>
                <w:color w:val="000000" w:themeColor="text1"/>
                <w:sz w:val="24"/>
                <w:szCs w:val="24"/>
                <w:vertAlign w:val="superscript"/>
                <w:lang w:val="lv-LV"/>
              </w:rPr>
              <w:t xml:space="preserve">, </w:t>
            </w:r>
            <w:r w:rsidR="00F37A5B" w:rsidRPr="0083025E">
              <w:rPr>
                <w:rFonts w:ascii="Times New Roman" w:hAnsi="Times New Roman" w:cs="Times New Roman"/>
                <w:color w:val="000000" w:themeColor="text1"/>
                <w:sz w:val="24"/>
                <w:szCs w:val="24"/>
                <w:lang w:val="lv-LV"/>
              </w:rPr>
              <w:t>5.</w:t>
            </w:r>
            <w:r w:rsidR="00F37A5B" w:rsidRPr="0083025E">
              <w:rPr>
                <w:rFonts w:ascii="Times New Roman" w:hAnsi="Times New Roman" w:cs="Times New Roman"/>
                <w:color w:val="000000" w:themeColor="text1"/>
                <w:sz w:val="24"/>
                <w:szCs w:val="24"/>
                <w:vertAlign w:val="superscript"/>
                <w:lang w:val="lv-LV"/>
              </w:rPr>
              <w:t>3</w:t>
            </w:r>
            <w:r w:rsidR="00F37A5B">
              <w:rPr>
                <w:rFonts w:ascii="Times New Roman" w:hAnsi="Times New Roman" w:cs="Times New Roman"/>
                <w:color w:val="000000" w:themeColor="text1"/>
                <w:sz w:val="24"/>
                <w:szCs w:val="24"/>
                <w:lang w:val="lv-LV"/>
              </w:rPr>
              <w:t xml:space="preserve">, </w:t>
            </w:r>
            <w:r w:rsidR="00F37A5B" w:rsidRPr="0083025E">
              <w:rPr>
                <w:rFonts w:ascii="Times New Roman" w:hAnsi="Times New Roman" w:cs="Times New Roman"/>
                <w:color w:val="000000" w:themeColor="text1"/>
                <w:sz w:val="24"/>
                <w:szCs w:val="24"/>
                <w:lang w:val="lv-LV"/>
              </w:rPr>
              <w:t>5.</w:t>
            </w:r>
            <w:r w:rsidR="00F37A5B">
              <w:rPr>
                <w:rFonts w:ascii="Times New Roman" w:hAnsi="Times New Roman" w:cs="Times New Roman"/>
                <w:color w:val="000000" w:themeColor="text1"/>
                <w:sz w:val="24"/>
                <w:szCs w:val="24"/>
                <w:vertAlign w:val="superscript"/>
                <w:lang w:val="lv-LV"/>
              </w:rPr>
              <w:t>4</w:t>
            </w:r>
            <w:r w:rsidR="00F37A5B">
              <w:rPr>
                <w:rFonts w:ascii="Times New Roman" w:hAnsi="Times New Roman" w:cs="Times New Roman"/>
                <w:color w:val="000000" w:themeColor="text1"/>
                <w:sz w:val="24"/>
                <w:szCs w:val="24"/>
                <w:lang w:val="lv-LV"/>
              </w:rPr>
              <w:t>pants</w:t>
            </w:r>
            <w:r w:rsidR="00F37A5B">
              <w:rPr>
                <w:rFonts w:ascii="Times New Roman" w:hAnsi="Times New Roman" w:cs="Times New Roman"/>
                <w:color w:val="000000" w:themeColor="text1"/>
                <w:spacing w:val="-3"/>
                <w:sz w:val="24"/>
                <w:szCs w:val="24"/>
                <w:shd w:val="clear" w:color="auto" w:fill="FFFFFF"/>
                <w:lang w:val="lv-LV"/>
              </w:rPr>
              <w:t>)</w:t>
            </w:r>
            <w:r w:rsidRPr="0083025E">
              <w:rPr>
                <w:rFonts w:ascii="Times New Roman" w:hAnsi="Times New Roman" w:cs="Times New Roman"/>
                <w:color w:val="000000" w:themeColor="text1"/>
                <w:spacing w:val="-3"/>
                <w:sz w:val="24"/>
                <w:szCs w:val="24"/>
                <w:shd w:val="clear" w:color="auto" w:fill="FFFFFF"/>
                <w:lang w:val="lv-LV"/>
              </w:rPr>
              <w:t xml:space="preserve">. </w:t>
            </w:r>
          </w:p>
        </w:tc>
        <w:tc>
          <w:tcPr>
            <w:tcW w:w="2046" w:type="dxa"/>
          </w:tcPr>
          <w:p w14:paraId="3C40DA78"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1F09F0A8"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01DEC322" w14:textId="77777777" w:rsidTr="00853A4D">
        <w:tc>
          <w:tcPr>
            <w:tcW w:w="2356" w:type="dxa"/>
          </w:tcPr>
          <w:p w14:paraId="5F649743" w14:textId="07278D69"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5.panta pirm</w:t>
            </w:r>
            <w:r w:rsidR="00B361CF">
              <w:rPr>
                <w:rFonts w:ascii="Times New Roman" w:hAnsi="Times New Roman" w:cs="Times New Roman"/>
                <w:color w:val="000000" w:themeColor="text1"/>
                <w:sz w:val="24"/>
                <w:szCs w:val="24"/>
                <w:lang w:val="lv-LV"/>
              </w:rPr>
              <w:t>ais</w:t>
            </w:r>
            <w:r w:rsidRPr="0083025E">
              <w:rPr>
                <w:rFonts w:ascii="Times New Roman" w:hAnsi="Times New Roman" w:cs="Times New Roman"/>
                <w:color w:val="000000" w:themeColor="text1"/>
                <w:sz w:val="24"/>
                <w:szCs w:val="24"/>
                <w:lang w:val="lv-LV"/>
              </w:rPr>
              <w:t xml:space="preserve"> un treš</w:t>
            </w:r>
            <w:r w:rsidR="00B361CF">
              <w:rPr>
                <w:rFonts w:ascii="Times New Roman" w:hAnsi="Times New Roman" w:cs="Times New Roman"/>
                <w:color w:val="000000" w:themeColor="text1"/>
                <w:sz w:val="24"/>
                <w:szCs w:val="24"/>
                <w:lang w:val="lv-LV"/>
              </w:rPr>
              <w:t>ais punkts</w:t>
            </w:r>
          </w:p>
        </w:tc>
        <w:tc>
          <w:tcPr>
            <w:tcW w:w="2736" w:type="dxa"/>
          </w:tcPr>
          <w:p w14:paraId="310BDB21" w14:textId="34108B4B"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2.pants (4.pants)</w:t>
            </w:r>
          </w:p>
        </w:tc>
        <w:tc>
          <w:tcPr>
            <w:tcW w:w="2046" w:type="dxa"/>
          </w:tcPr>
          <w:p w14:paraId="2EE24925"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3A1CE736"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7686B661" w14:textId="77777777" w:rsidTr="00853A4D">
        <w:tc>
          <w:tcPr>
            <w:tcW w:w="2356" w:type="dxa"/>
          </w:tcPr>
          <w:p w14:paraId="59F0B1E3" w14:textId="79BC87D8"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6.panta </w:t>
            </w:r>
            <w:r w:rsidR="00B361CF">
              <w:rPr>
                <w:rFonts w:ascii="Times New Roman" w:hAnsi="Times New Roman" w:cs="Times New Roman"/>
                <w:color w:val="000000" w:themeColor="text1"/>
                <w:sz w:val="24"/>
                <w:szCs w:val="24"/>
                <w:lang w:val="lv-LV"/>
              </w:rPr>
              <w:t>1.punkta</w:t>
            </w:r>
            <w:r w:rsidRPr="0083025E">
              <w:rPr>
                <w:rFonts w:ascii="Times New Roman" w:hAnsi="Times New Roman" w:cs="Times New Roman"/>
                <w:color w:val="000000" w:themeColor="text1"/>
                <w:sz w:val="24"/>
                <w:szCs w:val="24"/>
                <w:lang w:val="lv-LV"/>
              </w:rPr>
              <w:t xml:space="preserve"> b) apakšpunkts</w:t>
            </w:r>
          </w:p>
        </w:tc>
        <w:tc>
          <w:tcPr>
            <w:tcW w:w="2736" w:type="dxa"/>
          </w:tcPr>
          <w:p w14:paraId="01E536B3" w14:textId="33DA16C5"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w:t>
            </w:r>
            <w:r w:rsidR="00832EC3">
              <w:rPr>
                <w:rFonts w:ascii="Times New Roman" w:hAnsi="Times New Roman" w:cs="Times New Roman"/>
                <w:color w:val="000000" w:themeColor="text1"/>
                <w:spacing w:val="-3"/>
                <w:sz w:val="24"/>
                <w:szCs w:val="24"/>
                <w:shd w:val="clear" w:color="auto" w:fill="FFFFFF"/>
                <w:lang w:val="lv-LV"/>
              </w:rPr>
              <w:t>0</w:t>
            </w:r>
            <w:r w:rsidRPr="0083025E">
              <w:rPr>
                <w:rFonts w:ascii="Times New Roman" w:hAnsi="Times New Roman" w:cs="Times New Roman"/>
                <w:color w:val="000000" w:themeColor="text1"/>
                <w:spacing w:val="-3"/>
                <w:sz w:val="24"/>
                <w:szCs w:val="24"/>
                <w:shd w:val="clear" w:color="auto" w:fill="FFFFFF"/>
                <w:lang w:val="lv-LV"/>
              </w:rPr>
              <w:t>.pants (9.panta sestās daļas 2.punkts)</w:t>
            </w:r>
          </w:p>
        </w:tc>
        <w:tc>
          <w:tcPr>
            <w:tcW w:w="2046" w:type="dxa"/>
          </w:tcPr>
          <w:p w14:paraId="5170245A"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562F7ACC"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4CB62D9F" w14:textId="77777777" w:rsidTr="00853A4D">
        <w:tc>
          <w:tcPr>
            <w:tcW w:w="2356" w:type="dxa"/>
          </w:tcPr>
          <w:p w14:paraId="290F9203" w14:textId="559BD381"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6.panta </w:t>
            </w:r>
            <w:r w:rsidR="00B361CF">
              <w:rPr>
                <w:rFonts w:ascii="Times New Roman" w:hAnsi="Times New Roman" w:cs="Times New Roman"/>
                <w:color w:val="000000" w:themeColor="text1"/>
                <w:sz w:val="24"/>
                <w:szCs w:val="24"/>
                <w:lang w:val="lv-LV"/>
              </w:rPr>
              <w:t>1.punkta</w:t>
            </w:r>
            <w:r w:rsidRPr="0083025E">
              <w:rPr>
                <w:rFonts w:ascii="Times New Roman" w:hAnsi="Times New Roman" w:cs="Times New Roman"/>
                <w:color w:val="000000" w:themeColor="text1"/>
                <w:sz w:val="24"/>
                <w:szCs w:val="24"/>
                <w:lang w:val="lv-LV"/>
              </w:rPr>
              <w:t xml:space="preserve"> c) apakšpunkts</w:t>
            </w:r>
          </w:p>
        </w:tc>
        <w:tc>
          <w:tcPr>
            <w:tcW w:w="2736" w:type="dxa"/>
          </w:tcPr>
          <w:p w14:paraId="556150C9" w14:textId="424D7F26"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832EC3">
              <w:rPr>
                <w:rFonts w:ascii="Times New Roman" w:hAnsi="Times New Roman" w:cs="Times New Roman"/>
                <w:color w:val="000000" w:themeColor="text1"/>
                <w:spacing w:val="-3"/>
                <w:sz w:val="24"/>
                <w:szCs w:val="24"/>
                <w:shd w:val="clear" w:color="auto" w:fill="FFFFFF"/>
                <w:lang w:val="lv-LV"/>
              </w:rPr>
              <w:t>10</w:t>
            </w:r>
            <w:r w:rsidRPr="0083025E">
              <w:rPr>
                <w:rFonts w:ascii="Times New Roman" w:hAnsi="Times New Roman" w:cs="Times New Roman"/>
                <w:color w:val="000000" w:themeColor="text1"/>
                <w:spacing w:val="-3"/>
                <w:sz w:val="24"/>
                <w:szCs w:val="24"/>
                <w:shd w:val="clear" w:color="auto" w:fill="FFFFFF"/>
                <w:lang w:val="lv-LV"/>
              </w:rPr>
              <w:t>.pants (9.panta piektās daļas 2.punkts</w:t>
            </w:r>
            <w:r w:rsidR="00832EC3">
              <w:rPr>
                <w:rFonts w:ascii="Times New Roman" w:hAnsi="Times New Roman" w:cs="Times New Roman"/>
                <w:color w:val="000000" w:themeColor="text1"/>
                <w:spacing w:val="-3"/>
                <w:sz w:val="24"/>
                <w:szCs w:val="24"/>
                <w:shd w:val="clear" w:color="auto" w:fill="FFFFFF"/>
                <w:lang w:val="lv-LV"/>
              </w:rPr>
              <w:t xml:space="preserve">, </w:t>
            </w:r>
            <w:r w:rsidRPr="0083025E">
              <w:rPr>
                <w:rFonts w:ascii="Times New Roman" w:hAnsi="Times New Roman" w:cs="Times New Roman"/>
                <w:color w:val="000000" w:themeColor="text1"/>
                <w:spacing w:val="-3"/>
                <w:sz w:val="24"/>
                <w:szCs w:val="24"/>
                <w:shd w:val="clear" w:color="auto" w:fill="FFFFFF"/>
                <w:lang w:val="lv-LV"/>
              </w:rPr>
              <w:t>9.panta piektās daļas 5.</w:t>
            </w:r>
            <w:r w:rsidRPr="0083025E">
              <w:rPr>
                <w:rFonts w:ascii="Times New Roman" w:hAnsi="Times New Roman" w:cs="Times New Roman"/>
                <w:color w:val="000000" w:themeColor="text1"/>
                <w:spacing w:val="-3"/>
                <w:sz w:val="24"/>
                <w:szCs w:val="24"/>
                <w:shd w:val="clear" w:color="auto" w:fill="FFFFFF"/>
                <w:vertAlign w:val="superscript"/>
                <w:lang w:val="lv-LV"/>
              </w:rPr>
              <w:t>1</w:t>
            </w:r>
            <w:r w:rsidRPr="0083025E">
              <w:rPr>
                <w:rFonts w:ascii="Times New Roman" w:hAnsi="Times New Roman" w:cs="Times New Roman"/>
                <w:color w:val="000000" w:themeColor="text1"/>
                <w:spacing w:val="-3"/>
                <w:sz w:val="24"/>
                <w:szCs w:val="24"/>
                <w:shd w:val="clear" w:color="auto" w:fill="FFFFFF"/>
                <w:lang w:val="lv-LV"/>
              </w:rPr>
              <w:t xml:space="preserve"> punkts)</w:t>
            </w:r>
          </w:p>
        </w:tc>
        <w:tc>
          <w:tcPr>
            <w:tcW w:w="2046" w:type="dxa"/>
          </w:tcPr>
          <w:p w14:paraId="116504BE"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6B7398B4" w14:textId="77777777" w:rsidR="00D97ED1" w:rsidRPr="0083025E" w:rsidRDefault="00D97ED1" w:rsidP="00D97ED1">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0BD9536C" w14:textId="77777777" w:rsidTr="00853A4D">
        <w:tc>
          <w:tcPr>
            <w:tcW w:w="2356" w:type="dxa"/>
          </w:tcPr>
          <w:p w14:paraId="04010CE6" w14:textId="3D734139"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6.panta </w:t>
            </w:r>
            <w:r w:rsidR="00B361CF">
              <w:rPr>
                <w:rFonts w:ascii="Times New Roman" w:hAnsi="Times New Roman" w:cs="Times New Roman"/>
                <w:color w:val="000000" w:themeColor="text1"/>
                <w:sz w:val="24"/>
                <w:szCs w:val="24"/>
                <w:lang w:val="lv-LV"/>
              </w:rPr>
              <w:t>1.punkta</w:t>
            </w:r>
            <w:r w:rsidRPr="0083025E">
              <w:rPr>
                <w:rFonts w:ascii="Times New Roman" w:hAnsi="Times New Roman" w:cs="Times New Roman"/>
                <w:color w:val="000000" w:themeColor="text1"/>
                <w:sz w:val="24"/>
                <w:szCs w:val="24"/>
                <w:lang w:val="lv-LV"/>
              </w:rPr>
              <w:t xml:space="preserve"> d) apakšpunkts</w:t>
            </w:r>
          </w:p>
        </w:tc>
        <w:tc>
          <w:tcPr>
            <w:tcW w:w="2736" w:type="dxa"/>
          </w:tcPr>
          <w:p w14:paraId="375888C1" w14:textId="32139FF5"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Likumprojekta 1</w:t>
            </w:r>
            <w:r w:rsidR="00832EC3">
              <w:rPr>
                <w:rFonts w:ascii="Times New Roman" w:hAnsi="Times New Roman" w:cs="Times New Roman"/>
                <w:color w:val="000000" w:themeColor="text1"/>
                <w:spacing w:val="-3"/>
                <w:sz w:val="24"/>
                <w:szCs w:val="24"/>
                <w:shd w:val="clear" w:color="auto" w:fill="FFFFFF"/>
                <w:lang w:val="lv-LV"/>
              </w:rPr>
              <w:t>0</w:t>
            </w:r>
            <w:r w:rsidRPr="0083025E">
              <w:rPr>
                <w:rFonts w:ascii="Times New Roman" w:hAnsi="Times New Roman" w:cs="Times New Roman"/>
                <w:color w:val="000000" w:themeColor="text1"/>
                <w:spacing w:val="-3"/>
                <w:sz w:val="24"/>
                <w:szCs w:val="24"/>
                <w:shd w:val="clear" w:color="auto" w:fill="FFFFFF"/>
                <w:lang w:val="lv-LV"/>
              </w:rPr>
              <w:t>.pants (9.panta piektās daļas 4.punkta g) apakšpunkts)</w:t>
            </w:r>
          </w:p>
        </w:tc>
        <w:tc>
          <w:tcPr>
            <w:tcW w:w="2046" w:type="dxa"/>
          </w:tcPr>
          <w:p w14:paraId="5A832C9A"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552FDA3" w14:textId="77777777" w:rsidR="00D97ED1" w:rsidRPr="0083025E" w:rsidRDefault="00D97ED1" w:rsidP="00D97ED1">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0F6ACD0C" w14:textId="77777777" w:rsidTr="00853A4D">
        <w:tc>
          <w:tcPr>
            <w:tcW w:w="2356" w:type="dxa"/>
          </w:tcPr>
          <w:p w14:paraId="2B621DCB" w14:textId="5010B41D"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6.panta </w:t>
            </w:r>
            <w:r w:rsidR="00EB138D">
              <w:rPr>
                <w:rFonts w:ascii="Times New Roman" w:hAnsi="Times New Roman" w:cs="Times New Roman"/>
                <w:color w:val="000000" w:themeColor="text1"/>
                <w:sz w:val="24"/>
                <w:szCs w:val="24"/>
                <w:lang w:val="lv-LV"/>
              </w:rPr>
              <w:t>1.punkta</w:t>
            </w:r>
            <w:r w:rsidRPr="0083025E">
              <w:rPr>
                <w:rFonts w:ascii="Times New Roman" w:hAnsi="Times New Roman" w:cs="Times New Roman"/>
                <w:color w:val="000000" w:themeColor="text1"/>
                <w:sz w:val="24"/>
                <w:szCs w:val="24"/>
                <w:lang w:val="lv-LV"/>
              </w:rPr>
              <w:t xml:space="preserve"> e) apakšpunkts</w:t>
            </w:r>
          </w:p>
        </w:tc>
        <w:tc>
          <w:tcPr>
            <w:tcW w:w="2736" w:type="dxa"/>
          </w:tcPr>
          <w:p w14:paraId="6E1DBA21" w14:textId="62CE491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344BFE">
              <w:rPr>
                <w:rFonts w:ascii="Times New Roman" w:hAnsi="Times New Roman" w:cs="Times New Roman"/>
                <w:color w:val="000000" w:themeColor="text1"/>
                <w:spacing w:val="-3"/>
                <w:sz w:val="24"/>
                <w:szCs w:val="24"/>
                <w:shd w:val="clear" w:color="auto" w:fill="FFFFFF"/>
                <w:lang w:val="lv-LV"/>
              </w:rPr>
              <w:t>10</w:t>
            </w:r>
            <w:r w:rsidRPr="0083025E">
              <w:rPr>
                <w:rFonts w:ascii="Times New Roman" w:hAnsi="Times New Roman" w:cs="Times New Roman"/>
                <w:color w:val="000000" w:themeColor="text1"/>
                <w:spacing w:val="-3"/>
                <w:sz w:val="24"/>
                <w:szCs w:val="24"/>
                <w:shd w:val="clear" w:color="auto" w:fill="FFFFFF"/>
                <w:lang w:val="lv-LV"/>
              </w:rPr>
              <w:t>.pants (9.panta piektās daļas 4.punkta f) apakšpunkts)</w:t>
            </w:r>
          </w:p>
        </w:tc>
        <w:tc>
          <w:tcPr>
            <w:tcW w:w="2046" w:type="dxa"/>
          </w:tcPr>
          <w:p w14:paraId="057A6579"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43939292" w14:textId="77777777" w:rsidR="00D97ED1" w:rsidRPr="0083025E" w:rsidRDefault="00D97ED1" w:rsidP="00D97ED1">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5141FD92" w14:textId="77777777" w:rsidTr="00853A4D">
        <w:tc>
          <w:tcPr>
            <w:tcW w:w="2356" w:type="dxa"/>
          </w:tcPr>
          <w:p w14:paraId="0F490F51" w14:textId="7721FFCE"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6.panta </w:t>
            </w:r>
            <w:r w:rsidR="00EB138D">
              <w:rPr>
                <w:rFonts w:ascii="Times New Roman" w:hAnsi="Times New Roman" w:cs="Times New Roman"/>
                <w:color w:val="000000" w:themeColor="text1"/>
                <w:sz w:val="24"/>
                <w:szCs w:val="24"/>
                <w:lang w:val="lv-LV"/>
              </w:rPr>
              <w:t>2.punkts</w:t>
            </w:r>
          </w:p>
        </w:tc>
        <w:tc>
          <w:tcPr>
            <w:tcW w:w="2736" w:type="dxa"/>
          </w:tcPr>
          <w:p w14:paraId="00DD549F" w14:textId="476A6ADB"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w:t>
            </w:r>
            <w:r w:rsidR="00832EC3">
              <w:rPr>
                <w:rFonts w:ascii="Times New Roman" w:hAnsi="Times New Roman" w:cs="Times New Roman"/>
                <w:color w:val="000000" w:themeColor="text1"/>
                <w:spacing w:val="-3"/>
                <w:sz w:val="24"/>
                <w:szCs w:val="24"/>
                <w:shd w:val="clear" w:color="auto" w:fill="FFFFFF"/>
                <w:lang w:val="lv-LV"/>
              </w:rPr>
              <w:t>0</w:t>
            </w:r>
            <w:r w:rsidRPr="0083025E">
              <w:rPr>
                <w:rFonts w:ascii="Times New Roman" w:hAnsi="Times New Roman" w:cs="Times New Roman"/>
                <w:color w:val="000000" w:themeColor="text1"/>
                <w:spacing w:val="-3"/>
                <w:sz w:val="24"/>
                <w:szCs w:val="24"/>
                <w:shd w:val="clear" w:color="auto" w:fill="FFFFFF"/>
                <w:lang w:val="lv-LV"/>
              </w:rPr>
              <w:t>.pants (9.panta de</w:t>
            </w:r>
            <w:r w:rsidR="00832EC3">
              <w:rPr>
                <w:rFonts w:ascii="Times New Roman" w:hAnsi="Times New Roman" w:cs="Times New Roman"/>
                <w:color w:val="000000" w:themeColor="text1"/>
                <w:spacing w:val="-3"/>
                <w:sz w:val="24"/>
                <w:szCs w:val="24"/>
                <w:shd w:val="clear" w:color="auto" w:fill="FFFFFF"/>
                <w:lang w:val="lv-LV"/>
              </w:rPr>
              <w:t>smitā</w:t>
            </w:r>
            <w:r w:rsidRPr="0083025E">
              <w:rPr>
                <w:rFonts w:ascii="Times New Roman" w:hAnsi="Times New Roman" w:cs="Times New Roman"/>
                <w:color w:val="000000" w:themeColor="text1"/>
                <w:spacing w:val="-3"/>
                <w:sz w:val="24"/>
                <w:szCs w:val="24"/>
                <w:shd w:val="clear" w:color="auto" w:fill="FFFFFF"/>
                <w:lang w:val="lv-LV"/>
              </w:rPr>
              <w:t xml:space="preserve"> daļa)</w:t>
            </w:r>
          </w:p>
        </w:tc>
        <w:tc>
          <w:tcPr>
            <w:tcW w:w="2046" w:type="dxa"/>
          </w:tcPr>
          <w:p w14:paraId="46040219"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22D1449D"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176F5443" w14:textId="77777777" w:rsidTr="00853A4D">
        <w:tc>
          <w:tcPr>
            <w:tcW w:w="2356" w:type="dxa"/>
          </w:tcPr>
          <w:p w14:paraId="6BA9AF44" w14:textId="35821026"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lastRenderedPageBreak/>
              <w:t xml:space="preserve">7.panta </w:t>
            </w:r>
            <w:r w:rsidR="0067393C">
              <w:rPr>
                <w:rFonts w:ascii="Times New Roman" w:hAnsi="Times New Roman" w:cs="Times New Roman"/>
                <w:color w:val="000000" w:themeColor="text1"/>
                <w:sz w:val="24"/>
                <w:szCs w:val="24"/>
                <w:lang w:val="lv-LV"/>
              </w:rPr>
              <w:t>3.punkts</w:t>
            </w:r>
          </w:p>
        </w:tc>
        <w:tc>
          <w:tcPr>
            <w:tcW w:w="2736" w:type="dxa"/>
          </w:tcPr>
          <w:p w14:paraId="67B5ACC0" w14:textId="58922514"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Likumprojekta 1</w:t>
            </w:r>
            <w:r w:rsidR="00832EC3">
              <w:rPr>
                <w:rFonts w:ascii="Times New Roman" w:hAnsi="Times New Roman" w:cs="Times New Roman"/>
                <w:color w:val="000000" w:themeColor="text1"/>
                <w:spacing w:val="-3"/>
                <w:sz w:val="24"/>
                <w:szCs w:val="24"/>
                <w:shd w:val="clear" w:color="auto" w:fill="FFFFFF"/>
                <w:lang w:val="lv-LV"/>
              </w:rPr>
              <w:t>0</w:t>
            </w:r>
            <w:r w:rsidRPr="0083025E">
              <w:rPr>
                <w:rFonts w:ascii="Times New Roman" w:hAnsi="Times New Roman" w:cs="Times New Roman"/>
                <w:color w:val="000000" w:themeColor="text1"/>
                <w:spacing w:val="-3"/>
                <w:sz w:val="24"/>
                <w:szCs w:val="24"/>
                <w:shd w:val="clear" w:color="auto" w:fill="FFFFFF"/>
                <w:lang w:val="lv-LV"/>
              </w:rPr>
              <w:t>.pants (9.panta desmitā daļa)</w:t>
            </w:r>
          </w:p>
        </w:tc>
        <w:tc>
          <w:tcPr>
            <w:tcW w:w="2046" w:type="dxa"/>
          </w:tcPr>
          <w:p w14:paraId="3FB13511"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C4D958F" w14:textId="77777777" w:rsidR="00D97ED1" w:rsidRPr="0083025E" w:rsidRDefault="00D97ED1" w:rsidP="00D97ED1">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83025E" w14:paraId="664CB3A5" w14:textId="77777777" w:rsidTr="00853A4D">
        <w:tc>
          <w:tcPr>
            <w:tcW w:w="2356" w:type="dxa"/>
          </w:tcPr>
          <w:p w14:paraId="2500427E"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9.pants</w:t>
            </w:r>
          </w:p>
        </w:tc>
        <w:tc>
          <w:tcPr>
            <w:tcW w:w="2736" w:type="dxa"/>
          </w:tcPr>
          <w:p w14:paraId="16039F70" w14:textId="54803DAB"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344BFE">
              <w:rPr>
                <w:rFonts w:ascii="Times New Roman" w:hAnsi="Times New Roman" w:cs="Times New Roman"/>
                <w:color w:val="000000" w:themeColor="text1"/>
                <w:spacing w:val="-3"/>
                <w:sz w:val="24"/>
                <w:szCs w:val="24"/>
                <w:shd w:val="clear" w:color="auto" w:fill="FFFFFF"/>
                <w:lang w:val="lv-LV"/>
              </w:rPr>
              <w:t>10</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lang w:val="lv-LV"/>
              </w:rPr>
              <w:t>9.panta piektās daļas 4.punkta f) apakšpunkts)</w:t>
            </w:r>
          </w:p>
        </w:tc>
        <w:tc>
          <w:tcPr>
            <w:tcW w:w="2046" w:type="dxa"/>
          </w:tcPr>
          <w:p w14:paraId="24083FFD"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6B8B9E81" w14:textId="77777777"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D97ED1" w:rsidRPr="007D270E" w14:paraId="62C7C001" w14:textId="77777777" w:rsidTr="00853A4D">
        <w:tc>
          <w:tcPr>
            <w:tcW w:w="2356" w:type="dxa"/>
          </w:tcPr>
          <w:p w14:paraId="2794B9A7" w14:textId="6EDD27F6"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11.panta </w:t>
            </w:r>
            <w:r w:rsidR="0067393C">
              <w:rPr>
                <w:rFonts w:ascii="Times New Roman" w:hAnsi="Times New Roman" w:cs="Times New Roman"/>
                <w:color w:val="000000" w:themeColor="text1"/>
                <w:sz w:val="24"/>
                <w:szCs w:val="24"/>
                <w:lang w:val="lv-LV"/>
              </w:rPr>
              <w:t>1.punkts</w:t>
            </w:r>
          </w:p>
        </w:tc>
        <w:tc>
          <w:tcPr>
            <w:tcW w:w="2736" w:type="dxa"/>
          </w:tcPr>
          <w:p w14:paraId="0FA3070D" w14:textId="6F90B599"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963468">
              <w:rPr>
                <w:rFonts w:ascii="Times New Roman" w:hAnsi="Times New Roman" w:cs="Times New Roman"/>
                <w:color w:val="000000" w:themeColor="text1"/>
                <w:spacing w:val="-3"/>
                <w:sz w:val="24"/>
                <w:szCs w:val="24"/>
                <w:shd w:val="clear" w:color="auto" w:fill="FFFFFF"/>
                <w:lang w:val="lv-LV"/>
              </w:rPr>
              <w:t>19</w:t>
            </w:r>
            <w:r w:rsidRPr="0083025E">
              <w:rPr>
                <w:rFonts w:ascii="Times New Roman" w:hAnsi="Times New Roman" w:cs="Times New Roman"/>
                <w:color w:val="000000" w:themeColor="text1"/>
                <w:spacing w:val="-3"/>
                <w:sz w:val="24"/>
                <w:szCs w:val="24"/>
                <w:shd w:val="clear" w:color="auto" w:fill="FFFFFF"/>
                <w:lang w:val="lv-LV"/>
              </w:rPr>
              <w:t>.pants (30.panta ceturtā un piektā daļa)</w:t>
            </w:r>
          </w:p>
        </w:tc>
        <w:tc>
          <w:tcPr>
            <w:tcW w:w="2046" w:type="dxa"/>
          </w:tcPr>
          <w:p w14:paraId="7C5226DB" w14:textId="77777777" w:rsidR="00D97ED1" w:rsidRPr="0083025E" w:rsidRDefault="00D97ED1" w:rsidP="00D97ED1">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6A9950B" w14:textId="57102604" w:rsidR="00D97ED1" w:rsidRPr="0083025E" w:rsidRDefault="00D97ED1" w:rsidP="00D97ED1">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Direktīvas pants nosaka pagaidu noregulējumu attiecībā uz LESD 101., 102. panta pārkāpumiem. </w:t>
            </w:r>
            <w:r w:rsidR="00E23AD4">
              <w:rPr>
                <w:rFonts w:ascii="Times New Roman" w:hAnsi="Times New Roman" w:cs="Times New Roman"/>
                <w:color w:val="000000" w:themeColor="text1"/>
                <w:sz w:val="24"/>
                <w:szCs w:val="24"/>
                <w:lang w:val="lv-LV"/>
              </w:rPr>
              <w:t>Likumprojekta 22.pants p</w:t>
            </w:r>
            <w:r w:rsidRPr="0083025E">
              <w:rPr>
                <w:rFonts w:ascii="Times New Roman" w:hAnsi="Times New Roman" w:cs="Times New Roman"/>
                <w:color w:val="000000" w:themeColor="text1"/>
                <w:sz w:val="24"/>
                <w:szCs w:val="24"/>
                <w:lang w:val="lv-LV"/>
              </w:rPr>
              <w:t>agaidu noregulējum</w:t>
            </w:r>
            <w:r w:rsidR="00E23AD4">
              <w:rPr>
                <w:rFonts w:ascii="Times New Roman" w:hAnsi="Times New Roman" w:cs="Times New Roman"/>
                <w:color w:val="000000" w:themeColor="text1"/>
                <w:sz w:val="24"/>
                <w:szCs w:val="24"/>
                <w:lang w:val="lv-LV"/>
              </w:rPr>
              <w:t>u</w:t>
            </w:r>
            <w:r w:rsidRPr="0083025E">
              <w:rPr>
                <w:rFonts w:ascii="Times New Roman" w:hAnsi="Times New Roman" w:cs="Times New Roman"/>
                <w:color w:val="000000" w:themeColor="text1"/>
                <w:sz w:val="24"/>
                <w:szCs w:val="24"/>
                <w:lang w:val="lv-LV"/>
              </w:rPr>
              <w:t xml:space="preserve"> </w:t>
            </w:r>
            <w:r w:rsidR="00E23AD4">
              <w:rPr>
                <w:rFonts w:ascii="Times New Roman" w:hAnsi="Times New Roman" w:cs="Times New Roman"/>
                <w:color w:val="000000" w:themeColor="text1"/>
                <w:sz w:val="24"/>
                <w:szCs w:val="24"/>
                <w:lang w:val="lv-LV"/>
              </w:rPr>
              <w:t xml:space="preserve">paredz attiecināt </w:t>
            </w:r>
            <w:r w:rsidRPr="0083025E">
              <w:rPr>
                <w:rFonts w:ascii="Times New Roman" w:hAnsi="Times New Roman" w:cs="Times New Roman"/>
                <w:color w:val="000000" w:themeColor="text1"/>
                <w:sz w:val="24"/>
                <w:szCs w:val="24"/>
                <w:lang w:val="lv-LV"/>
              </w:rPr>
              <w:t>arī uz KL pārkāpumiem.</w:t>
            </w:r>
          </w:p>
        </w:tc>
      </w:tr>
      <w:tr w:rsidR="00801900" w:rsidRPr="00E23AD4" w14:paraId="2CF1F140" w14:textId="77777777" w:rsidTr="00853A4D">
        <w:tc>
          <w:tcPr>
            <w:tcW w:w="2356" w:type="dxa"/>
          </w:tcPr>
          <w:p w14:paraId="7F5734B1" w14:textId="77777777" w:rsidR="00801900" w:rsidRDefault="00801900" w:rsidP="00801900">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13.panta 2.punkts</w:t>
            </w:r>
          </w:p>
          <w:p w14:paraId="62D16D67" w14:textId="0F19A896" w:rsidR="00BD2B1E" w:rsidRPr="0083025E" w:rsidRDefault="00BD2B1E" w:rsidP="00801900">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15.panta 1.punkts</w:t>
            </w:r>
          </w:p>
        </w:tc>
        <w:tc>
          <w:tcPr>
            <w:tcW w:w="2736" w:type="dxa"/>
          </w:tcPr>
          <w:p w14:paraId="175EEC00" w14:textId="63B1906E" w:rsidR="00801900" w:rsidRPr="0083025E" w:rsidRDefault="00801900" w:rsidP="00801900">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7D7CDE">
              <w:rPr>
                <w:rFonts w:ascii="Times New Roman" w:hAnsi="Times New Roman" w:cs="Times New Roman"/>
                <w:color w:val="000000" w:themeColor="text1"/>
                <w:spacing w:val="-3"/>
                <w:sz w:val="24"/>
                <w:szCs w:val="24"/>
                <w:shd w:val="clear" w:color="auto" w:fill="FFFFFF"/>
                <w:lang w:val="lv-LV"/>
              </w:rPr>
              <w:t>9</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shd w:val="clear" w:color="auto" w:fill="FFFFFF"/>
                <w:lang w:val="lv-LV"/>
              </w:rPr>
              <w:t>8</w:t>
            </w:r>
            <w:r w:rsidRPr="0083025E">
              <w:rPr>
                <w:rFonts w:ascii="Times New Roman" w:hAnsi="Times New Roman" w:cs="Times New Roman"/>
                <w:color w:val="000000" w:themeColor="text1"/>
                <w:sz w:val="24"/>
                <w:szCs w:val="24"/>
                <w:shd w:val="clear" w:color="auto" w:fill="FFFFFF"/>
                <w:vertAlign w:val="superscript"/>
                <w:lang w:val="lv-LV"/>
              </w:rPr>
              <w:t>1</w:t>
            </w:r>
            <w:r w:rsidRPr="0083025E">
              <w:rPr>
                <w:rFonts w:ascii="Times New Roman" w:hAnsi="Times New Roman" w:cs="Times New Roman"/>
                <w:color w:val="000000" w:themeColor="text1"/>
                <w:sz w:val="24"/>
                <w:szCs w:val="24"/>
                <w:shd w:val="clear" w:color="auto" w:fill="FFFFFF"/>
                <w:lang w:val="lv-LV"/>
              </w:rPr>
              <w:t>.panta piektā daļa), 1</w:t>
            </w:r>
            <w:r w:rsidR="00C41E1B">
              <w:rPr>
                <w:rFonts w:ascii="Times New Roman" w:hAnsi="Times New Roman" w:cs="Times New Roman"/>
                <w:color w:val="000000" w:themeColor="text1"/>
                <w:sz w:val="24"/>
                <w:szCs w:val="24"/>
                <w:shd w:val="clear" w:color="auto" w:fill="FFFFFF"/>
                <w:lang w:val="lv-LV"/>
              </w:rPr>
              <w:t>1</w:t>
            </w:r>
            <w:r w:rsidRPr="0083025E">
              <w:rPr>
                <w:rFonts w:ascii="Times New Roman" w:hAnsi="Times New Roman" w:cs="Times New Roman"/>
                <w:color w:val="000000" w:themeColor="text1"/>
                <w:sz w:val="24"/>
                <w:szCs w:val="24"/>
                <w:shd w:val="clear" w:color="auto" w:fill="FFFFFF"/>
                <w:lang w:val="lv-LV"/>
              </w:rPr>
              <w:t>.pants (</w:t>
            </w:r>
            <w:r w:rsidRPr="0083025E">
              <w:rPr>
                <w:rFonts w:ascii="Times New Roman" w:hAnsi="Times New Roman" w:cs="Times New Roman"/>
                <w:color w:val="000000" w:themeColor="text1"/>
                <w:sz w:val="24"/>
                <w:szCs w:val="24"/>
                <w:lang w:val="lv-LV"/>
              </w:rPr>
              <w:t>9.</w:t>
            </w:r>
            <w:r w:rsidRPr="0083025E">
              <w:rPr>
                <w:rFonts w:ascii="Times New Roman" w:hAnsi="Times New Roman" w:cs="Times New Roman"/>
                <w:color w:val="000000" w:themeColor="text1"/>
                <w:sz w:val="24"/>
                <w:szCs w:val="24"/>
                <w:vertAlign w:val="superscript"/>
                <w:lang w:val="lv-LV"/>
              </w:rPr>
              <w:t>4</w:t>
            </w:r>
            <w:r w:rsidRPr="0083025E">
              <w:rPr>
                <w:rFonts w:ascii="Times New Roman" w:hAnsi="Times New Roman" w:cs="Times New Roman"/>
                <w:color w:val="000000" w:themeColor="text1"/>
                <w:sz w:val="24"/>
                <w:szCs w:val="24"/>
                <w:lang w:val="lv-LV"/>
              </w:rPr>
              <w:t xml:space="preserve"> panta pirmās daļas </w:t>
            </w:r>
            <w:r w:rsidR="00C41E1B">
              <w:rPr>
                <w:rFonts w:ascii="Times New Roman" w:hAnsi="Times New Roman" w:cs="Times New Roman"/>
                <w:color w:val="000000" w:themeColor="text1"/>
                <w:sz w:val="24"/>
                <w:szCs w:val="24"/>
                <w:lang w:val="lv-LV"/>
              </w:rPr>
              <w:t>2</w:t>
            </w:r>
            <w:r w:rsidRPr="0083025E">
              <w:rPr>
                <w:rFonts w:ascii="Times New Roman" w:hAnsi="Times New Roman" w:cs="Times New Roman"/>
                <w:color w:val="000000" w:themeColor="text1"/>
                <w:sz w:val="24"/>
                <w:szCs w:val="24"/>
                <w:lang w:val="lv-LV"/>
              </w:rPr>
              <w:t>.p</w:t>
            </w:r>
            <w:r w:rsidR="00C41E1B">
              <w:rPr>
                <w:rFonts w:ascii="Times New Roman" w:hAnsi="Times New Roman" w:cs="Times New Roman"/>
                <w:color w:val="000000" w:themeColor="text1"/>
                <w:sz w:val="24"/>
                <w:szCs w:val="24"/>
                <w:lang w:val="lv-LV"/>
              </w:rPr>
              <w:t>unkts</w:t>
            </w:r>
            <w:r w:rsidRPr="0083025E">
              <w:rPr>
                <w:rFonts w:ascii="Times New Roman" w:hAnsi="Times New Roman" w:cs="Times New Roman"/>
                <w:color w:val="000000" w:themeColor="text1"/>
                <w:sz w:val="24"/>
                <w:szCs w:val="24"/>
                <w:lang w:val="lv-LV"/>
              </w:rPr>
              <w:t>.), 1</w:t>
            </w:r>
            <w:r w:rsidR="00C41E1B">
              <w:rPr>
                <w:rFonts w:ascii="Times New Roman" w:hAnsi="Times New Roman" w:cs="Times New Roman"/>
                <w:color w:val="000000" w:themeColor="text1"/>
                <w:sz w:val="24"/>
                <w:szCs w:val="24"/>
                <w:lang w:val="lv-LV"/>
              </w:rPr>
              <w:t>1</w:t>
            </w:r>
            <w:r w:rsidRPr="0083025E">
              <w:rPr>
                <w:rFonts w:ascii="Times New Roman" w:hAnsi="Times New Roman" w:cs="Times New Roman"/>
                <w:color w:val="000000" w:themeColor="text1"/>
                <w:sz w:val="24"/>
                <w:szCs w:val="24"/>
                <w:shd w:val="clear" w:color="auto" w:fill="FFFFFF"/>
                <w:lang w:val="lv-LV"/>
              </w:rPr>
              <w:t>.pants (</w:t>
            </w:r>
            <w:r w:rsidRPr="0083025E">
              <w:rPr>
                <w:rFonts w:ascii="Times New Roman" w:hAnsi="Times New Roman" w:cs="Times New Roman"/>
                <w:color w:val="000000" w:themeColor="text1"/>
                <w:sz w:val="24"/>
                <w:szCs w:val="24"/>
                <w:lang w:val="lv-LV"/>
              </w:rPr>
              <w:t>9.</w:t>
            </w:r>
            <w:r w:rsidRPr="0083025E">
              <w:rPr>
                <w:rFonts w:ascii="Times New Roman" w:hAnsi="Times New Roman" w:cs="Times New Roman"/>
                <w:color w:val="000000" w:themeColor="text1"/>
                <w:sz w:val="24"/>
                <w:szCs w:val="24"/>
                <w:vertAlign w:val="superscript"/>
                <w:lang w:val="lv-LV"/>
              </w:rPr>
              <w:t xml:space="preserve">4 </w:t>
            </w:r>
            <w:r w:rsidRPr="0083025E">
              <w:rPr>
                <w:rFonts w:ascii="Times New Roman" w:hAnsi="Times New Roman" w:cs="Times New Roman"/>
                <w:color w:val="000000" w:themeColor="text1"/>
                <w:sz w:val="24"/>
                <w:szCs w:val="24"/>
                <w:lang w:val="lv-LV"/>
              </w:rPr>
              <w:t>panta otrā daļa), 1</w:t>
            </w:r>
            <w:r w:rsidR="00C41E1B">
              <w:rPr>
                <w:rFonts w:ascii="Times New Roman" w:hAnsi="Times New Roman" w:cs="Times New Roman"/>
                <w:color w:val="000000" w:themeColor="text1"/>
                <w:sz w:val="24"/>
                <w:szCs w:val="24"/>
                <w:lang w:val="lv-LV"/>
              </w:rPr>
              <w:t>3</w:t>
            </w:r>
            <w:r w:rsidRPr="0083025E">
              <w:rPr>
                <w:rFonts w:ascii="Times New Roman" w:hAnsi="Times New Roman" w:cs="Times New Roman"/>
                <w:color w:val="000000" w:themeColor="text1"/>
                <w:sz w:val="24"/>
                <w:szCs w:val="24"/>
                <w:lang w:val="lv-LV"/>
              </w:rPr>
              <w:t>.pants (12.panta otrā un treš</w:t>
            </w:r>
            <w:r w:rsidR="00C41E1B">
              <w:rPr>
                <w:rFonts w:ascii="Times New Roman" w:hAnsi="Times New Roman" w:cs="Times New Roman"/>
                <w:color w:val="000000" w:themeColor="text1"/>
                <w:sz w:val="24"/>
                <w:szCs w:val="24"/>
                <w:lang w:val="lv-LV"/>
              </w:rPr>
              <w:t>ā</w:t>
            </w:r>
            <w:r w:rsidRPr="0083025E">
              <w:rPr>
                <w:rFonts w:ascii="Times New Roman" w:hAnsi="Times New Roman" w:cs="Times New Roman"/>
                <w:color w:val="000000" w:themeColor="text1"/>
                <w:sz w:val="24"/>
                <w:szCs w:val="24"/>
                <w:lang w:val="lv-LV"/>
              </w:rPr>
              <w:t xml:space="preserve"> daļa), </w:t>
            </w:r>
            <w:r w:rsidR="00C41E1B">
              <w:rPr>
                <w:rFonts w:ascii="Times New Roman" w:hAnsi="Times New Roman" w:cs="Times New Roman"/>
                <w:color w:val="000000" w:themeColor="text1"/>
                <w:sz w:val="24"/>
                <w:szCs w:val="24"/>
                <w:lang w:val="lv-LV"/>
              </w:rPr>
              <w:t>15</w:t>
            </w:r>
            <w:r w:rsidRPr="0083025E">
              <w:rPr>
                <w:rFonts w:ascii="Times New Roman" w:hAnsi="Times New Roman" w:cs="Times New Roman"/>
                <w:color w:val="000000" w:themeColor="text1"/>
                <w:sz w:val="24"/>
                <w:szCs w:val="24"/>
                <w:lang w:val="lv-LV"/>
              </w:rPr>
              <w:t>.pants (14.panta otrā daļa).</w:t>
            </w:r>
          </w:p>
        </w:tc>
        <w:tc>
          <w:tcPr>
            <w:tcW w:w="2046" w:type="dxa"/>
          </w:tcPr>
          <w:p w14:paraId="2F907ED6" w14:textId="5E515D2B" w:rsidR="00801900" w:rsidRPr="0083025E" w:rsidRDefault="00801900" w:rsidP="00801900">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555EB27B" w14:textId="72702817" w:rsidR="00801900" w:rsidRPr="0083025E" w:rsidRDefault="00801900" w:rsidP="00801900">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246B0895" w14:textId="77777777" w:rsidTr="00853A4D">
        <w:tc>
          <w:tcPr>
            <w:tcW w:w="2356" w:type="dxa"/>
          </w:tcPr>
          <w:p w14:paraId="39343B09" w14:textId="23718E96" w:rsidR="006563A3" w:rsidRPr="0083025E" w:rsidRDefault="006563A3" w:rsidP="006563A3">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14.panta 3.daļa</w:t>
            </w:r>
          </w:p>
        </w:tc>
        <w:tc>
          <w:tcPr>
            <w:tcW w:w="2736" w:type="dxa"/>
          </w:tcPr>
          <w:p w14:paraId="23C9A302" w14:textId="4BA9427A"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Pr>
                <w:rFonts w:ascii="Times New Roman" w:hAnsi="Times New Roman" w:cs="Times New Roman"/>
                <w:color w:val="000000" w:themeColor="text1"/>
                <w:spacing w:val="-3"/>
                <w:sz w:val="24"/>
                <w:szCs w:val="24"/>
                <w:shd w:val="clear" w:color="auto" w:fill="FFFFFF"/>
                <w:lang w:val="lv-LV"/>
              </w:rPr>
              <w:t>1</w:t>
            </w:r>
            <w:r w:rsidR="00402777">
              <w:rPr>
                <w:rFonts w:ascii="Times New Roman" w:hAnsi="Times New Roman" w:cs="Times New Roman"/>
                <w:color w:val="000000" w:themeColor="text1"/>
                <w:spacing w:val="-3"/>
                <w:sz w:val="24"/>
                <w:szCs w:val="24"/>
                <w:shd w:val="clear" w:color="auto" w:fill="FFFFFF"/>
                <w:lang w:val="lv-LV"/>
              </w:rPr>
              <w:t>3</w:t>
            </w:r>
            <w:r w:rsidRPr="0083025E">
              <w:rPr>
                <w:rFonts w:ascii="Times New Roman" w:hAnsi="Times New Roman" w:cs="Times New Roman"/>
                <w:color w:val="000000" w:themeColor="text1"/>
                <w:spacing w:val="-3"/>
                <w:sz w:val="24"/>
                <w:szCs w:val="24"/>
                <w:shd w:val="clear" w:color="auto" w:fill="FFFFFF"/>
                <w:lang w:val="lv-LV"/>
              </w:rPr>
              <w:t>.pant</w:t>
            </w:r>
            <w:r>
              <w:rPr>
                <w:rFonts w:ascii="Times New Roman" w:hAnsi="Times New Roman" w:cs="Times New Roman"/>
                <w:color w:val="000000" w:themeColor="text1"/>
                <w:spacing w:val="-3"/>
                <w:sz w:val="24"/>
                <w:szCs w:val="24"/>
                <w:shd w:val="clear" w:color="auto" w:fill="FFFFFF"/>
                <w:lang w:val="lv-LV"/>
              </w:rPr>
              <w:t>a 3</w:t>
            </w:r>
            <w:r w:rsidR="00344BFE">
              <w:rPr>
                <w:rFonts w:ascii="Times New Roman" w:hAnsi="Times New Roman" w:cs="Times New Roman"/>
                <w:color w:val="000000" w:themeColor="text1"/>
                <w:spacing w:val="-3"/>
                <w:sz w:val="24"/>
                <w:szCs w:val="24"/>
                <w:shd w:val="clear" w:color="auto" w:fill="FFFFFF"/>
                <w:lang w:val="lv-LV"/>
              </w:rPr>
              <w:t>.</w:t>
            </w:r>
            <w:r w:rsidRPr="006563A3">
              <w:rPr>
                <w:rFonts w:ascii="Times New Roman" w:hAnsi="Times New Roman" w:cs="Times New Roman"/>
                <w:color w:val="000000" w:themeColor="text1"/>
                <w:spacing w:val="-3"/>
                <w:sz w:val="24"/>
                <w:szCs w:val="24"/>
                <w:shd w:val="clear" w:color="auto" w:fill="FFFFFF"/>
                <w:vertAlign w:val="superscript"/>
                <w:lang w:val="lv-LV"/>
              </w:rPr>
              <w:t>1</w:t>
            </w:r>
            <w:r>
              <w:rPr>
                <w:rFonts w:ascii="Times New Roman" w:hAnsi="Times New Roman" w:cs="Times New Roman"/>
                <w:color w:val="000000" w:themeColor="text1"/>
                <w:spacing w:val="-3"/>
                <w:sz w:val="24"/>
                <w:szCs w:val="24"/>
                <w:shd w:val="clear" w:color="auto" w:fill="FFFFFF"/>
                <w:lang w:val="lv-LV"/>
              </w:rPr>
              <w:t xml:space="preserve"> un 3</w:t>
            </w:r>
            <w:r w:rsidR="00344BFE">
              <w:rPr>
                <w:rFonts w:ascii="Times New Roman" w:hAnsi="Times New Roman" w:cs="Times New Roman"/>
                <w:color w:val="000000" w:themeColor="text1"/>
                <w:spacing w:val="-3"/>
                <w:sz w:val="24"/>
                <w:szCs w:val="24"/>
                <w:shd w:val="clear" w:color="auto" w:fill="FFFFFF"/>
                <w:lang w:val="lv-LV"/>
              </w:rPr>
              <w:t>.</w:t>
            </w:r>
            <w:r w:rsidRPr="006563A3">
              <w:rPr>
                <w:rFonts w:ascii="Times New Roman" w:hAnsi="Times New Roman" w:cs="Times New Roman"/>
                <w:color w:val="000000" w:themeColor="text1"/>
                <w:spacing w:val="-3"/>
                <w:sz w:val="24"/>
                <w:szCs w:val="24"/>
                <w:shd w:val="clear" w:color="auto" w:fill="FFFFFF"/>
                <w:vertAlign w:val="superscript"/>
                <w:lang w:val="lv-LV"/>
              </w:rPr>
              <w:t xml:space="preserve">2 </w:t>
            </w:r>
            <w:r>
              <w:rPr>
                <w:rFonts w:ascii="Times New Roman" w:hAnsi="Times New Roman" w:cs="Times New Roman"/>
                <w:color w:val="000000" w:themeColor="text1"/>
                <w:spacing w:val="-3"/>
                <w:sz w:val="24"/>
                <w:szCs w:val="24"/>
                <w:shd w:val="clear" w:color="auto" w:fill="FFFFFF"/>
                <w:lang w:val="lv-LV"/>
              </w:rPr>
              <w:t>daļas</w:t>
            </w:r>
            <w:r w:rsidRPr="0083025E">
              <w:rPr>
                <w:rFonts w:ascii="Times New Roman" w:hAnsi="Times New Roman" w:cs="Times New Roman"/>
                <w:color w:val="000000" w:themeColor="text1"/>
                <w:spacing w:val="-3"/>
                <w:sz w:val="24"/>
                <w:szCs w:val="24"/>
                <w:shd w:val="clear" w:color="auto" w:fill="FFFFFF"/>
                <w:lang w:val="lv-LV"/>
              </w:rPr>
              <w:t xml:space="preserve"> </w:t>
            </w:r>
            <w:r w:rsidR="00344BFE">
              <w:rPr>
                <w:rFonts w:ascii="Times New Roman" w:hAnsi="Times New Roman" w:cs="Times New Roman"/>
                <w:color w:val="000000" w:themeColor="text1"/>
                <w:spacing w:val="-3"/>
                <w:sz w:val="24"/>
                <w:szCs w:val="24"/>
                <w:shd w:val="clear" w:color="auto" w:fill="FFFFFF"/>
                <w:lang w:val="lv-LV"/>
              </w:rPr>
              <w:t>(12.panta 3.</w:t>
            </w:r>
            <w:r w:rsidR="00344BFE" w:rsidRPr="006563A3">
              <w:rPr>
                <w:rFonts w:ascii="Times New Roman" w:hAnsi="Times New Roman" w:cs="Times New Roman"/>
                <w:color w:val="000000" w:themeColor="text1"/>
                <w:spacing w:val="-3"/>
                <w:sz w:val="24"/>
                <w:szCs w:val="24"/>
                <w:shd w:val="clear" w:color="auto" w:fill="FFFFFF"/>
                <w:vertAlign w:val="superscript"/>
                <w:lang w:val="lv-LV"/>
              </w:rPr>
              <w:t>1</w:t>
            </w:r>
            <w:r w:rsidR="00402777">
              <w:rPr>
                <w:rFonts w:ascii="Times New Roman" w:hAnsi="Times New Roman" w:cs="Times New Roman"/>
                <w:color w:val="000000" w:themeColor="text1"/>
                <w:spacing w:val="-3"/>
                <w:sz w:val="24"/>
                <w:szCs w:val="24"/>
                <w:shd w:val="clear" w:color="auto" w:fill="FFFFFF"/>
                <w:lang w:val="lv-LV"/>
              </w:rPr>
              <w:t xml:space="preserve">, </w:t>
            </w:r>
            <w:r w:rsidR="00344BFE">
              <w:rPr>
                <w:rFonts w:ascii="Times New Roman" w:hAnsi="Times New Roman" w:cs="Times New Roman"/>
                <w:color w:val="000000" w:themeColor="text1"/>
                <w:spacing w:val="-3"/>
                <w:sz w:val="24"/>
                <w:szCs w:val="24"/>
                <w:shd w:val="clear" w:color="auto" w:fill="FFFFFF"/>
                <w:lang w:val="lv-LV"/>
              </w:rPr>
              <w:t>3.</w:t>
            </w:r>
            <w:r w:rsidR="00344BFE" w:rsidRPr="006563A3">
              <w:rPr>
                <w:rFonts w:ascii="Times New Roman" w:hAnsi="Times New Roman" w:cs="Times New Roman"/>
                <w:color w:val="000000" w:themeColor="text1"/>
                <w:spacing w:val="-3"/>
                <w:sz w:val="24"/>
                <w:szCs w:val="24"/>
                <w:shd w:val="clear" w:color="auto" w:fill="FFFFFF"/>
                <w:vertAlign w:val="superscript"/>
                <w:lang w:val="lv-LV"/>
              </w:rPr>
              <w:t>2</w:t>
            </w:r>
            <w:r w:rsidR="00402777">
              <w:rPr>
                <w:rFonts w:ascii="Times New Roman" w:hAnsi="Times New Roman" w:cs="Times New Roman"/>
                <w:color w:val="000000" w:themeColor="text1"/>
                <w:spacing w:val="-3"/>
                <w:sz w:val="24"/>
                <w:szCs w:val="24"/>
                <w:shd w:val="clear" w:color="auto" w:fill="FFFFFF"/>
                <w:lang w:val="lv-LV"/>
              </w:rPr>
              <w:t>, 3.</w:t>
            </w:r>
            <w:r w:rsidR="00402777" w:rsidRPr="00344BFE">
              <w:rPr>
                <w:rFonts w:ascii="Times New Roman" w:hAnsi="Times New Roman" w:cs="Times New Roman"/>
                <w:color w:val="000000" w:themeColor="text1"/>
                <w:spacing w:val="-3"/>
                <w:sz w:val="24"/>
                <w:szCs w:val="24"/>
                <w:shd w:val="clear" w:color="auto" w:fill="FFFFFF"/>
                <w:vertAlign w:val="superscript"/>
                <w:lang w:val="lv-LV"/>
              </w:rPr>
              <w:t xml:space="preserve">3 </w:t>
            </w:r>
            <w:r w:rsidR="00402777">
              <w:rPr>
                <w:rFonts w:ascii="Times New Roman" w:hAnsi="Times New Roman" w:cs="Times New Roman"/>
                <w:color w:val="000000" w:themeColor="text1"/>
                <w:spacing w:val="-3"/>
                <w:sz w:val="24"/>
                <w:szCs w:val="24"/>
                <w:shd w:val="clear" w:color="auto" w:fill="FFFFFF"/>
                <w:lang w:val="lv-LV"/>
              </w:rPr>
              <w:t>un 3.</w:t>
            </w:r>
            <w:r w:rsidR="00402777" w:rsidRPr="00344BFE">
              <w:rPr>
                <w:rFonts w:ascii="Times New Roman" w:hAnsi="Times New Roman" w:cs="Times New Roman"/>
                <w:color w:val="000000" w:themeColor="text1"/>
                <w:spacing w:val="-3"/>
                <w:sz w:val="24"/>
                <w:szCs w:val="24"/>
                <w:shd w:val="clear" w:color="auto" w:fill="FFFFFF"/>
                <w:vertAlign w:val="superscript"/>
                <w:lang w:val="lv-LV"/>
              </w:rPr>
              <w:t xml:space="preserve">4 </w:t>
            </w:r>
            <w:r w:rsidR="00402777">
              <w:rPr>
                <w:rFonts w:ascii="Times New Roman" w:hAnsi="Times New Roman" w:cs="Times New Roman"/>
                <w:color w:val="000000" w:themeColor="text1"/>
                <w:spacing w:val="-3"/>
                <w:sz w:val="24"/>
                <w:szCs w:val="24"/>
                <w:shd w:val="clear" w:color="auto" w:fill="FFFFFF"/>
                <w:lang w:val="lv-LV"/>
              </w:rPr>
              <w:t>daļas</w:t>
            </w:r>
            <w:r w:rsidR="00344BFE">
              <w:rPr>
                <w:rFonts w:ascii="Times New Roman" w:hAnsi="Times New Roman" w:cs="Times New Roman"/>
                <w:color w:val="000000" w:themeColor="text1"/>
                <w:spacing w:val="-3"/>
                <w:sz w:val="24"/>
                <w:szCs w:val="24"/>
                <w:shd w:val="clear" w:color="auto" w:fill="FFFFFF"/>
                <w:lang w:val="lv-LV"/>
              </w:rPr>
              <w:t>)</w:t>
            </w:r>
          </w:p>
        </w:tc>
        <w:tc>
          <w:tcPr>
            <w:tcW w:w="2046" w:type="dxa"/>
          </w:tcPr>
          <w:p w14:paraId="097F5C4C" w14:textId="7F97CF38"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604778B" w14:textId="7DF58988" w:rsidR="006563A3" w:rsidRPr="0083025E" w:rsidRDefault="006563A3" w:rsidP="006563A3">
            <w:pPr>
              <w:jc w:val="both"/>
              <w:rPr>
                <w:rFonts w:ascii="Times New Roman" w:hAnsi="Times New Roman" w:cs="Times New Roman"/>
                <w:color w:val="000000" w:themeColor="text1"/>
                <w:sz w:val="24"/>
                <w:szCs w:val="24"/>
                <w:shd w:val="clear" w:color="auto" w:fill="FFFFFF"/>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340F2FA2" w14:textId="77777777" w:rsidTr="00853A4D">
        <w:tc>
          <w:tcPr>
            <w:tcW w:w="2356" w:type="dxa"/>
          </w:tcPr>
          <w:p w14:paraId="21FCFDB9" w14:textId="65BE3905"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16.panta </w:t>
            </w:r>
            <w:r>
              <w:rPr>
                <w:rFonts w:ascii="Times New Roman" w:hAnsi="Times New Roman" w:cs="Times New Roman"/>
                <w:color w:val="000000" w:themeColor="text1"/>
                <w:sz w:val="24"/>
                <w:szCs w:val="24"/>
                <w:lang w:val="lv-LV"/>
              </w:rPr>
              <w:t>1., 2.punkts</w:t>
            </w:r>
          </w:p>
        </w:tc>
        <w:tc>
          <w:tcPr>
            <w:tcW w:w="2736" w:type="dxa"/>
          </w:tcPr>
          <w:p w14:paraId="019E68F2" w14:textId="37682B72"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C41E1B">
              <w:rPr>
                <w:rFonts w:ascii="Times New Roman" w:hAnsi="Times New Roman" w:cs="Times New Roman"/>
                <w:color w:val="000000" w:themeColor="text1"/>
                <w:spacing w:val="-3"/>
                <w:sz w:val="24"/>
                <w:szCs w:val="24"/>
                <w:shd w:val="clear" w:color="auto" w:fill="FFFFFF"/>
                <w:lang w:val="lv-LV"/>
              </w:rPr>
              <w:t>9</w:t>
            </w:r>
            <w:r w:rsidRPr="0083025E">
              <w:rPr>
                <w:rFonts w:ascii="Times New Roman" w:hAnsi="Times New Roman" w:cs="Times New Roman"/>
                <w:color w:val="000000" w:themeColor="text1"/>
                <w:spacing w:val="-3"/>
                <w:sz w:val="24"/>
                <w:szCs w:val="24"/>
                <w:shd w:val="clear" w:color="auto" w:fill="FFFFFF"/>
                <w:lang w:val="lv-LV"/>
              </w:rPr>
              <w:t>.pants (8</w:t>
            </w:r>
            <w:r w:rsidRPr="0083025E">
              <w:rPr>
                <w:rFonts w:ascii="Times New Roman" w:hAnsi="Times New Roman" w:cs="Times New Roman"/>
                <w:color w:val="000000" w:themeColor="text1"/>
                <w:spacing w:val="-3"/>
                <w:sz w:val="24"/>
                <w:szCs w:val="24"/>
                <w:shd w:val="clear" w:color="auto" w:fill="FFFFFF"/>
                <w:vertAlign w:val="superscript"/>
                <w:lang w:val="lv-LV"/>
              </w:rPr>
              <w:t>1</w:t>
            </w:r>
            <w:r w:rsidRPr="0083025E">
              <w:rPr>
                <w:rFonts w:ascii="Times New Roman" w:hAnsi="Times New Roman" w:cs="Times New Roman"/>
                <w:color w:val="000000" w:themeColor="text1"/>
                <w:spacing w:val="-3"/>
                <w:sz w:val="24"/>
                <w:szCs w:val="24"/>
                <w:shd w:val="clear" w:color="auto" w:fill="FFFFFF"/>
                <w:lang w:val="lv-LV"/>
              </w:rPr>
              <w:t>.panta piektā daļa)</w:t>
            </w:r>
          </w:p>
        </w:tc>
        <w:tc>
          <w:tcPr>
            <w:tcW w:w="2046" w:type="dxa"/>
          </w:tcPr>
          <w:p w14:paraId="352CAB03"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DA9542E"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1B78549D" w14:textId="77777777" w:rsidTr="00853A4D">
        <w:tc>
          <w:tcPr>
            <w:tcW w:w="2356" w:type="dxa"/>
          </w:tcPr>
          <w:p w14:paraId="45A31D8D" w14:textId="12358FFD"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17.panta </w:t>
            </w:r>
            <w:r>
              <w:rPr>
                <w:rFonts w:ascii="Times New Roman" w:hAnsi="Times New Roman" w:cs="Times New Roman"/>
                <w:color w:val="000000" w:themeColor="text1"/>
                <w:sz w:val="24"/>
                <w:szCs w:val="24"/>
                <w:lang w:val="lv-LV"/>
              </w:rPr>
              <w:t>2.punkts</w:t>
            </w:r>
          </w:p>
        </w:tc>
        <w:tc>
          <w:tcPr>
            <w:tcW w:w="2736" w:type="dxa"/>
          </w:tcPr>
          <w:p w14:paraId="1DB17531" w14:textId="63104FC2"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sidR="00C41E1B">
              <w:rPr>
                <w:rFonts w:ascii="Times New Roman" w:hAnsi="Times New Roman" w:cs="Times New Roman"/>
                <w:color w:val="000000" w:themeColor="text1"/>
                <w:spacing w:val="-3"/>
                <w:sz w:val="24"/>
                <w:szCs w:val="24"/>
                <w:shd w:val="clear" w:color="auto" w:fill="FFFFFF"/>
                <w:lang w:val="lv-LV"/>
              </w:rPr>
              <w:t>14</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rPr>
              <w:t>12.</w:t>
            </w:r>
            <w:r w:rsidRPr="0083025E">
              <w:rPr>
                <w:rFonts w:ascii="Times New Roman" w:hAnsi="Times New Roman" w:cs="Times New Roman"/>
                <w:color w:val="000000" w:themeColor="text1"/>
                <w:sz w:val="24"/>
                <w:szCs w:val="24"/>
                <w:vertAlign w:val="superscript"/>
              </w:rPr>
              <w:t>1</w:t>
            </w:r>
            <w:r w:rsidRPr="0083025E">
              <w:rPr>
                <w:rFonts w:ascii="Times New Roman" w:hAnsi="Times New Roman" w:cs="Times New Roman"/>
                <w:color w:val="000000" w:themeColor="text1"/>
                <w:sz w:val="24"/>
                <w:szCs w:val="24"/>
              </w:rPr>
              <w:t xml:space="preserve"> pants)</w:t>
            </w:r>
          </w:p>
        </w:tc>
        <w:tc>
          <w:tcPr>
            <w:tcW w:w="2046" w:type="dxa"/>
          </w:tcPr>
          <w:p w14:paraId="3BE99532"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0B0D6214"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19B8CDDD" w14:textId="77777777" w:rsidTr="00853A4D">
        <w:tc>
          <w:tcPr>
            <w:tcW w:w="2356" w:type="dxa"/>
          </w:tcPr>
          <w:p w14:paraId="7252B91D" w14:textId="3EAF00EC"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24.panta </w:t>
            </w:r>
            <w:r>
              <w:rPr>
                <w:rFonts w:ascii="Times New Roman" w:hAnsi="Times New Roman" w:cs="Times New Roman"/>
                <w:color w:val="000000" w:themeColor="text1"/>
                <w:sz w:val="24"/>
                <w:szCs w:val="24"/>
                <w:lang w:val="lv-LV"/>
              </w:rPr>
              <w:t>1.punkts</w:t>
            </w:r>
          </w:p>
        </w:tc>
        <w:tc>
          <w:tcPr>
            <w:tcW w:w="2736" w:type="dxa"/>
          </w:tcPr>
          <w:p w14:paraId="6A948292" w14:textId="03D0B9C5"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1</w:t>
            </w:r>
            <w:r w:rsidR="00C41E1B">
              <w:rPr>
                <w:rFonts w:ascii="Times New Roman" w:hAnsi="Times New Roman" w:cs="Times New Roman"/>
                <w:color w:val="000000" w:themeColor="text1"/>
                <w:spacing w:val="-3"/>
                <w:sz w:val="24"/>
                <w:szCs w:val="24"/>
                <w:shd w:val="clear" w:color="auto" w:fill="FFFFFF"/>
                <w:lang w:val="lv-LV"/>
              </w:rPr>
              <w:t>0</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shd w:val="clear" w:color="auto" w:fill="FFFFFF"/>
                <w:lang w:val="lv-LV"/>
              </w:rPr>
              <w:t>9.panta desmitā daļa)</w:t>
            </w:r>
          </w:p>
        </w:tc>
        <w:tc>
          <w:tcPr>
            <w:tcW w:w="2046" w:type="dxa"/>
          </w:tcPr>
          <w:p w14:paraId="5E6210C0"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3297D4C"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6572D1A0" w14:textId="77777777" w:rsidTr="00853A4D">
        <w:tc>
          <w:tcPr>
            <w:tcW w:w="2356" w:type="dxa"/>
          </w:tcPr>
          <w:p w14:paraId="61BE577F" w14:textId="1FED3DC5"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24.panta </w:t>
            </w:r>
            <w:r>
              <w:rPr>
                <w:rFonts w:ascii="Times New Roman" w:hAnsi="Times New Roman" w:cs="Times New Roman"/>
                <w:color w:val="000000" w:themeColor="text1"/>
                <w:sz w:val="24"/>
                <w:szCs w:val="24"/>
                <w:lang w:val="lv-LV"/>
              </w:rPr>
              <w:t>2.punkts</w:t>
            </w:r>
          </w:p>
        </w:tc>
        <w:tc>
          <w:tcPr>
            <w:tcW w:w="2736" w:type="dxa"/>
          </w:tcPr>
          <w:p w14:paraId="5E2F9686" w14:textId="79736A71"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2</w:t>
            </w:r>
            <w:r w:rsidR="00D818D7">
              <w:rPr>
                <w:rFonts w:ascii="Times New Roman" w:hAnsi="Times New Roman" w:cs="Times New Roman"/>
                <w:color w:val="000000" w:themeColor="text1"/>
                <w:spacing w:val="-3"/>
                <w:sz w:val="24"/>
                <w:szCs w:val="24"/>
                <w:shd w:val="clear" w:color="auto" w:fill="FFFFFF"/>
                <w:lang w:val="lv-LV"/>
              </w:rPr>
              <w:t>1</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shd w:val="clear" w:color="auto" w:fill="FFFFFF"/>
                <w:lang w:val="lv-LV"/>
              </w:rPr>
              <w:t>34.panta trešā daļa)</w:t>
            </w:r>
          </w:p>
        </w:tc>
        <w:tc>
          <w:tcPr>
            <w:tcW w:w="2046" w:type="dxa"/>
          </w:tcPr>
          <w:p w14:paraId="62AE8864"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5CB34BE1"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69BB32EC" w14:textId="77777777" w:rsidTr="00853A4D">
        <w:tc>
          <w:tcPr>
            <w:tcW w:w="2356" w:type="dxa"/>
          </w:tcPr>
          <w:p w14:paraId="00E0CDA2"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25., 26., 27., 28.pants</w:t>
            </w:r>
          </w:p>
        </w:tc>
        <w:tc>
          <w:tcPr>
            <w:tcW w:w="2736" w:type="dxa"/>
          </w:tcPr>
          <w:p w14:paraId="4B3D5F8C" w14:textId="5BC773E0"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Likumprojekta 2</w:t>
            </w:r>
            <w:r w:rsidR="00D818D7">
              <w:rPr>
                <w:rFonts w:ascii="Times New Roman" w:hAnsi="Times New Roman" w:cs="Times New Roman"/>
                <w:color w:val="000000" w:themeColor="text1"/>
                <w:spacing w:val="-3"/>
                <w:sz w:val="24"/>
                <w:szCs w:val="24"/>
                <w:shd w:val="clear" w:color="auto" w:fill="FFFFFF"/>
                <w:lang w:val="lv-LV"/>
              </w:rPr>
              <w:t>2</w:t>
            </w:r>
            <w:r w:rsidRPr="0083025E">
              <w:rPr>
                <w:rFonts w:ascii="Times New Roman" w:hAnsi="Times New Roman" w:cs="Times New Roman"/>
                <w:color w:val="000000" w:themeColor="text1"/>
                <w:spacing w:val="-3"/>
                <w:sz w:val="24"/>
                <w:szCs w:val="24"/>
                <w:shd w:val="clear" w:color="auto" w:fill="FFFFFF"/>
                <w:lang w:val="lv-LV"/>
              </w:rPr>
              <w:t>.pants (</w:t>
            </w:r>
            <w:r w:rsidRPr="0083025E">
              <w:rPr>
                <w:rFonts w:ascii="Times New Roman" w:hAnsi="Times New Roman" w:cs="Times New Roman"/>
                <w:color w:val="000000" w:themeColor="text1"/>
                <w:sz w:val="24"/>
                <w:szCs w:val="24"/>
                <w:lang w:val="lv-LV"/>
              </w:rPr>
              <w:t>IX nodaļa “Sadarbība”, 36., 37., 38., 39., 40., 41., 42.pants)</w:t>
            </w:r>
          </w:p>
        </w:tc>
        <w:tc>
          <w:tcPr>
            <w:tcW w:w="2046" w:type="dxa"/>
          </w:tcPr>
          <w:p w14:paraId="0C875156"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3E47F628"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r w:rsidR="006563A3" w:rsidRPr="0083025E" w14:paraId="4CCD0942" w14:textId="77777777" w:rsidTr="00853A4D">
        <w:tc>
          <w:tcPr>
            <w:tcW w:w="2356" w:type="dxa"/>
          </w:tcPr>
          <w:p w14:paraId="4D9D7222" w14:textId="5A92E2A5"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lang w:val="lv-LV"/>
              </w:rPr>
              <w:t xml:space="preserve">31.panta </w:t>
            </w:r>
            <w:r>
              <w:rPr>
                <w:rFonts w:ascii="Times New Roman" w:hAnsi="Times New Roman" w:cs="Times New Roman"/>
                <w:color w:val="000000" w:themeColor="text1"/>
                <w:sz w:val="24"/>
                <w:szCs w:val="24"/>
                <w:lang w:val="lv-LV"/>
              </w:rPr>
              <w:t>6.punkts</w:t>
            </w:r>
          </w:p>
        </w:tc>
        <w:tc>
          <w:tcPr>
            <w:tcW w:w="2736" w:type="dxa"/>
          </w:tcPr>
          <w:p w14:paraId="2C30597F" w14:textId="2AC1F4F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pacing w:val="-3"/>
                <w:sz w:val="24"/>
                <w:szCs w:val="24"/>
                <w:shd w:val="clear" w:color="auto" w:fill="FFFFFF"/>
                <w:lang w:val="lv-LV"/>
              </w:rPr>
              <w:t xml:space="preserve">Likumprojekta </w:t>
            </w:r>
            <w:r>
              <w:rPr>
                <w:rFonts w:ascii="Times New Roman" w:hAnsi="Times New Roman" w:cs="Times New Roman"/>
                <w:color w:val="000000" w:themeColor="text1"/>
                <w:spacing w:val="-3"/>
                <w:sz w:val="24"/>
                <w:szCs w:val="24"/>
                <w:shd w:val="clear" w:color="auto" w:fill="FFFFFF"/>
                <w:lang w:val="lv-LV"/>
              </w:rPr>
              <w:t>1</w:t>
            </w:r>
            <w:r w:rsidR="00023544">
              <w:rPr>
                <w:rFonts w:ascii="Times New Roman" w:hAnsi="Times New Roman" w:cs="Times New Roman"/>
                <w:color w:val="000000" w:themeColor="text1"/>
                <w:spacing w:val="-3"/>
                <w:sz w:val="24"/>
                <w:szCs w:val="24"/>
                <w:shd w:val="clear" w:color="auto" w:fill="FFFFFF"/>
                <w:lang w:val="lv-LV"/>
              </w:rPr>
              <w:t>9</w:t>
            </w:r>
            <w:r>
              <w:rPr>
                <w:rFonts w:ascii="Times New Roman" w:hAnsi="Times New Roman" w:cs="Times New Roman"/>
                <w:color w:val="000000" w:themeColor="text1"/>
                <w:spacing w:val="-3"/>
                <w:sz w:val="24"/>
                <w:szCs w:val="24"/>
                <w:shd w:val="clear" w:color="auto" w:fill="FFFFFF"/>
                <w:lang w:val="lv-LV"/>
              </w:rPr>
              <w:t>.pants</w:t>
            </w:r>
            <w:r w:rsidRPr="0083025E">
              <w:rPr>
                <w:rFonts w:ascii="Times New Roman" w:hAnsi="Times New Roman" w:cs="Times New Roman"/>
                <w:color w:val="000000" w:themeColor="text1"/>
                <w:spacing w:val="-3"/>
                <w:sz w:val="24"/>
                <w:szCs w:val="24"/>
                <w:shd w:val="clear" w:color="auto" w:fill="FFFFFF"/>
                <w:lang w:val="lv-LV"/>
              </w:rPr>
              <w:t xml:space="preserve"> (</w:t>
            </w:r>
            <w:r w:rsidRPr="0083025E">
              <w:rPr>
                <w:rFonts w:ascii="Times New Roman" w:hAnsi="Times New Roman" w:cs="Times New Roman"/>
                <w:color w:val="000000" w:themeColor="text1"/>
                <w:sz w:val="24"/>
                <w:szCs w:val="24"/>
              </w:rPr>
              <w:t>12.</w:t>
            </w:r>
            <w:r w:rsidRPr="0083025E">
              <w:rPr>
                <w:rFonts w:ascii="Times New Roman" w:hAnsi="Times New Roman" w:cs="Times New Roman"/>
                <w:color w:val="000000" w:themeColor="text1"/>
                <w:sz w:val="24"/>
                <w:szCs w:val="24"/>
                <w:vertAlign w:val="superscript"/>
              </w:rPr>
              <w:t>1</w:t>
            </w:r>
            <w:r w:rsidRPr="0083025E">
              <w:rPr>
                <w:rFonts w:ascii="Times New Roman" w:hAnsi="Times New Roman" w:cs="Times New Roman"/>
                <w:color w:val="000000" w:themeColor="text1"/>
                <w:sz w:val="24"/>
                <w:szCs w:val="24"/>
              </w:rPr>
              <w:t xml:space="preserve"> </w:t>
            </w:r>
            <w:proofErr w:type="spellStart"/>
            <w:r w:rsidRPr="0083025E">
              <w:rPr>
                <w:rFonts w:ascii="Times New Roman" w:hAnsi="Times New Roman" w:cs="Times New Roman"/>
                <w:color w:val="000000" w:themeColor="text1"/>
                <w:sz w:val="24"/>
                <w:szCs w:val="24"/>
              </w:rPr>
              <w:t>panta</w:t>
            </w:r>
            <w:proofErr w:type="spellEnd"/>
            <w:r w:rsidRPr="0083025E">
              <w:rPr>
                <w:rFonts w:ascii="Times New Roman" w:hAnsi="Times New Roman" w:cs="Times New Roman"/>
                <w:color w:val="000000" w:themeColor="text1"/>
                <w:sz w:val="24"/>
                <w:szCs w:val="24"/>
              </w:rPr>
              <w:t xml:space="preserve"> </w:t>
            </w:r>
            <w:proofErr w:type="spellStart"/>
            <w:r w:rsidRPr="0083025E">
              <w:rPr>
                <w:rFonts w:ascii="Times New Roman" w:hAnsi="Times New Roman" w:cs="Times New Roman"/>
                <w:color w:val="000000" w:themeColor="text1"/>
                <w:sz w:val="24"/>
                <w:szCs w:val="24"/>
              </w:rPr>
              <w:t>sestā</w:t>
            </w:r>
            <w:proofErr w:type="spellEnd"/>
            <w:r w:rsidRPr="0083025E">
              <w:rPr>
                <w:rFonts w:ascii="Times New Roman" w:hAnsi="Times New Roman" w:cs="Times New Roman"/>
                <w:color w:val="000000" w:themeColor="text1"/>
                <w:sz w:val="24"/>
                <w:szCs w:val="24"/>
              </w:rPr>
              <w:t xml:space="preserve"> </w:t>
            </w:r>
            <w:proofErr w:type="spellStart"/>
            <w:r w:rsidRPr="0083025E">
              <w:rPr>
                <w:rFonts w:ascii="Times New Roman" w:hAnsi="Times New Roman" w:cs="Times New Roman"/>
                <w:color w:val="000000" w:themeColor="text1"/>
                <w:sz w:val="24"/>
                <w:szCs w:val="24"/>
              </w:rPr>
              <w:t>daļa</w:t>
            </w:r>
            <w:proofErr w:type="spellEnd"/>
            <w:r w:rsidRPr="0083025E">
              <w:rPr>
                <w:rFonts w:ascii="Times New Roman" w:hAnsi="Times New Roman" w:cs="Times New Roman"/>
                <w:color w:val="000000" w:themeColor="text1"/>
                <w:sz w:val="24"/>
                <w:szCs w:val="24"/>
              </w:rPr>
              <w:t>)</w:t>
            </w:r>
          </w:p>
        </w:tc>
        <w:tc>
          <w:tcPr>
            <w:tcW w:w="2046" w:type="dxa"/>
          </w:tcPr>
          <w:p w14:paraId="55E61A21" w14:textId="77777777" w:rsidR="006563A3" w:rsidRPr="0083025E" w:rsidRDefault="006563A3" w:rsidP="006563A3">
            <w:pPr>
              <w:jc w:val="both"/>
              <w:rPr>
                <w:rFonts w:ascii="Times New Roman" w:hAnsi="Times New Roman" w:cs="Times New Roman"/>
                <w:color w:val="000000" w:themeColor="text1"/>
                <w:spacing w:val="-3"/>
                <w:sz w:val="24"/>
                <w:szCs w:val="24"/>
                <w:shd w:val="clear" w:color="auto" w:fill="FFFFFF"/>
                <w:lang w:val="lv-LV"/>
              </w:rPr>
            </w:pPr>
            <w:r w:rsidRPr="0083025E">
              <w:rPr>
                <w:rFonts w:ascii="Times New Roman" w:hAnsi="Times New Roman" w:cs="Times New Roman"/>
                <w:color w:val="000000" w:themeColor="text1"/>
                <w:spacing w:val="-3"/>
                <w:sz w:val="24"/>
                <w:szCs w:val="24"/>
                <w:shd w:val="clear" w:color="auto" w:fill="FFFFFF"/>
                <w:lang w:val="lv-LV"/>
              </w:rPr>
              <w:t>Tiks pārņemta pilnībā.</w:t>
            </w:r>
          </w:p>
        </w:tc>
        <w:tc>
          <w:tcPr>
            <w:tcW w:w="2643" w:type="dxa"/>
          </w:tcPr>
          <w:p w14:paraId="77853848" w14:textId="77777777" w:rsidR="006563A3" w:rsidRPr="0083025E" w:rsidRDefault="006563A3" w:rsidP="006563A3">
            <w:pPr>
              <w:jc w:val="both"/>
              <w:rPr>
                <w:rFonts w:ascii="Times New Roman" w:hAnsi="Times New Roman" w:cs="Times New Roman"/>
                <w:color w:val="000000" w:themeColor="text1"/>
                <w:sz w:val="24"/>
                <w:szCs w:val="24"/>
                <w:lang w:val="lv-LV"/>
              </w:rPr>
            </w:pPr>
            <w:r w:rsidRPr="0083025E">
              <w:rPr>
                <w:rFonts w:ascii="Times New Roman" w:hAnsi="Times New Roman" w:cs="Times New Roman"/>
                <w:color w:val="000000" w:themeColor="text1"/>
                <w:sz w:val="24"/>
                <w:szCs w:val="24"/>
                <w:shd w:val="clear" w:color="auto" w:fill="FFFFFF"/>
                <w:lang w:val="lv-LV"/>
              </w:rPr>
              <w:t>Neparedz stingrākas prasības.</w:t>
            </w:r>
          </w:p>
        </w:tc>
      </w:tr>
    </w:tbl>
    <w:p w14:paraId="07BEA723" w14:textId="26573594" w:rsidR="00F571E3" w:rsidRDefault="00F571E3" w:rsidP="00E30415">
      <w:pPr>
        <w:pStyle w:val="naisf"/>
        <w:spacing w:before="0" w:after="0"/>
        <w:ind w:firstLine="0"/>
        <w:rPr>
          <w:color w:val="000000" w:themeColor="text1"/>
        </w:rPr>
      </w:pPr>
    </w:p>
    <w:tbl>
      <w:tblPr>
        <w:tblStyle w:val="TableGrid"/>
        <w:tblW w:w="9781" w:type="dxa"/>
        <w:tblInd w:w="-572" w:type="dxa"/>
        <w:tblLook w:val="04A0" w:firstRow="1" w:lastRow="0" w:firstColumn="1" w:lastColumn="0" w:noHBand="0" w:noVBand="1"/>
      </w:tblPr>
      <w:tblGrid>
        <w:gridCol w:w="2356"/>
        <w:gridCol w:w="7425"/>
      </w:tblGrid>
      <w:tr w:rsidR="0050261F" w:rsidRPr="00DA1DD3" w14:paraId="169E4EF8" w14:textId="77777777" w:rsidTr="00F571E3">
        <w:tc>
          <w:tcPr>
            <w:tcW w:w="2356" w:type="dxa"/>
          </w:tcPr>
          <w:p w14:paraId="7708F093"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bookmarkStart w:id="3" w:name="_Hlk44402377"/>
            <w:r w:rsidRPr="00876E61">
              <w:rPr>
                <w:rFonts w:ascii="Times New Roman" w:eastAsia="Times New Roman" w:hAnsi="Times New Roman" w:cs="Times New Roman"/>
                <w:color w:val="000000" w:themeColor="text1"/>
                <w:spacing w:val="-3"/>
                <w:sz w:val="24"/>
                <w:szCs w:val="24"/>
                <w:lang w:val="lv-LV"/>
              </w:rPr>
              <w:t>Kā ir izmantota ES tiesību aktā paredzētā rīcības brīvība dalībvalstij pārņemt vai ieviest noteiktas ES tiesību akta normas?</w:t>
            </w:r>
          </w:p>
          <w:p w14:paraId="2D02282C"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lastRenderedPageBreak/>
              <w:t>Kādēļ?</w:t>
            </w:r>
          </w:p>
        </w:tc>
        <w:tc>
          <w:tcPr>
            <w:tcW w:w="7425" w:type="dxa"/>
          </w:tcPr>
          <w:p w14:paraId="06735135" w14:textId="5A69BDB4" w:rsidR="00A366BC" w:rsidRDefault="00A366BC" w:rsidP="005E5041">
            <w:pPr>
              <w:spacing w:after="120"/>
              <w:jc w:val="both"/>
              <w:rPr>
                <w:rFonts w:ascii="Times New Roman" w:hAnsi="Times New Roman" w:cs="Times New Roman"/>
                <w:color w:val="000000" w:themeColor="text1"/>
                <w:sz w:val="24"/>
                <w:szCs w:val="24"/>
                <w:shd w:val="clear" w:color="auto" w:fill="FFFFFF"/>
                <w:lang w:val="lv-LV"/>
              </w:rPr>
            </w:pPr>
            <w:r w:rsidRPr="00A366BC">
              <w:rPr>
                <w:rFonts w:ascii="Times New Roman" w:hAnsi="Times New Roman" w:cs="Times New Roman"/>
                <w:color w:val="000000" w:themeColor="text1"/>
                <w:sz w:val="24"/>
                <w:szCs w:val="24"/>
                <w:shd w:val="clear" w:color="auto" w:fill="FFFFFF"/>
                <w:lang w:val="lv-LV"/>
              </w:rPr>
              <w:lastRenderedPageBreak/>
              <w:t>Direktīvas 13., 14., 15.</w:t>
            </w:r>
            <w:r w:rsidR="00D818D7">
              <w:rPr>
                <w:rFonts w:ascii="Times New Roman" w:hAnsi="Times New Roman" w:cs="Times New Roman"/>
                <w:color w:val="000000" w:themeColor="text1"/>
                <w:sz w:val="24"/>
                <w:szCs w:val="24"/>
                <w:shd w:val="clear" w:color="auto" w:fill="FFFFFF"/>
                <w:lang w:val="lv-LV"/>
              </w:rPr>
              <w:t> </w:t>
            </w:r>
            <w:r w:rsidRPr="00A366BC">
              <w:rPr>
                <w:rFonts w:ascii="Times New Roman" w:hAnsi="Times New Roman" w:cs="Times New Roman"/>
                <w:color w:val="000000" w:themeColor="text1"/>
                <w:sz w:val="24"/>
                <w:szCs w:val="24"/>
                <w:shd w:val="clear" w:color="auto" w:fill="FFFFFF"/>
                <w:lang w:val="lv-LV"/>
              </w:rPr>
              <w:t>pants paredz tirgus dalībnieku un tirgus dalībnieku apvienībām piemērojamo naudas sodu vispārīgos noteikumus un naudas soda maksimālos apmērus, proti, ne mazākus kā 10% no tirgus dalībnieka kopējā apgrozījuma pasaulē. Ievērojot to, ka LESD 101. un 102. panta pārkāpumiem analoģisks pārkāpuma sastāvs paredzēts Likuma 11. un 13.</w:t>
            </w:r>
            <w:r w:rsidR="00D818D7">
              <w:rPr>
                <w:rFonts w:ascii="Times New Roman" w:hAnsi="Times New Roman" w:cs="Times New Roman"/>
                <w:color w:val="000000" w:themeColor="text1"/>
                <w:sz w:val="24"/>
                <w:szCs w:val="24"/>
                <w:shd w:val="clear" w:color="auto" w:fill="FFFFFF"/>
                <w:lang w:val="lv-LV"/>
              </w:rPr>
              <w:t> </w:t>
            </w:r>
            <w:r w:rsidRPr="00A366BC">
              <w:rPr>
                <w:rFonts w:ascii="Times New Roman" w:hAnsi="Times New Roman" w:cs="Times New Roman"/>
                <w:color w:val="000000" w:themeColor="text1"/>
                <w:sz w:val="24"/>
                <w:szCs w:val="24"/>
                <w:shd w:val="clear" w:color="auto" w:fill="FFFFFF"/>
                <w:lang w:val="lv-LV"/>
              </w:rPr>
              <w:t xml:space="preserve">pantā un to paralēlo piemērojamību, Likuma pārkāpuma gadījumā maksimālais naudas soda apmērs nebūtu jānosaka atšķirīgs kā LESD 101. </w:t>
            </w:r>
            <w:r w:rsidRPr="00A366BC">
              <w:rPr>
                <w:rFonts w:ascii="Times New Roman" w:hAnsi="Times New Roman" w:cs="Times New Roman"/>
                <w:color w:val="000000" w:themeColor="text1"/>
                <w:sz w:val="24"/>
                <w:szCs w:val="24"/>
                <w:shd w:val="clear" w:color="auto" w:fill="FFFFFF"/>
                <w:lang w:val="lv-LV"/>
              </w:rPr>
              <w:lastRenderedPageBreak/>
              <w:t>un 102.</w:t>
            </w:r>
            <w:r w:rsidR="00D818D7">
              <w:rPr>
                <w:rFonts w:ascii="Times New Roman" w:hAnsi="Times New Roman" w:cs="Times New Roman"/>
                <w:color w:val="000000" w:themeColor="text1"/>
                <w:sz w:val="24"/>
                <w:szCs w:val="24"/>
                <w:shd w:val="clear" w:color="auto" w:fill="FFFFFF"/>
                <w:lang w:val="lv-LV"/>
              </w:rPr>
              <w:t> panta</w:t>
            </w:r>
            <w:r w:rsidRPr="00A366BC">
              <w:rPr>
                <w:rFonts w:ascii="Times New Roman" w:hAnsi="Times New Roman" w:cs="Times New Roman"/>
                <w:color w:val="000000" w:themeColor="text1"/>
                <w:sz w:val="24"/>
                <w:szCs w:val="24"/>
                <w:shd w:val="clear" w:color="auto" w:fill="FFFFFF"/>
                <w:lang w:val="lv-LV"/>
              </w:rPr>
              <w:t xml:space="preserve"> pārkāpuma gadījumā, lai nodrošinātu vienlīdz atturošu un efektīvu šo nomu piemērošanu. </w:t>
            </w:r>
          </w:p>
          <w:p w14:paraId="46CBE1B2" w14:textId="2F253BDA" w:rsidR="00A366BC" w:rsidRPr="00C54BAB" w:rsidRDefault="00C54BAB" w:rsidP="00B51F61">
            <w:pPr>
              <w:spacing w:after="120"/>
              <w:jc w:val="both"/>
              <w:rPr>
                <w:rFonts w:ascii="Times New Roman" w:hAnsi="Times New Roman" w:cs="Times New Roman"/>
                <w:color w:val="0D0D0D" w:themeColor="text1" w:themeTint="F2"/>
                <w:sz w:val="24"/>
                <w:szCs w:val="24"/>
                <w:shd w:val="clear" w:color="auto" w:fill="FFFFFF"/>
                <w:lang w:val="lv-LV"/>
              </w:rPr>
            </w:pPr>
            <w:r>
              <w:rPr>
                <w:rFonts w:ascii="Times New Roman" w:hAnsi="Times New Roman" w:cs="Times New Roman"/>
                <w:color w:val="0D0D0D" w:themeColor="text1" w:themeTint="F2"/>
                <w:sz w:val="24"/>
                <w:szCs w:val="24"/>
                <w:shd w:val="clear" w:color="auto" w:fill="FFFFFF"/>
                <w:lang w:val="lv-LV"/>
              </w:rPr>
              <w:t>Likuma</w:t>
            </w:r>
            <w:r w:rsidR="00A366BC" w:rsidRPr="00587EA7">
              <w:rPr>
                <w:rFonts w:ascii="Times New Roman" w:hAnsi="Times New Roman" w:cs="Times New Roman"/>
                <w:color w:val="0D0D0D" w:themeColor="text1" w:themeTint="F2"/>
                <w:sz w:val="24"/>
                <w:szCs w:val="24"/>
                <w:shd w:val="clear" w:color="auto" w:fill="FFFFFF"/>
                <w:lang w:val="lv-LV"/>
              </w:rPr>
              <w:t xml:space="preserve"> 12.</w:t>
            </w:r>
            <w:r w:rsidR="00A366BC" w:rsidRPr="00587EA7">
              <w:rPr>
                <w:rFonts w:ascii="Times New Roman" w:hAnsi="Times New Roman" w:cs="Times New Roman"/>
                <w:color w:val="0D0D0D" w:themeColor="text1" w:themeTint="F2"/>
                <w:sz w:val="24"/>
                <w:szCs w:val="24"/>
                <w:shd w:val="clear" w:color="auto" w:fill="FFFFFF"/>
                <w:vertAlign w:val="superscript"/>
                <w:lang w:val="lv-LV"/>
              </w:rPr>
              <w:t xml:space="preserve">1 </w:t>
            </w:r>
            <w:r w:rsidR="00A366BC" w:rsidRPr="00587EA7">
              <w:rPr>
                <w:rFonts w:ascii="Times New Roman" w:hAnsi="Times New Roman" w:cs="Times New Roman"/>
                <w:color w:val="0D0D0D" w:themeColor="text1" w:themeTint="F2"/>
                <w:sz w:val="24"/>
                <w:szCs w:val="24"/>
                <w:shd w:val="clear" w:color="auto" w:fill="FFFFFF"/>
                <w:lang w:val="lv-LV"/>
              </w:rPr>
              <w:t>pants šobrīd paredz piemērot iecietības programmu ierobežotā apjomā, t.i.</w:t>
            </w:r>
            <w:r w:rsidR="007C10FE">
              <w:rPr>
                <w:rFonts w:ascii="Times New Roman" w:hAnsi="Times New Roman" w:cs="Times New Roman"/>
                <w:color w:val="0D0D0D" w:themeColor="text1" w:themeTint="F2"/>
                <w:sz w:val="24"/>
                <w:szCs w:val="24"/>
                <w:shd w:val="clear" w:color="auto" w:fill="FFFFFF"/>
                <w:lang w:val="lv-LV"/>
              </w:rPr>
              <w:t>,</w:t>
            </w:r>
            <w:r w:rsidR="00A366BC" w:rsidRPr="00587EA7">
              <w:rPr>
                <w:rFonts w:ascii="Times New Roman" w:hAnsi="Times New Roman" w:cs="Times New Roman"/>
                <w:color w:val="0D0D0D" w:themeColor="text1" w:themeTint="F2"/>
                <w:sz w:val="24"/>
                <w:szCs w:val="24"/>
                <w:shd w:val="clear" w:color="auto" w:fill="FFFFFF"/>
                <w:lang w:val="lv-LV"/>
              </w:rPr>
              <w:t xml:space="preserve"> tirgus dalībniekiem par sadarbību tādu konkurences tiesību pārkāpumu atklāšanā kā slepena karteļa vienošanās atklāšanā</w:t>
            </w:r>
            <w:r w:rsidR="00A366BC">
              <w:rPr>
                <w:rFonts w:ascii="Times New Roman" w:hAnsi="Times New Roman" w:cs="Times New Roman"/>
                <w:color w:val="0D0D0D" w:themeColor="text1" w:themeTint="F2"/>
                <w:sz w:val="24"/>
                <w:szCs w:val="24"/>
                <w:shd w:val="clear" w:color="auto" w:fill="FFFFFF"/>
                <w:lang w:val="lv-LV"/>
              </w:rPr>
              <w:t xml:space="preserve"> (šādu apjomu paredz arī Direktīvas ietvars)</w:t>
            </w:r>
            <w:r w:rsidR="00A366BC" w:rsidRPr="00587EA7">
              <w:rPr>
                <w:rFonts w:ascii="Times New Roman" w:hAnsi="Times New Roman" w:cs="Times New Roman"/>
                <w:color w:val="0D0D0D" w:themeColor="text1" w:themeTint="F2"/>
                <w:sz w:val="24"/>
                <w:szCs w:val="24"/>
                <w:shd w:val="clear" w:color="auto" w:fill="FFFFFF"/>
                <w:lang w:val="lv-LV"/>
              </w:rPr>
              <w:t xml:space="preserve">. </w:t>
            </w:r>
            <w:r w:rsidR="00A366BC">
              <w:rPr>
                <w:rFonts w:ascii="Times New Roman" w:hAnsi="Times New Roman" w:cs="Times New Roman"/>
                <w:color w:val="0D0D0D" w:themeColor="text1" w:themeTint="F2"/>
                <w:sz w:val="24"/>
                <w:szCs w:val="24"/>
                <w:shd w:val="clear" w:color="auto" w:fill="FFFFFF"/>
                <w:lang w:val="lv-LV"/>
              </w:rPr>
              <w:t xml:space="preserve">Direktīvas preambulas 11.apsvērumā norādīts, ka nebūtu jāliedz piemērot iecietības programmas, kas attiecas ne tikai uz slepeniem karteļiem, bet arī citiem LESD 101.panta un līdzvērtīgu valsts konkurences tiesību aktu noteikumu pārkāpumiem. </w:t>
            </w:r>
            <w:r w:rsidR="00A366BC" w:rsidRPr="00587EA7">
              <w:rPr>
                <w:rFonts w:ascii="Times New Roman" w:hAnsi="Times New Roman" w:cs="Times New Roman"/>
                <w:color w:val="0D0D0D" w:themeColor="text1" w:themeTint="F2"/>
                <w:sz w:val="24"/>
                <w:szCs w:val="24"/>
                <w:shd w:val="clear" w:color="auto" w:fill="FFFFFF"/>
                <w:lang w:val="lv-LV"/>
              </w:rPr>
              <w:t>KP konkurences tiesību piemērošanas prakse liecina, ka arī noteikta veida citas tirgus dalībnieku konkurenci kavējošas un ierobežojošas vienošanās, jo īpaši, aizliegtas vertikālas vienošanās par tālākpārdošanas cenu noteikšanu vai pasīvās pārdošanas ierobežošanu, var būtiski negatīvi ierobežot konkurenci un kaitēt klientu un patērētāju interesēm. Ņemot vērā minēto, lai veicinātu tirgus dalībnieku sadarbību šo aizliegtu vienošanos atklāšanā, Likumprojekts paredz iecietības programmu paplašināt, to attiecinot arī uz tirgus dalībnieku sadarbību ar KP aizliegtu vertikālu vienošanos par tālākpārdošanas cenu noteikšanu vai pasīvās pārdošanas ierobežošanu atklāšanā.</w:t>
            </w:r>
          </w:p>
        </w:tc>
      </w:tr>
      <w:tr w:rsidR="0050261F" w:rsidRPr="00DA1DD3" w14:paraId="13F04425" w14:textId="77777777" w:rsidTr="00F571E3">
        <w:tc>
          <w:tcPr>
            <w:tcW w:w="2356" w:type="dxa"/>
          </w:tcPr>
          <w:p w14:paraId="524849BF" w14:textId="77777777" w:rsidR="0050261F" w:rsidRPr="00E242C5" w:rsidRDefault="0050261F" w:rsidP="001433D7">
            <w:pPr>
              <w:shd w:val="clear" w:color="auto" w:fill="FFFFFF"/>
              <w:ind w:left="57"/>
              <w:jc w:val="both"/>
              <w:rPr>
                <w:rFonts w:ascii="Times New Roman" w:eastAsia="Times New Roman" w:hAnsi="Times New Roman" w:cs="Times New Roman"/>
                <w:color w:val="000000" w:themeColor="text1"/>
                <w:spacing w:val="-3"/>
                <w:lang w:val="lv-LV"/>
              </w:rPr>
            </w:pPr>
            <w:r w:rsidRPr="00E242C5">
              <w:rPr>
                <w:rFonts w:ascii="Times New Roman" w:hAnsi="Times New Roman" w:cs="Times New Roman"/>
                <w:color w:val="000000" w:themeColor="text1"/>
                <w:spacing w:val="-4"/>
                <w:shd w:val="clear" w:color="auto" w:fill="FFFFFF"/>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5" w:type="dxa"/>
          </w:tcPr>
          <w:p w14:paraId="3A42136E" w14:textId="2CCD4365" w:rsidR="0050261F" w:rsidRPr="00876E61" w:rsidRDefault="0050261F" w:rsidP="001433D7">
            <w:pPr>
              <w:rPr>
                <w:rFonts w:ascii="Times New Roman" w:hAnsi="Times New Roman" w:cs="Times New Roman"/>
                <w:color w:val="000000" w:themeColor="text1"/>
                <w:sz w:val="24"/>
                <w:szCs w:val="24"/>
                <w:lang w:val="lv-LV"/>
              </w:rPr>
            </w:pPr>
          </w:p>
        </w:tc>
      </w:tr>
      <w:tr w:rsidR="00876E61" w:rsidRPr="0057533A" w14:paraId="658C4779" w14:textId="77777777" w:rsidTr="00F571E3">
        <w:tc>
          <w:tcPr>
            <w:tcW w:w="2356" w:type="dxa"/>
          </w:tcPr>
          <w:p w14:paraId="03730979" w14:textId="77777777" w:rsidR="0050261F" w:rsidRPr="00876E61" w:rsidRDefault="0050261F" w:rsidP="001433D7">
            <w:pPr>
              <w:shd w:val="clear" w:color="auto" w:fill="FFFFFF"/>
              <w:ind w:left="57"/>
              <w:rPr>
                <w:rFonts w:ascii="Times New Roman" w:eastAsia="Times New Roman" w:hAnsi="Times New Roman" w:cs="Times New Roman"/>
                <w:color w:val="000000" w:themeColor="text1"/>
                <w:spacing w:val="-3"/>
                <w:sz w:val="24"/>
                <w:szCs w:val="24"/>
                <w:lang w:val="lv-LV"/>
              </w:rPr>
            </w:pPr>
            <w:r w:rsidRPr="00876E61">
              <w:rPr>
                <w:rFonts w:ascii="Times New Roman" w:hAnsi="Times New Roman" w:cs="Times New Roman"/>
                <w:color w:val="000000" w:themeColor="text1"/>
                <w:sz w:val="24"/>
                <w:szCs w:val="24"/>
                <w:shd w:val="clear" w:color="auto" w:fill="FFFFFF"/>
                <w:lang w:val="lv-LV"/>
              </w:rPr>
              <w:t>Cita </w:t>
            </w:r>
            <w:r w:rsidRPr="00876E61">
              <w:rPr>
                <w:rFonts w:ascii="Times New Roman" w:hAnsi="Times New Roman" w:cs="Times New Roman"/>
                <w:color w:val="000000" w:themeColor="text1"/>
                <w:spacing w:val="-4"/>
                <w:sz w:val="24"/>
                <w:szCs w:val="24"/>
                <w:shd w:val="clear" w:color="auto" w:fill="FFFFFF"/>
                <w:lang w:val="lv-LV"/>
              </w:rPr>
              <w:t>informācija</w:t>
            </w:r>
          </w:p>
        </w:tc>
        <w:tc>
          <w:tcPr>
            <w:tcW w:w="7425" w:type="dxa"/>
          </w:tcPr>
          <w:p w14:paraId="6F3F2C1D" w14:textId="6D98D8D0" w:rsidR="0050261F" w:rsidRPr="00876E61" w:rsidRDefault="009E67D0" w:rsidP="001433D7">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Nav</w:t>
            </w:r>
          </w:p>
        </w:tc>
      </w:tr>
      <w:bookmarkEnd w:id="3"/>
    </w:tbl>
    <w:p w14:paraId="288AE447" w14:textId="0CE46CD8" w:rsidR="0050261F" w:rsidRDefault="0050261F" w:rsidP="00E30415">
      <w:pPr>
        <w:pStyle w:val="naisf"/>
        <w:spacing w:before="0" w:after="0"/>
        <w:ind w:firstLine="0"/>
        <w:rPr>
          <w:color w:val="000000" w:themeColor="text1"/>
        </w:rPr>
      </w:pPr>
    </w:p>
    <w:p w14:paraId="32304D0C" w14:textId="77777777" w:rsidR="008C71F1" w:rsidRPr="00876E61" w:rsidRDefault="008C71F1" w:rsidP="00E30415">
      <w:pPr>
        <w:pStyle w:val="naisf"/>
        <w:spacing w:before="0" w:after="0"/>
        <w:ind w:firstLine="0"/>
        <w:rPr>
          <w:color w:val="000000" w:themeColor="text1"/>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2679"/>
        <w:gridCol w:w="6284"/>
      </w:tblGrid>
      <w:tr w:rsidR="007413D6" w:rsidRPr="00DA1DD3" w14:paraId="59CF896F" w14:textId="77777777" w:rsidTr="007413D6">
        <w:trPr>
          <w:jc w:val="center"/>
        </w:trPr>
        <w:tc>
          <w:tcPr>
            <w:tcW w:w="9823" w:type="dxa"/>
            <w:gridSpan w:val="3"/>
            <w:tcBorders>
              <w:top w:val="single" w:sz="4" w:space="0" w:color="auto"/>
              <w:left w:val="single" w:sz="4" w:space="0" w:color="auto"/>
              <w:bottom w:val="single" w:sz="4" w:space="0" w:color="auto"/>
              <w:right w:val="single" w:sz="4" w:space="0" w:color="auto"/>
            </w:tcBorders>
          </w:tcPr>
          <w:p w14:paraId="7C3D616D" w14:textId="77777777" w:rsidR="001E4601" w:rsidRPr="00587EA7" w:rsidRDefault="001E4601" w:rsidP="001E4601">
            <w:pPr>
              <w:pStyle w:val="naisnod"/>
              <w:spacing w:before="0" w:after="0"/>
              <w:ind w:left="57" w:right="57"/>
              <w:rPr>
                <w:color w:val="0D0D0D" w:themeColor="text1" w:themeTint="F2"/>
              </w:rPr>
            </w:pPr>
            <w:r w:rsidRPr="00587EA7">
              <w:rPr>
                <w:color w:val="0D0D0D" w:themeColor="text1" w:themeTint="F2"/>
              </w:rPr>
              <w:t>VI. Sabiedrības līdzdalība un komunikācijas aktivitātes</w:t>
            </w:r>
          </w:p>
        </w:tc>
      </w:tr>
      <w:tr w:rsidR="00876E61" w:rsidRPr="00DA1DD3" w14:paraId="390B1A58" w14:textId="77777777" w:rsidTr="0028676C">
        <w:trPr>
          <w:trHeight w:val="553"/>
          <w:jc w:val="center"/>
        </w:trPr>
        <w:tc>
          <w:tcPr>
            <w:tcW w:w="860" w:type="dxa"/>
          </w:tcPr>
          <w:p w14:paraId="09D84477"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t>1.</w:t>
            </w:r>
          </w:p>
        </w:tc>
        <w:tc>
          <w:tcPr>
            <w:tcW w:w="2679" w:type="dxa"/>
          </w:tcPr>
          <w:p w14:paraId="48C7343D" w14:textId="77777777" w:rsidR="001E4601" w:rsidRPr="00587EA7" w:rsidRDefault="001E4601" w:rsidP="001E4601">
            <w:pPr>
              <w:pStyle w:val="naiskr"/>
              <w:tabs>
                <w:tab w:val="left" w:pos="170"/>
              </w:tabs>
              <w:spacing w:before="0" w:after="0"/>
              <w:ind w:left="57" w:right="57"/>
              <w:rPr>
                <w:color w:val="0D0D0D" w:themeColor="text1" w:themeTint="F2"/>
              </w:rPr>
            </w:pPr>
            <w:r w:rsidRPr="00587EA7">
              <w:rPr>
                <w:color w:val="0D0D0D" w:themeColor="text1" w:themeTint="F2"/>
              </w:rPr>
              <w:t xml:space="preserve">Plānotās sabiedrības līdzdalības un komunikācijas aktivitātes saistībā ar projektu </w:t>
            </w:r>
          </w:p>
        </w:tc>
        <w:tc>
          <w:tcPr>
            <w:tcW w:w="6284" w:type="dxa"/>
          </w:tcPr>
          <w:p w14:paraId="140AD049" w14:textId="77777777" w:rsidR="007C4451" w:rsidRDefault="007C4451" w:rsidP="007C4451">
            <w:pPr>
              <w:pStyle w:val="naiskr"/>
              <w:spacing w:before="60" w:after="60"/>
              <w:ind w:left="57" w:right="57"/>
              <w:jc w:val="both"/>
              <w:rPr>
                <w:iCs/>
              </w:rPr>
            </w:pPr>
            <w:r w:rsidRPr="00A92165">
              <w:rPr>
                <w:rStyle w:val="st1"/>
                <w:bCs/>
              </w:rPr>
              <w:t>S</w:t>
            </w:r>
            <w:r w:rsidRPr="00A92165">
              <w:rPr>
                <w:iCs/>
              </w:rPr>
              <w:t xml:space="preserve">abiedrības līdzdalība </w:t>
            </w:r>
            <w:r>
              <w:rPr>
                <w:iCs/>
              </w:rPr>
              <w:t>L</w:t>
            </w:r>
            <w:r w:rsidRPr="00A92165">
              <w:rPr>
                <w:iCs/>
              </w:rPr>
              <w:t xml:space="preserve">ikumprojekta izstrādē </w:t>
            </w:r>
            <w:r>
              <w:rPr>
                <w:iCs/>
              </w:rPr>
              <w:t>tiek</w:t>
            </w:r>
            <w:r w:rsidRPr="00A92165">
              <w:rPr>
                <w:iCs/>
              </w:rPr>
              <w:t xml:space="preserve"> nodrošināta</w:t>
            </w:r>
            <w:r>
              <w:rPr>
                <w:iCs/>
              </w:rPr>
              <w:t>:</w:t>
            </w:r>
          </w:p>
          <w:p w14:paraId="3DAE7741" w14:textId="6AC76BA7" w:rsidR="007C4451" w:rsidRDefault="007C4451" w:rsidP="007C4451">
            <w:pPr>
              <w:pStyle w:val="naiskr"/>
              <w:spacing w:before="60" w:after="60"/>
              <w:ind w:left="57" w:right="57"/>
              <w:jc w:val="both"/>
            </w:pPr>
            <w:r>
              <w:rPr>
                <w:iCs/>
              </w:rPr>
              <w:t>1</w:t>
            </w:r>
            <w:r w:rsidRPr="00A92165">
              <w:rPr>
                <w:iCs/>
              </w:rPr>
              <w:t> publicējot likumprojektu Ekonomikas ministrijas</w:t>
            </w:r>
            <w:r w:rsidR="00FB5DFA">
              <w:rPr>
                <w:iCs/>
              </w:rPr>
              <w:t xml:space="preserve"> tīmekļa vietnē</w:t>
            </w:r>
            <w:r w:rsidRPr="00A92165">
              <w:rPr>
                <w:iCs/>
              </w:rPr>
              <w:t xml:space="preserve"> </w:t>
            </w:r>
            <w:r>
              <w:rPr>
                <w:iCs/>
              </w:rPr>
              <w:t>divas</w:t>
            </w:r>
            <w:r w:rsidRPr="00A92165">
              <w:rPr>
                <w:iCs/>
              </w:rPr>
              <w:t xml:space="preserve"> nedēļas pirms tā izsludināšanas Valsts sekretāru sanāksmē</w:t>
            </w:r>
            <w:r w:rsidRPr="00E93BFC">
              <w:t xml:space="preserve"> </w:t>
            </w:r>
            <w:r>
              <w:t>a</w:t>
            </w:r>
            <w:r w:rsidRPr="00E93BFC">
              <w:t>tbilstoši Ministru kabineta 2009. gada 25. augusta noteikumiem Nr. 970 "</w:t>
            </w:r>
            <w:r w:rsidRPr="007C4451">
              <w:rPr>
                <w:i/>
                <w:iCs/>
              </w:rPr>
              <w:t>Sabiedrības līdzdalības kārtība attīstības plānošanas procesā</w:t>
            </w:r>
            <w:r w:rsidRPr="00E93BFC">
              <w:t xml:space="preserve">", lai informētu sabiedrību par </w:t>
            </w:r>
            <w:r>
              <w:t>Likumprojektu un dotu iespēju izteikties par to;</w:t>
            </w:r>
          </w:p>
          <w:p w14:paraId="1D2BEC0B" w14:textId="06003E41" w:rsidR="001E4601" w:rsidRPr="00587EA7" w:rsidRDefault="007C4451" w:rsidP="007C4451">
            <w:pPr>
              <w:pStyle w:val="naiskr"/>
              <w:spacing w:before="60" w:after="60"/>
              <w:ind w:left="57" w:right="57"/>
              <w:jc w:val="both"/>
              <w:rPr>
                <w:color w:val="0D0D0D" w:themeColor="text1" w:themeTint="F2"/>
              </w:rPr>
            </w:pPr>
            <w:r>
              <w:rPr>
                <w:iCs/>
              </w:rPr>
              <w:t>2) p</w:t>
            </w:r>
            <w:r w:rsidRPr="00A92165">
              <w:rPr>
                <w:iCs/>
              </w:rPr>
              <w:t xml:space="preserve">ēc </w:t>
            </w:r>
            <w:r>
              <w:rPr>
                <w:iCs/>
              </w:rPr>
              <w:t>L</w:t>
            </w:r>
            <w:r w:rsidRPr="00A92165">
              <w:rPr>
                <w:iCs/>
              </w:rPr>
              <w:t xml:space="preserve">ikumprojekta izsludināšanas Valsts sekretāru sanāksmē </w:t>
            </w:r>
            <w:r>
              <w:rPr>
                <w:iCs/>
              </w:rPr>
              <w:t xml:space="preserve">īstenojot </w:t>
            </w:r>
            <w:r w:rsidRPr="00A92165">
              <w:rPr>
                <w:iCs/>
              </w:rPr>
              <w:t>turpmāk</w:t>
            </w:r>
            <w:r>
              <w:rPr>
                <w:iCs/>
              </w:rPr>
              <w:t>u</w:t>
            </w:r>
            <w:r w:rsidRPr="00A92165">
              <w:rPr>
                <w:iCs/>
              </w:rPr>
              <w:t xml:space="preserve">  saskaņošanas </w:t>
            </w:r>
            <w:r>
              <w:rPr>
                <w:iCs/>
              </w:rPr>
              <w:t>procesu</w:t>
            </w:r>
            <w:r w:rsidRPr="00A92165">
              <w:rPr>
                <w:iCs/>
              </w:rPr>
              <w:t xml:space="preserve"> </w:t>
            </w:r>
            <w:r w:rsidR="00A37FF2">
              <w:rPr>
                <w:iCs/>
              </w:rPr>
              <w:t xml:space="preserve">Ministru kabineta  </w:t>
            </w:r>
            <w:r w:rsidR="00A37FF2">
              <w:rPr>
                <w:iCs/>
              </w:rPr>
              <w:lastRenderedPageBreak/>
              <w:t>2009.gada 7.aprīļa noteikumu Nr. 300 “</w:t>
            </w:r>
            <w:r w:rsidRPr="00A92165">
              <w:rPr>
                <w:iCs/>
              </w:rPr>
              <w:t>Ministru kabineta kārtības rull</w:t>
            </w:r>
            <w:r w:rsidR="00A37FF2">
              <w:rPr>
                <w:iCs/>
              </w:rPr>
              <w:t>is”</w:t>
            </w:r>
            <w:r w:rsidRPr="00A92165">
              <w:rPr>
                <w:iCs/>
              </w:rPr>
              <w:t xml:space="preserve"> noteiktajā kārtībā.</w:t>
            </w:r>
          </w:p>
        </w:tc>
      </w:tr>
      <w:tr w:rsidR="00876E61" w:rsidRPr="00DA1DD3" w14:paraId="1A80F436" w14:textId="77777777" w:rsidTr="0028676C">
        <w:trPr>
          <w:trHeight w:val="339"/>
          <w:jc w:val="center"/>
        </w:trPr>
        <w:tc>
          <w:tcPr>
            <w:tcW w:w="860" w:type="dxa"/>
          </w:tcPr>
          <w:p w14:paraId="79FE6C38"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lastRenderedPageBreak/>
              <w:t>2.</w:t>
            </w:r>
          </w:p>
        </w:tc>
        <w:tc>
          <w:tcPr>
            <w:tcW w:w="2679" w:type="dxa"/>
          </w:tcPr>
          <w:p w14:paraId="308AA0C6" w14:textId="77777777" w:rsidR="001E4601" w:rsidRPr="00587EA7" w:rsidRDefault="001E4601" w:rsidP="001E4601">
            <w:pPr>
              <w:pStyle w:val="naiskr"/>
              <w:spacing w:before="0" w:after="0"/>
              <w:ind w:left="57" w:right="57"/>
              <w:rPr>
                <w:color w:val="0D0D0D" w:themeColor="text1" w:themeTint="F2"/>
              </w:rPr>
            </w:pPr>
            <w:r w:rsidRPr="00587EA7">
              <w:rPr>
                <w:color w:val="0D0D0D" w:themeColor="text1" w:themeTint="F2"/>
              </w:rPr>
              <w:t xml:space="preserve">Sabiedrības līdzdalība projekta izstrādē </w:t>
            </w:r>
          </w:p>
        </w:tc>
        <w:tc>
          <w:tcPr>
            <w:tcW w:w="6284" w:type="dxa"/>
          </w:tcPr>
          <w:p w14:paraId="51468C4B" w14:textId="08CB2F61" w:rsidR="00A37FF2" w:rsidRPr="00587EA7" w:rsidRDefault="00A37FF2" w:rsidP="00C96C27">
            <w:pPr>
              <w:pStyle w:val="naiskr"/>
              <w:spacing w:before="0" w:after="120"/>
              <w:jc w:val="both"/>
              <w:rPr>
                <w:color w:val="0D0D0D" w:themeColor="text1" w:themeTint="F2"/>
              </w:rPr>
            </w:pPr>
            <w:r>
              <w:rPr>
                <w:bCs/>
              </w:rPr>
              <w:t>S</w:t>
            </w:r>
            <w:r w:rsidRPr="00702C0D">
              <w:rPr>
                <w:bCs/>
              </w:rPr>
              <w:t>abiedrības līdzdalība</w:t>
            </w:r>
            <w:r>
              <w:rPr>
                <w:bCs/>
              </w:rPr>
              <w:t xml:space="preserve"> nodrošināta,</w:t>
            </w:r>
            <w:r w:rsidRPr="00702C0D">
              <w:rPr>
                <w:bCs/>
              </w:rPr>
              <w:t xml:space="preserve"> ievietojot paziņojumu </w:t>
            </w:r>
            <w:r w:rsidRPr="003842C5">
              <w:rPr>
                <w:color w:val="000000" w:themeColor="text1"/>
              </w:rPr>
              <w:t>Ekonomikas</w:t>
            </w:r>
            <w:r w:rsidRPr="00D421FA">
              <w:rPr>
                <w:color w:val="000000" w:themeColor="text1"/>
              </w:rPr>
              <w:t xml:space="preserve"> ministrijas </w:t>
            </w:r>
            <w:hyperlink r:id="rId8" w:history="1">
              <w:r w:rsidRPr="00FB5DFA">
                <w:rPr>
                  <w:rStyle w:val="Hyperlink"/>
                </w:rPr>
                <w:t>tīmekļa vietn</w:t>
              </w:r>
              <w:r w:rsidR="00FB5DFA" w:rsidRPr="00FB5DFA">
                <w:rPr>
                  <w:rStyle w:val="Hyperlink"/>
                </w:rPr>
                <w:t>ē</w:t>
              </w:r>
            </w:hyperlink>
            <w:r w:rsidR="00FB5DFA">
              <w:rPr>
                <w:bCs/>
              </w:rPr>
              <w:t xml:space="preserve"> </w:t>
            </w:r>
            <w:r w:rsidR="00AF3772">
              <w:rPr>
                <w:bCs/>
              </w:rPr>
              <w:t>un</w:t>
            </w:r>
            <w:r w:rsidR="00AF3772" w:rsidRPr="00702C0D">
              <w:rPr>
                <w:bCs/>
              </w:rPr>
              <w:t xml:space="preserve"> Valsts kancelejas </w:t>
            </w:r>
            <w:r w:rsidR="00AF3772">
              <w:rPr>
                <w:bCs/>
              </w:rPr>
              <w:t>tīmekļa vietnes</w:t>
            </w:r>
            <w:r w:rsidR="00AF3772" w:rsidRPr="00702C0D">
              <w:rPr>
                <w:bCs/>
              </w:rPr>
              <w:t xml:space="preserve"> sadaļā "</w:t>
            </w:r>
            <w:hyperlink r:id="rId9" w:history="1">
              <w:r w:rsidR="00AF3772" w:rsidRPr="00FB5DFA">
                <w:rPr>
                  <w:rStyle w:val="Hyperlink"/>
                  <w:bCs/>
                </w:rPr>
                <w:t>Sabiedrības līdzdalība</w:t>
              </w:r>
            </w:hyperlink>
            <w:r w:rsidR="00AF3772" w:rsidRPr="00702C0D">
              <w:rPr>
                <w:bCs/>
              </w:rPr>
              <w:t>"</w:t>
            </w:r>
            <w:r w:rsidR="00AF3772">
              <w:rPr>
                <w:bCs/>
              </w:rPr>
              <w:t xml:space="preserve"> </w:t>
            </w:r>
            <w:r>
              <w:rPr>
                <w:bCs/>
              </w:rPr>
              <w:t xml:space="preserve">ar aicinājumu līdz </w:t>
            </w:r>
            <w:r w:rsidR="00FB5DFA">
              <w:rPr>
                <w:bCs/>
              </w:rPr>
              <w:t xml:space="preserve">2020.gada 17.septembrim </w:t>
            </w:r>
            <w:r>
              <w:rPr>
                <w:bCs/>
              </w:rPr>
              <w:t>izteikt viedokli par Likumprojektu</w:t>
            </w:r>
            <w:r w:rsidRPr="00702C0D">
              <w:rPr>
                <w:bCs/>
              </w:rPr>
              <w:t>.</w:t>
            </w:r>
          </w:p>
        </w:tc>
      </w:tr>
      <w:tr w:rsidR="007413D6" w:rsidRPr="00DA1DD3" w14:paraId="263313F8" w14:textId="77777777" w:rsidTr="0028676C">
        <w:trPr>
          <w:trHeight w:val="375"/>
          <w:jc w:val="center"/>
        </w:trPr>
        <w:tc>
          <w:tcPr>
            <w:tcW w:w="860" w:type="dxa"/>
          </w:tcPr>
          <w:p w14:paraId="602582B9"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t>3.</w:t>
            </w:r>
          </w:p>
        </w:tc>
        <w:tc>
          <w:tcPr>
            <w:tcW w:w="2679" w:type="dxa"/>
          </w:tcPr>
          <w:p w14:paraId="1A14DB83" w14:textId="77777777" w:rsidR="001E4601" w:rsidRPr="00587EA7" w:rsidRDefault="001E4601" w:rsidP="001E4601">
            <w:pPr>
              <w:pStyle w:val="naiskr"/>
              <w:spacing w:before="0" w:after="0"/>
              <w:ind w:left="57" w:right="57"/>
              <w:rPr>
                <w:color w:val="0D0D0D" w:themeColor="text1" w:themeTint="F2"/>
              </w:rPr>
            </w:pPr>
            <w:r w:rsidRPr="00587EA7">
              <w:rPr>
                <w:color w:val="0D0D0D" w:themeColor="text1" w:themeTint="F2"/>
              </w:rPr>
              <w:t xml:space="preserve">Sabiedrības līdzdalības rezultāti </w:t>
            </w:r>
          </w:p>
        </w:tc>
        <w:tc>
          <w:tcPr>
            <w:tcW w:w="6284" w:type="dxa"/>
          </w:tcPr>
          <w:p w14:paraId="0EA4387E" w14:textId="77777777" w:rsidR="00C96C27" w:rsidRDefault="00580B2D" w:rsidP="00C96C27">
            <w:pPr>
              <w:spacing w:after="0" w:line="240" w:lineRule="auto"/>
              <w:jc w:val="both"/>
              <w:rPr>
                <w:rFonts w:ascii="Times New Roman" w:eastAsia="Calibri" w:hAnsi="Times New Roman" w:cs="Times New Roman"/>
                <w:sz w:val="24"/>
                <w:szCs w:val="24"/>
                <w:lang w:val="lv-LV"/>
              </w:rPr>
            </w:pPr>
            <w:r>
              <w:rPr>
                <w:rFonts w:ascii="Times New Roman" w:hAnsi="Times New Roman" w:cs="Times New Roman"/>
                <w:color w:val="0D0D0D" w:themeColor="text1" w:themeTint="F2"/>
                <w:sz w:val="24"/>
                <w:szCs w:val="24"/>
                <w:lang w:val="lv-LV"/>
              </w:rPr>
              <w:t xml:space="preserve">Sabiedrības </w:t>
            </w:r>
            <w:r w:rsidRPr="0017295B">
              <w:rPr>
                <w:rFonts w:ascii="Times New Roman" w:hAnsi="Times New Roman" w:cs="Times New Roman"/>
                <w:color w:val="0D0D0D" w:themeColor="text1" w:themeTint="F2"/>
                <w:sz w:val="24"/>
                <w:szCs w:val="24"/>
                <w:lang w:val="lv-LV"/>
              </w:rPr>
              <w:t xml:space="preserve">līdzdalības ietvaros </w:t>
            </w:r>
            <w:r w:rsidRPr="00DA4D88">
              <w:rPr>
                <w:rFonts w:ascii="Times New Roman" w:hAnsi="Times New Roman" w:cs="Times New Roman"/>
                <w:color w:val="0D0D0D" w:themeColor="text1" w:themeTint="F2"/>
                <w:sz w:val="24"/>
                <w:szCs w:val="24"/>
                <w:lang w:val="lv-LV"/>
              </w:rPr>
              <w:t>par Likumprojektu viedokli pauda Latvijas Pašvaldību savienība</w:t>
            </w:r>
            <w:r w:rsidR="007A691C">
              <w:rPr>
                <w:rFonts w:ascii="Times New Roman" w:hAnsi="Times New Roman" w:cs="Times New Roman"/>
                <w:color w:val="0D0D0D" w:themeColor="text1" w:themeTint="F2"/>
                <w:sz w:val="24"/>
                <w:szCs w:val="24"/>
                <w:lang w:val="lv-LV"/>
              </w:rPr>
              <w:t xml:space="preserve"> (LPS)</w:t>
            </w:r>
            <w:r w:rsidRPr="00DA4D88">
              <w:rPr>
                <w:rFonts w:ascii="Times New Roman" w:hAnsi="Times New Roman" w:cs="Times New Roman"/>
                <w:color w:val="0D0D0D" w:themeColor="text1" w:themeTint="F2"/>
                <w:sz w:val="24"/>
                <w:szCs w:val="24"/>
                <w:lang w:val="lv-LV"/>
              </w:rPr>
              <w:t>, Latvijas Tirdzniecības un rūpniecības kamera</w:t>
            </w:r>
            <w:r w:rsidR="007A691C">
              <w:rPr>
                <w:rFonts w:ascii="Times New Roman" w:hAnsi="Times New Roman" w:cs="Times New Roman"/>
                <w:color w:val="0D0D0D" w:themeColor="text1" w:themeTint="F2"/>
                <w:sz w:val="24"/>
                <w:szCs w:val="24"/>
                <w:lang w:val="lv-LV"/>
              </w:rPr>
              <w:t xml:space="preserve"> (LTRK)</w:t>
            </w:r>
            <w:r w:rsidRPr="00DA4D88">
              <w:rPr>
                <w:rFonts w:ascii="Times New Roman" w:hAnsi="Times New Roman" w:cs="Times New Roman"/>
                <w:color w:val="0D0D0D" w:themeColor="text1" w:themeTint="F2"/>
                <w:sz w:val="24"/>
                <w:szCs w:val="24"/>
                <w:lang w:val="lv-LV"/>
              </w:rPr>
              <w:t xml:space="preserve">, </w:t>
            </w:r>
            <w:r w:rsidRPr="00C96C27">
              <w:rPr>
                <w:rFonts w:ascii="Times New Roman" w:hAnsi="Times New Roman" w:cs="Times New Roman"/>
                <w:sz w:val="24"/>
                <w:szCs w:val="24"/>
                <w:lang w:val="lv-LV"/>
              </w:rPr>
              <w:t>biedrība “Ārvalstu investoru padome Latvijā”</w:t>
            </w:r>
            <w:r w:rsidR="007A691C" w:rsidRPr="00C96C27">
              <w:rPr>
                <w:rFonts w:ascii="Times New Roman" w:hAnsi="Times New Roman" w:cs="Times New Roman"/>
                <w:sz w:val="24"/>
                <w:szCs w:val="24"/>
                <w:lang w:val="lv-LV"/>
              </w:rPr>
              <w:t xml:space="preserve"> (FICIL)</w:t>
            </w:r>
            <w:r w:rsidRPr="00C96C27">
              <w:rPr>
                <w:rFonts w:ascii="Times New Roman" w:hAnsi="Times New Roman" w:cs="Times New Roman"/>
                <w:sz w:val="24"/>
                <w:szCs w:val="24"/>
                <w:lang w:val="lv-LV"/>
              </w:rPr>
              <w:t xml:space="preserve">, biedrība “Latvijas Būvuzņēmēju Partnerība” </w:t>
            </w:r>
            <w:r w:rsidR="007A691C" w:rsidRPr="00C96C27">
              <w:rPr>
                <w:rFonts w:ascii="Times New Roman" w:hAnsi="Times New Roman" w:cs="Times New Roman"/>
                <w:sz w:val="24"/>
                <w:szCs w:val="24"/>
                <w:lang w:val="lv-LV"/>
              </w:rPr>
              <w:t xml:space="preserve">(LBP) </w:t>
            </w:r>
            <w:r w:rsidRPr="00C96C27">
              <w:rPr>
                <w:rFonts w:ascii="Times New Roman" w:hAnsi="Times New Roman" w:cs="Times New Roman"/>
                <w:sz w:val="24"/>
                <w:szCs w:val="24"/>
                <w:lang w:val="lv-LV"/>
              </w:rPr>
              <w:t xml:space="preserve">un </w:t>
            </w:r>
            <w:r w:rsidR="0017295B" w:rsidRPr="00C96C27">
              <w:rPr>
                <w:rFonts w:ascii="Times New Roman" w:eastAsia="Calibri" w:hAnsi="Times New Roman" w:cs="Times New Roman"/>
                <w:sz w:val="24"/>
                <w:szCs w:val="24"/>
                <w:lang w:val="lv-LV"/>
              </w:rPr>
              <w:t xml:space="preserve">zvērinātu </w:t>
            </w:r>
            <w:r w:rsidR="0017295B" w:rsidRPr="0017295B">
              <w:rPr>
                <w:rFonts w:ascii="Times New Roman" w:eastAsia="Calibri" w:hAnsi="Times New Roman" w:cs="Times New Roman"/>
                <w:sz w:val="24"/>
                <w:szCs w:val="24"/>
                <w:lang w:val="lv-LV"/>
              </w:rPr>
              <w:t>advokātu birojs “Spīgulis &amp; Kukainis”</w:t>
            </w:r>
            <w:r w:rsidR="007A691C">
              <w:rPr>
                <w:rFonts w:ascii="Times New Roman" w:eastAsia="Calibri" w:hAnsi="Times New Roman" w:cs="Times New Roman"/>
                <w:sz w:val="24"/>
                <w:szCs w:val="24"/>
                <w:lang w:val="lv-LV"/>
              </w:rPr>
              <w:t>.</w:t>
            </w:r>
          </w:p>
          <w:p w14:paraId="02B29447" w14:textId="0F035A19" w:rsidR="001E4601" w:rsidRPr="00C96C27" w:rsidRDefault="007A691C" w:rsidP="00C96C27">
            <w:pPr>
              <w:spacing w:after="0" w:line="240" w:lineRule="auto"/>
              <w:jc w:val="both"/>
              <w:rPr>
                <w:rFonts w:ascii="Times New Roman" w:hAnsi="Times New Roman" w:cs="Times New Roman"/>
                <w:color w:val="0D0D0D" w:themeColor="text1" w:themeTint="F2"/>
                <w:sz w:val="24"/>
                <w:szCs w:val="24"/>
                <w:lang w:val="lv-LV"/>
              </w:rPr>
            </w:pPr>
            <w:r w:rsidRPr="007A691C">
              <w:rPr>
                <w:rFonts w:ascii="Times New Roman" w:hAnsi="Times New Roman" w:cs="Times New Roman"/>
                <w:color w:val="0D0D0D" w:themeColor="text1" w:themeTint="F2"/>
                <w:sz w:val="24"/>
                <w:szCs w:val="24"/>
                <w:lang w:val="lv-LV"/>
              </w:rPr>
              <w:t xml:space="preserve">Lai pārrunātu </w:t>
            </w:r>
            <w:proofErr w:type="spellStart"/>
            <w:r w:rsidRPr="007A691C">
              <w:rPr>
                <w:rFonts w:ascii="Times New Roman" w:hAnsi="Times New Roman" w:cs="Times New Roman"/>
                <w:color w:val="0D0D0D" w:themeColor="text1" w:themeTint="F2"/>
                <w:sz w:val="24"/>
                <w:szCs w:val="24"/>
                <w:lang w:val="lv-LV"/>
              </w:rPr>
              <w:t>rakstveidā</w:t>
            </w:r>
            <w:proofErr w:type="spellEnd"/>
            <w:r w:rsidRPr="007A691C">
              <w:rPr>
                <w:rFonts w:ascii="Times New Roman" w:hAnsi="Times New Roman" w:cs="Times New Roman"/>
                <w:color w:val="0D0D0D" w:themeColor="text1" w:themeTint="F2"/>
                <w:sz w:val="24"/>
                <w:szCs w:val="24"/>
                <w:lang w:val="lv-LV"/>
              </w:rPr>
              <w:t xml:space="preserve"> saņemtos komentārus par Likumprojektu, 2020.gada 30.septembrī tika rīkota sanāksme ar sabiedrības līdzdalībā iesaistītajām pusēm. </w:t>
            </w:r>
            <w:r w:rsidRPr="00C96C27">
              <w:rPr>
                <w:rFonts w:ascii="Times New Roman" w:hAnsi="Times New Roman" w:cs="Times New Roman"/>
                <w:color w:val="0D0D0D" w:themeColor="text1" w:themeTint="F2"/>
                <w:sz w:val="24"/>
                <w:szCs w:val="24"/>
                <w:lang w:val="lv-LV"/>
              </w:rPr>
              <w:t>Būtiskākie apspriestie jautājumi:</w:t>
            </w:r>
          </w:p>
          <w:p w14:paraId="0650D6D0" w14:textId="77777777" w:rsidR="009D19CF" w:rsidRDefault="009D19CF" w:rsidP="00C96C27">
            <w:pPr>
              <w:pStyle w:val="naiskr"/>
              <w:numPr>
                <w:ilvl w:val="0"/>
                <w:numId w:val="24"/>
              </w:numPr>
              <w:spacing w:before="0" w:after="0"/>
              <w:ind w:left="357" w:hanging="357"/>
              <w:jc w:val="both"/>
              <w:rPr>
                <w:color w:val="0D0D0D" w:themeColor="text1" w:themeTint="F2"/>
              </w:rPr>
            </w:pPr>
            <w:r>
              <w:rPr>
                <w:color w:val="0D0D0D" w:themeColor="text1" w:themeTint="F2"/>
              </w:rPr>
              <w:t>p</w:t>
            </w:r>
            <w:r w:rsidR="009C7C8E">
              <w:rPr>
                <w:color w:val="0D0D0D" w:themeColor="text1" w:themeTint="F2"/>
              </w:rPr>
              <w:t xml:space="preserve">adomes priekšsēdētāja un padomes locekļu  </w:t>
            </w:r>
            <w:r>
              <w:rPr>
                <w:color w:val="0D0D0D" w:themeColor="text1" w:themeTint="F2"/>
              </w:rPr>
              <w:t xml:space="preserve">amat pretendentu atlases process un </w:t>
            </w:r>
            <w:r w:rsidR="009C7C8E">
              <w:rPr>
                <w:color w:val="0D0D0D" w:themeColor="text1" w:themeTint="F2"/>
              </w:rPr>
              <w:t>darbības neatkarība</w:t>
            </w:r>
            <w:r>
              <w:rPr>
                <w:color w:val="0D0D0D" w:themeColor="text1" w:themeTint="F2"/>
              </w:rPr>
              <w:t>;</w:t>
            </w:r>
          </w:p>
          <w:p w14:paraId="317C0B8A" w14:textId="714253C7" w:rsidR="009D19CF" w:rsidRDefault="009D19CF" w:rsidP="00C96C27">
            <w:pPr>
              <w:pStyle w:val="naiskr"/>
              <w:numPr>
                <w:ilvl w:val="0"/>
                <w:numId w:val="24"/>
              </w:numPr>
              <w:spacing w:before="0" w:after="0"/>
              <w:ind w:left="357" w:hanging="357"/>
              <w:jc w:val="both"/>
              <w:rPr>
                <w:color w:val="0D0D0D" w:themeColor="text1" w:themeTint="F2"/>
              </w:rPr>
            </w:pPr>
            <w:r>
              <w:rPr>
                <w:color w:val="0D0D0D" w:themeColor="text1" w:themeTint="F2"/>
              </w:rPr>
              <w:t>tiesiskā pienākuma piespiedu izpildes attiecināšana uz fiziskām personām (pielāgošana A</w:t>
            </w:r>
            <w:r w:rsidR="009614EB">
              <w:rPr>
                <w:color w:val="0D0D0D" w:themeColor="text1" w:themeTint="F2"/>
              </w:rPr>
              <w:t>dministratīvā procesa likumā</w:t>
            </w:r>
            <w:r>
              <w:rPr>
                <w:color w:val="0D0D0D" w:themeColor="text1" w:themeTint="F2"/>
              </w:rPr>
              <w:t xml:space="preserve"> lietotam terminam “adresāts”);</w:t>
            </w:r>
          </w:p>
          <w:p w14:paraId="7B1657B8" w14:textId="77777777" w:rsidR="00220424" w:rsidRDefault="009D19CF" w:rsidP="00C96C27">
            <w:pPr>
              <w:pStyle w:val="naiskr"/>
              <w:numPr>
                <w:ilvl w:val="0"/>
                <w:numId w:val="24"/>
              </w:numPr>
              <w:spacing w:before="0" w:after="0"/>
              <w:ind w:left="357" w:hanging="357"/>
              <w:jc w:val="both"/>
              <w:rPr>
                <w:color w:val="0D0D0D" w:themeColor="text1" w:themeTint="F2"/>
              </w:rPr>
            </w:pPr>
            <w:r>
              <w:rPr>
                <w:color w:val="0D0D0D" w:themeColor="text1" w:themeTint="F2"/>
              </w:rPr>
              <w:t>telpu aizzīmogošana</w:t>
            </w:r>
            <w:r w:rsidR="00220424">
              <w:rPr>
                <w:color w:val="0D0D0D" w:themeColor="text1" w:themeTint="F2"/>
              </w:rPr>
              <w:t>s ilgums</w:t>
            </w:r>
            <w:r>
              <w:rPr>
                <w:color w:val="0D0D0D" w:themeColor="text1" w:themeTint="F2"/>
              </w:rPr>
              <w:t>, veicot procesuālās darbības</w:t>
            </w:r>
            <w:r w:rsidR="00220424">
              <w:rPr>
                <w:color w:val="0D0D0D" w:themeColor="text1" w:themeTint="F2"/>
              </w:rPr>
              <w:t>;</w:t>
            </w:r>
          </w:p>
          <w:p w14:paraId="343E4E4F" w14:textId="7E16D200" w:rsidR="00220424" w:rsidRPr="00220424" w:rsidRDefault="00220424" w:rsidP="00C96C27">
            <w:pPr>
              <w:pStyle w:val="naiskr"/>
              <w:numPr>
                <w:ilvl w:val="0"/>
                <w:numId w:val="24"/>
              </w:numPr>
              <w:spacing w:before="0" w:after="0"/>
              <w:ind w:left="357" w:hanging="357"/>
              <w:jc w:val="both"/>
              <w:rPr>
                <w:color w:val="0D0D0D" w:themeColor="text1" w:themeTint="F2"/>
              </w:rPr>
            </w:pPr>
            <w:r>
              <w:rPr>
                <w:color w:val="0D0D0D" w:themeColor="text1" w:themeTint="F2"/>
              </w:rPr>
              <w:t xml:space="preserve">pilnvaroto personu (tiesībaizsardzības iestāžu) </w:t>
            </w:r>
            <w:r w:rsidRPr="00220424">
              <w:rPr>
                <w:color w:val="0D0D0D" w:themeColor="text1" w:themeTint="F2"/>
              </w:rPr>
              <w:t xml:space="preserve">atbalsts KP, </w:t>
            </w:r>
            <w:r w:rsidRPr="00220424">
              <w:rPr>
                <w:rFonts w:eastAsia="Calibri"/>
              </w:rPr>
              <w:t>veicot procesuālās darbības konkurences tiesību pārkāpuma lietas ietvaros;</w:t>
            </w:r>
          </w:p>
          <w:p w14:paraId="2B630859" w14:textId="77777777" w:rsidR="005D396C" w:rsidRDefault="005D396C" w:rsidP="00C96C27">
            <w:pPr>
              <w:pStyle w:val="naiskr"/>
              <w:numPr>
                <w:ilvl w:val="0"/>
                <w:numId w:val="24"/>
              </w:numPr>
              <w:spacing w:before="0" w:after="0"/>
              <w:ind w:left="357" w:hanging="357"/>
              <w:jc w:val="both"/>
              <w:rPr>
                <w:color w:val="0D0D0D" w:themeColor="text1" w:themeTint="F2"/>
              </w:rPr>
            </w:pPr>
            <w:r>
              <w:rPr>
                <w:color w:val="0D0D0D" w:themeColor="text1" w:themeTint="F2"/>
              </w:rPr>
              <w:t>iecietības programmas izmantošanas veicināšana;</w:t>
            </w:r>
          </w:p>
          <w:p w14:paraId="12B5B6EB" w14:textId="6FE11C37" w:rsidR="005D396C" w:rsidRDefault="005D396C" w:rsidP="00C96C27">
            <w:pPr>
              <w:pStyle w:val="naiskr"/>
              <w:numPr>
                <w:ilvl w:val="0"/>
                <w:numId w:val="24"/>
              </w:numPr>
              <w:spacing w:before="0" w:after="0"/>
              <w:ind w:left="357" w:hanging="357"/>
              <w:jc w:val="both"/>
              <w:rPr>
                <w:color w:val="0D0D0D" w:themeColor="text1" w:themeTint="F2"/>
              </w:rPr>
            </w:pPr>
            <w:r>
              <w:rPr>
                <w:color w:val="0D0D0D" w:themeColor="text1" w:themeTint="F2"/>
              </w:rPr>
              <w:t>administratīvās atbildības pārskatīšana (naudas sodu palielināšana) par īstenotajiem konkurences tiesību pārkāpumiem;</w:t>
            </w:r>
          </w:p>
          <w:p w14:paraId="2A046E01" w14:textId="7066AB06" w:rsidR="005D396C" w:rsidRDefault="005D396C" w:rsidP="00C96C27">
            <w:pPr>
              <w:pStyle w:val="naiskr"/>
              <w:numPr>
                <w:ilvl w:val="0"/>
                <w:numId w:val="24"/>
              </w:numPr>
              <w:spacing w:before="0" w:after="0"/>
              <w:ind w:left="357" w:hanging="357"/>
              <w:jc w:val="both"/>
              <w:rPr>
                <w:color w:val="0D0D0D" w:themeColor="text1" w:themeTint="F2"/>
              </w:rPr>
            </w:pPr>
            <w:r>
              <w:rPr>
                <w:color w:val="0D0D0D" w:themeColor="text1" w:themeTint="F2"/>
              </w:rPr>
              <w:t>pagaidu noregulējuma attiecināšana arī uz Likuma pārkāpumiem (ne tikai LESD 101., 102.panta pārkāpumiem).</w:t>
            </w:r>
          </w:p>
          <w:p w14:paraId="625AE228" w14:textId="77777777" w:rsidR="00C96C27" w:rsidRDefault="00C96C27" w:rsidP="00C96C27">
            <w:pPr>
              <w:pStyle w:val="naiskr"/>
              <w:spacing w:before="0" w:after="0"/>
              <w:jc w:val="both"/>
              <w:rPr>
                <w:color w:val="0D0D0D" w:themeColor="text1" w:themeTint="F2"/>
              </w:rPr>
            </w:pPr>
          </w:p>
          <w:p w14:paraId="43B18E82" w14:textId="624A959F" w:rsidR="00975769" w:rsidRDefault="00975769" w:rsidP="00C96C27">
            <w:pPr>
              <w:pStyle w:val="naiskr"/>
              <w:spacing w:before="0" w:after="0"/>
              <w:jc w:val="both"/>
              <w:rPr>
                <w:color w:val="0D0D0D" w:themeColor="text1" w:themeTint="F2"/>
              </w:rPr>
            </w:pPr>
            <w:r>
              <w:rPr>
                <w:color w:val="0D0D0D" w:themeColor="text1" w:themeTint="F2"/>
              </w:rPr>
              <w:t xml:space="preserve">Izvērtējot </w:t>
            </w:r>
            <w:r w:rsidR="00C847B8">
              <w:rPr>
                <w:color w:val="0D0D0D" w:themeColor="text1" w:themeTint="F2"/>
              </w:rPr>
              <w:t>sabiedrības līdzdalības</w:t>
            </w:r>
            <w:r>
              <w:rPr>
                <w:color w:val="0D0D0D" w:themeColor="text1" w:themeTint="F2"/>
              </w:rPr>
              <w:t xml:space="preserve"> ietvaros </w:t>
            </w:r>
            <w:r w:rsidR="00C847B8">
              <w:rPr>
                <w:color w:val="0D0D0D" w:themeColor="text1" w:themeTint="F2"/>
              </w:rPr>
              <w:t>pausto argumentāciju iepriekš minētajos jautājumos, Likumprojektā un sākotnējās ietekmes novērtējuma ziņojumā (anotācijā) ir veikti šādi redakcionāli precizējumi:</w:t>
            </w:r>
          </w:p>
          <w:p w14:paraId="2C028699" w14:textId="77777777" w:rsidR="007F1815" w:rsidRDefault="00C847B8" w:rsidP="00C96C27">
            <w:pPr>
              <w:pStyle w:val="naiskr"/>
              <w:numPr>
                <w:ilvl w:val="0"/>
                <w:numId w:val="13"/>
              </w:numPr>
              <w:spacing w:before="0" w:after="0"/>
              <w:jc w:val="both"/>
              <w:rPr>
                <w:color w:val="0D0D0D" w:themeColor="text1" w:themeTint="F2"/>
              </w:rPr>
            </w:pPr>
            <w:r>
              <w:rPr>
                <w:color w:val="0D0D0D" w:themeColor="text1" w:themeTint="F2"/>
              </w:rPr>
              <w:t>papildināta anotācija ar izvērstāku skaidrojumu par plānotajām izmaiņām padomes priekšsēdētāja un padomes locekļu amata pretendentu atlases kārtībā</w:t>
            </w:r>
            <w:r w:rsidR="007F1815">
              <w:rPr>
                <w:color w:val="0D0D0D" w:themeColor="text1" w:themeTint="F2"/>
              </w:rPr>
              <w:t xml:space="preserve"> un</w:t>
            </w:r>
            <w:r>
              <w:rPr>
                <w:color w:val="0D0D0D" w:themeColor="text1" w:themeTint="F2"/>
              </w:rPr>
              <w:t xml:space="preserve"> Likumprojektā papildus </w:t>
            </w:r>
            <w:r w:rsidR="007F1815">
              <w:rPr>
                <w:color w:val="0D0D0D" w:themeColor="text1" w:themeTint="F2"/>
              </w:rPr>
              <w:t xml:space="preserve">ietvertajām operacionālās neatkarības </w:t>
            </w:r>
            <w:r>
              <w:rPr>
                <w:color w:val="0D0D0D" w:themeColor="text1" w:themeTint="F2"/>
              </w:rPr>
              <w:t>garantijām</w:t>
            </w:r>
            <w:r w:rsidR="007F1815">
              <w:rPr>
                <w:color w:val="0D0D0D" w:themeColor="text1" w:themeTint="F2"/>
              </w:rPr>
              <w:t>, lai nodrošinātu lēmējinstitūcijas pilnīgu neatkarību no politiskās un cita veida ārējās ietekmes;</w:t>
            </w:r>
          </w:p>
          <w:p w14:paraId="587FD7BC" w14:textId="3A78AD34" w:rsidR="00C847B8" w:rsidRDefault="007F1815" w:rsidP="00C96C27">
            <w:pPr>
              <w:pStyle w:val="naiskr"/>
              <w:numPr>
                <w:ilvl w:val="0"/>
                <w:numId w:val="13"/>
              </w:numPr>
              <w:spacing w:before="0" w:after="0"/>
              <w:jc w:val="both"/>
              <w:rPr>
                <w:color w:val="0D0D0D" w:themeColor="text1" w:themeTint="F2"/>
              </w:rPr>
            </w:pPr>
            <w:r>
              <w:rPr>
                <w:color w:val="0D0D0D" w:themeColor="text1" w:themeTint="F2"/>
              </w:rPr>
              <w:t xml:space="preserve"> papildināta anotācija ar izvērstāku skaidrojumu par</w:t>
            </w:r>
            <w:r w:rsidR="00C847B8">
              <w:rPr>
                <w:color w:val="0D0D0D" w:themeColor="text1" w:themeTint="F2"/>
              </w:rPr>
              <w:t xml:space="preserve"> </w:t>
            </w:r>
            <w:r>
              <w:rPr>
                <w:color w:val="0D0D0D" w:themeColor="text1" w:themeTint="F2"/>
              </w:rPr>
              <w:t xml:space="preserve">nepieciešamību pielāgot Likumā piemēroto terminoloģiju </w:t>
            </w:r>
            <w:r w:rsidR="00E54BDE">
              <w:rPr>
                <w:color w:val="0D0D0D" w:themeColor="text1" w:themeTint="F2"/>
              </w:rPr>
              <w:t xml:space="preserve">“tirgus dalībnieks” </w:t>
            </w:r>
            <w:r>
              <w:rPr>
                <w:color w:val="0D0D0D" w:themeColor="text1" w:themeTint="F2"/>
              </w:rPr>
              <w:t>Administratīvā procesa likumā izmantotajai terminoloģijai</w:t>
            </w:r>
            <w:r w:rsidR="00E54BDE">
              <w:rPr>
                <w:color w:val="0D0D0D" w:themeColor="text1" w:themeTint="F2"/>
              </w:rPr>
              <w:t xml:space="preserve"> “adresāts”;</w:t>
            </w:r>
          </w:p>
          <w:p w14:paraId="1DE4327B" w14:textId="774DDC77" w:rsidR="00E54BDE" w:rsidRDefault="00E54BDE" w:rsidP="00C96C27">
            <w:pPr>
              <w:pStyle w:val="naiskr"/>
              <w:numPr>
                <w:ilvl w:val="0"/>
                <w:numId w:val="13"/>
              </w:numPr>
              <w:spacing w:before="0" w:after="0"/>
              <w:jc w:val="both"/>
              <w:rPr>
                <w:color w:val="0D0D0D" w:themeColor="text1" w:themeTint="F2"/>
              </w:rPr>
            </w:pPr>
            <w:r>
              <w:rPr>
                <w:color w:val="0D0D0D" w:themeColor="text1" w:themeTint="F2"/>
              </w:rPr>
              <w:lastRenderedPageBreak/>
              <w:t xml:space="preserve"> papildin</w:t>
            </w:r>
            <w:r w:rsidR="00634BBD">
              <w:rPr>
                <w:color w:val="0D0D0D" w:themeColor="text1" w:themeTint="F2"/>
              </w:rPr>
              <w:t>āta</w:t>
            </w:r>
            <w:r>
              <w:rPr>
                <w:color w:val="0D0D0D" w:themeColor="text1" w:themeTint="F2"/>
              </w:rPr>
              <w:t xml:space="preserve"> anotācij</w:t>
            </w:r>
            <w:r w:rsidR="00634BBD">
              <w:rPr>
                <w:color w:val="0D0D0D" w:themeColor="text1" w:themeTint="F2"/>
              </w:rPr>
              <w:t>a</w:t>
            </w:r>
            <w:r>
              <w:rPr>
                <w:color w:val="0D0D0D" w:themeColor="text1" w:themeTint="F2"/>
              </w:rPr>
              <w:t xml:space="preserve"> ar izvērstāku skaidrojumu par Likumā paredzētās 9.panta desmitās daļas piemērošanas aspektiem;</w:t>
            </w:r>
          </w:p>
          <w:p w14:paraId="79B3CB8A" w14:textId="77777777" w:rsidR="00E54BDE" w:rsidRPr="00EB20F9" w:rsidRDefault="00EB20F9" w:rsidP="00C96C27">
            <w:pPr>
              <w:pStyle w:val="naiskr"/>
              <w:numPr>
                <w:ilvl w:val="0"/>
                <w:numId w:val="13"/>
              </w:numPr>
              <w:spacing w:before="0" w:after="0"/>
              <w:jc w:val="both"/>
              <w:rPr>
                <w:color w:val="0D0D0D" w:themeColor="text1" w:themeTint="F2"/>
              </w:rPr>
            </w:pPr>
            <w:r>
              <w:rPr>
                <w:color w:val="0D0D0D" w:themeColor="text1" w:themeTint="F2"/>
              </w:rPr>
              <w:t xml:space="preserve">pārskatīts priekšlikumos sākotnēji paredzētais administratīvās </w:t>
            </w:r>
            <w:r w:rsidRPr="00EB20F9">
              <w:rPr>
                <w:color w:val="0D0D0D" w:themeColor="text1" w:themeTint="F2"/>
              </w:rPr>
              <w:t xml:space="preserve">atbildības apmērs, nosakot  </w:t>
            </w:r>
            <w:r w:rsidRPr="00EB20F9">
              <w:rPr>
                <w:bCs/>
              </w:rPr>
              <w:t>atbildības augšējo slieksni 10% apmērā no tirgus dalībnieka kopējā apgrozījuma pasaulē</w:t>
            </w:r>
            <w:r>
              <w:rPr>
                <w:bCs/>
              </w:rPr>
              <w:t>;</w:t>
            </w:r>
          </w:p>
          <w:p w14:paraId="06953C33" w14:textId="5DC477D7" w:rsidR="00EB20F9" w:rsidRPr="00587EA7" w:rsidRDefault="00EB20F9" w:rsidP="00C96C27">
            <w:pPr>
              <w:pStyle w:val="naiskr"/>
              <w:numPr>
                <w:ilvl w:val="0"/>
                <w:numId w:val="13"/>
              </w:numPr>
              <w:spacing w:before="0" w:after="0"/>
              <w:ind w:left="357" w:hanging="357"/>
              <w:jc w:val="both"/>
              <w:rPr>
                <w:color w:val="0D0D0D" w:themeColor="text1" w:themeTint="F2"/>
              </w:rPr>
            </w:pPr>
            <w:r>
              <w:rPr>
                <w:bCs/>
              </w:rPr>
              <w:t>svītrots Likumprojektā ietvertais priekšlikums, kas paredzēja pagaidu noregulējumu attiecināt arī uz Likuma pārkāpumiem.</w:t>
            </w:r>
          </w:p>
        </w:tc>
      </w:tr>
      <w:tr w:rsidR="00876E61" w:rsidRPr="00876E61" w14:paraId="7D5717F3" w14:textId="77777777" w:rsidTr="0028676C">
        <w:trPr>
          <w:trHeight w:val="476"/>
          <w:jc w:val="center"/>
        </w:trPr>
        <w:tc>
          <w:tcPr>
            <w:tcW w:w="860" w:type="dxa"/>
          </w:tcPr>
          <w:p w14:paraId="1091E7B7" w14:textId="77777777" w:rsidR="001E4601" w:rsidRPr="00876E61" w:rsidRDefault="00120C05" w:rsidP="001E4601">
            <w:pPr>
              <w:pStyle w:val="naiskr"/>
              <w:spacing w:before="0" w:after="0"/>
              <w:ind w:left="57" w:right="57"/>
              <w:rPr>
                <w:bCs/>
                <w:color w:val="000000" w:themeColor="text1"/>
              </w:rPr>
            </w:pPr>
            <w:r w:rsidRPr="00876E61">
              <w:rPr>
                <w:bCs/>
                <w:color w:val="000000" w:themeColor="text1"/>
              </w:rPr>
              <w:lastRenderedPageBreak/>
              <w:t>4</w:t>
            </w:r>
            <w:r w:rsidR="001E4601" w:rsidRPr="00876E61">
              <w:rPr>
                <w:bCs/>
                <w:color w:val="000000" w:themeColor="text1"/>
              </w:rPr>
              <w:t>.</w:t>
            </w:r>
          </w:p>
        </w:tc>
        <w:tc>
          <w:tcPr>
            <w:tcW w:w="2679" w:type="dxa"/>
          </w:tcPr>
          <w:p w14:paraId="48730A0F" w14:textId="77777777" w:rsidR="001E4601" w:rsidRPr="00587EA7" w:rsidRDefault="001E4601" w:rsidP="001E4601">
            <w:pPr>
              <w:pStyle w:val="naiskr"/>
              <w:spacing w:before="0" w:after="0"/>
              <w:ind w:left="57" w:right="57"/>
              <w:rPr>
                <w:color w:val="0D0D0D" w:themeColor="text1" w:themeTint="F2"/>
              </w:rPr>
            </w:pPr>
            <w:r w:rsidRPr="00587EA7">
              <w:rPr>
                <w:color w:val="0D0D0D" w:themeColor="text1" w:themeTint="F2"/>
              </w:rPr>
              <w:t>Cita informācija</w:t>
            </w:r>
          </w:p>
          <w:p w14:paraId="0055AC3B" w14:textId="77777777" w:rsidR="001E4601" w:rsidRPr="00587EA7" w:rsidRDefault="001E4601" w:rsidP="001E4601">
            <w:pPr>
              <w:pStyle w:val="naiskr"/>
              <w:spacing w:before="0" w:after="0"/>
              <w:ind w:left="57" w:right="57"/>
              <w:rPr>
                <w:color w:val="0D0D0D" w:themeColor="text1" w:themeTint="F2"/>
              </w:rPr>
            </w:pPr>
          </w:p>
        </w:tc>
        <w:tc>
          <w:tcPr>
            <w:tcW w:w="6284" w:type="dxa"/>
          </w:tcPr>
          <w:p w14:paraId="71BD118C" w14:textId="1BC29A2D" w:rsidR="001E4601" w:rsidRPr="00587EA7" w:rsidRDefault="001E4601" w:rsidP="00120C05">
            <w:pPr>
              <w:pStyle w:val="naiskr"/>
              <w:spacing w:before="0" w:after="0"/>
              <w:jc w:val="both"/>
              <w:rPr>
                <w:color w:val="0D0D0D" w:themeColor="text1" w:themeTint="F2"/>
              </w:rPr>
            </w:pPr>
            <w:r w:rsidRPr="00587EA7">
              <w:rPr>
                <w:color w:val="0D0D0D" w:themeColor="text1" w:themeTint="F2"/>
              </w:rPr>
              <w:t>Nav</w:t>
            </w:r>
          </w:p>
        </w:tc>
      </w:tr>
    </w:tbl>
    <w:p w14:paraId="108E514B" w14:textId="02089024" w:rsidR="00283CC0" w:rsidRDefault="00283CC0" w:rsidP="00793BF4">
      <w:pPr>
        <w:rPr>
          <w:rFonts w:ascii="Times New Roman" w:hAnsi="Times New Roman" w:cs="Times New Roman"/>
          <w:b/>
          <w:bCs/>
          <w:color w:val="000000" w:themeColor="text1"/>
          <w:sz w:val="24"/>
          <w:szCs w:val="24"/>
          <w:shd w:val="clear" w:color="auto" w:fill="FFFFFF"/>
          <w:lang w:val="lv-LV"/>
        </w:rPr>
      </w:pPr>
    </w:p>
    <w:tbl>
      <w:tblPr>
        <w:tblW w:w="98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911"/>
        <w:gridCol w:w="6311"/>
      </w:tblGrid>
      <w:tr w:rsidR="00853A4D" w:rsidRPr="00DA1DD3" w14:paraId="4D6D1166" w14:textId="77777777" w:rsidTr="00A44F5A">
        <w:tc>
          <w:tcPr>
            <w:tcW w:w="9823" w:type="dxa"/>
            <w:gridSpan w:val="3"/>
            <w:tcBorders>
              <w:top w:val="single" w:sz="4" w:space="0" w:color="auto"/>
            </w:tcBorders>
          </w:tcPr>
          <w:p w14:paraId="3531AAAA" w14:textId="77777777" w:rsidR="00853A4D" w:rsidRPr="00587EA7" w:rsidRDefault="00853A4D" w:rsidP="00853A4D">
            <w:pPr>
              <w:pStyle w:val="naisnod"/>
              <w:spacing w:before="0" w:after="0"/>
              <w:ind w:left="57" w:right="57"/>
              <w:rPr>
                <w:color w:val="0D0D0D" w:themeColor="text1" w:themeTint="F2"/>
              </w:rPr>
            </w:pPr>
            <w:r w:rsidRPr="00587EA7">
              <w:rPr>
                <w:color w:val="0D0D0D" w:themeColor="text1" w:themeTint="F2"/>
              </w:rPr>
              <w:t>VII. Tiesību akta projekta izpildes nodrošināšana un tās ietekme uz institūcijām</w:t>
            </w:r>
          </w:p>
        </w:tc>
      </w:tr>
      <w:tr w:rsidR="00853A4D" w:rsidRPr="00587EA7" w14:paraId="1E8742D1" w14:textId="77777777" w:rsidTr="00A44F5A">
        <w:trPr>
          <w:trHeight w:val="427"/>
        </w:trPr>
        <w:tc>
          <w:tcPr>
            <w:tcW w:w="601" w:type="dxa"/>
          </w:tcPr>
          <w:p w14:paraId="6C41677E" w14:textId="77777777" w:rsidR="00853A4D" w:rsidRPr="00876E61" w:rsidRDefault="00853A4D" w:rsidP="00853A4D">
            <w:pPr>
              <w:pStyle w:val="naisnod"/>
              <w:spacing w:before="0" w:after="0"/>
              <w:ind w:left="57" w:right="57"/>
              <w:jc w:val="both"/>
              <w:rPr>
                <w:b w:val="0"/>
                <w:color w:val="000000" w:themeColor="text1"/>
              </w:rPr>
            </w:pPr>
            <w:r w:rsidRPr="00876E61">
              <w:rPr>
                <w:b w:val="0"/>
                <w:color w:val="000000" w:themeColor="text1"/>
              </w:rPr>
              <w:t>1.</w:t>
            </w:r>
          </w:p>
        </w:tc>
        <w:tc>
          <w:tcPr>
            <w:tcW w:w="2911" w:type="dxa"/>
          </w:tcPr>
          <w:p w14:paraId="242C4D21" w14:textId="77777777" w:rsidR="00853A4D" w:rsidRPr="00587EA7" w:rsidRDefault="00853A4D" w:rsidP="00853A4D">
            <w:pPr>
              <w:pStyle w:val="naisf"/>
              <w:spacing w:before="0" w:after="0"/>
              <w:ind w:left="57" w:right="57" w:firstLine="0"/>
              <w:rPr>
                <w:color w:val="0D0D0D" w:themeColor="text1" w:themeTint="F2"/>
              </w:rPr>
            </w:pPr>
            <w:r w:rsidRPr="00587EA7">
              <w:rPr>
                <w:color w:val="0D0D0D" w:themeColor="text1" w:themeTint="F2"/>
              </w:rPr>
              <w:t xml:space="preserve">Projekta izpildē iesaistītās institūcijas </w:t>
            </w:r>
          </w:p>
        </w:tc>
        <w:tc>
          <w:tcPr>
            <w:tcW w:w="6311" w:type="dxa"/>
          </w:tcPr>
          <w:p w14:paraId="5297A44F" w14:textId="77777777" w:rsidR="00853A4D" w:rsidRPr="00587EA7" w:rsidRDefault="00853A4D" w:rsidP="00853A4D">
            <w:pPr>
              <w:pStyle w:val="naisnod"/>
              <w:spacing w:before="0" w:after="0"/>
              <w:ind w:right="57"/>
              <w:jc w:val="both"/>
              <w:rPr>
                <w:b w:val="0"/>
                <w:color w:val="0D0D0D" w:themeColor="text1" w:themeTint="F2"/>
              </w:rPr>
            </w:pPr>
            <w:r w:rsidRPr="00587EA7">
              <w:rPr>
                <w:b w:val="0"/>
                <w:color w:val="0D0D0D" w:themeColor="text1" w:themeTint="F2"/>
              </w:rPr>
              <w:t>KP</w:t>
            </w:r>
          </w:p>
        </w:tc>
      </w:tr>
      <w:tr w:rsidR="00853A4D" w:rsidRPr="00DA1DD3" w14:paraId="39C6D97F" w14:textId="77777777" w:rsidTr="00A44F5A">
        <w:trPr>
          <w:trHeight w:val="463"/>
        </w:trPr>
        <w:tc>
          <w:tcPr>
            <w:tcW w:w="601" w:type="dxa"/>
          </w:tcPr>
          <w:p w14:paraId="461B16C7" w14:textId="77777777" w:rsidR="00853A4D" w:rsidRPr="00876E61" w:rsidRDefault="00853A4D" w:rsidP="00853A4D">
            <w:pPr>
              <w:pStyle w:val="naisnod"/>
              <w:spacing w:before="0" w:after="0"/>
              <w:ind w:left="57" w:right="57"/>
              <w:jc w:val="both"/>
              <w:rPr>
                <w:b w:val="0"/>
                <w:color w:val="000000" w:themeColor="text1"/>
              </w:rPr>
            </w:pPr>
            <w:r w:rsidRPr="00876E61">
              <w:rPr>
                <w:b w:val="0"/>
                <w:color w:val="000000" w:themeColor="text1"/>
              </w:rPr>
              <w:t>2.</w:t>
            </w:r>
          </w:p>
        </w:tc>
        <w:tc>
          <w:tcPr>
            <w:tcW w:w="2911" w:type="dxa"/>
          </w:tcPr>
          <w:p w14:paraId="1845BBBE" w14:textId="77777777" w:rsidR="00853A4D" w:rsidRPr="00587EA7" w:rsidRDefault="00853A4D" w:rsidP="00853A4D">
            <w:pPr>
              <w:pStyle w:val="naisf"/>
              <w:spacing w:before="0" w:after="0"/>
              <w:ind w:left="57" w:right="57" w:firstLine="0"/>
              <w:rPr>
                <w:color w:val="0D0D0D" w:themeColor="text1" w:themeTint="F2"/>
              </w:rPr>
            </w:pPr>
            <w:r w:rsidRPr="00587EA7">
              <w:rPr>
                <w:color w:val="0D0D0D" w:themeColor="text1" w:themeTint="F2"/>
              </w:rPr>
              <w:t>Projekta izpildes ietekme uz pārvaldes funkcijām un institucionālo struktūru.</w:t>
            </w:r>
          </w:p>
          <w:p w14:paraId="46402DA2" w14:textId="77777777" w:rsidR="00853A4D" w:rsidRPr="00587EA7" w:rsidRDefault="00853A4D" w:rsidP="00853A4D">
            <w:pPr>
              <w:pStyle w:val="naisf"/>
              <w:spacing w:before="0" w:after="0"/>
              <w:ind w:left="57" w:right="57" w:firstLine="0"/>
              <w:rPr>
                <w:color w:val="0D0D0D" w:themeColor="text1" w:themeTint="F2"/>
              </w:rPr>
            </w:pPr>
          </w:p>
          <w:p w14:paraId="27236FE0" w14:textId="77777777" w:rsidR="00853A4D" w:rsidRPr="00587EA7" w:rsidRDefault="00853A4D" w:rsidP="00853A4D">
            <w:pPr>
              <w:pStyle w:val="naisf"/>
              <w:spacing w:before="0" w:after="0"/>
              <w:ind w:left="57" w:right="57" w:firstLine="0"/>
              <w:rPr>
                <w:color w:val="0D0D0D" w:themeColor="text1" w:themeTint="F2"/>
              </w:rPr>
            </w:pPr>
            <w:r w:rsidRPr="00587EA7">
              <w:rPr>
                <w:color w:val="0D0D0D" w:themeColor="text1" w:themeTint="F2"/>
              </w:rPr>
              <w:t xml:space="preserve">Jaunu institūciju izveide, esošu institūciju likvidācija vai reorganizācija, to ietekme uz institūcijas cilvēkresursiem </w:t>
            </w:r>
          </w:p>
        </w:tc>
        <w:tc>
          <w:tcPr>
            <w:tcW w:w="6311" w:type="dxa"/>
          </w:tcPr>
          <w:p w14:paraId="1587BDEB" w14:textId="77777777" w:rsidR="00853A4D" w:rsidRPr="00587EA7" w:rsidRDefault="00853A4D" w:rsidP="005E5041">
            <w:pPr>
              <w:spacing w:after="120" w:line="240" w:lineRule="auto"/>
              <w:jc w:val="both"/>
              <w:rPr>
                <w:rFonts w:ascii="Times New Roman" w:hAnsi="Times New Roman" w:cs="Times New Roman"/>
                <w:color w:val="0D0D0D" w:themeColor="text1" w:themeTint="F2"/>
                <w:sz w:val="24"/>
                <w:szCs w:val="24"/>
                <w:lang w:val="lv-LV"/>
              </w:rPr>
            </w:pPr>
            <w:r w:rsidRPr="00587EA7">
              <w:rPr>
                <w:rFonts w:ascii="Times New Roman" w:hAnsi="Times New Roman" w:cs="Times New Roman"/>
                <w:color w:val="0D0D0D" w:themeColor="text1" w:themeTint="F2"/>
                <w:sz w:val="24"/>
                <w:szCs w:val="24"/>
                <w:lang w:val="lv-LV"/>
              </w:rPr>
              <w:t xml:space="preserve">Likumprojekts nodrošina funkcionāli neatkarīgu konkurences iestādi, nodrošinot profesionālu un objektīvu lēmumu pieņemšanu. </w:t>
            </w:r>
          </w:p>
          <w:p w14:paraId="138D962C" w14:textId="77777777" w:rsidR="00853A4D" w:rsidRPr="00587EA7" w:rsidRDefault="00853A4D" w:rsidP="005E5041">
            <w:pPr>
              <w:spacing w:after="120" w:line="240" w:lineRule="auto"/>
              <w:jc w:val="both"/>
              <w:rPr>
                <w:rFonts w:ascii="Times New Roman" w:hAnsi="Times New Roman" w:cs="Times New Roman"/>
                <w:color w:val="0D0D0D" w:themeColor="text1" w:themeTint="F2"/>
                <w:sz w:val="24"/>
                <w:szCs w:val="24"/>
                <w:lang w:val="lv-LV"/>
              </w:rPr>
            </w:pPr>
            <w:r w:rsidRPr="00587EA7">
              <w:rPr>
                <w:rFonts w:ascii="Times New Roman" w:hAnsi="Times New Roman" w:cs="Times New Roman"/>
                <w:color w:val="0D0D0D" w:themeColor="text1" w:themeTint="F2"/>
                <w:sz w:val="24"/>
                <w:szCs w:val="24"/>
                <w:lang w:val="lv-LV"/>
              </w:rPr>
              <w:t>Jaunas institūcijas vai esošu institūciju likvidēšana vai reorganizācija ar šo likumprojektu netiek veikta. Saistībā ar projekta izpildi nav nepieciešams veidot jaunas institūcijas, likvidēt vai reorganizēt esošās.</w:t>
            </w:r>
          </w:p>
        </w:tc>
      </w:tr>
      <w:tr w:rsidR="00853A4D" w:rsidRPr="00587EA7" w14:paraId="4AE14B00" w14:textId="77777777" w:rsidTr="00A44F5A">
        <w:trPr>
          <w:trHeight w:val="193"/>
        </w:trPr>
        <w:tc>
          <w:tcPr>
            <w:tcW w:w="601" w:type="dxa"/>
          </w:tcPr>
          <w:p w14:paraId="1C92A9DE" w14:textId="77777777" w:rsidR="00853A4D" w:rsidRPr="00876E61" w:rsidRDefault="00853A4D" w:rsidP="00853A4D">
            <w:pPr>
              <w:pStyle w:val="naiskr"/>
              <w:spacing w:before="0" w:after="0"/>
              <w:ind w:left="57" w:right="57"/>
              <w:jc w:val="both"/>
              <w:rPr>
                <w:color w:val="000000" w:themeColor="text1"/>
              </w:rPr>
            </w:pPr>
            <w:r w:rsidRPr="00876E61">
              <w:rPr>
                <w:color w:val="000000" w:themeColor="text1"/>
              </w:rPr>
              <w:t>3.</w:t>
            </w:r>
          </w:p>
        </w:tc>
        <w:tc>
          <w:tcPr>
            <w:tcW w:w="2911" w:type="dxa"/>
          </w:tcPr>
          <w:p w14:paraId="418B5D20" w14:textId="77777777" w:rsidR="00853A4D" w:rsidRPr="00587EA7" w:rsidRDefault="00853A4D" w:rsidP="00853A4D">
            <w:pPr>
              <w:pStyle w:val="naiskr"/>
              <w:spacing w:before="0" w:after="0"/>
              <w:ind w:left="57" w:right="57"/>
              <w:jc w:val="both"/>
              <w:rPr>
                <w:color w:val="0D0D0D" w:themeColor="text1" w:themeTint="F2"/>
              </w:rPr>
            </w:pPr>
            <w:r w:rsidRPr="00587EA7">
              <w:rPr>
                <w:color w:val="0D0D0D" w:themeColor="text1" w:themeTint="F2"/>
              </w:rPr>
              <w:t>Cita informācija</w:t>
            </w:r>
          </w:p>
        </w:tc>
        <w:tc>
          <w:tcPr>
            <w:tcW w:w="6311" w:type="dxa"/>
          </w:tcPr>
          <w:p w14:paraId="1A80664D" w14:textId="77777777" w:rsidR="00853A4D" w:rsidRPr="00587EA7" w:rsidRDefault="00853A4D" w:rsidP="00853A4D">
            <w:pPr>
              <w:pStyle w:val="naiskr"/>
              <w:spacing w:before="0" w:after="0"/>
              <w:ind w:left="57" w:right="57"/>
              <w:rPr>
                <w:color w:val="0D0D0D" w:themeColor="text1" w:themeTint="F2"/>
              </w:rPr>
            </w:pPr>
            <w:r w:rsidRPr="00587EA7">
              <w:rPr>
                <w:color w:val="0D0D0D" w:themeColor="text1" w:themeTint="F2"/>
              </w:rPr>
              <w:t>Nav</w:t>
            </w:r>
          </w:p>
        </w:tc>
      </w:tr>
    </w:tbl>
    <w:p w14:paraId="365BB118" w14:textId="401E173C" w:rsidR="00853A4D" w:rsidRDefault="00853A4D" w:rsidP="00793BF4">
      <w:pPr>
        <w:rPr>
          <w:rFonts w:ascii="Times New Roman" w:hAnsi="Times New Roman" w:cs="Times New Roman"/>
          <w:b/>
          <w:bCs/>
          <w:color w:val="000000" w:themeColor="text1"/>
          <w:sz w:val="24"/>
          <w:szCs w:val="24"/>
          <w:shd w:val="clear" w:color="auto" w:fill="FFFFFF"/>
          <w:lang w:val="lv-LV"/>
        </w:rPr>
      </w:pPr>
    </w:p>
    <w:p w14:paraId="79B522D9" w14:textId="77777777" w:rsidR="00A44F5A" w:rsidRPr="00A92165" w:rsidRDefault="00A44F5A" w:rsidP="00A44F5A">
      <w:pPr>
        <w:spacing w:after="0" w:line="240" w:lineRule="auto"/>
        <w:rPr>
          <w:sz w:val="20"/>
          <w:szCs w:val="20"/>
        </w:rPr>
      </w:pPr>
    </w:p>
    <w:p w14:paraId="3506D7C4" w14:textId="070AF807" w:rsidR="00A44F5A" w:rsidRPr="00A44F5A" w:rsidRDefault="00A44F5A" w:rsidP="00A44F5A">
      <w:pPr>
        <w:tabs>
          <w:tab w:val="left" w:pos="6521"/>
        </w:tabs>
        <w:spacing w:line="240" w:lineRule="auto"/>
        <w:rPr>
          <w:rFonts w:ascii="Times New Roman" w:hAnsi="Times New Roman" w:cs="Times New Roman"/>
          <w:bCs/>
          <w:iCs/>
          <w:sz w:val="26"/>
          <w:szCs w:val="26"/>
        </w:rPr>
      </w:pPr>
      <w:proofErr w:type="spellStart"/>
      <w:r w:rsidRPr="00A44F5A">
        <w:rPr>
          <w:rFonts w:ascii="Times New Roman" w:hAnsi="Times New Roman" w:cs="Times New Roman"/>
          <w:bCs/>
          <w:iCs/>
          <w:sz w:val="26"/>
          <w:szCs w:val="26"/>
        </w:rPr>
        <w:t>Ekonomikas</w:t>
      </w:r>
      <w:proofErr w:type="spellEnd"/>
      <w:r w:rsidRPr="00A44F5A">
        <w:rPr>
          <w:rFonts w:ascii="Times New Roman" w:hAnsi="Times New Roman" w:cs="Times New Roman"/>
          <w:bCs/>
          <w:iCs/>
          <w:sz w:val="26"/>
          <w:szCs w:val="26"/>
        </w:rPr>
        <w:t xml:space="preserve"> </w:t>
      </w:r>
      <w:proofErr w:type="spellStart"/>
      <w:r w:rsidRPr="00A44F5A">
        <w:rPr>
          <w:rFonts w:ascii="Times New Roman" w:hAnsi="Times New Roman" w:cs="Times New Roman"/>
          <w:bCs/>
          <w:iCs/>
          <w:sz w:val="26"/>
          <w:szCs w:val="26"/>
        </w:rPr>
        <w:t>min</w:t>
      </w:r>
      <w:bookmarkStart w:id="4" w:name="_GoBack"/>
      <w:bookmarkEnd w:id="4"/>
      <w:r w:rsidRPr="00A44F5A">
        <w:rPr>
          <w:rFonts w:ascii="Times New Roman" w:hAnsi="Times New Roman" w:cs="Times New Roman"/>
          <w:bCs/>
          <w:iCs/>
          <w:sz w:val="26"/>
          <w:szCs w:val="26"/>
        </w:rPr>
        <w:t>istrs</w:t>
      </w:r>
      <w:proofErr w:type="spellEnd"/>
      <w:r w:rsidRPr="00A44F5A">
        <w:rPr>
          <w:rFonts w:ascii="Times New Roman" w:hAnsi="Times New Roman" w:cs="Times New Roman"/>
          <w:bCs/>
          <w:iCs/>
          <w:sz w:val="26"/>
          <w:szCs w:val="26"/>
        </w:rPr>
        <w:tab/>
      </w:r>
      <w:r>
        <w:rPr>
          <w:rFonts w:ascii="Times New Roman" w:hAnsi="Times New Roman" w:cs="Times New Roman"/>
          <w:bCs/>
          <w:iCs/>
          <w:sz w:val="26"/>
          <w:szCs w:val="26"/>
        </w:rPr>
        <w:t>J</w:t>
      </w:r>
      <w:r w:rsidRPr="00A44F5A">
        <w:rPr>
          <w:rFonts w:ascii="Times New Roman" w:hAnsi="Times New Roman" w:cs="Times New Roman"/>
          <w:bCs/>
          <w:iCs/>
          <w:sz w:val="26"/>
          <w:szCs w:val="26"/>
        </w:rPr>
        <w:t>. </w:t>
      </w:r>
      <w:r>
        <w:rPr>
          <w:rFonts w:ascii="Times New Roman" w:hAnsi="Times New Roman" w:cs="Times New Roman"/>
          <w:bCs/>
          <w:iCs/>
          <w:sz w:val="26"/>
          <w:szCs w:val="26"/>
        </w:rPr>
        <w:t>Vitenbergs</w:t>
      </w:r>
    </w:p>
    <w:p w14:paraId="62905AA2" w14:textId="77777777" w:rsidR="00A44F5A" w:rsidRPr="00A44F5A" w:rsidRDefault="00A44F5A" w:rsidP="00A44F5A">
      <w:pPr>
        <w:tabs>
          <w:tab w:val="left" w:pos="6521"/>
        </w:tabs>
        <w:spacing w:before="360" w:after="0"/>
        <w:rPr>
          <w:rFonts w:ascii="Times New Roman" w:hAnsi="Times New Roman" w:cs="Times New Roman"/>
          <w:bCs/>
          <w:iCs/>
          <w:sz w:val="26"/>
          <w:szCs w:val="26"/>
        </w:rPr>
      </w:pPr>
      <w:proofErr w:type="spellStart"/>
      <w:r w:rsidRPr="00A44F5A">
        <w:rPr>
          <w:rFonts w:ascii="Times New Roman" w:hAnsi="Times New Roman" w:cs="Times New Roman"/>
          <w:bCs/>
          <w:iCs/>
          <w:sz w:val="26"/>
          <w:szCs w:val="26"/>
        </w:rPr>
        <w:t>Vīza</w:t>
      </w:r>
      <w:proofErr w:type="spellEnd"/>
      <w:r w:rsidRPr="00A44F5A">
        <w:rPr>
          <w:rFonts w:ascii="Times New Roman" w:hAnsi="Times New Roman" w:cs="Times New Roman"/>
          <w:bCs/>
          <w:iCs/>
          <w:sz w:val="26"/>
          <w:szCs w:val="26"/>
        </w:rPr>
        <w:t>:</w:t>
      </w:r>
    </w:p>
    <w:p w14:paraId="56F1F049" w14:textId="1C54E31E" w:rsidR="00A44F5A" w:rsidRPr="00A44F5A" w:rsidRDefault="00A44F5A" w:rsidP="00A44F5A">
      <w:pPr>
        <w:tabs>
          <w:tab w:val="left" w:pos="6521"/>
        </w:tabs>
        <w:rPr>
          <w:rFonts w:ascii="Times New Roman" w:hAnsi="Times New Roman" w:cs="Times New Roman"/>
          <w:bCs/>
          <w:iCs/>
          <w:sz w:val="26"/>
          <w:szCs w:val="26"/>
        </w:rPr>
      </w:pPr>
      <w:proofErr w:type="spellStart"/>
      <w:r w:rsidRPr="00A44F5A">
        <w:rPr>
          <w:rFonts w:ascii="Times New Roman" w:hAnsi="Times New Roman" w:cs="Times New Roman"/>
          <w:bCs/>
          <w:iCs/>
          <w:sz w:val="26"/>
          <w:szCs w:val="26"/>
        </w:rPr>
        <w:t>valsts</w:t>
      </w:r>
      <w:proofErr w:type="spellEnd"/>
      <w:r w:rsidRPr="00A44F5A">
        <w:rPr>
          <w:rFonts w:ascii="Times New Roman" w:hAnsi="Times New Roman" w:cs="Times New Roman"/>
          <w:bCs/>
          <w:iCs/>
          <w:sz w:val="26"/>
          <w:szCs w:val="26"/>
        </w:rPr>
        <w:t xml:space="preserve"> </w:t>
      </w:r>
      <w:proofErr w:type="spellStart"/>
      <w:r w:rsidRPr="00A44F5A">
        <w:rPr>
          <w:rFonts w:ascii="Times New Roman" w:hAnsi="Times New Roman" w:cs="Times New Roman"/>
          <w:bCs/>
          <w:iCs/>
          <w:sz w:val="26"/>
          <w:szCs w:val="26"/>
        </w:rPr>
        <w:t>sekretārs</w:t>
      </w:r>
      <w:proofErr w:type="spellEnd"/>
      <w:r w:rsidRPr="00A44F5A">
        <w:rPr>
          <w:rFonts w:ascii="Times New Roman" w:hAnsi="Times New Roman" w:cs="Times New Roman"/>
          <w:bCs/>
          <w:iCs/>
          <w:sz w:val="26"/>
          <w:szCs w:val="26"/>
        </w:rPr>
        <w:tab/>
      </w:r>
      <w:r>
        <w:rPr>
          <w:rFonts w:ascii="Times New Roman" w:hAnsi="Times New Roman" w:cs="Times New Roman"/>
          <w:bCs/>
          <w:iCs/>
          <w:sz w:val="26"/>
          <w:szCs w:val="26"/>
        </w:rPr>
        <w:t>E</w:t>
      </w:r>
      <w:r w:rsidRPr="00A44F5A">
        <w:rPr>
          <w:rFonts w:ascii="Times New Roman" w:hAnsi="Times New Roman" w:cs="Times New Roman"/>
          <w:bCs/>
          <w:iCs/>
          <w:sz w:val="26"/>
          <w:szCs w:val="26"/>
        </w:rPr>
        <w:t>. </w:t>
      </w:r>
      <w:r>
        <w:rPr>
          <w:rFonts w:ascii="Times New Roman" w:hAnsi="Times New Roman" w:cs="Times New Roman"/>
          <w:bCs/>
          <w:iCs/>
          <w:sz w:val="26"/>
          <w:szCs w:val="26"/>
        </w:rPr>
        <w:t>Valantis</w:t>
      </w:r>
    </w:p>
    <w:p w14:paraId="1A9C0EE4" w14:textId="77777777" w:rsidR="00A44F5A" w:rsidRPr="00A44F5A" w:rsidRDefault="00A44F5A" w:rsidP="00A44F5A">
      <w:pPr>
        <w:spacing w:after="0" w:line="240" w:lineRule="auto"/>
        <w:rPr>
          <w:rFonts w:ascii="Times New Roman" w:hAnsi="Times New Roman" w:cs="Times New Roman"/>
          <w:sz w:val="20"/>
          <w:szCs w:val="20"/>
        </w:rPr>
      </w:pPr>
    </w:p>
    <w:p w14:paraId="6FF409A8" w14:textId="77777777" w:rsidR="00A44F5A" w:rsidRPr="00A44F5A" w:rsidRDefault="00A44F5A" w:rsidP="00A44F5A">
      <w:pPr>
        <w:spacing w:after="0" w:line="240" w:lineRule="auto"/>
        <w:rPr>
          <w:rFonts w:ascii="Times New Roman" w:hAnsi="Times New Roman" w:cs="Times New Roman"/>
          <w:sz w:val="20"/>
          <w:szCs w:val="20"/>
        </w:rPr>
      </w:pPr>
    </w:p>
    <w:p w14:paraId="4D101AC9" w14:textId="77777777" w:rsidR="00A44F5A" w:rsidRPr="00A44F5A" w:rsidRDefault="00A44F5A" w:rsidP="00A44F5A">
      <w:pPr>
        <w:spacing w:before="100" w:after="0" w:line="240" w:lineRule="auto"/>
        <w:rPr>
          <w:rFonts w:ascii="Times New Roman" w:hAnsi="Times New Roman" w:cs="Times New Roman"/>
          <w:sz w:val="20"/>
          <w:szCs w:val="20"/>
        </w:rPr>
      </w:pPr>
      <w:proofErr w:type="spellStart"/>
      <w:r w:rsidRPr="00A44F5A">
        <w:rPr>
          <w:rFonts w:ascii="Times New Roman" w:hAnsi="Times New Roman" w:cs="Times New Roman"/>
          <w:sz w:val="20"/>
          <w:szCs w:val="20"/>
        </w:rPr>
        <w:t>I.Eglītis</w:t>
      </w:r>
      <w:proofErr w:type="spellEnd"/>
    </w:p>
    <w:p w14:paraId="07A3E26A" w14:textId="357A8F43" w:rsidR="00853A4D" w:rsidRPr="00876E61" w:rsidRDefault="00A44F5A" w:rsidP="00732626">
      <w:pPr>
        <w:spacing w:after="0" w:line="240" w:lineRule="auto"/>
        <w:rPr>
          <w:rFonts w:ascii="Times New Roman" w:hAnsi="Times New Roman" w:cs="Times New Roman"/>
          <w:b/>
          <w:bCs/>
          <w:color w:val="000000" w:themeColor="text1"/>
          <w:sz w:val="24"/>
          <w:szCs w:val="24"/>
          <w:shd w:val="clear" w:color="auto" w:fill="FFFFFF"/>
          <w:lang w:val="lv-LV"/>
        </w:rPr>
      </w:pPr>
      <w:r w:rsidRPr="00A44F5A">
        <w:rPr>
          <w:rFonts w:ascii="Times New Roman" w:hAnsi="Times New Roman" w:cs="Times New Roman"/>
          <w:sz w:val="20"/>
          <w:szCs w:val="20"/>
        </w:rPr>
        <w:t>Intars.Eglitis@em.gov.lv; 67013236</w:t>
      </w:r>
    </w:p>
    <w:sectPr w:rsidR="00853A4D" w:rsidRPr="00876E6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D82F" w14:textId="77777777" w:rsidR="00DA1DD3" w:rsidRDefault="00DA1DD3" w:rsidP="000550E4">
      <w:pPr>
        <w:spacing w:after="0" w:line="240" w:lineRule="auto"/>
      </w:pPr>
      <w:r>
        <w:separator/>
      </w:r>
    </w:p>
  </w:endnote>
  <w:endnote w:type="continuationSeparator" w:id="0">
    <w:p w14:paraId="1A713D4D" w14:textId="77777777" w:rsidR="00DA1DD3" w:rsidRDefault="00DA1DD3" w:rsidP="000550E4">
      <w:pPr>
        <w:spacing w:after="0" w:line="240" w:lineRule="auto"/>
      </w:pPr>
      <w:r>
        <w:continuationSeparator/>
      </w:r>
    </w:p>
  </w:endnote>
  <w:endnote w:type="continuationNotice" w:id="1">
    <w:p w14:paraId="6D1FAD9C" w14:textId="77777777" w:rsidR="00DA1DD3" w:rsidRDefault="00DA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12937"/>
      <w:docPartObj>
        <w:docPartGallery w:val="Page Numbers (Bottom of Page)"/>
        <w:docPartUnique/>
      </w:docPartObj>
    </w:sdtPr>
    <w:sdtEndPr>
      <w:rPr>
        <w:noProof/>
      </w:rPr>
    </w:sdtEndPr>
    <w:sdtContent>
      <w:p w14:paraId="63566113" w14:textId="6C66C7C4" w:rsidR="00DA1DD3" w:rsidRDefault="00DA1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75C9C" w14:textId="77777777" w:rsidR="00DA1DD3" w:rsidRDefault="00DA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A2B2" w14:textId="77777777" w:rsidR="00DA1DD3" w:rsidRDefault="00DA1DD3" w:rsidP="000550E4">
      <w:pPr>
        <w:spacing w:after="0" w:line="240" w:lineRule="auto"/>
      </w:pPr>
      <w:r>
        <w:separator/>
      </w:r>
    </w:p>
  </w:footnote>
  <w:footnote w:type="continuationSeparator" w:id="0">
    <w:p w14:paraId="1426F90A" w14:textId="77777777" w:rsidR="00DA1DD3" w:rsidRDefault="00DA1DD3" w:rsidP="000550E4">
      <w:pPr>
        <w:spacing w:after="0" w:line="240" w:lineRule="auto"/>
      </w:pPr>
      <w:r>
        <w:continuationSeparator/>
      </w:r>
    </w:p>
  </w:footnote>
  <w:footnote w:type="continuationNotice" w:id="1">
    <w:p w14:paraId="6C36D4F3" w14:textId="77777777" w:rsidR="00DA1DD3" w:rsidRDefault="00DA1DD3">
      <w:pPr>
        <w:spacing w:after="0" w:line="240" w:lineRule="auto"/>
      </w:pPr>
    </w:p>
  </w:footnote>
  <w:footnote w:id="2">
    <w:p w14:paraId="292FB272" w14:textId="77777777" w:rsidR="00DA1DD3" w:rsidRPr="004C3FF5" w:rsidRDefault="00DA1DD3" w:rsidP="005E7020">
      <w:pPr>
        <w:pStyle w:val="FootnoteText"/>
        <w:rPr>
          <w:lang w:val="lv-LV"/>
        </w:rPr>
      </w:pPr>
      <w:r>
        <w:rPr>
          <w:rStyle w:val="FootnoteReference"/>
        </w:rPr>
        <w:footnoteRef/>
      </w:r>
      <w:r>
        <w:t xml:space="preserve"> 24.09.2019. </w:t>
      </w:r>
      <w:proofErr w:type="spellStart"/>
      <w:r>
        <w:t>Ministru</w:t>
      </w:r>
      <w:proofErr w:type="spellEnd"/>
      <w:r>
        <w:t xml:space="preserve"> </w:t>
      </w:r>
      <w:proofErr w:type="spellStart"/>
      <w:r>
        <w:t>kabineta</w:t>
      </w:r>
      <w:proofErr w:type="spellEnd"/>
      <w:r>
        <w:t xml:space="preserve"> </w:t>
      </w:r>
      <w:proofErr w:type="spellStart"/>
      <w:r>
        <w:t>sēdes</w:t>
      </w:r>
      <w:proofErr w:type="spellEnd"/>
      <w:r>
        <w:t xml:space="preserve"> </w:t>
      </w:r>
      <w:proofErr w:type="spellStart"/>
      <w:r>
        <w:t>protokollēmums</w:t>
      </w:r>
      <w:proofErr w:type="spellEnd"/>
      <w:r>
        <w:t xml:space="preserve"> (Prot.Nr.</w:t>
      </w:r>
      <w:proofErr w:type="gramStart"/>
      <w:r>
        <w:t>43  29</w:t>
      </w:r>
      <w:proofErr w:type="gramEnd"/>
      <w:r w:rsidRPr="005A3F9F">
        <w:t>.§</w:t>
      </w:r>
      <w:r>
        <w:t>  </w:t>
      </w:r>
      <w:r w:rsidRPr="0082349D">
        <w:t>TA-</w:t>
      </w:r>
      <w:r>
        <w:t>1352  3.punkts)</w:t>
      </w:r>
    </w:p>
  </w:footnote>
  <w:footnote w:id="3">
    <w:p w14:paraId="6461F46D" w14:textId="2906291E" w:rsidR="00DA1DD3" w:rsidRPr="00DF3E6E" w:rsidRDefault="00DA1DD3">
      <w:pPr>
        <w:pStyle w:val="FootnoteText"/>
      </w:pPr>
      <w:r>
        <w:rPr>
          <w:rStyle w:val="FootnoteReference"/>
        </w:rPr>
        <w:footnoteRef/>
      </w:r>
      <w:r>
        <w:t xml:space="preserve"> </w:t>
      </w:r>
      <w:r w:rsidRPr="00DF3E6E">
        <w:rPr>
          <w:color w:val="000000" w:themeColor="text1"/>
          <w:lang w:val="lv-LV"/>
        </w:rPr>
        <w:t>Informatīvais ziņojums “Par priekšlikumiem publisko iepirkumu sistēmas uzlabošanai</w:t>
      </w:r>
      <w:r w:rsidRPr="00DF3E6E">
        <w:t xml:space="preserve">”. </w:t>
      </w:r>
      <w:proofErr w:type="spellStart"/>
      <w:r w:rsidRPr="00DF3E6E">
        <w:t>Pieejams</w:t>
      </w:r>
      <w:proofErr w:type="spellEnd"/>
      <w:r w:rsidRPr="00DF3E6E">
        <w:t xml:space="preserve">: </w:t>
      </w:r>
      <w:hyperlink r:id="rId1" w:history="1">
        <w:r w:rsidRPr="00DF3E6E">
          <w:rPr>
            <w:rStyle w:val="Hyperlink"/>
          </w:rPr>
          <w:t>http://polsis.mk.gov.lv/documents/6609</w:t>
        </w:r>
      </w:hyperlink>
    </w:p>
  </w:footnote>
  <w:footnote w:id="4">
    <w:p w14:paraId="3FC2314E" w14:textId="77777777" w:rsidR="00DA1DD3" w:rsidRPr="00674114" w:rsidRDefault="00DA1DD3" w:rsidP="00F0315B">
      <w:pPr>
        <w:pStyle w:val="FootnoteText"/>
        <w:ind w:left="142" w:hanging="142"/>
        <w:jc w:val="both"/>
        <w:rPr>
          <w:lang w:val="lv-LV"/>
        </w:rPr>
      </w:pPr>
      <w:r w:rsidRPr="00674114">
        <w:rPr>
          <w:rStyle w:val="FootnoteReference"/>
          <w:lang w:val="lv-LV"/>
        </w:rPr>
        <w:footnoteRef/>
      </w:r>
      <w:r w:rsidRPr="00674114">
        <w:rPr>
          <w:lang w:val="lv-LV"/>
        </w:rPr>
        <w:t xml:space="preserve"> </w:t>
      </w:r>
      <w:r>
        <w:rPr>
          <w:lang w:val="lv-LV"/>
        </w:rPr>
        <w:t xml:space="preserve">Par konkurences tiesībām Satversmes 1.panta ietvaros skat.: Satversmes tiesas 06.12.2012. spriedums lietā Nr.2012-01-01 </w:t>
      </w:r>
      <w:r w:rsidRPr="00674114">
        <w:rPr>
          <w:i/>
          <w:lang w:val="lv-LV"/>
        </w:rPr>
        <w:t>Atkritumu apsaimniekošanas likums</w:t>
      </w:r>
      <w:r>
        <w:rPr>
          <w:lang w:val="lv-LV"/>
        </w:rPr>
        <w:t>, 15, 17.punkts.</w:t>
      </w:r>
    </w:p>
  </w:footnote>
  <w:footnote w:id="5">
    <w:p w14:paraId="5C2556F5" w14:textId="77777777" w:rsidR="00DA1DD3" w:rsidRPr="00F20E1B" w:rsidRDefault="00DA1DD3" w:rsidP="00A92DF8">
      <w:pPr>
        <w:pStyle w:val="FootnoteText"/>
        <w:rPr>
          <w:lang w:val="lv-LV"/>
        </w:rPr>
      </w:pPr>
      <w:r>
        <w:rPr>
          <w:rStyle w:val="FootnoteReference"/>
        </w:rPr>
        <w:footnoteRef/>
      </w:r>
      <w:r w:rsidRPr="00004746">
        <w:rPr>
          <w:lang w:val="lv-LV"/>
        </w:rPr>
        <w:t xml:space="preserve"> </w:t>
      </w:r>
      <w:hyperlink r:id="rId2" w:history="1">
        <w:r w:rsidRPr="00004746">
          <w:rPr>
            <w:rStyle w:val="Hyperlink"/>
            <w:lang w:val="lv-LV"/>
          </w:rPr>
          <w:t>https://www.kp.gov.lv/posts/kp-darba-raditais-sabiedribas-ieguvums-teju-20-reizes-parsniedz-iestades-budzetu</w:t>
        </w:r>
      </w:hyperlink>
      <w:r w:rsidRPr="00004746">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E84"/>
    <w:multiLevelType w:val="multilevel"/>
    <w:tmpl w:val="6576E6E4"/>
    <w:lvl w:ilvl="0">
      <w:start w:val="1"/>
      <w:numFmt w:val="decimal"/>
      <w:lvlText w:val="%1."/>
      <w:lvlJc w:val="left"/>
      <w:pPr>
        <w:ind w:left="720" w:hanging="360"/>
      </w:pPr>
      <w:rPr>
        <w:i w:val="0"/>
        <w:iCs/>
        <w:color w:val="000000" w:themeColor="text1"/>
      </w:rPr>
    </w:lvl>
    <w:lvl w:ilvl="1">
      <w:start w:val="4"/>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4D1BA3"/>
    <w:multiLevelType w:val="hybridMultilevel"/>
    <w:tmpl w:val="7B5CF9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95F7D"/>
    <w:multiLevelType w:val="hybridMultilevel"/>
    <w:tmpl w:val="29FE58E2"/>
    <w:lvl w:ilvl="0" w:tplc="4D3A04CC">
      <w:start w:val="1"/>
      <w:numFmt w:val="decimal"/>
      <w:lvlText w:val="%1."/>
      <w:lvlJc w:val="left"/>
      <w:pPr>
        <w:ind w:left="1069" w:hanging="360"/>
      </w:pPr>
      <w:rPr>
        <w:rFonts w:ascii="Times New Roman" w:hAnsi="Times New Roman" w:cs="Times New Roman"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D59047E"/>
    <w:multiLevelType w:val="hybridMultilevel"/>
    <w:tmpl w:val="399A18EE"/>
    <w:lvl w:ilvl="0" w:tplc="C756A3F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2C48C9"/>
    <w:multiLevelType w:val="hybridMultilevel"/>
    <w:tmpl w:val="ADF89A6A"/>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23605D"/>
    <w:multiLevelType w:val="hybridMultilevel"/>
    <w:tmpl w:val="0EEA6640"/>
    <w:lvl w:ilvl="0" w:tplc="F8D215D0">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7" w15:restartNumberingAfterBreak="0">
    <w:nsid w:val="32AE7F6B"/>
    <w:multiLevelType w:val="hybridMultilevel"/>
    <w:tmpl w:val="26C496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F7AC5"/>
    <w:multiLevelType w:val="singleLevel"/>
    <w:tmpl w:val="6E5635A2"/>
    <w:lvl w:ilvl="0">
      <w:start w:val="1"/>
      <w:numFmt w:val="decimal"/>
      <w:lvlText w:val="%1)"/>
      <w:lvlJc w:val="left"/>
      <w:pPr>
        <w:tabs>
          <w:tab w:val="num" w:pos="899"/>
        </w:tabs>
        <w:ind w:left="899" w:hanging="360"/>
      </w:pPr>
      <w:rPr>
        <w:rFonts w:hint="default"/>
      </w:rPr>
    </w:lvl>
  </w:abstractNum>
  <w:abstractNum w:abstractNumId="9" w15:restartNumberingAfterBreak="0">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706B0F"/>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2" w15:restartNumberingAfterBreak="0">
    <w:nsid w:val="3E481FDF"/>
    <w:multiLevelType w:val="hybridMultilevel"/>
    <w:tmpl w:val="41F270D0"/>
    <w:lvl w:ilvl="0" w:tplc="D6F64F1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74612F6"/>
    <w:multiLevelType w:val="hybridMultilevel"/>
    <w:tmpl w:val="4C8E7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615A6"/>
    <w:multiLevelType w:val="hybridMultilevel"/>
    <w:tmpl w:val="F1F4B6F2"/>
    <w:lvl w:ilvl="0" w:tplc="F564A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E2F1417"/>
    <w:multiLevelType w:val="hybridMultilevel"/>
    <w:tmpl w:val="58AE7A5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D30954"/>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E20E2"/>
    <w:multiLevelType w:val="multilevel"/>
    <w:tmpl w:val="75F6D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BE5130"/>
    <w:multiLevelType w:val="hybridMultilevel"/>
    <w:tmpl w:val="D020F262"/>
    <w:lvl w:ilvl="0" w:tplc="04260011">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15:restartNumberingAfterBreak="0">
    <w:nsid w:val="6D6E52C6"/>
    <w:multiLevelType w:val="multilevel"/>
    <w:tmpl w:val="847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87E91"/>
    <w:multiLevelType w:val="multilevel"/>
    <w:tmpl w:val="C15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AB7198E"/>
    <w:multiLevelType w:val="hybridMultilevel"/>
    <w:tmpl w:val="80B8B39A"/>
    <w:lvl w:ilvl="0" w:tplc="B818FF0E">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BD86833"/>
    <w:multiLevelType w:val="multilevel"/>
    <w:tmpl w:val="622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97F71"/>
    <w:multiLevelType w:val="hybridMultilevel"/>
    <w:tmpl w:val="79AA115C"/>
    <w:lvl w:ilvl="0" w:tplc="10E693F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15"/>
  </w:num>
  <w:num w:numId="5">
    <w:abstractNumId w:val="24"/>
  </w:num>
  <w:num w:numId="6">
    <w:abstractNumId w:val="8"/>
  </w:num>
  <w:num w:numId="7">
    <w:abstractNumId w:val="9"/>
  </w:num>
  <w:num w:numId="8">
    <w:abstractNumId w:val="13"/>
  </w:num>
  <w:num w:numId="9">
    <w:abstractNumId w:val="3"/>
  </w:num>
  <w:num w:numId="10">
    <w:abstractNumId w:val="22"/>
  </w:num>
  <w:num w:numId="11">
    <w:abstractNumId w:val="18"/>
  </w:num>
  <w:num w:numId="12">
    <w:abstractNumId w:val="7"/>
  </w:num>
  <w:num w:numId="13">
    <w:abstractNumId w:val="5"/>
  </w:num>
  <w:num w:numId="14">
    <w:abstractNumId w:val="25"/>
  </w:num>
  <w:num w:numId="15">
    <w:abstractNumId w:val="17"/>
  </w:num>
  <w:num w:numId="16">
    <w:abstractNumId w:val="10"/>
  </w:num>
  <w:num w:numId="17">
    <w:abstractNumId w:val="2"/>
  </w:num>
  <w:num w:numId="18">
    <w:abstractNumId w:val="1"/>
  </w:num>
  <w:num w:numId="19">
    <w:abstractNumId w:val="4"/>
  </w:num>
  <w:num w:numId="20">
    <w:abstractNumId w:val="6"/>
  </w:num>
  <w:num w:numId="21">
    <w:abstractNumId w:val="14"/>
  </w:num>
  <w:num w:numId="22">
    <w:abstractNumId w:val="12"/>
  </w:num>
  <w:num w:numId="23">
    <w:abstractNumId w:val="11"/>
  </w:num>
  <w:num w:numId="24">
    <w:abstractNumId w:val="23"/>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3"/>
    <w:rsid w:val="00000791"/>
    <w:rsid w:val="00004746"/>
    <w:rsid w:val="0001012C"/>
    <w:rsid w:val="00012F05"/>
    <w:rsid w:val="00023544"/>
    <w:rsid w:val="00026FAA"/>
    <w:rsid w:val="00032F1A"/>
    <w:rsid w:val="000471CE"/>
    <w:rsid w:val="000550E4"/>
    <w:rsid w:val="00062477"/>
    <w:rsid w:val="000636E2"/>
    <w:rsid w:val="000641A8"/>
    <w:rsid w:val="000654E2"/>
    <w:rsid w:val="00067F02"/>
    <w:rsid w:val="00071302"/>
    <w:rsid w:val="00072415"/>
    <w:rsid w:val="000774E0"/>
    <w:rsid w:val="00081B33"/>
    <w:rsid w:val="000820B1"/>
    <w:rsid w:val="000870D8"/>
    <w:rsid w:val="0008716A"/>
    <w:rsid w:val="00092285"/>
    <w:rsid w:val="00093282"/>
    <w:rsid w:val="000A4941"/>
    <w:rsid w:val="000B04B9"/>
    <w:rsid w:val="000C59E9"/>
    <w:rsid w:val="000D56F8"/>
    <w:rsid w:val="000D71B6"/>
    <w:rsid w:val="000E1DF7"/>
    <w:rsid w:val="000E4433"/>
    <w:rsid w:val="000E631A"/>
    <w:rsid w:val="000F75A4"/>
    <w:rsid w:val="00103458"/>
    <w:rsid w:val="00103DC2"/>
    <w:rsid w:val="001062A7"/>
    <w:rsid w:val="00107063"/>
    <w:rsid w:val="00111B4B"/>
    <w:rsid w:val="00114FB2"/>
    <w:rsid w:val="00120C05"/>
    <w:rsid w:val="0012167C"/>
    <w:rsid w:val="00136057"/>
    <w:rsid w:val="001433D7"/>
    <w:rsid w:val="0016448F"/>
    <w:rsid w:val="00170755"/>
    <w:rsid w:val="00170DF7"/>
    <w:rsid w:val="0017295B"/>
    <w:rsid w:val="0018118F"/>
    <w:rsid w:val="001923C6"/>
    <w:rsid w:val="00196555"/>
    <w:rsid w:val="00196B53"/>
    <w:rsid w:val="001A3B85"/>
    <w:rsid w:val="001A4A65"/>
    <w:rsid w:val="001C013C"/>
    <w:rsid w:val="001C62B0"/>
    <w:rsid w:val="001D03B8"/>
    <w:rsid w:val="001D0D93"/>
    <w:rsid w:val="001E16CD"/>
    <w:rsid w:val="001E4601"/>
    <w:rsid w:val="001E5CC6"/>
    <w:rsid w:val="001F08CC"/>
    <w:rsid w:val="00200DB5"/>
    <w:rsid w:val="00201D1B"/>
    <w:rsid w:val="00204242"/>
    <w:rsid w:val="00213859"/>
    <w:rsid w:val="002166C0"/>
    <w:rsid w:val="00220424"/>
    <w:rsid w:val="002220D7"/>
    <w:rsid w:val="00222B10"/>
    <w:rsid w:val="00223D0D"/>
    <w:rsid w:val="00233E11"/>
    <w:rsid w:val="00236B60"/>
    <w:rsid w:val="00242136"/>
    <w:rsid w:val="00242217"/>
    <w:rsid w:val="002447DF"/>
    <w:rsid w:val="002515FF"/>
    <w:rsid w:val="002537D6"/>
    <w:rsid w:val="00254962"/>
    <w:rsid w:val="00257A87"/>
    <w:rsid w:val="002665B3"/>
    <w:rsid w:val="00267172"/>
    <w:rsid w:val="00267DE2"/>
    <w:rsid w:val="0027068A"/>
    <w:rsid w:val="0027328D"/>
    <w:rsid w:val="002736F7"/>
    <w:rsid w:val="00277059"/>
    <w:rsid w:val="002774E9"/>
    <w:rsid w:val="00282B72"/>
    <w:rsid w:val="00283CC0"/>
    <w:rsid w:val="0028676C"/>
    <w:rsid w:val="0029194E"/>
    <w:rsid w:val="0029395F"/>
    <w:rsid w:val="002971CF"/>
    <w:rsid w:val="002975A1"/>
    <w:rsid w:val="002975E1"/>
    <w:rsid w:val="002A4D5E"/>
    <w:rsid w:val="002A716D"/>
    <w:rsid w:val="002A7E45"/>
    <w:rsid w:val="002B0A86"/>
    <w:rsid w:val="002B1231"/>
    <w:rsid w:val="002C0276"/>
    <w:rsid w:val="002C60A2"/>
    <w:rsid w:val="002E2423"/>
    <w:rsid w:val="002E4705"/>
    <w:rsid w:val="002E4B67"/>
    <w:rsid w:val="002F09B0"/>
    <w:rsid w:val="002F1058"/>
    <w:rsid w:val="002F4E0C"/>
    <w:rsid w:val="0030041D"/>
    <w:rsid w:val="0030092D"/>
    <w:rsid w:val="0032204A"/>
    <w:rsid w:val="003230EA"/>
    <w:rsid w:val="0033265A"/>
    <w:rsid w:val="00333205"/>
    <w:rsid w:val="00333F8C"/>
    <w:rsid w:val="00344BFE"/>
    <w:rsid w:val="00350EE2"/>
    <w:rsid w:val="00355F92"/>
    <w:rsid w:val="00355FBD"/>
    <w:rsid w:val="003635F6"/>
    <w:rsid w:val="00367A17"/>
    <w:rsid w:val="00370303"/>
    <w:rsid w:val="00372978"/>
    <w:rsid w:val="00372B35"/>
    <w:rsid w:val="00376D71"/>
    <w:rsid w:val="00377CD3"/>
    <w:rsid w:val="00380BFB"/>
    <w:rsid w:val="0038693E"/>
    <w:rsid w:val="003878DE"/>
    <w:rsid w:val="0039376D"/>
    <w:rsid w:val="00395471"/>
    <w:rsid w:val="003975B6"/>
    <w:rsid w:val="00397D0A"/>
    <w:rsid w:val="003A4F00"/>
    <w:rsid w:val="003A6752"/>
    <w:rsid w:val="003B1B48"/>
    <w:rsid w:val="003B427C"/>
    <w:rsid w:val="003B5A8C"/>
    <w:rsid w:val="003D04DE"/>
    <w:rsid w:val="003D0775"/>
    <w:rsid w:val="003D5781"/>
    <w:rsid w:val="003D634B"/>
    <w:rsid w:val="003D63A0"/>
    <w:rsid w:val="003E0373"/>
    <w:rsid w:val="003E1F1C"/>
    <w:rsid w:val="00402777"/>
    <w:rsid w:val="004038F1"/>
    <w:rsid w:val="00403A2C"/>
    <w:rsid w:val="00404633"/>
    <w:rsid w:val="00413C00"/>
    <w:rsid w:val="00415582"/>
    <w:rsid w:val="004174CD"/>
    <w:rsid w:val="00432756"/>
    <w:rsid w:val="004340A0"/>
    <w:rsid w:val="004360DF"/>
    <w:rsid w:val="00441E68"/>
    <w:rsid w:val="00442E73"/>
    <w:rsid w:val="0044488A"/>
    <w:rsid w:val="0044595F"/>
    <w:rsid w:val="004517A1"/>
    <w:rsid w:val="004546B1"/>
    <w:rsid w:val="00457AAC"/>
    <w:rsid w:val="004638F8"/>
    <w:rsid w:val="004704DD"/>
    <w:rsid w:val="00471F3E"/>
    <w:rsid w:val="00472C79"/>
    <w:rsid w:val="004734F1"/>
    <w:rsid w:val="00473A9A"/>
    <w:rsid w:val="00484DA1"/>
    <w:rsid w:val="00493BA5"/>
    <w:rsid w:val="00494F73"/>
    <w:rsid w:val="00495716"/>
    <w:rsid w:val="0049575A"/>
    <w:rsid w:val="00495F64"/>
    <w:rsid w:val="00496A13"/>
    <w:rsid w:val="004A2834"/>
    <w:rsid w:val="004A3E10"/>
    <w:rsid w:val="004A6A30"/>
    <w:rsid w:val="004B6866"/>
    <w:rsid w:val="004C1A57"/>
    <w:rsid w:val="004D2FA8"/>
    <w:rsid w:val="004E0AE1"/>
    <w:rsid w:val="004F090E"/>
    <w:rsid w:val="004F787F"/>
    <w:rsid w:val="0050261F"/>
    <w:rsid w:val="005053A1"/>
    <w:rsid w:val="00505E7B"/>
    <w:rsid w:val="00506994"/>
    <w:rsid w:val="00513BA4"/>
    <w:rsid w:val="00527721"/>
    <w:rsid w:val="005371B8"/>
    <w:rsid w:val="00542B12"/>
    <w:rsid w:val="00542FC4"/>
    <w:rsid w:val="00544A12"/>
    <w:rsid w:val="005456E1"/>
    <w:rsid w:val="005510FA"/>
    <w:rsid w:val="00557844"/>
    <w:rsid w:val="00560576"/>
    <w:rsid w:val="005610AC"/>
    <w:rsid w:val="00562C6B"/>
    <w:rsid w:val="0057533A"/>
    <w:rsid w:val="00575B08"/>
    <w:rsid w:val="00580B2D"/>
    <w:rsid w:val="0058485D"/>
    <w:rsid w:val="00584B3A"/>
    <w:rsid w:val="00584DF3"/>
    <w:rsid w:val="00587EA7"/>
    <w:rsid w:val="005A79C4"/>
    <w:rsid w:val="005B750E"/>
    <w:rsid w:val="005B7638"/>
    <w:rsid w:val="005C264A"/>
    <w:rsid w:val="005C3BF3"/>
    <w:rsid w:val="005D1D10"/>
    <w:rsid w:val="005D396C"/>
    <w:rsid w:val="005E1FA8"/>
    <w:rsid w:val="005E40B1"/>
    <w:rsid w:val="005E49DE"/>
    <w:rsid w:val="005E5041"/>
    <w:rsid w:val="005E7020"/>
    <w:rsid w:val="005F56E6"/>
    <w:rsid w:val="005F7ED0"/>
    <w:rsid w:val="0060359B"/>
    <w:rsid w:val="00606778"/>
    <w:rsid w:val="0060736A"/>
    <w:rsid w:val="0061318F"/>
    <w:rsid w:val="006144C6"/>
    <w:rsid w:val="00620C6F"/>
    <w:rsid w:val="00622EF9"/>
    <w:rsid w:val="006266EE"/>
    <w:rsid w:val="00627E66"/>
    <w:rsid w:val="00630047"/>
    <w:rsid w:val="0063182A"/>
    <w:rsid w:val="0063196D"/>
    <w:rsid w:val="00631ADD"/>
    <w:rsid w:val="00631FC0"/>
    <w:rsid w:val="006344E7"/>
    <w:rsid w:val="00634BBD"/>
    <w:rsid w:val="00636D45"/>
    <w:rsid w:val="00644A92"/>
    <w:rsid w:val="00647C61"/>
    <w:rsid w:val="0065176F"/>
    <w:rsid w:val="006527A0"/>
    <w:rsid w:val="006563A3"/>
    <w:rsid w:val="00656539"/>
    <w:rsid w:val="00670111"/>
    <w:rsid w:val="006707FC"/>
    <w:rsid w:val="00671E9E"/>
    <w:rsid w:val="00672087"/>
    <w:rsid w:val="0067393C"/>
    <w:rsid w:val="00675522"/>
    <w:rsid w:val="0068311F"/>
    <w:rsid w:val="00684049"/>
    <w:rsid w:val="00685DE2"/>
    <w:rsid w:val="00693BC1"/>
    <w:rsid w:val="006942F1"/>
    <w:rsid w:val="006A1453"/>
    <w:rsid w:val="006A2E76"/>
    <w:rsid w:val="006A3984"/>
    <w:rsid w:val="006A6569"/>
    <w:rsid w:val="006B06DB"/>
    <w:rsid w:val="006B0EB1"/>
    <w:rsid w:val="006B29F8"/>
    <w:rsid w:val="006B333F"/>
    <w:rsid w:val="006B49AA"/>
    <w:rsid w:val="006B5308"/>
    <w:rsid w:val="006B72FE"/>
    <w:rsid w:val="006C1F71"/>
    <w:rsid w:val="006D762E"/>
    <w:rsid w:val="006E2E8C"/>
    <w:rsid w:val="006E4595"/>
    <w:rsid w:val="006E5E62"/>
    <w:rsid w:val="006E7580"/>
    <w:rsid w:val="006F4940"/>
    <w:rsid w:val="006F5E00"/>
    <w:rsid w:val="006F7503"/>
    <w:rsid w:val="00705E72"/>
    <w:rsid w:val="00706902"/>
    <w:rsid w:val="00710054"/>
    <w:rsid w:val="0071368E"/>
    <w:rsid w:val="00713DAC"/>
    <w:rsid w:val="00720A25"/>
    <w:rsid w:val="007259C0"/>
    <w:rsid w:val="00732626"/>
    <w:rsid w:val="00733ABB"/>
    <w:rsid w:val="00737346"/>
    <w:rsid w:val="007413D6"/>
    <w:rsid w:val="007511EE"/>
    <w:rsid w:val="0075312B"/>
    <w:rsid w:val="0076445C"/>
    <w:rsid w:val="00764ED7"/>
    <w:rsid w:val="007664C2"/>
    <w:rsid w:val="00766BBB"/>
    <w:rsid w:val="00775129"/>
    <w:rsid w:val="0077527A"/>
    <w:rsid w:val="0077594C"/>
    <w:rsid w:val="00780BF9"/>
    <w:rsid w:val="00793BF4"/>
    <w:rsid w:val="0079510C"/>
    <w:rsid w:val="007A1328"/>
    <w:rsid w:val="007A3C26"/>
    <w:rsid w:val="007A691C"/>
    <w:rsid w:val="007A6E5A"/>
    <w:rsid w:val="007A77BE"/>
    <w:rsid w:val="007B0BDD"/>
    <w:rsid w:val="007B29D6"/>
    <w:rsid w:val="007B5E9F"/>
    <w:rsid w:val="007C004C"/>
    <w:rsid w:val="007C0600"/>
    <w:rsid w:val="007C10FE"/>
    <w:rsid w:val="007C1DAB"/>
    <w:rsid w:val="007C27CC"/>
    <w:rsid w:val="007C4451"/>
    <w:rsid w:val="007C507B"/>
    <w:rsid w:val="007C712A"/>
    <w:rsid w:val="007D270E"/>
    <w:rsid w:val="007D7610"/>
    <w:rsid w:val="007D7CDE"/>
    <w:rsid w:val="007E1842"/>
    <w:rsid w:val="007E5C50"/>
    <w:rsid w:val="007F1405"/>
    <w:rsid w:val="007F1815"/>
    <w:rsid w:val="007F5BFE"/>
    <w:rsid w:val="007F5CBB"/>
    <w:rsid w:val="007F7489"/>
    <w:rsid w:val="008016FC"/>
    <w:rsid w:val="00801900"/>
    <w:rsid w:val="00803490"/>
    <w:rsid w:val="00805461"/>
    <w:rsid w:val="00810485"/>
    <w:rsid w:val="00811544"/>
    <w:rsid w:val="0082622F"/>
    <w:rsid w:val="00832EC3"/>
    <w:rsid w:val="0083359D"/>
    <w:rsid w:val="0083366E"/>
    <w:rsid w:val="00834A00"/>
    <w:rsid w:val="00836189"/>
    <w:rsid w:val="0083739A"/>
    <w:rsid w:val="00843FE7"/>
    <w:rsid w:val="00853A4D"/>
    <w:rsid w:val="00854E66"/>
    <w:rsid w:val="00860019"/>
    <w:rsid w:val="00862570"/>
    <w:rsid w:val="00863BA8"/>
    <w:rsid w:val="0087365B"/>
    <w:rsid w:val="00875E6C"/>
    <w:rsid w:val="00876E61"/>
    <w:rsid w:val="00880941"/>
    <w:rsid w:val="00881C22"/>
    <w:rsid w:val="00883955"/>
    <w:rsid w:val="00883D64"/>
    <w:rsid w:val="0089348B"/>
    <w:rsid w:val="008B2B33"/>
    <w:rsid w:val="008B5FA7"/>
    <w:rsid w:val="008C00AE"/>
    <w:rsid w:val="008C71F1"/>
    <w:rsid w:val="008D53D0"/>
    <w:rsid w:val="008E3164"/>
    <w:rsid w:val="008F17E7"/>
    <w:rsid w:val="008F62AE"/>
    <w:rsid w:val="008F709D"/>
    <w:rsid w:val="009048F3"/>
    <w:rsid w:val="00907F3D"/>
    <w:rsid w:val="00914CFB"/>
    <w:rsid w:val="00920847"/>
    <w:rsid w:val="00925C6F"/>
    <w:rsid w:val="00927240"/>
    <w:rsid w:val="00936329"/>
    <w:rsid w:val="00940C80"/>
    <w:rsid w:val="0094120A"/>
    <w:rsid w:val="0094146E"/>
    <w:rsid w:val="00941F5A"/>
    <w:rsid w:val="00943FD6"/>
    <w:rsid w:val="0094602D"/>
    <w:rsid w:val="009531AC"/>
    <w:rsid w:val="00953F80"/>
    <w:rsid w:val="009545ED"/>
    <w:rsid w:val="00954C84"/>
    <w:rsid w:val="009557A8"/>
    <w:rsid w:val="009614EB"/>
    <w:rsid w:val="00963468"/>
    <w:rsid w:val="0096346D"/>
    <w:rsid w:val="00963608"/>
    <w:rsid w:val="00975769"/>
    <w:rsid w:val="009814D6"/>
    <w:rsid w:val="009906BE"/>
    <w:rsid w:val="00990F73"/>
    <w:rsid w:val="009954DF"/>
    <w:rsid w:val="00997B54"/>
    <w:rsid w:val="009A032E"/>
    <w:rsid w:val="009B4D92"/>
    <w:rsid w:val="009B4E51"/>
    <w:rsid w:val="009B6994"/>
    <w:rsid w:val="009B6E97"/>
    <w:rsid w:val="009C0FFF"/>
    <w:rsid w:val="009C7C8E"/>
    <w:rsid w:val="009D065A"/>
    <w:rsid w:val="009D14E0"/>
    <w:rsid w:val="009D19CF"/>
    <w:rsid w:val="009D3CA3"/>
    <w:rsid w:val="009D726C"/>
    <w:rsid w:val="009E4843"/>
    <w:rsid w:val="009E67D0"/>
    <w:rsid w:val="009F7D5F"/>
    <w:rsid w:val="00A00D08"/>
    <w:rsid w:val="00A02AE7"/>
    <w:rsid w:val="00A03A8F"/>
    <w:rsid w:val="00A07D2D"/>
    <w:rsid w:val="00A20E42"/>
    <w:rsid w:val="00A218F2"/>
    <w:rsid w:val="00A225FC"/>
    <w:rsid w:val="00A31860"/>
    <w:rsid w:val="00A366BC"/>
    <w:rsid w:val="00A37F28"/>
    <w:rsid w:val="00A37FF2"/>
    <w:rsid w:val="00A40386"/>
    <w:rsid w:val="00A40DBF"/>
    <w:rsid w:val="00A44F5A"/>
    <w:rsid w:val="00A45DB0"/>
    <w:rsid w:val="00A56BF4"/>
    <w:rsid w:val="00A573F8"/>
    <w:rsid w:val="00A60285"/>
    <w:rsid w:val="00A7105B"/>
    <w:rsid w:val="00A72BBF"/>
    <w:rsid w:val="00A736A1"/>
    <w:rsid w:val="00A816BB"/>
    <w:rsid w:val="00A854D4"/>
    <w:rsid w:val="00A92DF8"/>
    <w:rsid w:val="00A96D3B"/>
    <w:rsid w:val="00AA653D"/>
    <w:rsid w:val="00AC37BD"/>
    <w:rsid w:val="00AC73EC"/>
    <w:rsid w:val="00AC7E09"/>
    <w:rsid w:val="00AD43D3"/>
    <w:rsid w:val="00AD5C8D"/>
    <w:rsid w:val="00AE255B"/>
    <w:rsid w:val="00AE52E2"/>
    <w:rsid w:val="00AE664B"/>
    <w:rsid w:val="00AF3772"/>
    <w:rsid w:val="00AF3F45"/>
    <w:rsid w:val="00AF4076"/>
    <w:rsid w:val="00B1063F"/>
    <w:rsid w:val="00B13091"/>
    <w:rsid w:val="00B1657E"/>
    <w:rsid w:val="00B1666F"/>
    <w:rsid w:val="00B2433B"/>
    <w:rsid w:val="00B30B23"/>
    <w:rsid w:val="00B31735"/>
    <w:rsid w:val="00B34850"/>
    <w:rsid w:val="00B3506A"/>
    <w:rsid w:val="00B361CF"/>
    <w:rsid w:val="00B3710C"/>
    <w:rsid w:val="00B37CB6"/>
    <w:rsid w:val="00B401C3"/>
    <w:rsid w:val="00B433AF"/>
    <w:rsid w:val="00B460E5"/>
    <w:rsid w:val="00B51F61"/>
    <w:rsid w:val="00B55CEF"/>
    <w:rsid w:val="00B565FB"/>
    <w:rsid w:val="00B57E58"/>
    <w:rsid w:val="00B60676"/>
    <w:rsid w:val="00B66220"/>
    <w:rsid w:val="00B66DF8"/>
    <w:rsid w:val="00B70665"/>
    <w:rsid w:val="00B861E3"/>
    <w:rsid w:val="00B9684E"/>
    <w:rsid w:val="00B97B5A"/>
    <w:rsid w:val="00BA2D56"/>
    <w:rsid w:val="00BA34AF"/>
    <w:rsid w:val="00BB453C"/>
    <w:rsid w:val="00BC0F5D"/>
    <w:rsid w:val="00BC60A3"/>
    <w:rsid w:val="00BD1ED1"/>
    <w:rsid w:val="00BD2B1E"/>
    <w:rsid w:val="00BD70E1"/>
    <w:rsid w:val="00BF0D8B"/>
    <w:rsid w:val="00BF356F"/>
    <w:rsid w:val="00BF5E03"/>
    <w:rsid w:val="00BF7A6C"/>
    <w:rsid w:val="00C0145F"/>
    <w:rsid w:val="00C03552"/>
    <w:rsid w:val="00C04213"/>
    <w:rsid w:val="00C04F9A"/>
    <w:rsid w:val="00C0764E"/>
    <w:rsid w:val="00C213B1"/>
    <w:rsid w:val="00C26446"/>
    <w:rsid w:val="00C34AD8"/>
    <w:rsid w:val="00C41E1B"/>
    <w:rsid w:val="00C47A6D"/>
    <w:rsid w:val="00C5268B"/>
    <w:rsid w:val="00C54BAB"/>
    <w:rsid w:val="00C54CA4"/>
    <w:rsid w:val="00C5535E"/>
    <w:rsid w:val="00C570B6"/>
    <w:rsid w:val="00C61CFA"/>
    <w:rsid w:val="00C66DA8"/>
    <w:rsid w:val="00C67B65"/>
    <w:rsid w:val="00C716CB"/>
    <w:rsid w:val="00C77CD9"/>
    <w:rsid w:val="00C833FA"/>
    <w:rsid w:val="00C847B8"/>
    <w:rsid w:val="00C92278"/>
    <w:rsid w:val="00C95B32"/>
    <w:rsid w:val="00C96C27"/>
    <w:rsid w:val="00C96E33"/>
    <w:rsid w:val="00CA1A26"/>
    <w:rsid w:val="00CA3598"/>
    <w:rsid w:val="00CA5C42"/>
    <w:rsid w:val="00CB2EF8"/>
    <w:rsid w:val="00CB31BF"/>
    <w:rsid w:val="00CB521E"/>
    <w:rsid w:val="00CB74D8"/>
    <w:rsid w:val="00CC081F"/>
    <w:rsid w:val="00CC28B4"/>
    <w:rsid w:val="00CC2BD4"/>
    <w:rsid w:val="00CC35BD"/>
    <w:rsid w:val="00CC451D"/>
    <w:rsid w:val="00CC6648"/>
    <w:rsid w:val="00CC75F0"/>
    <w:rsid w:val="00CD0A2C"/>
    <w:rsid w:val="00CD13F5"/>
    <w:rsid w:val="00CD3CDE"/>
    <w:rsid w:val="00CD7C6E"/>
    <w:rsid w:val="00CE42CA"/>
    <w:rsid w:val="00CF2383"/>
    <w:rsid w:val="00CF28DF"/>
    <w:rsid w:val="00D0099B"/>
    <w:rsid w:val="00D01A2F"/>
    <w:rsid w:val="00D055AC"/>
    <w:rsid w:val="00D112D0"/>
    <w:rsid w:val="00D16D8A"/>
    <w:rsid w:val="00D2258F"/>
    <w:rsid w:val="00D30657"/>
    <w:rsid w:val="00D30D93"/>
    <w:rsid w:val="00D37F52"/>
    <w:rsid w:val="00D41FCB"/>
    <w:rsid w:val="00D422F7"/>
    <w:rsid w:val="00D44575"/>
    <w:rsid w:val="00D56345"/>
    <w:rsid w:val="00D61FF5"/>
    <w:rsid w:val="00D66ECC"/>
    <w:rsid w:val="00D72715"/>
    <w:rsid w:val="00D74226"/>
    <w:rsid w:val="00D818D7"/>
    <w:rsid w:val="00D82D2A"/>
    <w:rsid w:val="00D8427A"/>
    <w:rsid w:val="00D87EA9"/>
    <w:rsid w:val="00D9003B"/>
    <w:rsid w:val="00D901E3"/>
    <w:rsid w:val="00D92C45"/>
    <w:rsid w:val="00D97ED1"/>
    <w:rsid w:val="00DA1DD3"/>
    <w:rsid w:val="00DA4D88"/>
    <w:rsid w:val="00DA606B"/>
    <w:rsid w:val="00DB0806"/>
    <w:rsid w:val="00DB1CF4"/>
    <w:rsid w:val="00DB426E"/>
    <w:rsid w:val="00DB747C"/>
    <w:rsid w:val="00DC0933"/>
    <w:rsid w:val="00DC1FC4"/>
    <w:rsid w:val="00DC42D8"/>
    <w:rsid w:val="00DC4A37"/>
    <w:rsid w:val="00DD6103"/>
    <w:rsid w:val="00DD6542"/>
    <w:rsid w:val="00DE027D"/>
    <w:rsid w:val="00DE16B0"/>
    <w:rsid w:val="00DE2C9E"/>
    <w:rsid w:val="00DE513E"/>
    <w:rsid w:val="00DF3E6E"/>
    <w:rsid w:val="00DF574E"/>
    <w:rsid w:val="00E00B7D"/>
    <w:rsid w:val="00E06D58"/>
    <w:rsid w:val="00E13129"/>
    <w:rsid w:val="00E17C5B"/>
    <w:rsid w:val="00E226B0"/>
    <w:rsid w:val="00E23AD4"/>
    <w:rsid w:val="00E242C5"/>
    <w:rsid w:val="00E30415"/>
    <w:rsid w:val="00E30A04"/>
    <w:rsid w:val="00E323E7"/>
    <w:rsid w:val="00E33BB5"/>
    <w:rsid w:val="00E3505D"/>
    <w:rsid w:val="00E36A81"/>
    <w:rsid w:val="00E424B6"/>
    <w:rsid w:val="00E449C3"/>
    <w:rsid w:val="00E44C39"/>
    <w:rsid w:val="00E50D98"/>
    <w:rsid w:val="00E5181A"/>
    <w:rsid w:val="00E53CCA"/>
    <w:rsid w:val="00E54BDE"/>
    <w:rsid w:val="00E602B8"/>
    <w:rsid w:val="00E60D4F"/>
    <w:rsid w:val="00E60E95"/>
    <w:rsid w:val="00E64021"/>
    <w:rsid w:val="00E6593A"/>
    <w:rsid w:val="00E665E9"/>
    <w:rsid w:val="00E7242F"/>
    <w:rsid w:val="00E73D94"/>
    <w:rsid w:val="00E74EC2"/>
    <w:rsid w:val="00E80508"/>
    <w:rsid w:val="00E82D35"/>
    <w:rsid w:val="00E86A08"/>
    <w:rsid w:val="00E901C4"/>
    <w:rsid w:val="00EB060A"/>
    <w:rsid w:val="00EB138D"/>
    <w:rsid w:val="00EB20F9"/>
    <w:rsid w:val="00EB38C4"/>
    <w:rsid w:val="00EC3F61"/>
    <w:rsid w:val="00EC51BB"/>
    <w:rsid w:val="00EC7CCE"/>
    <w:rsid w:val="00ED2AB5"/>
    <w:rsid w:val="00EF3090"/>
    <w:rsid w:val="00EF5A86"/>
    <w:rsid w:val="00EF70CA"/>
    <w:rsid w:val="00F00FAD"/>
    <w:rsid w:val="00F0315B"/>
    <w:rsid w:val="00F06856"/>
    <w:rsid w:val="00F07C35"/>
    <w:rsid w:val="00F13FC8"/>
    <w:rsid w:val="00F20C1C"/>
    <w:rsid w:val="00F256A0"/>
    <w:rsid w:val="00F26D58"/>
    <w:rsid w:val="00F320E3"/>
    <w:rsid w:val="00F34B1D"/>
    <w:rsid w:val="00F3736A"/>
    <w:rsid w:val="00F37A5B"/>
    <w:rsid w:val="00F40840"/>
    <w:rsid w:val="00F40B8A"/>
    <w:rsid w:val="00F505F1"/>
    <w:rsid w:val="00F50E9B"/>
    <w:rsid w:val="00F571E3"/>
    <w:rsid w:val="00F62B5E"/>
    <w:rsid w:val="00F6375D"/>
    <w:rsid w:val="00F71E77"/>
    <w:rsid w:val="00F90A45"/>
    <w:rsid w:val="00F9115F"/>
    <w:rsid w:val="00FA0834"/>
    <w:rsid w:val="00FA152D"/>
    <w:rsid w:val="00FA2B06"/>
    <w:rsid w:val="00FA3B03"/>
    <w:rsid w:val="00FA6010"/>
    <w:rsid w:val="00FA6804"/>
    <w:rsid w:val="00FB4BF4"/>
    <w:rsid w:val="00FB5DFA"/>
    <w:rsid w:val="00FC285D"/>
    <w:rsid w:val="00FC2AE7"/>
    <w:rsid w:val="00FC3E91"/>
    <w:rsid w:val="00FC6EF7"/>
    <w:rsid w:val="00FD135F"/>
    <w:rsid w:val="00FD6285"/>
    <w:rsid w:val="00FD6929"/>
    <w:rsid w:val="00FE16B7"/>
    <w:rsid w:val="00FE5721"/>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726BA3"/>
  <w15:chartTrackingRefBased/>
  <w15:docId w15:val="{E2B91F28-E5AF-4B11-A3E2-5C413826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3A4D"/>
    <w:pPr>
      <w:keepNext/>
      <w:spacing w:after="0" w:line="240" w:lineRule="auto"/>
      <w:jc w:val="right"/>
      <w:outlineLvl w:val="0"/>
    </w:pPr>
    <w:rPr>
      <w:rFonts w:ascii="Times New Roman" w:eastAsia="Times New Roman" w:hAnsi="Times New Roman" w:cs="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F2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383"/>
    <w:rPr>
      <w:color w:val="0000FF"/>
      <w:u w:val="single"/>
    </w:rPr>
  </w:style>
  <w:style w:type="character" w:customStyle="1" w:styleId="fontsize2">
    <w:name w:val="fontsize2"/>
    <w:basedOn w:val="DefaultParagraphFont"/>
    <w:rsid w:val="00CF2383"/>
  </w:style>
  <w:style w:type="paragraph" w:styleId="ListParagraph">
    <w:name w:val="List Paragraph"/>
    <w:basedOn w:val="Normal"/>
    <w:uiPriority w:val="34"/>
    <w:qFormat/>
    <w:rsid w:val="006B333F"/>
    <w:pPr>
      <w:spacing w:line="256" w:lineRule="auto"/>
      <w:ind w:left="720"/>
      <w:contextualSpacing/>
    </w:pPr>
    <w:rPr>
      <w:lang w:val="lv-LV"/>
    </w:rPr>
  </w:style>
  <w:style w:type="character" w:customStyle="1" w:styleId="apple-style-span">
    <w:name w:val="apple-style-span"/>
    <w:basedOn w:val="DefaultParagraphFont"/>
    <w:uiPriority w:val="99"/>
    <w:rsid w:val="006B333F"/>
    <w:rPr>
      <w:rFonts w:cs="Times New Roman"/>
    </w:rPr>
  </w:style>
  <w:style w:type="character" w:customStyle="1" w:styleId="apple-converted-space">
    <w:name w:val="apple-converted-space"/>
    <w:basedOn w:val="DefaultParagraphFont"/>
    <w:rsid w:val="006B333F"/>
    <w:rPr>
      <w:rFonts w:cs="Times New Roman"/>
    </w:rPr>
  </w:style>
  <w:style w:type="paragraph" w:customStyle="1" w:styleId="vlist">
    <w:name w:val="vlist"/>
    <w:basedOn w:val="Normal"/>
    <w:rsid w:val="006B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B333F"/>
  </w:style>
  <w:style w:type="character" w:customStyle="1" w:styleId="fwn">
    <w:name w:val="fwn"/>
    <w:basedOn w:val="DefaultParagraphFont"/>
    <w:rsid w:val="006B333F"/>
  </w:style>
  <w:style w:type="paragraph" w:customStyle="1" w:styleId="naisf">
    <w:name w:val="naisf"/>
    <w:basedOn w:val="Normal"/>
    <w:link w:val="naisfChar"/>
    <w:rsid w:val="000550E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0550E4"/>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0550E4"/>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uiPriority w:val="99"/>
    <w:rsid w:val="000550E4"/>
    <w:pPr>
      <w:spacing w:before="75" w:after="75"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0550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50E4"/>
    <w:rPr>
      <w:rFonts w:ascii="Times New Roman" w:eastAsia="Times New Roman" w:hAnsi="Times New Roman" w:cs="Times New Roman"/>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uiPriority w:val="99"/>
    <w:unhideWhenUsed/>
    <w:rsid w:val="000550E4"/>
    <w:rPr>
      <w:vertAlign w:val="superscript"/>
    </w:rPr>
  </w:style>
  <w:style w:type="character" w:customStyle="1" w:styleId="naisfChar">
    <w:name w:val="naisf Char"/>
    <w:link w:val="naisf"/>
    <w:locked/>
    <w:rsid w:val="000550E4"/>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rsid w:val="00283CC0"/>
    <w:rPr>
      <w:rFonts w:cs="Times New Roman"/>
      <w:sz w:val="16"/>
      <w:szCs w:val="16"/>
    </w:rPr>
  </w:style>
  <w:style w:type="paragraph" w:styleId="BodyTextIndent">
    <w:name w:val="Body Text Indent"/>
    <w:basedOn w:val="Normal"/>
    <w:link w:val="BodyTextIndentChar"/>
    <w:uiPriority w:val="99"/>
    <w:semiHidden/>
    <w:unhideWhenUsed/>
    <w:rsid w:val="00283CC0"/>
    <w:pPr>
      <w:spacing w:after="120" w:line="276" w:lineRule="auto"/>
      <w:ind w:left="283"/>
    </w:pPr>
  </w:style>
  <w:style w:type="character" w:customStyle="1" w:styleId="BodyTextIndentChar">
    <w:name w:val="Body Text Indent Char"/>
    <w:basedOn w:val="DefaultParagraphFont"/>
    <w:link w:val="BodyTextIndent"/>
    <w:uiPriority w:val="99"/>
    <w:semiHidden/>
    <w:rsid w:val="00283CC0"/>
  </w:style>
  <w:style w:type="paragraph" w:styleId="NormalWeb">
    <w:name w:val="Normal (Web)"/>
    <w:basedOn w:val="Normal"/>
    <w:unhideWhenUsed/>
    <w:rsid w:val="001E46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E4601"/>
    <w:pPr>
      <w:spacing w:before="75" w:after="75" w:line="240" w:lineRule="auto"/>
      <w:jc w:val="center"/>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4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6"/>
    <w:rPr>
      <w:rFonts w:ascii="Segoe UI" w:hAnsi="Segoe UI" w:cs="Segoe UI"/>
      <w:sz w:val="18"/>
      <w:szCs w:val="18"/>
    </w:rPr>
  </w:style>
  <w:style w:type="character" w:styleId="Emphasis">
    <w:name w:val="Emphasis"/>
    <w:basedOn w:val="DefaultParagraphFont"/>
    <w:uiPriority w:val="20"/>
    <w:qFormat/>
    <w:rsid w:val="007B0BDD"/>
    <w:rPr>
      <w:i/>
      <w:iCs/>
    </w:rPr>
  </w:style>
  <w:style w:type="character" w:customStyle="1" w:styleId="affairetitle">
    <w:name w:val="affaire_title"/>
    <w:basedOn w:val="DefaultParagraphFont"/>
    <w:rsid w:val="007B0BDD"/>
  </w:style>
  <w:style w:type="paragraph" w:styleId="CommentText">
    <w:name w:val="annotation text"/>
    <w:basedOn w:val="Normal"/>
    <w:link w:val="CommentTextChar"/>
    <w:uiPriority w:val="99"/>
    <w:unhideWhenUsed/>
    <w:rsid w:val="007B0BDD"/>
    <w:pPr>
      <w:spacing w:line="240" w:lineRule="auto"/>
    </w:pPr>
    <w:rPr>
      <w:sz w:val="20"/>
      <w:szCs w:val="20"/>
      <w:lang w:val="en-GB"/>
    </w:rPr>
  </w:style>
  <w:style w:type="character" w:customStyle="1" w:styleId="CommentTextChar">
    <w:name w:val="Comment Text Char"/>
    <w:basedOn w:val="DefaultParagraphFont"/>
    <w:link w:val="CommentText"/>
    <w:uiPriority w:val="99"/>
    <w:rsid w:val="007B0BDD"/>
    <w:rPr>
      <w:sz w:val="20"/>
      <w:szCs w:val="20"/>
      <w:lang w:val="en-GB"/>
    </w:rPr>
  </w:style>
  <w:style w:type="table" w:styleId="TableGrid">
    <w:name w:val="Table Grid"/>
    <w:basedOn w:val="TableNormal"/>
    <w:uiPriority w:val="39"/>
    <w:rsid w:val="00CE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6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02D"/>
    <w:rPr>
      <w:sz w:val="20"/>
      <w:szCs w:val="20"/>
    </w:rPr>
  </w:style>
  <w:style w:type="character" w:styleId="EndnoteReference">
    <w:name w:val="endnote reference"/>
    <w:basedOn w:val="DefaultParagraphFont"/>
    <w:uiPriority w:val="99"/>
    <w:semiHidden/>
    <w:unhideWhenUsed/>
    <w:rsid w:val="0094602D"/>
    <w:rPr>
      <w:vertAlign w:val="superscript"/>
    </w:rPr>
  </w:style>
  <w:style w:type="paragraph" w:customStyle="1" w:styleId="Normal1">
    <w:name w:val="Normal1"/>
    <w:basedOn w:val="Normal"/>
    <w:rsid w:val="00F256A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7BD"/>
    <w:rPr>
      <w:b/>
      <w:bCs/>
      <w:lang w:val="en-US"/>
    </w:rPr>
  </w:style>
  <w:style w:type="character" w:customStyle="1" w:styleId="CommentSubjectChar">
    <w:name w:val="Comment Subject Char"/>
    <w:basedOn w:val="CommentTextChar"/>
    <w:link w:val="CommentSubject"/>
    <w:uiPriority w:val="99"/>
    <w:semiHidden/>
    <w:rsid w:val="00AC37BD"/>
    <w:rPr>
      <w:b/>
      <w:bCs/>
      <w:sz w:val="20"/>
      <w:szCs w:val="20"/>
      <w:lang w:val="en-GB"/>
    </w:rPr>
  </w:style>
  <w:style w:type="paragraph" w:styleId="Header">
    <w:name w:val="header"/>
    <w:basedOn w:val="Normal"/>
    <w:link w:val="HeaderChar"/>
    <w:uiPriority w:val="99"/>
    <w:unhideWhenUsed/>
    <w:rsid w:val="00E242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2C5"/>
  </w:style>
  <w:style w:type="paragraph" w:styleId="Footer">
    <w:name w:val="footer"/>
    <w:basedOn w:val="Normal"/>
    <w:link w:val="FooterChar"/>
    <w:uiPriority w:val="99"/>
    <w:unhideWhenUsed/>
    <w:rsid w:val="00E242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2C5"/>
  </w:style>
  <w:style w:type="character" w:customStyle="1" w:styleId="italic">
    <w:name w:val="italic"/>
    <w:basedOn w:val="DefaultParagraphFont"/>
    <w:rsid w:val="00C54BAB"/>
  </w:style>
  <w:style w:type="character" w:customStyle="1" w:styleId="Heading1Char">
    <w:name w:val="Heading 1 Char"/>
    <w:basedOn w:val="DefaultParagraphFont"/>
    <w:link w:val="Heading1"/>
    <w:rsid w:val="00853A4D"/>
    <w:rPr>
      <w:rFonts w:ascii="Times New Roman" w:eastAsia="Times New Roman" w:hAnsi="Times New Roman" w:cs="Times New Roman"/>
      <w:sz w:val="28"/>
      <w:szCs w:val="20"/>
      <w:lang w:val="lv-LV" w:eastAsia="lv-LV"/>
    </w:rPr>
  </w:style>
  <w:style w:type="character" w:customStyle="1" w:styleId="st1">
    <w:name w:val="st1"/>
    <w:uiPriority w:val="99"/>
    <w:rsid w:val="007C4451"/>
  </w:style>
  <w:style w:type="character" w:styleId="UnresolvedMention">
    <w:name w:val="Unresolved Mention"/>
    <w:basedOn w:val="DefaultParagraphFont"/>
    <w:uiPriority w:val="99"/>
    <w:semiHidden/>
    <w:unhideWhenUsed/>
    <w:rsid w:val="00FB5DFA"/>
    <w:rPr>
      <w:color w:val="605E5C"/>
      <w:shd w:val="clear" w:color="auto" w:fill="E1DFDD"/>
    </w:rPr>
  </w:style>
  <w:style w:type="character" w:customStyle="1" w:styleId="normaltextrun">
    <w:name w:val="normaltextrun"/>
    <w:basedOn w:val="DefaultParagraphFont"/>
    <w:rsid w:val="00627E66"/>
  </w:style>
  <w:style w:type="character" w:customStyle="1" w:styleId="eop">
    <w:name w:val="eop"/>
    <w:basedOn w:val="DefaultParagraphFont"/>
    <w:rsid w:val="0062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463">
      <w:bodyDiv w:val="1"/>
      <w:marLeft w:val="0"/>
      <w:marRight w:val="0"/>
      <w:marTop w:val="0"/>
      <w:marBottom w:val="0"/>
      <w:divBdr>
        <w:top w:val="none" w:sz="0" w:space="0" w:color="auto"/>
        <w:left w:val="none" w:sz="0" w:space="0" w:color="auto"/>
        <w:bottom w:val="none" w:sz="0" w:space="0" w:color="auto"/>
        <w:right w:val="none" w:sz="0" w:space="0" w:color="auto"/>
      </w:divBdr>
    </w:div>
    <w:div w:id="389621324">
      <w:bodyDiv w:val="1"/>
      <w:marLeft w:val="0"/>
      <w:marRight w:val="0"/>
      <w:marTop w:val="0"/>
      <w:marBottom w:val="0"/>
      <w:divBdr>
        <w:top w:val="none" w:sz="0" w:space="0" w:color="auto"/>
        <w:left w:val="none" w:sz="0" w:space="0" w:color="auto"/>
        <w:bottom w:val="none" w:sz="0" w:space="0" w:color="auto"/>
        <w:right w:val="none" w:sz="0" w:space="0" w:color="auto"/>
      </w:divBdr>
    </w:div>
    <w:div w:id="554314234">
      <w:bodyDiv w:val="1"/>
      <w:marLeft w:val="0"/>
      <w:marRight w:val="0"/>
      <w:marTop w:val="0"/>
      <w:marBottom w:val="0"/>
      <w:divBdr>
        <w:top w:val="none" w:sz="0" w:space="0" w:color="auto"/>
        <w:left w:val="none" w:sz="0" w:space="0" w:color="auto"/>
        <w:bottom w:val="none" w:sz="0" w:space="0" w:color="auto"/>
        <w:right w:val="none" w:sz="0" w:space="0" w:color="auto"/>
      </w:divBdr>
    </w:div>
    <w:div w:id="625357354">
      <w:bodyDiv w:val="1"/>
      <w:marLeft w:val="0"/>
      <w:marRight w:val="0"/>
      <w:marTop w:val="0"/>
      <w:marBottom w:val="0"/>
      <w:divBdr>
        <w:top w:val="none" w:sz="0" w:space="0" w:color="auto"/>
        <w:left w:val="none" w:sz="0" w:space="0" w:color="auto"/>
        <w:bottom w:val="none" w:sz="0" w:space="0" w:color="auto"/>
        <w:right w:val="none" w:sz="0" w:space="0" w:color="auto"/>
      </w:divBdr>
    </w:div>
    <w:div w:id="744186257">
      <w:bodyDiv w:val="1"/>
      <w:marLeft w:val="0"/>
      <w:marRight w:val="0"/>
      <w:marTop w:val="0"/>
      <w:marBottom w:val="0"/>
      <w:divBdr>
        <w:top w:val="none" w:sz="0" w:space="0" w:color="auto"/>
        <w:left w:val="none" w:sz="0" w:space="0" w:color="auto"/>
        <w:bottom w:val="none" w:sz="0" w:space="0" w:color="auto"/>
        <w:right w:val="none" w:sz="0" w:space="0" w:color="auto"/>
      </w:divBdr>
      <w:divsChild>
        <w:div w:id="37510786">
          <w:marLeft w:val="195"/>
          <w:marRight w:val="0"/>
          <w:marTop w:val="0"/>
          <w:marBottom w:val="0"/>
          <w:divBdr>
            <w:top w:val="none" w:sz="0" w:space="0" w:color="auto"/>
            <w:left w:val="none" w:sz="0" w:space="0" w:color="auto"/>
            <w:bottom w:val="none" w:sz="0" w:space="0" w:color="auto"/>
            <w:right w:val="none" w:sz="0" w:space="0" w:color="auto"/>
          </w:divBdr>
        </w:div>
        <w:div w:id="906963517">
          <w:marLeft w:val="195"/>
          <w:marRight w:val="0"/>
          <w:marTop w:val="0"/>
          <w:marBottom w:val="0"/>
          <w:divBdr>
            <w:top w:val="none" w:sz="0" w:space="0" w:color="auto"/>
            <w:left w:val="none" w:sz="0" w:space="0" w:color="auto"/>
            <w:bottom w:val="none" w:sz="0" w:space="0" w:color="auto"/>
            <w:right w:val="none" w:sz="0" w:space="0" w:color="auto"/>
          </w:divBdr>
        </w:div>
        <w:div w:id="1084911638">
          <w:marLeft w:val="195"/>
          <w:marRight w:val="0"/>
          <w:marTop w:val="0"/>
          <w:marBottom w:val="0"/>
          <w:divBdr>
            <w:top w:val="none" w:sz="0" w:space="0" w:color="auto"/>
            <w:left w:val="none" w:sz="0" w:space="0" w:color="auto"/>
            <w:bottom w:val="none" w:sz="0" w:space="0" w:color="auto"/>
            <w:right w:val="none" w:sz="0" w:space="0" w:color="auto"/>
          </w:divBdr>
        </w:div>
        <w:div w:id="1670017150">
          <w:marLeft w:val="195"/>
          <w:marRight w:val="0"/>
          <w:marTop w:val="0"/>
          <w:marBottom w:val="0"/>
          <w:divBdr>
            <w:top w:val="none" w:sz="0" w:space="0" w:color="auto"/>
            <w:left w:val="none" w:sz="0" w:space="0" w:color="auto"/>
            <w:bottom w:val="none" w:sz="0" w:space="0" w:color="auto"/>
            <w:right w:val="none" w:sz="0" w:space="0" w:color="auto"/>
          </w:divBdr>
        </w:div>
        <w:div w:id="1765226082">
          <w:marLeft w:val="195"/>
          <w:marRight w:val="0"/>
          <w:marTop w:val="0"/>
          <w:marBottom w:val="0"/>
          <w:divBdr>
            <w:top w:val="none" w:sz="0" w:space="0" w:color="auto"/>
            <w:left w:val="none" w:sz="0" w:space="0" w:color="auto"/>
            <w:bottom w:val="none" w:sz="0" w:space="0" w:color="auto"/>
            <w:right w:val="none" w:sz="0" w:space="0" w:color="auto"/>
          </w:divBdr>
        </w:div>
      </w:divsChild>
    </w:div>
    <w:div w:id="757293203">
      <w:bodyDiv w:val="1"/>
      <w:marLeft w:val="0"/>
      <w:marRight w:val="0"/>
      <w:marTop w:val="0"/>
      <w:marBottom w:val="0"/>
      <w:divBdr>
        <w:top w:val="none" w:sz="0" w:space="0" w:color="auto"/>
        <w:left w:val="none" w:sz="0" w:space="0" w:color="auto"/>
        <w:bottom w:val="none" w:sz="0" w:space="0" w:color="auto"/>
        <w:right w:val="none" w:sz="0" w:space="0" w:color="auto"/>
      </w:divBdr>
    </w:div>
    <w:div w:id="777798839">
      <w:bodyDiv w:val="1"/>
      <w:marLeft w:val="0"/>
      <w:marRight w:val="0"/>
      <w:marTop w:val="0"/>
      <w:marBottom w:val="0"/>
      <w:divBdr>
        <w:top w:val="none" w:sz="0" w:space="0" w:color="auto"/>
        <w:left w:val="none" w:sz="0" w:space="0" w:color="auto"/>
        <w:bottom w:val="none" w:sz="0" w:space="0" w:color="auto"/>
        <w:right w:val="none" w:sz="0" w:space="0" w:color="auto"/>
      </w:divBdr>
    </w:div>
    <w:div w:id="979531274">
      <w:bodyDiv w:val="1"/>
      <w:marLeft w:val="0"/>
      <w:marRight w:val="0"/>
      <w:marTop w:val="0"/>
      <w:marBottom w:val="0"/>
      <w:divBdr>
        <w:top w:val="none" w:sz="0" w:space="0" w:color="auto"/>
        <w:left w:val="none" w:sz="0" w:space="0" w:color="auto"/>
        <w:bottom w:val="none" w:sz="0" w:space="0" w:color="auto"/>
        <w:right w:val="none" w:sz="0" w:space="0" w:color="auto"/>
      </w:divBdr>
      <w:divsChild>
        <w:div w:id="46229289">
          <w:marLeft w:val="0"/>
          <w:marRight w:val="0"/>
          <w:marTop w:val="0"/>
          <w:marBottom w:val="567"/>
          <w:divBdr>
            <w:top w:val="none" w:sz="0" w:space="0" w:color="auto"/>
            <w:left w:val="none" w:sz="0" w:space="0" w:color="auto"/>
            <w:bottom w:val="none" w:sz="0" w:space="0" w:color="auto"/>
            <w:right w:val="none" w:sz="0" w:space="0" w:color="auto"/>
          </w:divBdr>
        </w:div>
        <w:div w:id="2046522680">
          <w:marLeft w:val="0"/>
          <w:marRight w:val="0"/>
          <w:marTop w:val="480"/>
          <w:marBottom w:val="240"/>
          <w:divBdr>
            <w:top w:val="none" w:sz="0" w:space="0" w:color="auto"/>
            <w:left w:val="none" w:sz="0" w:space="0" w:color="auto"/>
            <w:bottom w:val="none" w:sz="0" w:space="0" w:color="auto"/>
            <w:right w:val="none" w:sz="0" w:space="0" w:color="auto"/>
          </w:divBdr>
        </w:div>
      </w:divsChild>
    </w:div>
    <w:div w:id="1019236392">
      <w:bodyDiv w:val="1"/>
      <w:marLeft w:val="0"/>
      <w:marRight w:val="0"/>
      <w:marTop w:val="0"/>
      <w:marBottom w:val="0"/>
      <w:divBdr>
        <w:top w:val="none" w:sz="0" w:space="0" w:color="auto"/>
        <w:left w:val="none" w:sz="0" w:space="0" w:color="auto"/>
        <w:bottom w:val="none" w:sz="0" w:space="0" w:color="auto"/>
        <w:right w:val="none" w:sz="0" w:space="0" w:color="auto"/>
      </w:divBdr>
    </w:div>
    <w:div w:id="1222865088">
      <w:bodyDiv w:val="1"/>
      <w:marLeft w:val="0"/>
      <w:marRight w:val="0"/>
      <w:marTop w:val="0"/>
      <w:marBottom w:val="0"/>
      <w:divBdr>
        <w:top w:val="none" w:sz="0" w:space="0" w:color="auto"/>
        <w:left w:val="none" w:sz="0" w:space="0" w:color="auto"/>
        <w:bottom w:val="none" w:sz="0" w:space="0" w:color="auto"/>
        <w:right w:val="none" w:sz="0" w:space="0" w:color="auto"/>
      </w:divBdr>
    </w:div>
    <w:div w:id="1356272209">
      <w:bodyDiv w:val="1"/>
      <w:marLeft w:val="0"/>
      <w:marRight w:val="0"/>
      <w:marTop w:val="0"/>
      <w:marBottom w:val="0"/>
      <w:divBdr>
        <w:top w:val="none" w:sz="0" w:space="0" w:color="auto"/>
        <w:left w:val="none" w:sz="0" w:space="0" w:color="auto"/>
        <w:bottom w:val="none" w:sz="0" w:space="0" w:color="auto"/>
        <w:right w:val="none" w:sz="0" w:space="0" w:color="auto"/>
      </w:divBdr>
    </w:div>
    <w:div w:id="1425220407">
      <w:bodyDiv w:val="1"/>
      <w:marLeft w:val="0"/>
      <w:marRight w:val="0"/>
      <w:marTop w:val="0"/>
      <w:marBottom w:val="0"/>
      <w:divBdr>
        <w:top w:val="none" w:sz="0" w:space="0" w:color="auto"/>
        <w:left w:val="none" w:sz="0" w:space="0" w:color="auto"/>
        <w:bottom w:val="none" w:sz="0" w:space="0" w:color="auto"/>
        <w:right w:val="none" w:sz="0" w:space="0" w:color="auto"/>
      </w:divBdr>
    </w:div>
    <w:div w:id="1472360644">
      <w:bodyDiv w:val="1"/>
      <w:marLeft w:val="0"/>
      <w:marRight w:val="0"/>
      <w:marTop w:val="0"/>
      <w:marBottom w:val="0"/>
      <w:divBdr>
        <w:top w:val="none" w:sz="0" w:space="0" w:color="auto"/>
        <w:left w:val="none" w:sz="0" w:space="0" w:color="auto"/>
        <w:bottom w:val="none" w:sz="0" w:space="0" w:color="auto"/>
        <w:right w:val="none" w:sz="0" w:space="0" w:color="auto"/>
      </w:divBdr>
      <w:divsChild>
        <w:div w:id="426118821">
          <w:marLeft w:val="195"/>
          <w:marRight w:val="0"/>
          <w:marTop w:val="0"/>
          <w:marBottom w:val="0"/>
          <w:divBdr>
            <w:top w:val="none" w:sz="0" w:space="0" w:color="auto"/>
            <w:left w:val="none" w:sz="0" w:space="0" w:color="auto"/>
            <w:bottom w:val="none" w:sz="0" w:space="0" w:color="auto"/>
            <w:right w:val="none" w:sz="0" w:space="0" w:color="auto"/>
          </w:divBdr>
        </w:div>
        <w:div w:id="1380936765">
          <w:marLeft w:val="195"/>
          <w:marRight w:val="0"/>
          <w:marTop w:val="0"/>
          <w:marBottom w:val="0"/>
          <w:divBdr>
            <w:top w:val="none" w:sz="0" w:space="0" w:color="auto"/>
            <w:left w:val="none" w:sz="0" w:space="0" w:color="auto"/>
            <w:bottom w:val="none" w:sz="0" w:space="0" w:color="auto"/>
            <w:right w:val="none" w:sz="0" w:space="0" w:color="auto"/>
          </w:divBdr>
        </w:div>
        <w:div w:id="1497380897">
          <w:marLeft w:val="195"/>
          <w:marRight w:val="0"/>
          <w:marTop w:val="0"/>
          <w:marBottom w:val="0"/>
          <w:divBdr>
            <w:top w:val="none" w:sz="0" w:space="0" w:color="auto"/>
            <w:left w:val="none" w:sz="0" w:space="0" w:color="auto"/>
            <w:bottom w:val="none" w:sz="0" w:space="0" w:color="auto"/>
            <w:right w:val="none" w:sz="0" w:space="0" w:color="auto"/>
          </w:divBdr>
        </w:div>
        <w:div w:id="2037386990">
          <w:marLeft w:val="195"/>
          <w:marRight w:val="0"/>
          <w:marTop w:val="0"/>
          <w:marBottom w:val="0"/>
          <w:divBdr>
            <w:top w:val="none" w:sz="0" w:space="0" w:color="auto"/>
            <w:left w:val="none" w:sz="0" w:space="0" w:color="auto"/>
            <w:bottom w:val="none" w:sz="0" w:space="0" w:color="auto"/>
            <w:right w:val="none" w:sz="0" w:space="0" w:color="auto"/>
          </w:divBdr>
        </w:div>
      </w:divsChild>
    </w:div>
    <w:div w:id="1616978843">
      <w:bodyDiv w:val="1"/>
      <w:marLeft w:val="0"/>
      <w:marRight w:val="0"/>
      <w:marTop w:val="0"/>
      <w:marBottom w:val="0"/>
      <w:divBdr>
        <w:top w:val="none" w:sz="0" w:space="0" w:color="auto"/>
        <w:left w:val="none" w:sz="0" w:space="0" w:color="auto"/>
        <w:bottom w:val="none" w:sz="0" w:space="0" w:color="auto"/>
        <w:right w:val="none" w:sz="0" w:space="0" w:color="auto"/>
      </w:divBdr>
      <w:divsChild>
        <w:div w:id="193426469">
          <w:marLeft w:val="195"/>
          <w:marRight w:val="0"/>
          <w:marTop w:val="0"/>
          <w:marBottom w:val="0"/>
          <w:divBdr>
            <w:top w:val="none" w:sz="0" w:space="0" w:color="auto"/>
            <w:left w:val="none" w:sz="0" w:space="0" w:color="auto"/>
            <w:bottom w:val="none" w:sz="0" w:space="0" w:color="auto"/>
            <w:right w:val="none" w:sz="0" w:space="0" w:color="auto"/>
          </w:divBdr>
        </w:div>
        <w:div w:id="210575281">
          <w:marLeft w:val="195"/>
          <w:marRight w:val="0"/>
          <w:marTop w:val="0"/>
          <w:marBottom w:val="0"/>
          <w:divBdr>
            <w:top w:val="none" w:sz="0" w:space="0" w:color="auto"/>
            <w:left w:val="none" w:sz="0" w:space="0" w:color="auto"/>
            <w:bottom w:val="none" w:sz="0" w:space="0" w:color="auto"/>
            <w:right w:val="none" w:sz="0" w:space="0" w:color="auto"/>
          </w:divBdr>
        </w:div>
        <w:div w:id="1347437542">
          <w:marLeft w:val="195"/>
          <w:marRight w:val="0"/>
          <w:marTop w:val="0"/>
          <w:marBottom w:val="0"/>
          <w:divBdr>
            <w:top w:val="none" w:sz="0" w:space="0" w:color="auto"/>
            <w:left w:val="none" w:sz="0" w:space="0" w:color="auto"/>
            <w:bottom w:val="none" w:sz="0" w:space="0" w:color="auto"/>
            <w:right w:val="none" w:sz="0" w:space="0" w:color="auto"/>
          </w:divBdr>
        </w:div>
        <w:div w:id="1590701706">
          <w:marLeft w:val="195"/>
          <w:marRight w:val="0"/>
          <w:marTop w:val="0"/>
          <w:marBottom w:val="0"/>
          <w:divBdr>
            <w:top w:val="none" w:sz="0" w:space="0" w:color="auto"/>
            <w:left w:val="none" w:sz="0" w:space="0" w:color="auto"/>
            <w:bottom w:val="none" w:sz="0" w:space="0" w:color="auto"/>
            <w:right w:val="none" w:sz="0" w:space="0" w:color="auto"/>
          </w:divBdr>
        </w:div>
      </w:divsChild>
    </w:div>
    <w:div w:id="1706100772">
      <w:bodyDiv w:val="1"/>
      <w:marLeft w:val="0"/>
      <w:marRight w:val="0"/>
      <w:marTop w:val="0"/>
      <w:marBottom w:val="0"/>
      <w:divBdr>
        <w:top w:val="none" w:sz="0" w:space="0" w:color="auto"/>
        <w:left w:val="none" w:sz="0" w:space="0" w:color="auto"/>
        <w:bottom w:val="none" w:sz="0" w:space="0" w:color="auto"/>
        <w:right w:val="none" w:sz="0" w:space="0" w:color="auto"/>
      </w:divBdr>
    </w:div>
    <w:div w:id="1748069238">
      <w:bodyDiv w:val="1"/>
      <w:marLeft w:val="0"/>
      <w:marRight w:val="0"/>
      <w:marTop w:val="0"/>
      <w:marBottom w:val="0"/>
      <w:divBdr>
        <w:top w:val="none" w:sz="0" w:space="0" w:color="auto"/>
        <w:left w:val="none" w:sz="0" w:space="0" w:color="auto"/>
        <w:bottom w:val="none" w:sz="0" w:space="0" w:color="auto"/>
        <w:right w:val="none" w:sz="0" w:space="0" w:color="auto"/>
      </w:divBdr>
    </w:div>
    <w:div w:id="1782648723">
      <w:bodyDiv w:val="1"/>
      <w:marLeft w:val="0"/>
      <w:marRight w:val="0"/>
      <w:marTop w:val="0"/>
      <w:marBottom w:val="0"/>
      <w:divBdr>
        <w:top w:val="none" w:sz="0" w:space="0" w:color="auto"/>
        <w:left w:val="none" w:sz="0" w:space="0" w:color="auto"/>
        <w:bottom w:val="none" w:sz="0" w:space="0" w:color="auto"/>
        <w:right w:val="none" w:sz="0" w:space="0" w:color="auto"/>
      </w:divBdr>
    </w:div>
    <w:div w:id="1790007254">
      <w:bodyDiv w:val="1"/>
      <w:marLeft w:val="0"/>
      <w:marRight w:val="0"/>
      <w:marTop w:val="0"/>
      <w:marBottom w:val="0"/>
      <w:divBdr>
        <w:top w:val="none" w:sz="0" w:space="0" w:color="auto"/>
        <w:left w:val="none" w:sz="0" w:space="0" w:color="auto"/>
        <w:bottom w:val="none" w:sz="0" w:space="0" w:color="auto"/>
        <w:right w:val="none" w:sz="0" w:space="0" w:color="auto"/>
      </w:divBdr>
    </w:div>
    <w:div w:id="1856655855">
      <w:bodyDiv w:val="1"/>
      <w:marLeft w:val="0"/>
      <w:marRight w:val="0"/>
      <w:marTop w:val="0"/>
      <w:marBottom w:val="0"/>
      <w:divBdr>
        <w:top w:val="none" w:sz="0" w:space="0" w:color="auto"/>
        <w:left w:val="none" w:sz="0" w:space="0" w:color="auto"/>
        <w:bottom w:val="none" w:sz="0" w:space="0" w:color="auto"/>
        <w:right w:val="none" w:sz="0" w:space="0" w:color="auto"/>
      </w:divBdr>
    </w:div>
    <w:div w:id="1917399849">
      <w:bodyDiv w:val="1"/>
      <w:marLeft w:val="0"/>
      <w:marRight w:val="0"/>
      <w:marTop w:val="0"/>
      <w:marBottom w:val="0"/>
      <w:divBdr>
        <w:top w:val="none" w:sz="0" w:space="0" w:color="auto"/>
        <w:left w:val="none" w:sz="0" w:space="0" w:color="auto"/>
        <w:bottom w:val="none" w:sz="0" w:space="0" w:color="auto"/>
        <w:right w:val="none" w:sz="0" w:space="0" w:color="auto"/>
      </w:divBdr>
    </w:div>
    <w:div w:id="1930506055">
      <w:bodyDiv w:val="1"/>
      <w:marLeft w:val="0"/>
      <w:marRight w:val="0"/>
      <w:marTop w:val="0"/>
      <w:marBottom w:val="0"/>
      <w:divBdr>
        <w:top w:val="none" w:sz="0" w:space="0" w:color="auto"/>
        <w:left w:val="none" w:sz="0" w:space="0" w:color="auto"/>
        <w:bottom w:val="none" w:sz="0" w:space="0" w:color="auto"/>
        <w:right w:val="none" w:sz="0" w:space="0" w:color="auto"/>
      </w:divBdr>
    </w:div>
    <w:div w:id="1985432186">
      <w:bodyDiv w:val="1"/>
      <w:marLeft w:val="0"/>
      <w:marRight w:val="0"/>
      <w:marTop w:val="0"/>
      <w:marBottom w:val="0"/>
      <w:divBdr>
        <w:top w:val="none" w:sz="0" w:space="0" w:color="auto"/>
        <w:left w:val="none" w:sz="0" w:space="0" w:color="auto"/>
        <w:bottom w:val="none" w:sz="0" w:space="0" w:color="auto"/>
        <w:right w:val="none" w:sz="0" w:space="0" w:color="auto"/>
      </w:divBdr>
    </w:div>
    <w:div w:id="2052922535">
      <w:bodyDiv w:val="1"/>
      <w:marLeft w:val="0"/>
      <w:marRight w:val="0"/>
      <w:marTop w:val="0"/>
      <w:marBottom w:val="0"/>
      <w:divBdr>
        <w:top w:val="none" w:sz="0" w:space="0" w:color="auto"/>
        <w:left w:val="none" w:sz="0" w:space="0" w:color="auto"/>
        <w:bottom w:val="none" w:sz="0" w:space="0" w:color="auto"/>
        <w:right w:val="none" w:sz="0" w:space="0" w:color="auto"/>
      </w:divBdr>
    </w:div>
    <w:div w:id="2083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p.gov.lv/posts/kp-darba-raditais-sabiedribas-ieguvums-teju-20-reizes-parsniedz-iestades-budzetu" TargetMode="External"/><Relationship Id="rId1" Type="http://schemas.openxmlformats.org/officeDocument/2006/relationships/hyperlink" Target="http://polsis.mk.gov.lv/documents/6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5980-CEB1-40B3-A93A-38C677D6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29</Pages>
  <Words>43035</Words>
  <Characters>24530</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Likumprojekta „Grozījumi Konkurences likumā” sākotnējās ietekmes novērtējuma ziņojums (anotācija)</vt:lpstr>
    </vt:vector>
  </TitlesOfParts>
  <Company/>
  <LinksUpToDate>false</LinksUpToDate>
  <CharactersWithSpaces>67431</CharactersWithSpaces>
  <SharedDoc>false</SharedDoc>
  <HLinks>
    <vt:vector size="24" baseType="variant">
      <vt:variant>
        <vt:i4>7340153</vt:i4>
      </vt:variant>
      <vt:variant>
        <vt:i4>3</vt:i4>
      </vt:variant>
      <vt:variant>
        <vt:i4>0</vt:i4>
      </vt:variant>
      <vt:variant>
        <vt:i4>5</vt:i4>
      </vt:variant>
      <vt:variant>
        <vt:lpwstr>https://mk.gov.lv/content/ministru-kabineta-diskusiju-dokumenti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ariant>
        <vt:i4>5374023</vt:i4>
      </vt:variant>
      <vt:variant>
        <vt:i4>3</vt:i4>
      </vt:variant>
      <vt:variant>
        <vt:i4>0</vt:i4>
      </vt:variant>
      <vt:variant>
        <vt:i4>5</vt:i4>
      </vt:variant>
      <vt:variant>
        <vt:lpwstr>https://www.kp.gov.lv/posts/kp-darba-raditais-sabiedribas-ieguvums-teju-20-reizes-parsniedz-iestades-budzetu</vt:lpwstr>
      </vt:variant>
      <vt:variant>
        <vt:lpwstr/>
      </vt:variant>
      <vt:variant>
        <vt:i4>6422627</vt:i4>
      </vt:variant>
      <vt:variant>
        <vt:i4>0</vt:i4>
      </vt:variant>
      <vt:variant>
        <vt:i4>0</vt:i4>
      </vt:variant>
      <vt:variant>
        <vt:i4>5</vt:i4>
      </vt:variant>
      <vt:variant>
        <vt:lpwstr>http://polsis.mk.gov.lv/documents/6609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Konkurences likumā” sākotnējās ietekmes novērtējuma ziņojums (anotācija)</dc:title>
  <dc:subject/>
  <dc:creator>Dita Dzērviniece</dc:creator>
  <cp:keywords>Anotācija</cp:keywords>
  <dc:description>Intars.Eglitis@em.gov.lv; 67013236</dc:description>
  <cp:lastModifiedBy>Intars Eglītis</cp:lastModifiedBy>
  <cp:revision>278</cp:revision>
  <cp:lastPrinted>2020-06-17T22:42:00Z</cp:lastPrinted>
  <dcterms:created xsi:type="dcterms:W3CDTF">2020-09-18T16:57:00Z</dcterms:created>
  <dcterms:modified xsi:type="dcterms:W3CDTF">2020-10-03T18:59:00Z</dcterms:modified>
</cp:coreProperties>
</file>