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67" w:rsidRDefault="00FC30C0" w:rsidP="008C64EE">
      <w:pPr>
        <w:spacing w:line="240" w:lineRule="auto"/>
        <w:jc w:val="center"/>
        <w:rPr>
          <w:rFonts w:ascii="Times New Roman" w:eastAsia="Times New Roman" w:hAnsi="Times New Roman" w:cs="Times New Roman"/>
          <w:b/>
          <w:bCs/>
          <w:sz w:val="26"/>
          <w:szCs w:val="26"/>
          <w:lang w:eastAsia="lv-LV"/>
        </w:rPr>
      </w:pPr>
      <w:r w:rsidRPr="00126EE2">
        <w:rPr>
          <w:rFonts w:ascii="Times New Roman" w:eastAsia="Times New Roman" w:hAnsi="Times New Roman" w:cs="Times New Roman"/>
          <w:b/>
          <w:bCs/>
          <w:sz w:val="26"/>
          <w:szCs w:val="26"/>
          <w:lang w:eastAsia="lv-LV"/>
        </w:rPr>
        <w:t>Likumprojekta “Grozījumi</w:t>
      </w:r>
      <w:r w:rsidR="00F82C73">
        <w:rPr>
          <w:rFonts w:ascii="Times New Roman" w:eastAsia="Times New Roman" w:hAnsi="Times New Roman" w:cs="Times New Roman"/>
          <w:b/>
          <w:bCs/>
          <w:sz w:val="26"/>
          <w:szCs w:val="26"/>
          <w:lang w:eastAsia="lv-LV"/>
        </w:rPr>
        <w:t xml:space="preserve"> </w:t>
      </w:r>
      <w:r w:rsidRPr="00126EE2">
        <w:rPr>
          <w:rFonts w:ascii="Times New Roman" w:eastAsia="Times New Roman" w:hAnsi="Times New Roman" w:cs="Times New Roman"/>
          <w:b/>
          <w:bCs/>
          <w:sz w:val="26"/>
          <w:szCs w:val="26"/>
          <w:lang w:eastAsia="lv-LV"/>
        </w:rPr>
        <w:t>Solidaritātes nodokļa likumā</w:t>
      </w:r>
      <w:r w:rsidR="00F82C73">
        <w:rPr>
          <w:rFonts w:ascii="Times New Roman" w:eastAsia="Times New Roman" w:hAnsi="Times New Roman" w:cs="Times New Roman"/>
          <w:b/>
          <w:bCs/>
          <w:sz w:val="26"/>
          <w:szCs w:val="26"/>
          <w:lang w:eastAsia="lv-LV"/>
        </w:rPr>
        <w:t>”</w:t>
      </w:r>
    </w:p>
    <w:p w:rsidR="008C64EE" w:rsidRPr="00126EE2" w:rsidRDefault="00A511BD" w:rsidP="008C64EE">
      <w:pPr>
        <w:spacing w:line="240" w:lineRule="auto"/>
        <w:jc w:val="center"/>
        <w:rPr>
          <w:rFonts w:ascii="Times New Roman" w:eastAsia="Times New Roman" w:hAnsi="Times New Roman" w:cs="Times New Roman"/>
          <w:b/>
          <w:bCs/>
          <w:sz w:val="26"/>
          <w:szCs w:val="26"/>
          <w:lang w:eastAsia="lv-LV"/>
        </w:rPr>
      </w:pPr>
      <w:r w:rsidRPr="00126EE2">
        <w:rPr>
          <w:rFonts w:ascii="Times New Roman" w:eastAsia="Times New Roman" w:hAnsi="Times New Roman" w:cs="Times New Roman"/>
          <w:b/>
          <w:bCs/>
          <w:sz w:val="26"/>
          <w:szCs w:val="26"/>
          <w:lang w:eastAsia="lv-LV"/>
        </w:rPr>
        <w:t>sākotnējās ietekmes novērtējuma ziņojums (anotācija)</w:t>
      </w:r>
    </w:p>
    <w:p w:rsidR="00A511BD" w:rsidRPr="00126EE2" w:rsidRDefault="00A511BD" w:rsidP="00A511BD">
      <w:pPr>
        <w:spacing w:line="240" w:lineRule="auto"/>
        <w:jc w:val="center"/>
        <w:rPr>
          <w:rFonts w:ascii="Times New Roman" w:hAnsi="Times New Roman" w:cs="Times New Roman"/>
          <w:b/>
          <w:bCs/>
          <w:sz w:val="26"/>
          <w:szCs w:val="26"/>
          <w:lang w:eastAsia="ru-RU"/>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8C64EE" w:rsidRPr="008C64EE"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3AA6" w:rsidRPr="00126EE2"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126EE2">
              <w:rPr>
                <w:rFonts w:ascii="Times New Roman" w:eastAsia="Times New Roman" w:hAnsi="Times New Roman" w:cs="Times New Roman"/>
                <w:b/>
                <w:bCs/>
                <w:sz w:val="26"/>
                <w:szCs w:val="26"/>
                <w:lang w:eastAsia="lv-LV"/>
              </w:rPr>
              <w:t>Tiesību akta projekta anotācijas kopsavilkums</w:t>
            </w:r>
          </w:p>
        </w:tc>
      </w:tr>
      <w:tr w:rsidR="008C64EE" w:rsidRPr="008C64EE" w:rsidTr="00F67E99">
        <w:tc>
          <w:tcPr>
            <w:tcW w:w="1639"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993C84">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rsidR="001C245F" w:rsidRDefault="00DC1CD4" w:rsidP="001C245F">
            <w:pPr>
              <w:tabs>
                <w:tab w:val="center" w:pos="4680"/>
                <w:tab w:val="right" w:pos="9360"/>
              </w:tabs>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Likumprojekts “Grozījumi Solidaritātes nodokļa likumā” (turpmāk – Likumprojekts)</w:t>
            </w:r>
            <w:r w:rsidR="00FA0323" w:rsidRPr="00126EE2">
              <w:rPr>
                <w:rFonts w:ascii="Times New Roman" w:eastAsia="Times New Roman" w:hAnsi="Times New Roman" w:cs="Times New Roman"/>
                <w:sz w:val="26"/>
                <w:szCs w:val="26"/>
                <w:lang w:eastAsia="lv-LV"/>
              </w:rPr>
              <w:t xml:space="preserve"> ir izstrādāts</w:t>
            </w:r>
            <w:r w:rsidR="008F43CB" w:rsidRPr="00126EE2">
              <w:rPr>
                <w:rFonts w:ascii="Times New Roman" w:eastAsia="Times New Roman" w:hAnsi="Times New Roman" w:cs="Times New Roman"/>
                <w:sz w:val="26"/>
                <w:szCs w:val="26"/>
                <w:lang w:eastAsia="lv-LV"/>
              </w:rPr>
              <w:t xml:space="preserve">, izpildot </w:t>
            </w:r>
            <w:r w:rsidR="00CF0A15">
              <w:rPr>
                <w:rFonts w:ascii="Times New Roman" w:eastAsia="Times New Roman" w:hAnsi="Times New Roman" w:cs="Times New Roman"/>
                <w:sz w:val="26"/>
                <w:szCs w:val="26"/>
                <w:lang w:eastAsia="lv-LV"/>
              </w:rPr>
              <w:t>Ministru kabineta uzdevumu</w:t>
            </w:r>
            <w:r w:rsidR="00CC1018" w:rsidRPr="00126EE2">
              <w:rPr>
                <w:rFonts w:ascii="Times New Roman" w:eastAsia="Times New Roman" w:hAnsi="Times New Roman" w:cs="Times New Roman"/>
                <w:sz w:val="26"/>
                <w:szCs w:val="26"/>
                <w:lang w:eastAsia="lv-LV"/>
              </w:rPr>
              <w:t>,</w:t>
            </w:r>
            <w:r w:rsidR="008F43CB" w:rsidRPr="00126EE2">
              <w:rPr>
                <w:rFonts w:ascii="Times New Roman" w:eastAsia="Times New Roman" w:hAnsi="Times New Roman" w:cs="Times New Roman"/>
                <w:sz w:val="26"/>
                <w:szCs w:val="26"/>
                <w:lang w:eastAsia="lv-LV"/>
              </w:rPr>
              <w:t xml:space="preserve"> un paredz</w:t>
            </w:r>
            <w:r w:rsidR="00395EEC">
              <w:rPr>
                <w:rFonts w:ascii="Times New Roman" w:eastAsia="Times New Roman" w:hAnsi="Times New Roman" w:cs="Times New Roman"/>
                <w:sz w:val="26"/>
                <w:szCs w:val="26"/>
                <w:lang w:eastAsia="lv-LV"/>
              </w:rPr>
              <w:t xml:space="preserve"> </w:t>
            </w:r>
            <w:r w:rsidR="00CF0A15" w:rsidRPr="00CF0A15">
              <w:rPr>
                <w:rFonts w:ascii="Times New Roman" w:eastAsia="Times New Roman" w:hAnsi="Times New Roman" w:cs="Times New Roman"/>
                <w:sz w:val="26"/>
                <w:szCs w:val="26"/>
                <w:lang w:eastAsia="lv-LV"/>
              </w:rPr>
              <w:t xml:space="preserve">no 2021.gada </w:t>
            </w:r>
            <w:r w:rsidR="00CF0A15">
              <w:rPr>
                <w:rFonts w:ascii="Times New Roman" w:eastAsia="Times New Roman" w:hAnsi="Times New Roman" w:cs="Times New Roman"/>
                <w:sz w:val="26"/>
                <w:szCs w:val="26"/>
                <w:lang w:eastAsia="lv-LV"/>
              </w:rPr>
              <w:t xml:space="preserve">noteikt </w:t>
            </w:r>
            <w:r w:rsidR="00CF0A15" w:rsidRPr="00CF0A15">
              <w:rPr>
                <w:rFonts w:ascii="Times New Roman" w:eastAsia="Times New Roman" w:hAnsi="Times New Roman" w:cs="Times New Roman"/>
                <w:sz w:val="26"/>
                <w:szCs w:val="26"/>
                <w:lang w:eastAsia="lv-LV"/>
              </w:rPr>
              <w:t xml:space="preserve"> solidaritātes nodokļa likmi atbilstoši normatīvajos aktos noteiktajām valsts sociālās apdrošināšanas obligā</w:t>
            </w:r>
            <w:r w:rsidR="00CF0A15">
              <w:rPr>
                <w:rFonts w:ascii="Times New Roman" w:eastAsia="Times New Roman" w:hAnsi="Times New Roman" w:cs="Times New Roman"/>
                <w:sz w:val="26"/>
                <w:szCs w:val="26"/>
                <w:lang w:eastAsia="lv-LV"/>
              </w:rPr>
              <w:t>to iemaksu likmēm un mainīt</w:t>
            </w:r>
            <w:r w:rsidR="00CF0A15" w:rsidRPr="00CF0A15">
              <w:rPr>
                <w:rFonts w:ascii="Times New Roman" w:eastAsia="Times New Roman" w:hAnsi="Times New Roman" w:cs="Times New Roman"/>
                <w:sz w:val="26"/>
                <w:szCs w:val="26"/>
                <w:lang w:eastAsia="lv-LV"/>
              </w:rPr>
              <w:t xml:space="preserve"> solidaritātes nodokļa ieņēmumu sadalījumu, lai nodrošinātu, ka </w:t>
            </w:r>
            <w:r w:rsidR="00AE6E5C">
              <w:rPr>
                <w:rFonts w:ascii="Times New Roman" w:eastAsia="Times New Roman" w:hAnsi="Times New Roman" w:cs="Times New Roman"/>
                <w:sz w:val="26"/>
                <w:szCs w:val="26"/>
                <w:lang w:eastAsia="lv-LV"/>
              </w:rPr>
              <w:t>vienotajā</w:t>
            </w:r>
            <w:r w:rsidR="00CF0A15" w:rsidRPr="00CF0A15">
              <w:rPr>
                <w:rFonts w:ascii="Times New Roman" w:eastAsia="Times New Roman" w:hAnsi="Times New Roman" w:cs="Times New Roman"/>
                <w:sz w:val="26"/>
                <w:szCs w:val="26"/>
                <w:lang w:eastAsia="lv-LV"/>
              </w:rPr>
              <w:t xml:space="preserve"> nodokļ</w:t>
            </w:r>
            <w:r w:rsidR="00404AFA">
              <w:rPr>
                <w:rFonts w:ascii="Times New Roman" w:eastAsia="Times New Roman" w:hAnsi="Times New Roman" w:cs="Times New Roman"/>
                <w:sz w:val="26"/>
                <w:szCs w:val="26"/>
                <w:lang w:eastAsia="lv-LV"/>
              </w:rPr>
              <w:t>u</w:t>
            </w:r>
            <w:r w:rsidR="00CF0A15" w:rsidRPr="00CF0A15">
              <w:rPr>
                <w:rFonts w:ascii="Times New Roman" w:eastAsia="Times New Roman" w:hAnsi="Times New Roman" w:cs="Times New Roman"/>
                <w:sz w:val="26"/>
                <w:szCs w:val="26"/>
                <w:lang w:eastAsia="lv-LV"/>
              </w:rPr>
              <w:t xml:space="preserve"> kontā ieskaita solidaritātes nodokļa </w:t>
            </w:r>
            <w:r w:rsidR="001C245F">
              <w:rPr>
                <w:rFonts w:ascii="Times New Roman" w:eastAsia="Times New Roman" w:hAnsi="Times New Roman" w:cs="Times New Roman"/>
                <w:sz w:val="26"/>
                <w:szCs w:val="26"/>
                <w:lang w:eastAsia="lv-LV"/>
              </w:rPr>
              <w:t xml:space="preserve">iedzīvotāju ienākuma nodokļa </w:t>
            </w:r>
            <w:r w:rsidR="00CF0A15" w:rsidRPr="00CF0A15">
              <w:rPr>
                <w:rFonts w:ascii="Times New Roman" w:eastAsia="Times New Roman" w:hAnsi="Times New Roman" w:cs="Times New Roman"/>
                <w:sz w:val="26"/>
                <w:szCs w:val="26"/>
                <w:lang w:eastAsia="lv-LV"/>
              </w:rPr>
              <w:t xml:space="preserve">ieņēmumus 10 procentpunktu apmērā, kā arī </w:t>
            </w:r>
            <w:r w:rsidR="00CF0A15">
              <w:rPr>
                <w:rFonts w:ascii="Times New Roman" w:eastAsia="Times New Roman" w:hAnsi="Times New Roman" w:cs="Times New Roman"/>
                <w:sz w:val="26"/>
                <w:szCs w:val="26"/>
                <w:lang w:eastAsia="lv-LV"/>
              </w:rPr>
              <w:t>noteikt</w:t>
            </w:r>
            <w:r w:rsidR="00CF0A15" w:rsidRPr="00CF0A15">
              <w:rPr>
                <w:rFonts w:ascii="Times New Roman" w:eastAsia="Times New Roman" w:hAnsi="Times New Roman" w:cs="Times New Roman"/>
                <w:sz w:val="26"/>
                <w:szCs w:val="26"/>
                <w:lang w:eastAsia="lv-LV"/>
              </w:rPr>
              <w:t xml:space="preserve">, ka solidaritātes nodokļa </w:t>
            </w:r>
            <w:r w:rsidR="00AE4084" w:rsidRPr="00CF0A15">
              <w:rPr>
                <w:rFonts w:ascii="Times New Roman" w:eastAsia="Times New Roman" w:hAnsi="Times New Roman" w:cs="Times New Roman"/>
                <w:sz w:val="26"/>
                <w:szCs w:val="26"/>
                <w:lang w:eastAsia="lv-LV"/>
              </w:rPr>
              <w:t>daļ</w:t>
            </w:r>
            <w:r w:rsidR="00AE4084">
              <w:rPr>
                <w:rFonts w:ascii="Times New Roman" w:eastAsia="Times New Roman" w:hAnsi="Times New Roman" w:cs="Times New Roman"/>
                <w:sz w:val="26"/>
                <w:szCs w:val="26"/>
                <w:lang w:eastAsia="lv-LV"/>
              </w:rPr>
              <w:t>u (līdz šim 14 procentpunktu apmērā)</w:t>
            </w:r>
            <w:r w:rsidR="00CF0A15" w:rsidRPr="00CF0A15">
              <w:rPr>
                <w:rFonts w:ascii="Times New Roman" w:eastAsia="Times New Roman" w:hAnsi="Times New Roman" w:cs="Times New Roman"/>
                <w:sz w:val="26"/>
                <w:szCs w:val="26"/>
                <w:lang w:eastAsia="lv-LV"/>
              </w:rPr>
              <w:t>, kas līdz šim tika reģistrēta nodokļa maksātāja personīgajā kontā</w:t>
            </w:r>
            <w:r w:rsidR="00CF0A15">
              <w:rPr>
                <w:rFonts w:ascii="Times New Roman" w:eastAsia="Times New Roman" w:hAnsi="Times New Roman" w:cs="Times New Roman"/>
                <w:sz w:val="26"/>
                <w:szCs w:val="26"/>
                <w:lang w:eastAsia="lv-LV"/>
              </w:rPr>
              <w:t>,</w:t>
            </w:r>
            <w:r w:rsidR="00CF0A15" w:rsidRPr="00CF0A15">
              <w:rPr>
                <w:rFonts w:ascii="Times New Roman" w:eastAsia="Times New Roman" w:hAnsi="Times New Roman" w:cs="Times New Roman"/>
                <w:sz w:val="26"/>
                <w:szCs w:val="26"/>
                <w:lang w:eastAsia="lv-LV"/>
              </w:rPr>
              <w:t xml:space="preserve"> saskaņā ar likumu “Par valsts pensijām</w:t>
            </w:r>
            <w:r w:rsidR="0037319B">
              <w:rPr>
                <w:rFonts w:ascii="Times New Roman" w:eastAsia="Times New Roman" w:hAnsi="Times New Roman" w:cs="Times New Roman"/>
                <w:sz w:val="26"/>
                <w:szCs w:val="26"/>
                <w:lang w:eastAsia="lv-LV"/>
              </w:rPr>
              <w:t xml:space="preserve">”, </w:t>
            </w:r>
            <w:r w:rsidR="00AE4084">
              <w:rPr>
                <w:rFonts w:ascii="Times New Roman" w:eastAsia="Times New Roman" w:hAnsi="Times New Roman" w:cs="Times New Roman"/>
                <w:sz w:val="26"/>
                <w:szCs w:val="26"/>
                <w:lang w:eastAsia="lv-LV"/>
              </w:rPr>
              <w:t xml:space="preserve">veicot solidaritātes nodokļa maksājumus </w:t>
            </w:r>
            <w:r w:rsidR="0037319B">
              <w:rPr>
                <w:rFonts w:ascii="Times New Roman" w:eastAsia="Times New Roman" w:hAnsi="Times New Roman" w:cs="Times New Roman"/>
                <w:sz w:val="26"/>
                <w:szCs w:val="26"/>
                <w:lang w:eastAsia="lv-LV"/>
              </w:rPr>
              <w:t>no 2021.gada</w:t>
            </w:r>
            <w:r w:rsidR="00AE4084">
              <w:rPr>
                <w:rFonts w:ascii="Times New Roman" w:eastAsia="Times New Roman" w:hAnsi="Times New Roman" w:cs="Times New Roman"/>
                <w:sz w:val="26"/>
                <w:szCs w:val="26"/>
                <w:lang w:eastAsia="lv-LV"/>
              </w:rPr>
              <w:t>,</w:t>
            </w:r>
            <w:r w:rsidR="0037319B">
              <w:rPr>
                <w:rFonts w:ascii="Times New Roman" w:eastAsia="Times New Roman" w:hAnsi="Times New Roman" w:cs="Times New Roman"/>
                <w:sz w:val="26"/>
                <w:szCs w:val="26"/>
                <w:lang w:eastAsia="lv-LV"/>
              </w:rPr>
              <w:t xml:space="preserve"> </w:t>
            </w:r>
            <w:r w:rsidR="00AE4084" w:rsidRPr="00CF0A15">
              <w:rPr>
                <w:rFonts w:ascii="Times New Roman" w:eastAsia="Times New Roman" w:hAnsi="Times New Roman" w:cs="Times New Roman"/>
                <w:sz w:val="26"/>
                <w:szCs w:val="26"/>
                <w:lang w:eastAsia="lv-LV"/>
              </w:rPr>
              <w:t>novirz</w:t>
            </w:r>
            <w:r w:rsidR="005D5387">
              <w:rPr>
                <w:rFonts w:ascii="Times New Roman" w:eastAsia="Times New Roman" w:hAnsi="Times New Roman" w:cs="Times New Roman"/>
                <w:sz w:val="26"/>
                <w:szCs w:val="26"/>
                <w:lang w:eastAsia="lv-LV"/>
              </w:rPr>
              <w:t>īs</w:t>
            </w:r>
            <w:r w:rsidR="00AE4084" w:rsidRPr="00CF0A15">
              <w:rPr>
                <w:rFonts w:ascii="Times New Roman" w:eastAsia="Times New Roman" w:hAnsi="Times New Roman" w:cs="Times New Roman"/>
                <w:sz w:val="26"/>
                <w:szCs w:val="26"/>
                <w:lang w:eastAsia="lv-LV"/>
              </w:rPr>
              <w:t xml:space="preserve"> </w:t>
            </w:r>
            <w:r w:rsidR="00CF0A15" w:rsidRPr="00CF0A15">
              <w:rPr>
                <w:rFonts w:ascii="Times New Roman" w:eastAsia="Times New Roman" w:hAnsi="Times New Roman" w:cs="Times New Roman"/>
                <w:sz w:val="26"/>
                <w:szCs w:val="26"/>
                <w:lang w:eastAsia="lv-LV"/>
              </w:rPr>
              <w:t>valsts pensiju speciālajā budžetā nepersonalizēti.</w:t>
            </w:r>
            <w:r w:rsidR="00CF0A15">
              <w:rPr>
                <w:rFonts w:ascii="Times New Roman" w:eastAsia="Times New Roman" w:hAnsi="Times New Roman" w:cs="Times New Roman"/>
                <w:sz w:val="26"/>
                <w:szCs w:val="26"/>
                <w:lang w:eastAsia="lv-LV"/>
              </w:rPr>
              <w:t xml:space="preserve"> </w:t>
            </w:r>
          </w:p>
          <w:p w:rsidR="00B958ED" w:rsidRPr="00126EE2" w:rsidRDefault="005657CD" w:rsidP="001C245F">
            <w:pPr>
              <w:tabs>
                <w:tab w:val="center" w:pos="4680"/>
                <w:tab w:val="right" w:pos="9360"/>
              </w:tabs>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Likumprojekts stājas spēkā 2021</w:t>
            </w:r>
            <w:r w:rsidR="00B958ED" w:rsidRPr="00126EE2">
              <w:rPr>
                <w:rFonts w:ascii="Times New Roman" w:eastAsia="Times New Roman" w:hAnsi="Times New Roman" w:cs="Times New Roman"/>
                <w:sz w:val="26"/>
                <w:szCs w:val="26"/>
                <w:lang w:eastAsia="lv-LV"/>
              </w:rPr>
              <w:t>.gada 1.janvārī.</w:t>
            </w:r>
          </w:p>
        </w:tc>
      </w:tr>
    </w:tbl>
    <w:p w:rsidR="00543AA6" w:rsidRPr="00126EE2" w:rsidRDefault="00543AA6" w:rsidP="00543AA6">
      <w:pPr>
        <w:spacing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2345"/>
        <w:gridCol w:w="6087"/>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3123D0"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3123D0">
              <w:rPr>
                <w:rFonts w:ascii="Times New Roman" w:eastAsia="Times New Roman" w:hAnsi="Times New Roman" w:cs="Times New Roman"/>
                <w:b/>
                <w:bCs/>
                <w:sz w:val="26"/>
                <w:szCs w:val="26"/>
                <w:lang w:eastAsia="lv-LV"/>
              </w:rPr>
              <w:t>I. Tiesību akta projekta izstrādes nepieciešamība</w:t>
            </w:r>
          </w:p>
        </w:tc>
      </w:tr>
      <w:tr w:rsidR="008C64EE" w:rsidRPr="008C64EE" w:rsidTr="00F67E99">
        <w:tc>
          <w:tcPr>
            <w:tcW w:w="344" w:type="pct"/>
            <w:tcBorders>
              <w:top w:val="outset" w:sz="6" w:space="0" w:color="414142"/>
              <w:left w:val="outset" w:sz="6" w:space="0" w:color="414142"/>
              <w:bottom w:val="outset" w:sz="6" w:space="0" w:color="414142"/>
              <w:right w:val="outset" w:sz="6" w:space="0" w:color="414142"/>
            </w:tcBorders>
            <w:hideMark/>
          </w:tcPr>
          <w:p w:rsidR="00543AA6" w:rsidRPr="003123D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1.</w:t>
            </w:r>
          </w:p>
        </w:tc>
        <w:tc>
          <w:tcPr>
            <w:tcW w:w="1295" w:type="pct"/>
            <w:tcBorders>
              <w:top w:val="outset" w:sz="6" w:space="0" w:color="414142"/>
              <w:left w:val="outset" w:sz="6" w:space="0" w:color="414142"/>
              <w:bottom w:val="outset" w:sz="6" w:space="0" w:color="414142"/>
              <w:right w:val="outset" w:sz="6" w:space="0" w:color="414142"/>
            </w:tcBorders>
            <w:hideMark/>
          </w:tcPr>
          <w:p w:rsidR="00543AA6" w:rsidRPr="003123D0" w:rsidRDefault="00543AA6" w:rsidP="00993C84">
            <w:pPr>
              <w:spacing w:line="240" w:lineRule="auto"/>
              <w:jc w:val="both"/>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rsidR="004244A9" w:rsidRPr="003123D0" w:rsidRDefault="002B5F01" w:rsidP="00711EE6">
            <w:pPr>
              <w:spacing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Ministru kabineta 2020.gada 2.septembra sēdes protokola Nr.51 </w:t>
            </w:r>
            <w:r w:rsidR="00081B32">
              <w:rPr>
                <w:rFonts w:ascii="Times New Roman" w:eastAsia="Calibri" w:hAnsi="Times New Roman" w:cs="Times New Roman"/>
                <w:sz w:val="26"/>
                <w:szCs w:val="26"/>
              </w:rPr>
              <w:t>45.</w:t>
            </w:r>
            <w:r>
              <w:rPr>
                <w:rFonts w:ascii="Times New Roman" w:eastAsia="Calibri" w:hAnsi="Times New Roman" w:cs="Times New Roman"/>
                <w:sz w:val="26"/>
                <w:szCs w:val="26"/>
              </w:rPr>
              <w:t xml:space="preserve">§ </w:t>
            </w:r>
            <w:r w:rsidR="00081B32">
              <w:rPr>
                <w:rFonts w:ascii="Times New Roman" w:eastAsia="Calibri" w:hAnsi="Times New Roman" w:cs="Times New Roman"/>
                <w:sz w:val="26"/>
                <w:szCs w:val="26"/>
              </w:rPr>
              <w:t>2.2.2.</w:t>
            </w:r>
            <w:r w:rsidR="00081B32" w:rsidDel="00081B32">
              <w:rPr>
                <w:rFonts w:ascii="Times New Roman" w:eastAsia="Calibri" w:hAnsi="Times New Roman" w:cs="Times New Roman"/>
                <w:sz w:val="26"/>
                <w:szCs w:val="26"/>
              </w:rPr>
              <w:t xml:space="preserve"> </w:t>
            </w:r>
            <w:r w:rsidR="00ED6C14">
              <w:rPr>
                <w:rFonts w:ascii="Times New Roman" w:eastAsia="Calibri" w:hAnsi="Times New Roman" w:cs="Times New Roman"/>
                <w:sz w:val="26"/>
                <w:szCs w:val="26"/>
              </w:rPr>
              <w:t>apakš</w:t>
            </w:r>
            <w:r>
              <w:rPr>
                <w:rFonts w:ascii="Times New Roman" w:eastAsia="Calibri" w:hAnsi="Times New Roman" w:cs="Times New Roman"/>
                <w:sz w:val="26"/>
                <w:szCs w:val="26"/>
              </w:rPr>
              <w:t>punkts.</w:t>
            </w:r>
          </w:p>
        </w:tc>
      </w:tr>
      <w:tr w:rsidR="008C64EE" w:rsidRPr="008C64EE" w:rsidTr="00CE40F3">
        <w:tc>
          <w:tcPr>
            <w:tcW w:w="344"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2.</w:t>
            </w:r>
          </w:p>
        </w:tc>
        <w:tc>
          <w:tcPr>
            <w:tcW w:w="1295"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F378A6">
            <w:pPr>
              <w:spacing w:line="240" w:lineRule="auto"/>
              <w:jc w:val="both"/>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367A60" w:rsidRDefault="00367A60" w:rsidP="00F378A6">
            <w:pPr>
              <w:spacing w:line="240" w:lineRule="auto"/>
              <w:jc w:val="both"/>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367A60" w:rsidRPr="00367A60" w:rsidRDefault="00367A60" w:rsidP="00367A60">
            <w:pPr>
              <w:rPr>
                <w:rFonts w:ascii="Times New Roman" w:eastAsia="Times New Roman" w:hAnsi="Times New Roman" w:cs="Times New Roman"/>
                <w:sz w:val="26"/>
                <w:szCs w:val="26"/>
                <w:lang w:eastAsia="lv-LV"/>
              </w:rPr>
            </w:pPr>
          </w:p>
          <w:p w:rsidR="00F378A6" w:rsidRPr="00367A60" w:rsidRDefault="00F378A6" w:rsidP="00367A60">
            <w:pPr>
              <w:ind w:firstLine="720"/>
              <w:rPr>
                <w:rFonts w:ascii="Times New Roman" w:eastAsia="Times New Roman" w:hAnsi="Times New Roman" w:cs="Times New Roman"/>
                <w:sz w:val="26"/>
                <w:szCs w:val="26"/>
                <w:lang w:eastAsia="lv-LV"/>
              </w:rPr>
            </w:pPr>
          </w:p>
        </w:tc>
        <w:tc>
          <w:tcPr>
            <w:tcW w:w="336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2B5F01" w:rsidRPr="003123D0" w:rsidRDefault="000C2797"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 xml:space="preserve">Solidaritātes nodokļa </w:t>
            </w:r>
            <w:r w:rsidR="002B5F01">
              <w:rPr>
                <w:rFonts w:ascii="Times New Roman" w:hAnsi="Times New Roman" w:cs="Times New Roman"/>
                <w:sz w:val="26"/>
                <w:szCs w:val="26"/>
              </w:rPr>
              <w:t>likme, nodokļa sadalīšana un ieskaitīšana</w:t>
            </w:r>
            <w:r w:rsidRPr="003123D0">
              <w:rPr>
                <w:rFonts w:ascii="Times New Roman" w:hAnsi="Times New Roman" w:cs="Times New Roman"/>
                <w:sz w:val="26"/>
                <w:szCs w:val="26"/>
              </w:rPr>
              <w:t xml:space="preserve"> </w:t>
            </w:r>
            <w:r w:rsidR="002B5F01">
              <w:rPr>
                <w:rFonts w:ascii="Times New Roman" w:hAnsi="Times New Roman" w:cs="Times New Roman"/>
                <w:sz w:val="26"/>
                <w:szCs w:val="26"/>
              </w:rPr>
              <w:t>ir definēta</w:t>
            </w:r>
            <w:r w:rsidRPr="003123D0">
              <w:rPr>
                <w:rFonts w:ascii="Times New Roman" w:hAnsi="Times New Roman" w:cs="Times New Roman"/>
                <w:sz w:val="26"/>
                <w:szCs w:val="26"/>
              </w:rPr>
              <w:t xml:space="preserve"> </w:t>
            </w:r>
            <w:r w:rsidR="008A0A06" w:rsidRPr="003123D0">
              <w:rPr>
                <w:rFonts w:ascii="Times New Roman" w:hAnsi="Times New Roman" w:cs="Times New Roman"/>
                <w:sz w:val="26"/>
                <w:szCs w:val="26"/>
              </w:rPr>
              <w:t>Solidaritātes nodokļa likuma</w:t>
            </w:r>
            <w:r w:rsidRPr="003123D0">
              <w:rPr>
                <w:rFonts w:ascii="Times New Roman" w:hAnsi="Times New Roman" w:cs="Times New Roman"/>
                <w:sz w:val="26"/>
                <w:szCs w:val="26"/>
              </w:rPr>
              <w:t xml:space="preserve"> </w:t>
            </w:r>
            <w:r w:rsidR="002B5F01">
              <w:rPr>
                <w:rFonts w:ascii="Times New Roman" w:hAnsi="Times New Roman" w:cs="Times New Roman"/>
                <w:sz w:val="26"/>
                <w:szCs w:val="26"/>
              </w:rPr>
              <w:t>6.</w:t>
            </w:r>
            <w:r w:rsidR="002B5F01">
              <w:rPr>
                <w:rFonts w:ascii="Times New Roman" w:hAnsi="Times New Roman" w:cs="Times New Roman"/>
                <w:sz w:val="26"/>
                <w:szCs w:val="26"/>
                <w:vertAlign w:val="superscript"/>
              </w:rPr>
              <w:t>1</w:t>
            </w:r>
            <w:r w:rsidR="002B5F01">
              <w:rPr>
                <w:rFonts w:ascii="Times New Roman" w:hAnsi="Times New Roman" w:cs="Times New Roman"/>
                <w:sz w:val="26"/>
                <w:szCs w:val="26"/>
              </w:rPr>
              <w:t>,</w:t>
            </w:r>
            <w:r w:rsidR="002B5F01">
              <w:rPr>
                <w:rFonts w:ascii="Times New Roman" w:hAnsi="Times New Roman" w:cs="Times New Roman"/>
                <w:sz w:val="26"/>
                <w:szCs w:val="26"/>
                <w:vertAlign w:val="superscript"/>
              </w:rPr>
              <w:t xml:space="preserve"> </w:t>
            </w:r>
            <w:r w:rsidR="002B5F01">
              <w:rPr>
                <w:rFonts w:ascii="Times New Roman" w:hAnsi="Times New Roman" w:cs="Times New Roman"/>
                <w:sz w:val="26"/>
                <w:szCs w:val="26"/>
              </w:rPr>
              <w:t>8.</w:t>
            </w:r>
            <w:r w:rsidR="002B5F01">
              <w:rPr>
                <w:rFonts w:ascii="Times New Roman" w:hAnsi="Times New Roman" w:cs="Times New Roman"/>
                <w:sz w:val="26"/>
                <w:szCs w:val="26"/>
                <w:vertAlign w:val="superscript"/>
              </w:rPr>
              <w:t>1</w:t>
            </w:r>
            <w:r w:rsidR="002B5F01">
              <w:rPr>
                <w:rFonts w:ascii="Times New Roman" w:hAnsi="Times New Roman" w:cs="Times New Roman"/>
                <w:sz w:val="26"/>
                <w:szCs w:val="26"/>
              </w:rPr>
              <w:t xml:space="preserve"> un 9</w:t>
            </w:r>
            <w:r w:rsidRPr="003123D0">
              <w:rPr>
                <w:rFonts w:ascii="Times New Roman" w:hAnsi="Times New Roman" w:cs="Times New Roman"/>
                <w:sz w:val="26"/>
                <w:szCs w:val="26"/>
              </w:rPr>
              <w:t>.pantā</w:t>
            </w:r>
            <w:r w:rsidR="00081B32">
              <w:rPr>
                <w:rFonts w:ascii="Times New Roman" w:hAnsi="Times New Roman" w:cs="Times New Roman"/>
                <w:sz w:val="26"/>
                <w:szCs w:val="26"/>
              </w:rPr>
              <w:t>. Pašlaik</w:t>
            </w:r>
            <w:r w:rsidRPr="003123D0">
              <w:rPr>
                <w:rFonts w:ascii="Times New Roman" w:hAnsi="Times New Roman" w:cs="Times New Roman"/>
                <w:sz w:val="26"/>
                <w:szCs w:val="26"/>
              </w:rPr>
              <w:t>:</w:t>
            </w:r>
          </w:p>
          <w:p w:rsidR="002B5F01" w:rsidRDefault="002B5F01" w:rsidP="00D657C4">
            <w:pPr>
              <w:pStyle w:val="ListParagraph"/>
              <w:numPr>
                <w:ilvl w:val="0"/>
                <w:numId w:val="34"/>
              </w:numPr>
              <w:ind w:right="142"/>
              <w:jc w:val="both"/>
              <w:rPr>
                <w:sz w:val="26"/>
                <w:szCs w:val="26"/>
              </w:rPr>
            </w:pPr>
            <w:r>
              <w:rPr>
                <w:sz w:val="26"/>
                <w:szCs w:val="26"/>
              </w:rPr>
              <w:t>6.</w:t>
            </w:r>
            <w:r>
              <w:rPr>
                <w:sz w:val="26"/>
                <w:szCs w:val="26"/>
                <w:vertAlign w:val="superscript"/>
              </w:rPr>
              <w:t>1</w:t>
            </w:r>
            <w:r>
              <w:rPr>
                <w:sz w:val="26"/>
                <w:szCs w:val="26"/>
              </w:rPr>
              <w:t xml:space="preserve"> pants nosaka, ka nodokļa likme ir 25,50 procenti.</w:t>
            </w:r>
          </w:p>
          <w:p w:rsidR="002B5F01" w:rsidRDefault="002B5F01" w:rsidP="002B5F01">
            <w:pPr>
              <w:pStyle w:val="ListParagraph"/>
              <w:numPr>
                <w:ilvl w:val="0"/>
                <w:numId w:val="34"/>
              </w:numPr>
              <w:ind w:right="142"/>
              <w:jc w:val="both"/>
              <w:rPr>
                <w:sz w:val="26"/>
                <w:szCs w:val="26"/>
              </w:rPr>
            </w:pPr>
            <w:r>
              <w:rPr>
                <w:sz w:val="26"/>
                <w:szCs w:val="26"/>
              </w:rPr>
              <w:t>8.</w:t>
            </w:r>
            <w:r>
              <w:rPr>
                <w:sz w:val="26"/>
                <w:szCs w:val="26"/>
                <w:vertAlign w:val="superscript"/>
              </w:rPr>
              <w:t>1</w:t>
            </w:r>
            <w:r>
              <w:rPr>
                <w:sz w:val="26"/>
                <w:szCs w:val="26"/>
              </w:rPr>
              <w:t xml:space="preserve"> pants nosaka nodokļa sadalīšanu. </w:t>
            </w:r>
          </w:p>
          <w:p w:rsidR="002B5F01" w:rsidRPr="002B5F01" w:rsidRDefault="002B5F01" w:rsidP="002B5F01">
            <w:pPr>
              <w:pStyle w:val="ListParagraph"/>
              <w:ind w:right="142"/>
              <w:jc w:val="both"/>
              <w:rPr>
                <w:sz w:val="26"/>
                <w:szCs w:val="26"/>
              </w:rPr>
            </w:pPr>
            <w:r w:rsidRPr="002B5F01">
              <w:rPr>
                <w:sz w:val="26"/>
                <w:szCs w:val="26"/>
              </w:rPr>
              <w:t>Nodoklis tiek sadalīts šādi:</w:t>
            </w:r>
          </w:p>
          <w:p w:rsidR="002B5F01" w:rsidRPr="002B5F01" w:rsidRDefault="002B5F01" w:rsidP="002B5F01">
            <w:pPr>
              <w:pStyle w:val="ListParagraph"/>
              <w:ind w:right="142"/>
              <w:jc w:val="both"/>
              <w:rPr>
                <w:sz w:val="26"/>
                <w:szCs w:val="26"/>
              </w:rPr>
            </w:pPr>
            <w:r w:rsidRPr="002B5F01">
              <w:rPr>
                <w:sz w:val="26"/>
                <w:szCs w:val="26"/>
              </w:rPr>
              <w:t>1) viena procentpunkta apmērā — veselības aprūpes pakalpojumu finansēšanai;</w:t>
            </w:r>
          </w:p>
          <w:p w:rsidR="002B5F01" w:rsidRPr="002B5F01" w:rsidRDefault="002B5F01" w:rsidP="002B5F01">
            <w:pPr>
              <w:pStyle w:val="ListParagraph"/>
              <w:ind w:right="142"/>
              <w:jc w:val="both"/>
              <w:rPr>
                <w:sz w:val="26"/>
                <w:szCs w:val="26"/>
              </w:rPr>
            </w:pPr>
            <w:r w:rsidRPr="002B5F01">
              <w:rPr>
                <w:sz w:val="26"/>
                <w:szCs w:val="26"/>
              </w:rPr>
              <w:t>2) 14 procentpunktu apmērā — valsts pensiju speciālajā budžetā;</w:t>
            </w:r>
          </w:p>
          <w:p w:rsidR="002B5F01" w:rsidRPr="002B5F01" w:rsidRDefault="002B5F01" w:rsidP="002B5F01">
            <w:pPr>
              <w:pStyle w:val="ListParagraph"/>
              <w:ind w:right="142"/>
              <w:jc w:val="both"/>
              <w:rPr>
                <w:sz w:val="26"/>
                <w:szCs w:val="26"/>
              </w:rPr>
            </w:pPr>
            <w:r w:rsidRPr="002B5F01">
              <w:rPr>
                <w:sz w:val="26"/>
                <w:szCs w:val="26"/>
              </w:rPr>
              <w:t>3) 10,50 procentpunktu apmērā — iedzīvotāju ienākuma nodokļa kontā Valsts kasē.</w:t>
            </w:r>
          </w:p>
          <w:p w:rsidR="002B5F01" w:rsidRDefault="00CC6662" w:rsidP="00D657C4">
            <w:pPr>
              <w:pStyle w:val="ListParagraph"/>
              <w:numPr>
                <w:ilvl w:val="0"/>
                <w:numId w:val="34"/>
              </w:numPr>
              <w:ind w:right="142"/>
              <w:jc w:val="both"/>
              <w:rPr>
                <w:sz w:val="26"/>
                <w:szCs w:val="26"/>
              </w:rPr>
            </w:pPr>
            <w:r>
              <w:rPr>
                <w:sz w:val="26"/>
                <w:szCs w:val="26"/>
              </w:rPr>
              <w:t>9.panta trešā daļa</w:t>
            </w:r>
            <w:r w:rsidR="002B5F01">
              <w:rPr>
                <w:sz w:val="26"/>
                <w:szCs w:val="26"/>
              </w:rPr>
              <w:t xml:space="preserve"> nosaka nodokļa ieskaitīšanu.</w:t>
            </w:r>
          </w:p>
          <w:p w:rsidR="00CC6662" w:rsidRPr="00CC6662" w:rsidRDefault="00CC6662" w:rsidP="00CC6662">
            <w:pPr>
              <w:pStyle w:val="ListParagraph"/>
              <w:ind w:right="142"/>
              <w:jc w:val="both"/>
              <w:rPr>
                <w:sz w:val="26"/>
                <w:szCs w:val="26"/>
              </w:rPr>
            </w:pPr>
            <w:r w:rsidRPr="00CC6662">
              <w:rPr>
                <w:sz w:val="26"/>
                <w:szCs w:val="26"/>
              </w:rPr>
              <w:t>Valsts sociālās apdrošināšanas aģentūra līdz pārskata mēnesim sekojošā trešā mēneša piecpadsmitajam datumam nodokļa daļu</w:t>
            </w:r>
            <w:r>
              <w:rPr>
                <w:sz w:val="26"/>
                <w:szCs w:val="26"/>
              </w:rPr>
              <w:t xml:space="preserve"> par pārskata mēnesi pārskaita:</w:t>
            </w:r>
          </w:p>
          <w:p w:rsidR="00CC6662" w:rsidRPr="00CC6662" w:rsidRDefault="00CC6662" w:rsidP="00CC6662">
            <w:pPr>
              <w:pStyle w:val="ListParagraph"/>
              <w:ind w:right="142"/>
              <w:jc w:val="both"/>
              <w:rPr>
                <w:sz w:val="26"/>
                <w:szCs w:val="26"/>
              </w:rPr>
            </w:pPr>
            <w:r w:rsidRPr="00CC6662">
              <w:rPr>
                <w:sz w:val="26"/>
                <w:szCs w:val="26"/>
              </w:rPr>
              <w:t>1) 14 procentpunktu apmērā — valsts pensiju speciālajā budžetā, reģistrējot nodokļa maksātāja personīgajā kontā saskaņā a</w:t>
            </w:r>
            <w:r w:rsidR="003956E6">
              <w:rPr>
                <w:sz w:val="26"/>
                <w:szCs w:val="26"/>
              </w:rPr>
              <w:t>r likumu “Par valsts pensijām”</w:t>
            </w:r>
            <w:r>
              <w:rPr>
                <w:sz w:val="26"/>
                <w:szCs w:val="26"/>
              </w:rPr>
              <w:t>;</w:t>
            </w:r>
          </w:p>
          <w:p w:rsidR="002B5F01" w:rsidRPr="003123D0" w:rsidRDefault="00CC6662" w:rsidP="00CC6662">
            <w:pPr>
              <w:pStyle w:val="ListParagraph"/>
              <w:ind w:right="142"/>
              <w:jc w:val="both"/>
              <w:rPr>
                <w:sz w:val="26"/>
                <w:szCs w:val="26"/>
              </w:rPr>
            </w:pPr>
            <w:r w:rsidRPr="00CC6662">
              <w:rPr>
                <w:sz w:val="26"/>
                <w:szCs w:val="26"/>
              </w:rPr>
              <w:lastRenderedPageBreak/>
              <w:t>2) 10,50 procentpunktu apmērā — iedzīvotāju ienākuma nodokļa kontā Valsts kasē.</w:t>
            </w:r>
          </w:p>
          <w:p w:rsidR="000E59A3" w:rsidRPr="003123D0" w:rsidRDefault="001878CA" w:rsidP="003C2CF1">
            <w:pPr>
              <w:spacing w:line="240" w:lineRule="auto"/>
              <w:ind w:right="142"/>
              <w:jc w:val="both"/>
              <w:rPr>
                <w:rFonts w:ascii="Times New Roman" w:hAnsi="Times New Roman" w:cs="Times New Roman"/>
                <w:sz w:val="26"/>
                <w:szCs w:val="26"/>
              </w:rPr>
            </w:pPr>
            <w:r w:rsidRPr="003123D0">
              <w:rPr>
                <w:rFonts w:ascii="Times New Roman" w:hAnsi="Times New Roman" w:cs="Times New Roman"/>
                <w:sz w:val="26"/>
                <w:szCs w:val="26"/>
              </w:rPr>
              <w:t xml:space="preserve">Izpildot </w:t>
            </w:r>
            <w:r w:rsidR="008337A8">
              <w:rPr>
                <w:rFonts w:ascii="Times New Roman" w:hAnsi="Times New Roman" w:cs="Times New Roman"/>
                <w:sz w:val="26"/>
                <w:szCs w:val="26"/>
              </w:rPr>
              <w:t>Ministru kabineta uzdevumu</w:t>
            </w:r>
            <w:r w:rsidRPr="003123D0">
              <w:rPr>
                <w:rFonts w:ascii="Times New Roman" w:hAnsi="Times New Roman" w:cs="Times New Roman"/>
                <w:sz w:val="26"/>
                <w:szCs w:val="26"/>
              </w:rPr>
              <w:t>, Likumprojekts paredz</w:t>
            </w:r>
            <w:r w:rsidR="000E59A3" w:rsidRPr="003123D0">
              <w:rPr>
                <w:rFonts w:ascii="Times New Roman" w:hAnsi="Times New Roman" w:cs="Times New Roman"/>
                <w:sz w:val="26"/>
                <w:szCs w:val="26"/>
              </w:rPr>
              <w:t>, ka:</w:t>
            </w:r>
            <w:r w:rsidR="008337A8">
              <w:rPr>
                <w:rFonts w:ascii="Times New Roman" w:hAnsi="Times New Roman" w:cs="Times New Roman"/>
                <w:sz w:val="26"/>
                <w:szCs w:val="26"/>
              </w:rPr>
              <w:t xml:space="preserve"> </w:t>
            </w:r>
          </w:p>
          <w:p w:rsidR="001878CA" w:rsidRPr="003123D0" w:rsidRDefault="001878CA" w:rsidP="00D657C4">
            <w:pPr>
              <w:pStyle w:val="ListParagraph"/>
              <w:numPr>
                <w:ilvl w:val="0"/>
                <w:numId w:val="34"/>
              </w:numPr>
              <w:ind w:right="142"/>
              <w:jc w:val="both"/>
              <w:rPr>
                <w:sz w:val="26"/>
                <w:szCs w:val="26"/>
              </w:rPr>
            </w:pPr>
            <w:r w:rsidRPr="003123D0">
              <w:rPr>
                <w:sz w:val="26"/>
                <w:szCs w:val="26"/>
              </w:rPr>
              <w:t xml:space="preserve">solidaritātes nodokļa likme </w:t>
            </w:r>
            <w:r w:rsidR="005B02B3">
              <w:rPr>
                <w:sz w:val="26"/>
                <w:szCs w:val="26"/>
              </w:rPr>
              <w:t xml:space="preserve">būs </w:t>
            </w:r>
            <w:r w:rsidR="007E347E" w:rsidRPr="007E347E">
              <w:rPr>
                <w:sz w:val="26"/>
                <w:szCs w:val="26"/>
              </w:rPr>
              <w:t>25</w:t>
            </w:r>
            <w:r w:rsidR="00ED6C14">
              <w:rPr>
                <w:sz w:val="26"/>
                <w:szCs w:val="26"/>
              </w:rPr>
              <w:t xml:space="preserve"> </w:t>
            </w:r>
            <w:r w:rsidR="005B02B3">
              <w:rPr>
                <w:sz w:val="26"/>
                <w:szCs w:val="26"/>
              </w:rPr>
              <w:t>procenti</w:t>
            </w:r>
            <w:r w:rsidRPr="003123D0">
              <w:rPr>
                <w:sz w:val="26"/>
                <w:szCs w:val="26"/>
              </w:rPr>
              <w:t xml:space="preserve"> (Grozījumi Solidaritātes nodokļa likuma 6.</w:t>
            </w:r>
            <w:r w:rsidR="005B02B3">
              <w:rPr>
                <w:sz w:val="26"/>
                <w:szCs w:val="26"/>
                <w:vertAlign w:val="superscript"/>
              </w:rPr>
              <w:t xml:space="preserve">1 </w:t>
            </w:r>
            <w:r w:rsidRPr="003123D0">
              <w:rPr>
                <w:sz w:val="26"/>
                <w:szCs w:val="26"/>
              </w:rPr>
              <w:t>pant</w:t>
            </w:r>
            <w:r w:rsidR="000E59A3" w:rsidRPr="003123D0">
              <w:rPr>
                <w:sz w:val="26"/>
                <w:szCs w:val="26"/>
              </w:rPr>
              <w:t>ā);</w:t>
            </w:r>
          </w:p>
          <w:p w:rsidR="005B02B3" w:rsidRPr="005B02B3" w:rsidRDefault="005B02B3" w:rsidP="005B02B3">
            <w:pPr>
              <w:pStyle w:val="ListParagraph"/>
              <w:numPr>
                <w:ilvl w:val="0"/>
                <w:numId w:val="34"/>
              </w:numPr>
              <w:ind w:right="142"/>
              <w:jc w:val="both"/>
              <w:rPr>
                <w:sz w:val="26"/>
                <w:szCs w:val="26"/>
              </w:rPr>
            </w:pPr>
            <w:r>
              <w:rPr>
                <w:sz w:val="26"/>
                <w:szCs w:val="26"/>
              </w:rPr>
              <w:t>Nodoklis tiks</w:t>
            </w:r>
            <w:r w:rsidRPr="005B02B3">
              <w:rPr>
                <w:sz w:val="26"/>
                <w:szCs w:val="26"/>
              </w:rPr>
              <w:t xml:space="preserve"> sadalīts šādi:</w:t>
            </w:r>
          </w:p>
          <w:p w:rsidR="005B02B3" w:rsidRPr="005B02B3" w:rsidRDefault="005B02B3" w:rsidP="005B02B3">
            <w:pPr>
              <w:pStyle w:val="ListParagraph"/>
              <w:ind w:right="142"/>
              <w:jc w:val="both"/>
              <w:rPr>
                <w:sz w:val="26"/>
                <w:szCs w:val="26"/>
              </w:rPr>
            </w:pPr>
            <w:r w:rsidRPr="005B02B3">
              <w:rPr>
                <w:sz w:val="26"/>
                <w:szCs w:val="26"/>
              </w:rPr>
              <w:t>1) viena procentpunkta apmērā — veselības aprūpes pakalpojumu finansēšanai;</w:t>
            </w:r>
          </w:p>
          <w:p w:rsidR="005B02B3" w:rsidRPr="005B02B3" w:rsidRDefault="005B02B3" w:rsidP="005B02B3">
            <w:pPr>
              <w:pStyle w:val="ListParagraph"/>
              <w:ind w:right="142"/>
              <w:jc w:val="both"/>
              <w:rPr>
                <w:sz w:val="26"/>
                <w:szCs w:val="26"/>
              </w:rPr>
            </w:pPr>
            <w:r>
              <w:rPr>
                <w:sz w:val="26"/>
                <w:szCs w:val="26"/>
              </w:rPr>
              <w:t xml:space="preserve">2) </w:t>
            </w:r>
            <w:r w:rsidR="007E347E" w:rsidRPr="007E347E">
              <w:rPr>
                <w:sz w:val="26"/>
                <w:szCs w:val="26"/>
              </w:rPr>
              <w:t xml:space="preserve">14 </w:t>
            </w:r>
            <w:r w:rsidRPr="005B02B3">
              <w:rPr>
                <w:sz w:val="26"/>
                <w:szCs w:val="26"/>
              </w:rPr>
              <w:t xml:space="preserve">procentpunktu apmērā — valsts pensiju </w:t>
            </w:r>
            <w:r w:rsidR="006C5497" w:rsidRPr="006C5497">
              <w:rPr>
                <w:sz w:val="26"/>
                <w:szCs w:val="26"/>
              </w:rPr>
              <w:t>speciālajā budžetā</w:t>
            </w:r>
            <w:r w:rsidRPr="005B02B3">
              <w:rPr>
                <w:sz w:val="26"/>
                <w:szCs w:val="26"/>
              </w:rPr>
              <w:t>;</w:t>
            </w:r>
          </w:p>
          <w:p w:rsidR="00830378" w:rsidRDefault="005B02B3" w:rsidP="005B02B3">
            <w:pPr>
              <w:pStyle w:val="ListParagraph"/>
              <w:ind w:right="142"/>
              <w:jc w:val="both"/>
              <w:rPr>
                <w:sz w:val="26"/>
                <w:szCs w:val="26"/>
              </w:rPr>
            </w:pPr>
            <w:r>
              <w:rPr>
                <w:sz w:val="26"/>
                <w:szCs w:val="26"/>
              </w:rPr>
              <w:t>3) 10</w:t>
            </w:r>
            <w:r w:rsidRPr="005B02B3">
              <w:rPr>
                <w:sz w:val="26"/>
                <w:szCs w:val="26"/>
              </w:rPr>
              <w:t xml:space="preserve"> procentpunktu apmērā — </w:t>
            </w:r>
            <w:r w:rsidR="001C245F">
              <w:rPr>
                <w:sz w:val="26"/>
                <w:szCs w:val="26"/>
              </w:rPr>
              <w:t>iedzīvotāju ienākuma nodokļa ieņēmumos.</w:t>
            </w:r>
            <w:r w:rsidR="006C5497">
              <w:rPr>
                <w:sz w:val="26"/>
                <w:szCs w:val="26"/>
              </w:rPr>
              <w:t xml:space="preserve"> </w:t>
            </w:r>
          </w:p>
          <w:p w:rsidR="000E59A3" w:rsidRPr="003123D0" w:rsidRDefault="005B02B3" w:rsidP="005B02B3">
            <w:pPr>
              <w:pStyle w:val="ListParagraph"/>
              <w:ind w:right="142"/>
              <w:jc w:val="both"/>
              <w:rPr>
                <w:sz w:val="26"/>
                <w:szCs w:val="26"/>
              </w:rPr>
            </w:pPr>
            <w:r>
              <w:rPr>
                <w:sz w:val="26"/>
                <w:szCs w:val="26"/>
              </w:rPr>
              <w:t>(Grozījumi Solidaritātes nodokļa likuma 8</w:t>
            </w:r>
            <w:r w:rsidR="000E59A3" w:rsidRPr="003123D0">
              <w:rPr>
                <w:sz w:val="26"/>
                <w:szCs w:val="26"/>
              </w:rPr>
              <w:t>.</w:t>
            </w:r>
            <w:r w:rsidR="000E59A3" w:rsidRPr="003123D0">
              <w:rPr>
                <w:sz w:val="26"/>
                <w:szCs w:val="26"/>
                <w:vertAlign w:val="superscript"/>
              </w:rPr>
              <w:t>1</w:t>
            </w:r>
            <w:r w:rsidR="00ED6C14">
              <w:rPr>
                <w:sz w:val="26"/>
                <w:szCs w:val="26"/>
                <w:vertAlign w:val="superscript"/>
              </w:rPr>
              <w:t xml:space="preserve"> </w:t>
            </w:r>
            <w:r w:rsidR="00F44305">
              <w:rPr>
                <w:sz w:val="26"/>
                <w:szCs w:val="26"/>
              </w:rPr>
              <w:t>pantā</w:t>
            </w:r>
            <w:r w:rsidR="000E59A3" w:rsidRPr="003123D0">
              <w:rPr>
                <w:sz w:val="26"/>
                <w:szCs w:val="26"/>
              </w:rPr>
              <w:t>);</w:t>
            </w:r>
          </w:p>
          <w:p w:rsidR="005B02B3" w:rsidRPr="005B02B3" w:rsidRDefault="005B02B3" w:rsidP="005B02B3">
            <w:pPr>
              <w:pStyle w:val="ListParagraph"/>
              <w:numPr>
                <w:ilvl w:val="0"/>
                <w:numId w:val="34"/>
              </w:numPr>
              <w:ind w:right="142"/>
              <w:jc w:val="both"/>
              <w:rPr>
                <w:sz w:val="26"/>
                <w:szCs w:val="26"/>
              </w:rPr>
            </w:pPr>
            <w:r w:rsidRPr="005B02B3">
              <w:rPr>
                <w:sz w:val="26"/>
                <w:szCs w:val="26"/>
              </w:rPr>
              <w:t>Valsts sociālās apdrošināšanas aģentūra līdz pārskata mēnesim sekojošā trešā mēneša piecpadsmitajam datumam nodokļa da</w:t>
            </w:r>
            <w:r w:rsidR="00F44305">
              <w:rPr>
                <w:sz w:val="26"/>
                <w:szCs w:val="26"/>
              </w:rPr>
              <w:t xml:space="preserve">ļu par pārskata mēnesi pārskaitīs </w:t>
            </w:r>
            <w:r w:rsidR="00ED6C14">
              <w:rPr>
                <w:sz w:val="26"/>
                <w:szCs w:val="26"/>
              </w:rPr>
              <w:t>šādi</w:t>
            </w:r>
            <w:r w:rsidRPr="005B02B3">
              <w:rPr>
                <w:sz w:val="26"/>
                <w:szCs w:val="26"/>
              </w:rPr>
              <w:t>:</w:t>
            </w:r>
          </w:p>
          <w:p w:rsidR="005B02B3" w:rsidRPr="005B02B3" w:rsidRDefault="00F44305" w:rsidP="00F44305">
            <w:pPr>
              <w:pStyle w:val="ListParagraph"/>
              <w:ind w:right="142"/>
              <w:jc w:val="both"/>
              <w:rPr>
                <w:sz w:val="26"/>
                <w:szCs w:val="26"/>
              </w:rPr>
            </w:pPr>
            <w:r>
              <w:rPr>
                <w:sz w:val="26"/>
                <w:szCs w:val="26"/>
              </w:rPr>
              <w:t xml:space="preserve">1) </w:t>
            </w:r>
            <w:r w:rsidR="007E347E" w:rsidRPr="007E347E">
              <w:rPr>
                <w:sz w:val="26"/>
                <w:szCs w:val="26"/>
              </w:rPr>
              <w:t>14</w:t>
            </w:r>
            <w:r w:rsidR="005B02B3" w:rsidRPr="005B02B3">
              <w:rPr>
                <w:sz w:val="26"/>
                <w:szCs w:val="26"/>
              </w:rPr>
              <w:t xml:space="preserve"> procentpunktu apmērā — val</w:t>
            </w:r>
            <w:r w:rsidR="00ED6C14">
              <w:rPr>
                <w:sz w:val="26"/>
                <w:szCs w:val="26"/>
              </w:rPr>
              <w:t>sts pensiju speciālajā budžetā (</w:t>
            </w:r>
            <w:r w:rsidR="00ED6C14" w:rsidRPr="00ED6C14">
              <w:rPr>
                <w:sz w:val="26"/>
                <w:szCs w:val="26"/>
              </w:rPr>
              <w:t>nepersonalizēti</w:t>
            </w:r>
            <w:r w:rsidR="00ED6C14">
              <w:rPr>
                <w:sz w:val="26"/>
                <w:szCs w:val="26"/>
              </w:rPr>
              <w:t>);</w:t>
            </w:r>
          </w:p>
          <w:p w:rsidR="00830378" w:rsidRDefault="00F44305" w:rsidP="00F44305">
            <w:pPr>
              <w:pStyle w:val="ListParagraph"/>
              <w:ind w:right="142"/>
              <w:jc w:val="both"/>
              <w:rPr>
                <w:iCs/>
                <w:sz w:val="26"/>
                <w:szCs w:val="26"/>
                <w:lang w:eastAsia="en-US"/>
              </w:rPr>
            </w:pPr>
            <w:r>
              <w:rPr>
                <w:sz w:val="26"/>
                <w:szCs w:val="26"/>
              </w:rPr>
              <w:t>2) 10</w:t>
            </w:r>
            <w:r w:rsidR="005B02B3" w:rsidRPr="005B02B3">
              <w:rPr>
                <w:sz w:val="26"/>
                <w:szCs w:val="26"/>
              </w:rPr>
              <w:t xml:space="preserve"> procentpunktu apmērā — </w:t>
            </w:r>
            <w:r w:rsidR="001C245F">
              <w:rPr>
                <w:sz w:val="26"/>
                <w:szCs w:val="26"/>
              </w:rPr>
              <w:t>vienotajā nodokļu kontā.</w:t>
            </w:r>
          </w:p>
          <w:p w:rsidR="00004BA1" w:rsidRDefault="00B65A54" w:rsidP="00083A93">
            <w:pPr>
              <w:pStyle w:val="ListParagraph"/>
              <w:ind w:right="142"/>
              <w:jc w:val="both"/>
              <w:rPr>
                <w:sz w:val="26"/>
                <w:szCs w:val="26"/>
              </w:rPr>
            </w:pPr>
            <w:r w:rsidRPr="003123D0">
              <w:rPr>
                <w:iCs/>
                <w:sz w:val="26"/>
                <w:szCs w:val="26"/>
                <w:lang w:eastAsia="en-US"/>
              </w:rPr>
              <w:t>(</w:t>
            </w:r>
            <w:r w:rsidR="00F44305">
              <w:rPr>
                <w:iCs/>
                <w:sz w:val="26"/>
                <w:szCs w:val="26"/>
                <w:lang w:eastAsia="en-US"/>
              </w:rPr>
              <w:t xml:space="preserve">Grozījumi </w:t>
            </w:r>
            <w:r w:rsidRPr="003123D0">
              <w:rPr>
                <w:sz w:val="26"/>
                <w:szCs w:val="26"/>
              </w:rPr>
              <w:t>S</w:t>
            </w:r>
            <w:r w:rsidR="00F44305">
              <w:rPr>
                <w:sz w:val="26"/>
                <w:szCs w:val="26"/>
              </w:rPr>
              <w:t>olidaritātes nodokļa likuma 9.pantā</w:t>
            </w:r>
            <w:r w:rsidRPr="003123D0">
              <w:rPr>
                <w:sz w:val="26"/>
                <w:szCs w:val="26"/>
              </w:rPr>
              <w:t>)</w:t>
            </w:r>
            <w:r w:rsidR="00081B32">
              <w:rPr>
                <w:sz w:val="26"/>
                <w:szCs w:val="26"/>
              </w:rPr>
              <w:t>.</w:t>
            </w:r>
          </w:p>
          <w:p w:rsidR="00AE4084" w:rsidRPr="00F82C73" w:rsidRDefault="00537972" w:rsidP="00AE4084">
            <w:pPr>
              <w:pStyle w:val="tv213"/>
              <w:shd w:val="clear" w:color="auto" w:fill="FFFFFF"/>
              <w:spacing w:before="0" w:beforeAutospacing="0" w:after="0" w:afterAutospacing="0" w:line="293" w:lineRule="atLeast"/>
              <w:ind w:firstLine="300"/>
              <w:jc w:val="both"/>
              <w:rPr>
                <w:sz w:val="26"/>
                <w:szCs w:val="26"/>
              </w:rPr>
            </w:pPr>
            <w:r w:rsidRPr="00F82C73">
              <w:rPr>
                <w:sz w:val="26"/>
                <w:szCs w:val="26"/>
              </w:rPr>
              <w:t xml:space="preserve">Likumprojekts paredz, ka no 2021.gada </w:t>
            </w:r>
            <w:r w:rsidR="006C5497" w:rsidRPr="00F82C73">
              <w:rPr>
                <w:sz w:val="26"/>
                <w:szCs w:val="26"/>
              </w:rPr>
              <w:t>vienotajā nodokļu</w:t>
            </w:r>
            <w:r w:rsidRPr="00F82C73">
              <w:rPr>
                <w:sz w:val="26"/>
                <w:szCs w:val="26"/>
              </w:rPr>
              <w:t xml:space="preserve"> kontā </w:t>
            </w:r>
            <w:r w:rsidR="00AE4084" w:rsidRPr="00F82C73">
              <w:rPr>
                <w:sz w:val="26"/>
                <w:szCs w:val="26"/>
              </w:rPr>
              <w:t xml:space="preserve">ieskaitītais </w:t>
            </w:r>
            <w:r w:rsidRPr="00F82C73">
              <w:rPr>
                <w:sz w:val="26"/>
                <w:szCs w:val="26"/>
              </w:rPr>
              <w:t xml:space="preserve">solidaritātes </w:t>
            </w:r>
            <w:r w:rsidR="00AE4084" w:rsidRPr="00F82C73">
              <w:rPr>
                <w:sz w:val="26"/>
                <w:szCs w:val="26"/>
              </w:rPr>
              <w:t>nodokli</w:t>
            </w:r>
            <w:r w:rsidR="005D5387" w:rsidRPr="00F82C73">
              <w:rPr>
                <w:sz w:val="26"/>
                <w:szCs w:val="26"/>
              </w:rPr>
              <w:t>s</w:t>
            </w:r>
            <w:r w:rsidR="00AE4084" w:rsidRPr="00F82C73">
              <w:rPr>
                <w:sz w:val="26"/>
                <w:szCs w:val="26"/>
              </w:rPr>
              <w:t xml:space="preserve"> </w:t>
            </w:r>
            <w:r w:rsidR="005D5387" w:rsidRPr="00F82C73">
              <w:rPr>
                <w:sz w:val="26"/>
                <w:szCs w:val="26"/>
              </w:rPr>
              <w:t xml:space="preserve">tiks </w:t>
            </w:r>
            <w:r w:rsidR="00AE4084" w:rsidRPr="00F82C73">
              <w:rPr>
                <w:sz w:val="26"/>
                <w:szCs w:val="26"/>
              </w:rPr>
              <w:t>sadalīts šādi:</w:t>
            </w:r>
          </w:p>
          <w:p w:rsidR="00AE4084" w:rsidRPr="00F82C73" w:rsidRDefault="00AE4084" w:rsidP="00AE4084">
            <w:pPr>
              <w:pStyle w:val="tv213"/>
              <w:shd w:val="clear" w:color="auto" w:fill="FFFFFF"/>
              <w:spacing w:before="0" w:beforeAutospacing="0" w:after="0" w:afterAutospacing="0" w:line="293" w:lineRule="atLeast"/>
              <w:ind w:left="600"/>
              <w:jc w:val="both"/>
              <w:rPr>
                <w:sz w:val="26"/>
                <w:szCs w:val="26"/>
              </w:rPr>
            </w:pPr>
            <w:r w:rsidRPr="00F82C73">
              <w:rPr>
                <w:sz w:val="26"/>
                <w:szCs w:val="26"/>
              </w:rPr>
              <w:t>1) 1 procentpunkta apmērā — veselības aprūpes pakalpojumu finansēšanai (nepersonalizēti);</w:t>
            </w:r>
          </w:p>
          <w:p w:rsidR="00AE4084" w:rsidRPr="00F82C73" w:rsidRDefault="00AE4084" w:rsidP="00AE4084">
            <w:pPr>
              <w:pStyle w:val="tv213"/>
              <w:shd w:val="clear" w:color="auto" w:fill="FFFFFF"/>
              <w:spacing w:before="0" w:beforeAutospacing="0" w:after="0" w:afterAutospacing="0" w:line="293" w:lineRule="atLeast"/>
              <w:ind w:left="600"/>
              <w:jc w:val="both"/>
              <w:rPr>
                <w:sz w:val="26"/>
                <w:szCs w:val="26"/>
              </w:rPr>
            </w:pPr>
            <w:r w:rsidRPr="00F82C73">
              <w:rPr>
                <w:sz w:val="26"/>
                <w:szCs w:val="26"/>
              </w:rPr>
              <w:t>2) 14 procentpunktu apmērā — valsts pensiju speciālajā budžetā (nepersonalizēti);</w:t>
            </w:r>
          </w:p>
          <w:p w:rsidR="00AE4084" w:rsidRPr="00F82C73" w:rsidRDefault="00AE4084" w:rsidP="00AE4084">
            <w:pPr>
              <w:pStyle w:val="tv213"/>
              <w:shd w:val="clear" w:color="auto" w:fill="FFFFFF"/>
              <w:spacing w:before="0" w:beforeAutospacing="0" w:after="0" w:afterAutospacing="0" w:line="293" w:lineRule="atLeast"/>
              <w:ind w:left="600"/>
              <w:jc w:val="both"/>
              <w:rPr>
                <w:sz w:val="26"/>
                <w:szCs w:val="26"/>
              </w:rPr>
            </w:pPr>
            <w:r w:rsidRPr="00F82C73">
              <w:rPr>
                <w:sz w:val="26"/>
                <w:szCs w:val="26"/>
              </w:rPr>
              <w:t xml:space="preserve">3) 10 procentpunktu apmērā — </w:t>
            </w:r>
            <w:r w:rsidR="00324BEF">
              <w:rPr>
                <w:sz w:val="26"/>
                <w:szCs w:val="26"/>
              </w:rPr>
              <w:t>attiecinā</w:t>
            </w:r>
            <w:r w:rsidR="009F16FF">
              <w:rPr>
                <w:sz w:val="26"/>
                <w:szCs w:val="26"/>
              </w:rPr>
              <w:t>t</w:t>
            </w:r>
            <w:r w:rsidR="00324BEF">
              <w:rPr>
                <w:sz w:val="26"/>
                <w:szCs w:val="26"/>
              </w:rPr>
              <w:t>s</w:t>
            </w:r>
            <w:r w:rsidR="009F16FF">
              <w:rPr>
                <w:sz w:val="26"/>
                <w:szCs w:val="26"/>
              </w:rPr>
              <w:t xml:space="preserve"> uz</w:t>
            </w:r>
            <w:r w:rsidR="00F82C73">
              <w:rPr>
                <w:sz w:val="26"/>
                <w:szCs w:val="26"/>
              </w:rPr>
              <w:t xml:space="preserve"> </w:t>
            </w:r>
            <w:r w:rsidRPr="00F82C73">
              <w:rPr>
                <w:sz w:val="26"/>
                <w:szCs w:val="26"/>
              </w:rPr>
              <w:t>ie</w:t>
            </w:r>
            <w:r w:rsidR="00F82C73">
              <w:rPr>
                <w:sz w:val="26"/>
                <w:szCs w:val="26"/>
              </w:rPr>
              <w:t>dzī</w:t>
            </w:r>
            <w:r w:rsidR="009F16FF">
              <w:rPr>
                <w:sz w:val="26"/>
                <w:szCs w:val="26"/>
              </w:rPr>
              <w:t>votāju ienākuma nodokļa ieņēmumiem</w:t>
            </w:r>
            <w:r w:rsidRPr="00F82C73">
              <w:rPr>
                <w:sz w:val="26"/>
                <w:szCs w:val="26"/>
              </w:rPr>
              <w:t xml:space="preserve"> (personalizēti).</w:t>
            </w:r>
          </w:p>
          <w:p w:rsidR="00537972" w:rsidRPr="001F184E" w:rsidRDefault="00AE4084" w:rsidP="00537972">
            <w:pPr>
              <w:ind w:right="142"/>
              <w:jc w:val="both"/>
              <w:rPr>
                <w:rFonts w:ascii="Times New Roman" w:eastAsia="Times New Roman" w:hAnsi="Times New Roman" w:cs="Times New Roman"/>
                <w:sz w:val="26"/>
                <w:szCs w:val="26"/>
              </w:rPr>
            </w:pPr>
            <w:r w:rsidRPr="00F82C73">
              <w:rPr>
                <w:rFonts w:ascii="Times New Roman" w:eastAsia="Times New Roman" w:hAnsi="Times New Roman" w:cs="Times New Roman"/>
                <w:sz w:val="26"/>
                <w:szCs w:val="26"/>
              </w:rPr>
              <w:t xml:space="preserve">Tādējādi no solidaritātes nodokļa </w:t>
            </w:r>
            <w:r w:rsidR="003A41DC">
              <w:rPr>
                <w:rFonts w:ascii="Times New Roman" w:eastAsia="Times New Roman" w:hAnsi="Times New Roman" w:cs="Times New Roman"/>
                <w:sz w:val="26"/>
                <w:szCs w:val="26"/>
              </w:rPr>
              <w:t>maksājuma</w:t>
            </w:r>
            <w:r w:rsidR="003A61EC">
              <w:rPr>
                <w:rFonts w:ascii="Times New Roman" w:eastAsia="Times New Roman" w:hAnsi="Times New Roman" w:cs="Times New Roman"/>
                <w:sz w:val="26"/>
                <w:szCs w:val="26"/>
              </w:rPr>
              <w:t>, sākot ar 2021.</w:t>
            </w:r>
            <w:r>
              <w:rPr>
                <w:rFonts w:ascii="Times New Roman" w:eastAsia="Times New Roman" w:hAnsi="Times New Roman" w:cs="Times New Roman"/>
                <w:sz w:val="26"/>
                <w:szCs w:val="26"/>
              </w:rPr>
              <w:t>gadu, 15 procentpunkti no likmes tiek novirzīti nepersonalizēti. Nepersonalizētā</w:t>
            </w:r>
            <w:r w:rsidR="005D5387">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solidaritātes nodokļa daļas palielināšana no 1</w:t>
            </w:r>
            <w:r w:rsidR="005D538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procentpunkta līdz 15 procentpunktiem atbilst likuma mērķim un likuma nosaukumam</w:t>
            </w:r>
            <w:r w:rsidR="005D538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5D5387">
              <w:rPr>
                <w:rFonts w:ascii="Times New Roman" w:eastAsia="Times New Roman" w:hAnsi="Times New Roman" w:cs="Times New Roman"/>
                <w:sz w:val="26"/>
                <w:szCs w:val="26"/>
              </w:rPr>
              <w:t xml:space="preserve">nepersonalizētā solidaritātes nodokļa daļa </w:t>
            </w:r>
            <w:r>
              <w:rPr>
                <w:rFonts w:ascii="Times New Roman" w:eastAsia="Times New Roman" w:hAnsi="Times New Roman" w:cs="Times New Roman"/>
                <w:sz w:val="26"/>
                <w:szCs w:val="26"/>
              </w:rPr>
              <w:t>ir uzskatām</w:t>
            </w:r>
            <w:r w:rsidR="005D5387">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par nodokļu maksātāju ar lieliem ienākumiem solidāru maksājumu valsts speciālajā budžetā.  </w:t>
            </w:r>
          </w:p>
          <w:p w:rsidR="00537972" w:rsidRDefault="00537972" w:rsidP="00537972">
            <w:pPr>
              <w:ind w:right="142"/>
              <w:jc w:val="both"/>
              <w:rPr>
                <w:rFonts w:ascii="Times New Roman" w:eastAsia="Times New Roman" w:hAnsi="Times New Roman" w:cs="Times New Roman"/>
                <w:sz w:val="26"/>
                <w:szCs w:val="26"/>
              </w:rPr>
            </w:pPr>
            <w:r w:rsidRPr="001F184E">
              <w:rPr>
                <w:rFonts w:ascii="Times New Roman" w:eastAsia="Times New Roman" w:hAnsi="Times New Roman" w:cs="Times New Roman"/>
                <w:sz w:val="26"/>
                <w:szCs w:val="26"/>
              </w:rPr>
              <w:t xml:space="preserve">Ņemts vērā apstāklis, ka trešdaļai obligāto iemaksu veicēju obligāto iemaksu objekts ir līdz valstī noteiktai minimālai mēneša darba algai. Atbilstoši Labklājības </w:t>
            </w:r>
            <w:r w:rsidRPr="001F184E">
              <w:rPr>
                <w:rFonts w:ascii="Times New Roman" w:eastAsia="Times New Roman" w:hAnsi="Times New Roman" w:cs="Times New Roman"/>
                <w:sz w:val="26"/>
                <w:szCs w:val="26"/>
              </w:rPr>
              <w:lastRenderedPageBreak/>
              <w:t>ministrijas sniegtajai informācijai, piemēram, lai nodrošinātu personai viena mēneša vecuma pensijas izmaksu 10 000</w:t>
            </w:r>
            <w:r w:rsidRPr="001F184E">
              <w:rPr>
                <w:rFonts w:ascii="Times New Roman" w:eastAsia="Times New Roman" w:hAnsi="Times New Roman" w:cs="Times New Roman"/>
                <w:i/>
                <w:sz w:val="26"/>
                <w:szCs w:val="26"/>
              </w:rPr>
              <w:t> euro</w:t>
            </w:r>
            <w:r w:rsidRPr="001F184E">
              <w:rPr>
                <w:rFonts w:ascii="Times New Roman" w:eastAsia="Times New Roman" w:hAnsi="Times New Roman" w:cs="Times New Roman"/>
                <w:sz w:val="26"/>
                <w:szCs w:val="26"/>
              </w:rPr>
              <w:t xml:space="preserve"> apmērā, nepieciešamas obligātās iemaksas pensiju apdrošināšanai par, apmēram, 110 personām, kuras saņem minimālo darba algu, vai par, apmēram, 60 personām, kuras obligātās iemaksas veic no vidējās apdrošināšanas iemaksu algas valstī.</w:t>
            </w:r>
          </w:p>
          <w:p w:rsidR="001704B9" w:rsidRDefault="005208C1" w:rsidP="001704B9">
            <w:pPr>
              <w:ind w:right="142"/>
              <w:jc w:val="both"/>
              <w:rPr>
                <w:rFonts w:ascii="Times New Roman" w:eastAsia="Calibri" w:hAnsi="Times New Roman" w:cs="Times New Roman"/>
                <w:sz w:val="26"/>
                <w:szCs w:val="26"/>
              </w:rPr>
            </w:pPr>
            <w:r w:rsidRPr="00852C7A">
              <w:rPr>
                <w:rFonts w:ascii="Times New Roman" w:eastAsia="Calibri" w:hAnsi="Times New Roman" w:cs="Times New Roman"/>
                <w:sz w:val="26"/>
                <w:szCs w:val="26"/>
              </w:rPr>
              <w:t>Solidaritātes nodokļa daļas novirzīšanas nepersonificēti valsts sociālās apdro</w:t>
            </w:r>
            <w:r w:rsidR="00852C7A" w:rsidRPr="00852C7A">
              <w:rPr>
                <w:rFonts w:ascii="Times New Roman" w:eastAsia="Calibri" w:hAnsi="Times New Roman" w:cs="Times New Roman"/>
                <w:sz w:val="26"/>
                <w:szCs w:val="26"/>
              </w:rPr>
              <w:t xml:space="preserve">šināšanas obligātajās iemaksās </w:t>
            </w:r>
            <w:r w:rsidRPr="00852C7A">
              <w:rPr>
                <w:rFonts w:ascii="Times New Roman" w:eastAsia="Calibri" w:hAnsi="Times New Roman" w:cs="Times New Roman"/>
                <w:sz w:val="26"/>
                <w:szCs w:val="26"/>
              </w:rPr>
              <w:t>ir pamats  šī nodokļa solidaritātes elementa pastiprināšanai nodoklī. Situācija, ka 24,5 procentpunkti  no nodokļa likmes tika sadalīts personāli, bija pretrunā ar likuma</w:t>
            </w:r>
            <w:r w:rsidRPr="00852C7A">
              <w:rPr>
                <w:rFonts w:ascii="Times New Roman" w:eastAsia="Calibri" w:hAnsi="Times New Roman" w:cs="Times New Roman"/>
                <w:sz w:val="28"/>
                <w:szCs w:val="28"/>
              </w:rPr>
              <w:t xml:space="preserve"> </w:t>
            </w:r>
            <w:r w:rsidRPr="00852C7A">
              <w:rPr>
                <w:rFonts w:ascii="Times New Roman" w:eastAsia="Calibri" w:hAnsi="Times New Roman" w:cs="Times New Roman"/>
                <w:sz w:val="26"/>
                <w:szCs w:val="26"/>
              </w:rPr>
              <w:t>nosaukumu un norādīja uz likuma nosaukuma, mērķa un būtības kolīziju</w:t>
            </w:r>
            <w:r w:rsidR="001704B9">
              <w:rPr>
                <w:rFonts w:ascii="Times New Roman" w:eastAsia="Calibri" w:hAnsi="Times New Roman" w:cs="Times New Roman"/>
                <w:sz w:val="26"/>
                <w:szCs w:val="26"/>
              </w:rPr>
              <w:t>. Solidaritātes nodokļa likumā solidaritātes elements (nodokļa likmes daļa, kas netiek personalizēta) šobrīd ir būtiski mazāka nekā valsts sociālajās apd</w:t>
            </w:r>
            <w:r w:rsidR="003A61EC">
              <w:rPr>
                <w:rFonts w:ascii="Times New Roman" w:eastAsia="Calibri" w:hAnsi="Times New Roman" w:cs="Times New Roman"/>
                <w:sz w:val="26"/>
                <w:szCs w:val="26"/>
              </w:rPr>
              <w:t>rošināšanas iemaksās. Tādējādi s</w:t>
            </w:r>
            <w:r w:rsidR="001704B9">
              <w:rPr>
                <w:rFonts w:ascii="Times New Roman" w:eastAsia="Calibri" w:hAnsi="Times New Roman" w:cs="Times New Roman"/>
                <w:sz w:val="26"/>
                <w:szCs w:val="26"/>
              </w:rPr>
              <w:t xml:space="preserve">olidaritātes nodokļa nosaukums var nebūt atbilstošs tā būtībai (likmes sadalījumam). </w:t>
            </w:r>
          </w:p>
          <w:p w:rsidR="003A61EC" w:rsidRDefault="003A61EC" w:rsidP="001704B9">
            <w:pPr>
              <w:ind w:right="142"/>
              <w:jc w:val="both"/>
              <w:rPr>
                <w:rFonts w:ascii="Times New Roman" w:eastAsia="Calibri" w:hAnsi="Times New Roman" w:cs="Times New Roman"/>
                <w:sz w:val="26"/>
                <w:szCs w:val="26"/>
              </w:rPr>
            </w:pPr>
          </w:p>
          <w:p w:rsidR="003A61EC" w:rsidRDefault="00CC7C77" w:rsidP="003A61EC">
            <w:pPr>
              <w:shd w:val="clear" w:color="auto" w:fill="FFFFFF"/>
              <w:spacing w:line="293" w:lineRule="atLeast"/>
              <w:jc w:val="both"/>
              <w:rPr>
                <w:rFonts w:ascii="Times New Roman" w:eastAsia="Times New Roman" w:hAnsi="Times New Roman" w:cs="Times New Roman"/>
                <w:sz w:val="26"/>
                <w:szCs w:val="26"/>
                <w:lang w:eastAsia="lv-LV"/>
              </w:rPr>
            </w:pPr>
            <w:r w:rsidRPr="003A61EC">
              <w:rPr>
                <w:rFonts w:ascii="Times New Roman" w:eastAsia="Times New Roman" w:hAnsi="Times New Roman" w:cs="Times New Roman"/>
                <w:sz w:val="26"/>
                <w:szCs w:val="26"/>
                <w:lang w:eastAsia="lv-LV"/>
              </w:rPr>
              <w:t>Vērtējot piedāvāto tiesību normu atbilstību </w:t>
            </w:r>
            <w:hyperlink r:id="rId8" w:tgtFrame="_blank" w:history="1">
              <w:r w:rsidRPr="003A61EC">
                <w:rPr>
                  <w:rFonts w:ascii="Times New Roman" w:eastAsia="Times New Roman" w:hAnsi="Times New Roman" w:cs="Times New Roman"/>
                  <w:sz w:val="26"/>
                  <w:szCs w:val="26"/>
                  <w:lang w:eastAsia="lv-LV"/>
                </w:rPr>
                <w:t>Satversmes</w:t>
              </w:r>
            </w:hyperlink>
            <w:r w:rsidRPr="003A61EC">
              <w:rPr>
                <w:rFonts w:ascii="Times New Roman" w:eastAsia="Times New Roman" w:hAnsi="Times New Roman" w:cs="Times New Roman"/>
                <w:sz w:val="26"/>
                <w:szCs w:val="26"/>
                <w:lang w:eastAsia="lv-LV"/>
              </w:rPr>
              <w:t> 91. panta pirmajam teikumam un 105. panta</w:t>
            </w:r>
            <w:r w:rsidR="008C0CA2" w:rsidRPr="003A61EC">
              <w:rPr>
                <w:rFonts w:ascii="Times New Roman" w:eastAsia="Times New Roman" w:hAnsi="Times New Roman" w:cs="Times New Roman"/>
                <w:sz w:val="26"/>
                <w:szCs w:val="26"/>
                <w:lang w:eastAsia="lv-LV"/>
              </w:rPr>
              <w:t xml:space="preserve"> pirmajam teikumam</w:t>
            </w:r>
            <w:r w:rsidRPr="003A61EC">
              <w:rPr>
                <w:rFonts w:ascii="Times New Roman" w:eastAsia="Times New Roman" w:hAnsi="Times New Roman" w:cs="Times New Roman"/>
                <w:sz w:val="26"/>
                <w:szCs w:val="26"/>
                <w:lang w:eastAsia="lv-LV"/>
              </w:rPr>
              <w:t xml:space="preserve"> tika </w:t>
            </w:r>
            <w:r w:rsidR="008C0CA2" w:rsidRPr="003A61EC">
              <w:rPr>
                <w:rFonts w:ascii="Times New Roman" w:eastAsia="Times New Roman" w:hAnsi="Times New Roman" w:cs="Times New Roman"/>
                <w:sz w:val="26"/>
                <w:szCs w:val="26"/>
                <w:lang w:eastAsia="lv-LV"/>
              </w:rPr>
              <w:t>iz</w:t>
            </w:r>
            <w:r w:rsidRPr="003A61EC">
              <w:rPr>
                <w:rFonts w:ascii="Times New Roman" w:eastAsia="Times New Roman" w:hAnsi="Times New Roman" w:cs="Times New Roman"/>
                <w:sz w:val="26"/>
                <w:szCs w:val="26"/>
                <w:lang w:eastAsia="lv-LV"/>
              </w:rPr>
              <w:t>vērt</w:t>
            </w:r>
            <w:r w:rsidR="008C0CA2" w:rsidRPr="003A61EC">
              <w:rPr>
                <w:rFonts w:ascii="Times New Roman" w:eastAsia="Times New Roman" w:hAnsi="Times New Roman" w:cs="Times New Roman"/>
                <w:sz w:val="26"/>
                <w:szCs w:val="26"/>
                <w:lang w:eastAsia="lv-LV"/>
              </w:rPr>
              <w:t xml:space="preserve">ētas personas tiesības: </w:t>
            </w:r>
          </w:p>
          <w:p w:rsidR="008C0CA2" w:rsidRPr="003A61EC" w:rsidRDefault="008C0CA2" w:rsidP="003A61EC">
            <w:pPr>
              <w:shd w:val="clear" w:color="auto" w:fill="FFFFFF"/>
              <w:spacing w:line="293" w:lineRule="atLeast"/>
              <w:jc w:val="both"/>
              <w:rPr>
                <w:rFonts w:ascii="Times New Roman" w:eastAsia="Times New Roman" w:hAnsi="Times New Roman" w:cs="Times New Roman"/>
                <w:sz w:val="26"/>
                <w:szCs w:val="26"/>
                <w:lang w:eastAsia="lv-LV"/>
              </w:rPr>
            </w:pPr>
            <w:r w:rsidRPr="003A61EC">
              <w:rPr>
                <w:rFonts w:ascii="Times New Roman" w:eastAsia="Times New Roman" w:hAnsi="Times New Roman" w:cs="Times New Roman"/>
                <w:sz w:val="26"/>
                <w:szCs w:val="26"/>
                <w:lang w:eastAsia="lv-LV"/>
              </w:rPr>
              <w:t>1) vai un kuras personas (personu grupas) atrodas vienādos un pēc noteiktiem kritērijiem salīdzināmos apstākļos;</w:t>
            </w:r>
          </w:p>
          <w:p w:rsidR="008C0CA2" w:rsidRPr="003A61EC" w:rsidRDefault="008C0CA2" w:rsidP="003A61EC">
            <w:pPr>
              <w:shd w:val="clear" w:color="auto" w:fill="FFFFFF"/>
              <w:spacing w:line="293" w:lineRule="atLeast"/>
              <w:jc w:val="both"/>
              <w:rPr>
                <w:rFonts w:ascii="Times New Roman" w:eastAsia="Times New Roman" w:hAnsi="Times New Roman" w:cs="Times New Roman"/>
                <w:sz w:val="26"/>
                <w:szCs w:val="26"/>
                <w:lang w:eastAsia="lv-LV"/>
              </w:rPr>
            </w:pPr>
            <w:r w:rsidRPr="003A61EC">
              <w:rPr>
                <w:rFonts w:ascii="Times New Roman" w:eastAsia="Times New Roman" w:hAnsi="Times New Roman" w:cs="Times New Roman"/>
                <w:sz w:val="26"/>
                <w:szCs w:val="26"/>
                <w:lang w:eastAsia="lv-LV"/>
              </w:rPr>
              <w:t>2) vai norma paredz vienādu vai atšķirīgu attieksmi pret šīm personām (personu grupām);</w:t>
            </w:r>
          </w:p>
          <w:p w:rsidR="008C0CA2" w:rsidRPr="003A61EC" w:rsidRDefault="008C0CA2" w:rsidP="003A61EC">
            <w:pPr>
              <w:shd w:val="clear" w:color="auto" w:fill="FFFFFF"/>
              <w:spacing w:line="293" w:lineRule="atLeast"/>
              <w:jc w:val="both"/>
              <w:rPr>
                <w:rFonts w:ascii="Times New Roman" w:eastAsia="Times New Roman" w:hAnsi="Times New Roman" w:cs="Times New Roman"/>
                <w:sz w:val="26"/>
                <w:szCs w:val="26"/>
                <w:lang w:eastAsia="lv-LV"/>
              </w:rPr>
            </w:pPr>
            <w:r w:rsidRPr="003A61EC">
              <w:rPr>
                <w:rFonts w:ascii="Times New Roman" w:eastAsia="Times New Roman" w:hAnsi="Times New Roman" w:cs="Times New Roman"/>
                <w:sz w:val="26"/>
                <w:szCs w:val="26"/>
                <w:lang w:eastAsia="lv-LV"/>
              </w:rPr>
              <w:t>3) vai šāda attieksme ir noteikta ar normatīvajos aktos paredzētā kārtībā pieņemtu tiesību normu;</w:t>
            </w:r>
          </w:p>
          <w:p w:rsidR="008C0CA2" w:rsidRPr="003A61EC" w:rsidRDefault="008C0CA2" w:rsidP="003A61EC">
            <w:pPr>
              <w:shd w:val="clear" w:color="auto" w:fill="FFFFFF"/>
              <w:spacing w:line="293" w:lineRule="atLeast"/>
              <w:jc w:val="both"/>
              <w:rPr>
                <w:rFonts w:ascii="Times New Roman" w:eastAsia="Times New Roman" w:hAnsi="Times New Roman" w:cs="Times New Roman"/>
                <w:sz w:val="26"/>
                <w:szCs w:val="26"/>
                <w:lang w:eastAsia="lv-LV"/>
              </w:rPr>
            </w:pPr>
            <w:r w:rsidRPr="003A61EC">
              <w:rPr>
                <w:rFonts w:ascii="Times New Roman" w:eastAsia="Times New Roman" w:hAnsi="Times New Roman" w:cs="Times New Roman"/>
                <w:sz w:val="26"/>
                <w:szCs w:val="26"/>
                <w:lang w:eastAsia="lv-LV"/>
              </w:rPr>
              <w:t>4) vai šādai attieksmei ir objektīvs un saprātīgs pamats, proti, vai tai ir leģitīms mērķis un vai ir ievērots samērīguma princips.</w:t>
            </w:r>
          </w:p>
          <w:p w:rsidR="00CC7C77" w:rsidRDefault="008C0CA2" w:rsidP="002D0D6C">
            <w:pPr>
              <w:shd w:val="clear" w:color="auto" w:fill="FFFFFF"/>
              <w:spacing w:line="293" w:lineRule="atLeast"/>
              <w:jc w:val="both"/>
              <w:rPr>
                <w:rFonts w:ascii="Times New Roman" w:hAnsi="Times New Roman" w:cs="Times New Roman"/>
                <w:sz w:val="26"/>
                <w:szCs w:val="26"/>
              </w:rPr>
            </w:pPr>
            <w:r w:rsidRPr="003A61EC">
              <w:rPr>
                <w:rFonts w:ascii="Times New Roman" w:eastAsia="Times New Roman" w:hAnsi="Times New Roman" w:cs="Times New Roman"/>
                <w:sz w:val="26"/>
                <w:szCs w:val="26"/>
                <w:lang w:eastAsia="lv-LV"/>
              </w:rPr>
              <w:t xml:space="preserve">Solidaritātes nodokļa sadalījums (ar 14 procentpunktu nepersonificētu novirzīšanu valsts speciālajā budžetā) attiecas uz visām solidaritātes nodokļa maksātāju personu grupām vienādi un paredz vienādu attieksmi (solidāru proporcionālu maksājumu no nodokļa) pret </w:t>
            </w:r>
            <w:r w:rsidR="005D5387" w:rsidRPr="003A61EC">
              <w:rPr>
                <w:rFonts w:ascii="Times New Roman" w:eastAsia="Times New Roman" w:hAnsi="Times New Roman" w:cs="Times New Roman"/>
                <w:sz w:val="26"/>
                <w:szCs w:val="26"/>
                <w:lang w:eastAsia="lv-LV"/>
              </w:rPr>
              <w:t xml:space="preserve">šīm </w:t>
            </w:r>
            <w:r w:rsidRPr="003A61EC">
              <w:rPr>
                <w:rFonts w:ascii="Times New Roman" w:eastAsia="Times New Roman" w:hAnsi="Times New Roman" w:cs="Times New Roman"/>
                <w:sz w:val="26"/>
                <w:szCs w:val="26"/>
                <w:lang w:eastAsia="lv-LV"/>
              </w:rPr>
              <w:t xml:space="preserve">personu grupām. Solidaritātes nodokļa </w:t>
            </w:r>
            <w:r w:rsidRPr="002F4EB5">
              <w:rPr>
                <w:rFonts w:ascii="Times New Roman" w:eastAsia="Times New Roman" w:hAnsi="Times New Roman" w:cs="Times New Roman"/>
                <w:sz w:val="26"/>
                <w:szCs w:val="26"/>
                <w:lang w:eastAsia="lv-LV"/>
              </w:rPr>
              <w:t>mērķis ir “</w:t>
            </w:r>
            <w:r w:rsidRPr="002F4EB5">
              <w:rPr>
                <w:rFonts w:ascii="Times New Roman" w:hAnsi="Times New Roman" w:cs="Times New Roman"/>
                <w:sz w:val="26"/>
                <w:szCs w:val="26"/>
                <w:shd w:val="clear" w:color="auto" w:fill="FFFFFF"/>
              </w:rPr>
              <w:t xml:space="preserve">mazināt nodokļu regresivitāti darba ņēmējiem, iekšzemes darba ņēmējiem pie darba devēja — ārvalstnieka, ārvalstu darba ņēmējiem pie darba devēja — ārvalstnieka — un pašnodarbinātajiem ar augstāku ienākuma līmeni, vienlaikus nodrošinot valsts pamatbudžeta un pašvaldību budžetu ieņēmumus iedzīvotāju pieaugošo sociālās aizsardzības un </w:t>
            </w:r>
            <w:r w:rsidRPr="002F4EB5">
              <w:rPr>
                <w:rFonts w:ascii="Times New Roman" w:hAnsi="Times New Roman" w:cs="Times New Roman"/>
                <w:b/>
                <w:sz w:val="26"/>
                <w:szCs w:val="26"/>
                <w:shd w:val="clear" w:color="auto" w:fill="FFFFFF"/>
              </w:rPr>
              <w:t>nevienlīdzības mazināšanas vajadzību finansēšanai</w:t>
            </w:r>
            <w:r w:rsidR="00FF5E21" w:rsidRPr="002F4EB5">
              <w:rPr>
                <w:rFonts w:ascii="Times New Roman" w:eastAsia="Times New Roman" w:hAnsi="Times New Roman" w:cs="Times New Roman"/>
                <w:sz w:val="26"/>
                <w:szCs w:val="26"/>
                <w:lang w:eastAsia="lv-LV"/>
              </w:rPr>
              <w:t>”, līdz ar to likums</w:t>
            </w:r>
            <w:r w:rsidRPr="002F4EB5">
              <w:rPr>
                <w:rFonts w:ascii="Times New Roman" w:eastAsia="Times New Roman" w:hAnsi="Times New Roman" w:cs="Times New Roman"/>
                <w:sz w:val="26"/>
                <w:szCs w:val="26"/>
                <w:lang w:eastAsia="lv-LV"/>
              </w:rPr>
              <w:t xml:space="preserve"> </w:t>
            </w:r>
            <w:r w:rsidR="00FF5E21" w:rsidRPr="002F4EB5">
              <w:rPr>
                <w:rFonts w:ascii="Times New Roman" w:eastAsia="Times New Roman" w:hAnsi="Times New Roman" w:cs="Times New Roman"/>
                <w:sz w:val="26"/>
                <w:szCs w:val="26"/>
                <w:lang w:eastAsia="lv-LV"/>
              </w:rPr>
              <w:t xml:space="preserve">definē kādam fiskālam pamatmērķim ir </w:t>
            </w:r>
            <w:r w:rsidR="00FF5E21" w:rsidRPr="002F4EB5">
              <w:rPr>
                <w:rFonts w:ascii="Times New Roman" w:eastAsia="Times New Roman" w:hAnsi="Times New Roman" w:cs="Times New Roman"/>
                <w:sz w:val="26"/>
                <w:szCs w:val="26"/>
                <w:lang w:eastAsia="lv-LV"/>
              </w:rPr>
              <w:lastRenderedPageBreak/>
              <w:t>nodoklis paredzēts. Šī brīža Solidaritātes nodokļa sadalījums ir pretrunā ar minēto mērķi, jo nenodrošina līdzekļu iegūšanu nevienlīdzības mazināšanas vajadzību finansēšanai, bet</w:t>
            </w:r>
            <w:r w:rsidR="005D5387" w:rsidRPr="002F4EB5">
              <w:rPr>
                <w:rFonts w:ascii="Times New Roman" w:eastAsia="Times New Roman" w:hAnsi="Times New Roman" w:cs="Times New Roman"/>
                <w:sz w:val="26"/>
                <w:szCs w:val="26"/>
                <w:lang w:eastAsia="lv-LV"/>
              </w:rPr>
              <w:t>,</w:t>
            </w:r>
            <w:r w:rsidR="00FF5E21" w:rsidRPr="002F4EB5">
              <w:rPr>
                <w:rFonts w:ascii="Times New Roman" w:eastAsia="Times New Roman" w:hAnsi="Times New Roman" w:cs="Times New Roman"/>
                <w:sz w:val="26"/>
                <w:szCs w:val="26"/>
                <w:lang w:eastAsia="lv-LV"/>
              </w:rPr>
              <w:t xml:space="preserve"> novirzot nodokļa daļu Valsts sociālajā budžetā</w:t>
            </w:r>
            <w:r w:rsidR="009E36CE">
              <w:rPr>
                <w:rFonts w:ascii="Times New Roman" w:eastAsia="Times New Roman" w:hAnsi="Times New Roman" w:cs="Times New Roman"/>
                <w:sz w:val="26"/>
                <w:szCs w:val="26"/>
                <w:lang w:eastAsia="lv-LV"/>
              </w:rPr>
              <w:t xml:space="preserve">, </w:t>
            </w:r>
            <w:r w:rsidR="00FF5E21" w:rsidRPr="002F4EB5">
              <w:rPr>
                <w:rFonts w:ascii="Times New Roman" w:eastAsia="Times New Roman" w:hAnsi="Times New Roman" w:cs="Times New Roman"/>
                <w:sz w:val="26"/>
                <w:szCs w:val="26"/>
                <w:lang w:eastAsia="lv-LV"/>
              </w:rPr>
              <w:t xml:space="preserve">tā turpmāk netiks uzkrāta konkrētā solidaritātes nodokļa maksātāja pensijas apdrošināšanai, bet novirzīta  tām personu grupām, kuru sociālās apdrošināšanas maksājumi nav bijuši pietiekami minimālā sociālo pakalpojumu groza nodrošināšanai. Minētajam solim ir leģitīms mērķis, jo </w:t>
            </w:r>
            <w:r w:rsidR="00FF5E21" w:rsidRPr="002F4EB5">
              <w:rPr>
                <w:rFonts w:ascii="Times New Roman" w:hAnsi="Times New Roman" w:cs="Times New Roman"/>
                <w:sz w:val="26"/>
                <w:szCs w:val="26"/>
                <w:bdr w:val="none" w:sz="0" w:space="0" w:color="auto" w:frame="1"/>
              </w:rPr>
              <w:t>Satversmes 109. pants</w:t>
            </w:r>
            <w:r w:rsidR="00FF5E21" w:rsidRPr="002F4EB5">
              <w:rPr>
                <w:rFonts w:ascii="Times New Roman" w:hAnsi="Times New Roman" w:cs="Times New Roman"/>
                <w:sz w:val="26"/>
                <w:szCs w:val="26"/>
              </w:rPr>
              <w:t xml:space="preserve"> nosaka, ka  “Ikvienam ir tiesības uz sociālo nodrošinājumu vecuma, darbnespējas, bezdarba un citos likumā noteiktajos gadījumos.”</w:t>
            </w:r>
            <w:r w:rsidR="00C479F6" w:rsidRPr="002F4EB5">
              <w:rPr>
                <w:rFonts w:ascii="Times New Roman" w:hAnsi="Times New Roman" w:cs="Times New Roman"/>
                <w:sz w:val="26"/>
                <w:szCs w:val="26"/>
              </w:rPr>
              <w:t>.</w:t>
            </w:r>
            <w:r w:rsidR="00FF5E21" w:rsidRPr="002F4EB5">
              <w:rPr>
                <w:rFonts w:ascii="Times New Roman" w:hAnsi="Times New Roman" w:cs="Times New Roman"/>
                <w:sz w:val="26"/>
                <w:szCs w:val="26"/>
              </w:rPr>
              <w:t xml:space="preserve"> </w:t>
            </w:r>
            <w:r w:rsidR="00BD1C07" w:rsidRPr="002F4EB5">
              <w:rPr>
                <w:rFonts w:ascii="Times New Roman" w:hAnsi="Times New Roman" w:cs="Times New Roman"/>
                <w:sz w:val="26"/>
                <w:szCs w:val="26"/>
              </w:rPr>
              <w:t>No c</w:t>
            </w:r>
            <w:r w:rsidR="00FF5E21" w:rsidRPr="002F4EB5">
              <w:rPr>
                <w:rFonts w:ascii="Times New Roman" w:hAnsi="Times New Roman" w:cs="Times New Roman"/>
                <w:sz w:val="26"/>
                <w:szCs w:val="26"/>
              </w:rPr>
              <w:t xml:space="preserve">ilvēka cieņā balstītas sociāli atbildīgas valsts principa izriet likumdevēja pienākums noregulēt būtiskākos </w:t>
            </w:r>
            <w:r w:rsidR="00BD1C07" w:rsidRPr="002F4EB5">
              <w:rPr>
                <w:rFonts w:ascii="Times New Roman" w:hAnsi="Times New Roman" w:cs="Times New Roman"/>
                <w:sz w:val="26"/>
                <w:szCs w:val="26"/>
              </w:rPr>
              <w:t xml:space="preserve">sociālā rakstura </w:t>
            </w:r>
            <w:r w:rsidR="00FF5E21" w:rsidRPr="002F4EB5">
              <w:rPr>
                <w:rFonts w:ascii="Times New Roman" w:hAnsi="Times New Roman" w:cs="Times New Roman"/>
                <w:sz w:val="26"/>
                <w:szCs w:val="26"/>
              </w:rPr>
              <w:t>jautājumus</w:t>
            </w:r>
            <w:r w:rsidR="00C479F6" w:rsidRPr="002F4EB5">
              <w:rPr>
                <w:rFonts w:ascii="Times New Roman" w:hAnsi="Times New Roman" w:cs="Times New Roman"/>
                <w:sz w:val="26"/>
                <w:szCs w:val="26"/>
              </w:rPr>
              <w:t>, ko daļēji iespējams īstenot arī izmantojot nodokļus, nodrošina līdzekļu pārdali solidāri iekasējot nodokļus no personām ar lielākiem ienākumiem un nodokļus pārdalot</w:t>
            </w:r>
            <w:r w:rsidR="00BD1C07" w:rsidRPr="002F4EB5">
              <w:rPr>
                <w:rFonts w:ascii="Times New Roman" w:hAnsi="Times New Roman" w:cs="Times New Roman"/>
                <w:sz w:val="26"/>
                <w:szCs w:val="26"/>
              </w:rPr>
              <w:t xml:space="preserve"> sociāli mazāk aizsargātam iedzīvotāju grupām, piemēram, indeksējot pensijas</w:t>
            </w:r>
            <w:r w:rsidR="00C479F6" w:rsidRPr="002F4EB5">
              <w:rPr>
                <w:rFonts w:ascii="Times New Roman" w:hAnsi="Times New Roman" w:cs="Times New Roman"/>
                <w:sz w:val="26"/>
                <w:szCs w:val="26"/>
              </w:rPr>
              <w:t xml:space="preserve"> personām ar zemākiem ienākumiem. </w:t>
            </w:r>
          </w:p>
          <w:p w:rsidR="002F4EB5" w:rsidRPr="002F4EB5" w:rsidRDefault="002F4EB5" w:rsidP="002F4EB5">
            <w:pPr>
              <w:shd w:val="clear" w:color="auto" w:fill="FFFFFF"/>
              <w:spacing w:line="293" w:lineRule="atLeast"/>
              <w:ind w:firstLine="300"/>
              <w:jc w:val="both"/>
              <w:rPr>
                <w:rFonts w:ascii="Times New Roman" w:eastAsia="Times New Roman" w:hAnsi="Times New Roman" w:cs="Times New Roman"/>
                <w:sz w:val="26"/>
                <w:szCs w:val="26"/>
                <w:lang w:eastAsia="lv-LV"/>
              </w:rPr>
            </w:pPr>
          </w:p>
          <w:p w:rsidR="005208C1" w:rsidRPr="005208C1" w:rsidRDefault="005F3228" w:rsidP="003B50F3">
            <w:pPr>
              <w:ind w:right="142"/>
              <w:jc w:val="both"/>
              <w:rPr>
                <w:rFonts w:ascii="Times New Roman" w:hAnsi="Times New Roman" w:cs="Times New Roman"/>
                <w:sz w:val="28"/>
                <w:szCs w:val="28"/>
              </w:rPr>
            </w:pPr>
            <w:r>
              <w:rPr>
                <w:rFonts w:ascii="Times New Roman" w:eastAsia="Calibri" w:hAnsi="Times New Roman" w:cs="Times New Roman"/>
                <w:sz w:val="26"/>
                <w:szCs w:val="26"/>
              </w:rPr>
              <w:t>Likumprojekta 5</w:t>
            </w:r>
            <w:r w:rsidR="002F4EB5">
              <w:rPr>
                <w:rFonts w:ascii="Times New Roman" w:eastAsia="Calibri" w:hAnsi="Times New Roman" w:cs="Times New Roman"/>
                <w:sz w:val="26"/>
                <w:szCs w:val="26"/>
              </w:rPr>
              <w:t>.</w:t>
            </w:r>
            <w:r w:rsidR="001704B9">
              <w:rPr>
                <w:rFonts w:ascii="Times New Roman" w:eastAsia="Calibri" w:hAnsi="Times New Roman" w:cs="Times New Roman"/>
                <w:sz w:val="26"/>
                <w:szCs w:val="26"/>
              </w:rPr>
              <w:t>pantā paredzēta pārejas norma, kas paredz, ka visi</w:t>
            </w:r>
            <w:r w:rsidR="003B50F3">
              <w:rPr>
                <w:rFonts w:ascii="Times New Roman" w:eastAsia="Calibri" w:hAnsi="Times New Roman" w:cs="Times New Roman"/>
                <w:sz w:val="26"/>
                <w:szCs w:val="26"/>
              </w:rPr>
              <w:t>em</w:t>
            </w:r>
            <w:r w:rsidR="001704B9">
              <w:rPr>
                <w:rFonts w:ascii="Times New Roman" w:eastAsia="Calibri" w:hAnsi="Times New Roman" w:cs="Times New Roman"/>
                <w:sz w:val="26"/>
                <w:szCs w:val="26"/>
              </w:rPr>
              <w:t xml:space="preserve"> solidaritātes nodokļa maksājumi</w:t>
            </w:r>
            <w:r w:rsidR="003B50F3">
              <w:rPr>
                <w:rFonts w:ascii="Times New Roman" w:eastAsia="Calibri" w:hAnsi="Times New Roman" w:cs="Times New Roman"/>
                <w:sz w:val="26"/>
                <w:szCs w:val="26"/>
              </w:rPr>
              <w:t>em</w:t>
            </w:r>
            <w:r w:rsidR="00AD42CB">
              <w:rPr>
                <w:rFonts w:ascii="Times New Roman" w:eastAsia="Calibri" w:hAnsi="Times New Roman" w:cs="Times New Roman"/>
                <w:sz w:val="26"/>
                <w:szCs w:val="26"/>
              </w:rPr>
              <w:t>, kas aprēķināti</w:t>
            </w:r>
            <w:r w:rsidR="001704B9">
              <w:rPr>
                <w:rFonts w:ascii="Times New Roman" w:eastAsia="Calibri" w:hAnsi="Times New Roman" w:cs="Times New Roman"/>
                <w:sz w:val="26"/>
                <w:szCs w:val="26"/>
              </w:rPr>
              <w:t xml:space="preserve"> par </w:t>
            </w:r>
            <w:r w:rsidR="003B50F3">
              <w:rPr>
                <w:rFonts w:ascii="Times New Roman" w:eastAsia="Calibri" w:hAnsi="Times New Roman" w:cs="Times New Roman"/>
                <w:sz w:val="26"/>
                <w:szCs w:val="26"/>
              </w:rPr>
              <w:t xml:space="preserve">personas ienākumiem par </w:t>
            </w:r>
            <w:r w:rsidR="001704B9">
              <w:rPr>
                <w:rFonts w:ascii="Times New Roman" w:eastAsia="Calibri" w:hAnsi="Times New Roman" w:cs="Times New Roman"/>
                <w:sz w:val="26"/>
                <w:szCs w:val="26"/>
              </w:rPr>
              <w:t xml:space="preserve">periodu </w:t>
            </w:r>
            <w:r w:rsidR="002C26C4">
              <w:rPr>
                <w:rFonts w:ascii="Times New Roman" w:eastAsia="Calibri" w:hAnsi="Times New Roman" w:cs="Times New Roman"/>
                <w:sz w:val="26"/>
                <w:szCs w:val="26"/>
              </w:rPr>
              <w:t xml:space="preserve">no 2019.gada 3.janvāra </w:t>
            </w:r>
            <w:r w:rsidR="002F4EB5">
              <w:rPr>
                <w:rFonts w:ascii="Times New Roman" w:eastAsia="Calibri" w:hAnsi="Times New Roman" w:cs="Times New Roman"/>
                <w:sz w:val="26"/>
                <w:szCs w:val="26"/>
              </w:rPr>
              <w:t>līdz 2020.gada 31.</w:t>
            </w:r>
            <w:r w:rsidR="001704B9">
              <w:rPr>
                <w:rFonts w:ascii="Times New Roman" w:eastAsia="Calibri" w:hAnsi="Times New Roman" w:cs="Times New Roman"/>
                <w:sz w:val="26"/>
                <w:szCs w:val="26"/>
              </w:rPr>
              <w:t>d</w:t>
            </w:r>
            <w:r w:rsidR="003B50F3">
              <w:rPr>
                <w:rFonts w:ascii="Times New Roman" w:eastAsia="Calibri" w:hAnsi="Times New Roman" w:cs="Times New Roman"/>
                <w:sz w:val="26"/>
                <w:szCs w:val="26"/>
              </w:rPr>
              <w:t>ecembrim, piemēro nodokļa sadales un attiecināšanas (arī pārrēķināšanas) kārtību, kāda tā ir noteikta Solidaritātes nodokļa likumā red</w:t>
            </w:r>
            <w:r w:rsidR="002F4EB5">
              <w:rPr>
                <w:rFonts w:ascii="Times New Roman" w:eastAsia="Calibri" w:hAnsi="Times New Roman" w:cs="Times New Roman"/>
                <w:sz w:val="26"/>
                <w:szCs w:val="26"/>
              </w:rPr>
              <w:t>akcijā, kas ir spēkā līdz 2020.gada 31.</w:t>
            </w:r>
            <w:r w:rsidR="003B50F3">
              <w:rPr>
                <w:rFonts w:ascii="Times New Roman" w:eastAsia="Calibri" w:hAnsi="Times New Roman" w:cs="Times New Roman"/>
                <w:sz w:val="26"/>
                <w:szCs w:val="26"/>
              </w:rPr>
              <w:t xml:space="preserve">decembrim.  </w:t>
            </w:r>
            <w:r w:rsidR="001704B9">
              <w:rPr>
                <w:rFonts w:ascii="Times New Roman" w:eastAsia="Calibri" w:hAnsi="Times New Roman" w:cs="Times New Roman"/>
                <w:sz w:val="26"/>
                <w:szCs w:val="26"/>
              </w:rPr>
              <w:t xml:space="preserve">  </w:t>
            </w:r>
          </w:p>
        </w:tc>
      </w:tr>
      <w:tr w:rsidR="008C64EE" w:rsidRPr="00350383" w:rsidTr="00F67E99">
        <w:tc>
          <w:tcPr>
            <w:tcW w:w="344"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lastRenderedPageBreak/>
              <w:t>3.</w:t>
            </w:r>
          </w:p>
        </w:tc>
        <w:tc>
          <w:tcPr>
            <w:tcW w:w="1295"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38587F">
            <w:pPr>
              <w:spacing w:line="240" w:lineRule="auto"/>
              <w:jc w:val="both"/>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rsidR="00A511BD" w:rsidRPr="003123D0" w:rsidRDefault="001314BD" w:rsidP="00EA08B0">
            <w:pPr>
              <w:pStyle w:val="CommentText"/>
              <w:jc w:val="both"/>
              <w:rPr>
                <w:sz w:val="26"/>
                <w:szCs w:val="26"/>
              </w:rPr>
            </w:pPr>
            <w:r>
              <w:rPr>
                <w:sz w:val="26"/>
                <w:szCs w:val="26"/>
              </w:rPr>
              <w:t xml:space="preserve">Finanšu ministrija, </w:t>
            </w:r>
            <w:r w:rsidR="00467167" w:rsidRPr="00ED6C14">
              <w:rPr>
                <w:sz w:val="26"/>
                <w:szCs w:val="26"/>
              </w:rPr>
              <w:t>Labklājības ministrija</w:t>
            </w:r>
            <w:r w:rsidR="00ED6C14">
              <w:rPr>
                <w:sz w:val="26"/>
                <w:szCs w:val="26"/>
              </w:rPr>
              <w:t>.</w:t>
            </w:r>
          </w:p>
        </w:tc>
      </w:tr>
      <w:tr w:rsidR="008C64EE" w:rsidRPr="00350383" w:rsidTr="00F67E99">
        <w:tc>
          <w:tcPr>
            <w:tcW w:w="344"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4.</w:t>
            </w:r>
          </w:p>
        </w:tc>
        <w:tc>
          <w:tcPr>
            <w:tcW w:w="1295" w:type="pct"/>
            <w:tcBorders>
              <w:top w:val="outset" w:sz="6" w:space="0" w:color="414142"/>
              <w:left w:val="outset" w:sz="6" w:space="0" w:color="414142"/>
              <w:bottom w:val="outset" w:sz="6" w:space="0" w:color="414142"/>
              <w:right w:val="outset" w:sz="6" w:space="0" w:color="414142"/>
            </w:tcBorders>
            <w:hideMark/>
          </w:tcPr>
          <w:p w:rsidR="0038587F" w:rsidRPr="003123D0" w:rsidRDefault="0038587F" w:rsidP="00AF30EA">
            <w:pPr>
              <w:spacing w:line="240" w:lineRule="auto"/>
              <w:rPr>
                <w:rFonts w:ascii="Times New Roman" w:eastAsia="Times New Roman" w:hAnsi="Times New Roman" w:cs="Times New Roman"/>
                <w:sz w:val="26"/>
                <w:szCs w:val="26"/>
                <w:lang w:eastAsia="lv-LV"/>
              </w:rPr>
            </w:pPr>
            <w:r w:rsidRPr="003123D0">
              <w:rPr>
                <w:rFonts w:ascii="Times New Roman" w:eastAsia="Times New Roman" w:hAnsi="Times New Roman" w:cs="Times New Roman"/>
                <w:sz w:val="26"/>
                <w:szCs w:val="26"/>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rsidR="0038587F" w:rsidRPr="003123D0" w:rsidRDefault="00227EB3" w:rsidP="004802F8">
            <w:pPr>
              <w:pStyle w:val="CommentText"/>
              <w:jc w:val="both"/>
              <w:rPr>
                <w:sz w:val="26"/>
                <w:szCs w:val="26"/>
              </w:rPr>
            </w:pPr>
            <w:r w:rsidRPr="003123D0">
              <w:rPr>
                <w:sz w:val="26"/>
                <w:szCs w:val="26"/>
              </w:rPr>
              <w:t>Nav.</w:t>
            </w:r>
          </w:p>
        </w:tc>
      </w:tr>
    </w:tbl>
    <w:p w:rsidR="00543AA6" w:rsidRPr="00126EE2" w:rsidRDefault="00543AA6" w:rsidP="00543AA6">
      <w:pPr>
        <w:spacing w:line="240" w:lineRule="auto"/>
        <w:rPr>
          <w:rFonts w:ascii="Times New Roman" w:eastAsia="Times New Roman" w:hAnsi="Times New Roman" w:cs="Times New Roman"/>
          <w:sz w:val="26"/>
          <w:szCs w:val="26"/>
          <w:lang w:eastAsia="lv-LV"/>
        </w:rPr>
      </w:pPr>
    </w:p>
    <w:tbl>
      <w:tblPr>
        <w:tblpPr w:leftFromText="180" w:rightFromText="180" w:vertAnchor="text" w:tblpY="1"/>
        <w:tblOverlap w:val="never"/>
        <w:tblW w:w="50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1"/>
        <w:gridCol w:w="2346"/>
        <w:gridCol w:w="6094"/>
      </w:tblGrid>
      <w:tr w:rsidR="008C64EE" w:rsidRPr="00350383" w:rsidTr="00227EB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126EE2" w:rsidRDefault="00543AA6" w:rsidP="00227EB3">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126EE2">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C64EE" w:rsidRPr="00350383" w:rsidTr="00227EB3">
        <w:tc>
          <w:tcPr>
            <w:tcW w:w="348" w:type="pct"/>
            <w:tcBorders>
              <w:top w:val="outset" w:sz="6" w:space="0" w:color="414142"/>
              <w:left w:val="outset" w:sz="6" w:space="0" w:color="414142"/>
              <w:bottom w:val="outset" w:sz="6" w:space="0" w:color="414142"/>
              <w:right w:val="outset" w:sz="6" w:space="0" w:color="414142"/>
            </w:tcBorders>
            <w:hideMark/>
          </w:tcPr>
          <w:p w:rsidR="00117DB1" w:rsidRPr="00126EE2" w:rsidRDefault="00117DB1" w:rsidP="00227EB3">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1.</w:t>
            </w:r>
          </w:p>
        </w:tc>
        <w:tc>
          <w:tcPr>
            <w:tcW w:w="1293" w:type="pct"/>
            <w:tcBorders>
              <w:top w:val="outset" w:sz="6" w:space="0" w:color="414142"/>
              <w:left w:val="outset" w:sz="6" w:space="0" w:color="414142"/>
              <w:bottom w:val="outset" w:sz="6" w:space="0" w:color="414142"/>
              <w:right w:val="outset" w:sz="6" w:space="0" w:color="414142"/>
            </w:tcBorders>
            <w:hideMark/>
          </w:tcPr>
          <w:p w:rsidR="00117DB1" w:rsidRPr="00126EE2" w:rsidRDefault="00117DB1"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Sabiedrības mērķgrupas, kuras tiesiskais regulējums ietekmē vai varētu ietekmēt</w:t>
            </w:r>
          </w:p>
        </w:tc>
        <w:tc>
          <w:tcPr>
            <w:tcW w:w="3359" w:type="pct"/>
            <w:tcBorders>
              <w:top w:val="outset" w:sz="6" w:space="0" w:color="414142"/>
              <w:left w:val="outset" w:sz="6" w:space="0" w:color="414142"/>
              <w:bottom w:val="outset" w:sz="6" w:space="0" w:color="414142"/>
              <w:right w:val="outset" w:sz="6" w:space="0" w:color="414142"/>
            </w:tcBorders>
            <w:hideMark/>
          </w:tcPr>
          <w:p w:rsidR="00690263" w:rsidRDefault="00227EB3" w:rsidP="00227EB3">
            <w:pPr>
              <w:spacing w:line="240" w:lineRule="auto"/>
              <w:jc w:val="both"/>
              <w:rPr>
                <w:rFonts w:ascii="Times New Roman" w:hAnsi="Times New Roman" w:cs="Times New Roman"/>
                <w:sz w:val="26"/>
                <w:szCs w:val="26"/>
              </w:rPr>
            </w:pPr>
            <w:r w:rsidRPr="00126EE2">
              <w:rPr>
                <w:rFonts w:ascii="Times New Roman" w:hAnsi="Times New Roman" w:cs="Times New Roman"/>
                <w:sz w:val="26"/>
                <w:szCs w:val="26"/>
              </w:rPr>
              <w:t>Solidaritātes nodokļa maksātāji (darba devēji, darba ņēmēji, iekšzemes darba ņēmēji pie darba devēja – ārvalstnieka, ārvalstu darba ņēmēji pie darba devēja – ārvalstnieka – un pašnodarbinātie)</w:t>
            </w:r>
            <w:r w:rsidR="00ED6C14">
              <w:rPr>
                <w:rFonts w:ascii="Times New Roman" w:hAnsi="Times New Roman" w:cs="Times New Roman"/>
                <w:sz w:val="26"/>
                <w:szCs w:val="26"/>
              </w:rPr>
              <w:t>.</w:t>
            </w:r>
          </w:p>
          <w:p w:rsidR="00C44CAD" w:rsidRPr="00126EE2" w:rsidRDefault="00C44CAD" w:rsidP="00081B32">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Valsts sociālās apdrošināšanas aģentūra</w:t>
            </w:r>
            <w:r w:rsidR="005A2971">
              <w:rPr>
                <w:rFonts w:ascii="Times New Roman" w:eastAsia="Times New Roman" w:hAnsi="Times New Roman" w:cs="Times New Roman"/>
                <w:sz w:val="26"/>
                <w:szCs w:val="26"/>
                <w:lang w:eastAsia="lv-LV"/>
              </w:rPr>
              <w:t xml:space="preserve"> un Valsts ieņēmumu dienests</w:t>
            </w:r>
            <w:r w:rsidR="00ED6C14">
              <w:rPr>
                <w:rFonts w:ascii="Times New Roman" w:eastAsia="Times New Roman" w:hAnsi="Times New Roman" w:cs="Times New Roman"/>
                <w:sz w:val="26"/>
                <w:szCs w:val="26"/>
                <w:lang w:eastAsia="lv-LV"/>
              </w:rPr>
              <w:t>.</w:t>
            </w:r>
          </w:p>
        </w:tc>
      </w:tr>
      <w:tr w:rsidR="008C64EE" w:rsidRPr="00350383" w:rsidTr="00227EB3">
        <w:tc>
          <w:tcPr>
            <w:tcW w:w="348"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2.</w:t>
            </w:r>
          </w:p>
        </w:tc>
        <w:tc>
          <w:tcPr>
            <w:tcW w:w="1293"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 xml:space="preserve">Tiesiskā regulējuma ietekme uz </w:t>
            </w:r>
            <w:r w:rsidRPr="00126EE2">
              <w:rPr>
                <w:rFonts w:ascii="Times New Roman" w:eastAsia="Times New Roman" w:hAnsi="Times New Roman" w:cs="Times New Roman"/>
                <w:sz w:val="26"/>
                <w:szCs w:val="26"/>
                <w:lang w:eastAsia="lv-LV"/>
              </w:rPr>
              <w:lastRenderedPageBreak/>
              <w:t>tautsaimniecību un administratīvo slogu</w:t>
            </w:r>
          </w:p>
        </w:tc>
        <w:tc>
          <w:tcPr>
            <w:tcW w:w="3359" w:type="pct"/>
            <w:tcBorders>
              <w:top w:val="outset" w:sz="6" w:space="0" w:color="414142"/>
              <w:left w:val="outset" w:sz="6" w:space="0" w:color="414142"/>
              <w:bottom w:val="outset" w:sz="6" w:space="0" w:color="414142"/>
              <w:right w:val="outset" w:sz="6" w:space="0" w:color="414142"/>
            </w:tcBorders>
            <w:hideMark/>
          </w:tcPr>
          <w:p w:rsidR="005A2971" w:rsidRPr="00126EE2" w:rsidRDefault="00227EB3" w:rsidP="00CE001F">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lastRenderedPageBreak/>
              <w:t xml:space="preserve">Likumprojekts </w:t>
            </w:r>
            <w:r w:rsidR="00126EE2">
              <w:rPr>
                <w:rFonts w:ascii="Times New Roman" w:eastAsia="Times New Roman" w:hAnsi="Times New Roman" w:cs="Times New Roman"/>
                <w:sz w:val="26"/>
                <w:szCs w:val="26"/>
                <w:lang w:eastAsia="lv-LV"/>
              </w:rPr>
              <w:t>ne</w:t>
            </w:r>
            <w:r w:rsidRPr="00126EE2">
              <w:rPr>
                <w:rFonts w:ascii="Times New Roman" w:eastAsia="Times New Roman" w:hAnsi="Times New Roman" w:cs="Times New Roman"/>
                <w:sz w:val="26"/>
                <w:szCs w:val="26"/>
                <w:lang w:eastAsia="lv-LV"/>
              </w:rPr>
              <w:t xml:space="preserve">paredz mainīt administratīvo izmaksu slogu </w:t>
            </w:r>
            <w:r w:rsidR="00126EE2">
              <w:rPr>
                <w:rFonts w:ascii="Times New Roman" w:eastAsia="Times New Roman" w:hAnsi="Times New Roman" w:cs="Times New Roman"/>
                <w:sz w:val="26"/>
                <w:szCs w:val="26"/>
                <w:lang w:eastAsia="lv-LV"/>
              </w:rPr>
              <w:t>tiem</w:t>
            </w:r>
            <w:r w:rsidRPr="00126EE2">
              <w:rPr>
                <w:rFonts w:ascii="Times New Roman" w:eastAsia="Times New Roman" w:hAnsi="Times New Roman" w:cs="Times New Roman"/>
                <w:sz w:val="26"/>
                <w:szCs w:val="26"/>
                <w:lang w:eastAsia="lv-LV"/>
              </w:rPr>
              <w:t xml:space="preserve"> solidaritātes nodokļa maksātājiem, kuru ienākumam taksācijas periodā tiek piemēr</w:t>
            </w:r>
            <w:r w:rsidR="0050133B">
              <w:rPr>
                <w:rFonts w:ascii="Times New Roman" w:eastAsia="Times New Roman" w:hAnsi="Times New Roman" w:cs="Times New Roman"/>
                <w:sz w:val="26"/>
                <w:szCs w:val="26"/>
                <w:lang w:eastAsia="lv-LV"/>
              </w:rPr>
              <w:t xml:space="preserve">ota solidaritātes </w:t>
            </w:r>
            <w:r w:rsidR="0050133B">
              <w:rPr>
                <w:rFonts w:ascii="Times New Roman" w:eastAsia="Times New Roman" w:hAnsi="Times New Roman" w:cs="Times New Roman"/>
                <w:sz w:val="26"/>
                <w:szCs w:val="26"/>
                <w:lang w:eastAsia="lv-LV"/>
              </w:rPr>
              <w:lastRenderedPageBreak/>
              <w:t>nodokļa likme.</w:t>
            </w:r>
            <w:r w:rsidR="00CE001F">
              <w:rPr>
                <w:rFonts w:ascii="Times New Roman" w:eastAsia="Times New Roman" w:hAnsi="Times New Roman" w:cs="Times New Roman"/>
                <w:sz w:val="26"/>
                <w:szCs w:val="26"/>
                <w:lang w:eastAsia="lv-LV"/>
              </w:rPr>
              <w:t xml:space="preserve"> Ņemot vērā kopējo valsts sociālās apdrošināšanas obligāto iemaksu likmes samazinājumu, kā rezultātā samazinās solidaritātes nodokļa likme, samazināsies nodokļa slogs solidaritātes nodokļa maksātājiem.</w:t>
            </w:r>
          </w:p>
        </w:tc>
      </w:tr>
      <w:tr w:rsidR="008C64EE" w:rsidRPr="00350383" w:rsidTr="00227EB3">
        <w:tc>
          <w:tcPr>
            <w:tcW w:w="348"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lastRenderedPageBreak/>
              <w:t>3.</w:t>
            </w:r>
          </w:p>
        </w:tc>
        <w:tc>
          <w:tcPr>
            <w:tcW w:w="1293"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Administratīvo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rsidR="000E6F2B" w:rsidRPr="007C174B" w:rsidRDefault="00CE001F" w:rsidP="003236D4">
            <w:pPr>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r w:rsidR="008C64EE" w:rsidRPr="00350383" w:rsidTr="00227EB3">
        <w:tc>
          <w:tcPr>
            <w:tcW w:w="348"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4.</w:t>
            </w:r>
          </w:p>
        </w:tc>
        <w:tc>
          <w:tcPr>
            <w:tcW w:w="1293"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Atbilstības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rsidR="000E6F2B" w:rsidRPr="00126EE2" w:rsidRDefault="00EC2A9F" w:rsidP="00227EB3">
            <w:pPr>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Likumprojektā iekļautais normatīvais regulējums nerada atbilstības izmaksas </w:t>
            </w:r>
            <w:r w:rsidR="00A578EF">
              <w:rPr>
                <w:rFonts w:ascii="Times New Roman" w:eastAsia="Times New Roman" w:hAnsi="Times New Roman" w:cs="Times New Roman"/>
                <w:sz w:val="26"/>
                <w:szCs w:val="26"/>
                <w:lang w:eastAsia="lv-LV"/>
              </w:rPr>
              <w:t>fiziskajām un juridiskajām personām.</w:t>
            </w:r>
          </w:p>
        </w:tc>
      </w:tr>
      <w:tr w:rsidR="008C64EE" w:rsidRPr="00350383" w:rsidTr="00227EB3">
        <w:tc>
          <w:tcPr>
            <w:tcW w:w="348"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5.</w:t>
            </w:r>
          </w:p>
        </w:tc>
        <w:tc>
          <w:tcPr>
            <w:tcW w:w="1293" w:type="pct"/>
            <w:tcBorders>
              <w:top w:val="outset" w:sz="6" w:space="0" w:color="414142"/>
              <w:left w:val="outset" w:sz="6" w:space="0" w:color="414142"/>
              <w:bottom w:val="outset" w:sz="6" w:space="0" w:color="414142"/>
              <w:right w:val="outset" w:sz="6" w:space="0" w:color="414142"/>
            </w:tcBorders>
            <w:hideMark/>
          </w:tcPr>
          <w:p w:rsidR="00543AA6" w:rsidRPr="00126EE2" w:rsidRDefault="00543AA6"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rsidR="00543AA6" w:rsidRPr="00126EE2" w:rsidRDefault="008515AE" w:rsidP="00227EB3">
            <w:pPr>
              <w:spacing w:line="240" w:lineRule="auto"/>
              <w:jc w:val="both"/>
              <w:rPr>
                <w:rFonts w:ascii="Times New Roman" w:eastAsia="Times New Roman" w:hAnsi="Times New Roman" w:cs="Times New Roman"/>
                <w:sz w:val="26"/>
                <w:szCs w:val="26"/>
                <w:lang w:eastAsia="lv-LV"/>
              </w:rPr>
            </w:pPr>
            <w:r w:rsidRPr="00126EE2">
              <w:rPr>
                <w:rFonts w:ascii="Times New Roman" w:eastAsia="Times New Roman" w:hAnsi="Times New Roman" w:cs="Times New Roman"/>
                <w:sz w:val="26"/>
                <w:szCs w:val="26"/>
                <w:lang w:eastAsia="lv-LV"/>
              </w:rPr>
              <w:t>Nav.</w:t>
            </w:r>
          </w:p>
        </w:tc>
      </w:tr>
    </w:tbl>
    <w:p w:rsidR="003654C1" w:rsidRDefault="003654C1" w:rsidP="0008421B">
      <w:pPr>
        <w:spacing w:line="240" w:lineRule="auto"/>
        <w:rPr>
          <w:rFonts w:ascii="Times New Roman" w:eastAsia="Times New Roman" w:hAnsi="Times New Roman" w:cs="Times New Roman"/>
          <w:sz w:val="27"/>
          <w:szCs w:val="27"/>
          <w:lang w:eastAsia="lv-LV"/>
        </w:rPr>
      </w:pPr>
    </w:p>
    <w:p w:rsidR="00367A60" w:rsidRPr="00A4738E" w:rsidRDefault="00367A60" w:rsidP="0008421B">
      <w:pPr>
        <w:spacing w:line="240" w:lineRule="auto"/>
        <w:rPr>
          <w:rFonts w:ascii="Times New Roman" w:eastAsia="Times New Roman" w:hAnsi="Times New Roman" w:cs="Times New Roman"/>
          <w:sz w:val="27"/>
          <w:szCs w:val="27"/>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60"/>
        <w:gridCol w:w="1134"/>
        <w:gridCol w:w="992"/>
        <w:gridCol w:w="1134"/>
        <w:gridCol w:w="992"/>
        <w:gridCol w:w="1131"/>
        <w:gridCol w:w="1137"/>
        <w:gridCol w:w="991"/>
      </w:tblGrid>
      <w:tr w:rsidR="00461146" w:rsidRPr="00044F29" w:rsidTr="00676980">
        <w:tc>
          <w:tcPr>
            <w:tcW w:w="9071" w:type="dxa"/>
            <w:gridSpan w:val="8"/>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b/>
                <w:bCs/>
                <w:sz w:val="24"/>
                <w:szCs w:val="27"/>
              </w:rPr>
            </w:pPr>
            <w:r w:rsidRPr="00044F29">
              <w:rPr>
                <w:rFonts w:ascii="Times New Roman" w:hAnsi="Times New Roman" w:cs="Times New Roman"/>
                <w:b/>
                <w:bCs/>
                <w:sz w:val="24"/>
                <w:szCs w:val="27"/>
              </w:rPr>
              <w:t>III. Tiesību akta projekta ietekme uz valsts budžetu un pašvaldību budžetiem</w:t>
            </w:r>
          </w:p>
        </w:tc>
      </w:tr>
      <w:tr w:rsidR="00461146" w:rsidRPr="00044F29" w:rsidTr="00676980">
        <w:tc>
          <w:tcPr>
            <w:tcW w:w="1560" w:type="dxa"/>
            <w:vMerge w:val="restart"/>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rPr>
                <w:rFonts w:ascii="Times New Roman" w:hAnsi="Times New Roman" w:cs="Times New Roman"/>
                <w:sz w:val="24"/>
                <w:szCs w:val="27"/>
              </w:rPr>
            </w:pPr>
            <w:r w:rsidRPr="00044F29">
              <w:rPr>
                <w:rFonts w:ascii="Times New Roman" w:hAnsi="Times New Roman" w:cs="Times New Roman"/>
                <w:sz w:val="24"/>
                <w:szCs w:val="27"/>
              </w:rPr>
              <w:t>Rādītāji</w:t>
            </w:r>
          </w:p>
        </w:tc>
        <w:tc>
          <w:tcPr>
            <w:tcW w:w="2126"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3236D4" w:rsidP="00676980">
            <w:pPr>
              <w:spacing w:line="240" w:lineRule="auto"/>
              <w:ind w:firstLine="300"/>
              <w:jc w:val="center"/>
              <w:rPr>
                <w:rFonts w:ascii="Times New Roman" w:hAnsi="Times New Roman" w:cs="Times New Roman"/>
                <w:sz w:val="24"/>
                <w:szCs w:val="27"/>
              </w:rPr>
            </w:pPr>
            <w:r>
              <w:rPr>
                <w:rFonts w:ascii="Times New Roman" w:hAnsi="Times New Roman" w:cs="Times New Roman"/>
                <w:sz w:val="24"/>
                <w:szCs w:val="27"/>
              </w:rPr>
              <w:t>2020</w:t>
            </w:r>
          </w:p>
        </w:tc>
        <w:tc>
          <w:tcPr>
            <w:tcW w:w="5385" w:type="dxa"/>
            <w:gridSpan w:val="5"/>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Turpmākie trīs gadi (</w:t>
            </w:r>
            <w:r w:rsidRPr="00044F29">
              <w:rPr>
                <w:rFonts w:ascii="Times New Roman" w:hAnsi="Times New Roman" w:cs="Times New Roman"/>
                <w:i/>
                <w:iCs/>
                <w:sz w:val="24"/>
                <w:szCs w:val="27"/>
              </w:rPr>
              <w:t>euro</w:t>
            </w:r>
            <w:r w:rsidRPr="00044F29">
              <w:rPr>
                <w:rFonts w:ascii="Times New Roman" w:hAnsi="Times New Roman" w:cs="Times New Roman"/>
                <w:sz w:val="24"/>
                <w:szCs w:val="27"/>
              </w:rPr>
              <w:t>)</w:t>
            </w:r>
          </w:p>
        </w:tc>
      </w:tr>
      <w:tr w:rsidR="00461146" w:rsidRPr="00044F29" w:rsidTr="00676980">
        <w:tc>
          <w:tcPr>
            <w:tcW w:w="1560" w:type="dxa"/>
            <w:vMerge/>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p>
        </w:tc>
        <w:tc>
          <w:tcPr>
            <w:tcW w:w="2126" w:type="dxa"/>
            <w:gridSpan w:val="2"/>
            <w:vMerge/>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p>
        </w:tc>
        <w:tc>
          <w:tcPr>
            <w:tcW w:w="2126" w:type="dxa"/>
            <w:gridSpan w:val="2"/>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3236D4" w:rsidP="00676980">
            <w:pPr>
              <w:spacing w:line="240" w:lineRule="auto"/>
              <w:ind w:firstLine="300"/>
              <w:jc w:val="center"/>
              <w:rPr>
                <w:rFonts w:ascii="Times New Roman" w:hAnsi="Times New Roman" w:cs="Times New Roman"/>
                <w:sz w:val="24"/>
                <w:szCs w:val="27"/>
              </w:rPr>
            </w:pPr>
            <w:r>
              <w:rPr>
                <w:rFonts w:ascii="Times New Roman" w:hAnsi="Times New Roman" w:cs="Times New Roman"/>
                <w:sz w:val="24"/>
                <w:szCs w:val="27"/>
              </w:rPr>
              <w:t>2021</w:t>
            </w:r>
          </w:p>
        </w:tc>
        <w:tc>
          <w:tcPr>
            <w:tcW w:w="2268" w:type="dxa"/>
            <w:gridSpan w:val="2"/>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3236D4" w:rsidP="00676980">
            <w:pPr>
              <w:spacing w:line="240" w:lineRule="auto"/>
              <w:ind w:firstLine="300"/>
              <w:jc w:val="center"/>
              <w:rPr>
                <w:rFonts w:ascii="Times New Roman" w:hAnsi="Times New Roman" w:cs="Times New Roman"/>
                <w:sz w:val="24"/>
                <w:szCs w:val="27"/>
              </w:rPr>
            </w:pPr>
            <w:r>
              <w:rPr>
                <w:rFonts w:ascii="Times New Roman" w:hAnsi="Times New Roman" w:cs="Times New Roman"/>
                <w:sz w:val="24"/>
                <w:szCs w:val="27"/>
              </w:rPr>
              <w:t>2022</w:t>
            </w:r>
          </w:p>
        </w:tc>
        <w:tc>
          <w:tcPr>
            <w:tcW w:w="991"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3236D4" w:rsidP="00676980">
            <w:pPr>
              <w:spacing w:line="240" w:lineRule="auto"/>
              <w:ind w:firstLine="300"/>
              <w:jc w:val="center"/>
              <w:rPr>
                <w:rFonts w:ascii="Times New Roman" w:hAnsi="Times New Roman" w:cs="Times New Roman"/>
                <w:sz w:val="24"/>
                <w:szCs w:val="27"/>
              </w:rPr>
            </w:pPr>
            <w:r>
              <w:rPr>
                <w:rFonts w:ascii="Times New Roman" w:hAnsi="Times New Roman" w:cs="Times New Roman"/>
                <w:sz w:val="24"/>
                <w:szCs w:val="27"/>
              </w:rPr>
              <w:t>2023</w:t>
            </w:r>
          </w:p>
        </w:tc>
      </w:tr>
      <w:tr w:rsidR="00461146" w:rsidRPr="00044F29" w:rsidTr="00676980">
        <w:tc>
          <w:tcPr>
            <w:tcW w:w="1560" w:type="dxa"/>
            <w:vMerge/>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saskaņā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Izmaiņas kārtējā gadā, salīdzi</w:t>
            </w:r>
            <w:r>
              <w:rPr>
                <w:rFonts w:ascii="Times New Roman" w:hAnsi="Times New Roman" w:cs="Times New Roman"/>
                <w:sz w:val="24"/>
                <w:szCs w:val="27"/>
              </w:rPr>
              <w:t>-</w:t>
            </w:r>
            <w:r w:rsidRPr="00044F29">
              <w:rPr>
                <w:rFonts w:ascii="Times New Roman" w:hAnsi="Times New Roman" w:cs="Times New Roman"/>
                <w:sz w:val="24"/>
                <w:szCs w:val="27"/>
              </w:rPr>
              <w:t>not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saskaņā ar vidēja termiņa budžeta ietvaru</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izmaiņas, salīdzi</w:t>
            </w:r>
            <w:r>
              <w:rPr>
                <w:rFonts w:ascii="Times New Roman" w:hAnsi="Times New Roman" w:cs="Times New Roman"/>
                <w:sz w:val="24"/>
                <w:szCs w:val="27"/>
              </w:rPr>
              <w:t>-</w:t>
            </w:r>
            <w:r w:rsidRPr="00044F29">
              <w:rPr>
                <w:rFonts w:ascii="Times New Roman" w:hAnsi="Times New Roman" w:cs="Times New Roman"/>
                <w:sz w:val="24"/>
                <w:szCs w:val="27"/>
              </w:rPr>
              <w:t>not ar vidē</w:t>
            </w:r>
            <w:r w:rsidR="00757564">
              <w:rPr>
                <w:rFonts w:ascii="Times New Roman" w:hAnsi="Times New Roman" w:cs="Times New Roman"/>
                <w:sz w:val="24"/>
                <w:szCs w:val="27"/>
              </w:rPr>
              <w:t>ja termiņa budžeta ietvaru 20</w:t>
            </w:r>
            <w:r w:rsidR="003236D4">
              <w:rPr>
                <w:rFonts w:ascii="Times New Roman" w:hAnsi="Times New Roman" w:cs="Times New Roman"/>
                <w:sz w:val="24"/>
                <w:szCs w:val="27"/>
              </w:rPr>
              <w:t>2</w:t>
            </w:r>
            <w:r w:rsidR="00CA7162">
              <w:rPr>
                <w:rFonts w:ascii="Times New Roman" w:hAnsi="Times New Roman" w:cs="Times New Roman"/>
                <w:sz w:val="24"/>
                <w:szCs w:val="27"/>
              </w:rPr>
              <w:t>1</w:t>
            </w:r>
            <w:r w:rsidR="003236D4">
              <w:rPr>
                <w:rFonts w:ascii="Times New Roman" w:hAnsi="Times New Roman" w:cs="Times New Roman"/>
                <w:sz w:val="24"/>
                <w:szCs w:val="27"/>
              </w:rPr>
              <w:t>.</w:t>
            </w:r>
            <w:r w:rsidRPr="00044F29">
              <w:rPr>
                <w:rFonts w:ascii="Times New Roman" w:hAnsi="Times New Roman" w:cs="Times New Roman"/>
                <w:sz w:val="24"/>
                <w:szCs w:val="27"/>
              </w:rPr>
              <w:t>gadam</w:t>
            </w:r>
          </w:p>
        </w:tc>
        <w:tc>
          <w:tcPr>
            <w:tcW w:w="1131"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saskaņā ar vidēja termiņa budžeta ietvaru</w:t>
            </w:r>
          </w:p>
        </w:tc>
        <w:tc>
          <w:tcPr>
            <w:tcW w:w="1137"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izmaiņas, salīdzinot ar vid</w:t>
            </w:r>
            <w:r w:rsidR="003236D4">
              <w:rPr>
                <w:rFonts w:ascii="Times New Roman" w:hAnsi="Times New Roman" w:cs="Times New Roman"/>
                <w:sz w:val="24"/>
                <w:szCs w:val="27"/>
              </w:rPr>
              <w:t>ēja termiņa budžeta ietvaru 202</w:t>
            </w:r>
            <w:r w:rsidR="00CA7162">
              <w:rPr>
                <w:rFonts w:ascii="Times New Roman" w:hAnsi="Times New Roman" w:cs="Times New Roman"/>
                <w:sz w:val="24"/>
                <w:szCs w:val="27"/>
              </w:rPr>
              <w:t>2</w:t>
            </w:r>
            <w:r w:rsidR="003236D4">
              <w:rPr>
                <w:rFonts w:ascii="Times New Roman" w:hAnsi="Times New Roman" w:cs="Times New Roman"/>
                <w:sz w:val="24"/>
                <w:szCs w:val="27"/>
              </w:rPr>
              <w:t>.</w:t>
            </w:r>
            <w:r w:rsidRPr="00044F29">
              <w:rPr>
                <w:rFonts w:ascii="Times New Roman" w:hAnsi="Times New Roman" w:cs="Times New Roman"/>
                <w:sz w:val="24"/>
                <w:szCs w:val="27"/>
              </w:rPr>
              <w:t xml:space="preserve"> gadam</w:t>
            </w:r>
          </w:p>
        </w:tc>
        <w:tc>
          <w:tcPr>
            <w:tcW w:w="991"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Izmaiņas, salīdzi</w:t>
            </w:r>
            <w:r>
              <w:rPr>
                <w:rFonts w:ascii="Times New Roman" w:hAnsi="Times New Roman" w:cs="Times New Roman"/>
                <w:sz w:val="24"/>
                <w:szCs w:val="27"/>
              </w:rPr>
              <w:t>-</w:t>
            </w:r>
            <w:r w:rsidR="003236D4">
              <w:rPr>
                <w:rFonts w:ascii="Times New Roman" w:hAnsi="Times New Roman" w:cs="Times New Roman"/>
                <w:sz w:val="24"/>
                <w:szCs w:val="27"/>
              </w:rPr>
              <w:t>not ar plānoto 2022.</w:t>
            </w:r>
            <w:r w:rsidRPr="00044F29">
              <w:rPr>
                <w:rFonts w:ascii="Times New Roman" w:hAnsi="Times New Roman" w:cs="Times New Roman"/>
                <w:sz w:val="24"/>
                <w:szCs w:val="27"/>
              </w:rPr>
              <w:t xml:space="preserve"> gadam</w:t>
            </w:r>
          </w:p>
        </w:tc>
      </w:tr>
      <w:tr w:rsidR="00461146" w:rsidRPr="00044F29" w:rsidTr="00676980">
        <w:tc>
          <w:tcPr>
            <w:tcW w:w="1560"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2</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3</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4</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5</w:t>
            </w:r>
          </w:p>
        </w:tc>
        <w:tc>
          <w:tcPr>
            <w:tcW w:w="1131"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6</w:t>
            </w:r>
          </w:p>
        </w:tc>
        <w:tc>
          <w:tcPr>
            <w:tcW w:w="1137"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7</w:t>
            </w:r>
          </w:p>
        </w:tc>
        <w:tc>
          <w:tcPr>
            <w:tcW w:w="991" w:type="dxa"/>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ind w:firstLine="300"/>
              <w:jc w:val="center"/>
              <w:rPr>
                <w:rFonts w:ascii="Times New Roman" w:hAnsi="Times New Roman" w:cs="Times New Roman"/>
                <w:sz w:val="24"/>
                <w:szCs w:val="27"/>
              </w:rPr>
            </w:pPr>
            <w:r w:rsidRPr="00044F29">
              <w:rPr>
                <w:rFonts w:ascii="Times New Roman" w:hAnsi="Times New Roman" w:cs="Times New Roman"/>
                <w:sz w:val="24"/>
                <w:szCs w:val="27"/>
              </w:rPr>
              <w:t>8</w:t>
            </w: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1. Budžeta ieņēmumi</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5A7790" w:rsidRDefault="00461146" w:rsidP="00676980">
            <w:pPr>
              <w:jc w:val="center"/>
              <w:rPr>
                <w:rFonts w:ascii="Times New Roman" w:hAnsi="Times New Roman" w:cs="Times New Roman"/>
                <w:bCs/>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Pr>
                <w:rFonts w:ascii="Times New Roman" w:hAnsi="Times New Roman" w:cs="Times New Roman"/>
                <w:sz w:val="24"/>
                <w:szCs w:val="27"/>
              </w:rPr>
              <w:t>1.1. valsts pamatbu</w:t>
            </w:r>
            <w:r w:rsidRPr="00044F29">
              <w:rPr>
                <w:rFonts w:ascii="Times New Roman" w:hAnsi="Times New Roman" w:cs="Times New Roman"/>
                <w:sz w:val="24"/>
                <w:szCs w:val="27"/>
              </w:rPr>
              <w:t>džets, tai skai</w:t>
            </w:r>
            <w:r>
              <w:rPr>
                <w:rFonts w:ascii="Times New Roman" w:hAnsi="Times New Roman" w:cs="Times New Roman"/>
                <w:sz w:val="24"/>
                <w:szCs w:val="27"/>
              </w:rPr>
              <w:t>tā ieņēmumi no maksas pakalpoju</w:t>
            </w:r>
            <w:r w:rsidRPr="00044F29">
              <w:rPr>
                <w:rFonts w:ascii="Times New Roman" w:hAnsi="Times New Roman" w:cs="Times New Roman"/>
                <w:sz w:val="24"/>
                <w:szCs w:val="27"/>
              </w:rPr>
              <w:t>miem un citi pašu ieņēmumi</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1.2.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5A7790" w:rsidRDefault="00461146" w:rsidP="00676980">
            <w:pPr>
              <w:spacing w:line="240" w:lineRule="auto"/>
              <w:jc w:val="center"/>
              <w:rPr>
                <w:rFonts w:ascii="Times New Roman" w:hAnsi="Times New Roman" w:cs="Times New Roman"/>
                <w:bCs/>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tcPr>
          <w:p w:rsidR="00461146" w:rsidRPr="00044F29" w:rsidRDefault="00461146" w:rsidP="00676980">
            <w:pPr>
              <w:spacing w:line="240" w:lineRule="auto"/>
              <w:rPr>
                <w:rFonts w:ascii="Times New Roman" w:hAnsi="Times New Roman" w:cs="Times New Roman"/>
                <w:sz w:val="24"/>
                <w:szCs w:val="27"/>
              </w:rPr>
            </w:pPr>
            <w:r>
              <w:rPr>
                <w:rFonts w:ascii="Times New Roman" w:hAnsi="Times New Roman" w:cs="Times New Roman"/>
                <w:sz w:val="24"/>
                <w:szCs w:val="27"/>
              </w:rPr>
              <w:t>tai skaitā: ieņēmumi no sociālās apdrošināšanas iemaksām</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1.3.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lastRenderedPageBreak/>
              <w:t>2. Budžeta izdevumi</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5A7790" w:rsidRDefault="00461146" w:rsidP="00676980">
            <w:pPr>
              <w:jc w:val="center"/>
              <w:rPr>
                <w:rFonts w:ascii="Times New Roman" w:hAnsi="Times New Roman" w:cs="Times New Roman"/>
                <w:bCs/>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Pr>
                <w:rFonts w:ascii="Times New Roman" w:hAnsi="Times New Roman" w:cs="Times New Roman"/>
                <w:sz w:val="24"/>
                <w:szCs w:val="27"/>
              </w:rPr>
              <w:t>2.1. valsts pamatbu</w:t>
            </w:r>
            <w:r w:rsidRPr="00044F29">
              <w:rPr>
                <w:rFonts w:ascii="Times New Roman" w:hAnsi="Times New Roman" w:cs="Times New Roman"/>
                <w:sz w:val="24"/>
                <w:szCs w:val="27"/>
              </w:rPr>
              <w:t>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2.2.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5A7790" w:rsidRDefault="00461146" w:rsidP="00676980">
            <w:pPr>
              <w:jc w:val="center"/>
              <w:rPr>
                <w:rFonts w:ascii="Times New Roman" w:hAnsi="Times New Roman" w:cs="Times New Roman"/>
                <w:bCs/>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2.3.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3. Finansiālā ietekme</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Pr>
                <w:rFonts w:ascii="Times New Roman" w:hAnsi="Times New Roman" w:cs="Times New Roman"/>
                <w:sz w:val="24"/>
                <w:szCs w:val="27"/>
              </w:rPr>
              <w:t>3.1. valsts pamatbu</w:t>
            </w:r>
            <w:r w:rsidRPr="00044F29">
              <w:rPr>
                <w:rFonts w:ascii="Times New Roman" w:hAnsi="Times New Roman" w:cs="Times New Roman"/>
                <w:sz w:val="24"/>
                <w:szCs w:val="27"/>
              </w:rPr>
              <w:t>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3.2.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3.3.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937311"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4. Finanšu līdzekļi papildu izdevumu finansēšanai (ko</w:t>
            </w:r>
            <w:r>
              <w:rPr>
                <w:rFonts w:ascii="Times New Roman" w:hAnsi="Times New Roman" w:cs="Times New Roman"/>
                <w:sz w:val="24"/>
                <w:szCs w:val="27"/>
              </w:rPr>
              <w:t>mpensējošu izdevumu samazināju</w:t>
            </w:r>
            <w:r w:rsidRPr="00044F29">
              <w:rPr>
                <w:rFonts w:ascii="Times New Roman" w:hAnsi="Times New Roman" w:cs="Times New Roman"/>
                <w:sz w:val="24"/>
                <w:szCs w:val="27"/>
              </w:rPr>
              <w:t>mu norāda ar "+" zīmi)</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4" w:type="dxa"/>
            <w:vMerge w:val="restart"/>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1" w:type="dxa"/>
            <w:vMerge w:val="restart"/>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Pr>
                <w:rFonts w:ascii="Times New Roman" w:hAnsi="Times New Roman" w:cs="Times New Roman"/>
                <w:sz w:val="24"/>
                <w:szCs w:val="27"/>
              </w:rPr>
              <w:t>5.1. valsts pamatbu</w:t>
            </w:r>
            <w:r w:rsidRPr="00044F29">
              <w:rPr>
                <w:rFonts w:ascii="Times New Roman" w:hAnsi="Times New Roman" w:cs="Times New Roman"/>
                <w:sz w:val="24"/>
                <w:szCs w:val="27"/>
              </w:rPr>
              <w:t>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1"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r>
      <w:tr w:rsidR="00461146" w:rsidRPr="00937311"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5.2. speciālais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1"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r>
      <w:tr w:rsidR="00461146" w:rsidRPr="00937311" w:rsidTr="003236D4">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2"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1" w:type="dxa"/>
            <w:vMerge/>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1137"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c>
          <w:tcPr>
            <w:tcW w:w="991" w:type="dxa"/>
            <w:tcBorders>
              <w:top w:val="outset" w:sz="6" w:space="0" w:color="414142"/>
              <w:left w:val="outset" w:sz="6" w:space="0" w:color="414142"/>
              <w:bottom w:val="outset" w:sz="6" w:space="0" w:color="414142"/>
              <w:right w:val="outset" w:sz="6" w:space="0" w:color="414142"/>
            </w:tcBorders>
            <w:vAlign w:val="center"/>
          </w:tcPr>
          <w:p w:rsidR="00461146" w:rsidRPr="00F85CA4" w:rsidRDefault="00461146" w:rsidP="00676980">
            <w:pPr>
              <w:spacing w:line="240" w:lineRule="auto"/>
              <w:jc w:val="center"/>
              <w:rPr>
                <w:rFonts w:ascii="Times New Roman" w:hAnsi="Times New Roman" w:cs="Times New Roman"/>
                <w:sz w:val="18"/>
                <w:szCs w:val="18"/>
              </w:rPr>
            </w:pPr>
          </w:p>
        </w:tc>
      </w:tr>
      <w:tr w:rsidR="00461146" w:rsidRPr="005A7790" w:rsidTr="00A04A7A">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6. Detalizēts ieņēmumu un</w:t>
            </w:r>
            <w:r>
              <w:rPr>
                <w:rFonts w:ascii="Times New Roman" w:hAnsi="Times New Roman" w:cs="Times New Roman"/>
                <w:sz w:val="24"/>
                <w:szCs w:val="27"/>
              </w:rPr>
              <w:t xml:space="preserve"> izdevumu aprēķins (ja nepiecie</w:t>
            </w:r>
            <w:r w:rsidRPr="00044F29">
              <w:rPr>
                <w:rFonts w:ascii="Times New Roman" w:hAnsi="Times New Roman" w:cs="Times New Roman"/>
                <w:sz w:val="24"/>
                <w:szCs w:val="27"/>
              </w:rPr>
              <w:t>šams, detalizētu ieņēmumu un izdevumu aprēķinu var pievienot anotācijas pielikumā)</w:t>
            </w:r>
          </w:p>
        </w:tc>
        <w:tc>
          <w:tcPr>
            <w:tcW w:w="7511" w:type="dxa"/>
            <w:gridSpan w:val="7"/>
            <w:vMerge w:val="restart"/>
            <w:tcBorders>
              <w:top w:val="outset" w:sz="6" w:space="0" w:color="414142"/>
              <w:left w:val="outset" w:sz="6" w:space="0" w:color="414142"/>
              <w:bottom w:val="outset" w:sz="6" w:space="0" w:color="414142"/>
              <w:right w:val="outset" w:sz="6" w:space="0" w:color="414142"/>
            </w:tcBorders>
            <w:vAlign w:val="center"/>
          </w:tcPr>
          <w:p w:rsidR="00CA7162" w:rsidRPr="005B0DB2" w:rsidRDefault="00CA7162" w:rsidP="00CA7162">
            <w:pPr>
              <w:spacing w:after="120"/>
              <w:jc w:val="both"/>
              <w:rPr>
                <w:rFonts w:ascii="Times New Roman" w:eastAsia="Times New Roman" w:hAnsi="Times New Roman" w:cs="Times New Roman"/>
                <w:szCs w:val="24"/>
              </w:rPr>
            </w:pPr>
            <w:r w:rsidRPr="005B0DB2">
              <w:rPr>
                <w:rFonts w:ascii="Times New Roman" w:eastAsia="Times New Roman" w:hAnsi="Times New Roman" w:cs="Times New Roman"/>
                <w:bCs/>
              </w:rPr>
              <w:t xml:space="preserve">2019.gadā nodarbināto skaits, kas bija sasnieguši 2019.gada valsts sociālo </w:t>
            </w:r>
            <w:r>
              <w:rPr>
                <w:rFonts w:ascii="Times New Roman" w:eastAsia="Times New Roman" w:hAnsi="Times New Roman" w:cs="Times New Roman"/>
                <w:bCs/>
              </w:rPr>
              <w:t>apdro</w:t>
            </w:r>
            <w:r w:rsidRPr="005B0DB2">
              <w:rPr>
                <w:rFonts w:ascii="Times New Roman" w:eastAsia="Times New Roman" w:hAnsi="Times New Roman" w:cs="Times New Roman"/>
                <w:bCs/>
              </w:rPr>
              <w:t>šināšanas obligāto iemaksu (turpmāk – VSAOI) maksimālo apmēru (62 800 </w:t>
            </w:r>
            <w:r w:rsidRPr="005B0DB2">
              <w:rPr>
                <w:rFonts w:ascii="Times New Roman" w:eastAsia="Times New Roman" w:hAnsi="Times New Roman" w:cs="Times New Roman"/>
                <w:bCs/>
                <w:i/>
              </w:rPr>
              <w:t>euro</w:t>
            </w:r>
            <w:r w:rsidRPr="005B0DB2">
              <w:rPr>
                <w:rFonts w:ascii="Times New Roman" w:eastAsia="Times New Roman" w:hAnsi="Times New Roman" w:cs="Times New Roman"/>
                <w:bCs/>
              </w:rPr>
              <w:t xml:space="preserve">) un </w:t>
            </w:r>
            <w:r w:rsidRPr="005B0DB2">
              <w:rPr>
                <w:rFonts w:ascii="Times New Roman" w:eastAsia="Times New Roman" w:hAnsi="Times New Roman" w:cs="Times New Roman"/>
                <w:b/>
                <w:bCs/>
              </w:rPr>
              <w:t>kas iesnieguši tikai darba devēju ziņojumus</w:t>
            </w:r>
            <w:r w:rsidRPr="005B0DB2">
              <w:rPr>
                <w:rFonts w:ascii="Times New Roman" w:eastAsia="Times New Roman" w:hAnsi="Times New Roman" w:cs="Times New Roman"/>
                <w:bCs/>
              </w:rPr>
              <w:t xml:space="preserve"> bija 5 117</w:t>
            </w:r>
            <w:r>
              <w:rPr>
                <w:rFonts w:ascii="Times New Roman" w:eastAsia="Times New Roman" w:hAnsi="Times New Roman" w:cs="Times New Roman"/>
                <w:bCs/>
              </w:rPr>
              <w:t>, kas bija</w:t>
            </w:r>
            <w:r w:rsidRPr="005B0DB2">
              <w:rPr>
                <w:rFonts w:ascii="Times New Roman" w:eastAsia="Times New Roman" w:hAnsi="Times New Roman" w:cs="Times New Roman"/>
                <w:bCs/>
              </w:rPr>
              <w:t xml:space="preserve"> par 23,2% vairāk nekā </w:t>
            </w:r>
            <w:r w:rsidRPr="00852C7A">
              <w:rPr>
                <w:rFonts w:ascii="Times New Roman" w:eastAsia="Times New Roman" w:hAnsi="Times New Roman" w:cs="Times New Roman"/>
                <w:bCs/>
              </w:rPr>
              <w:t>pērn</w:t>
            </w:r>
            <w:r w:rsidR="00852C7A">
              <w:rPr>
                <w:rFonts w:ascii="Times New Roman" w:eastAsia="Times New Roman" w:hAnsi="Times New Roman" w:cs="Times New Roman"/>
                <w:bCs/>
              </w:rPr>
              <w:t xml:space="preserve"> </w:t>
            </w:r>
            <w:r w:rsidRPr="00852C7A">
              <w:rPr>
                <w:rFonts w:ascii="Times New Roman" w:eastAsia="Times New Roman" w:hAnsi="Times New Roman" w:cs="Times New Roman"/>
                <w:bCs/>
              </w:rPr>
              <w:t>attiecīgajā</w:t>
            </w:r>
            <w:r w:rsidRPr="005B0DB2">
              <w:rPr>
                <w:rFonts w:ascii="Times New Roman" w:eastAsia="Times New Roman" w:hAnsi="Times New Roman" w:cs="Times New Roman"/>
                <w:bCs/>
              </w:rPr>
              <w:t xml:space="preserve"> periodā </w:t>
            </w:r>
            <w:r w:rsidRPr="005B0DB2">
              <w:rPr>
                <w:rFonts w:ascii="Times New Roman" w:eastAsia="Times New Roman" w:hAnsi="Times New Roman" w:cs="Times New Roman"/>
                <w:szCs w:val="24"/>
              </w:rPr>
              <w:t>pie 2019.gadā noteiktā VSAOI maksimālā apmēra</w:t>
            </w:r>
            <w:r w:rsidRPr="005B0DB2">
              <w:rPr>
                <w:rFonts w:ascii="Times New Roman" w:eastAsia="Times New Roman" w:hAnsi="Times New Roman" w:cs="Times New Roman"/>
                <w:bCs/>
              </w:rPr>
              <w:t>. Šo personu kopējie ienākumi, kas sasnieguši VSAOI maksimālo apmēru 2019.gadā, salīdzinot ar attiecīgo periodu p</w:t>
            </w:r>
            <w:r>
              <w:rPr>
                <w:rFonts w:ascii="Times New Roman" w:eastAsia="Times New Roman" w:hAnsi="Times New Roman" w:cs="Times New Roman"/>
                <w:bCs/>
              </w:rPr>
              <w:t>ērn, bija</w:t>
            </w:r>
            <w:r w:rsidRPr="005B0DB2">
              <w:rPr>
                <w:rFonts w:ascii="Times New Roman" w:eastAsia="Times New Roman" w:hAnsi="Times New Roman" w:cs="Times New Roman"/>
                <w:bCs/>
              </w:rPr>
              <w:t xml:space="preserve"> palielinājušies par 20,9</w:t>
            </w:r>
            <w:r>
              <w:rPr>
                <w:rFonts w:ascii="Times New Roman" w:eastAsia="Times New Roman" w:hAnsi="Times New Roman" w:cs="Times New Roman"/>
                <w:bCs/>
              </w:rPr>
              <w:t xml:space="preserve">%. 2020.gada 1.pusgadā iepriekš minēto </w:t>
            </w:r>
            <w:r w:rsidRPr="005B0DB2">
              <w:rPr>
                <w:rFonts w:ascii="Times New Roman" w:eastAsia="Times New Roman" w:hAnsi="Times New Roman" w:cs="Times New Roman"/>
                <w:bCs/>
              </w:rPr>
              <w:t>nodarbināto skaits</w:t>
            </w:r>
            <w:r>
              <w:rPr>
                <w:rFonts w:ascii="Times New Roman" w:eastAsia="Times New Roman" w:hAnsi="Times New Roman" w:cs="Times New Roman"/>
                <w:bCs/>
              </w:rPr>
              <w:t xml:space="preserve"> bija par 7,1% vairāk un  šo </w:t>
            </w:r>
            <w:r w:rsidRPr="005B0DB2">
              <w:rPr>
                <w:rFonts w:ascii="Times New Roman" w:eastAsia="Times New Roman" w:hAnsi="Times New Roman" w:cs="Times New Roman"/>
                <w:bCs/>
              </w:rPr>
              <w:t>personu kopējie ienākumi</w:t>
            </w:r>
            <w:r>
              <w:rPr>
                <w:rFonts w:ascii="Times New Roman" w:eastAsia="Times New Roman" w:hAnsi="Times New Roman" w:cs="Times New Roman"/>
                <w:bCs/>
              </w:rPr>
              <w:t xml:space="preserve"> bija par 10,9% vairāk nekā 2019.gada 1.pusgadā (dati uz 16.09.2020.).</w:t>
            </w:r>
          </w:p>
          <w:p w:rsidR="00CA7162" w:rsidRDefault="00CA7162" w:rsidP="00CA7162">
            <w:pPr>
              <w:spacing w:line="240" w:lineRule="auto"/>
              <w:jc w:val="both"/>
              <w:rPr>
                <w:rFonts w:ascii="Times New Roman" w:eastAsia="Times New Roman" w:hAnsi="Times New Roman" w:cs="Times New Roman"/>
                <w:bCs/>
              </w:rPr>
            </w:pPr>
            <w:r w:rsidRPr="001E6ED8">
              <w:rPr>
                <w:rFonts w:ascii="Times New Roman" w:eastAsia="Times New Roman" w:hAnsi="Times New Roman" w:cs="Times New Roman"/>
                <w:bCs/>
              </w:rPr>
              <w:t xml:space="preserve">2020.gada 2.septembrī Ministru kabinets izskatīja informatīvo  ziņojumu "Par nodokļu politikas attīstības virzieniem, valsts sociālās ilgtspējas un ekonomikas </w:t>
            </w:r>
            <w:r w:rsidRPr="001E6ED8">
              <w:rPr>
                <w:rFonts w:ascii="Times New Roman" w:eastAsia="Times New Roman" w:hAnsi="Times New Roman" w:cs="Times New Roman"/>
                <w:bCs/>
              </w:rPr>
              <w:lastRenderedPageBreak/>
              <w:t xml:space="preserve">konkurētspējas veicināšanai", kurā </w:t>
            </w:r>
            <w:r>
              <w:rPr>
                <w:rFonts w:ascii="Times New Roman" w:eastAsia="Times New Roman" w:hAnsi="Times New Roman" w:cs="Times New Roman"/>
                <w:bCs/>
              </w:rPr>
              <w:t xml:space="preserve">bija ietverts pasākums </w:t>
            </w:r>
            <w:r w:rsidRPr="005B0DB2">
              <w:rPr>
                <w:rFonts w:ascii="Times New Roman" w:eastAsia="Times New Roman" w:hAnsi="Times New Roman" w:cs="Times New Roman"/>
                <w:bCs/>
              </w:rPr>
              <w:t>VSAOI</w:t>
            </w:r>
            <w:r>
              <w:rPr>
                <w:rFonts w:ascii="Times New Roman" w:eastAsia="Times New Roman" w:hAnsi="Times New Roman" w:cs="Times New Roman"/>
                <w:bCs/>
              </w:rPr>
              <w:t xml:space="preserve"> likmes samazināšana par 1 procentpunktu, ieskaitot solidaritātes nodokļa likmes samazināšanu. Pasākuma kopējā fiskālā ietekme 2021.gadā un turpmāk ik gadu būs - 75,6 milj. </w:t>
            </w:r>
            <w:r w:rsidRPr="001E6ED8">
              <w:rPr>
                <w:rFonts w:ascii="Times New Roman" w:eastAsia="Times New Roman" w:hAnsi="Times New Roman" w:cs="Times New Roman"/>
                <w:bCs/>
                <w:i/>
              </w:rPr>
              <w:t>euro</w:t>
            </w:r>
            <w:r>
              <w:rPr>
                <w:rFonts w:ascii="Times New Roman" w:eastAsia="Times New Roman" w:hAnsi="Times New Roman" w:cs="Times New Roman"/>
                <w:bCs/>
              </w:rPr>
              <w:t>.</w:t>
            </w:r>
          </w:p>
          <w:tbl>
            <w:tblPr>
              <w:tblW w:w="6520" w:type="dxa"/>
              <w:tblInd w:w="390" w:type="dxa"/>
              <w:tblLayout w:type="fixed"/>
              <w:tblLook w:val="04A0" w:firstRow="1" w:lastRow="0" w:firstColumn="1" w:lastColumn="0" w:noHBand="0" w:noVBand="1"/>
            </w:tblPr>
            <w:tblGrid>
              <w:gridCol w:w="3685"/>
              <w:gridCol w:w="851"/>
              <w:gridCol w:w="992"/>
              <w:gridCol w:w="992"/>
            </w:tblGrid>
            <w:tr w:rsidR="00CA7162" w:rsidRPr="00A32BDC" w:rsidTr="00C479F6">
              <w:trPr>
                <w:trHeight w:val="26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162" w:rsidRPr="007810DF" w:rsidRDefault="00CA7162" w:rsidP="00CA7162">
                  <w:pPr>
                    <w:spacing w:line="240" w:lineRule="auto"/>
                    <w:contextualSpacing/>
                    <w:rPr>
                      <w:rFonts w:ascii="Times New Roman" w:eastAsia="Times New Roman" w:hAnsi="Times New Roman" w:cs="Times New Roman"/>
                      <w:i/>
                      <w:iCs/>
                      <w:color w:val="000000"/>
                      <w:sz w:val="20"/>
                      <w:szCs w:val="24"/>
                      <w:lang w:eastAsia="lv-LV"/>
                    </w:rPr>
                  </w:pPr>
                  <w:r w:rsidRPr="007810DF">
                    <w:rPr>
                      <w:rFonts w:ascii="Times New Roman" w:eastAsia="Times New Roman" w:hAnsi="Times New Roman" w:cs="Times New Roman"/>
                      <w:i/>
                      <w:iCs/>
                      <w:color w:val="000000"/>
                      <w:sz w:val="20"/>
                      <w:szCs w:val="24"/>
                      <w:lang w:eastAsia="lv-LV"/>
                    </w:rPr>
                    <w:t>milj. euro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A7162" w:rsidRPr="007810DF" w:rsidRDefault="00CA7162" w:rsidP="00CA7162">
                  <w:pPr>
                    <w:spacing w:line="240" w:lineRule="auto"/>
                    <w:contextualSpacing/>
                    <w:jc w:val="center"/>
                    <w:rPr>
                      <w:rFonts w:ascii="Times New Roman" w:eastAsia="Times New Roman" w:hAnsi="Times New Roman" w:cs="Times New Roman"/>
                      <w:b/>
                      <w:bCs/>
                      <w:sz w:val="20"/>
                      <w:szCs w:val="24"/>
                      <w:lang w:eastAsia="lv-LV"/>
                    </w:rPr>
                  </w:pPr>
                  <w:r w:rsidRPr="007810DF">
                    <w:rPr>
                      <w:rFonts w:ascii="Times New Roman" w:eastAsia="Times New Roman" w:hAnsi="Times New Roman" w:cs="Times New Roman"/>
                      <w:b/>
                      <w:bCs/>
                      <w:sz w:val="20"/>
                      <w:szCs w:val="24"/>
                      <w:lang w:eastAsia="lv-LV"/>
                    </w:rPr>
                    <w:t>2021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A7162" w:rsidRPr="007810DF" w:rsidRDefault="00CA7162" w:rsidP="00CA7162">
                  <w:pPr>
                    <w:spacing w:line="240" w:lineRule="auto"/>
                    <w:contextualSpacing/>
                    <w:jc w:val="center"/>
                    <w:rPr>
                      <w:rFonts w:ascii="Times New Roman" w:eastAsia="Times New Roman" w:hAnsi="Times New Roman" w:cs="Times New Roman"/>
                      <w:b/>
                      <w:bCs/>
                      <w:sz w:val="20"/>
                      <w:szCs w:val="24"/>
                      <w:lang w:eastAsia="lv-LV"/>
                    </w:rPr>
                  </w:pPr>
                  <w:r w:rsidRPr="007810DF">
                    <w:rPr>
                      <w:rFonts w:ascii="Times New Roman" w:eastAsia="Times New Roman" w:hAnsi="Times New Roman" w:cs="Times New Roman"/>
                      <w:b/>
                      <w:bCs/>
                      <w:sz w:val="20"/>
                      <w:szCs w:val="24"/>
                      <w:lang w:eastAsia="lv-LV"/>
                    </w:rPr>
                    <w:t>2022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A7162" w:rsidRPr="007810DF" w:rsidRDefault="00CA7162" w:rsidP="00CA7162">
                  <w:pPr>
                    <w:spacing w:line="240" w:lineRule="auto"/>
                    <w:contextualSpacing/>
                    <w:jc w:val="center"/>
                    <w:rPr>
                      <w:rFonts w:ascii="Times New Roman" w:eastAsia="Times New Roman" w:hAnsi="Times New Roman" w:cs="Times New Roman"/>
                      <w:b/>
                      <w:bCs/>
                      <w:sz w:val="20"/>
                      <w:szCs w:val="24"/>
                      <w:lang w:eastAsia="lv-LV"/>
                    </w:rPr>
                  </w:pPr>
                  <w:r w:rsidRPr="007810DF">
                    <w:rPr>
                      <w:rFonts w:ascii="Times New Roman" w:eastAsia="Times New Roman" w:hAnsi="Times New Roman" w:cs="Times New Roman"/>
                      <w:b/>
                      <w:bCs/>
                      <w:sz w:val="20"/>
                      <w:szCs w:val="24"/>
                      <w:lang w:eastAsia="lv-LV"/>
                    </w:rPr>
                    <w:t>2023</w:t>
                  </w:r>
                </w:p>
              </w:tc>
            </w:tr>
            <w:tr w:rsidR="00CA7162" w:rsidRPr="00A32BDC" w:rsidTr="00C479F6">
              <w:trPr>
                <w:trHeight w:val="265"/>
              </w:trPr>
              <w:tc>
                <w:tcPr>
                  <w:tcW w:w="3685" w:type="dxa"/>
                  <w:tcBorders>
                    <w:top w:val="nil"/>
                    <w:left w:val="single" w:sz="4" w:space="0" w:color="auto"/>
                    <w:bottom w:val="single" w:sz="4" w:space="0" w:color="auto"/>
                    <w:right w:val="single" w:sz="4" w:space="0" w:color="auto"/>
                  </w:tcBorders>
                  <w:shd w:val="clear" w:color="auto" w:fill="auto"/>
                  <w:noWrap/>
                  <w:vAlign w:val="bottom"/>
                </w:tcPr>
                <w:p w:rsidR="00CA7162" w:rsidRPr="007810DF" w:rsidRDefault="00CA7162" w:rsidP="00CA7162">
                  <w:pPr>
                    <w:spacing w:line="240" w:lineRule="auto"/>
                    <w:contextualSpacing/>
                    <w:rPr>
                      <w:rFonts w:ascii="Times New Roman" w:eastAsia="Times New Roman" w:hAnsi="Times New Roman" w:cs="Times New Roman"/>
                      <w:color w:val="000000"/>
                      <w:sz w:val="20"/>
                      <w:szCs w:val="24"/>
                      <w:lang w:eastAsia="lv-LV"/>
                    </w:rPr>
                  </w:pPr>
                  <w:r w:rsidRPr="007810DF">
                    <w:rPr>
                      <w:rFonts w:ascii="Times New Roman" w:eastAsia="Times New Roman" w:hAnsi="Times New Roman" w:cs="Times New Roman"/>
                      <w:bCs/>
                      <w:sz w:val="20"/>
                    </w:rPr>
                    <w:t>VSAOI likmes samazināšana par 1 procentpunktu</w:t>
                  </w:r>
                  <w:r w:rsidRPr="007810DF">
                    <w:rPr>
                      <w:rFonts w:ascii="Times New Roman" w:eastAsia="Times New Roman" w:hAnsi="Times New Roman" w:cs="Times New Roman"/>
                      <w:color w:val="000000"/>
                      <w:sz w:val="20"/>
                      <w:szCs w:val="24"/>
                      <w:lang w:eastAsia="lv-LV"/>
                    </w:rPr>
                    <w:t>, t.sk.,</w:t>
                  </w:r>
                </w:p>
              </w:tc>
              <w:tc>
                <w:tcPr>
                  <w:tcW w:w="851" w:type="dxa"/>
                  <w:tcBorders>
                    <w:top w:val="nil"/>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b/>
                      <w:color w:val="000000"/>
                      <w:sz w:val="20"/>
                      <w:szCs w:val="24"/>
                    </w:rPr>
                  </w:pPr>
                  <w:r w:rsidRPr="007810DF">
                    <w:rPr>
                      <w:rFonts w:ascii="Times New Roman" w:hAnsi="Times New Roman" w:cs="Times New Roman"/>
                      <w:b/>
                      <w:color w:val="000000"/>
                      <w:sz w:val="20"/>
                      <w:szCs w:val="24"/>
                    </w:rPr>
                    <w:t>-75,6</w:t>
                  </w:r>
                </w:p>
              </w:tc>
              <w:tc>
                <w:tcPr>
                  <w:tcW w:w="992" w:type="dxa"/>
                  <w:tcBorders>
                    <w:top w:val="nil"/>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b/>
                      <w:color w:val="000000"/>
                      <w:sz w:val="20"/>
                      <w:szCs w:val="24"/>
                    </w:rPr>
                  </w:pPr>
                  <w:r w:rsidRPr="007810DF">
                    <w:rPr>
                      <w:rFonts w:ascii="Times New Roman" w:hAnsi="Times New Roman" w:cs="Times New Roman"/>
                      <w:b/>
                      <w:color w:val="000000"/>
                      <w:sz w:val="20"/>
                      <w:szCs w:val="24"/>
                    </w:rPr>
                    <w:t>-75,6</w:t>
                  </w:r>
                </w:p>
              </w:tc>
              <w:tc>
                <w:tcPr>
                  <w:tcW w:w="992" w:type="dxa"/>
                  <w:tcBorders>
                    <w:top w:val="nil"/>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b/>
                      <w:color w:val="000000"/>
                      <w:sz w:val="20"/>
                      <w:szCs w:val="24"/>
                    </w:rPr>
                  </w:pPr>
                  <w:r w:rsidRPr="007810DF">
                    <w:rPr>
                      <w:rFonts w:ascii="Times New Roman" w:hAnsi="Times New Roman" w:cs="Times New Roman"/>
                      <w:b/>
                      <w:color w:val="000000"/>
                      <w:sz w:val="20"/>
                      <w:szCs w:val="24"/>
                    </w:rPr>
                    <w:t>-75,6</w:t>
                  </w:r>
                </w:p>
              </w:tc>
            </w:tr>
            <w:tr w:rsidR="00CA7162" w:rsidRPr="00A32BDC" w:rsidTr="00C479F6">
              <w:trPr>
                <w:trHeight w:val="265"/>
              </w:trPr>
              <w:tc>
                <w:tcPr>
                  <w:tcW w:w="3685" w:type="dxa"/>
                  <w:tcBorders>
                    <w:top w:val="nil"/>
                    <w:left w:val="single" w:sz="4" w:space="0" w:color="auto"/>
                    <w:bottom w:val="single" w:sz="4" w:space="0" w:color="auto"/>
                    <w:right w:val="single" w:sz="4" w:space="0" w:color="auto"/>
                  </w:tcBorders>
                  <w:shd w:val="clear" w:color="auto" w:fill="auto"/>
                  <w:noWrap/>
                  <w:vAlign w:val="bottom"/>
                </w:tcPr>
                <w:p w:rsidR="00CA7162" w:rsidRPr="007810DF" w:rsidRDefault="00CA7162" w:rsidP="00CA7162">
                  <w:pPr>
                    <w:spacing w:line="240" w:lineRule="auto"/>
                    <w:contextualSpacing/>
                    <w:jc w:val="right"/>
                    <w:rPr>
                      <w:rFonts w:ascii="Times New Roman" w:eastAsia="Times New Roman" w:hAnsi="Times New Roman" w:cs="Times New Roman"/>
                      <w:i/>
                      <w:color w:val="000000"/>
                      <w:sz w:val="20"/>
                      <w:szCs w:val="24"/>
                      <w:lang w:eastAsia="lv-LV"/>
                    </w:rPr>
                  </w:pPr>
                  <w:r w:rsidRPr="007810DF">
                    <w:rPr>
                      <w:rFonts w:ascii="Times New Roman" w:eastAsia="Times New Roman" w:hAnsi="Times New Roman" w:cs="Times New Roman"/>
                      <w:i/>
                      <w:color w:val="000000"/>
                      <w:sz w:val="20"/>
                      <w:szCs w:val="24"/>
                      <w:lang w:eastAsia="lv-LV"/>
                    </w:rPr>
                    <w:t>Valsts budžets</w:t>
                  </w:r>
                </w:p>
              </w:tc>
              <w:tc>
                <w:tcPr>
                  <w:tcW w:w="851" w:type="dxa"/>
                  <w:tcBorders>
                    <w:top w:val="nil"/>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i/>
                      <w:color w:val="000000"/>
                      <w:sz w:val="20"/>
                      <w:szCs w:val="24"/>
                    </w:rPr>
                  </w:pPr>
                  <w:r w:rsidRPr="007810DF">
                    <w:rPr>
                      <w:rFonts w:ascii="Times New Roman" w:hAnsi="Times New Roman" w:cs="Times New Roman"/>
                      <w:i/>
                      <w:color w:val="000000"/>
                      <w:sz w:val="20"/>
                      <w:szCs w:val="24"/>
                    </w:rPr>
                    <w:t>1,4</w:t>
                  </w:r>
                </w:p>
              </w:tc>
              <w:tc>
                <w:tcPr>
                  <w:tcW w:w="992" w:type="dxa"/>
                  <w:tcBorders>
                    <w:top w:val="nil"/>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i/>
                      <w:color w:val="000000"/>
                      <w:sz w:val="20"/>
                      <w:szCs w:val="24"/>
                    </w:rPr>
                  </w:pPr>
                  <w:r w:rsidRPr="007810DF">
                    <w:rPr>
                      <w:rFonts w:ascii="Times New Roman" w:hAnsi="Times New Roman" w:cs="Times New Roman"/>
                      <w:i/>
                      <w:color w:val="000000"/>
                      <w:sz w:val="20"/>
                      <w:szCs w:val="24"/>
                    </w:rPr>
                    <w:t>1,4</w:t>
                  </w:r>
                </w:p>
              </w:tc>
              <w:tc>
                <w:tcPr>
                  <w:tcW w:w="992" w:type="dxa"/>
                  <w:tcBorders>
                    <w:top w:val="nil"/>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i/>
                      <w:color w:val="000000"/>
                      <w:sz w:val="20"/>
                      <w:szCs w:val="24"/>
                    </w:rPr>
                  </w:pPr>
                  <w:r w:rsidRPr="007810DF">
                    <w:rPr>
                      <w:rFonts w:ascii="Times New Roman" w:hAnsi="Times New Roman" w:cs="Times New Roman"/>
                      <w:i/>
                      <w:color w:val="000000"/>
                      <w:sz w:val="20"/>
                      <w:szCs w:val="24"/>
                    </w:rPr>
                    <w:t>1,4</w:t>
                  </w:r>
                </w:p>
              </w:tc>
            </w:tr>
            <w:tr w:rsidR="00CA7162" w:rsidRPr="00A32BDC" w:rsidTr="00C479F6">
              <w:trPr>
                <w:trHeight w:val="26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7162" w:rsidRPr="007810DF" w:rsidRDefault="00CA7162" w:rsidP="00CA7162">
                  <w:pPr>
                    <w:spacing w:line="240" w:lineRule="auto"/>
                    <w:contextualSpacing/>
                    <w:jc w:val="right"/>
                    <w:rPr>
                      <w:rFonts w:ascii="Times New Roman" w:eastAsia="Times New Roman" w:hAnsi="Times New Roman" w:cs="Times New Roman"/>
                      <w:bCs/>
                      <w:i/>
                      <w:color w:val="000000"/>
                      <w:sz w:val="20"/>
                      <w:szCs w:val="24"/>
                      <w:lang w:eastAsia="lv-LV"/>
                    </w:rPr>
                  </w:pPr>
                  <w:r w:rsidRPr="007810DF">
                    <w:rPr>
                      <w:rFonts w:ascii="Times New Roman" w:eastAsia="Times New Roman" w:hAnsi="Times New Roman" w:cs="Times New Roman"/>
                      <w:bCs/>
                      <w:i/>
                      <w:color w:val="000000"/>
                      <w:sz w:val="20"/>
                      <w:szCs w:val="24"/>
                      <w:lang w:eastAsia="lv-LV"/>
                    </w:rPr>
                    <w:t>Valsts speciālais budžets</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bCs/>
                      <w:i/>
                      <w:color w:val="000000"/>
                      <w:sz w:val="20"/>
                      <w:szCs w:val="24"/>
                    </w:rPr>
                  </w:pPr>
                  <w:r w:rsidRPr="007810DF">
                    <w:rPr>
                      <w:rFonts w:ascii="Times New Roman" w:hAnsi="Times New Roman" w:cs="Times New Roman"/>
                      <w:bCs/>
                      <w:i/>
                      <w:color w:val="000000"/>
                      <w:sz w:val="20"/>
                      <w:szCs w:val="24"/>
                    </w:rPr>
                    <w:t>-82,8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bCs/>
                      <w:i/>
                      <w:color w:val="000000"/>
                      <w:sz w:val="20"/>
                      <w:szCs w:val="24"/>
                    </w:rPr>
                  </w:pPr>
                  <w:r w:rsidRPr="007810DF">
                    <w:rPr>
                      <w:rFonts w:ascii="Times New Roman" w:hAnsi="Times New Roman" w:cs="Times New Roman"/>
                      <w:bCs/>
                      <w:i/>
                      <w:color w:val="000000"/>
                      <w:sz w:val="20"/>
                      <w:szCs w:val="24"/>
                    </w:rPr>
                    <w:t>-82,8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bCs/>
                      <w:i/>
                      <w:color w:val="000000"/>
                      <w:sz w:val="20"/>
                      <w:szCs w:val="24"/>
                    </w:rPr>
                  </w:pPr>
                  <w:r w:rsidRPr="007810DF">
                    <w:rPr>
                      <w:rFonts w:ascii="Times New Roman" w:hAnsi="Times New Roman" w:cs="Times New Roman"/>
                      <w:bCs/>
                      <w:i/>
                      <w:color w:val="000000"/>
                      <w:sz w:val="20"/>
                      <w:szCs w:val="24"/>
                    </w:rPr>
                    <w:t>-82,8</w:t>
                  </w:r>
                </w:p>
              </w:tc>
            </w:tr>
            <w:tr w:rsidR="00CA7162" w:rsidRPr="00A32BDC" w:rsidTr="00C479F6">
              <w:trPr>
                <w:trHeight w:val="26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7162" w:rsidRPr="007810DF" w:rsidRDefault="00CA7162" w:rsidP="00CA7162">
                  <w:pPr>
                    <w:spacing w:line="240" w:lineRule="auto"/>
                    <w:contextualSpacing/>
                    <w:jc w:val="right"/>
                    <w:rPr>
                      <w:rFonts w:ascii="Times New Roman" w:eastAsia="Times New Roman" w:hAnsi="Times New Roman" w:cs="Times New Roman"/>
                      <w:bCs/>
                      <w:i/>
                      <w:color w:val="000000"/>
                      <w:sz w:val="20"/>
                      <w:szCs w:val="24"/>
                      <w:lang w:eastAsia="lv-LV"/>
                    </w:rPr>
                  </w:pPr>
                  <w:r w:rsidRPr="007810DF">
                    <w:rPr>
                      <w:rFonts w:ascii="Times New Roman" w:eastAsia="Times New Roman" w:hAnsi="Times New Roman" w:cs="Times New Roman"/>
                      <w:bCs/>
                      <w:i/>
                      <w:color w:val="000000"/>
                      <w:sz w:val="20"/>
                      <w:szCs w:val="24"/>
                      <w:lang w:eastAsia="lv-LV"/>
                    </w:rPr>
                    <w:t>Pašvaldību budžets</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bCs/>
                      <w:i/>
                      <w:color w:val="000000"/>
                      <w:sz w:val="20"/>
                      <w:szCs w:val="24"/>
                    </w:rPr>
                  </w:pPr>
                  <w:r w:rsidRPr="007810DF">
                    <w:rPr>
                      <w:rFonts w:ascii="Times New Roman" w:hAnsi="Times New Roman" w:cs="Times New Roman"/>
                      <w:bCs/>
                      <w:i/>
                      <w:color w:val="000000"/>
                      <w:sz w:val="20"/>
                      <w:szCs w:val="24"/>
                    </w:rPr>
                    <w:t>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bCs/>
                      <w:i/>
                      <w:color w:val="000000"/>
                      <w:sz w:val="20"/>
                      <w:szCs w:val="24"/>
                    </w:rPr>
                  </w:pPr>
                  <w:r w:rsidRPr="007810DF">
                    <w:rPr>
                      <w:rFonts w:ascii="Times New Roman" w:hAnsi="Times New Roman" w:cs="Times New Roman"/>
                      <w:bCs/>
                      <w:i/>
                      <w:color w:val="000000"/>
                      <w:sz w:val="20"/>
                      <w:szCs w:val="24"/>
                    </w:rPr>
                    <w:t>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A7162" w:rsidRPr="007810DF" w:rsidRDefault="00CA7162" w:rsidP="00CA7162">
                  <w:pPr>
                    <w:contextualSpacing/>
                    <w:rPr>
                      <w:rFonts w:ascii="Times New Roman" w:hAnsi="Times New Roman" w:cs="Times New Roman"/>
                      <w:bCs/>
                      <w:i/>
                      <w:color w:val="000000"/>
                      <w:sz w:val="20"/>
                      <w:szCs w:val="24"/>
                    </w:rPr>
                  </w:pPr>
                  <w:r w:rsidRPr="007810DF">
                    <w:rPr>
                      <w:rFonts w:ascii="Times New Roman" w:hAnsi="Times New Roman" w:cs="Times New Roman"/>
                      <w:bCs/>
                      <w:i/>
                      <w:color w:val="000000"/>
                      <w:sz w:val="20"/>
                      <w:szCs w:val="24"/>
                    </w:rPr>
                    <w:t>5,8</w:t>
                  </w:r>
                </w:p>
              </w:tc>
            </w:tr>
          </w:tbl>
          <w:p w:rsidR="00CA7162" w:rsidRDefault="00CA7162" w:rsidP="00CA7162">
            <w:pPr>
              <w:spacing w:line="240" w:lineRule="auto"/>
              <w:jc w:val="both"/>
              <w:rPr>
                <w:rFonts w:ascii="Times New Roman" w:eastAsia="Times New Roman" w:hAnsi="Times New Roman" w:cs="Times New Roman"/>
                <w:bCs/>
              </w:rPr>
            </w:pPr>
          </w:p>
          <w:p w:rsidR="00461146" w:rsidRPr="005A7790" w:rsidRDefault="00CA7162" w:rsidP="00CA7162">
            <w:pPr>
              <w:spacing w:line="240" w:lineRule="auto"/>
              <w:jc w:val="both"/>
              <w:rPr>
                <w:rFonts w:ascii="Times New Roman" w:hAnsi="Times New Roman" w:cs="Times New Roman"/>
                <w:sz w:val="24"/>
                <w:szCs w:val="24"/>
              </w:rPr>
            </w:pPr>
            <w:r w:rsidRPr="00DA004A">
              <w:rPr>
                <w:rFonts w:ascii="Times New Roman" w:hAnsi="Times New Roman" w:cs="Times New Roman"/>
                <w:color w:val="000000"/>
                <w:shd w:val="clear" w:color="auto" w:fill="FFFFFF"/>
              </w:rPr>
              <w:t>Fiskālā ietekme ir iekļauta nodokļu ieņēmumu prognozēs, sagatavojot likumprojektu “Par vidēja termiņa budžeta ietvaru 2021., 2022. un 2023. gadam”</w:t>
            </w:r>
            <w:r>
              <w:rPr>
                <w:rFonts w:ascii="Times New Roman" w:hAnsi="Times New Roman" w:cs="Times New Roman"/>
                <w:color w:val="000000"/>
                <w:shd w:val="clear" w:color="auto" w:fill="FFFFFF"/>
              </w:rPr>
              <w:t xml:space="preserve"> un likumprojektu “Par valsts budžetu 2021.gadam”.</w:t>
            </w:r>
          </w:p>
        </w:tc>
      </w:tr>
      <w:tr w:rsidR="00461146" w:rsidRPr="00044F29"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lastRenderedPageBreak/>
              <w:t>6.1. detalizēts ieņēmumu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p>
        </w:tc>
      </w:tr>
      <w:tr w:rsidR="00461146" w:rsidRPr="00044F29"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6.2. detalizēts izdevumu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rsidR="00461146" w:rsidRPr="00044F29" w:rsidRDefault="00461146" w:rsidP="00676980">
            <w:pPr>
              <w:spacing w:line="240" w:lineRule="auto"/>
              <w:rPr>
                <w:rFonts w:ascii="Times New Roman" w:hAnsi="Times New Roman" w:cs="Times New Roman"/>
                <w:sz w:val="24"/>
                <w:szCs w:val="27"/>
              </w:rPr>
            </w:pPr>
          </w:p>
        </w:tc>
      </w:tr>
      <w:tr w:rsidR="00461146" w:rsidRPr="00044F29" w:rsidTr="00676980">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7. Amata vietu skaita izmaiņas</w:t>
            </w:r>
          </w:p>
        </w:tc>
        <w:tc>
          <w:tcPr>
            <w:tcW w:w="7511" w:type="dxa"/>
            <w:gridSpan w:val="7"/>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jc w:val="both"/>
              <w:rPr>
                <w:rFonts w:ascii="Times New Roman" w:hAnsi="Times New Roman" w:cs="Times New Roman"/>
                <w:sz w:val="24"/>
                <w:szCs w:val="27"/>
              </w:rPr>
            </w:pPr>
            <w:r w:rsidRPr="00044F29">
              <w:rPr>
                <w:rFonts w:ascii="Times New Roman" w:hAnsi="Times New Roman" w:cs="Times New Roman"/>
                <w:sz w:val="24"/>
                <w:szCs w:val="27"/>
              </w:rPr>
              <w:t>Nav.</w:t>
            </w:r>
          </w:p>
        </w:tc>
      </w:tr>
      <w:tr w:rsidR="00461146" w:rsidRPr="00733D14" w:rsidTr="00A04A7A">
        <w:tc>
          <w:tcPr>
            <w:tcW w:w="1560" w:type="dxa"/>
            <w:tcBorders>
              <w:top w:val="outset" w:sz="6" w:space="0" w:color="414142"/>
              <w:left w:val="outset" w:sz="6" w:space="0" w:color="414142"/>
              <w:bottom w:val="outset" w:sz="6" w:space="0" w:color="414142"/>
              <w:right w:val="outset" w:sz="6" w:space="0" w:color="414142"/>
            </w:tcBorders>
            <w:hideMark/>
          </w:tcPr>
          <w:p w:rsidR="00461146" w:rsidRPr="00044F29" w:rsidRDefault="00461146" w:rsidP="00676980">
            <w:pPr>
              <w:spacing w:line="240" w:lineRule="auto"/>
              <w:rPr>
                <w:rFonts w:ascii="Times New Roman" w:hAnsi="Times New Roman" w:cs="Times New Roman"/>
                <w:sz w:val="24"/>
                <w:szCs w:val="27"/>
              </w:rPr>
            </w:pPr>
            <w:r w:rsidRPr="00044F29">
              <w:rPr>
                <w:rFonts w:ascii="Times New Roman" w:hAnsi="Times New Roman" w:cs="Times New Roman"/>
                <w:sz w:val="24"/>
                <w:szCs w:val="27"/>
              </w:rPr>
              <w:t>8. Cita informācija</w:t>
            </w:r>
          </w:p>
        </w:tc>
        <w:tc>
          <w:tcPr>
            <w:tcW w:w="7511" w:type="dxa"/>
            <w:gridSpan w:val="7"/>
            <w:tcBorders>
              <w:top w:val="outset" w:sz="6" w:space="0" w:color="414142"/>
              <w:left w:val="outset" w:sz="6" w:space="0" w:color="414142"/>
              <w:bottom w:val="outset" w:sz="6" w:space="0" w:color="414142"/>
              <w:right w:val="outset" w:sz="6" w:space="0" w:color="414142"/>
            </w:tcBorders>
          </w:tcPr>
          <w:p w:rsidR="00461146" w:rsidRPr="00733D14" w:rsidRDefault="00A04A7A" w:rsidP="00676980">
            <w:pPr>
              <w:spacing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rsidR="00461146" w:rsidRPr="001D6566" w:rsidRDefault="00461146">
      <w:pPr>
        <w:rPr>
          <w:rFonts w:ascii="Times New Roman" w:hAnsi="Times New Roman" w:cs="Times New Roman"/>
          <w:sz w:val="26"/>
          <w:szCs w:val="26"/>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48"/>
        <w:gridCol w:w="2605"/>
        <w:gridCol w:w="5952"/>
      </w:tblGrid>
      <w:tr w:rsidR="008C64EE" w:rsidRPr="008C64EE" w:rsidTr="00940F28">
        <w:trPr>
          <w:trHeight w:val="302"/>
          <w:jc w:val="center"/>
        </w:trPr>
        <w:tc>
          <w:tcPr>
            <w:tcW w:w="9205" w:type="dxa"/>
            <w:gridSpan w:val="3"/>
            <w:tcBorders>
              <w:top w:val="outset" w:sz="6" w:space="0" w:color="414142"/>
              <w:left w:val="outset" w:sz="6" w:space="0" w:color="414142"/>
              <w:bottom w:val="outset" w:sz="6" w:space="0" w:color="414142"/>
              <w:right w:val="outset" w:sz="6" w:space="0" w:color="414142"/>
            </w:tcBorders>
            <w:vAlign w:val="center"/>
            <w:hideMark/>
          </w:tcPr>
          <w:p w:rsidR="00002869" w:rsidRPr="001D6566" w:rsidRDefault="00002869" w:rsidP="00F47391">
            <w:pPr>
              <w:pStyle w:val="tvhtml"/>
              <w:spacing w:before="0" w:beforeAutospacing="0" w:after="0" w:afterAutospacing="0"/>
              <w:jc w:val="center"/>
              <w:rPr>
                <w:bCs/>
                <w:sz w:val="26"/>
                <w:szCs w:val="26"/>
              </w:rPr>
            </w:pPr>
            <w:r w:rsidRPr="001D6566">
              <w:rPr>
                <w:b/>
                <w:bCs/>
                <w:sz w:val="26"/>
                <w:szCs w:val="26"/>
              </w:rPr>
              <w:t xml:space="preserve">IV. </w:t>
            </w:r>
            <w:r w:rsidRPr="001D6566">
              <w:rPr>
                <w:b/>
                <w:sz w:val="26"/>
                <w:szCs w:val="26"/>
              </w:rPr>
              <w:t>Tiesību aktu projekta ietekme uz spēkā esošo tiesību normu sistēmu</w:t>
            </w:r>
          </w:p>
        </w:tc>
      </w:tr>
      <w:tr w:rsidR="0008421B" w:rsidRPr="00A75EB4" w:rsidTr="00F44305">
        <w:tblPrEx>
          <w:jc w:val="left"/>
        </w:tblPrEx>
        <w:tc>
          <w:tcPr>
            <w:tcW w:w="648" w:type="dxa"/>
            <w:tcBorders>
              <w:top w:val="outset" w:sz="6" w:space="0" w:color="414142"/>
              <w:left w:val="outset" w:sz="6" w:space="0" w:color="414142"/>
              <w:bottom w:val="outset" w:sz="6" w:space="0" w:color="414142"/>
              <w:right w:val="outset" w:sz="6" w:space="0" w:color="414142"/>
            </w:tcBorders>
            <w:hideMark/>
          </w:tcPr>
          <w:p w:rsidR="0008421B" w:rsidRPr="001D6566"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1.</w:t>
            </w:r>
          </w:p>
        </w:tc>
        <w:tc>
          <w:tcPr>
            <w:tcW w:w="2605" w:type="dxa"/>
            <w:tcBorders>
              <w:top w:val="outset" w:sz="6" w:space="0" w:color="414142"/>
              <w:left w:val="outset" w:sz="6" w:space="0" w:color="414142"/>
              <w:bottom w:val="outset" w:sz="6" w:space="0" w:color="414142"/>
              <w:right w:val="outset" w:sz="6" w:space="0" w:color="414142"/>
            </w:tcBorders>
            <w:hideMark/>
          </w:tcPr>
          <w:p w:rsidR="0008421B" w:rsidRPr="001D6566" w:rsidRDefault="0008421B" w:rsidP="00F47391">
            <w:pPr>
              <w:spacing w:line="240" w:lineRule="auto"/>
              <w:jc w:val="both"/>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Saistītie tiesību aktu projekti</w:t>
            </w:r>
          </w:p>
        </w:tc>
        <w:tc>
          <w:tcPr>
            <w:tcW w:w="5952" w:type="dxa"/>
            <w:tcBorders>
              <w:top w:val="outset" w:sz="6" w:space="0" w:color="414142"/>
              <w:left w:val="outset" w:sz="6" w:space="0" w:color="414142"/>
              <w:bottom w:val="outset" w:sz="6" w:space="0" w:color="414142"/>
              <w:right w:val="outset" w:sz="6" w:space="0" w:color="414142"/>
            </w:tcBorders>
          </w:tcPr>
          <w:p w:rsidR="0041771F" w:rsidRPr="00ED6C14" w:rsidRDefault="00CE001F" w:rsidP="00ED6C14">
            <w:pPr>
              <w:pStyle w:val="ListParagraph"/>
              <w:ind w:left="0"/>
              <w:jc w:val="both"/>
              <w:rPr>
                <w:sz w:val="26"/>
                <w:szCs w:val="26"/>
              </w:rPr>
            </w:pPr>
            <w:r>
              <w:rPr>
                <w:sz w:val="26"/>
                <w:szCs w:val="26"/>
              </w:rPr>
              <w:t>Nepieciešams veikt grozījumus</w:t>
            </w:r>
            <w:r w:rsidR="00ED6C14">
              <w:rPr>
                <w:sz w:val="26"/>
                <w:szCs w:val="26"/>
              </w:rPr>
              <w:t xml:space="preserve"> Ministru kabineta 2000.gada 2.maija noteikumos Nr.164 </w:t>
            </w:r>
            <w:r w:rsidR="00ED6C14" w:rsidRPr="00ED6C14">
              <w:rPr>
                <w:sz w:val="26"/>
                <w:szCs w:val="26"/>
              </w:rPr>
              <w:t>“</w:t>
            </w:r>
            <w:r w:rsidR="00ED6C14" w:rsidRPr="00ED6C14">
              <w:rPr>
                <w:bCs/>
                <w:sz w:val="26"/>
                <w:szCs w:val="26"/>
              </w:rPr>
              <w:t>Kārtība, kādā tiek aprēķinātas un atmaksātas pārmaksātās valsts sociālās apdrošināšanas iemaksas un aprēķināts un pārskaitīts solidaritātes nodoklis</w:t>
            </w:r>
            <w:r w:rsidR="00ED6C14" w:rsidRPr="00ED6C14">
              <w:rPr>
                <w:sz w:val="26"/>
                <w:szCs w:val="26"/>
              </w:rPr>
              <w:t>”</w:t>
            </w:r>
            <w:r w:rsidR="00ED6C14">
              <w:rPr>
                <w:sz w:val="26"/>
                <w:szCs w:val="26"/>
              </w:rPr>
              <w:t xml:space="preserve">, </w:t>
            </w:r>
            <w:r w:rsidRPr="00ED6C14">
              <w:rPr>
                <w:sz w:val="26"/>
                <w:szCs w:val="26"/>
              </w:rPr>
              <w:t>papildinot noslēguma jautājumus ar regulējumu par lai</w:t>
            </w:r>
            <w:r w:rsidR="00083A93">
              <w:rPr>
                <w:sz w:val="26"/>
                <w:szCs w:val="26"/>
              </w:rPr>
              <w:t>ka posmu no 2019.gada 1.janvāra</w:t>
            </w:r>
            <w:r w:rsidR="009C095A">
              <w:rPr>
                <w:sz w:val="26"/>
                <w:szCs w:val="26"/>
              </w:rPr>
              <w:t xml:space="preserve"> līdz 2020.gada 31.decembrim</w:t>
            </w:r>
            <w:r w:rsidRPr="00ED6C14">
              <w:rPr>
                <w:sz w:val="26"/>
                <w:szCs w:val="26"/>
              </w:rPr>
              <w:t xml:space="preserve"> faktiski samaksātā solidaritātes nodokļa </w:t>
            </w:r>
            <w:r w:rsidR="00ED6C14">
              <w:rPr>
                <w:sz w:val="26"/>
                <w:szCs w:val="26"/>
              </w:rPr>
              <w:t>pārskaitīšanu.</w:t>
            </w:r>
          </w:p>
        </w:tc>
      </w:tr>
      <w:tr w:rsidR="0008421B" w:rsidRPr="008C64EE" w:rsidTr="00940F28">
        <w:tblPrEx>
          <w:jc w:val="left"/>
        </w:tblPrEx>
        <w:tc>
          <w:tcPr>
            <w:tcW w:w="648" w:type="dxa"/>
            <w:tcBorders>
              <w:top w:val="outset" w:sz="6" w:space="0" w:color="414142"/>
              <w:left w:val="outset" w:sz="6" w:space="0" w:color="414142"/>
              <w:bottom w:val="outset" w:sz="6" w:space="0" w:color="414142"/>
              <w:right w:val="outset" w:sz="6" w:space="0" w:color="414142"/>
            </w:tcBorders>
          </w:tcPr>
          <w:p w:rsidR="0008421B" w:rsidRPr="001D6566"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2.</w:t>
            </w:r>
          </w:p>
        </w:tc>
        <w:tc>
          <w:tcPr>
            <w:tcW w:w="2605" w:type="dxa"/>
            <w:tcBorders>
              <w:top w:val="outset" w:sz="6" w:space="0" w:color="414142"/>
              <w:left w:val="outset" w:sz="6" w:space="0" w:color="414142"/>
              <w:bottom w:val="outset" w:sz="6" w:space="0" w:color="414142"/>
              <w:right w:val="outset" w:sz="6" w:space="0" w:color="414142"/>
            </w:tcBorders>
          </w:tcPr>
          <w:p w:rsidR="0008421B" w:rsidRPr="001D6566" w:rsidRDefault="0008421B" w:rsidP="00F47391">
            <w:pPr>
              <w:spacing w:line="240" w:lineRule="auto"/>
              <w:jc w:val="both"/>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Atbildīgā institūcija</w:t>
            </w:r>
          </w:p>
        </w:tc>
        <w:tc>
          <w:tcPr>
            <w:tcW w:w="5952" w:type="dxa"/>
            <w:tcBorders>
              <w:top w:val="outset" w:sz="6" w:space="0" w:color="414142"/>
              <w:left w:val="outset" w:sz="6" w:space="0" w:color="414142"/>
              <w:bottom w:val="outset" w:sz="6" w:space="0" w:color="414142"/>
              <w:right w:val="outset" w:sz="6" w:space="0" w:color="414142"/>
            </w:tcBorders>
          </w:tcPr>
          <w:p w:rsidR="0016462F" w:rsidRPr="001D6566" w:rsidRDefault="00CE001F" w:rsidP="0016462F">
            <w:pPr>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Labklājības ministrija</w:t>
            </w:r>
            <w:r w:rsidR="00083A93">
              <w:rPr>
                <w:rFonts w:ascii="Times New Roman" w:eastAsia="Times New Roman" w:hAnsi="Times New Roman" w:cs="Times New Roman"/>
                <w:sz w:val="26"/>
                <w:szCs w:val="26"/>
                <w:lang w:eastAsia="lv-LV"/>
              </w:rPr>
              <w:t>.</w:t>
            </w:r>
          </w:p>
        </w:tc>
      </w:tr>
      <w:tr w:rsidR="0008421B" w:rsidRPr="008C64EE" w:rsidTr="00940F28">
        <w:tblPrEx>
          <w:jc w:val="left"/>
        </w:tblPrEx>
        <w:tc>
          <w:tcPr>
            <w:tcW w:w="648" w:type="dxa"/>
            <w:tcBorders>
              <w:top w:val="outset" w:sz="6" w:space="0" w:color="414142"/>
              <w:left w:val="outset" w:sz="6" w:space="0" w:color="414142"/>
              <w:bottom w:val="outset" w:sz="6" w:space="0" w:color="414142"/>
              <w:right w:val="outset" w:sz="6" w:space="0" w:color="414142"/>
            </w:tcBorders>
          </w:tcPr>
          <w:p w:rsidR="0008421B" w:rsidRPr="001D6566"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3.</w:t>
            </w:r>
          </w:p>
        </w:tc>
        <w:tc>
          <w:tcPr>
            <w:tcW w:w="2605" w:type="dxa"/>
            <w:tcBorders>
              <w:top w:val="outset" w:sz="6" w:space="0" w:color="414142"/>
              <w:left w:val="outset" w:sz="6" w:space="0" w:color="414142"/>
              <w:bottom w:val="outset" w:sz="6" w:space="0" w:color="414142"/>
              <w:right w:val="outset" w:sz="6" w:space="0" w:color="414142"/>
            </w:tcBorders>
          </w:tcPr>
          <w:p w:rsidR="0008421B" w:rsidRPr="001D6566" w:rsidRDefault="0008421B" w:rsidP="00F47391">
            <w:pPr>
              <w:spacing w:line="240" w:lineRule="auto"/>
              <w:jc w:val="both"/>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Cita informācija</w:t>
            </w:r>
          </w:p>
        </w:tc>
        <w:tc>
          <w:tcPr>
            <w:tcW w:w="5952" w:type="dxa"/>
            <w:tcBorders>
              <w:top w:val="outset" w:sz="6" w:space="0" w:color="414142"/>
              <w:left w:val="outset" w:sz="6" w:space="0" w:color="414142"/>
              <w:bottom w:val="outset" w:sz="6" w:space="0" w:color="414142"/>
              <w:right w:val="outset" w:sz="6" w:space="0" w:color="414142"/>
            </w:tcBorders>
          </w:tcPr>
          <w:p w:rsidR="0008421B" w:rsidRPr="001D6566" w:rsidRDefault="0008421B" w:rsidP="0008421B">
            <w:pPr>
              <w:spacing w:line="240" w:lineRule="auto"/>
              <w:jc w:val="both"/>
              <w:rPr>
                <w:rFonts w:ascii="Times New Roman" w:eastAsia="Times New Roman" w:hAnsi="Times New Roman" w:cs="Times New Roman"/>
                <w:sz w:val="26"/>
                <w:szCs w:val="26"/>
                <w:lang w:eastAsia="lv-LV"/>
              </w:rPr>
            </w:pPr>
            <w:r w:rsidRPr="001D6566">
              <w:rPr>
                <w:rFonts w:ascii="Times New Roman" w:eastAsia="Times New Roman" w:hAnsi="Times New Roman" w:cs="Times New Roman"/>
                <w:sz w:val="26"/>
                <w:szCs w:val="26"/>
                <w:lang w:eastAsia="lv-LV"/>
              </w:rPr>
              <w:t>Nav.</w:t>
            </w:r>
          </w:p>
        </w:tc>
      </w:tr>
    </w:tbl>
    <w:p w:rsidR="00940F28" w:rsidRPr="00351962" w:rsidRDefault="00940F28" w:rsidP="00543AA6">
      <w:pPr>
        <w:spacing w:line="240" w:lineRule="auto"/>
        <w:rPr>
          <w:rFonts w:ascii="Times New Roman" w:eastAsia="Times New Roman" w:hAnsi="Times New Roman" w:cs="Times New Roman"/>
          <w:sz w:val="26"/>
          <w:szCs w:val="26"/>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8C64EE" w:rsidRPr="00932B0A" w:rsidTr="00A95DFC">
        <w:tc>
          <w:tcPr>
            <w:tcW w:w="5000" w:type="pct"/>
            <w:tcBorders>
              <w:top w:val="outset" w:sz="6" w:space="0" w:color="414142"/>
              <w:left w:val="outset" w:sz="6" w:space="0" w:color="414142"/>
              <w:bottom w:val="outset" w:sz="6" w:space="0" w:color="414142"/>
              <w:right w:val="outset" w:sz="6" w:space="0" w:color="414142"/>
            </w:tcBorders>
            <w:vAlign w:val="center"/>
            <w:hideMark/>
          </w:tcPr>
          <w:p w:rsidR="00543AA6" w:rsidRPr="00351962"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351962">
              <w:rPr>
                <w:rFonts w:ascii="Times New Roman" w:eastAsia="Times New Roman" w:hAnsi="Times New Roman" w:cs="Times New Roman"/>
                <w:b/>
                <w:bCs/>
                <w:sz w:val="26"/>
                <w:szCs w:val="26"/>
                <w:lang w:eastAsia="lv-LV"/>
              </w:rPr>
              <w:t>V. Tiesību akta projekta atbilstība Latvijas Republikas starptautiskajām saistībām</w:t>
            </w:r>
          </w:p>
        </w:tc>
      </w:tr>
      <w:tr w:rsidR="008C64EE" w:rsidRPr="00932B0A" w:rsidTr="00A95DFC">
        <w:tc>
          <w:tcPr>
            <w:tcW w:w="5000" w:type="pct"/>
            <w:tcBorders>
              <w:top w:val="outset" w:sz="6" w:space="0" w:color="414142"/>
              <w:left w:val="outset" w:sz="6" w:space="0" w:color="414142"/>
              <w:bottom w:val="outset" w:sz="6" w:space="0" w:color="414142"/>
              <w:right w:val="outset" w:sz="6" w:space="0" w:color="414142"/>
            </w:tcBorders>
          </w:tcPr>
          <w:p w:rsidR="00C13E2D" w:rsidRPr="00351962" w:rsidRDefault="00C13E2D" w:rsidP="00C13E2D">
            <w:pPr>
              <w:spacing w:line="240" w:lineRule="auto"/>
              <w:jc w:val="center"/>
              <w:rPr>
                <w:rFonts w:ascii="Times New Roman" w:eastAsia="Times New Roman" w:hAnsi="Times New Roman" w:cs="Times New Roman"/>
                <w:sz w:val="26"/>
                <w:szCs w:val="26"/>
                <w:lang w:eastAsia="lv-LV"/>
              </w:rPr>
            </w:pPr>
            <w:r w:rsidRPr="00351962">
              <w:rPr>
                <w:rFonts w:ascii="Times New Roman" w:hAnsi="Times New Roman" w:cs="Times New Roman"/>
                <w:sz w:val="26"/>
                <w:szCs w:val="26"/>
              </w:rPr>
              <w:t>Projekts šo jomu neskar</w:t>
            </w:r>
          </w:p>
        </w:tc>
      </w:tr>
    </w:tbl>
    <w:p w:rsidR="00543AA6" w:rsidRPr="00351962" w:rsidRDefault="00543AA6" w:rsidP="00543AA6">
      <w:pPr>
        <w:spacing w:line="240" w:lineRule="auto"/>
        <w:rPr>
          <w:rFonts w:ascii="Times New Roman" w:eastAsia="Times New Roman" w:hAnsi="Times New Roman" w:cs="Times New Roman"/>
          <w:sz w:val="26"/>
          <w:szCs w:val="26"/>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0"/>
        <w:gridCol w:w="2905"/>
        <w:gridCol w:w="5580"/>
      </w:tblGrid>
      <w:tr w:rsidR="008C64EE" w:rsidRPr="008C64EE"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351962"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351962">
              <w:rPr>
                <w:rFonts w:ascii="Times New Roman" w:eastAsia="Times New Roman" w:hAnsi="Times New Roman" w:cs="Times New Roman"/>
                <w:b/>
                <w:bCs/>
                <w:sz w:val="26"/>
                <w:szCs w:val="26"/>
                <w:lang w:eastAsia="lv-LV"/>
              </w:rPr>
              <w:t>VI. Sabiedrības līdzdalība un komunikācijas aktivitātes</w:t>
            </w:r>
          </w:p>
        </w:tc>
      </w:tr>
      <w:tr w:rsidR="008C64EE" w:rsidRPr="008C64EE" w:rsidTr="00A95DFC">
        <w:tc>
          <w:tcPr>
            <w:tcW w:w="391"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Plānotās sabiedrības līdzdalības un komunikācijas aktivitātes saistībā ar projektu</w:t>
            </w:r>
          </w:p>
        </w:tc>
        <w:tc>
          <w:tcPr>
            <w:tcW w:w="3031" w:type="pct"/>
            <w:tcBorders>
              <w:top w:val="outset" w:sz="6" w:space="0" w:color="414142"/>
              <w:left w:val="outset" w:sz="6" w:space="0" w:color="414142"/>
              <w:bottom w:val="outset" w:sz="6" w:space="0" w:color="414142"/>
              <w:right w:val="outset" w:sz="6" w:space="0" w:color="414142"/>
            </w:tcBorders>
            <w:hideMark/>
          </w:tcPr>
          <w:p w:rsidR="000E6F2B" w:rsidRPr="00351962" w:rsidRDefault="00F44305" w:rsidP="0047187D">
            <w:pPr>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Informatīvais ziņojums “</w:t>
            </w:r>
            <w:r w:rsidRPr="00F44305">
              <w:rPr>
                <w:rFonts w:ascii="Times New Roman" w:eastAsia="Times New Roman" w:hAnsi="Times New Roman" w:cs="Times New Roman"/>
                <w:sz w:val="26"/>
                <w:szCs w:val="26"/>
                <w:lang w:eastAsia="lv-LV"/>
              </w:rPr>
              <w:t>Par nodokļu politikas attīstības virzieniem, valsts sociālās ilgtspējas un ekonomi</w:t>
            </w:r>
            <w:r>
              <w:rPr>
                <w:rFonts w:ascii="Times New Roman" w:eastAsia="Times New Roman" w:hAnsi="Times New Roman" w:cs="Times New Roman"/>
                <w:sz w:val="26"/>
                <w:szCs w:val="26"/>
                <w:lang w:eastAsia="lv-LV"/>
              </w:rPr>
              <w:t>kas konkurētspējas veicināšanai” tika izskatīts Ministru kabineta 2020.gada 2.septembra sēdē</w:t>
            </w:r>
            <w:r w:rsidR="003956E6">
              <w:rPr>
                <w:rFonts w:ascii="Times New Roman" w:eastAsia="Times New Roman" w:hAnsi="Times New Roman" w:cs="Times New Roman"/>
                <w:sz w:val="26"/>
                <w:szCs w:val="26"/>
                <w:lang w:eastAsia="lv-LV"/>
              </w:rPr>
              <w:t xml:space="preserve"> (</w:t>
            </w:r>
            <w:r w:rsidR="003956E6" w:rsidRPr="003956E6">
              <w:rPr>
                <w:rFonts w:ascii="Times New Roman" w:eastAsia="Times New Roman" w:hAnsi="Times New Roman" w:cs="Times New Roman"/>
                <w:sz w:val="26"/>
                <w:szCs w:val="26"/>
                <w:lang w:eastAsia="lv-LV"/>
              </w:rPr>
              <w:t>TA-1643</w:t>
            </w:r>
            <w:r w:rsidR="003956E6">
              <w:rPr>
                <w:rFonts w:ascii="Times New Roman" w:eastAsia="Times New Roman" w:hAnsi="Times New Roman" w:cs="Times New Roman"/>
                <w:sz w:val="26"/>
                <w:szCs w:val="26"/>
                <w:lang w:eastAsia="lv-LV"/>
              </w:rPr>
              <w:t>, 5.2.apakšpunkts)</w:t>
            </w:r>
            <w:r>
              <w:rPr>
                <w:rFonts w:ascii="Times New Roman" w:eastAsia="Times New Roman" w:hAnsi="Times New Roman" w:cs="Times New Roman"/>
                <w:sz w:val="26"/>
                <w:szCs w:val="26"/>
                <w:lang w:eastAsia="lv-LV"/>
              </w:rPr>
              <w:t>.</w:t>
            </w:r>
          </w:p>
        </w:tc>
      </w:tr>
      <w:tr w:rsidR="008C64EE" w:rsidRPr="008C64EE" w:rsidTr="00A95DFC">
        <w:tc>
          <w:tcPr>
            <w:tcW w:w="391"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2.</w:t>
            </w:r>
          </w:p>
        </w:tc>
        <w:tc>
          <w:tcPr>
            <w:tcW w:w="1578" w:type="pct"/>
            <w:tcBorders>
              <w:top w:val="outset" w:sz="6" w:space="0" w:color="414142"/>
              <w:left w:val="outset" w:sz="6" w:space="0" w:color="414142"/>
              <w:bottom w:val="outset" w:sz="6" w:space="0" w:color="414142"/>
              <w:right w:val="outset" w:sz="6" w:space="0" w:color="414142"/>
            </w:tcBorders>
            <w:hideMark/>
          </w:tcPr>
          <w:p w:rsidR="00543AA6" w:rsidRPr="00351962" w:rsidRDefault="00543AA6" w:rsidP="00993C84">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Sabiedrības līdzdalība projekta izstrādē</w:t>
            </w:r>
          </w:p>
        </w:tc>
        <w:tc>
          <w:tcPr>
            <w:tcW w:w="3031" w:type="pct"/>
            <w:tcBorders>
              <w:top w:val="outset" w:sz="6" w:space="0" w:color="414142"/>
              <w:left w:val="outset" w:sz="6" w:space="0" w:color="414142"/>
              <w:bottom w:val="outset" w:sz="6" w:space="0" w:color="414142"/>
              <w:right w:val="outset" w:sz="6" w:space="0" w:color="414142"/>
            </w:tcBorders>
            <w:hideMark/>
          </w:tcPr>
          <w:p w:rsidR="000E6F2B" w:rsidRPr="00351962" w:rsidRDefault="00F44305" w:rsidP="005555B8">
            <w:pPr>
              <w:spacing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Informatīvā ziņojuma</w:t>
            </w:r>
            <w:r w:rsidRPr="00F44305">
              <w:rPr>
                <w:rFonts w:ascii="Times New Roman" w:eastAsia="Times New Roman" w:hAnsi="Times New Roman" w:cs="Times New Roman"/>
                <w:sz w:val="26"/>
                <w:szCs w:val="26"/>
                <w:lang w:eastAsia="lv-LV"/>
              </w:rPr>
              <w:t xml:space="preserve"> “Par nodokļu politikas attīstības virzieniem, valsts sociālās ilgtspējas un ekonomikas konkurētspējas veicināšanai”</w:t>
            </w:r>
            <w:r w:rsidR="00ED6C14">
              <w:rPr>
                <w:rFonts w:ascii="Times New Roman" w:eastAsia="Times New Roman" w:hAnsi="Times New Roman" w:cs="Times New Roman"/>
                <w:sz w:val="26"/>
                <w:szCs w:val="26"/>
                <w:lang w:eastAsia="lv-LV"/>
              </w:rPr>
              <w:t xml:space="preserve"> saskaņošanas procesā </w:t>
            </w:r>
            <w:r w:rsidR="00ED6C14" w:rsidRPr="00ED6C14">
              <w:rPr>
                <w:rFonts w:ascii="Times New Roman" w:eastAsia="Times New Roman" w:hAnsi="Times New Roman" w:cs="Times New Roman"/>
                <w:sz w:val="26"/>
                <w:szCs w:val="26"/>
                <w:lang w:eastAsia="lv-LV"/>
              </w:rPr>
              <w:t>Nacionālā</w:t>
            </w:r>
            <w:r w:rsidR="00ED6C14">
              <w:rPr>
                <w:rFonts w:ascii="Times New Roman" w:eastAsia="Times New Roman" w:hAnsi="Times New Roman" w:cs="Times New Roman"/>
                <w:sz w:val="26"/>
                <w:szCs w:val="26"/>
                <w:lang w:eastAsia="lv-LV"/>
              </w:rPr>
              <w:t>s</w:t>
            </w:r>
            <w:r w:rsidR="00ED6C14" w:rsidRPr="00ED6C14">
              <w:rPr>
                <w:rFonts w:ascii="Times New Roman" w:eastAsia="Times New Roman" w:hAnsi="Times New Roman" w:cs="Times New Roman"/>
                <w:sz w:val="26"/>
                <w:szCs w:val="26"/>
                <w:lang w:eastAsia="lv-LV"/>
              </w:rPr>
              <w:t xml:space="preserve"> trīspusējās sadarbības padome</w:t>
            </w:r>
            <w:r w:rsidR="00ED6C14">
              <w:rPr>
                <w:rFonts w:ascii="Times New Roman" w:eastAsia="Times New Roman" w:hAnsi="Times New Roman" w:cs="Times New Roman"/>
                <w:sz w:val="26"/>
                <w:szCs w:val="26"/>
                <w:lang w:eastAsia="lv-LV"/>
              </w:rPr>
              <w:t>s</w:t>
            </w:r>
            <w:r w:rsidR="00ED6C14" w:rsidRPr="00ED6C14">
              <w:rPr>
                <w:rFonts w:ascii="Times New Roman" w:eastAsia="Times New Roman" w:hAnsi="Times New Roman" w:cs="Times New Roman"/>
                <w:sz w:val="26"/>
                <w:szCs w:val="26"/>
                <w:lang w:eastAsia="lv-LV"/>
              </w:rPr>
              <w:t xml:space="preserve"> </w:t>
            </w:r>
            <w:r w:rsidR="005555B8">
              <w:rPr>
                <w:rFonts w:ascii="Times New Roman" w:eastAsia="Times New Roman" w:hAnsi="Times New Roman" w:cs="Times New Roman"/>
                <w:sz w:val="26"/>
                <w:szCs w:val="26"/>
                <w:lang w:eastAsia="lv-LV"/>
              </w:rPr>
              <w:t xml:space="preserve">Budžeta un nodokļu </w:t>
            </w:r>
            <w:r w:rsidR="005555B8">
              <w:rPr>
                <w:rFonts w:ascii="Times New Roman" w:eastAsia="Times New Roman" w:hAnsi="Times New Roman" w:cs="Times New Roman"/>
                <w:sz w:val="26"/>
                <w:szCs w:val="26"/>
                <w:lang w:eastAsia="lv-LV"/>
              </w:rPr>
              <w:lastRenderedPageBreak/>
              <w:t xml:space="preserve">apakšpadomes sēžu ietvaros </w:t>
            </w:r>
            <w:r>
              <w:rPr>
                <w:rFonts w:ascii="Times New Roman" w:eastAsia="Times New Roman" w:hAnsi="Times New Roman" w:cs="Times New Roman"/>
                <w:sz w:val="26"/>
                <w:szCs w:val="26"/>
                <w:lang w:eastAsia="lv-LV"/>
              </w:rPr>
              <w:t>piedalījās</w:t>
            </w:r>
            <w:r w:rsidR="003956E6">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003479A8" w:rsidRPr="00ED6C14">
              <w:rPr>
                <w:rFonts w:ascii="Times New Roman" w:eastAsia="Times New Roman" w:hAnsi="Times New Roman" w:cs="Times New Roman"/>
                <w:sz w:val="26"/>
                <w:szCs w:val="26"/>
                <w:lang w:eastAsia="lv-LV"/>
              </w:rPr>
              <w:t>Latvijas Darba devēju konfederācija, Latvijas Tirdzniecības un rūpniecības kamera un Latvijas Brīvo arodbiedrību savienība</w:t>
            </w:r>
            <w:r w:rsidRPr="00ED6C14">
              <w:rPr>
                <w:rFonts w:ascii="Times New Roman" w:eastAsia="Times New Roman" w:hAnsi="Times New Roman" w:cs="Times New Roman"/>
                <w:sz w:val="26"/>
                <w:szCs w:val="26"/>
                <w:lang w:eastAsia="lv-LV"/>
              </w:rPr>
              <w:t>.</w:t>
            </w:r>
          </w:p>
        </w:tc>
      </w:tr>
      <w:tr w:rsidR="00B84F67" w:rsidRPr="008C64EE" w:rsidTr="00A95DFC">
        <w:tc>
          <w:tcPr>
            <w:tcW w:w="391" w:type="pct"/>
            <w:tcBorders>
              <w:top w:val="outset" w:sz="6" w:space="0" w:color="414142"/>
              <w:left w:val="outset" w:sz="6" w:space="0" w:color="414142"/>
              <w:bottom w:val="outset" w:sz="6" w:space="0" w:color="414142"/>
              <w:right w:val="outset" w:sz="6" w:space="0" w:color="414142"/>
            </w:tcBorders>
            <w:hideMark/>
          </w:tcPr>
          <w:p w:rsidR="00B84F67" w:rsidRPr="00351962" w:rsidRDefault="00B84F67" w:rsidP="00B84F67">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lastRenderedPageBreak/>
              <w:t>3.</w:t>
            </w:r>
          </w:p>
        </w:tc>
        <w:tc>
          <w:tcPr>
            <w:tcW w:w="1578" w:type="pct"/>
            <w:tcBorders>
              <w:top w:val="outset" w:sz="6" w:space="0" w:color="414142"/>
              <w:left w:val="outset" w:sz="6" w:space="0" w:color="414142"/>
              <w:bottom w:val="outset" w:sz="6" w:space="0" w:color="414142"/>
              <w:right w:val="outset" w:sz="6" w:space="0" w:color="414142"/>
            </w:tcBorders>
            <w:hideMark/>
          </w:tcPr>
          <w:p w:rsidR="00B84F67" w:rsidRPr="00351962" w:rsidRDefault="00B84F67" w:rsidP="00B84F67">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Sabiedrības līdzdalības rezultāti</w:t>
            </w:r>
          </w:p>
        </w:tc>
        <w:tc>
          <w:tcPr>
            <w:tcW w:w="3031" w:type="pct"/>
            <w:tcBorders>
              <w:top w:val="outset" w:sz="6" w:space="0" w:color="414142"/>
              <w:left w:val="outset" w:sz="6" w:space="0" w:color="414142"/>
              <w:bottom w:val="outset" w:sz="6" w:space="0" w:color="414142"/>
              <w:right w:val="outset" w:sz="6" w:space="0" w:color="414142"/>
            </w:tcBorders>
            <w:hideMark/>
          </w:tcPr>
          <w:p w:rsidR="00B4208F" w:rsidRPr="00852C7A" w:rsidRDefault="005555B8" w:rsidP="005555B8">
            <w:pPr>
              <w:spacing w:line="240" w:lineRule="auto"/>
              <w:jc w:val="both"/>
              <w:rPr>
                <w:rFonts w:ascii="Times New Roman" w:eastAsia="Times New Roman" w:hAnsi="Times New Roman" w:cs="Times New Roman"/>
                <w:sz w:val="26"/>
                <w:szCs w:val="26"/>
                <w:lang w:eastAsia="lv-LV"/>
              </w:rPr>
            </w:pPr>
            <w:r w:rsidRPr="00852C7A">
              <w:rPr>
                <w:rFonts w:ascii="Times New Roman" w:eastAsia="Times New Roman" w:hAnsi="Times New Roman" w:cs="Times New Roman"/>
                <w:sz w:val="26"/>
                <w:szCs w:val="26"/>
                <w:lang w:eastAsia="lv-LV"/>
              </w:rPr>
              <w:t>Latvijas Darba devēju konfederācija, Latvijas Tirdzniecības un rūpniecības kamera un Latvijas Brīvo arodbiedrību savienība kopumā atbalsta valsts sociālās apdrošināšanas obligāto iemaksu likmes samazināšanu par 1 procentpunktu un ar to saistīto solidaritātes nodokļa likmju samazinājumu.</w:t>
            </w:r>
          </w:p>
          <w:p w:rsidR="005208C1" w:rsidRPr="00852C7A" w:rsidRDefault="005208C1" w:rsidP="00A8067B">
            <w:pPr>
              <w:spacing w:line="240" w:lineRule="auto"/>
              <w:jc w:val="both"/>
              <w:rPr>
                <w:rFonts w:ascii="Times New Roman" w:eastAsia="Times New Roman" w:hAnsi="Times New Roman" w:cs="Times New Roman"/>
                <w:sz w:val="26"/>
                <w:szCs w:val="26"/>
                <w:lang w:eastAsia="lv-LV"/>
              </w:rPr>
            </w:pPr>
            <w:r w:rsidRPr="00852C7A">
              <w:rPr>
                <w:rFonts w:ascii="Times New Roman" w:eastAsia="Times New Roman" w:hAnsi="Times New Roman" w:cs="Times New Roman"/>
                <w:sz w:val="26"/>
                <w:szCs w:val="26"/>
                <w:lang w:eastAsia="lv-LV"/>
              </w:rPr>
              <w:t xml:space="preserve">Latvijas Tirdzniecības un rūpniecības kamera </w:t>
            </w:r>
            <w:r w:rsidR="00852C7A" w:rsidRPr="00852C7A">
              <w:rPr>
                <w:rFonts w:ascii="Times New Roman" w:eastAsia="Times New Roman" w:hAnsi="Times New Roman" w:cs="Times New Roman"/>
                <w:sz w:val="26"/>
                <w:szCs w:val="26"/>
                <w:lang w:eastAsia="lv-LV"/>
              </w:rPr>
              <w:t xml:space="preserve"> un Latvijas Darba devēju konfederācija </w:t>
            </w:r>
            <w:r w:rsidRPr="00852C7A">
              <w:rPr>
                <w:rFonts w:ascii="Times New Roman" w:eastAsia="Times New Roman" w:hAnsi="Times New Roman" w:cs="Times New Roman"/>
                <w:sz w:val="26"/>
                <w:szCs w:val="26"/>
                <w:lang w:eastAsia="lv-LV"/>
              </w:rPr>
              <w:t xml:space="preserve">iebilst pret </w:t>
            </w:r>
            <w:r w:rsidR="00A8067B" w:rsidRPr="00852C7A">
              <w:rPr>
                <w:rFonts w:ascii="Times New Roman" w:eastAsia="Times New Roman" w:hAnsi="Times New Roman" w:cs="Times New Roman"/>
                <w:sz w:val="26"/>
                <w:szCs w:val="26"/>
                <w:lang w:eastAsia="lv-LV"/>
              </w:rPr>
              <w:t xml:space="preserve">to, ka </w:t>
            </w:r>
            <w:r w:rsidRPr="00852C7A">
              <w:rPr>
                <w:rFonts w:ascii="Times New Roman" w:eastAsia="Times New Roman" w:hAnsi="Times New Roman" w:cs="Times New Roman"/>
                <w:sz w:val="26"/>
                <w:szCs w:val="26"/>
                <w:lang w:eastAsia="lv-LV"/>
              </w:rPr>
              <w:t>solidaritātes nodokļa daļ</w:t>
            </w:r>
            <w:r w:rsidR="00A8067B" w:rsidRPr="00852C7A">
              <w:rPr>
                <w:rFonts w:ascii="Times New Roman" w:eastAsia="Times New Roman" w:hAnsi="Times New Roman" w:cs="Times New Roman"/>
                <w:sz w:val="26"/>
                <w:szCs w:val="26"/>
                <w:lang w:eastAsia="lv-LV"/>
              </w:rPr>
              <w:t>a</w:t>
            </w:r>
            <w:r w:rsidRPr="00852C7A">
              <w:rPr>
                <w:rFonts w:ascii="Times New Roman" w:eastAsia="Times New Roman" w:hAnsi="Times New Roman" w:cs="Times New Roman"/>
                <w:sz w:val="26"/>
                <w:szCs w:val="26"/>
                <w:lang w:eastAsia="lv-LV"/>
              </w:rPr>
              <w:t xml:space="preserve">, kas līdz šim tika reģistrēta nodokļa maksātāja personīgajā kontā, saskaņā ar likumu “Par valsts pensijām”, no 2021.gada </w:t>
            </w:r>
            <w:r w:rsidR="00A8067B" w:rsidRPr="00852C7A">
              <w:rPr>
                <w:rFonts w:ascii="Times New Roman" w:eastAsia="Times New Roman" w:hAnsi="Times New Roman" w:cs="Times New Roman"/>
                <w:sz w:val="26"/>
                <w:szCs w:val="26"/>
                <w:lang w:eastAsia="lv-LV"/>
              </w:rPr>
              <w:t xml:space="preserve">tiek </w:t>
            </w:r>
            <w:r w:rsidRPr="00852C7A">
              <w:rPr>
                <w:rFonts w:ascii="Times New Roman" w:eastAsia="Times New Roman" w:hAnsi="Times New Roman" w:cs="Times New Roman"/>
                <w:sz w:val="26"/>
                <w:szCs w:val="26"/>
                <w:lang w:eastAsia="lv-LV"/>
              </w:rPr>
              <w:t>novirzīt</w:t>
            </w:r>
            <w:r w:rsidR="00A8067B" w:rsidRPr="00852C7A">
              <w:rPr>
                <w:rFonts w:ascii="Times New Roman" w:eastAsia="Times New Roman" w:hAnsi="Times New Roman" w:cs="Times New Roman"/>
                <w:sz w:val="26"/>
                <w:szCs w:val="26"/>
                <w:lang w:eastAsia="lv-LV"/>
              </w:rPr>
              <w:t>a</w:t>
            </w:r>
            <w:r w:rsidRPr="00852C7A">
              <w:rPr>
                <w:rFonts w:ascii="Times New Roman" w:eastAsia="Times New Roman" w:hAnsi="Times New Roman" w:cs="Times New Roman"/>
                <w:sz w:val="26"/>
                <w:szCs w:val="26"/>
                <w:lang w:eastAsia="lv-LV"/>
              </w:rPr>
              <w:t xml:space="preserve"> valsts pensiju speciālajā budžetā nepersonalizēti.</w:t>
            </w:r>
          </w:p>
        </w:tc>
      </w:tr>
      <w:tr w:rsidR="00B84F67" w:rsidRPr="008C64EE" w:rsidTr="00A95DFC">
        <w:tc>
          <w:tcPr>
            <w:tcW w:w="391" w:type="pct"/>
            <w:tcBorders>
              <w:top w:val="outset" w:sz="6" w:space="0" w:color="414142"/>
              <w:left w:val="outset" w:sz="6" w:space="0" w:color="414142"/>
              <w:bottom w:val="outset" w:sz="6" w:space="0" w:color="414142"/>
              <w:right w:val="outset" w:sz="6" w:space="0" w:color="414142"/>
            </w:tcBorders>
            <w:hideMark/>
          </w:tcPr>
          <w:p w:rsidR="00B84F67" w:rsidRPr="00351962" w:rsidRDefault="00B84F67" w:rsidP="00B84F67">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4.</w:t>
            </w:r>
          </w:p>
        </w:tc>
        <w:tc>
          <w:tcPr>
            <w:tcW w:w="1578" w:type="pct"/>
            <w:tcBorders>
              <w:top w:val="outset" w:sz="6" w:space="0" w:color="414142"/>
              <w:left w:val="outset" w:sz="6" w:space="0" w:color="414142"/>
              <w:bottom w:val="outset" w:sz="6" w:space="0" w:color="414142"/>
              <w:right w:val="outset" w:sz="6" w:space="0" w:color="414142"/>
            </w:tcBorders>
            <w:hideMark/>
          </w:tcPr>
          <w:p w:rsidR="00B84F67" w:rsidRPr="00351962" w:rsidRDefault="00B84F67" w:rsidP="00B84F67">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Cita informācija</w:t>
            </w:r>
          </w:p>
        </w:tc>
        <w:tc>
          <w:tcPr>
            <w:tcW w:w="3031" w:type="pct"/>
            <w:tcBorders>
              <w:top w:val="outset" w:sz="6" w:space="0" w:color="414142"/>
              <w:left w:val="outset" w:sz="6" w:space="0" w:color="414142"/>
              <w:bottom w:val="outset" w:sz="6" w:space="0" w:color="414142"/>
              <w:right w:val="outset" w:sz="6" w:space="0" w:color="414142"/>
            </w:tcBorders>
            <w:hideMark/>
          </w:tcPr>
          <w:p w:rsidR="00B84F67" w:rsidRPr="00351962" w:rsidRDefault="00B84F67" w:rsidP="00B84F67">
            <w:pPr>
              <w:spacing w:line="240" w:lineRule="auto"/>
              <w:jc w:val="both"/>
              <w:rPr>
                <w:rFonts w:ascii="Times New Roman" w:eastAsia="Times New Roman" w:hAnsi="Times New Roman" w:cs="Times New Roman"/>
                <w:sz w:val="26"/>
                <w:szCs w:val="26"/>
                <w:lang w:eastAsia="lv-LV"/>
              </w:rPr>
            </w:pPr>
            <w:r w:rsidRPr="00351962">
              <w:rPr>
                <w:rFonts w:ascii="Times New Roman" w:eastAsia="Times New Roman" w:hAnsi="Times New Roman" w:cs="Times New Roman"/>
                <w:sz w:val="26"/>
                <w:szCs w:val="26"/>
                <w:lang w:eastAsia="lv-LV"/>
              </w:rPr>
              <w:t>Nav</w:t>
            </w:r>
          </w:p>
        </w:tc>
      </w:tr>
    </w:tbl>
    <w:p w:rsidR="008C64EE" w:rsidRPr="00351962" w:rsidRDefault="008C64EE" w:rsidP="00543AA6">
      <w:pPr>
        <w:spacing w:line="240" w:lineRule="auto"/>
        <w:rPr>
          <w:rFonts w:ascii="Times New Roman" w:eastAsia="Times New Roman" w:hAnsi="Times New Roman" w:cs="Times New Roman"/>
          <w:sz w:val="26"/>
          <w:szCs w:val="26"/>
          <w:lang w:eastAsia="lv-LV"/>
        </w:rPr>
      </w:pPr>
    </w:p>
    <w:tbl>
      <w:tblPr>
        <w:tblpPr w:leftFromText="180" w:rightFromText="180" w:vertAnchor="text" w:horzAnchor="margin" w:tblpX="-254" w:tblpY="212"/>
        <w:tblW w:w="529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4"/>
        <w:gridCol w:w="2951"/>
        <w:gridCol w:w="5654"/>
      </w:tblGrid>
      <w:tr w:rsidR="00F70A52" w:rsidRPr="00F70A52" w:rsidTr="00C479F6">
        <w:tc>
          <w:tcPr>
            <w:tcW w:w="5000" w:type="pct"/>
            <w:gridSpan w:val="3"/>
            <w:tcBorders>
              <w:top w:val="outset" w:sz="6" w:space="0" w:color="000000"/>
              <w:left w:val="outset" w:sz="6" w:space="0" w:color="000000"/>
              <w:bottom w:val="outset" w:sz="6" w:space="0" w:color="000000"/>
              <w:right w:val="outset" w:sz="6" w:space="0" w:color="000000"/>
            </w:tcBorders>
          </w:tcPr>
          <w:p w:rsidR="00F70A52" w:rsidRPr="00F70A52" w:rsidRDefault="00F70A52" w:rsidP="00F70A52">
            <w:pPr>
              <w:spacing w:line="240" w:lineRule="auto"/>
              <w:rPr>
                <w:rFonts w:ascii="Times New Roman" w:eastAsia="Times New Roman" w:hAnsi="Times New Roman" w:cs="Times New Roman"/>
                <w:b/>
                <w:bCs/>
                <w:sz w:val="26"/>
                <w:szCs w:val="26"/>
                <w:lang w:eastAsia="lv-LV"/>
              </w:rPr>
            </w:pPr>
            <w:r w:rsidRPr="00F70A52">
              <w:rPr>
                <w:rFonts w:ascii="Times New Roman" w:eastAsia="Times New Roman" w:hAnsi="Times New Roman" w:cs="Times New Roman"/>
                <w:b/>
                <w:bCs/>
                <w:sz w:val="26"/>
                <w:szCs w:val="26"/>
                <w:lang w:eastAsia="lv-LV"/>
              </w:rPr>
              <w:t>VII. Tiesību akta projekta izpildes nodrošināšana un tās ietekme uz institūcijām</w:t>
            </w:r>
          </w:p>
        </w:tc>
      </w:tr>
      <w:tr w:rsidR="00F70A52" w:rsidRPr="00F70A52" w:rsidTr="00C479F6">
        <w:tc>
          <w:tcPr>
            <w:tcW w:w="513" w:type="pct"/>
            <w:tcBorders>
              <w:top w:val="outset" w:sz="6" w:space="0" w:color="000000"/>
              <w:left w:val="outset" w:sz="6" w:space="0" w:color="000000"/>
              <w:bottom w:val="outset" w:sz="6" w:space="0" w:color="000000"/>
              <w:right w:val="outset" w:sz="6" w:space="0" w:color="000000"/>
            </w:tcBorders>
          </w:tcPr>
          <w:p w:rsidR="00F70A52" w:rsidRPr="00F70A52" w:rsidRDefault="00F70A52" w:rsidP="00F70A52">
            <w:pPr>
              <w:spacing w:line="240" w:lineRule="auto"/>
              <w:rPr>
                <w:rFonts w:ascii="Times New Roman" w:eastAsia="Times New Roman" w:hAnsi="Times New Roman" w:cs="Times New Roman"/>
                <w:sz w:val="26"/>
                <w:szCs w:val="26"/>
                <w:lang w:eastAsia="lv-LV"/>
              </w:rPr>
            </w:pPr>
            <w:r w:rsidRPr="00F70A52">
              <w:rPr>
                <w:rFonts w:ascii="Times New Roman" w:eastAsia="Times New Roman" w:hAnsi="Times New Roman" w:cs="Times New Roman"/>
                <w:sz w:val="26"/>
                <w:szCs w:val="26"/>
                <w:lang w:eastAsia="lv-LV"/>
              </w:rPr>
              <w:t>1.</w:t>
            </w:r>
          </w:p>
        </w:tc>
        <w:tc>
          <w:tcPr>
            <w:tcW w:w="1539" w:type="pct"/>
            <w:tcBorders>
              <w:top w:val="outset" w:sz="6" w:space="0" w:color="000000"/>
              <w:left w:val="outset" w:sz="6" w:space="0" w:color="000000"/>
              <w:bottom w:val="outset" w:sz="6" w:space="0" w:color="000000"/>
              <w:right w:val="outset" w:sz="6" w:space="0" w:color="000000"/>
            </w:tcBorders>
          </w:tcPr>
          <w:p w:rsidR="00F70A52" w:rsidRPr="00F70A52" w:rsidRDefault="00F70A52" w:rsidP="00F70A52">
            <w:pPr>
              <w:spacing w:line="240" w:lineRule="auto"/>
              <w:rPr>
                <w:rFonts w:ascii="Times New Roman" w:eastAsia="Times New Roman" w:hAnsi="Times New Roman" w:cs="Times New Roman"/>
                <w:sz w:val="26"/>
                <w:szCs w:val="26"/>
                <w:lang w:eastAsia="lv-LV"/>
              </w:rPr>
            </w:pPr>
            <w:r w:rsidRPr="00F70A52">
              <w:rPr>
                <w:rFonts w:ascii="Times New Roman" w:eastAsia="Times New Roman" w:hAnsi="Times New Roman" w:cs="Times New Roman"/>
                <w:sz w:val="26"/>
                <w:szCs w:val="26"/>
                <w:lang w:eastAsia="lv-LV"/>
              </w:rPr>
              <w:t>Projekta izpildē iesaistītās institūcijas</w:t>
            </w:r>
          </w:p>
        </w:tc>
        <w:tc>
          <w:tcPr>
            <w:tcW w:w="2947" w:type="pct"/>
            <w:tcBorders>
              <w:top w:val="outset" w:sz="6" w:space="0" w:color="000000"/>
              <w:left w:val="outset" w:sz="6" w:space="0" w:color="000000"/>
              <w:bottom w:val="outset" w:sz="6" w:space="0" w:color="000000"/>
              <w:right w:val="outset" w:sz="6" w:space="0" w:color="000000"/>
            </w:tcBorders>
          </w:tcPr>
          <w:p w:rsidR="00F70A52" w:rsidRDefault="00F70A52" w:rsidP="00F70A52">
            <w:pPr>
              <w:spacing w:line="240" w:lineRule="auto"/>
              <w:rPr>
                <w:rFonts w:ascii="Times New Roman" w:eastAsia="Times New Roman" w:hAnsi="Times New Roman" w:cs="Times New Roman"/>
                <w:sz w:val="26"/>
                <w:szCs w:val="26"/>
                <w:lang w:eastAsia="lv-LV"/>
              </w:rPr>
            </w:pPr>
            <w:r w:rsidRPr="00F70A52">
              <w:rPr>
                <w:rFonts w:ascii="Times New Roman" w:eastAsia="Times New Roman" w:hAnsi="Times New Roman" w:cs="Times New Roman"/>
                <w:sz w:val="26"/>
                <w:szCs w:val="26"/>
                <w:lang w:eastAsia="lv-LV"/>
              </w:rPr>
              <w:t>Valsts sociālās apdrošināšanas aģentūra</w:t>
            </w:r>
            <w:r w:rsidR="00083A93">
              <w:rPr>
                <w:rFonts w:ascii="Times New Roman" w:eastAsia="Times New Roman" w:hAnsi="Times New Roman" w:cs="Times New Roman"/>
                <w:sz w:val="26"/>
                <w:szCs w:val="26"/>
                <w:lang w:eastAsia="lv-LV"/>
              </w:rPr>
              <w:t>.</w:t>
            </w:r>
          </w:p>
          <w:p w:rsidR="00F70A52" w:rsidRPr="00F70A52" w:rsidRDefault="00F70A52" w:rsidP="00F70A52">
            <w:pPr>
              <w:spacing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Valsts ieņēmumu dienests</w:t>
            </w:r>
            <w:r w:rsidR="00083A93">
              <w:rPr>
                <w:rFonts w:ascii="Times New Roman" w:eastAsia="Times New Roman" w:hAnsi="Times New Roman" w:cs="Times New Roman"/>
                <w:sz w:val="26"/>
                <w:szCs w:val="26"/>
                <w:lang w:eastAsia="lv-LV"/>
              </w:rPr>
              <w:t>.</w:t>
            </w:r>
          </w:p>
        </w:tc>
      </w:tr>
      <w:tr w:rsidR="00F70A52" w:rsidRPr="00F70A52" w:rsidTr="00C479F6">
        <w:tc>
          <w:tcPr>
            <w:tcW w:w="513" w:type="pct"/>
            <w:tcBorders>
              <w:top w:val="outset" w:sz="6" w:space="0" w:color="000000"/>
              <w:left w:val="outset" w:sz="6" w:space="0" w:color="000000"/>
              <w:bottom w:val="outset" w:sz="6" w:space="0" w:color="000000"/>
              <w:right w:val="outset" w:sz="6" w:space="0" w:color="000000"/>
            </w:tcBorders>
          </w:tcPr>
          <w:p w:rsidR="00F70A52" w:rsidRPr="00F70A52" w:rsidRDefault="00F70A52" w:rsidP="00F70A52">
            <w:pPr>
              <w:spacing w:line="240" w:lineRule="auto"/>
              <w:rPr>
                <w:rFonts w:ascii="Times New Roman" w:eastAsia="Times New Roman" w:hAnsi="Times New Roman" w:cs="Times New Roman"/>
                <w:sz w:val="26"/>
                <w:szCs w:val="26"/>
                <w:lang w:val="en-US" w:eastAsia="lv-LV"/>
              </w:rPr>
            </w:pPr>
            <w:r w:rsidRPr="00F70A52">
              <w:rPr>
                <w:rFonts w:ascii="Times New Roman" w:eastAsia="Times New Roman" w:hAnsi="Times New Roman" w:cs="Times New Roman"/>
                <w:sz w:val="26"/>
                <w:szCs w:val="26"/>
                <w:lang w:val="en-US" w:eastAsia="lv-LV"/>
              </w:rPr>
              <w:t>2.</w:t>
            </w:r>
          </w:p>
        </w:tc>
        <w:tc>
          <w:tcPr>
            <w:tcW w:w="1539" w:type="pct"/>
            <w:tcBorders>
              <w:top w:val="outset" w:sz="6" w:space="0" w:color="000000"/>
              <w:left w:val="outset" w:sz="6" w:space="0" w:color="000000"/>
              <w:bottom w:val="outset" w:sz="6" w:space="0" w:color="000000"/>
              <w:right w:val="outset" w:sz="6" w:space="0" w:color="000000"/>
            </w:tcBorders>
          </w:tcPr>
          <w:p w:rsidR="00F70A52" w:rsidRPr="00F70A52" w:rsidRDefault="00F70A52" w:rsidP="00F70A52">
            <w:pPr>
              <w:spacing w:line="240" w:lineRule="auto"/>
              <w:rPr>
                <w:rFonts w:ascii="Times New Roman" w:eastAsia="Times New Roman" w:hAnsi="Times New Roman" w:cs="Times New Roman"/>
                <w:sz w:val="26"/>
                <w:szCs w:val="26"/>
                <w:lang w:eastAsia="lv-LV"/>
              </w:rPr>
            </w:pPr>
            <w:r w:rsidRPr="00F70A52">
              <w:rPr>
                <w:rFonts w:ascii="Times New Roman" w:eastAsia="Times New Roman" w:hAnsi="Times New Roman" w:cs="Times New Roman"/>
                <w:sz w:val="26"/>
                <w:szCs w:val="26"/>
                <w:lang w:eastAsia="lv-LV"/>
              </w:rPr>
              <w:t>Projekta izpildes ietekme uz pārvaldes funkcijām un institucionālo struktūru</w:t>
            </w:r>
          </w:p>
          <w:p w:rsidR="00F70A52" w:rsidRPr="00F70A52" w:rsidRDefault="00F70A52" w:rsidP="00F70A52">
            <w:pPr>
              <w:spacing w:line="240" w:lineRule="auto"/>
              <w:rPr>
                <w:rFonts w:ascii="Times New Roman" w:eastAsia="Times New Roman" w:hAnsi="Times New Roman" w:cs="Times New Roman"/>
                <w:sz w:val="26"/>
                <w:szCs w:val="26"/>
                <w:lang w:eastAsia="lv-LV"/>
              </w:rPr>
            </w:pPr>
            <w:r w:rsidRPr="00F70A5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947" w:type="pct"/>
            <w:tcBorders>
              <w:top w:val="outset" w:sz="6" w:space="0" w:color="000000"/>
              <w:left w:val="outset" w:sz="6" w:space="0" w:color="000000"/>
              <w:bottom w:val="outset" w:sz="6" w:space="0" w:color="000000"/>
              <w:right w:val="outset" w:sz="6" w:space="0" w:color="000000"/>
            </w:tcBorders>
          </w:tcPr>
          <w:p w:rsidR="00F70A52" w:rsidRPr="00F70A52" w:rsidRDefault="00F70A52" w:rsidP="00F70A52">
            <w:pPr>
              <w:spacing w:line="240" w:lineRule="auto"/>
              <w:jc w:val="both"/>
              <w:rPr>
                <w:rFonts w:ascii="Times New Roman" w:eastAsia="Times New Roman" w:hAnsi="Times New Roman" w:cs="Times New Roman"/>
                <w:sz w:val="26"/>
                <w:szCs w:val="26"/>
                <w:lang w:eastAsia="lv-LV"/>
              </w:rPr>
            </w:pPr>
            <w:r w:rsidRPr="00F70A52">
              <w:rPr>
                <w:rFonts w:ascii="Times New Roman" w:eastAsia="Times New Roman" w:hAnsi="Times New Roman" w:cs="Times New Roman"/>
                <w:sz w:val="26"/>
                <w:szCs w:val="26"/>
                <w:lang w:eastAsia="lv-LV"/>
              </w:rPr>
              <w:t>Valsts sociālās apdrošināšanas aģentūra</w:t>
            </w:r>
            <w:r>
              <w:rPr>
                <w:rFonts w:ascii="Times New Roman" w:eastAsia="Times New Roman" w:hAnsi="Times New Roman" w:cs="Times New Roman"/>
                <w:sz w:val="26"/>
                <w:szCs w:val="26"/>
                <w:lang w:eastAsia="lv-LV"/>
              </w:rPr>
              <w:t>s un Valsts ieņēmumu dienesta</w:t>
            </w:r>
            <w:r w:rsidRPr="00F70A52">
              <w:rPr>
                <w:rFonts w:ascii="Times New Roman" w:eastAsia="Times New Roman" w:hAnsi="Times New Roman" w:cs="Times New Roman"/>
                <w:sz w:val="26"/>
                <w:szCs w:val="26"/>
                <w:lang w:eastAsia="lv-LV"/>
              </w:rPr>
              <w:t xml:space="preserve"> funkcijas un uzdevumi netiks paplašināti vai sašaurināti. </w:t>
            </w:r>
          </w:p>
          <w:p w:rsidR="00F70A52" w:rsidRPr="00F70A52" w:rsidRDefault="00F70A52" w:rsidP="00F70A52">
            <w:pPr>
              <w:spacing w:line="240" w:lineRule="auto"/>
              <w:jc w:val="both"/>
              <w:rPr>
                <w:rFonts w:ascii="Times New Roman" w:eastAsia="Times New Roman" w:hAnsi="Times New Roman" w:cs="Times New Roman"/>
                <w:sz w:val="26"/>
                <w:szCs w:val="26"/>
                <w:lang w:eastAsia="lv-LV"/>
              </w:rPr>
            </w:pPr>
          </w:p>
          <w:p w:rsidR="00F70A52" w:rsidRPr="00F70A52" w:rsidRDefault="00F70A52" w:rsidP="00F70A52">
            <w:pPr>
              <w:spacing w:line="240" w:lineRule="auto"/>
              <w:jc w:val="both"/>
              <w:rPr>
                <w:rFonts w:ascii="Times New Roman" w:eastAsia="Times New Roman" w:hAnsi="Times New Roman" w:cs="Times New Roman"/>
                <w:sz w:val="26"/>
                <w:szCs w:val="26"/>
                <w:lang w:eastAsia="lv-LV"/>
              </w:rPr>
            </w:pPr>
            <w:r w:rsidRPr="00F70A52">
              <w:rPr>
                <w:rFonts w:ascii="Times New Roman" w:eastAsia="Times New Roman" w:hAnsi="Times New Roman" w:cs="Times New Roman"/>
                <w:sz w:val="26"/>
                <w:szCs w:val="26"/>
                <w:lang w:eastAsia="lv-LV"/>
              </w:rPr>
              <w:t>Jaunas institūcijas nav nepieciešams izveidot.</w:t>
            </w:r>
          </w:p>
          <w:p w:rsidR="00F70A52" w:rsidRPr="00F70A52" w:rsidRDefault="00F70A52" w:rsidP="00F70A52">
            <w:pPr>
              <w:spacing w:line="240" w:lineRule="auto"/>
              <w:jc w:val="both"/>
              <w:rPr>
                <w:rFonts w:ascii="Times New Roman" w:eastAsia="Times New Roman" w:hAnsi="Times New Roman" w:cs="Times New Roman"/>
                <w:sz w:val="26"/>
                <w:szCs w:val="26"/>
                <w:lang w:eastAsia="lv-LV"/>
              </w:rPr>
            </w:pPr>
            <w:r w:rsidRPr="00F70A52">
              <w:rPr>
                <w:rFonts w:ascii="Times New Roman" w:eastAsia="Times New Roman" w:hAnsi="Times New Roman" w:cs="Times New Roman"/>
                <w:sz w:val="26"/>
                <w:szCs w:val="26"/>
                <w:lang w:eastAsia="lv-LV"/>
              </w:rPr>
              <w:t>Nav paredzēta esošo institūciju likvidācija vai reorganizācija.</w:t>
            </w:r>
          </w:p>
          <w:p w:rsidR="00F70A52" w:rsidRPr="00F70A52" w:rsidRDefault="00F70A52" w:rsidP="00E97854">
            <w:pPr>
              <w:spacing w:line="240" w:lineRule="auto"/>
              <w:jc w:val="both"/>
              <w:rPr>
                <w:rFonts w:ascii="Times New Roman" w:eastAsia="Times New Roman" w:hAnsi="Times New Roman" w:cs="Times New Roman"/>
                <w:sz w:val="26"/>
                <w:szCs w:val="26"/>
                <w:lang w:eastAsia="lv-LV"/>
              </w:rPr>
            </w:pPr>
            <w:r w:rsidRPr="00F70A52">
              <w:rPr>
                <w:rFonts w:ascii="Times New Roman" w:eastAsia="Times New Roman" w:hAnsi="Times New Roman" w:cs="Times New Roman"/>
                <w:sz w:val="26"/>
                <w:szCs w:val="26"/>
                <w:lang w:eastAsia="lv-LV"/>
              </w:rPr>
              <w:t>Projekts tiks</w:t>
            </w:r>
            <w:r w:rsidR="00E97854">
              <w:rPr>
                <w:rFonts w:ascii="Times New Roman" w:eastAsia="Times New Roman" w:hAnsi="Times New Roman" w:cs="Times New Roman"/>
                <w:sz w:val="26"/>
                <w:szCs w:val="26"/>
                <w:lang w:eastAsia="lv-LV"/>
              </w:rPr>
              <w:t xml:space="preserve"> īstenots</w:t>
            </w:r>
            <w:r w:rsidRPr="00F70A52">
              <w:rPr>
                <w:rFonts w:ascii="Times New Roman" w:eastAsia="Times New Roman" w:hAnsi="Times New Roman" w:cs="Times New Roman"/>
                <w:sz w:val="26"/>
                <w:szCs w:val="26"/>
                <w:lang w:eastAsia="lv-LV"/>
              </w:rPr>
              <w:t xml:space="preserve"> esošo cilvēkresursu ietvaros.</w:t>
            </w:r>
          </w:p>
        </w:tc>
      </w:tr>
      <w:tr w:rsidR="00F70A52" w:rsidRPr="00F70A52" w:rsidTr="00C479F6">
        <w:tc>
          <w:tcPr>
            <w:tcW w:w="513" w:type="pct"/>
            <w:tcBorders>
              <w:top w:val="outset" w:sz="6" w:space="0" w:color="000000"/>
              <w:left w:val="outset" w:sz="6" w:space="0" w:color="000000"/>
              <w:bottom w:val="outset" w:sz="6" w:space="0" w:color="000000"/>
              <w:right w:val="outset" w:sz="6" w:space="0" w:color="000000"/>
            </w:tcBorders>
          </w:tcPr>
          <w:p w:rsidR="00F70A52" w:rsidRPr="00F70A52" w:rsidRDefault="00F70A52" w:rsidP="00F70A52">
            <w:pPr>
              <w:spacing w:line="240" w:lineRule="auto"/>
              <w:rPr>
                <w:rFonts w:ascii="Times New Roman" w:eastAsia="Times New Roman" w:hAnsi="Times New Roman" w:cs="Times New Roman"/>
                <w:sz w:val="26"/>
                <w:szCs w:val="26"/>
                <w:lang w:val="en-US" w:eastAsia="lv-LV"/>
              </w:rPr>
            </w:pPr>
            <w:r w:rsidRPr="00F70A52">
              <w:rPr>
                <w:rFonts w:ascii="Times New Roman" w:eastAsia="Times New Roman" w:hAnsi="Times New Roman" w:cs="Times New Roman"/>
                <w:sz w:val="26"/>
                <w:szCs w:val="26"/>
                <w:lang w:val="en-US" w:eastAsia="lv-LV"/>
              </w:rPr>
              <w:t>3.</w:t>
            </w:r>
          </w:p>
        </w:tc>
        <w:tc>
          <w:tcPr>
            <w:tcW w:w="1539" w:type="pct"/>
            <w:tcBorders>
              <w:top w:val="outset" w:sz="6" w:space="0" w:color="000000"/>
              <w:left w:val="outset" w:sz="6" w:space="0" w:color="000000"/>
              <w:bottom w:val="outset" w:sz="6" w:space="0" w:color="000000"/>
              <w:right w:val="outset" w:sz="6" w:space="0" w:color="000000"/>
            </w:tcBorders>
          </w:tcPr>
          <w:p w:rsidR="00F70A52" w:rsidRPr="00F70A52" w:rsidRDefault="00F70A52" w:rsidP="00F70A52">
            <w:pPr>
              <w:spacing w:line="240" w:lineRule="auto"/>
              <w:rPr>
                <w:rFonts w:ascii="Times New Roman" w:eastAsia="Times New Roman" w:hAnsi="Times New Roman" w:cs="Times New Roman"/>
                <w:sz w:val="26"/>
                <w:szCs w:val="26"/>
                <w:lang w:eastAsia="lv-LV"/>
              </w:rPr>
            </w:pPr>
            <w:r w:rsidRPr="00F70A52">
              <w:rPr>
                <w:rFonts w:ascii="Times New Roman" w:eastAsia="Times New Roman" w:hAnsi="Times New Roman" w:cs="Times New Roman"/>
                <w:sz w:val="26"/>
                <w:szCs w:val="26"/>
                <w:lang w:eastAsia="lv-LV"/>
              </w:rPr>
              <w:t>Cita informācija</w:t>
            </w:r>
          </w:p>
        </w:tc>
        <w:tc>
          <w:tcPr>
            <w:tcW w:w="2947" w:type="pct"/>
            <w:tcBorders>
              <w:top w:val="outset" w:sz="6" w:space="0" w:color="000000"/>
              <w:left w:val="outset" w:sz="6" w:space="0" w:color="000000"/>
              <w:bottom w:val="outset" w:sz="6" w:space="0" w:color="000000"/>
              <w:right w:val="outset" w:sz="6" w:space="0" w:color="000000"/>
            </w:tcBorders>
          </w:tcPr>
          <w:p w:rsidR="00F70A52" w:rsidRPr="00F70A52" w:rsidRDefault="00F70A52" w:rsidP="00F70A52">
            <w:pPr>
              <w:spacing w:line="240" w:lineRule="auto"/>
              <w:rPr>
                <w:rFonts w:ascii="Times New Roman" w:eastAsia="Times New Roman" w:hAnsi="Times New Roman" w:cs="Times New Roman"/>
                <w:sz w:val="26"/>
                <w:szCs w:val="26"/>
                <w:lang w:val="en-US" w:eastAsia="lv-LV"/>
              </w:rPr>
            </w:pPr>
            <w:r w:rsidRPr="00F70A52">
              <w:rPr>
                <w:rFonts w:ascii="Times New Roman" w:eastAsia="Times New Roman" w:hAnsi="Times New Roman" w:cs="Times New Roman"/>
                <w:sz w:val="26"/>
                <w:szCs w:val="26"/>
                <w:lang w:val="en-US" w:eastAsia="lv-LV"/>
              </w:rPr>
              <w:t>Nav.</w:t>
            </w:r>
          </w:p>
        </w:tc>
      </w:tr>
    </w:tbl>
    <w:p w:rsidR="007F1D73" w:rsidRPr="00351962" w:rsidRDefault="007F1D73" w:rsidP="007F1D73">
      <w:pPr>
        <w:spacing w:line="240" w:lineRule="auto"/>
        <w:rPr>
          <w:rFonts w:ascii="Times New Roman" w:eastAsia="Times New Roman" w:hAnsi="Times New Roman" w:cs="Times New Roman"/>
          <w:sz w:val="26"/>
          <w:szCs w:val="26"/>
          <w:lang w:eastAsia="lv-LV"/>
        </w:rPr>
      </w:pPr>
    </w:p>
    <w:p w:rsidR="00A242CA" w:rsidRPr="00351962" w:rsidRDefault="00A242CA" w:rsidP="007F1D73">
      <w:pPr>
        <w:spacing w:line="240" w:lineRule="auto"/>
        <w:rPr>
          <w:rFonts w:ascii="Times New Roman" w:eastAsia="Times New Roman" w:hAnsi="Times New Roman" w:cs="Times New Roman"/>
          <w:sz w:val="26"/>
          <w:szCs w:val="26"/>
          <w:lang w:eastAsia="lv-LV"/>
        </w:rPr>
      </w:pPr>
    </w:p>
    <w:p w:rsidR="000D6879" w:rsidRDefault="000D6879" w:rsidP="000D6879">
      <w:pPr>
        <w:pStyle w:val="Body"/>
        <w:spacing w:after="0" w:line="240" w:lineRule="auto"/>
        <w:jc w:val="both"/>
        <w:rPr>
          <w:rFonts w:ascii="Times New Roman" w:hAnsi="Times New Roman"/>
          <w:color w:val="auto"/>
          <w:sz w:val="28"/>
          <w:lang w:val="de-DE"/>
        </w:rPr>
      </w:pPr>
    </w:p>
    <w:p w:rsidR="000D6879" w:rsidRPr="00DE283C" w:rsidRDefault="000D6879"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rsidR="00E9088D" w:rsidRDefault="00E9088D" w:rsidP="007F1D73">
      <w:pPr>
        <w:spacing w:line="240" w:lineRule="auto"/>
        <w:rPr>
          <w:rFonts w:ascii="Times New Roman" w:eastAsia="Times New Roman" w:hAnsi="Times New Roman" w:cs="Times New Roman"/>
          <w:iCs/>
          <w:sz w:val="20"/>
          <w:szCs w:val="20"/>
          <w:lang w:val="de-DE" w:eastAsia="lv-LV"/>
        </w:rPr>
      </w:pPr>
    </w:p>
    <w:p w:rsidR="000D6879" w:rsidRPr="000D6879" w:rsidRDefault="000D6879" w:rsidP="007F1D73">
      <w:pPr>
        <w:spacing w:line="240" w:lineRule="auto"/>
        <w:rPr>
          <w:rFonts w:ascii="Times New Roman" w:eastAsia="Times New Roman" w:hAnsi="Times New Roman" w:cs="Times New Roman"/>
          <w:iCs/>
          <w:sz w:val="20"/>
          <w:szCs w:val="20"/>
          <w:lang w:val="de-DE" w:eastAsia="lv-LV"/>
        </w:rPr>
      </w:pPr>
    </w:p>
    <w:p w:rsidR="00A4738E" w:rsidRDefault="00A4738E" w:rsidP="007F1D73">
      <w:pPr>
        <w:spacing w:line="240" w:lineRule="auto"/>
        <w:rPr>
          <w:rFonts w:ascii="Times New Roman" w:eastAsia="Times New Roman" w:hAnsi="Times New Roman" w:cs="Times New Roman"/>
          <w:iCs/>
          <w:sz w:val="20"/>
          <w:szCs w:val="20"/>
          <w:lang w:eastAsia="lv-LV"/>
        </w:rPr>
      </w:pPr>
    </w:p>
    <w:p w:rsidR="000D6879" w:rsidRPr="00734234" w:rsidRDefault="000D6879" w:rsidP="007F1D73">
      <w:pPr>
        <w:spacing w:line="240" w:lineRule="auto"/>
        <w:rPr>
          <w:rFonts w:ascii="Times New Roman" w:eastAsia="Times New Roman" w:hAnsi="Times New Roman" w:cs="Times New Roman"/>
          <w:iCs/>
          <w:sz w:val="20"/>
          <w:szCs w:val="20"/>
          <w:lang w:eastAsia="lv-LV"/>
        </w:rPr>
      </w:pPr>
      <w:bookmarkStart w:id="0" w:name="_GoBack"/>
      <w:bookmarkEnd w:id="0"/>
    </w:p>
    <w:p w:rsidR="007F1D73" w:rsidRPr="00734234" w:rsidRDefault="00F70A52" w:rsidP="007F1D73">
      <w:pPr>
        <w:spacing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Smirnova, 67083843</w:t>
      </w:r>
    </w:p>
    <w:p w:rsidR="00F44212" w:rsidRPr="007F1D73" w:rsidRDefault="00A653AF" w:rsidP="00F44212">
      <w:pPr>
        <w:spacing w:line="240" w:lineRule="auto"/>
        <w:rPr>
          <w:rFonts w:ascii="Times New Roman" w:eastAsia="Times New Roman" w:hAnsi="Times New Roman" w:cs="Times New Roman"/>
          <w:iCs/>
          <w:sz w:val="20"/>
          <w:szCs w:val="20"/>
          <w:lang w:eastAsia="lv-LV"/>
        </w:rPr>
      </w:pPr>
      <w:hyperlink r:id="rId9" w:history="1">
        <w:r w:rsidR="00F70A52" w:rsidRPr="002F3CE2">
          <w:rPr>
            <w:rStyle w:val="Hyperlink"/>
            <w:rFonts w:ascii="Times New Roman" w:eastAsia="Times New Roman" w:hAnsi="Times New Roman" w:cs="Times New Roman"/>
            <w:iCs/>
            <w:sz w:val="20"/>
            <w:szCs w:val="20"/>
            <w:lang w:eastAsia="lv-LV"/>
          </w:rPr>
          <w:t>Irina.Smirnova@fm.gov.lv</w:t>
        </w:r>
      </w:hyperlink>
    </w:p>
    <w:p w:rsidR="001A3D58" w:rsidRDefault="001A3D58" w:rsidP="007F1D73">
      <w:pPr>
        <w:spacing w:line="240" w:lineRule="auto"/>
        <w:rPr>
          <w:rFonts w:ascii="Times New Roman" w:eastAsia="Times New Roman" w:hAnsi="Times New Roman" w:cs="Times New Roman"/>
          <w:iCs/>
          <w:sz w:val="20"/>
          <w:szCs w:val="20"/>
          <w:lang w:eastAsia="lv-LV"/>
        </w:rPr>
      </w:pPr>
    </w:p>
    <w:p w:rsidR="007F1D73" w:rsidRPr="001A3D58" w:rsidRDefault="000D6879" w:rsidP="001A3D58">
      <w:pPr>
        <w:tabs>
          <w:tab w:val="left" w:pos="3675"/>
        </w:tab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v_sk = 1816</w:t>
      </w:r>
    </w:p>
    <w:sectPr w:rsidR="007F1D73" w:rsidRPr="001A3D58" w:rsidSect="0008421B">
      <w:headerReference w:type="default" r:id="rId10"/>
      <w:footerReference w:type="default" r:id="rId11"/>
      <w:footerReference w:type="first" r:id="rId12"/>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B11" w:rsidRDefault="00DF1B11" w:rsidP="0038587F">
      <w:pPr>
        <w:spacing w:line="240" w:lineRule="auto"/>
      </w:pPr>
      <w:r>
        <w:separator/>
      </w:r>
    </w:p>
  </w:endnote>
  <w:endnote w:type="continuationSeparator" w:id="0">
    <w:p w:rsidR="00DF1B11" w:rsidRDefault="00DF1B11" w:rsidP="00385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F6" w:rsidRPr="00A511BD" w:rsidRDefault="00C479F6"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A653AF">
      <w:rPr>
        <w:rFonts w:ascii="Times New Roman" w:hAnsi="Times New Roman" w:cs="Times New Roman"/>
        <w:noProof/>
        <w:sz w:val="20"/>
        <w:szCs w:val="20"/>
      </w:rPr>
      <w:t>FMANOT_250920_SNGROZ</w:t>
    </w:r>
    <w:r w:rsidRPr="00A511BD">
      <w:rPr>
        <w:rFonts w:ascii="Times New Roman" w:hAnsi="Times New Roman" w:cs="Times New Roman"/>
        <w:sz w:val="20"/>
        <w:szCs w:val="20"/>
      </w:rPr>
      <w:fldChar w:fldCharType="end"/>
    </w:r>
    <w:r w:rsidR="000D6879">
      <w:rPr>
        <w:rFonts w:ascii="Times New Roman" w:hAnsi="Times New Roman" w:cs="Times New Roman"/>
        <w:sz w:val="20"/>
        <w:szCs w:val="20"/>
      </w:rPr>
      <w:t xml:space="preserve"> </w:t>
    </w:r>
    <w:r w:rsidR="000D6879">
      <w:rPr>
        <w:rFonts w:ascii="Times New Roman" w:hAnsi="Times New Roman" w:cs="Times New Roman"/>
        <w:sz w:val="20"/>
        <w:szCs w:val="20"/>
      </w:rPr>
      <w:t>(TA-1875)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F6" w:rsidRPr="00AF30EA" w:rsidRDefault="00C479F6" w:rsidP="001A3D58">
    <w:pPr>
      <w:pStyle w:val="Footer"/>
      <w:tabs>
        <w:tab w:val="clear" w:pos="4153"/>
        <w:tab w:val="clear" w:pos="8306"/>
        <w:tab w:val="left" w:pos="3705"/>
      </w:tabs>
      <w:rPr>
        <w:rFonts w:ascii="Times New Roman" w:hAnsi="Times New Roman" w:cs="Times New Roman"/>
        <w:sz w:val="20"/>
        <w:szCs w:val="20"/>
      </w:rPr>
    </w:pPr>
    <w:r w:rsidRPr="00AF30EA">
      <w:rPr>
        <w:rFonts w:ascii="Times New Roman" w:hAnsi="Times New Roman" w:cs="Times New Roman"/>
        <w:sz w:val="20"/>
        <w:szCs w:val="20"/>
        <w:lang w:val="en-GB"/>
      </w:rPr>
      <w:fldChar w:fldCharType="begin"/>
    </w:r>
    <w:r w:rsidRPr="00AF30EA">
      <w:rPr>
        <w:rFonts w:ascii="Times New Roman" w:hAnsi="Times New Roman" w:cs="Times New Roman"/>
        <w:sz w:val="20"/>
        <w:szCs w:val="20"/>
      </w:rPr>
      <w:instrText xml:space="preserve"> FILENAME   \* MERGEFORMAT </w:instrText>
    </w:r>
    <w:r w:rsidRPr="00AF30EA">
      <w:rPr>
        <w:rFonts w:ascii="Times New Roman" w:hAnsi="Times New Roman" w:cs="Times New Roman"/>
        <w:sz w:val="20"/>
        <w:szCs w:val="20"/>
        <w:lang w:val="en-GB"/>
      </w:rPr>
      <w:fldChar w:fldCharType="separate"/>
    </w:r>
    <w:r w:rsidR="00A653AF">
      <w:rPr>
        <w:rFonts w:ascii="Times New Roman" w:hAnsi="Times New Roman" w:cs="Times New Roman"/>
        <w:noProof/>
        <w:sz w:val="20"/>
        <w:szCs w:val="20"/>
      </w:rPr>
      <w:t>FMANOT_250920_SNGROZ</w:t>
    </w:r>
    <w:r w:rsidRPr="00AF30EA">
      <w:rPr>
        <w:rFonts w:ascii="Times New Roman" w:hAnsi="Times New Roman" w:cs="Times New Roman"/>
        <w:sz w:val="20"/>
        <w:szCs w:val="20"/>
      </w:rPr>
      <w:fldChar w:fldCharType="end"/>
    </w:r>
    <w:r w:rsidR="000D6879">
      <w:rPr>
        <w:rFonts w:ascii="Times New Roman" w:hAnsi="Times New Roman" w:cs="Times New Roman"/>
        <w:sz w:val="20"/>
        <w:szCs w:val="20"/>
      </w:rPr>
      <w:t xml:space="preserve"> (TA-1875)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B11" w:rsidRDefault="00DF1B11" w:rsidP="0038587F">
      <w:pPr>
        <w:spacing w:line="240" w:lineRule="auto"/>
      </w:pPr>
      <w:r>
        <w:separator/>
      </w:r>
    </w:p>
  </w:footnote>
  <w:footnote w:type="continuationSeparator" w:id="0">
    <w:p w:rsidR="00DF1B11" w:rsidRDefault="00DF1B11" w:rsidP="00385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770915"/>
      <w:docPartObj>
        <w:docPartGallery w:val="Page Numbers (Top of Page)"/>
        <w:docPartUnique/>
      </w:docPartObj>
    </w:sdtPr>
    <w:sdtEndPr>
      <w:rPr>
        <w:noProof/>
      </w:rPr>
    </w:sdtEndPr>
    <w:sdtContent>
      <w:p w:rsidR="00C479F6" w:rsidRDefault="00C479F6">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2D0D6C">
          <w:rPr>
            <w:rFonts w:ascii="Times New Roman" w:hAnsi="Times New Roman" w:cs="Times New Roman"/>
            <w:noProof/>
          </w:rPr>
          <w:t>8</w:t>
        </w:r>
        <w:r w:rsidRPr="001417DE">
          <w:rPr>
            <w:rFonts w:ascii="Times New Roman" w:hAnsi="Times New Roman" w:cs="Times New Roman"/>
            <w:noProof/>
          </w:rPr>
          <w:fldChar w:fldCharType="end"/>
        </w:r>
      </w:p>
    </w:sdtContent>
  </w:sdt>
  <w:p w:rsidR="00C479F6" w:rsidRDefault="00C4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1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46E0F"/>
    <w:multiLevelType w:val="hybridMultilevel"/>
    <w:tmpl w:val="F348AB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B40E75"/>
    <w:multiLevelType w:val="hybridMultilevel"/>
    <w:tmpl w:val="B4CA3D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4" w15:restartNumberingAfterBreak="0">
    <w:nsid w:val="04CC41DF"/>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ED21BE"/>
    <w:multiLevelType w:val="hybridMultilevel"/>
    <w:tmpl w:val="788C30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5205F89"/>
    <w:multiLevelType w:val="hybridMultilevel"/>
    <w:tmpl w:val="9622417E"/>
    <w:lvl w:ilvl="0" w:tplc="3DB018D2">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7" w15:restartNumberingAfterBreak="0">
    <w:nsid w:val="086C4D0B"/>
    <w:multiLevelType w:val="hybridMultilevel"/>
    <w:tmpl w:val="C95C648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0B0A27F7"/>
    <w:multiLevelType w:val="hybridMultilevel"/>
    <w:tmpl w:val="DEFAD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E8413F"/>
    <w:multiLevelType w:val="hybridMultilevel"/>
    <w:tmpl w:val="ACB2BE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EC070B"/>
    <w:multiLevelType w:val="hybridMultilevel"/>
    <w:tmpl w:val="C0285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1E938BF"/>
    <w:multiLevelType w:val="hybridMultilevel"/>
    <w:tmpl w:val="ACA60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8074D2"/>
    <w:multiLevelType w:val="hybridMultilevel"/>
    <w:tmpl w:val="BF526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C24C30"/>
    <w:multiLevelType w:val="hybridMultilevel"/>
    <w:tmpl w:val="394A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08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5655A1"/>
    <w:multiLevelType w:val="hybridMultilevel"/>
    <w:tmpl w:val="6D6C56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702DA4"/>
    <w:multiLevelType w:val="hybridMultilevel"/>
    <w:tmpl w:val="343EB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BB01DA"/>
    <w:multiLevelType w:val="hybridMultilevel"/>
    <w:tmpl w:val="0122F7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577D59"/>
    <w:multiLevelType w:val="hybridMultilevel"/>
    <w:tmpl w:val="37CE3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376F28"/>
    <w:multiLevelType w:val="hybridMultilevel"/>
    <w:tmpl w:val="24F29E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4E071B"/>
    <w:multiLevelType w:val="hybridMultilevel"/>
    <w:tmpl w:val="9FBE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8E38BC"/>
    <w:multiLevelType w:val="hybridMultilevel"/>
    <w:tmpl w:val="886E5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B05A19"/>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3045E2"/>
    <w:multiLevelType w:val="hybridMultilevel"/>
    <w:tmpl w:val="5F827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004367"/>
    <w:multiLevelType w:val="hybridMultilevel"/>
    <w:tmpl w:val="F3964C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CC57FE"/>
    <w:multiLevelType w:val="hybridMultilevel"/>
    <w:tmpl w:val="E3FE29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A744C96"/>
    <w:multiLevelType w:val="hybridMultilevel"/>
    <w:tmpl w:val="D79CF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0F15C3"/>
    <w:multiLevelType w:val="hybridMultilevel"/>
    <w:tmpl w:val="6978B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5C6BBD"/>
    <w:multiLevelType w:val="hybridMultilevel"/>
    <w:tmpl w:val="FB48B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FB1BF5"/>
    <w:multiLevelType w:val="hybridMultilevel"/>
    <w:tmpl w:val="60EE0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0157ED"/>
    <w:multiLevelType w:val="hybridMultilevel"/>
    <w:tmpl w:val="575CF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317DB5"/>
    <w:multiLevelType w:val="hybridMultilevel"/>
    <w:tmpl w:val="B32E61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501F74"/>
    <w:multiLevelType w:val="hybridMultilevel"/>
    <w:tmpl w:val="AD760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F1B13C1"/>
    <w:multiLevelType w:val="hybridMultilevel"/>
    <w:tmpl w:val="08004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0"/>
  </w:num>
  <w:num w:numId="3">
    <w:abstractNumId w:val="30"/>
  </w:num>
  <w:num w:numId="4">
    <w:abstractNumId w:val="0"/>
  </w:num>
  <w:num w:numId="5">
    <w:abstractNumId w:val="33"/>
  </w:num>
  <w:num w:numId="6">
    <w:abstractNumId w:val="11"/>
  </w:num>
  <w:num w:numId="7">
    <w:abstractNumId w:val="13"/>
  </w:num>
  <w:num w:numId="8">
    <w:abstractNumId w:val="12"/>
  </w:num>
  <w:num w:numId="9">
    <w:abstractNumId w:val="22"/>
  </w:num>
  <w:num w:numId="10">
    <w:abstractNumId w:val="14"/>
  </w:num>
  <w:num w:numId="11">
    <w:abstractNumId w:val="4"/>
  </w:num>
  <w:num w:numId="12">
    <w:abstractNumId w:val="2"/>
  </w:num>
  <w:num w:numId="13">
    <w:abstractNumId w:val="1"/>
  </w:num>
  <w:num w:numId="14">
    <w:abstractNumId w:val="29"/>
  </w:num>
  <w:num w:numId="15">
    <w:abstractNumId w:val="25"/>
  </w:num>
  <w:num w:numId="16">
    <w:abstractNumId w:val="23"/>
  </w:num>
  <w:num w:numId="17">
    <w:abstractNumId w:val="10"/>
  </w:num>
  <w:num w:numId="18">
    <w:abstractNumId w:val="18"/>
  </w:num>
  <w:num w:numId="19">
    <w:abstractNumId w:val="17"/>
  </w:num>
  <w:num w:numId="20">
    <w:abstractNumId w:val="16"/>
  </w:num>
  <w:num w:numId="21">
    <w:abstractNumId w:val="28"/>
  </w:num>
  <w:num w:numId="22">
    <w:abstractNumId w:val="32"/>
  </w:num>
  <w:num w:numId="23">
    <w:abstractNumId w:val="27"/>
  </w:num>
  <w:num w:numId="24">
    <w:abstractNumId w:val="7"/>
  </w:num>
  <w:num w:numId="25">
    <w:abstractNumId w:val="6"/>
  </w:num>
  <w:num w:numId="26">
    <w:abstractNumId w:val="21"/>
  </w:num>
  <w:num w:numId="27">
    <w:abstractNumId w:val="19"/>
  </w:num>
  <w:num w:numId="28">
    <w:abstractNumId w:val="26"/>
  </w:num>
  <w:num w:numId="29">
    <w:abstractNumId w:val="8"/>
  </w:num>
  <w:num w:numId="30">
    <w:abstractNumId w:val="24"/>
  </w:num>
  <w:num w:numId="31">
    <w:abstractNumId w:val="5"/>
  </w:num>
  <w:num w:numId="32">
    <w:abstractNumId w:val="31"/>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02869"/>
    <w:rsid w:val="0000399A"/>
    <w:rsid w:val="00004BA1"/>
    <w:rsid w:val="00005484"/>
    <w:rsid w:val="00007226"/>
    <w:rsid w:val="00010538"/>
    <w:rsid w:val="000119A6"/>
    <w:rsid w:val="00011B5B"/>
    <w:rsid w:val="000225C2"/>
    <w:rsid w:val="0002518A"/>
    <w:rsid w:val="000269F1"/>
    <w:rsid w:val="00030CFF"/>
    <w:rsid w:val="00033F27"/>
    <w:rsid w:val="00036D8F"/>
    <w:rsid w:val="00037A1E"/>
    <w:rsid w:val="00041837"/>
    <w:rsid w:val="000418FF"/>
    <w:rsid w:val="00043EAE"/>
    <w:rsid w:val="000440F9"/>
    <w:rsid w:val="00044F29"/>
    <w:rsid w:val="000477CB"/>
    <w:rsid w:val="000505D4"/>
    <w:rsid w:val="0005114D"/>
    <w:rsid w:val="0005206D"/>
    <w:rsid w:val="00055D7E"/>
    <w:rsid w:val="00056F2D"/>
    <w:rsid w:val="0006103B"/>
    <w:rsid w:val="00061A98"/>
    <w:rsid w:val="000655DC"/>
    <w:rsid w:val="0006723B"/>
    <w:rsid w:val="0007099B"/>
    <w:rsid w:val="00074A98"/>
    <w:rsid w:val="00076200"/>
    <w:rsid w:val="00081B32"/>
    <w:rsid w:val="00083A93"/>
    <w:rsid w:val="0008421B"/>
    <w:rsid w:val="0009400F"/>
    <w:rsid w:val="000A770A"/>
    <w:rsid w:val="000A7F54"/>
    <w:rsid w:val="000B40AC"/>
    <w:rsid w:val="000B60CE"/>
    <w:rsid w:val="000B697B"/>
    <w:rsid w:val="000C103A"/>
    <w:rsid w:val="000C2797"/>
    <w:rsid w:val="000C3838"/>
    <w:rsid w:val="000C672A"/>
    <w:rsid w:val="000D2502"/>
    <w:rsid w:val="000D6879"/>
    <w:rsid w:val="000E0F91"/>
    <w:rsid w:val="000E1054"/>
    <w:rsid w:val="000E3C03"/>
    <w:rsid w:val="000E59A3"/>
    <w:rsid w:val="000E6F2B"/>
    <w:rsid w:val="000E787F"/>
    <w:rsid w:val="000F023F"/>
    <w:rsid w:val="000F14D1"/>
    <w:rsid w:val="000F212E"/>
    <w:rsid w:val="000F32A6"/>
    <w:rsid w:val="00102CD0"/>
    <w:rsid w:val="00110545"/>
    <w:rsid w:val="0011190E"/>
    <w:rsid w:val="001139AF"/>
    <w:rsid w:val="00115166"/>
    <w:rsid w:val="00117DB1"/>
    <w:rsid w:val="00121DCB"/>
    <w:rsid w:val="00122503"/>
    <w:rsid w:val="0012422E"/>
    <w:rsid w:val="001248D0"/>
    <w:rsid w:val="00126EE2"/>
    <w:rsid w:val="00126FFA"/>
    <w:rsid w:val="001314BD"/>
    <w:rsid w:val="0013772D"/>
    <w:rsid w:val="0014001A"/>
    <w:rsid w:val="00141350"/>
    <w:rsid w:val="001417DE"/>
    <w:rsid w:val="00142C25"/>
    <w:rsid w:val="00146807"/>
    <w:rsid w:val="00147054"/>
    <w:rsid w:val="00154C86"/>
    <w:rsid w:val="00161890"/>
    <w:rsid w:val="0016270A"/>
    <w:rsid w:val="001631A1"/>
    <w:rsid w:val="0016462F"/>
    <w:rsid w:val="001648B8"/>
    <w:rsid w:val="001701E3"/>
    <w:rsid w:val="001704B9"/>
    <w:rsid w:val="00180F4B"/>
    <w:rsid w:val="00185F46"/>
    <w:rsid w:val="00186ECE"/>
    <w:rsid w:val="001878CA"/>
    <w:rsid w:val="001952D8"/>
    <w:rsid w:val="001955DC"/>
    <w:rsid w:val="001A1B74"/>
    <w:rsid w:val="001A29C6"/>
    <w:rsid w:val="001A3D58"/>
    <w:rsid w:val="001A5E78"/>
    <w:rsid w:val="001B5240"/>
    <w:rsid w:val="001B70C2"/>
    <w:rsid w:val="001C1C8C"/>
    <w:rsid w:val="001C245F"/>
    <w:rsid w:val="001C3C93"/>
    <w:rsid w:val="001C5430"/>
    <w:rsid w:val="001C6DB1"/>
    <w:rsid w:val="001D127A"/>
    <w:rsid w:val="001D30EF"/>
    <w:rsid w:val="001D52DB"/>
    <w:rsid w:val="001D6566"/>
    <w:rsid w:val="001D756C"/>
    <w:rsid w:val="001E7667"/>
    <w:rsid w:val="001E78D1"/>
    <w:rsid w:val="001F184E"/>
    <w:rsid w:val="001F1F9A"/>
    <w:rsid w:val="001F3FFB"/>
    <w:rsid w:val="001F674C"/>
    <w:rsid w:val="002014F7"/>
    <w:rsid w:val="00201F37"/>
    <w:rsid w:val="00213109"/>
    <w:rsid w:val="00215D2F"/>
    <w:rsid w:val="002233BD"/>
    <w:rsid w:val="0022464F"/>
    <w:rsid w:val="00225267"/>
    <w:rsid w:val="00227EB3"/>
    <w:rsid w:val="00231604"/>
    <w:rsid w:val="00232EAC"/>
    <w:rsid w:val="002336CA"/>
    <w:rsid w:val="00235DE5"/>
    <w:rsid w:val="0024078E"/>
    <w:rsid w:val="0024211E"/>
    <w:rsid w:val="0025164D"/>
    <w:rsid w:val="0025171A"/>
    <w:rsid w:val="0025448D"/>
    <w:rsid w:val="00257DF3"/>
    <w:rsid w:val="00262AD4"/>
    <w:rsid w:val="00263609"/>
    <w:rsid w:val="00265A5F"/>
    <w:rsid w:val="0027148E"/>
    <w:rsid w:val="0027659E"/>
    <w:rsid w:val="00281988"/>
    <w:rsid w:val="0028351E"/>
    <w:rsid w:val="00291884"/>
    <w:rsid w:val="00296693"/>
    <w:rsid w:val="002A56D8"/>
    <w:rsid w:val="002A7982"/>
    <w:rsid w:val="002B5F01"/>
    <w:rsid w:val="002B6726"/>
    <w:rsid w:val="002C2311"/>
    <w:rsid w:val="002C26C4"/>
    <w:rsid w:val="002C3542"/>
    <w:rsid w:val="002C423F"/>
    <w:rsid w:val="002D09CC"/>
    <w:rsid w:val="002D0D6C"/>
    <w:rsid w:val="002D1655"/>
    <w:rsid w:val="002D7F57"/>
    <w:rsid w:val="002E196F"/>
    <w:rsid w:val="002E2931"/>
    <w:rsid w:val="002E7A94"/>
    <w:rsid w:val="002F21E6"/>
    <w:rsid w:val="002F4EB5"/>
    <w:rsid w:val="00301858"/>
    <w:rsid w:val="00303C09"/>
    <w:rsid w:val="0031237D"/>
    <w:rsid w:val="003123D0"/>
    <w:rsid w:val="00314751"/>
    <w:rsid w:val="00322FF6"/>
    <w:rsid w:val="00323156"/>
    <w:rsid w:val="003236D4"/>
    <w:rsid w:val="00323A58"/>
    <w:rsid w:val="00324BEF"/>
    <w:rsid w:val="003321E5"/>
    <w:rsid w:val="003356ED"/>
    <w:rsid w:val="003356FF"/>
    <w:rsid w:val="00341B12"/>
    <w:rsid w:val="00341B33"/>
    <w:rsid w:val="00344232"/>
    <w:rsid w:val="0034570B"/>
    <w:rsid w:val="00345C08"/>
    <w:rsid w:val="003479A8"/>
    <w:rsid w:val="00347C04"/>
    <w:rsid w:val="00350383"/>
    <w:rsid w:val="00351962"/>
    <w:rsid w:val="003556DF"/>
    <w:rsid w:val="0036301C"/>
    <w:rsid w:val="00364EEB"/>
    <w:rsid w:val="003654C1"/>
    <w:rsid w:val="00367A60"/>
    <w:rsid w:val="0037068A"/>
    <w:rsid w:val="00372FD7"/>
    <w:rsid w:val="0037319B"/>
    <w:rsid w:val="00373746"/>
    <w:rsid w:val="003810C3"/>
    <w:rsid w:val="0038208B"/>
    <w:rsid w:val="0038325B"/>
    <w:rsid w:val="00383AF1"/>
    <w:rsid w:val="0038587F"/>
    <w:rsid w:val="00386145"/>
    <w:rsid w:val="00386D07"/>
    <w:rsid w:val="003956E6"/>
    <w:rsid w:val="00395EEC"/>
    <w:rsid w:val="003A40A1"/>
    <w:rsid w:val="003A41DC"/>
    <w:rsid w:val="003A61EC"/>
    <w:rsid w:val="003B07BB"/>
    <w:rsid w:val="003B0825"/>
    <w:rsid w:val="003B21C9"/>
    <w:rsid w:val="003B4715"/>
    <w:rsid w:val="003B50F3"/>
    <w:rsid w:val="003B5D76"/>
    <w:rsid w:val="003C0CCC"/>
    <w:rsid w:val="003C0F08"/>
    <w:rsid w:val="003C0F2B"/>
    <w:rsid w:val="003C10E3"/>
    <w:rsid w:val="003C2CF1"/>
    <w:rsid w:val="003C52BE"/>
    <w:rsid w:val="003C5F6E"/>
    <w:rsid w:val="003C63F1"/>
    <w:rsid w:val="003D3AB5"/>
    <w:rsid w:val="003D4618"/>
    <w:rsid w:val="003D4C74"/>
    <w:rsid w:val="003D6742"/>
    <w:rsid w:val="003E3E35"/>
    <w:rsid w:val="003F12FC"/>
    <w:rsid w:val="003F2F71"/>
    <w:rsid w:val="003F5C66"/>
    <w:rsid w:val="00401CF8"/>
    <w:rsid w:val="00404A80"/>
    <w:rsid w:val="00404AFA"/>
    <w:rsid w:val="0040747B"/>
    <w:rsid w:val="00411F7E"/>
    <w:rsid w:val="00415797"/>
    <w:rsid w:val="0041771F"/>
    <w:rsid w:val="00420210"/>
    <w:rsid w:val="004244A9"/>
    <w:rsid w:val="004325A3"/>
    <w:rsid w:val="0043403B"/>
    <w:rsid w:val="00434BD4"/>
    <w:rsid w:val="00442225"/>
    <w:rsid w:val="00443A07"/>
    <w:rsid w:val="00444AB5"/>
    <w:rsid w:val="00450F2B"/>
    <w:rsid w:val="004525DC"/>
    <w:rsid w:val="00461146"/>
    <w:rsid w:val="00464924"/>
    <w:rsid w:val="00467167"/>
    <w:rsid w:val="00470A85"/>
    <w:rsid w:val="0047187D"/>
    <w:rsid w:val="004747A1"/>
    <w:rsid w:val="00474E95"/>
    <w:rsid w:val="00475A60"/>
    <w:rsid w:val="004802F8"/>
    <w:rsid w:val="00483C88"/>
    <w:rsid w:val="004935BD"/>
    <w:rsid w:val="004A6A56"/>
    <w:rsid w:val="004A772F"/>
    <w:rsid w:val="004A7C79"/>
    <w:rsid w:val="004B06D3"/>
    <w:rsid w:val="004B1FB2"/>
    <w:rsid w:val="004B2D46"/>
    <w:rsid w:val="004B6B35"/>
    <w:rsid w:val="004B7131"/>
    <w:rsid w:val="004C40D0"/>
    <w:rsid w:val="004C4547"/>
    <w:rsid w:val="004C7D9E"/>
    <w:rsid w:val="004E1F8F"/>
    <w:rsid w:val="004E7952"/>
    <w:rsid w:val="0050133B"/>
    <w:rsid w:val="00502E93"/>
    <w:rsid w:val="00504EB7"/>
    <w:rsid w:val="00511E8E"/>
    <w:rsid w:val="00514260"/>
    <w:rsid w:val="00516B96"/>
    <w:rsid w:val="005208C1"/>
    <w:rsid w:val="00520B7F"/>
    <w:rsid w:val="00521949"/>
    <w:rsid w:val="00521F96"/>
    <w:rsid w:val="005327AE"/>
    <w:rsid w:val="00535E72"/>
    <w:rsid w:val="00537972"/>
    <w:rsid w:val="00542093"/>
    <w:rsid w:val="00543AA6"/>
    <w:rsid w:val="0054425F"/>
    <w:rsid w:val="005469F4"/>
    <w:rsid w:val="005537C3"/>
    <w:rsid w:val="005555B8"/>
    <w:rsid w:val="005574D0"/>
    <w:rsid w:val="00557C67"/>
    <w:rsid w:val="00563632"/>
    <w:rsid w:val="00564546"/>
    <w:rsid w:val="005645D7"/>
    <w:rsid w:val="0056492C"/>
    <w:rsid w:val="005657CD"/>
    <w:rsid w:val="00570D51"/>
    <w:rsid w:val="00584A13"/>
    <w:rsid w:val="00585E22"/>
    <w:rsid w:val="0058794E"/>
    <w:rsid w:val="00593DBC"/>
    <w:rsid w:val="0059495A"/>
    <w:rsid w:val="005A1544"/>
    <w:rsid w:val="005A2971"/>
    <w:rsid w:val="005A331B"/>
    <w:rsid w:val="005A3D48"/>
    <w:rsid w:val="005A7368"/>
    <w:rsid w:val="005B02B3"/>
    <w:rsid w:val="005B77B5"/>
    <w:rsid w:val="005C0AAE"/>
    <w:rsid w:val="005C0C3F"/>
    <w:rsid w:val="005C5F58"/>
    <w:rsid w:val="005D3204"/>
    <w:rsid w:val="005D5387"/>
    <w:rsid w:val="005D561F"/>
    <w:rsid w:val="005D7DC9"/>
    <w:rsid w:val="005E00CF"/>
    <w:rsid w:val="005E3688"/>
    <w:rsid w:val="005E7974"/>
    <w:rsid w:val="005F1A55"/>
    <w:rsid w:val="005F3228"/>
    <w:rsid w:val="005F3AE4"/>
    <w:rsid w:val="005F65DB"/>
    <w:rsid w:val="0060135B"/>
    <w:rsid w:val="006030C2"/>
    <w:rsid w:val="00604560"/>
    <w:rsid w:val="00605B8D"/>
    <w:rsid w:val="00620E49"/>
    <w:rsid w:val="006214E7"/>
    <w:rsid w:val="0062179C"/>
    <w:rsid w:val="006226CB"/>
    <w:rsid w:val="00622F4F"/>
    <w:rsid w:val="006305F1"/>
    <w:rsid w:val="00630649"/>
    <w:rsid w:val="00631001"/>
    <w:rsid w:val="006359AC"/>
    <w:rsid w:val="00636EB9"/>
    <w:rsid w:val="006451EB"/>
    <w:rsid w:val="00651E35"/>
    <w:rsid w:val="00655D9A"/>
    <w:rsid w:val="00660C33"/>
    <w:rsid w:val="006623FE"/>
    <w:rsid w:val="0066605C"/>
    <w:rsid w:val="00676980"/>
    <w:rsid w:val="00684469"/>
    <w:rsid w:val="006901F2"/>
    <w:rsid w:val="00690263"/>
    <w:rsid w:val="00690807"/>
    <w:rsid w:val="00691EB3"/>
    <w:rsid w:val="006A1193"/>
    <w:rsid w:val="006A267B"/>
    <w:rsid w:val="006A397E"/>
    <w:rsid w:val="006A649C"/>
    <w:rsid w:val="006B02EE"/>
    <w:rsid w:val="006B0FE5"/>
    <w:rsid w:val="006B1CF8"/>
    <w:rsid w:val="006B4540"/>
    <w:rsid w:val="006B45EC"/>
    <w:rsid w:val="006B4659"/>
    <w:rsid w:val="006B5174"/>
    <w:rsid w:val="006B6AFE"/>
    <w:rsid w:val="006C2ABA"/>
    <w:rsid w:val="006C4BAE"/>
    <w:rsid w:val="006C5497"/>
    <w:rsid w:val="006C5F75"/>
    <w:rsid w:val="006D01AB"/>
    <w:rsid w:val="006D167B"/>
    <w:rsid w:val="006D1FD2"/>
    <w:rsid w:val="006D5211"/>
    <w:rsid w:val="006D7920"/>
    <w:rsid w:val="006E486B"/>
    <w:rsid w:val="006E6C56"/>
    <w:rsid w:val="006E7FA9"/>
    <w:rsid w:val="006F419B"/>
    <w:rsid w:val="0070135C"/>
    <w:rsid w:val="00701773"/>
    <w:rsid w:val="0070494A"/>
    <w:rsid w:val="00705821"/>
    <w:rsid w:val="00710D5F"/>
    <w:rsid w:val="00711EE6"/>
    <w:rsid w:val="00717D88"/>
    <w:rsid w:val="00721457"/>
    <w:rsid w:val="007221A0"/>
    <w:rsid w:val="00726879"/>
    <w:rsid w:val="00726C40"/>
    <w:rsid w:val="00730216"/>
    <w:rsid w:val="00730ADB"/>
    <w:rsid w:val="00731EC1"/>
    <w:rsid w:val="007324C7"/>
    <w:rsid w:val="00733C46"/>
    <w:rsid w:val="00734234"/>
    <w:rsid w:val="00734E5D"/>
    <w:rsid w:val="00735584"/>
    <w:rsid w:val="00735AE3"/>
    <w:rsid w:val="00753CEA"/>
    <w:rsid w:val="00753D97"/>
    <w:rsid w:val="00757564"/>
    <w:rsid w:val="00761EDA"/>
    <w:rsid w:val="00770B89"/>
    <w:rsid w:val="00770C88"/>
    <w:rsid w:val="007774F6"/>
    <w:rsid w:val="00784E0A"/>
    <w:rsid w:val="00786D23"/>
    <w:rsid w:val="00791241"/>
    <w:rsid w:val="00797964"/>
    <w:rsid w:val="007A145D"/>
    <w:rsid w:val="007A18BC"/>
    <w:rsid w:val="007A4027"/>
    <w:rsid w:val="007A62E9"/>
    <w:rsid w:val="007B6F3D"/>
    <w:rsid w:val="007B7F60"/>
    <w:rsid w:val="007C174B"/>
    <w:rsid w:val="007C57AB"/>
    <w:rsid w:val="007D17EC"/>
    <w:rsid w:val="007D1B0F"/>
    <w:rsid w:val="007D4B70"/>
    <w:rsid w:val="007D5915"/>
    <w:rsid w:val="007E347E"/>
    <w:rsid w:val="007E36D4"/>
    <w:rsid w:val="007E60A3"/>
    <w:rsid w:val="007E7203"/>
    <w:rsid w:val="007F10EF"/>
    <w:rsid w:val="007F148F"/>
    <w:rsid w:val="007F1D73"/>
    <w:rsid w:val="007F3757"/>
    <w:rsid w:val="007F3853"/>
    <w:rsid w:val="007F4DCB"/>
    <w:rsid w:val="00807CBD"/>
    <w:rsid w:val="0081458C"/>
    <w:rsid w:val="00822AF5"/>
    <w:rsid w:val="00824111"/>
    <w:rsid w:val="00830378"/>
    <w:rsid w:val="00831420"/>
    <w:rsid w:val="008337A8"/>
    <w:rsid w:val="0083388E"/>
    <w:rsid w:val="00835A90"/>
    <w:rsid w:val="00837304"/>
    <w:rsid w:val="0084393B"/>
    <w:rsid w:val="00843F4F"/>
    <w:rsid w:val="008466C9"/>
    <w:rsid w:val="008515AE"/>
    <w:rsid w:val="00852C7A"/>
    <w:rsid w:val="008571C5"/>
    <w:rsid w:val="00863E60"/>
    <w:rsid w:val="008675C8"/>
    <w:rsid w:val="00870949"/>
    <w:rsid w:val="00872133"/>
    <w:rsid w:val="0087459D"/>
    <w:rsid w:val="008825A0"/>
    <w:rsid w:val="00884D27"/>
    <w:rsid w:val="00884FF0"/>
    <w:rsid w:val="00893CFE"/>
    <w:rsid w:val="00894E73"/>
    <w:rsid w:val="00895D0F"/>
    <w:rsid w:val="00896ACD"/>
    <w:rsid w:val="008A023E"/>
    <w:rsid w:val="008A0977"/>
    <w:rsid w:val="008A0A06"/>
    <w:rsid w:val="008A584E"/>
    <w:rsid w:val="008A7646"/>
    <w:rsid w:val="008B721F"/>
    <w:rsid w:val="008C0CA2"/>
    <w:rsid w:val="008C1BA3"/>
    <w:rsid w:val="008C227A"/>
    <w:rsid w:val="008C64EE"/>
    <w:rsid w:val="008C6F32"/>
    <w:rsid w:val="008D1AC7"/>
    <w:rsid w:val="008D77AB"/>
    <w:rsid w:val="008E0B6C"/>
    <w:rsid w:val="008E1547"/>
    <w:rsid w:val="008E1F04"/>
    <w:rsid w:val="008F15D4"/>
    <w:rsid w:val="008F43CB"/>
    <w:rsid w:val="008F4435"/>
    <w:rsid w:val="008F46FD"/>
    <w:rsid w:val="008F7A9E"/>
    <w:rsid w:val="00902422"/>
    <w:rsid w:val="0090468C"/>
    <w:rsid w:val="009113F1"/>
    <w:rsid w:val="009257C1"/>
    <w:rsid w:val="00930430"/>
    <w:rsid w:val="00930E9C"/>
    <w:rsid w:val="00932B0A"/>
    <w:rsid w:val="009357BC"/>
    <w:rsid w:val="00940539"/>
    <w:rsid w:val="00940589"/>
    <w:rsid w:val="00940E8D"/>
    <w:rsid w:val="00940F28"/>
    <w:rsid w:val="00943135"/>
    <w:rsid w:val="00943667"/>
    <w:rsid w:val="009439BE"/>
    <w:rsid w:val="0095294F"/>
    <w:rsid w:val="00962F90"/>
    <w:rsid w:val="009643FA"/>
    <w:rsid w:val="0097534D"/>
    <w:rsid w:val="00992E7E"/>
    <w:rsid w:val="0099367B"/>
    <w:rsid w:val="00993C84"/>
    <w:rsid w:val="009A3E3C"/>
    <w:rsid w:val="009B1774"/>
    <w:rsid w:val="009B64A7"/>
    <w:rsid w:val="009C095A"/>
    <w:rsid w:val="009C0BC5"/>
    <w:rsid w:val="009C1247"/>
    <w:rsid w:val="009C6107"/>
    <w:rsid w:val="009C63BE"/>
    <w:rsid w:val="009E02EB"/>
    <w:rsid w:val="009E36CE"/>
    <w:rsid w:val="009E44ED"/>
    <w:rsid w:val="009E6DEC"/>
    <w:rsid w:val="009F16FF"/>
    <w:rsid w:val="009F2BCF"/>
    <w:rsid w:val="009F6DA6"/>
    <w:rsid w:val="00A02879"/>
    <w:rsid w:val="00A04A7A"/>
    <w:rsid w:val="00A1049E"/>
    <w:rsid w:val="00A1429A"/>
    <w:rsid w:val="00A224DE"/>
    <w:rsid w:val="00A24284"/>
    <w:rsid w:val="00A242CA"/>
    <w:rsid w:val="00A36B6E"/>
    <w:rsid w:val="00A406B0"/>
    <w:rsid w:val="00A43ED4"/>
    <w:rsid w:val="00A459AC"/>
    <w:rsid w:val="00A4738E"/>
    <w:rsid w:val="00A47520"/>
    <w:rsid w:val="00A511BD"/>
    <w:rsid w:val="00A53ABA"/>
    <w:rsid w:val="00A53FEF"/>
    <w:rsid w:val="00A549AF"/>
    <w:rsid w:val="00A5503C"/>
    <w:rsid w:val="00A55570"/>
    <w:rsid w:val="00A578EF"/>
    <w:rsid w:val="00A653AF"/>
    <w:rsid w:val="00A6712C"/>
    <w:rsid w:val="00A75EB4"/>
    <w:rsid w:val="00A8067B"/>
    <w:rsid w:val="00A811E8"/>
    <w:rsid w:val="00A81909"/>
    <w:rsid w:val="00A83DA8"/>
    <w:rsid w:val="00A937D9"/>
    <w:rsid w:val="00A94D95"/>
    <w:rsid w:val="00A95DFC"/>
    <w:rsid w:val="00AA101D"/>
    <w:rsid w:val="00AA5E45"/>
    <w:rsid w:val="00AB0EB5"/>
    <w:rsid w:val="00AB4268"/>
    <w:rsid w:val="00AC70CE"/>
    <w:rsid w:val="00AD020E"/>
    <w:rsid w:val="00AD42CB"/>
    <w:rsid w:val="00AE29E0"/>
    <w:rsid w:val="00AE33FC"/>
    <w:rsid w:val="00AE4084"/>
    <w:rsid w:val="00AE682C"/>
    <w:rsid w:val="00AE6E5C"/>
    <w:rsid w:val="00AF30EA"/>
    <w:rsid w:val="00AF3CE9"/>
    <w:rsid w:val="00AF4B50"/>
    <w:rsid w:val="00B0113B"/>
    <w:rsid w:val="00B016E7"/>
    <w:rsid w:val="00B0673E"/>
    <w:rsid w:val="00B14BED"/>
    <w:rsid w:val="00B167A7"/>
    <w:rsid w:val="00B30B70"/>
    <w:rsid w:val="00B3227D"/>
    <w:rsid w:val="00B366A4"/>
    <w:rsid w:val="00B4208F"/>
    <w:rsid w:val="00B52A27"/>
    <w:rsid w:val="00B54AFD"/>
    <w:rsid w:val="00B574D6"/>
    <w:rsid w:val="00B57C21"/>
    <w:rsid w:val="00B608C4"/>
    <w:rsid w:val="00B61E1F"/>
    <w:rsid w:val="00B658CA"/>
    <w:rsid w:val="00B65A54"/>
    <w:rsid w:val="00B65E1A"/>
    <w:rsid w:val="00B662CE"/>
    <w:rsid w:val="00B6675C"/>
    <w:rsid w:val="00B83B7F"/>
    <w:rsid w:val="00B84C95"/>
    <w:rsid w:val="00B84F67"/>
    <w:rsid w:val="00B852B6"/>
    <w:rsid w:val="00B85323"/>
    <w:rsid w:val="00B85CE2"/>
    <w:rsid w:val="00B87E43"/>
    <w:rsid w:val="00B87E7A"/>
    <w:rsid w:val="00B958ED"/>
    <w:rsid w:val="00B976EE"/>
    <w:rsid w:val="00BA04AB"/>
    <w:rsid w:val="00BA5357"/>
    <w:rsid w:val="00BA6F5F"/>
    <w:rsid w:val="00BB2801"/>
    <w:rsid w:val="00BB2F13"/>
    <w:rsid w:val="00BB39A3"/>
    <w:rsid w:val="00BC7576"/>
    <w:rsid w:val="00BC7E1C"/>
    <w:rsid w:val="00BD03F7"/>
    <w:rsid w:val="00BD19D0"/>
    <w:rsid w:val="00BD1C07"/>
    <w:rsid w:val="00BD356C"/>
    <w:rsid w:val="00BD4F17"/>
    <w:rsid w:val="00BD6583"/>
    <w:rsid w:val="00BD7920"/>
    <w:rsid w:val="00BF044B"/>
    <w:rsid w:val="00BF2D30"/>
    <w:rsid w:val="00BF383F"/>
    <w:rsid w:val="00BF415B"/>
    <w:rsid w:val="00BF55EB"/>
    <w:rsid w:val="00BF6399"/>
    <w:rsid w:val="00C0275B"/>
    <w:rsid w:val="00C03074"/>
    <w:rsid w:val="00C036FA"/>
    <w:rsid w:val="00C03D37"/>
    <w:rsid w:val="00C03D4A"/>
    <w:rsid w:val="00C041F6"/>
    <w:rsid w:val="00C04913"/>
    <w:rsid w:val="00C06DF7"/>
    <w:rsid w:val="00C10FB3"/>
    <w:rsid w:val="00C13E2D"/>
    <w:rsid w:val="00C15286"/>
    <w:rsid w:val="00C228E1"/>
    <w:rsid w:val="00C23854"/>
    <w:rsid w:val="00C3058F"/>
    <w:rsid w:val="00C30D53"/>
    <w:rsid w:val="00C311F0"/>
    <w:rsid w:val="00C35E28"/>
    <w:rsid w:val="00C36A81"/>
    <w:rsid w:val="00C371E3"/>
    <w:rsid w:val="00C42802"/>
    <w:rsid w:val="00C44CAD"/>
    <w:rsid w:val="00C479F6"/>
    <w:rsid w:val="00C54420"/>
    <w:rsid w:val="00C569D8"/>
    <w:rsid w:val="00C62356"/>
    <w:rsid w:val="00C6403E"/>
    <w:rsid w:val="00C71180"/>
    <w:rsid w:val="00C72B78"/>
    <w:rsid w:val="00C73A50"/>
    <w:rsid w:val="00C867E8"/>
    <w:rsid w:val="00C87D2B"/>
    <w:rsid w:val="00C937D2"/>
    <w:rsid w:val="00C95612"/>
    <w:rsid w:val="00C97F8E"/>
    <w:rsid w:val="00CA4638"/>
    <w:rsid w:val="00CA7162"/>
    <w:rsid w:val="00CB553B"/>
    <w:rsid w:val="00CB71F8"/>
    <w:rsid w:val="00CC1018"/>
    <w:rsid w:val="00CC1F4D"/>
    <w:rsid w:val="00CC489E"/>
    <w:rsid w:val="00CC6662"/>
    <w:rsid w:val="00CC7AFD"/>
    <w:rsid w:val="00CC7C77"/>
    <w:rsid w:val="00CD03F1"/>
    <w:rsid w:val="00CE001F"/>
    <w:rsid w:val="00CE40F3"/>
    <w:rsid w:val="00CE5C10"/>
    <w:rsid w:val="00CF0378"/>
    <w:rsid w:val="00CF0A15"/>
    <w:rsid w:val="00D04009"/>
    <w:rsid w:val="00D116E9"/>
    <w:rsid w:val="00D14978"/>
    <w:rsid w:val="00D14DF4"/>
    <w:rsid w:val="00D16290"/>
    <w:rsid w:val="00D2292E"/>
    <w:rsid w:val="00D24CBD"/>
    <w:rsid w:val="00D3310E"/>
    <w:rsid w:val="00D33242"/>
    <w:rsid w:val="00D4032C"/>
    <w:rsid w:val="00D4107B"/>
    <w:rsid w:val="00D43F54"/>
    <w:rsid w:val="00D44C94"/>
    <w:rsid w:val="00D5130B"/>
    <w:rsid w:val="00D5601F"/>
    <w:rsid w:val="00D564A8"/>
    <w:rsid w:val="00D607C5"/>
    <w:rsid w:val="00D61108"/>
    <w:rsid w:val="00D61A68"/>
    <w:rsid w:val="00D646EE"/>
    <w:rsid w:val="00D657C4"/>
    <w:rsid w:val="00D71CB7"/>
    <w:rsid w:val="00D72234"/>
    <w:rsid w:val="00D72A24"/>
    <w:rsid w:val="00D75912"/>
    <w:rsid w:val="00D77EC2"/>
    <w:rsid w:val="00D80516"/>
    <w:rsid w:val="00D91337"/>
    <w:rsid w:val="00D956C0"/>
    <w:rsid w:val="00D9709D"/>
    <w:rsid w:val="00DA2E3C"/>
    <w:rsid w:val="00DA3ACE"/>
    <w:rsid w:val="00DA5ED1"/>
    <w:rsid w:val="00DA6175"/>
    <w:rsid w:val="00DA6264"/>
    <w:rsid w:val="00DA71D4"/>
    <w:rsid w:val="00DA76D0"/>
    <w:rsid w:val="00DB01CE"/>
    <w:rsid w:val="00DB729C"/>
    <w:rsid w:val="00DC04F6"/>
    <w:rsid w:val="00DC1CD4"/>
    <w:rsid w:val="00DC1D0F"/>
    <w:rsid w:val="00DC4FD9"/>
    <w:rsid w:val="00DD73F5"/>
    <w:rsid w:val="00DF1B11"/>
    <w:rsid w:val="00DF3CAE"/>
    <w:rsid w:val="00E206A7"/>
    <w:rsid w:val="00E23A5F"/>
    <w:rsid w:val="00E3093B"/>
    <w:rsid w:val="00E30EF9"/>
    <w:rsid w:val="00E33EDC"/>
    <w:rsid w:val="00E34900"/>
    <w:rsid w:val="00E3674A"/>
    <w:rsid w:val="00E40834"/>
    <w:rsid w:val="00E444BF"/>
    <w:rsid w:val="00E50EBB"/>
    <w:rsid w:val="00E57E3E"/>
    <w:rsid w:val="00E729F4"/>
    <w:rsid w:val="00E814D9"/>
    <w:rsid w:val="00E8311F"/>
    <w:rsid w:val="00E84219"/>
    <w:rsid w:val="00E8744A"/>
    <w:rsid w:val="00E87467"/>
    <w:rsid w:val="00E9088D"/>
    <w:rsid w:val="00E90E94"/>
    <w:rsid w:val="00E9230B"/>
    <w:rsid w:val="00E97854"/>
    <w:rsid w:val="00EA08B0"/>
    <w:rsid w:val="00EA0FA9"/>
    <w:rsid w:val="00EA23D6"/>
    <w:rsid w:val="00EA3248"/>
    <w:rsid w:val="00EA704E"/>
    <w:rsid w:val="00EC2A9F"/>
    <w:rsid w:val="00EC5292"/>
    <w:rsid w:val="00EC7964"/>
    <w:rsid w:val="00ED0118"/>
    <w:rsid w:val="00ED20B9"/>
    <w:rsid w:val="00ED38F0"/>
    <w:rsid w:val="00ED3E7C"/>
    <w:rsid w:val="00ED6C14"/>
    <w:rsid w:val="00EE7276"/>
    <w:rsid w:val="00EE7622"/>
    <w:rsid w:val="00EF695C"/>
    <w:rsid w:val="00F02202"/>
    <w:rsid w:val="00F02B29"/>
    <w:rsid w:val="00F05E6D"/>
    <w:rsid w:val="00F16C87"/>
    <w:rsid w:val="00F172BD"/>
    <w:rsid w:val="00F178BE"/>
    <w:rsid w:val="00F221BB"/>
    <w:rsid w:val="00F33D57"/>
    <w:rsid w:val="00F3423C"/>
    <w:rsid w:val="00F34A6D"/>
    <w:rsid w:val="00F35CB0"/>
    <w:rsid w:val="00F36550"/>
    <w:rsid w:val="00F378A6"/>
    <w:rsid w:val="00F400E5"/>
    <w:rsid w:val="00F40626"/>
    <w:rsid w:val="00F42004"/>
    <w:rsid w:val="00F44212"/>
    <w:rsid w:val="00F44305"/>
    <w:rsid w:val="00F46E29"/>
    <w:rsid w:val="00F47181"/>
    <w:rsid w:val="00F47391"/>
    <w:rsid w:val="00F503B5"/>
    <w:rsid w:val="00F54D85"/>
    <w:rsid w:val="00F56DB1"/>
    <w:rsid w:val="00F57B0E"/>
    <w:rsid w:val="00F620EB"/>
    <w:rsid w:val="00F63776"/>
    <w:rsid w:val="00F64C3C"/>
    <w:rsid w:val="00F67E99"/>
    <w:rsid w:val="00F70A52"/>
    <w:rsid w:val="00F760B4"/>
    <w:rsid w:val="00F76A0C"/>
    <w:rsid w:val="00F801E7"/>
    <w:rsid w:val="00F80E39"/>
    <w:rsid w:val="00F8186D"/>
    <w:rsid w:val="00F81D00"/>
    <w:rsid w:val="00F82C73"/>
    <w:rsid w:val="00F83A21"/>
    <w:rsid w:val="00F85CA4"/>
    <w:rsid w:val="00F90A5F"/>
    <w:rsid w:val="00F93737"/>
    <w:rsid w:val="00FA0323"/>
    <w:rsid w:val="00FA2785"/>
    <w:rsid w:val="00FA32B0"/>
    <w:rsid w:val="00FA5493"/>
    <w:rsid w:val="00FC0828"/>
    <w:rsid w:val="00FC0831"/>
    <w:rsid w:val="00FC1A52"/>
    <w:rsid w:val="00FC30C0"/>
    <w:rsid w:val="00FC4D23"/>
    <w:rsid w:val="00FC56E6"/>
    <w:rsid w:val="00FD295A"/>
    <w:rsid w:val="00FD5710"/>
    <w:rsid w:val="00FD5D56"/>
    <w:rsid w:val="00FD63EB"/>
    <w:rsid w:val="00FE5EE4"/>
    <w:rsid w:val="00FE6220"/>
    <w:rsid w:val="00FF5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13FFE"/>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nhideWhenUsed/>
    <w:rsid w:val="00C03D37"/>
    <w:pPr>
      <w:tabs>
        <w:tab w:val="center" w:pos="4153"/>
        <w:tab w:val="right" w:pos="8306"/>
      </w:tabs>
      <w:spacing w:line="240" w:lineRule="auto"/>
    </w:pPr>
  </w:style>
  <w:style w:type="character" w:customStyle="1" w:styleId="FooterChar">
    <w:name w:val="Footer Char"/>
    <w:basedOn w:val="DefaultParagraphFont"/>
    <w:link w:val="Footer"/>
    <w:rsid w:val="00C03D37"/>
  </w:style>
  <w:style w:type="paragraph" w:customStyle="1" w:styleId="Default">
    <w:name w:val="Default"/>
    <w:rsid w:val="004244A9"/>
    <w:pPr>
      <w:autoSpaceDE w:val="0"/>
      <w:autoSpaceDN w:val="0"/>
      <w:adjustRightInd w:val="0"/>
      <w:spacing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B1774"/>
    <w:pPr>
      <w:spacing w:line="240" w:lineRule="auto"/>
    </w:pPr>
  </w:style>
  <w:style w:type="character" w:styleId="FollowedHyperlink">
    <w:name w:val="FollowedHyperlink"/>
    <w:basedOn w:val="DefaultParagraphFont"/>
    <w:uiPriority w:val="99"/>
    <w:semiHidden/>
    <w:unhideWhenUsed/>
    <w:rsid w:val="003321E5"/>
    <w:rPr>
      <w:color w:val="954F72" w:themeColor="followedHyperlink"/>
      <w:u w:val="single"/>
    </w:rPr>
  </w:style>
  <w:style w:type="table" w:styleId="TableGrid">
    <w:name w:val="Table Grid"/>
    <w:basedOn w:val="TableNormal"/>
    <w:uiPriority w:val="39"/>
    <w:rsid w:val="007F10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03D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A4638"/>
    <w:rPr>
      <w:b/>
      <w:bCs/>
    </w:rPr>
  </w:style>
  <w:style w:type="paragraph" w:customStyle="1" w:styleId="Body">
    <w:name w:val="Body"/>
    <w:rsid w:val="000D687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1082">
      <w:bodyDiv w:val="1"/>
      <w:marLeft w:val="0"/>
      <w:marRight w:val="0"/>
      <w:marTop w:val="0"/>
      <w:marBottom w:val="0"/>
      <w:divBdr>
        <w:top w:val="none" w:sz="0" w:space="0" w:color="auto"/>
        <w:left w:val="none" w:sz="0" w:space="0" w:color="auto"/>
        <w:bottom w:val="none" w:sz="0" w:space="0" w:color="auto"/>
        <w:right w:val="none" w:sz="0" w:space="0" w:color="auto"/>
      </w:divBdr>
    </w:div>
    <w:div w:id="341318588">
      <w:bodyDiv w:val="1"/>
      <w:marLeft w:val="0"/>
      <w:marRight w:val="0"/>
      <w:marTop w:val="0"/>
      <w:marBottom w:val="0"/>
      <w:divBdr>
        <w:top w:val="none" w:sz="0" w:space="0" w:color="auto"/>
        <w:left w:val="none" w:sz="0" w:space="0" w:color="auto"/>
        <w:bottom w:val="none" w:sz="0" w:space="0" w:color="auto"/>
        <w:right w:val="none" w:sz="0" w:space="0" w:color="auto"/>
      </w:divBdr>
      <w:divsChild>
        <w:div w:id="1542983985">
          <w:marLeft w:val="0"/>
          <w:marRight w:val="0"/>
          <w:marTop w:val="480"/>
          <w:marBottom w:val="240"/>
          <w:divBdr>
            <w:top w:val="none" w:sz="0" w:space="0" w:color="auto"/>
            <w:left w:val="none" w:sz="0" w:space="0" w:color="auto"/>
            <w:bottom w:val="none" w:sz="0" w:space="0" w:color="auto"/>
            <w:right w:val="none" w:sz="0" w:space="0" w:color="auto"/>
          </w:divBdr>
        </w:div>
        <w:div w:id="380905302">
          <w:marLeft w:val="0"/>
          <w:marRight w:val="0"/>
          <w:marTop w:val="0"/>
          <w:marBottom w:val="567"/>
          <w:divBdr>
            <w:top w:val="none" w:sz="0" w:space="0" w:color="auto"/>
            <w:left w:val="none" w:sz="0" w:space="0" w:color="auto"/>
            <w:bottom w:val="none" w:sz="0" w:space="0" w:color="auto"/>
            <w:right w:val="none" w:sz="0" w:space="0" w:color="auto"/>
          </w:divBdr>
        </w:div>
      </w:divsChild>
    </w:div>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819469460">
      <w:bodyDiv w:val="1"/>
      <w:marLeft w:val="0"/>
      <w:marRight w:val="0"/>
      <w:marTop w:val="0"/>
      <w:marBottom w:val="0"/>
      <w:divBdr>
        <w:top w:val="none" w:sz="0" w:space="0" w:color="auto"/>
        <w:left w:val="none" w:sz="0" w:space="0" w:color="auto"/>
        <w:bottom w:val="none" w:sz="0" w:space="0" w:color="auto"/>
        <w:right w:val="none" w:sz="0" w:space="0" w:color="auto"/>
      </w:divBdr>
    </w:div>
    <w:div w:id="1069884665">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 w:id="1508519680">
      <w:bodyDiv w:val="1"/>
      <w:marLeft w:val="0"/>
      <w:marRight w:val="0"/>
      <w:marTop w:val="0"/>
      <w:marBottom w:val="0"/>
      <w:divBdr>
        <w:top w:val="none" w:sz="0" w:space="0" w:color="auto"/>
        <w:left w:val="none" w:sz="0" w:space="0" w:color="auto"/>
        <w:bottom w:val="none" w:sz="0" w:space="0" w:color="auto"/>
        <w:right w:val="none" w:sz="0" w:space="0" w:color="auto"/>
      </w:divBdr>
    </w:div>
    <w:div w:id="18420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na.Smirnov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D38B-752B-4994-80FC-31CC09F8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2123</Words>
  <Characters>13124</Characters>
  <Application>Microsoft Office Word</Application>
  <DocSecurity>0</DocSecurity>
  <Lines>423</Lines>
  <Paragraphs>198</Paragraphs>
  <ScaleCrop>false</ScaleCrop>
  <HeadingPairs>
    <vt:vector size="2" baseType="variant">
      <vt:variant>
        <vt:lpstr>Title</vt:lpstr>
      </vt:variant>
      <vt:variant>
        <vt:i4>1</vt:i4>
      </vt:variant>
    </vt:vector>
  </HeadingPairs>
  <TitlesOfParts>
    <vt:vector size="1" baseType="lpstr">
      <vt:lpstr>Likumprojekta “Grozījumi Solidaritātes nodokļa likumā" sākotnējās ietekmes novērtējuma ziņojums (anotācija)</vt:lpstr>
    </vt:vector>
  </TitlesOfParts>
  <Company>Finanšu ministrija</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Solidaritātes nodokļa likumā" sākotnējās ietekmes novērtējuma ziņojums (anotācija)</dc:title>
  <dc:subject>Anotācija</dc:subject>
  <dc:creator>Irina Smirnova</dc:creator>
  <cp:keywords/>
  <dc:description>Irina.Smirnova@fm.gov.lv_x000d_
Tālr.67083843</dc:description>
  <cp:lastModifiedBy>Anna Putane</cp:lastModifiedBy>
  <cp:revision>15</cp:revision>
  <cp:lastPrinted>2020-09-30T07:17:00Z</cp:lastPrinted>
  <dcterms:created xsi:type="dcterms:W3CDTF">2020-09-25T12:19:00Z</dcterms:created>
  <dcterms:modified xsi:type="dcterms:W3CDTF">2020-09-30T07:17:00Z</dcterms:modified>
</cp:coreProperties>
</file>