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02" w:rsidRDefault="005B1F02" w:rsidP="005B1F02">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Pr="0024716D">
        <w:rPr>
          <w:rFonts w:ascii="Times New Roman" w:eastAsia="Times New Roman" w:hAnsi="Times New Roman" w:cs="Times New Roman"/>
          <w:b/>
          <w:bCs/>
          <w:sz w:val="28"/>
          <w:szCs w:val="24"/>
          <w:lang w:eastAsia="lv-LV"/>
        </w:rPr>
        <w:t xml:space="preserve">projekta </w:t>
      </w:r>
    </w:p>
    <w:p w:rsidR="005B1F02" w:rsidRDefault="005B1F02" w:rsidP="005B1F02">
      <w:pPr>
        <w:shd w:val="clear" w:color="auto" w:fill="FFFFFF"/>
        <w:spacing w:after="0" w:line="240" w:lineRule="auto"/>
        <w:jc w:val="center"/>
        <w:rPr>
          <w:rFonts w:ascii="Times New Roman" w:eastAsia="Times New Roman" w:hAnsi="Times New Roman" w:cs="Times New Roman"/>
          <w:b/>
          <w:bCs/>
          <w:sz w:val="28"/>
          <w:szCs w:val="24"/>
          <w:lang w:eastAsia="lv-LV"/>
        </w:rPr>
      </w:pPr>
      <w:r w:rsidRPr="0024716D">
        <w:rPr>
          <w:rFonts w:ascii="Times New Roman" w:eastAsia="Times New Roman" w:hAnsi="Times New Roman" w:cs="Times New Roman"/>
          <w:b/>
          <w:bCs/>
          <w:sz w:val="28"/>
          <w:szCs w:val="24"/>
          <w:lang w:eastAsia="lv-LV"/>
        </w:rPr>
        <w:t>“Grozījum</w:t>
      </w:r>
      <w:r>
        <w:rPr>
          <w:rFonts w:ascii="Times New Roman" w:eastAsia="Times New Roman" w:hAnsi="Times New Roman" w:cs="Times New Roman"/>
          <w:b/>
          <w:bCs/>
          <w:sz w:val="28"/>
          <w:szCs w:val="24"/>
          <w:lang w:eastAsia="lv-LV"/>
        </w:rPr>
        <w:t>i Transportlīdzekļa ekspluatācijas nodokļa un uzņēmumu vieglo transportlīdzekļu nodokļa likumā</w:t>
      </w:r>
      <w:r w:rsidRPr="0024716D">
        <w:rPr>
          <w:rFonts w:ascii="Times New Roman" w:eastAsia="Times New Roman" w:hAnsi="Times New Roman" w:cs="Times New Roman"/>
          <w:b/>
          <w:bCs/>
          <w:sz w:val="28"/>
          <w:szCs w:val="24"/>
          <w:lang w:eastAsia="lv-LV"/>
        </w:rPr>
        <w:t>”</w:t>
      </w:r>
    </w:p>
    <w:p w:rsidR="005B1F02" w:rsidRPr="0024716D" w:rsidRDefault="005B1F02" w:rsidP="005B1F02">
      <w:pPr>
        <w:shd w:val="clear" w:color="auto" w:fill="FFFFFF"/>
        <w:spacing w:after="0" w:line="240" w:lineRule="auto"/>
        <w:jc w:val="center"/>
        <w:rPr>
          <w:rFonts w:ascii="Times New Roman" w:eastAsia="Times New Roman" w:hAnsi="Times New Roman" w:cs="Times New Roman"/>
          <w:b/>
          <w:bCs/>
          <w:sz w:val="28"/>
          <w:szCs w:val="24"/>
          <w:lang w:eastAsia="lv-LV"/>
        </w:rPr>
      </w:pPr>
      <w:r w:rsidRPr="0024716D">
        <w:rPr>
          <w:rFonts w:ascii="Times New Roman" w:eastAsia="Times New Roman" w:hAnsi="Times New Roman" w:cs="Times New Roman"/>
          <w:b/>
          <w:bCs/>
          <w:sz w:val="28"/>
          <w:szCs w:val="24"/>
          <w:lang w:eastAsia="lv-LV"/>
        </w:rPr>
        <w:t xml:space="preserve"> sākotnējās ietekmes novērtējuma ziņojums (anotācija)</w:t>
      </w:r>
    </w:p>
    <w:p w:rsidR="005B1F02" w:rsidRPr="0024716D" w:rsidRDefault="005B1F02" w:rsidP="005B1F0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729"/>
      </w:tblGrid>
      <w:tr w:rsidR="005B1F02" w:rsidRPr="0024716D" w:rsidTr="0029064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1F02" w:rsidRPr="0024716D" w:rsidRDefault="005B1F02" w:rsidP="001974AE">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Tiesību akta projekta anotācijas kopsavilkums</w:t>
            </w:r>
          </w:p>
        </w:tc>
      </w:tr>
      <w:tr w:rsidR="005B1F02" w:rsidRPr="0024716D" w:rsidTr="00290640">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Mērķis, risinājums un projekta spēkā stāšanās laiks</w:t>
            </w:r>
          </w:p>
        </w:tc>
        <w:tc>
          <w:tcPr>
            <w:tcW w:w="3034" w:type="pct"/>
            <w:tcBorders>
              <w:top w:val="outset" w:sz="6" w:space="0" w:color="auto"/>
              <w:left w:val="outset" w:sz="6" w:space="0" w:color="auto"/>
              <w:bottom w:val="outset" w:sz="6" w:space="0" w:color="auto"/>
              <w:right w:val="outset" w:sz="6" w:space="0" w:color="auto"/>
            </w:tcBorders>
            <w:hideMark/>
          </w:tcPr>
          <w:p w:rsidR="005B1F02" w:rsidRDefault="005B1F02" w:rsidP="007B7A13">
            <w:pPr>
              <w:spacing w:after="0" w:line="240" w:lineRule="auto"/>
              <w:jc w:val="both"/>
              <w:rPr>
                <w:rFonts w:ascii="Times New Roman" w:hAnsi="Times New Roman" w:cs="Times New Roman"/>
                <w:sz w:val="24"/>
                <w:szCs w:val="24"/>
                <w:lang w:eastAsia="lv-LV"/>
              </w:rPr>
            </w:pPr>
            <w:r w:rsidRPr="005B1F02">
              <w:rPr>
                <w:rFonts w:ascii="Times New Roman" w:hAnsi="Times New Roman" w:cs="Times New Roman"/>
                <w:sz w:val="24"/>
                <w:szCs w:val="24"/>
                <w:lang w:eastAsia="lv-LV"/>
              </w:rPr>
              <w:t>Likumprojekts „Grozījum</w:t>
            </w:r>
            <w:r w:rsidR="000B1B91">
              <w:rPr>
                <w:rFonts w:ascii="Times New Roman" w:hAnsi="Times New Roman" w:cs="Times New Roman"/>
                <w:sz w:val="24"/>
                <w:szCs w:val="24"/>
                <w:lang w:eastAsia="lv-LV"/>
              </w:rPr>
              <w:t>i</w:t>
            </w:r>
            <w:r w:rsidRPr="005B1F02">
              <w:rPr>
                <w:rFonts w:ascii="Times New Roman" w:hAnsi="Times New Roman" w:cs="Times New Roman"/>
                <w:sz w:val="24"/>
                <w:szCs w:val="24"/>
                <w:lang w:eastAsia="lv-LV"/>
              </w:rPr>
              <w:t xml:space="preserve"> Transportlīdzekļa ekspluatācijas nodokļa un uzņēmumu vieglo transportlīdzekļu nodokļa likumā” (turpmāk – likumprojekts) </w:t>
            </w:r>
            <w:r w:rsidR="007B7A13">
              <w:rPr>
                <w:rFonts w:ascii="Times New Roman" w:hAnsi="Times New Roman" w:cs="Times New Roman"/>
                <w:sz w:val="24"/>
                <w:szCs w:val="24"/>
                <w:lang w:eastAsia="lv-LV"/>
              </w:rPr>
              <w:t>paredz no 2021.gada:</w:t>
            </w:r>
          </w:p>
          <w:p w:rsidR="007B7A13" w:rsidRPr="007B7A13" w:rsidRDefault="007B7A13" w:rsidP="007B7A13">
            <w:pPr>
              <w:pStyle w:val="ListParagraph"/>
              <w:numPr>
                <w:ilvl w:val="0"/>
                <w:numId w:val="4"/>
              </w:numPr>
              <w:jc w:val="both"/>
              <w:rPr>
                <w:rFonts w:cs="Times New Roman"/>
                <w:szCs w:val="24"/>
                <w:lang w:eastAsia="lv-LV"/>
              </w:rPr>
            </w:pPr>
            <w:r>
              <w:rPr>
                <w:rFonts w:cs="Times New Roman"/>
                <w:szCs w:val="24"/>
                <w:lang w:eastAsia="lv-LV"/>
              </w:rPr>
              <w:t>indeksēt</w:t>
            </w:r>
            <w:r w:rsidRPr="007B7A13">
              <w:rPr>
                <w:rFonts w:cs="Times New Roman"/>
                <w:szCs w:val="24"/>
                <w:lang w:eastAsia="lv-LV"/>
              </w:rPr>
              <w:t xml:space="preserve"> uzņēmumu vieglo transportlīdzekļu nodokļa likmes, ņemot vērā inflācijas pieauguma tempu no 2017.gada;</w:t>
            </w:r>
          </w:p>
          <w:p w:rsidR="007B7A13" w:rsidRPr="00726CA2" w:rsidRDefault="007B7A13" w:rsidP="000B1B91">
            <w:pPr>
              <w:pStyle w:val="ListParagraph"/>
              <w:numPr>
                <w:ilvl w:val="0"/>
                <w:numId w:val="4"/>
              </w:numPr>
              <w:jc w:val="both"/>
              <w:rPr>
                <w:rFonts w:eastAsia="Times New Roman"/>
                <w:iCs/>
                <w:lang w:eastAsia="lv-LV"/>
              </w:rPr>
            </w:pPr>
            <w:r>
              <w:rPr>
                <w:rFonts w:cs="Times New Roman"/>
                <w:szCs w:val="24"/>
                <w:lang w:eastAsia="lv-LV"/>
              </w:rPr>
              <w:t>noteikt</w:t>
            </w:r>
            <w:r w:rsidRPr="007B7A13">
              <w:rPr>
                <w:rFonts w:cs="Times New Roman"/>
                <w:szCs w:val="24"/>
                <w:lang w:eastAsia="lv-LV"/>
              </w:rPr>
              <w:t xml:space="preserve"> </w:t>
            </w:r>
            <w:r w:rsidR="000B1B91">
              <w:rPr>
                <w:rFonts w:cs="Times New Roman"/>
                <w:szCs w:val="24"/>
                <w:lang w:eastAsia="lv-LV"/>
              </w:rPr>
              <w:t>atsevišķu</w:t>
            </w:r>
            <w:r w:rsidRPr="007B7A13">
              <w:rPr>
                <w:rFonts w:cs="Times New Roman"/>
                <w:szCs w:val="24"/>
                <w:lang w:eastAsia="lv-LV"/>
              </w:rPr>
              <w:t xml:space="preserve"> uzņēmumu vieglo transportlīdzekļu nodokļa likmi transportlīdzekļiem, kuru motora tilpums pārsniedz 3000 kubikcentimetrus</w:t>
            </w:r>
            <w:r>
              <w:rPr>
                <w:rFonts w:cs="Times New Roman"/>
                <w:szCs w:val="24"/>
                <w:lang w:eastAsia="lv-LV"/>
              </w:rPr>
              <w:t>.</w:t>
            </w:r>
          </w:p>
          <w:p w:rsidR="00726CA2" w:rsidRPr="00726CA2" w:rsidRDefault="00F90B52" w:rsidP="00601823">
            <w:pPr>
              <w:jc w:val="both"/>
              <w:rPr>
                <w:rFonts w:eastAsia="Times New Roman"/>
                <w:iCs/>
                <w:lang w:eastAsia="lv-LV"/>
              </w:rPr>
            </w:pPr>
            <w:r>
              <w:rPr>
                <w:rFonts w:ascii="Times New Roman" w:hAnsi="Times New Roman" w:cs="Times New Roman"/>
                <w:sz w:val="24"/>
                <w:szCs w:val="24"/>
                <w:lang w:eastAsia="lv-LV"/>
              </w:rPr>
              <w:t>Likumprojektā</w:t>
            </w:r>
            <w:r w:rsidR="00601823">
              <w:rPr>
                <w:rFonts w:ascii="Times New Roman" w:hAnsi="Times New Roman" w:cs="Times New Roman"/>
                <w:sz w:val="24"/>
                <w:szCs w:val="24"/>
                <w:lang w:eastAsia="lv-LV"/>
              </w:rPr>
              <w:t xml:space="preserve"> ietvertais normatīvais regulējums</w:t>
            </w:r>
            <w:r>
              <w:rPr>
                <w:rFonts w:ascii="Times New Roman" w:hAnsi="Times New Roman" w:cs="Times New Roman"/>
                <w:sz w:val="24"/>
                <w:szCs w:val="24"/>
                <w:lang w:eastAsia="lv-LV"/>
              </w:rPr>
              <w:t xml:space="preserve"> </w:t>
            </w:r>
            <w:r w:rsidR="00601823">
              <w:rPr>
                <w:rFonts w:ascii="Times New Roman" w:hAnsi="Times New Roman" w:cs="Times New Roman"/>
                <w:sz w:val="24"/>
                <w:szCs w:val="24"/>
                <w:lang w:eastAsia="lv-LV"/>
              </w:rPr>
              <w:t>stāsies</w:t>
            </w:r>
            <w:r w:rsidR="00726CA2" w:rsidRPr="00726CA2">
              <w:rPr>
                <w:rFonts w:ascii="Times New Roman" w:hAnsi="Times New Roman" w:cs="Times New Roman"/>
                <w:sz w:val="24"/>
                <w:szCs w:val="24"/>
                <w:lang w:eastAsia="lv-LV"/>
              </w:rPr>
              <w:t xml:space="preserve"> </w:t>
            </w:r>
            <w:r w:rsidR="00601823">
              <w:rPr>
                <w:rFonts w:ascii="Times New Roman" w:hAnsi="Times New Roman" w:cs="Times New Roman"/>
                <w:sz w:val="24"/>
                <w:szCs w:val="24"/>
                <w:lang w:eastAsia="lv-LV"/>
              </w:rPr>
              <w:t>spēkā 2021.gada 1.janvārī</w:t>
            </w:r>
            <w:r w:rsidR="00726CA2">
              <w:rPr>
                <w:rFonts w:ascii="Times New Roman" w:hAnsi="Times New Roman" w:cs="Times New Roman"/>
                <w:sz w:val="24"/>
                <w:szCs w:val="24"/>
                <w:lang w:eastAsia="lv-LV"/>
              </w:rPr>
              <w:t>.</w:t>
            </w:r>
            <w:bookmarkStart w:id="0" w:name="_GoBack"/>
            <w:bookmarkEnd w:id="0"/>
          </w:p>
        </w:tc>
      </w:tr>
    </w:tbl>
    <w:p w:rsidR="005B1F02" w:rsidRPr="0024716D" w:rsidRDefault="005B1F02" w:rsidP="005B1F02">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5B1F02" w:rsidRPr="0024716D" w:rsidTr="0029064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1F02" w:rsidRPr="0024716D" w:rsidRDefault="005B1F02" w:rsidP="001974AE">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 Tiesību akta projekta izstrādes nepieciešamība</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Pamatojums</w:t>
            </w:r>
          </w:p>
        </w:tc>
        <w:tc>
          <w:tcPr>
            <w:tcW w:w="3024" w:type="pct"/>
            <w:tcBorders>
              <w:top w:val="outset" w:sz="6" w:space="0" w:color="auto"/>
              <w:left w:val="outset" w:sz="6" w:space="0" w:color="auto"/>
              <w:bottom w:val="outset" w:sz="6" w:space="0" w:color="auto"/>
              <w:right w:val="outset" w:sz="6" w:space="0" w:color="auto"/>
            </w:tcBorders>
            <w:hideMark/>
          </w:tcPr>
          <w:p w:rsidR="005B1F02" w:rsidRPr="00816AF9" w:rsidRDefault="007B7A13" w:rsidP="007B7A13">
            <w:pPr>
              <w:spacing w:after="0" w:line="240" w:lineRule="auto"/>
              <w:jc w:val="both"/>
              <w:rPr>
                <w:rFonts w:ascii="Times New Roman" w:hAnsi="Times New Roman" w:cs="Times New Roman"/>
                <w:sz w:val="24"/>
                <w:szCs w:val="24"/>
              </w:rPr>
            </w:pPr>
            <w:r w:rsidRPr="005B1F02">
              <w:rPr>
                <w:rFonts w:ascii="Times New Roman" w:hAnsi="Times New Roman" w:cs="Times New Roman"/>
                <w:sz w:val="24"/>
                <w:szCs w:val="24"/>
                <w:lang w:eastAsia="lv-LV"/>
              </w:rPr>
              <w:t xml:space="preserve">Likumprojekts ir izstrādāts pamatojoties uz Ministru kabineta 2020.gada 2.septembra sēdes protokola Nr.51 45§ par </w:t>
            </w:r>
            <w:r>
              <w:rPr>
                <w:rFonts w:ascii="Times New Roman" w:hAnsi="Times New Roman" w:cs="Times New Roman"/>
                <w:sz w:val="24"/>
                <w:szCs w:val="24"/>
                <w:lang w:eastAsia="lv-LV"/>
              </w:rPr>
              <w:t>informatīvo ziņojumu</w:t>
            </w:r>
            <w:r w:rsidRPr="005B1F02">
              <w:rPr>
                <w:rFonts w:ascii="Times New Roman" w:hAnsi="Times New Roman" w:cs="Times New Roman"/>
                <w:sz w:val="24"/>
                <w:szCs w:val="24"/>
                <w:lang w:eastAsia="lv-LV"/>
              </w:rPr>
              <w:t xml:space="preserve"> "Par nodokļu politikas attīstības virzieniem, valsts sociālās ilgtspējas un ekonomikas konkurētspējas veicināšanai"</w:t>
            </w:r>
            <w:r>
              <w:rPr>
                <w:rFonts w:ascii="Times New Roman" w:hAnsi="Times New Roman" w:cs="Times New Roman"/>
                <w:sz w:val="24"/>
                <w:szCs w:val="24"/>
                <w:lang w:eastAsia="lv-LV"/>
              </w:rPr>
              <w:t xml:space="preserve"> 2.2.8 un 2.2.9.apakšpunktu</w:t>
            </w:r>
            <w:r w:rsidRPr="005B1F02">
              <w:rPr>
                <w:rFonts w:ascii="Times New Roman" w:hAnsi="Times New Roman" w:cs="Times New Roman"/>
                <w:sz w:val="24"/>
                <w:szCs w:val="24"/>
                <w:lang w:eastAsia="lv-LV"/>
              </w:rPr>
              <w:t>.</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585A50" w:rsidRDefault="00585A50" w:rsidP="000B1B91">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85A50" w:rsidRPr="00585A50" w:rsidRDefault="00585A50" w:rsidP="00585A50">
            <w:pPr>
              <w:rPr>
                <w:rFonts w:ascii="Times New Roman" w:eastAsia="Times New Roman" w:hAnsi="Times New Roman" w:cs="Times New Roman"/>
                <w:sz w:val="24"/>
                <w:szCs w:val="24"/>
                <w:lang w:eastAsia="lv-LV"/>
              </w:rPr>
            </w:pPr>
          </w:p>
          <w:p w:rsidR="005B1F02" w:rsidRPr="00585A50" w:rsidRDefault="00585A50" w:rsidP="00585A50">
            <w:pPr>
              <w:tabs>
                <w:tab w:val="left" w:pos="996"/>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24" w:type="pct"/>
            <w:tcBorders>
              <w:top w:val="outset" w:sz="6" w:space="0" w:color="auto"/>
              <w:left w:val="outset" w:sz="6" w:space="0" w:color="auto"/>
              <w:bottom w:val="outset" w:sz="6" w:space="0" w:color="auto"/>
              <w:right w:val="outset" w:sz="6" w:space="0" w:color="auto"/>
            </w:tcBorders>
          </w:tcPr>
          <w:p w:rsidR="007B7A13" w:rsidRPr="007B7A13" w:rsidRDefault="007B7A13" w:rsidP="000B1B91">
            <w:pPr>
              <w:shd w:val="clear" w:color="auto" w:fill="FFFFFF"/>
              <w:spacing w:after="0"/>
              <w:jc w:val="both"/>
              <w:rPr>
                <w:rFonts w:ascii="Times New Roman" w:hAnsi="Times New Roman" w:cs="Times New Roman"/>
                <w:sz w:val="24"/>
                <w:szCs w:val="24"/>
                <w:lang w:eastAsia="lv-LV"/>
              </w:rPr>
            </w:pPr>
            <w:r w:rsidRPr="007B7A13">
              <w:rPr>
                <w:rFonts w:ascii="Times New Roman" w:hAnsi="Times New Roman" w:cs="Times New Roman"/>
                <w:sz w:val="24"/>
                <w:szCs w:val="24"/>
                <w:lang w:eastAsia="lv-LV"/>
              </w:rPr>
              <w:t xml:space="preserve">Uzņēmumu vieglo transportlīdzekļu nodokļa (turpmāk - UVTN) likmes ir noteiktas kā nemainīgs skaitlis, nevis izteiktas procentuālā izteiksmē, kā tas ir lielākajai daļai nodokļu. Tādējādi šāda veida nodokļa likmes paliek nemainīgas, neskatoties uz patēriņa cenu indeksa izmaiņām. Ņemot to vērā, ir nepieciešams pārskatīt UVTN likmes ik pēc noteikta laika perioda un veikt to indeksēšanu atbilstoši inflācijas apjomam. Ievērojot šos nosacījumus, likumprojekts paredz, ka UVTN likmes tiek palielinātas, ņemot vērā patēriņa cenu indeksa izmaiņas, sākot no 2017.gada. Iepriekš UVTN likmes indeksēja, </w:t>
            </w:r>
            <w:r w:rsidR="000B1B91">
              <w:rPr>
                <w:rFonts w:ascii="Times New Roman" w:hAnsi="Times New Roman" w:cs="Times New Roman"/>
                <w:sz w:val="24"/>
                <w:szCs w:val="24"/>
                <w:lang w:eastAsia="lv-LV"/>
              </w:rPr>
              <w:t>ņemot vērā</w:t>
            </w:r>
            <w:r w:rsidRPr="007B7A13">
              <w:rPr>
                <w:rFonts w:ascii="Times New Roman" w:hAnsi="Times New Roman" w:cs="Times New Roman"/>
                <w:sz w:val="24"/>
                <w:szCs w:val="24"/>
                <w:lang w:eastAsia="lv-LV"/>
              </w:rPr>
              <w:t xml:space="preserve"> Centrālās statistikas pārvaldes aprēķinātā patēriņa cenu indeksa izmaiņas 2014.gadā pret 2010.gadu un tās attiecīgi tika piemērotas, sākot ar 2016.gada 1.janvāri. </w:t>
            </w:r>
          </w:p>
          <w:p w:rsidR="007B7A13" w:rsidRPr="007B7A13" w:rsidRDefault="007B7A13" w:rsidP="000B1B91">
            <w:pPr>
              <w:shd w:val="clear" w:color="auto" w:fill="FFFFFF"/>
              <w:spacing w:after="0" w:line="240" w:lineRule="auto"/>
              <w:jc w:val="both"/>
              <w:rPr>
                <w:rFonts w:ascii="Times New Roman" w:hAnsi="Times New Roman" w:cs="Times New Roman"/>
                <w:sz w:val="24"/>
                <w:szCs w:val="24"/>
                <w:lang w:eastAsia="lv-LV"/>
              </w:rPr>
            </w:pPr>
            <w:r w:rsidRPr="007B7A13">
              <w:rPr>
                <w:rFonts w:ascii="Times New Roman" w:hAnsi="Times New Roman" w:cs="Times New Roman"/>
                <w:sz w:val="24"/>
                <w:szCs w:val="24"/>
                <w:lang w:eastAsia="lv-LV"/>
              </w:rPr>
              <w:t xml:space="preserve">Ņemot vērā to, ka šobrīd būtiski ir stiprināt rīcību klimata pārmaiņu mazināšanai, tad kā viens no pasākumiem ir mēģināt ierobežot komersantus izmantot automobiļus ar liela tilpuma motoru privātajām vajadzībām. </w:t>
            </w:r>
          </w:p>
          <w:p w:rsidR="005B1F02" w:rsidRPr="007B7A13" w:rsidRDefault="007B7A13" w:rsidP="000B1B91">
            <w:pPr>
              <w:pStyle w:val="Default"/>
              <w:jc w:val="both"/>
              <w:rPr>
                <w:color w:val="auto"/>
                <w:lang w:eastAsia="lv-LV"/>
              </w:rPr>
            </w:pPr>
            <w:r w:rsidRPr="007B7A13">
              <w:rPr>
                <w:color w:val="auto"/>
                <w:lang w:eastAsia="lv-LV"/>
              </w:rPr>
              <w:lastRenderedPageBreak/>
              <w:t>Līdz ar to papildus iepriekšminētajām izmaiņām atsevišķi ir izdalīti transportlīdzekļi ar lielu motora tilpuma, proti, automobiļiem ar motora tilpumu, kas pārsniedz 3000 cm3, tiek noteikta jauna UVTN likme 82 euro apmērā.</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Finanšu ministr</w:t>
            </w:r>
            <w:r w:rsidR="007B7A13">
              <w:rPr>
                <w:rFonts w:ascii="Times New Roman" w:eastAsia="Times New Roman" w:hAnsi="Times New Roman" w:cs="Times New Roman"/>
                <w:iCs/>
                <w:sz w:val="24"/>
                <w:szCs w:val="24"/>
                <w:lang w:eastAsia="lv-LV"/>
              </w:rPr>
              <w:t>ija</w:t>
            </w:r>
            <w:r w:rsidRPr="0024716D">
              <w:rPr>
                <w:rFonts w:ascii="Times New Roman" w:eastAsia="Times New Roman" w:hAnsi="Times New Roman" w:cs="Times New Roman"/>
                <w:iCs/>
                <w:sz w:val="24"/>
                <w:szCs w:val="24"/>
                <w:lang w:eastAsia="lv-LV"/>
              </w:rPr>
              <w:t>.</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rsidR="005B1F02" w:rsidRPr="0024716D" w:rsidRDefault="005B1F02" w:rsidP="005B1F02">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5B1F02" w:rsidRPr="0024716D" w:rsidTr="0029064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1F02" w:rsidRPr="0024716D" w:rsidRDefault="005B1F02" w:rsidP="001974AE">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Sabiedrības </w:t>
            </w:r>
            <w:proofErr w:type="spellStart"/>
            <w:r w:rsidRPr="0024716D">
              <w:rPr>
                <w:rFonts w:ascii="Times New Roman" w:eastAsia="Times New Roman" w:hAnsi="Times New Roman" w:cs="Times New Roman"/>
                <w:iCs/>
                <w:sz w:val="24"/>
                <w:szCs w:val="24"/>
                <w:lang w:eastAsia="lv-LV"/>
              </w:rPr>
              <w:t>mērķgrupas</w:t>
            </w:r>
            <w:proofErr w:type="spellEnd"/>
            <w:r w:rsidRPr="0024716D">
              <w:rPr>
                <w:rFonts w:ascii="Times New Roman" w:eastAsia="Times New Roman" w:hAnsi="Times New Roman" w:cs="Times New Roman"/>
                <w:iCs/>
                <w:sz w:val="24"/>
                <w:szCs w:val="24"/>
                <w:lang w:eastAsia="lv-LV"/>
              </w:rPr>
              <w:t>,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rsidR="005B1F02" w:rsidRPr="0016492C" w:rsidRDefault="005B1F02" w:rsidP="007B7A13">
            <w:pPr>
              <w:pStyle w:val="naiskr"/>
              <w:spacing w:before="0" w:after="0"/>
              <w:ind w:left="57" w:right="57"/>
              <w:jc w:val="both"/>
              <w:rPr>
                <w:iCs/>
              </w:rPr>
            </w:pPr>
            <w:r w:rsidRPr="0016492C">
              <w:rPr>
                <w:iCs/>
              </w:rPr>
              <w:t>Likumprojekta normas attiecas</w:t>
            </w:r>
            <w:r w:rsidR="000B1B91">
              <w:rPr>
                <w:iCs/>
              </w:rPr>
              <w:t xml:space="preserve"> uz</w:t>
            </w:r>
            <w:r w:rsidRPr="0016492C">
              <w:rPr>
                <w:iCs/>
              </w:rPr>
              <w:t xml:space="preserve"> </w:t>
            </w:r>
            <w:r w:rsidR="007B7A13">
              <w:rPr>
                <w:iCs/>
              </w:rPr>
              <w:t>tiem komersantiem, ārvalsts komersanta filiālēm un zemnieku saimniecībām, kuri savā īpašumā vai turējumā reģistrētu transportlīdzekli izmanto ne tikai savas saimnieciskās darbības nodrošināšanai, bet arī privātām vajadzībām.</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412CAD" w:rsidP="001974AE">
            <w:pPr>
              <w:pStyle w:val="Default"/>
              <w:spacing w:after="120"/>
              <w:ind w:left="57" w:right="57"/>
              <w:jc w:val="both"/>
              <w:rPr>
                <w:rFonts w:eastAsia="Times New Roman"/>
                <w:iCs/>
                <w:lang w:eastAsia="lv-LV"/>
              </w:rPr>
            </w:pPr>
            <w:r>
              <w:rPr>
                <w:lang w:eastAsia="ar-SA"/>
              </w:rPr>
              <w:t>Likumprojekts šo jomu neskar.</w:t>
            </w:r>
            <w:r w:rsidR="005B1F02" w:rsidRPr="00B93C1E">
              <w:rPr>
                <w:lang w:eastAsia="ar-SA"/>
              </w:rPr>
              <w:t xml:space="preserve"> </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Pr="0024716D">
              <w:rPr>
                <w:rFonts w:ascii="Times New Roman" w:hAnsi="Times New Roman" w:cs="Times New Roman"/>
                <w:sz w:val="24"/>
                <w:szCs w:val="24"/>
              </w:rPr>
              <w:t>projekts šo jomu neskar.</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Pr="0024716D">
              <w:rPr>
                <w:rFonts w:ascii="Times New Roman" w:hAnsi="Times New Roman" w:cs="Times New Roman"/>
                <w:sz w:val="24"/>
                <w:szCs w:val="24"/>
              </w:rPr>
              <w:t>projekts šo jomu neskar.</w:t>
            </w:r>
          </w:p>
        </w:tc>
      </w:tr>
      <w:tr w:rsidR="005B1F02" w:rsidRPr="0024716D" w:rsidTr="002906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rsidR="005B1F02" w:rsidRPr="0024716D" w:rsidRDefault="005B1F02" w:rsidP="005B1F02">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Style w:val="TableGrid"/>
        <w:tblW w:w="5143" w:type="pct"/>
        <w:tblLayout w:type="fixed"/>
        <w:tblCellMar>
          <w:left w:w="57" w:type="dxa"/>
          <w:right w:w="57" w:type="dxa"/>
        </w:tblCellMar>
        <w:tblLook w:val="04A0" w:firstRow="1" w:lastRow="0" w:firstColumn="1" w:lastColumn="0" w:noHBand="0" w:noVBand="1"/>
      </w:tblPr>
      <w:tblGrid>
        <w:gridCol w:w="1689"/>
        <w:gridCol w:w="1267"/>
        <w:gridCol w:w="847"/>
        <w:gridCol w:w="1269"/>
        <w:gridCol w:w="988"/>
        <w:gridCol w:w="1269"/>
        <w:gridCol w:w="988"/>
        <w:gridCol w:w="1003"/>
      </w:tblGrid>
      <w:tr w:rsidR="00412CAD" w:rsidRPr="005851C0" w:rsidTr="001A3FF2">
        <w:trPr>
          <w:trHeight w:val="267"/>
        </w:trPr>
        <w:tc>
          <w:tcPr>
            <w:tcW w:w="9320" w:type="dxa"/>
            <w:gridSpan w:val="8"/>
            <w:hideMark/>
          </w:tcPr>
          <w:p w:rsidR="00412CAD" w:rsidRPr="00412CAD" w:rsidRDefault="00412CAD" w:rsidP="001974AE">
            <w:pPr>
              <w:jc w:val="center"/>
              <w:rPr>
                <w:rFonts w:ascii="Times New Roman" w:eastAsia="Times New Roman" w:hAnsi="Times New Roman" w:cs="Times New Roman"/>
                <w:b/>
                <w:bCs/>
                <w:iCs/>
                <w:sz w:val="24"/>
                <w:szCs w:val="24"/>
                <w:lang w:eastAsia="lv-LV"/>
              </w:rPr>
            </w:pPr>
            <w:r w:rsidRPr="00412CAD">
              <w:rPr>
                <w:rFonts w:ascii="Times New Roman" w:eastAsia="Times New Roman" w:hAnsi="Times New Roman" w:cs="Times New Roman"/>
                <w:b/>
                <w:bCs/>
                <w:iCs/>
                <w:sz w:val="24"/>
                <w:szCs w:val="24"/>
                <w:lang w:eastAsia="lv-LV"/>
              </w:rPr>
              <w:t>III. Tiesību akta projekta ietekme uz valsts budžetu un pašvaldību budžetiem</w:t>
            </w:r>
          </w:p>
        </w:tc>
      </w:tr>
      <w:tr w:rsidR="00412CAD" w:rsidRPr="00412CAD" w:rsidTr="001A3FF2">
        <w:trPr>
          <w:trHeight w:val="252"/>
        </w:trPr>
        <w:tc>
          <w:tcPr>
            <w:tcW w:w="1689" w:type="dxa"/>
            <w:vMerge w:val="restart"/>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Rādītāji</w:t>
            </w:r>
          </w:p>
        </w:tc>
        <w:tc>
          <w:tcPr>
            <w:tcW w:w="2114" w:type="dxa"/>
            <w:gridSpan w:val="2"/>
            <w:vMerge w:val="restart"/>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2020</w:t>
            </w:r>
          </w:p>
        </w:tc>
        <w:tc>
          <w:tcPr>
            <w:tcW w:w="5517" w:type="dxa"/>
            <w:gridSpan w:val="5"/>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Turpmākie trīs gadi (euro)</w:t>
            </w:r>
          </w:p>
        </w:tc>
      </w:tr>
      <w:tr w:rsidR="00412CAD" w:rsidRPr="00412CAD" w:rsidTr="001A3FF2">
        <w:trPr>
          <w:trHeight w:val="282"/>
        </w:trPr>
        <w:tc>
          <w:tcPr>
            <w:tcW w:w="1689" w:type="dxa"/>
            <w:vMerge/>
            <w:hideMark/>
          </w:tcPr>
          <w:p w:rsidR="00412CAD" w:rsidRPr="00412CAD" w:rsidRDefault="00412CAD" w:rsidP="001974AE">
            <w:pPr>
              <w:rPr>
                <w:rFonts w:ascii="Times New Roman" w:eastAsia="Times New Roman" w:hAnsi="Times New Roman" w:cs="Times New Roman"/>
                <w:iCs/>
                <w:sz w:val="24"/>
                <w:szCs w:val="24"/>
                <w:lang w:eastAsia="lv-LV"/>
              </w:rPr>
            </w:pPr>
          </w:p>
        </w:tc>
        <w:tc>
          <w:tcPr>
            <w:tcW w:w="2114" w:type="dxa"/>
            <w:gridSpan w:val="2"/>
            <w:vMerge/>
            <w:hideMark/>
          </w:tcPr>
          <w:p w:rsidR="00412CAD" w:rsidRPr="00412CAD" w:rsidRDefault="00412CAD" w:rsidP="001974AE">
            <w:pPr>
              <w:rPr>
                <w:rFonts w:ascii="Times New Roman" w:eastAsia="Times New Roman" w:hAnsi="Times New Roman" w:cs="Times New Roman"/>
                <w:iCs/>
                <w:sz w:val="24"/>
                <w:szCs w:val="24"/>
                <w:lang w:eastAsia="lv-LV"/>
              </w:rPr>
            </w:pPr>
          </w:p>
        </w:tc>
        <w:tc>
          <w:tcPr>
            <w:tcW w:w="2257" w:type="dxa"/>
            <w:gridSpan w:val="2"/>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2021</w:t>
            </w:r>
          </w:p>
        </w:tc>
        <w:tc>
          <w:tcPr>
            <w:tcW w:w="2257" w:type="dxa"/>
            <w:gridSpan w:val="2"/>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2022</w:t>
            </w:r>
          </w:p>
        </w:tc>
        <w:tc>
          <w:tcPr>
            <w:tcW w:w="1003"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2023</w:t>
            </w:r>
          </w:p>
        </w:tc>
      </w:tr>
      <w:tr w:rsidR="00412CAD" w:rsidRPr="00412CAD" w:rsidTr="001A3FF2">
        <w:trPr>
          <w:trHeight w:val="2363"/>
        </w:trPr>
        <w:tc>
          <w:tcPr>
            <w:tcW w:w="1689" w:type="dxa"/>
            <w:vMerge/>
            <w:hideMark/>
          </w:tcPr>
          <w:p w:rsidR="00412CAD" w:rsidRPr="00412CAD" w:rsidRDefault="00412CAD" w:rsidP="001974AE">
            <w:pPr>
              <w:rPr>
                <w:rFonts w:ascii="Times New Roman" w:eastAsia="Times New Roman" w:hAnsi="Times New Roman" w:cs="Times New Roman"/>
                <w:iCs/>
                <w:sz w:val="24"/>
                <w:szCs w:val="24"/>
                <w:lang w:eastAsia="lv-LV"/>
              </w:rPr>
            </w:pPr>
          </w:p>
        </w:tc>
        <w:tc>
          <w:tcPr>
            <w:tcW w:w="1267"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saskaņā ar valsts budžetu kārtējam gadam</w:t>
            </w:r>
          </w:p>
        </w:tc>
        <w:tc>
          <w:tcPr>
            <w:tcW w:w="847"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Izmaiņas kārtējā gadā, salīdzinot ar valsts budžetu kārtējam gadam</w:t>
            </w:r>
          </w:p>
        </w:tc>
        <w:tc>
          <w:tcPr>
            <w:tcW w:w="126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saskaņā ar vidēja termiņa budžeta ietvaru</w:t>
            </w:r>
          </w:p>
        </w:tc>
        <w:tc>
          <w:tcPr>
            <w:tcW w:w="988"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izmaiņas, salīdzinot ar vidēja termiņa budžeta ietvaru 2021.g.</w:t>
            </w:r>
          </w:p>
        </w:tc>
        <w:tc>
          <w:tcPr>
            <w:tcW w:w="126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saskaņā ar vidēja termiņa budžeta ietvaru</w:t>
            </w:r>
          </w:p>
        </w:tc>
        <w:tc>
          <w:tcPr>
            <w:tcW w:w="988"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 xml:space="preserve">izmaiņas, salīdzinot ar vidēja termiņa budžeta ietvaru </w:t>
            </w:r>
          </w:p>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2022.g.</w:t>
            </w:r>
          </w:p>
        </w:tc>
        <w:tc>
          <w:tcPr>
            <w:tcW w:w="1003"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 xml:space="preserve">izmaiņas, salīdzinot ar vidēja termiņa budžeta ietvaru </w:t>
            </w:r>
            <w:r w:rsidRPr="00412CAD">
              <w:rPr>
                <w:rFonts w:ascii="Times New Roman" w:eastAsia="Times New Roman" w:hAnsi="Times New Roman" w:cs="Times New Roman"/>
                <w:iCs/>
                <w:sz w:val="24"/>
                <w:szCs w:val="24"/>
                <w:lang w:eastAsia="lv-LV"/>
              </w:rPr>
              <w:br/>
              <w:t>2022.g.</w:t>
            </w:r>
          </w:p>
        </w:tc>
      </w:tr>
      <w:tr w:rsidR="00412CAD" w:rsidRPr="00412CAD" w:rsidTr="001A3FF2">
        <w:trPr>
          <w:trHeight w:val="252"/>
        </w:trPr>
        <w:tc>
          <w:tcPr>
            <w:tcW w:w="1689"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1</w:t>
            </w:r>
          </w:p>
        </w:tc>
        <w:tc>
          <w:tcPr>
            <w:tcW w:w="1267"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w:t>
            </w:r>
          </w:p>
        </w:tc>
        <w:tc>
          <w:tcPr>
            <w:tcW w:w="847"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3</w:t>
            </w:r>
          </w:p>
        </w:tc>
        <w:tc>
          <w:tcPr>
            <w:tcW w:w="1269"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4</w:t>
            </w:r>
          </w:p>
        </w:tc>
        <w:tc>
          <w:tcPr>
            <w:tcW w:w="988"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5</w:t>
            </w:r>
          </w:p>
        </w:tc>
        <w:tc>
          <w:tcPr>
            <w:tcW w:w="1269"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6</w:t>
            </w:r>
          </w:p>
        </w:tc>
        <w:tc>
          <w:tcPr>
            <w:tcW w:w="988"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7</w:t>
            </w:r>
          </w:p>
        </w:tc>
        <w:tc>
          <w:tcPr>
            <w:tcW w:w="1003" w:type="dxa"/>
            <w:hideMark/>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8</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1. Budžeta ieņēmumi</w:t>
            </w:r>
          </w:p>
        </w:tc>
        <w:tc>
          <w:tcPr>
            <w:tcW w:w="1267"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1 700 000</w:t>
            </w:r>
          </w:p>
        </w:tc>
        <w:tc>
          <w:tcPr>
            <w:tcW w:w="1269"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1 700 000</w:t>
            </w:r>
          </w:p>
        </w:tc>
        <w:tc>
          <w:tcPr>
            <w:tcW w:w="1003"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1 700 000</w:t>
            </w:r>
          </w:p>
        </w:tc>
      </w:tr>
      <w:tr w:rsidR="00412CAD" w:rsidRPr="00412CAD" w:rsidTr="001A3FF2">
        <w:trPr>
          <w:trHeight w:val="1828"/>
        </w:trPr>
        <w:tc>
          <w:tcPr>
            <w:tcW w:w="1689" w:type="dxa"/>
            <w:hideMark/>
          </w:tcPr>
          <w:p w:rsidR="00412CAD" w:rsidRPr="00412CAD" w:rsidRDefault="00412CAD" w:rsidP="004350A9">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1267"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269" w:type="dxa"/>
          </w:tcPr>
          <w:p w:rsidR="00412CAD" w:rsidRPr="00412CAD" w:rsidRDefault="007511FF"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21 500 000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003"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1.2. valsts speciālais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4350A9">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1.3. pašvaldību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 Budžeta izdevumi</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2.1. valsts pamatbudžets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2.2. valsts speciālais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2.3. pašvaldību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3. Finansiālā ietekme</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003"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3.1. valsts pamatbudžets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c>
          <w:tcPr>
            <w:tcW w:w="1003" w:type="dxa"/>
          </w:tcPr>
          <w:p w:rsidR="00412CAD" w:rsidRPr="00412CAD" w:rsidRDefault="00FC32FA" w:rsidP="001974AE">
            <w:pPr>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511FF">
              <w:rPr>
                <w:rFonts w:ascii="Times New Roman" w:eastAsia="Times New Roman" w:hAnsi="Times New Roman" w:cs="Times New Roman"/>
                <w:iCs/>
                <w:sz w:val="24"/>
                <w:szCs w:val="24"/>
                <w:lang w:eastAsia="lv-LV"/>
              </w:rPr>
              <w:t xml:space="preserve">1 700 000 </w:t>
            </w:r>
          </w:p>
        </w:tc>
      </w:tr>
      <w:tr w:rsidR="00412CAD" w:rsidRPr="00412CAD" w:rsidTr="001A3FF2">
        <w:trPr>
          <w:trHeight w:val="505"/>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3.2. speciālais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3.3. pašvaldību budžets</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26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5. Precizēta finansiālā ietekme</w:t>
            </w:r>
          </w:p>
        </w:tc>
        <w:tc>
          <w:tcPr>
            <w:tcW w:w="1267" w:type="dxa"/>
            <w:vMerge w:val="restart"/>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val="restart"/>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val="restart"/>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X</w:t>
            </w: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5.1. valsts pamatbudžets</w:t>
            </w:r>
          </w:p>
        </w:tc>
        <w:tc>
          <w:tcPr>
            <w:tcW w:w="1267"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5.2. speciālais budžets</w:t>
            </w:r>
          </w:p>
        </w:tc>
        <w:tc>
          <w:tcPr>
            <w:tcW w:w="1267"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5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5.3. pašvaldību budžets</w:t>
            </w:r>
          </w:p>
        </w:tc>
        <w:tc>
          <w:tcPr>
            <w:tcW w:w="1267"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847"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269" w:type="dxa"/>
            <w:vMerge/>
          </w:tcPr>
          <w:p w:rsidR="00412CAD" w:rsidRPr="00412CAD" w:rsidRDefault="00412CAD" w:rsidP="001974AE">
            <w:pPr>
              <w:jc w:val="center"/>
              <w:rPr>
                <w:rFonts w:ascii="Times New Roman" w:eastAsia="Times New Roman" w:hAnsi="Times New Roman" w:cs="Times New Roman"/>
                <w:iCs/>
                <w:sz w:val="24"/>
                <w:szCs w:val="24"/>
                <w:lang w:eastAsia="lv-LV"/>
              </w:rPr>
            </w:pPr>
          </w:p>
        </w:tc>
        <w:tc>
          <w:tcPr>
            <w:tcW w:w="988"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c>
          <w:tcPr>
            <w:tcW w:w="1003" w:type="dxa"/>
          </w:tcPr>
          <w:p w:rsidR="00412CAD" w:rsidRPr="00412CAD" w:rsidRDefault="00412CAD" w:rsidP="001974AE">
            <w:pPr>
              <w:jc w:val="cente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0</w:t>
            </w:r>
          </w:p>
        </w:tc>
      </w:tr>
      <w:tr w:rsidR="00412CAD" w:rsidRPr="00412CAD" w:rsidTr="001A3FF2">
        <w:trPr>
          <w:trHeight w:val="272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31" w:type="dxa"/>
            <w:gridSpan w:val="7"/>
            <w:vMerge w:val="restart"/>
          </w:tcPr>
          <w:p w:rsidR="008155A5" w:rsidRDefault="008155A5" w:rsidP="00F568AE">
            <w:pPr>
              <w:jc w:val="both"/>
              <w:rPr>
                <w:rFonts w:ascii="Times New Roman" w:eastAsia="Calibri" w:hAnsi="Times New Roman" w:cs="Times New Roman"/>
                <w:sz w:val="24"/>
                <w:szCs w:val="24"/>
              </w:rPr>
            </w:pPr>
            <w:r>
              <w:rPr>
                <w:rFonts w:ascii="Times New Roman" w:eastAsia="Calibri" w:hAnsi="Times New Roman" w:cs="Times New Roman"/>
                <w:sz w:val="24"/>
                <w:szCs w:val="24"/>
              </w:rPr>
              <w:t>Aprēķinā</w:t>
            </w:r>
            <w:r w:rsidR="00D74EA3">
              <w:rPr>
                <w:rFonts w:ascii="Times New Roman" w:eastAsia="Calibri" w:hAnsi="Times New Roman" w:cs="Times New Roman"/>
                <w:sz w:val="24"/>
                <w:szCs w:val="24"/>
              </w:rPr>
              <w:t xml:space="preserve"> tika ņemtas vērā patēri</w:t>
            </w:r>
            <w:r w:rsidR="0067735B">
              <w:rPr>
                <w:rFonts w:ascii="Times New Roman" w:eastAsia="Calibri" w:hAnsi="Times New Roman" w:cs="Times New Roman"/>
                <w:sz w:val="24"/>
                <w:szCs w:val="24"/>
              </w:rPr>
              <w:t xml:space="preserve">ņa cenu indeksa izmaiņas no 2017. gada janvāra līdz 2019. gada decembrim, kas pēc Centrālās statistikas pārvaldes mājas lapā sniegtās informācijas </w:t>
            </w:r>
            <w:r>
              <w:rPr>
                <w:rFonts w:ascii="Times New Roman" w:eastAsia="Calibri" w:hAnsi="Times New Roman" w:cs="Times New Roman"/>
                <w:sz w:val="24"/>
                <w:szCs w:val="24"/>
              </w:rPr>
              <w:t>ir</w:t>
            </w:r>
            <w:r w:rsidR="0067735B">
              <w:rPr>
                <w:rFonts w:ascii="Times New Roman" w:eastAsia="Calibri" w:hAnsi="Times New Roman" w:cs="Times New Roman"/>
                <w:sz w:val="24"/>
                <w:szCs w:val="24"/>
              </w:rPr>
              <w:t xml:space="preserve"> 7</w:t>
            </w:r>
            <w:r w:rsidR="00FC32FA">
              <w:rPr>
                <w:rFonts w:ascii="Times New Roman" w:eastAsia="Calibri" w:hAnsi="Times New Roman" w:cs="Times New Roman"/>
                <w:sz w:val="24"/>
                <w:szCs w:val="24"/>
              </w:rPr>
              <w:t>,0</w:t>
            </w:r>
            <w:r w:rsidR="0067735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155A5" w:rsidRDefault="008155A5" w:rsidP="00F568AE">
            <w:pPr>
              <w:jc w:val="both"/>
              <w:rPr>
                <w:rFonts w:ascii="Times New Roman" w:eastAsia="Calibri" w:hAnsi="Times New Roman" w:cs="Times New Roman"/>
                <w:sz w:val="24"/>
                <w:szCs w:val="24"/>
              </w:rPr>
            </w:pPr>
          </w:p>
          <w:p w:rsidR="006C4B51" w:rsidRPr="008155A5" w:rsidRDefault="008155A5" w:rsidP="00F568AE">
            <w:pPr>
              <w:jc w:val="both"/>
              <w:rPr>
                <w:rFonts w:ascii="Times New Roman" w:hAnsi="Times New Roman" w:cs="Times New Roman"/>
                <w:sz w:val="24"/>
                <w:szCs w:val="24"/>
              </w:rPr>
            </w:pPr>
            <w:r>
              <w:rPr>
                <w:rFonts w:ascii="Times New Roman" w:eastAsia="Calibri" w:hAnsi="Times New Roman" w:cs="Times New Roman"/>
                <w:sz w:val="24"/>
                <w:szCs w:val="24"/>
              </w:rPr>
              <w:t>Aprēķinātas likmes pēc motora tilpuma ir norādītas zemāk tabulā:</w:t>
            </w:r>
          </w:p>
          <w:p w:rsidR="0067735B" w:rsidRDefault="0067735B" w:rsidP="0067735B">
            <w:pPr>
              <w:jc w:val="both"/>
              <w:rPr>
                <w:rFonts w:ascii="Times New Roman" w:eastAsia="Calibri" w:hAnsi="Times New Roman" w:cs="Times New Roman"/>
                <w:sz w:val="24"/>
                <w:szCs w:val="24"/>
              </w:rPr>
            </w:pPr>
          </w:p>
          <w:tbl>
            <w:tblPr>
              <w:tblW w:w="7312" w:type="dxa"/>
              <w:tblLayout w:type="fixed"/>
              <w:tblLook w:val="04A0" w:firstRow="1" w:lastRow="0" w:firstColumn="1" w:lastColumn="0" w:noHBand="0" w:noVBand="1"/>
            </w:tblPr>
            <w:tblGrid>
              <w:gridCol w:w="3343"/>
              <w:gridCol w:w="1985"/>
              <w:gridCol w:w="1984"/>
            </w:tblGrid>
            <w:tr w:rsidR="00026A53" w:rsidRPr="007B3D24" w:rsidTr="00026A53">
              <w:trPr>
                <w:trHeight w:val="600"/>
              </w:trPr>
              <w:tc>
                <w:tcPr>
                  <w:tcW w:w="3343" w:type="dxa"/>
                  <w:vMerge w:val="restart"/>
                  <w:tcBorders>
                    <w:top w:val="single" w:sz="4" w:space="0" w:color="auto"/>
                    <w:left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26A53" w:rsidRPr="007B3D24" w:rsidRDefault="00026A53" w:rsidP="007B3D24">
                  <w:pPr>
                    <w:spacing w:after="0" w:line="240" w:lineRule="auto"/>
                    <w:jc w:val="center"/>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 xml:space="preserve">UVTN likme, </w:t>
                  </w:r>
                  <w:r w:rsidRPr="007B3D24">
                    <w:rPr>
                      <w:rFonts w:ascii="Times New Roman" w:eastAsia="Times New Roman" w:hAnsi="Times New Roman" w:cs="Times New Roman"/>
                      <w:i/>
                      <w:color w:val="000000"/>
                      <w:sz w:val="24"/>
                      <w:szCs w:val="24"/>
                      <w:lang w:eastAsia="lv-LV"/>
                    </w:rPr>
                    <w:t>euro</w:t>
                  </w:r>
                  <w:r w:rsidRPr="007B3D24">
                    <w:rPr>
                      <w:rFonts w:ascii="Times New Roman" w:eastAsia="Times New Roman" w:hAnsi="Times New Roman" w:cs="Times New Roman"/>
                      <w:color w:val="000000"/>
                      <w:sz w:val="24"/>
                      <w:szCs w:val="24"/>
                      <w:lang w:eastAsia="lv-LV"/>
                    </w:rPr>
                    <w:t xml:space="preserve"> mēnesī</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026A53" w:rsidRPr="007B3D24" w:rsidRDefault="00026A53" w:rsidP="007B3D24">
                  <w:pPr>
                    <w:spacing w:after="0" w:line="240" w:lineRule="auto"/>
                    <w:jc w:val="center"/>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 xml:space="preserve">UVTN likme, </w:t>
                  </w:r>
                  <w:r w:rsidRPr="007B3D24">
                    <w:rPr>
                      <w:rFonts w:ascii="Times New Roman" w:eastAsia="Times New Roman" w:hAnsi="Times New Roman" w:cs="Times New Roman"/>
                      <w:i/>
                      <w:color w:val="000000"/>
                      <w:sz w:val="24"/>
                      <w:szCs w:val="24"/>
                      <w:lang w:eastAsia="lv-LV"/>
                    </w:rPr>
                    <w:t>euro</w:t>
                  </w:r>
                  <w:r w:rsidRPr="007B3D24">
                    <w:rPr>
                      <w:rFonts w:ascii="Times New Roman" w:eastAsia="Times New Roman" w:hAnsi="Times New Roman" w:cs="Times New Roman"/>
                      <w:color w:val="000000"/>
                      <w:sz w:val="24"/>
                      <w:szCs w:val="24"/>
                      <w:lang w:eastAsia="lv-LV"/>
                    </w:rPr>
                    <w:t xml:space="preserve"> mēnesī</w:t>
                  </w:r>
                </w:p>
              </w:tc>
            </w:tr>
            <w:tr w:rsidR="00026A53" w:rsidRPr="007B3D24" w:rsidTr="00026A53">
              <w:trPr>
                <w:trHeight w:val="600"/>
              </w:trPr>
              <w:tc>
                <w:tcPr>
                  <w:tcW w:w="3343" w:type="dxa"/>
                  <w:vMerge/>
                  <w:tcBorders>
                    <w:left w:val="single" w:sz="4" w:space="0" w:color="auto"/>
                    <w:bottom w:val="single" w:sz="4" w:space="0" w:color="auto"/>
                    <w:right w:val="single" w:sz="4" w:space="0" w:color="auto"/>
                  </w:tcBorders>
                  <w:shd w:val="clear" w:color="auto" w:fill="auto"/>
                  <w:noWrap/>
                  <w:vAlign w:val="bottom"/>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026A53" w:rsidRPr="007B3D24" w:rsidRDefault="00933867" w:rsidP="007B3D2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Patreiz spēkā esoša</w:t>
                  </w:r>
                </w:p>
              </w:tc>
              <w:tc>
                <w:tcPr>
                  <w:tcW w:w="1984" w:type="dxa"/>
                  <w:tcBorders>
                    <w:top w:val="single" w:sz="4" w:space="0" w:color="auto"/>
                    <w:left w:val="nil"/>
                    <w:bottom w:val="single" w:sz="4" w:space="0" w:color="auto"/>
                    <w:right w:val="single" w:sz="4" w:space="0" w:color="auto"/>
                  </w:tcBorders>
                  <w:shd w:val="clear" w:color="auto" w:fill="auto"/>
                  <w:vAlign w:val="center"/>
                </w:tcPr>
                <w:p w:rsidR="00026A53" w:rsidRPr="007B3D24" w:rsidRDefault="00026A53" w:rsidP="001A3FF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Ar </w:t>
                  </w:r>
                  <w:r w:rsidR="001A3FF2">
                    <w:rPr>
                      <w:rFonts w:ascii="Times New Roman" w:eastAsia="Times New Roman" w:hAnsi="Times New Roman" w:cs="Times New Roman"/>
                      <w:color w:val="000000"/>
                      <w:sz w:val="24"/>
                      <w:szCs w:val="24"/>
                      <w:lang w:eastAsia="lv-LV"/>
                    </w:rPr>
                    <w:t>2021. gada 1.janvāri</w:t>
                  </w:r>
                </w:p>
              </w:tc>
            </w:tr>
            <w:tr w:rsidR="00026A53" w:rsidRPr="007B3D24" w:rsidTr="00026A53">
              <w:trPr>
                <w:trHeight w:val="300"/>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Motora tilpums</w:t>
                  </w:r>
                  <w:r>
                    <w:rPr>
                      <w:rFonts w:ascii="Times New Roman" w:eastAsia="Times New Roman" w:hAnsi="Times New Roman" w:cs="Times New Roman"/>
                      <w:color w:val="000000"/>
                      <w:sz w:val="24"/>
                      <w:szCs w:val="24"/>
                      <w:lang w:eastAsia="lv-LV"/>
                    </w:rPr>
                    <w:t>:</w:t>
                  </w:r>
                </w:p>
              </w:tc>
              <w:tc>
                <w:tcPr>
                  <w:tcW w:w="1985"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center"/>
                    <w:rPr>
                      <w:rFonts w:ascii="Times New Roman" w:eastAsia="Times New Roman" w:hAnsi="Times New Roman" w:cs="Times New Roman"/>
                      <w:color w:val="000000"/>
                      <w:sz w:val="24"/>
                      <w:szCs w:val="24"/>
                      <w:lang w:eastAsia="lv-LV"/>
                    </w:rPr>
                  </w:pPr>
                </w:p>
              </w:tc>
              <w:tc>
                <w:tcPr>
                  <w:tcW w:w="1984"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center"/>
                    <w:rPr>
                      <w:rFonts w:ascii="Times New Roman" w:eastAsia="Times New Roman" w:hAnsi="Times New Roman" w:cs="Times New Roman"/>
                      <w:color w:val="000000"/>
                      <w:sz w:val="24"/>
                      <w:szCs w:val="24"/>
                      <w:lang w:eastAsia="lv-LV"/>
                    </w:rPr>
                  </w:pPr>
                </w:p>
              </w:tc>
            </w:tr>
            <w:tr w:rsidR="00026A53" w:rsidRPr="007B3D24" w:rsidTr="00026A53">
              <w:trPr>
                <w:trHeight w:val="300"/>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Līdz 2000 cm</w:t>
                  </w:r>
                  <w:r w:rsidR="00C059B6" w:rsidRPr="006C4B51">
                    <w:rPr>
                      <w:rFonts w:ascii="Times New Roman" w:eastAsia="Calibri" w:hAnsi="Times New Roman" w:cs="Times New Roman"/>
                      <w:sz w:val="24"/>
                      <w:szCs w:val="24"/>
                      <w:vertAlign w:val="superscript"/>
                    </w:rPr>
                    <w:t>3</w:t>
                  </w:r>
                </w:p>
              </w:tc>
              <w:tc>
                <w:tcPr>
                  <w:tcW w:w="1985"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29</w:t>
                  </w:r>
                </w:p>
              </w:tc>
              <w:tc>
                <w:tcPr>
                  <w:tcW w:w="1984"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b/>
                      <w:sz w:val="24"/>
                      <w:szCs w:val="24"/>
                      <w:lang w:eastAsia="lv-LV"/>
                    </w:rPr>
                  </w:pPr>
                  <w:r w:rsidRPr="007B3D24">
                    <w:rPr>
                      <w:rFonts w:ascii="Times New Roman" w:eastAsia="Times New Roman" w:hAnsi="Times New Roman" w:cs="Times New Roman"/>
                      <w:b/>
                      <w:sz w:val="24"/>
                      <w:szCs w:val="24"/>
                      <w:lang w:eastAsia="lv-LV"/>
                    </w:rPr>
                    <w:t>31</w:t>
                  </w:r>
                </w:p>
              </w:tc>
            </w:tr>
            <w:tr w:rsidR="00026A53" w:rsidRPr="007B3D24" w:rsidTr="00026A53">
              <w:trPr>
                <w:trHeight w:val="300"/>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No 2001 cm</w:t>
                  </w:r>
                  <w:r w:rsidR="00C059B6" w:rsidRPr="006C4B51">
                    <w:rPr>
                      <w:rFonts w:ascii="Times New Roman" w:eastAsia="Calibri" w:hAnsi="Times New Roman" w:cs="Times New Roman"/>
                      <w:sz w:val="24"/>
                      <w:szCs w:val="24"/>
                      <w:vertAlign w:val="superscript"/>
                    </w:rPr>
                    <w:t>3</w:t>
                  </w:r>
                  <w:r w:rsidRPr="007B3D24">
                    <w:rPr>
                      <w:rFonts w:ascii="Times New Roman" w:eastAsia="Times New Roman" w:hAnsi="Times New Roman" w:cs="Times New Roman"/>
                      <w:color w:val="000000"/>
                      <w:sz w:val="24"/>
                      <w:szCs w:val="24"/>
                      <w:lang w:eastAsia="lv-LV"/>
                    </w:rPr>
                    <w:t xml:space="preserve"> līdz 2500 cm </w:t>
                  </w:r>
                  <w:r w:rsidR="00C059B6" w:rsidRPr="006C4B51">
                    <w:rPr>
                      <w:rFonts w:ascii="Times New Roman" w:eastAsia="Calibri" w:hAnsi="Times New Roman" w:cs="Times New Roman"/>
                      <w:sz w:val="24"/>
                      <w:szCs w:val="24"/>
                      <w:vertAlign w:val="superscript"/>
                    </w:rPr>
                    <w:t>3</w:t>
                  </w:r>
                </w:p>
              </w:tc>
              <w:tc>
                <w:tcPr>
                  <w:tcW w:w="1985"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46</w:t>
                  </w:r>
                </w:p>
              </w:tc>
              <w:tc>
                <w:tcPr>
                  <w:tcW w:w="1984"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b/>
                      <w:sz w:val="24"/>
                      <w:szCs w:val="24"/>
                      <w:lang w:eastAsia="lv-LV"/>
                    </w:rPr>
                  </w:pPr>
                  <w:r w:rsidRPr="007B3D24">
                    <w:rPr>
                      <w:rFonts w:ascii="Times New Roman" w:eastAsia="Times New Roman" w:hAnsi="Times New Roman" w:cs="Times New Roman"/>
                      <w:b/>
                      <w:sz w:val="24"/>
                      <w:szCs w:val="24"/>
                      <w:lang w:eastAsia="lv-LV"/>
                    </w:rPr>
                    <w:t>49</w:t>
                  </w:r>
                </w:p>
              </w:tc>
            </w:tr>
            <w:tr w:rsidR="00026A53" w:rsidRPr="007B3D24" w:rsidTr="00026A53">
              <w:trPr>
                <w:trHeight w:val="300"/>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No 2501 cm</w:t>
                  </w:r>
                  <w:r w:rsidR="00C059B6" w:rsidRPr="006C4B51">
                    <w:rPr>
                      <w:rFonts w:ascii="Times New Roman" w:eastAsia="Calibri" w:hAnsi="Times New Roman" w:cs="Times New Roman"/>
                      <w:sz w:val="24"/>
                      <w:szCs w:val="24"/>
                      <w:vertAlign w:val="superscript"/>
                    </w:rPr>
                    <w:t>3</w:t>
                  </w:r>
                  <w:r w:rsidRPr="007B3D24">
                    <w:rPr>
                      <w:rFonts w:ascii="Times New Roman" w:eastAsia="Times New Roman" w:hAnsi="Times New Roman" w:cs="Times New Roman"/>
                      <w:color w:val="000000"/>
                      <w:sz w:val="24"/>
                      <w:szCs w:val="24"/>
                      <w:lang w:eastAsia="lv-LV"/>
                    </w:rPr>
                    <w:t xml:space="preserve"> līdz 3000 cm</w:t>
                  </w:r>
                  <w:r w:rsidR="00C059B6" w:rsidRPr="006C4B51">
                    <w:rPr>
                      <w:rFonts w:ascii="Times New Roman" w:eastAsia="Calibri" w:hAnsi="Times New Roman" w:cs="Times New Roman"/>
                      <w:sz w:val="24"/>
                      <w:szCs w:val="24"/>
                      <w:vertAlign w:val="superscript"/>
                    </w:rPr>
                    <w:t>3</w:t>
                  </w:r>
                </w:p>
              </w:tc>
              <w:tc>
                <w:tcPr>
                  <w:tcW w:w="1985"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color w:val="000000"/>
                      <w:sz w:val="24"/>
                      <w:szCs w:val="24"/>
                      <w:lang w:eastAsia="lv-LV"/>
                    </w:rPr>
                  </w:pPr>
                  <w:r w:rsidRPr="007B3D24">
                    <w:rPr>
                      <w:rFonts w:ascii="Times New Roman" w:eastAsia="Times New Roman" w:hAnsi="Times New Roman" w:cs="Times New Roman"/>
                      <w:color w:val="000000"/>
                      <w:sz w:val="24"/>
                      <w:szCs w:val="24"/>
                      <w:lang w:eastAsia="lv-LV"/>
                    </w:rPr>
                    <w:t>62</w:t>
                  </w:r>
                </w:p>
              </w:tc>
              <w:tc>
                <w:tcPr>
                  <w:tcW w:w="1984" w:type="dxa"/>
                  <w:tcBorders>
                    <w:top w:val="nil"/>
                    <w:left w:val="nil"/>
                    <w:bottom w:val="single" w:sz="4" w:space="0" w:color="auto"/>
                    <w:right w:val="single" w:sz="4" w:space="0" w:color="auto"/>
                  </w:tcBorders>
                  <w:shd w:val="clear" w:color="auto" w:fill="auto"/>
                  <w:noWrap/>
                  <w:vAlign w:val="bottom"/>
                  <w:hideMark/>
                </w:tcPr>
                <w:p w:rsidR="00026A53" w:rsidRPr="007B3D24" w:rsidRDefault="00026A53" w:rsidP="007B3D24">
                  <w:pPr>
                    <w:spacing w:after="0" w:line="240" w:lineRule="auto"/>
                    <w:jc w:val="right"/>
                    <w:rPr>
                      <w:rFonts w:ascii="Times New Roman" w:eastAsia="Times New Roman" w:hAnsi="Times New Roman" w:cs="Times New Roman"/>
                      <w:b/>
                      <w:sz w:val="24"/>
                      <w:szCs w:val="24"/>
                      <w:lang w:eastAsia="lv-LV"/>
                    </w:rPr>
                  </w:pPr>
                  <w:r w:rsidRPr="007B3D24">
                    <w:rPr>
                      <w:rFonts w:ascii="Times New Roman" w:eastAsia="Times New Roman" w:hAnsi="Times New Roman" w:cs="Times New Roman"/>
                      <w:b/>
                      <w:sz w:val="24"/>
                      <w:szCs w:val="24"/>
                      <w:lang w:eastAsia="lv-LV"/>
                    </w:rPr>
                    <w:t>66</w:t>
                  </w:r>
                </w:p>
              </w:tc>
            </w:tr>
          </w:tbl>
          <w:p w:rsidR="006C4B51" w:rsidRDefault="006C4B51" w:rsidP="0067735B">
            <w:pPr>
              <w:jc w:val="both"/>
              <w:rPr>
                <w:rFonts w:ascii="Times New Roman" w:eastAsia="Calibri" w:hAnsi="Times New Roman" w:cs="Times New Roman"/>
                <w:sz w:val="24"/>
                <w:szCs w:val="24"/>
              </w:rPr>
            </w:pPr>
          </w:p>
          <w:p w:rsidR="00FC32FA" w:rsidRPr="00FC32FA" w:rsidRDefault="00FC32FA" w:rsidP="0067735B">
            <w:pPr>
              <w:jc w:val="both"/>
              <w:rPr>
                <w:rFonts w:ascii="Times New Roman" w:eastAsia="Calibri" w:hAnsi="Times New Roman" w:cs="Times New Roman"/>
                <w:sz w:val="24"/>
                <w:szCs w:val="24"/>
              </w:rPr>
            </w:pPr>
            <w:r w:rsidRPr="00FC32FA">
              <w:rPr>
                <w:rFonts w:ascii="Times New Roman" w:hAnsi="Times New Roman" w:cs="Times New Roman"/>
                <w:sz w:val="24"/>
                <w:szCs w:val="24"/>
              </w:rPr>
              <w:t xml:space="preserve">Paaugstinot  uzņēmumu vieglo transportlīdzekļu nodokļa </w:t>
            </w:r>
            <w:r>
              <w:rPr>
                <w:rFonts w:ascii="Times New Roman" w:hAnsi="Times New Roman" w:cs="Times New Roman"/>
                <w:sz w:val="24"/>
                <w:szCs w:val="24"/>
              </w:rPr>
              <w:t>likmes par 7,0</w:t>
            </w:r>
            <w:r w:rsidRPr="00FC32FA">
              <w:rPr>
                <w:rFonts w:ascii="Times New Roman" w:hAnsi="Times New Roman" w:cs="Times New Roman"/>
                <w:sz w:val="24"/>
                <w:szCs w:val="24"/>
              </w:rPr>
              <w:t>%</w:t>
            </w:r>
            <w:r w:rsidR="008155A5">
              <w:rPr>
                <w:rFonts w:ascii="Times New Roman" w:hAnsi="Times New Roman" w:cs="Times New Roman"/>
                <w:sz w:val="24"/>
                <w:szCs w:val="24"/>
              </w:rPr>
              <w:t xml:space="preserve">, </w:t>
            </w:r>
            <w:r w:rsidRPr="00FC32FA">
              <w:rPr>
                <w:rFonts w:ascii="Times New Roman" w:hAnsi="Times New Roman" w:cs="Times New Roman"/>
                <w:sz w:val="24"/>
                <w:szCs w:val="24"/>
              </w:rPr>
              <w:t xml:space="preserve">un veicot likmju apaļošanu līdz veselam </w:t>
            </w:r>
            <w:r w:rsidRPr="00FC32FA">
              <w:rPr>
                <w:rFonts w:ascii="Times New Roman" w:hAnsi="Times New Roman" w:cs="Times New Roman"/>
                <w:i/>
                <w:sz w:val="24"/>
                <w:szCs w:val="24"/>
              </w:rPr>
              <w:t>euro</w:t>
            </w:r>
            <w:r>
              <w:rPr>
                <w:rFonts w:ascii="Times New Roman" w:hAnsi="Times New Roman" w:cs="Times New Roman"/>
                <w:sz w:val="24"/>
                <w:szCs w:val="24"/>
              </w:rPr>
              <w:t>,</w:t>
            </w:r>
            <w:r w:rsidR="006F2421">
              <w:rPr>
                <w:rFonts w:ascii="Times New Roman" w:hAnsi="Times New Roman" w:cs="Times New Roman"/>
                <w:sz w:val="24"/>
                <w:szCs w:val="24"/>
              </w:rPr>
              <w:t xml:space="preserve"> kā arī piemērojot jauno UVTN likmi</w:t>
            </w:r>
            <w:r w:rsidR="008155A5">
              <w:rPr>
                <w:rFonts w:ascii="Times New Roman" w:hAnsi="Times New Roman" w:cs="Times New Roman"/>
                <w:sz w:val="24"/>
                <w:szCs w:val="24"/>
              </w:rPr>
              <w:t xml:space="preserve"> automobiļiem ar motora tilpumu, kas pārsniedz 3000 cm</w:t>
            </w:r>
            <w:r w:rsidR="008155A5" w:rsidRPr="006C4B51">
              <w:rPr>
                <w:rFonts w:ascii="Times New Roman" w:eastAsia="Calibri" w:hAnsi="Times New Roman" w:cs="Times New Roman"/>
                <w:sz w:val="24"/>
                <w:szCs w:val="24"/>
                <w:vertAlign w:val="superscript"/>
              </w:rPr>
              <w:t>3</w:t>
            </w:r>
            <w:r w:rsidR="008155A5">
              <w:rPr>
                <w:rFonts w:ascii="Times New Roman" w:hAnsi="Times New Roman" w:cs="Times New Roman"/>
                <w:sz w:val="24"/>
                <w:szCs w:val="24"/>
              </w:rPr>
              <w:t xml:space="preserve">, </w:t>
            </w:r>
            <w:r>
              <w:rPr>
                <w:rFonts w:ascii="Times New Roman" w:hAnsi="Times New Roman" w:cs="Times New Roman"/>
                <w:sz w:val="24"/>
                <w:szCs w:val="24"/>
              </w:rPr>
              <w:t>par pamatu ņemot 2021</w:t>
            </w:r>
            <w:r w:rsidRPr="00FC32FA">
              <w:rPr>
                <w:rFonts w:ascii="Times New Roman" w:hAnsi="Times New Roman" w:cs="Times New Roman"/>
                <w:sz w:val="24"/>
                <w:szCs w:val="24"/>
              </w:rPr>
              <w:t xml:space="preserve">.gadam prognozētos </w:t>
            </w:r>
            <w:r w:rsidR="006F2421">
              <w:rPr>
                <w:rFonts w:ascii="Times New Roman" w:hAnsi="Times New Roman" w:cs="Times New Roman"/>
                <w:sz w:val="24"/>
                <w:szCs w:val="24"/>
              </w:rPr>
              <w:t>UVTN</w:t>
            </w:r>
            <w:r w:rsidRPr="00FC32FA">
              <w:rPr>
                <w:rFonts w:ascii="Times New Roman" w:hAnsi="Times New Roman" w:cs="Times New Roman"/>
                <w:sz w:val="24"/>
                <w:szCs w:val="24"/>
              </w:rPr>
              <w:t xml:space="preserve"> ieņēmumus, </w:t>
            </w:r>
            <w:r w:rsidR="004F6A35">
              <w:rPr>
                <w:rFonts w:ascii="Times New Roman" w:hAnsi="Times New Roman" w:cs="Times New Roman"/>
                <w:sz w:val="24"/>
                <w:szCs w:val="24"/>
              </w:rPr>
              <w:t xml:space="preserve">2021.gadā un turpmāk </w:t>
            </w:r>
            <w:r w:rsidR="006F2421">
              <w:rPr>
                <w:rFonts w:ascii="Times New Roman" w:hAnsi="Times New Roman" w:cs="Times New Roman"/>
                <w:sz w:val="24"/>
                <w:szCs w:val="24"/>
              </w:rPr>
              <w:t>veidosies</w:t>
            </w:r>
            <w:r w:rsidRPr="00FC32FA">
              <w:rPr>
                <w:rFonts w:ascii="Times New Roman" w:hAnsi="Times New Roman" w:cs="Times New Roman"/>
                <w:sz w:val="24"/>
                <w:szCs w:val="24"/>
              </w:rPr>
              <w:t xml:space="preserve"> pozitīva fiskālā ietekme </w:t>
            </w:r>
            <w:r>
              <w:rPr>
                <w:rFonts w:ascii="Times New Roman" w:hAnsi="Times New Roman" w:cs="Times New Roman"/>
                <w:sz w:val="24"/>
                <w:szCs w:val="24"/>
              </w:rPr>
              <w:t>1,7</w:t>
            </w:r>
            <w:r w:rsidRPr="00FC32FA">
              <w:rPr>
                <w:rFonts w:ascii="Times New Roman" w:hAnsi="Times New Roman" w:cs="Times New Roman"/>
                <w:sz w:val="24"/>
                <w:szCs w:val="24"/>
              </w:rPr>
              <w:t> milj. </w:t>
            </w:r>
            <w:r w:rsidRPr="00FC32FA">
              <w:rPr>
                <w:rFonts w:ascii="Times New Roman" w:hAnsi="Times New Roman" w:cs="Times New Roman"/>
                <w:i/>
                <w:sz w:val="24"/>
                <w:szCs w:val="24"/>
              </w:rPr>
              <w:t>euro</w:t>
            </w:r>
            <w:r w:rsidRPr="00FC32FA">
              <w:rPr>
                <w:rFonts w:ascii="Times New Roman" w:hAnsi="Times New Roman" w:cs="Times New Roman"/>
                <w:sz w:val="24"/>
                <w:szCs w:val="24"/>
              </w:rPr>
              <w:t xml:space="preserve"> apmērā</w:t>
            </w:r>
            <w:r>
              <w:rPr>
                <w:rFonts w:ascii="Times New Roman" w:hAnsi="Times New Roman" w:cs="Times New Roman"/>
                <w:sz w:val="24"/>
                <w:szCs w:val="24"/>
              </w:rPr>
              <w:t>:</w:t>
            </w:r>
          </w:p>
          <w:p w:rsidR="006C4B51" w:rsidRDefault="006C4B51" w:rsidP="0067735B">
            <w:pPr>
              <w:jc w:val="both"/>
              <w:rPr>
                <w:rFonts w:ascii="Times New Roman" w:eastAsia="Calibri" w:hAnsi="Times New Roman" w:cs="Times New Roman"/>
                <w:sz w:val="24"/>
                <w:szCs w:val="24"/>
              </w:rPr>
            </w:pPr>
          </w:p>
          <w:p w:rsidR="006C4B51" w:rsidRPr="006C4B51" w:rsidRDefault="006C4B51" w:rsidP="006C4B5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6C4B51">
              <w:rPr>
                <w:rFonts w:ascii="Times New Roman" w:eastAsia="Calibri" w:hAnsi="Times New Roman" w:cs="Times New Roman"/>
                <w:sz w:val="24"/>
                <w:szCs w:val="24"/>
              </w:rPr>
              <w:t>līdz 2000 cm</w:t>
            </w:r>
            <w:r w:rsidRPr="006C4B51">
              <w:rPr>
                <w:rFonts w:ascii="Times New Roman" w:eastAsia="Calibri" w:hAnsi="Times New Roman" w:cs="Times New Roman"/>
                <w:sz w:val="24"/>
                <w:szCs w:val="24"/>
                <w:vertAlign w:val="superscript"/>
              </w:rPr>
              <w:t>3</w:t>
            </w:r>
            <w:r w:rsidR="00C059B6">
              <w:rPr>
                <w:rFonts w:ascii="Times New Roman" w:eastAsia="Calibri" w:hAnsi="Times New Roman" w:cs="Times New Roman"/>
                <w:sz w:val="24"/>
                <w:szCs w:val="24"/>
              </w:rPr>
              <w:t xml:space="preserve">  - 1</w:t>
            </w:r>
            <w:r w:rsidR="00FC32FA">
              <w:rPr>
                <w:rFonts w:ascii="Times New Roman" w:eastAsia="Calibri" w:hAnsi="Times New Roman" w:cs="Times New Roman"/>
                <w:sz w:val="24"/>
                <w:szCs w:val="24"/>
              </w:rPr>
              <w:t>,2</w:t>
            </w:r>
            <w:r w:rsidR="006F2421">
              <w:rPr>
                <w:rFonts w:ascii="Times New Roman" w:eastAsia="Calibri" w:hAnsi="Times New Roman" w:cs="Times New Roman"/>
                <w:sz w:val="24"/>
                <w:szCs w:val="24"/>
              </w:rPr>
              <w:t xml:space="preserve"> milj.</w:t>
            </w:r>
            <w:r w:rsidR="00C059B6" w:rsidRPr="00C059B6">
              <w:rPr>
                <w:rFonts w:ascii="Times New Roman" w:eastAsia="Calibri" w:hAnsi="Times New Roman" w:cs="Times New Roman"/>
                <w:i/>
                <w:sz w:val="24"/>
                <w:szCs w:val="24"/>
              </w:rPr>
              <w:t>euro</w:t>
            </w:r>
          </w:p>
          <w:p w:rsidR="006C4B51" w:rsidRPr="006C4B51" w:rsidRDefault="006C4B51" w:rsidP="006C4B51">
            <w:pPr>
              <w:contextualSpacing/>
              <w:jc w:val="both"/>
              <w:rPr>
                <w:rFonts w:ascii="Times New Roman" w:eastAsia="Calibri" w:hAnsi="Times New Roman" w:cs="Times New Roman"/>
                <w:sz w:val="24"/>
                <w:szCs w:val="24"/>
              </w:rPr>
            </w:pPr>
            <w:r w:rsidRPr="006C4B51">
              <w:rPr>
                <w:rFonts w:ascii="Times New Roman" w:eastAsia="Calibri" w:hAnsi="Times New Roman" w:cs="Times New Roman"/>
                <w:sz w:val="24"/>
                <w:szCs w:val="24"/>
              </w:rPr>
              <w:t>2) no 2001 cm</w:t>
            </w:r>
            <w:r w:rsidRPr="006C4B51">
              <w:rPr>
                <w:rFonts w:ascii="Times New Roman" w:eastAsia="Calibri" w:hAnsi="Times New Roman" w:cs="Times New Roman"/>
                <w:sz w:val="24"/>
                <w:szCs w:val="24"/>
                <w:vertAlign w:val="superscript"/>
              </w:rPr>
              <w:t>3</w:t>
            </w:r>
            <w:r w:rsidRPr="006C4B51">
              <w:rPr>
                <w:rFonts w:ascii="Times New Roman" w:eastAsia="Calibri" w:hAnsi="Times New Roman" w:cs="Times New Roman"/>
                <w:sz w:val="24"/>
                <w:szCs w:val="24"/>
              </w:rPr>
              <w:t xml:space="preserve"> līdz 2500 cm</w:t>
            </w:r>
            <w:r w:rsidRPr="006C4B51">
              <w:rPr>
                <w:rFonts w:ascii="Times New Roman" w:eastAsia="Calibri" w:hAnsi="Times New Roman" w:cs="Times New Roman"/>
                <w:sz w:val="24"/>
                <w:szCs w:val="24"/>
                <w:vertAlign w:val="superscript"/>
              </w:rPr>
              <w:t>3</w:t>
            </w:r>
            <w:r w:rsidRPr="006C4B51">
              <w:rPr>
                <w:rFonts w:ascii="Times New Roman" w:eastAsia="Calibri" w:hAnsi="Times New Roman" w:cs="Times New Roman"/>
                <w:sz w:val="24"/>
                <w:szCs w:val="24"/>
              </w:rPr>
              <w:t xml:space="preserve"> – </w:t>
            </w:r>
            <w:r w:rsidR="00FC32FA">
              <w:rPr>
                <w:rFonts w:ascii="Times New Roman" w:eastAsia="Calibri" w:hAnsi="Times New Roman" w:cs="Times New Roman"/>
                <w:sz w:val="24"/>
                <w:szCs w:val="24"/>
              </w:rPr>
              <w:t>0,1</w:t>
            </w:r>
            <w:r w:rsidR="00C059B6">
              <w:rPr>
                <w:rFonts w:ascii="Times New Roman" w:eastAsia="Calibri" w:hAnsi="Times New Roman" w:cs="Times New Roman"/>
                <w:sz w:val="24"/>
                <w:szCs w:val="24"/>
              </w:rPr>
              <w:t xml:space="preserve"> </w:t>
            </w:r>
            <w:r w:rsidR="006F2421">
              <w:rPr>
                <w:rFonts w:ascii="Times New Roman" w:eastAsia="Calibri" w:hAnsi="Times New Roman" w:cs="Times New Roman"/>
                <w:sz w:val="24"/>
                <w:szCs w:val="24"/>
              </w:rPr>
              <w:t>milj.</w:t>
            </w:r>
            <w:r w:rsidR="00C059B6" w:rsidRPr="00C059B6">
              <w:rPr>
                <w:rFonts w:ascii="Times New Roman" w:eastAsia="Calibri" w:hAnsi="Times New Roman" w:cs="Times New Roman"/>
                <w:i/>
                <w:sz w:val="24"/>
                <w:szCs w:val="24"/>
              </w:rPr>
              <w:t>euro</w:t>
            </w:r>
          </w:p>
          <w:p w:rsidR="006C4B51" w:rsidRPr="006C4B51" w:rsidRDefault="006C4B51" w:rsidP="006C4B51">
            <w:pPr>
              <w:contextualSpacing/>
              <w:jc w:val="both"/>
              <w:rPr>
                <w:rFonts w:ascii="Times New Roman" w:eastAsia="Calibri" w:hAnsi="Times New Roman" w:cs="Times New Roman"/>
                <w:sz w:val="24"/>
                <w:szCs w:val="24"/>
              </w:rPr>
            </w:pPr>
            <w:r w:rsidRPr="006C4B51">
              <w:rPr>
                <w:rFonts w:ascii="Times New Roman" w:eastAsia="Calibri" w:hAnsi="Times New Roman" w:cs="Times New Roman"/>
                <w:sz w:val="24"/>
                <w:szCs w:val="24"/>
              </w:rPr>
              <w:t>3) no 2501 cm</w:t>
            </w:r>
            <w:r w:rsidRPr="006C4B51">
              <w:rPr>
                <w:rFonts w:ascii="Times New Roman" w:eastAsia="Calibri" w:hAnsi="Times New Roman" w:cs="Times New Roman"/>
                <w:sz w:val="24"/>
                <w:szCs w:val="24"/>
                <w:vertAlign w:val="superscript"/>
              </w:rPr>
              <w:t>3</w:t>
            </w:r>
            <w:r w:rsidRPr="006C4B51">
              <w:rPr>
                <w:rFonts w:ascii="Times New Roman" w:eastAsia="Calibri" w:hAnsi="Times New Roman" w:cs="Times New Roman"/>
                <w:sz w:val="24"/>
                <w:szCs w:val="24"/>
              </w:rPr>
              <w:t xml:space="preserve"> līdz 3000 cm</w:t>
            </w:r>
            <w:r w:rsidRPr="006C4B51">
              <w:rPr>
                <w:rFonts w:ascii="Times New Roman" w:eastAsia="Calibri" w:hAnsi="Times New Roman" w:cs="Times New Roman"/>
                <w:sz w:val="24"/>
                <w:szCs w:val="24"/>
                <w:vertAlign w:val="superscript"/>
              </w:rPr>
              <w:t>3</w:t>
            </w:r>
            <w:r w:rsidRPr="006C4B51">
              <w:rPr>
                <w:rFonts w:ascii="Times New Roman" w:eastAsia="Calibri" w:hAnsi="Times New Roman" w:cs="Times New Roman"/>
                <w:sz w:val="24"/>
                <w:szCs w:val="24"/>
              </w:rPr>
              <w:t xml:space="preserve"> – </w:t>
            </w:r>
            <w:r w:rsidR="00FC32FA">
              <w:rPr>
                <w:rFonts w:ascii="Times New Roman" w:eastAsia="Calibri" w:hAnsi="Times New Roman" w:cs="Times New Roman"/>
                <w:sz w:val="24"/>
                <w:szCs w:val="24"/>
              </w:rPr>
              <w:t>0,2</w:t>
            </w:r>
            <w:r w:rsidR="00C059B6">
              <w:rPr>
                <w:rFonts w:ascii="Times New Roman" w:eastAsia="Calibri" w:hAnsi="Times New Roman" w:cs="Times New Roman"/>
                <w:sz w:val="24"/>
                <w:szCs w:val="24"/>
              </w:rPr>
              <w:t xml:space="preserve"> </w:t>
            </w:r>
            <w:r w:rsidR="006F2421">
              <w:rPr>
                <w:rFonts w:ascii="Times New Roman" w:eastAsia="Calibri" w:hAnsi="Times New Roman" w:cs="Times New Roman"/>
                <w:sz w:val="24"/>
                <w:szCs w:val="24"/>
              </w:rPr>
              <w:t>milj.</w:t>
            </w:r>
            <w:r w:rsidR="00C059B6" w:rsidRPr="00C059B6">
              <w:rPr>
                <w:rFonts w:ascii="Times New Roman" w:eastAsia="Calibri" w:hAnsi="Times New Roman" w:cs="Times New Roman"/>
                <w:i/>
                <w:sz w:val="24"/>
                <w:szCs w:val="24"/>
              </w:rPr>
              <w:t>euro</w:t>
            </w:r>
          </w:p>
          <w:p w:rsidR="006C4B51" w:rsidRPr="006C4B51" w:rsidRDefault="006C4B51" w:rsidP="006C4B51">
            <w:pPr>
              <w:contextualSpacing/>
              <w:jc w:val="both"/>
              <w:rPr>
                <w:rFonts w:ascii="Times New Roman" w:eastAsia="Calibri" w:hAnsi="Times New Roman" w:cs="Times New Roman"/>
                <w:sz w:val="24"/>
                <w:szCs w:val="24"/>
              </w:rPr>
            </w:pPr>
            <w:r w:rsidRPr="006C4B51">
              <w:rPr>
                <w:rFonts w:ascii="Times New Roman" w:eastAsia="Calibri" w:hAnsi="Times New Roman" w:cs="Times New Roman"/>
                <w:sz w:val="24"/>
                <w:szCs w:val="24"/>
              </w:rPr>
              <w:t>4) vairāk par 3000 cm</w:t>
            </w:r>
            <w:r w:rsidRPr="006C4B51">
              <w:rPr>
                <w:rFonts w:ascii="Times New Roman" w:eastAsia="Calibri" w:hAnsi="Times New Roman" w:cs="Times New Roman"/>
                <w:sz w:val="24"/>
                <w:szCs w:val="24"/>
                <w:vertAlign w:val="superscript"/>
              </w:rPr>
              <w:t>3</w:t>
            </w:r>
            <w:r w:rsidRPr="006C4B51">
              <w:rPr>
                <w:rFonts w:ascii="Times New Roman" w:eastAsia="Calibri" w:hAnsi="Times New Roman" w:cs="Times New Roman"/>
                <w:sz w:val="24"/>
                <w:szCs w:val="24"/>
              </w:rPr>
              <w:t xml:space="preserve"> – </w:t>
            </w:r>
            <w:r w:rsidR="00FC32FA">
              <w:rPr>
                <w:rFonts w:ascii="Times New Roman" w:eastAsia="Calibri" w:hAnsi="Times New Roman" w:cs="Times New Roman"/>
                <w:sz w:val="24"/>
                <w:szCs w:val="24"/>
              </w:rPr>
              <w:t>0,2</w:t>
            </w:r>
            <w:r w:rsidR="00C059B6">
              <w:rPr>
                <w:rFonts w:ascii="Times New Roman" w:eastAsia="Calibri" w:hAnsi="Times New Roman" w:cs="Times New Roman"/>
                <w:sz w:val="24"/>
                <w:szCs w:val="24"/>
              </w:rPr>
              <w:t xml:space="preserve"> </w:t>
            </w:r>
            <w:r w:rsidR="006F2421">
              <w:rPr>
                <w:rFonts w:ascii="Times New Roman" w:eastAsia="Calibri" w:hAnsi="Times New Roman" w:cs="Times New Roman"/>
                <w:sz w:val="24"/>
                <w:szCs w:val="24"/>
              </w:rPr>
              <w:t>milj.</w:t>
            </w:r>
            <w:r w:rsidR="00C059B6" w:rsidRPr="00C059B6">
              <w:rPr>
                <w:rFonts w:ascii="Times New Roman" w:eastAsia="Calibri" w:hAnsi="Times New Roman" w:cs="Times New Roman"/>
                <w:i/>
                <w:sz w:val="24"/>
                <w:szCs w:val="24"/>
              </w:rPr>
              <w:t>euro</w:t>
            </w:r>
          </w:p>
          <w:p w:rsidR="0067735B" w:rsidRDefault="0067735B" w:rsidP="0067735B">
            <w:pPr>
              <w:jc w:val="both"/>
              <w:rPr>
                <w:rFonts w:ascii="Times New Roman" w:eastAsia="Calibri" w:hAnsi="Times New Roman" w:cs="Times New Roman"/>
                <w:sz w:val="24"/>
                <w:szCs w:val="24"/>
              </w:rPr>
            </w:pPr>
          </w:p>
          <w:p w:rsidR="00412CAD" w:rsidRPr="00412CAD" w:rsidRDefault="00412CAD" w:rsidP="004163FC">
            <w:pPr>
              <w:ind w:left="709"/>
              <w:contextualSpacing/>
              <w:jc w:val="both"/>
              <w:rPr>
                <w:rFonts w:ascii="Times New Roman" w:eastAsia="Times New Roman" w:hAnsi="Times New Roman" w:cs="Times New Roman"/>
                <w:iCs/>
                <w:sz w:val="24"/>
                <w:szCs w:val="24"/>
                <w:lang w:eastAsia="lv-LV"/>
              </w:rPr>
            </w:pPr>
          </w:p>
        </w:tc>
      </w:tr>
      <w:tr w:rsidR="00412CAD" w:rsidRPr="00412CAD" w:rsidTr="001A3FF2">
        <w:trPr>
          <w:trHeight w:val="817"/>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6.1. detalizēts ieņēmumu aprēķins</w:t>
            </w:r>
          </w:p>
        </w:tc>
        <w:tc>
          <w:tcPr>
            <w:tcW w:w="7631" w:type="dxa"/>
            <w:gridSpan w:val="7"/>
            <w:vMerge/>
          </w:tcPr>
          <w:p w:rsidR="00412CAD" w:rsidRPr="00412CAD" w:rsidRDefault="00412CAD" w:rsidP="001974AE">
            <w:pPr>
              <w:rPr>
                <w:rFonts w:ascii="Times New Roman" w:eastAsia="Times New Roman" w:hAnsi="Times New Roman" w:cs="Times New Roman"/>
                <w:iCs/>
                <w:sz w:val="24"/>
                <w:szCs w:val="24"/>
                <w:lang w:eastAsia="lv-LV"/>
              </w:rPr>
            </w:pPr>
          </w:p>
        </w:tc>
      </w:tr>
      <w:tr w:rsidR="00412CAD" w:rsidRPr="00412CAD" w:rsidTr="001A3FF2">
        <w:trPr>
          <w:trHeight w:val="550"/>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6.2. detalizēts izdevumu aprēķins</w:t>
            </w:r>
          </w:p>
        </w:tc>
        <w:tc>
          <w:tcPr>
            <w:tcW w:w="7631" w:type="dxa"/>
            <w:gridSpan w:val="7"/>
            <w:vMerge/>
          </w:tcPr>
          <w:p w:rsidR="00412CAD" w:rsidRPr="00412CAD" w:rsidRDefault="00412CAD" w:rsidP="001974AE">
            <w:pPr>
              <w:rPr>
                <w:rFonts w:ascii="Times New Roman" w:eastAsia="Times New Roman" w:hAnsi="Times New Roman" w:cs="Times New Roman"/>
                <w:iCs/>
                <w:sz w:val="24"/>
                <w:szCs w:val="24"/>
                <w:lang w:eastAsia="lv-LV"/>
              </w:rPr>
            </w:pPr>
          </w:p>
        </w:tc>
      </w:tr>
      <w:tr w:rsidR="00412CAD" w:rsidRPr="00412CAD" w:rsidTr="001A3FF2">
        <w:trPr>
          <w:trHeight w:val="535"/>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7. Amata vietu skaita izmaiņas</w:t>
            </w:r>
          </w:p>
        </w:tc>
        <w:tc>
          <w:tcPr>
            <w:tcW w:w="7631" w:type="dxa"/>
            <w:gridSpan w:val="7"/>
          </w:tcPr>
          <w:p w:rsidR="00412CAD" w:rsidRPr="00412CAD" w:rsidRDefault="00412CAD" w:rsidP="001974AE">
            <w:pPr>
              <w:jc w:val="both"/>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Nav.</w:t>
            </w:r>
          </w:p>
        </w:tc>
      </w:tr>
      <w:tr w:rsidR="00412CAD" w:rsidRPr="00412CAD" w:rsidTr="001A3FF2">
        <w:trPr>
          <w:trHeight w:val="267"/>
        </w:trPr>
        <w:tc>
          <w:tcPr>
            <w:tcW w:w="1689" w:type="dxa"/>
            <w:hideMark/>
          </w:tcPr>
          <w:p w:rsidR="00412CAD" w:rsidRPr="00412CAD" w:rsidRDefault="00412CAD" w:rsidP="001974AE">
            <w:pPr>
              <w:rPr>
                <w:rFonts w:ascii="Times New Roman" w:eastAsia="Times New Roman" w:hAnsi="Times New Roman" w:cs="Times New Roman"/>
                <w:iCs/>
                <w:sz w:val="24"/>
                <w:szCs w:val="24"/>
                <w:lang w:eastAsia="lv-LV"/>
              </w:rPr>
            </w:pPr>
            <w:r w:rsidRPr="00412CAD">
              <w:rPr>
                <w:rFonts w:ascii="Times New Roman" w:eastAsia="Times New Roman" w:hAnsi="Times New Roman" w:cs="Times New Roman"/>
                <w:iCs/>
                <w:sz w:val="24"/>
                <w:szCs w:val="24"/>
                <w:lang w:eastAsia="lv-LV"/>
              </w:rPr>
              <w:t>8. Cita informācija</w:t>
            </w:r>
          </w:p>
        </w:tc>
        <w:tc>
          <w:tcPr>
            <w:tcW w:w="7631" w:type="dxa"/>
            <w:gridSpan w:val="7"/>
          </w:tcPr>
          <w:p w:rsidR="00412CAD" w:rsidRPr="00412CAD" w:rsidRDefault="00412CAD" w:rsidP="001974AE">
            <w:pPr>
              <w:jc w:val="both"/>
              <w:rPr>
                <w:rFonts w:ascii="Times New Roman" w:eastAsia="Times New Roman" w:hAnsi="Times New Roman" w:cs="Times New Roman"/>
                <w:iCs/>
                <w:sz w:val="24"/>
                <w:szCs w:val="24"/>
                <w:lang w:eastAsia="lv-LV"/>
              </w:rPr>
            </w:pPr>
          </w:p>
        </w:tc>
      </w:tr>
    </w:tbl>
    <w:p w:rsidR="00412CAD" w:rsidRDefault="005B1F02" w:rsidP="005B1F02">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166"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5B1F02" w:rsidRPr="00B66C47" w:rsidTr="000B1B91">
        <w:tc>
          <w:tcPr>
            <w:tcW w:w="5000" w:type="pct"/>
            <w:tcBorders>
              <w:top w:val="outset" w:sz="6" w:space="0" w:color="auto"/>
              <w:left w:val="outset" w:sz="6" w:space="0" w:color="auto"/>
              <w:bottom w:val="outset" w:sz="6" w:space="0" w:color="auto"/>
              <w:right w:val="outset" w:sz="6" w:space="0" w:color="auto"/>
            </w:tcBorders>
          </w:tcPr>
          <w:p w:rsidR="005B1F02" w:rsidRDefault="005B1F02" w:rsidP="001974AE">
            <w:pPr>
              <w:ind w:left="107" w:right="84"/>
              <w:jc w:val="center"/>
            </w:pPr>
            <w:r w:rsidRPr="000147F1">
              <w:rPr>
                <w:rFonts w:ascii="Times New Roman" w:eastAsia="Times New Roman" w:hAnsi="Times New Roman" w:cs="Times New Roman"/>
                <w:b/>
                <w:bCs/>
                <w:iCs/>
                <w:sz w:val="24"/>
                <w:szCs w:val="24"/>
                <w:lang w:eastAsia="lv-LV"/>
              </w:rPr>
              <w:t>IV. Tiesību akta projekta ietekme uz spēkā esošo tiesību normu sistēmu</w:t>
            </w:r>
          </w:p>
        </w:tc>
      </w:tr>
      <w:tr w:rsidR="000B1B91" w:rsidRPr="00B66C47" w:rsidTr="000B1B91">
        <w:tc>
          <w:tcPr>
            <w:tcW w:w="5000" w:type="pct"/>
            <w:tcBorders>
              <w:top w:val="outset" w:sz="6" w:space="0" w:color="auto"/>
              <w:left w:val="outset" w:sz="6" w:space="0" w:color="auto"/>
              <w:bottom w:val="outset" w:sz="6" w:space="0" w:color="auto"/>
              <w:right w:val="outset" w:sz="6" w:space="0" w:color="auto"/>
            </w:tcBorders>
          </w:tcPr>
          <w:p w:rsidR="000B1B91" w:rsidRPr="00C6664C" w:rsidRDefault="000B1B91" w:rsidP="000B1B91">
            <w:pPr>
              <w:spacing w:after="0" w:line="240" w:lineRule="auto"/>
              <w:ind w:left="108" w:right="85"/>
              <w:jc w:val="center"/>
              <w:rPr>
                <w:rFonts w:ascii="Times New Roman" w:eastAsia="Calibri" w:hAnsi="Times New Roman" w:cs="Times New Roman"/>
                <w:sz w:val="24"/>
                <w:szCs w:val="24"/>
              </w:rPr>
            </w:pPr>
            <w:r>
              <w:rPr>
                <w:rFonts w:ascii="Times New Roman" w:eastAsia="Calibri" w:hAnsi="Times New Roman" w:cs="Times New Roman"/>
                <w:sz w:val="24"/>
                <w:szCs w:val="24"/>
              </w:rPr>
              <w:t>Likumprojekts šo jomu neskar.</w:t>
            </w:r>
          </w:p>
        </w:tc>
      </w:tr>
    </w:tbl>
    <w:p w:rsidR="005B1F02" w:rsidRDefault="005B1F02" w:rsidP="005B1F02">
      <w:pPr>
        <w:spacing w:after="0" w:line="240" w:lineRule="auto"/>
        <w:rPr>
          <w:rFonts w:ascii="Times New Roman" w:eastAsia="Times New Roman" w:hAnsi="Times New Roman" w:cs="Times New Roman"/>
          <w:iCs/>
          <w:sz w:val="24"/>
          <w:szCs w:val="24"/>
          <w:lang w:eastAsia="lv-LV"/>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56"/>
      </w:tblGrid>
      <w:tr w:rsidR="005B1F02" w:rsidRPr="00396E1D" w:rsidTr="000B1B91">
        <w:tc>
          <w:tcPr>
            <w:tcW w:w="9356" w:type="dxa"/>
            <w:tcBorders>
              <w:top w:val="outset" w:sz="6" w:space="0" w:color="auto"/>
              <w:left w:val="outset" w:sz="6" w:space="0" w:color="auto"/>
              <w:bottom w:val="outset" w:sz="6" w:space="0" w:color="auto"/>
              <w:right w:val="outset" w:sz="6" w:space="0" w:color="auto"/>
            </w:tcBorders>
            <w:vAlign w:val="center"/>
          </w:tcPr>
          <w:p w:rsidR="005B1F02" w:rsidRPr="00911420" w:rsidRDefault="005B1F02" w:rsidP="001974AE">
            <w:pPr>
              <w:jc w:val="center"/>
              <w:rPr>
                <w:rFonts w:ascii="Times New Roman" w:hAnsi="Times New Roman" w:cs="Times New Roman"/>
                <w:b/>
                <w:sz w:val="24"/>
                <w:szCs w:val="24"/>
              </w:rPr>
            </w:pPr>
            <w:r w:rsidRPr="00911420">
              <w:rPr>
                <w:rFonts w:ascii="Times New Roman" w:hAnsi="Times New Roman" w:cs="Times New Roman"/>
                <w:b/>
                <w:sz w:val="24"/>
                <w:szCs w:val="24"/>
              </w:rPr>
              <w:t>V. Tiesību akta projekta atbilstība Latvijas Republikas starptautiskajām saistībām</w:t>
            </w:r>
          </w:p>
        </w:tc>
      </w:tr>
      <w:tr w:rsidR="00AD07B7" w:rsidRPr="00396E1D" w:rsidTr="000B1B91">
        <w:tc>
          <w:tcPr>
            <w:tcW w:w="9356" w:type="dxa"/>
            <w:tcBorders>
              <w:top w:val="outset" w:sz="6" w:space="0" w:color="auto"/>
              <w:left w:val="outset" w:sz="6" w:space="0" w:color="auto"/>
              <w:bottom w:val="outset" w:sz="6" w:space="0" w:color="auto"/>
              <w:right w:val="outset" w:sz="6" w:space="0" w:color="auto"/>
            </w:tcBorders>
          </w:tcPr>
          <w:p w:rsidR="00AD07B7" w:rsidRPr="00911420" w:rsidRDefault="00AD07B7" w:rsidP="000B1B91">
            <w:pP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Likumprojekts šo jomu neskar.</w:t>
            </w:r>
          </w:p>
        </w:tc>
      </w:tr>
    </w:tbl>
    <w:p w:rsidR="005B1F02" w:rsidRDefault="005B1F02" w:rsidP="005B1F02">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8"/>
        <w:gridCol w:w="3094"/>
        <w:gridCol w:w="5866"/>
      </w:tblGrid>
      <w:tr w:rsidR="005B1F02" w:rsidRPr="0024716D" w:rsidTr="000B1B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1F02" w:rsidRPr="0024716D" w:rsidRDefault="005B1F02" w:rsidP="001974AE">
            <w:pPr>
              <w:spacing w:after="0" w:line="240" w:lineRule="auto"/>
              <w:jc w:val="center"/>
              <w:rPr>
                <w:rFonts w:ascii="Times New Roman" w:eastAsia="Times New Roman" w:hAnsi="Times New Roman" w:cs="Times New Roman"/>
                <w:b/>
                <w:bCs/>
                <w:iCs/>
                <w:sz w:val="24"/>
                <w:szCs w:val="24"/>
                <w:lang w:eastAsia="lv-LV"/>
              </w:rPr>
            </w:pPr>
            <w:r w:rsidRPr="002347C1">
              <w:rPr>
                <w:rFonts w:ascii="Times New Roman" w:eastAsia="Times New Roman" w:hAnsi="Times New Roman" w:cs="Times New Roman"/>
                <w:iCs/>
                <w:sz w:val="24"/>
                <w:szCs w:val="24"/>
                <w:lang w:eastAsia="lv-LV"/>
              </w:rPr>
              <w:t xml:space="preserve"> </w:t>
            </w:r>
            <w:r w:rsidRPr="0024716D">
              <w:rPr>
                <w:rFonts w:ascii="Times New Roman" w:eastAsia="Times New Roman" w:hAnsi="Times New Roman" w:cs="Times New Roman"/>
                <w:b/>
                <w:bCs/>
                <w:iCs/>
                <w:sz w:val="24"/>
                <w:szCs w:val="24"/>
                <w:lang w:eastAsia="lv-LV"/>
              </w:rPr>
              <w:t>VI. Sabiedrības līdzdalība un komunikācijas aktivitātes</w:t>
            </w:r>
          </w:p>
        </w:tc>
      </w:tr>
      <w:tr w:rsidR="00AD07B7" w:rsidRPr="0024716D" w:rsidTr="000B1B91">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2" w:type="pct"/>
            <w:tcBorders>
              <w:top w:val="outset" w:sz="6" w:space="0" w:color="auto"/>
              <w:left w:val="outset" w:sz="6" w:space="0" w:color="auto"/>
              <w:bottom w:val="outset" w:sz="6" w:space="0" w:color="auto"/>
              <w:right w:val="outset" w:sz="6" w:space="0" w:color="auto"/>
            </w:tcBorders>
          </w:tcPr>
          <w:p w:rsidR="00AD07B7" w:rsidRDefault="00AD07B7" w:rsidP="00AD07B7">
            <w:pPr>
              <w:spacing w:after="120" w:line="240" w:lineRule="auto"/>
              <w:ind w:left="68"/>
              <w:jc w:val="both"/>
              <w:rPr>
                <w:rFonts w:ascii="Times New Roman" w:hAnsi="Times New Roman" w:cs="Times New Roman"/>
                <w:sz w:val="24"/>
                <w:szCs w:val="24"/>
                <w:lang w:eastAsia="lv-LV"/>
              </w:rPr>
            </w:pPr>
            <w:r w:rsidRPr="00E93483">
              <w:rPr>
                <w:rFonts w:ascii="Times New Roman" w:hAnsi="Times New Roman" w:cs="Times New Roman"/>
                <w:sz w:val="24"/>
                <w:szCs w:val="24"/>
                <w:lang w:eastAsia="lv-LV"/>
              </w:rPr>
              <w:t xml:space="preserve">Finanšu ministrijas izstrādātie nodokļu politikas attīstības virzieni ir izskatīti Nacionālās Trīspusējās sadarbības padomes </w:t>
            </w:r>
            <w:r w:rsidRPr="00E93483">
              <w:rPr>
                <w:rFonts w:ascii="Times New Roman" w:hAnsi="Times New Roman" w:cs="Times New Roman"/>
                <w:bCs/>
                <w:sz w:val="24"/>
                <w:szCs w:val="24"/>
                <w:lang w:eastAsia="lv-LV"/>
              </w:rPr>
              <w:t>2020.gada 7.jūlija</w:t>
            </w:r>
            <w:r>
              <w:rPr>
                <w:rFonts w:ascii="Times New Roman" w:hAnsi="Times New Roman" w:cs="Times New Roman"/>
                <w:bCs/>
                <w:sz w:val="24"/>
                <w:szCs w:val="24"/>
                <w:lang w:eastAsia="lv-LV"/>
              </w:rPr>
              <w:t>, 2. un 9.septembra</w:t>
            </w:r>
            <w:r w:rsidR="000B1B91">
              <w:rPr>
                <w:rFonts w:ascii="Times New Roman" w:hAnsi="Times New Roman" w:cs="Times New Roman"/>
                <w:sz w:val="24"/>
                <w:szCs w:val="24"/>
                <w:lang w:eastAsia="lv-LV"/>
              </w:rPr>
              <w:t xml:space="preserve"> sēdē, kā arī </w:t>
            </w:r>
            <w:r w:rsidR="000B1B91" w:rsidRPr="00E93483">
              <w:rPr>
                <w:rFonts w:ascii="Times New Roman" w:hAnsi="Times New Roman" w:cs="Times New Roman"/>
                <w:sz w:val="24"/>
                <w:szCs w:val="24"/>
                <w:lang w:eastAsia="lv-LV"/>
              </w:rPr>
              <w:t xml:space="preserve">Nacionālās Trīspusējās sadarbības padomes budžeta un nodokļu </w:t>
            </w:r>
            <w:proofErr w:type="spellStart"/>
            <w:r w:rsidR="000B1B91" w:rsidRPr="00E93483">
              <w:rPr>
                <w:rFonts w:ascii="Times New Roman" w:hAnsi="Times New Roman" w:cs="Times New Roman"/>
                <w:sz w:val="24"/>
                <w:szCs w:val="24"/>
                <w:lang w:eastAsia="lv-LV"/>
              </w:rPr>
              <w:t>apakšpadomes</w:t>
            </w:r>
            <w:proofErr w:type="spellEnd"/>
            <w:r w:rsidR="000B1B91" w:rsidRPr="00E93483">
              <w:rPr>
                <w:rFonts w:ascii="Times New Roman" w:hAnsi="Times New Roman" w:cs="Times New Roman"/>
                <w:sz w:val="24"/>
                <w:szCs w:val="24"/>
                <w:lang w:eastAsia="lv-LV"/>
              </w:rPr>
              <w:t xml:space="preserve"> attālinātajā sēdē </w:t>
            </w:r>
            <w:r w:rsidR="000B1B91" w:rsidRPr="00E93483">
              <w:rPr>
                <w:rFonts w:ascii="Times New Roman" w:hAnsi="Times New Roman" w:cs="Times New Roman"/>
                <w:bCs/>
                <w:sz w:val="24"/>
                <w:szCs w:val="24"/>
                <w:lang w:eastAsia="lv-LV"/>
              </w:rPr>
              <w:t>2020.gada 12.augustā</w:t>
            </w:r>
            <w:r w:rsidR="000B1B91" w:rsidRPr="00E93483">
              <w:rPr>
                <w:rFonts w:ascii="Times New Roman" w:hAnsi="Times New Roman" w:cs="Times New Roman"/>
                <w:sz w:val="24"/>
                <w:szCs w:val="24"/>
                <w:lang w:eastAsia="lv-LV"/>
              </w:rPr>
              <w:t>.</w:t>
            </w:r>
          </w:p>
          <w:p w:rsidR="00AD07B7" w:rsidRPr="009C22F6" w:rsidRDefault="00AD07B7" w:rsidP="000B1B91">
            <w:pPr>
              <w:spacing w:after="120" w:line="240" w:lineRule="auto"/>
              <w:ind w:left="68"/>
              <w:jc w:val="both"/>
              <w:rPr>
                <w:rFonts w:ascii="Times New Roman" w:eastAsia="Times New Roman" w:hAnsi="Times New Roman" w:cs="Times New Roman"/>
                <w:sz w:val="24"/>
                <w:szCs w:val="24"/>
                <w:lang w:eastAsia="lv-LV"/>
              </w:rPr>
            </w:pPr>
            <w:r w:rsidRPr="00E93483">
              <w:rPr>
                <w:rFonts w:ascii="Times New Roman" w:hAnsi="Times New Roman" w:cs="Times New Roman"/>
                <w:sz w:val="24"/>
                <w:szCs w:val="24"/>
                <w:lang w:eastAsia="lv-LV"/>
              </w:rPr>
              <w:t xml:space="preserve">Informatīvais ziņojums </w:t>
            </w:r>
            <w:r w:rsidRPr="00E93483">
              <w:rPr>
                <w:rFonts w:ascii="Times New Roman" w:hAnsi="Times New Roman" w:cs="Times New Roman"/>
                <w:sz w:val="24"/>
                <w:szCs w:val="24"/>
              </w:rPr>
              <w:t xml:space="preserve">“Par nodokļu politikas attīstības virzieniem, valsts sociālās un veselības apdrošināšanas </w:t>
            </w:r>
            <w:r w:rsidRPr="00E93483">
              <w:rPr>
                <w:rFonts w:ascii="Times New Roman" w:hAnsi="Times New Roman" w:cs="Times New Roman"/>
                <w:sz w:val="24"/>
                <w:szCs w:val="24"/>
              </w:rPr>
              <w:lastRenderedPageBreak/>
              <w:t xml:space="preserve">ilgtspējas veicināšanai” </w:t>
            </w:r>
            <w:r w:rsidRPr="00E93483">
              <w:rPr>
                <w:rFonts w:ascii="Times New Roman" w:hAnsi="Times New Roman" w:cs="Times New Roman"/>
                <w:sz w:val="24"/>
                <w:szCs w:val="24"/>
                <w:lang w:eastAsia="lv-LV"/>
              </w:rPr>
              <w:t xml:space="preserve"> ir nosūtīts </w:t>
            </w:r>
            <w:r w:rsidRPr="00E93483">
              <w:rPr>
                <w:rFonts w:ascii="Times New Roman" w:hAnsi="Times New Roman" w:cs="Times New Roman"/>
                <w:bCs/>
                <w:sz w:val="24"/>
                <w:szCs w:val="24"/>
                <w:lang w:eastAsia="lv-LV"/>
              </w:rPr>
              <w:t xml:space="preserve">2020.gada </w:t>
            </w:r>
            <w:r w:rsidRPr="00E93483">
              <w:rPr>
                <w:rFonts w:ascii="Times New Roman" w:hAnsi="Times New Roman" w:cs="Times New Roman"/>
                <w:bCs/>
                <w:sz w:val="24"/>
                <w:szCs w:val="24"/>
              </w:rPr>
              <w:t>11.augustā</w:t>
            </w:r>
            <w:r w:rsidRPr="00E93483">
              <w:rPr>
                <w:rFonts w:ascii="Times New Roman" w:hAnsi="Times New Roman" w:cs="Times New Roman"/>
                <w:sz w:val="24"/>
                <w:szCs w:val="24"/>
              </w:rPr>
              <w:t>  elektroniskai saskaņošanai</w:t>
            </w:r>
            <w:r w:rsidRPr="00E93483">
              <w:rPr>
                <w:rFonts w:ascii="Times New Roman" w:hAnsi="Times New Roman" w:cs="Times New Roman"/>
                <w:sz w:val="24"/>
                <w:szCs w:val="24"/>
                <w:lang w:eastAsia="lv-LV"/>
              </w:rPr>
              <w:t xml:space="preserve"> Tieslietu ministrijai, Labklājības ministrijai,  Veselības ministrijai, Satiksmes ministrijai, Zemkopības ministrijai, Kultūras ministrijai, Ekonomikas ministrijai un </w:t>
            </w:r>
            <w:proofErr w:type="spellStart"/>
            <w:r w:rsidRPr="00E93483">
              <w:rPr>
                <w:rFonts w:ascii="Times New Roman" w:hAnsi="Times New Roman" w:cs="Times New Roman"/>
                <w:sz w:val="24"/>
                <w:szCs w:val="24"/>
                <w:lang w:eastAsia="lv-LV"/>
              </w:rPr>
              <w:t>Iekšlietu</w:t>
            </w:r>
            <w:proofErr w:type="spellEnd"/>
            <w:r w:rsidRPr="00E93483">
              <w:rPr>
                <w:rFonts w:ascii="Times New Roman" w:hAnsi="Times New Roman" w:cs="Times New Roman"/>
                <w:sz w:val="24"/>
                <w:szCs w:val="24"/>
                <w:lang w:eastAsia="lv-LV"/>
              </w:rPr>
              <w:t xml:space="preserve"> ministrijai.</w:t>
            </w:r>
          </w:p>
        </w:tc>
      </w:tr>
      <w:tr w:rsidR="00AD07B7" w:rsidRPr="0024716D" w:rsidTr="000B1B91">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2.</w:t>
            </w:r>
          </w:p>
        </w:tc>
        <w:tc>
          <w:tcPr>
            <w:tcW w:w="1649"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 projekta izstrādē</w:t>
            </w:r>
          </w:p>
        </w:tc>
        <w:tc>
          <w:tcPr>
            <w:tcW w:w="3102" w:type="pct"/>
            <w:tcBorders>
              <w:top w:val="outset" w:sz="6" w:space="0" w:color="auto"/>
              <w:left w:val="outset" w:sz="6" w:space="0" w:color="auto"/>
              <w:bottom w:val="outset" w:sz="6" w:space="0" w:color="auto"/>
              <w:right w:val="outset" w:sz="6" w:space="0" w:color="auto"/>
            </w:tcBorders>
          </w:tcPr>
          <w:p w:rsidR="00355C61" w:rsidRPr="00355C61" w:rsidRDefault="00355C61" w:rsidP="009B4473">
            <w:pPr>
              <w:spacing w:after="120" w:line="240" w:lineRule="auto"/>
              <w:ind w:left="68"/>
              <w:jc w:val="both"/>
              <w:rPr>
                <w:rFonts w:ascii="Times New Roman" w:hAnsi="Times New Roman" w:cs="Times New Roman"/>
                <w:sz w:val="24"/>
                <w:szCs w:val="24"/>
              </w:rPr>
            </w:pPr>
            <w:r w:rsidRPr="00355C61">
              <w:rPr>
                <w:rFonts w:ascii="Times New Roman" w:hAnsi="Times New Roman" w:cs="Times New Roman"/>
                <w:sz w:val="24"/>
                <w:szCs w:val="24"/>
              </w:rPr>
              <w:t xml:space="preserve">Sabiedrības līdzdalība tika nodrošināta </w:t>
            </w:r>
            <w:r>
              <w:rPr>
                <w:rFonts w:ascii="Times New Roman" w:hAnsi="Times New Roman" w:cs="Times New Roman"/>
                <w:sz w:val="24"/>
                <w:szCs w:val="24"/>
              </w:rPr>
              <w:t>i</w:t>
            </w:r>
            <w:r w:rsidRPr="00E93483">
              <w:rPr>
                <w:rFonts w:ascii="Times New Roman" w:hAnsi="Times New Roman" w:cs="Times New Roman"/>
                <w:sz w:val="24"/>
                <w:szCs w:val="24"/>
              </w:rPr>
              <w:t>nformatīv</w:t>
            </w:r>
            <w:r>
              <w:rPr>
                <w:rFonts w:ascii="Times New Roman" w:hAnsi="Times New Roman" w:cs="Times New Roman"/>
                <w:sz w:val="24"/>
                <w:szCs w:val="24"/>
              </w:rPr>
              <w:t>ā</w:t>
            </w:r>
            <w:r w:rsidRPr="00E93483">
              <w:rPr>
                <w:rFonts w:ascii="Times New Roman" w:hAnsi="Times New Roman" w:cs="Times New Roman"/>
                <w:sz w:val="24"/>
                <w:szCs w:val="24"/>
              </w:rPr>
              <w:t xml:space="preserve"> ziņojum</w:t>
            </w:r>
            <w:r>
              <w:rPr>
                <w:rFonts w:ascii="Times New Roman" w:hAnsi="Times New Roman" w:cs="Times New Roman"/>
                <w:sz w:val="24"/>
                <w:szCs w:val="24"/>
              </w:rPr>
              <w:t>a</w:t>
            </w:r>
            <w:r w:rsidRPr="00E93483">
              <w:rPr>
                <w:rFonts w:ascii="Times New Roman" w:hAnsi="Times New Roman" w:cs="Times New Roman"/>
                <w:sz w:val="24"/>
                <w:szCs w:val="24"/>
              </w:rPr>
              <w:t xml:space="preserve"> “Par nodokļu politikas attīstības virzieniem, valsts sociālās un veselības apdrošināšanas ilgtspējas veicināšanai”  </w:t>
            </w:r>
            <w:r w:rsidRPr="00355C61">
              <w:rPr>
                <w:rFonts w:ascii="Times New Roman" w:hAnsi="Times New Roman" w:cs="Times New Roman"/>
                <w:sz w:val="24"/>
                <w:szCs w:val="24"/>
              </w:rPr>
              <w:t xml:space="preserve"> izstrādes gaitā.</w:t>
            </w:r>
          </w:p>
          <w:p w:rsidR="00355C61" w:rsidRPr="009B4473" w:rsidRDefault="009B4473" w:rsidP="00355C61">
            <w:pPr>
              <w:spacing w:after="120" w:line="240" w:lineRule="auto"/>
              <w:ind w:left="68"/>
              <w:jc w:val="both"/>
              <w:rPr>
                <w:rFonts w:ascii="Times New Roman" w:hAnsi="Times New Roman" w:cs="Times New Roman"/>
                <w:sz w:val="24"/>
                <w:szCs w:val="24"/>
                <w:lang w:eastAsia="lv-LV"/>
              </w:rPr>
            </w:pPr>
            <w:r w:rsidRPr="00E93483">
              <w:rPr>
                <w:rFonts w:ascii="Times New Roman" w:hAnsi="Times New Roman" w:cs="Times New Roman"/>
                <w:sz w:val="24"/>
                <w:szCs w:val="24"/>
                <w:lang w:eastAsia="lv-LV"/>
              </w:rPr>
              <w:t xml:space="preserve">Finanšu ministrijas izstrādātie nodokļu politikas attīstības virzieni </w:t>
            </w:r>
            <w:r w:rsidR="00355C61">
              <w:rPr>
                <w:rFonts w:ascii="Times New Roman" w:hAnsi="Times New Roman" w:cs="Times New Roman"/>
                <w:sz w:val="24"/>
                <w:szCs w:val="24"/>
                <w:lang w:eastAsia="lv-LV"/>
              </w:rPr>
              <w:t>tika</w:t>
            </w:r>
            <w:r w:rsidRPr="00E93483">
              <w:rPr>
                <w:rFonts w:ascii="Times New Roman" w:hAnsi="Times New Roman" w:cs="Times New Roman"/>
                <w:sz w:val="24"/>
                <w:szCs w:val="24"/>
                <w:lang w:eastAsia="lv-LV"/>
              </w:rPr>
              <w:t xml:space="preserve"> izskatīti Nacionālās Trīspusējās sadarbības padomes </w:t>
            </w:r>
            <w:r w:rsidRPr="00E93483">
              <w:rPr>
                <w:rFonts w:ascii="Times New Roman" w:hAnsi="Times New Roman" w:cs="Times New Roman"/>
                <w:bCs/>
                <w:sz w:val="24"/>
                <w:szCs w:val="24"/>
                <w:lang w:eastAsia="lv-LV"/>
              </w:rPr>
              <w:t>2020.gada 7.jūlija</w:t>
            </w:r>
            <w:r>
              <w:rPr>
                <w:rFonts w:ascii="Times New Roman" w:hAnsi="Times New Roman" w:cs="Times New Roman"/>
                <w:bCs/>
                <w:sz w:val="24"/>
                <w:szCs w:val="24"/>
                <w:lang w:eastAsia="lv-LV"/>
              </w:rPr>
              <w:t>, 2. un 9.septembra</w:t>
            </w:r>
            <w:r w:rsidR="00355C61">
              <w:rPr>
                <w:rFonts w:ascii="Times New Roman" w:hAnsi="Times New Roman" w:cs="Times New Roman"/>
                <w:sz w:val="24"/>
                <w:szCs w:val="24"/>
                <w:lang w:eastAsia="lv-LV"/>
              </w:rPr>
              <w:t xml:space="preserve"> sēdē, kā arī</w:t>
            </w:r>
            <w:r w:rsidR="00355C61" w:rsidRPr="001B44D1">
              <w:rPr>
                <w:sz w:val="25"/>
                <w:szCs w:val="25"/>
              </w:rPr>
              <w:t xml:space="preserve"> </w:t>
            </w:r>
            <w:r w:rsidR="00355C61" w:rsidRPr="00E93483">
              <w:rPr>
                <w:rFonts w:ascii="Times New Roman" w:hAnsi="Times New Roman" w:cs="Times New Roman"/>
                <w:sz w:val="24"/>
                <w:szCs w:val="24"/>
                <w:lang w:eastAsia="lv-LV"/>
              </w:rPr>
              <w:t xml:space="preserve">Nacionālās Trīspusējās sadarbības padomes budžeta un nodokļu </w:t>
            </w:r>
            <w:proofErr w:type="spellStart"/>
            <w:r w:rsidR="00355C61" w:rsidRPr="00E93483">
              <w:rPr>
                <w:rFonts w:ascii="Times New Roman" w:hAnsi="Times New Roman" w:cs="Times New Roman"/>
                <w:sz w:val="24"/>
                <w:szCs w:val="24"/>
                <w:lang w:eastAsia="lv-LV"/>
              </w:rPr>
              <w:t>apakšpadomes</w:t>
            </w:r>
            <w:proofErr w:type="spellEnd"/>
            <w:r w:rsidR="00355C61" w:rsidRPr="00E93483">
              <w:rPr>
                <w:rFonts w:ascii="Times New Roman" w:hAnsi="Times New Roman" w:cs="Times New Roman"/>
                <w:sz w:val="24"/>
                <w:szCs w:val="24"/>
                <w:lang w:eastAsia="lv-LV"/>
              </w:rPr>
              <w:t xml:space="preserve"> attālinātajā sēdē </w:t>
            </w:r>
            <w:r w:rsidR="00355C61" w:rsidRPr="00E93483">
              <w:rPr>
                <w:rFonts w:ascii="Times New Roman" w:hAnsi="Times New Roman" w:cs="Times New Roman"/>
                <w:bCs/>
                <w:sz w:val="24"/>
                <w:szCs w:val="24"/>
                <w:lang w:eastAsia="lv-LV"/>
              </w:rPr>
              <w:t>2020.gada 12.augustā</w:t>
            </w:r>
            <w:r w:rsidR="00355C61">
              <w:rPr>
                <w:rFonts w:ascii="Times New Roman" w:hAnsi="Times New Roman" w:cs="Times New Roman"/>
                <w:bCs/>
                <w:sz w:val="24"/>
                <w:szCs w:val="24"/>
                <w:lang w:eastAsia="lv-LV"/>
              </w:rPr>
              <w:t>,</w:t>
            </w:r>
            <w:r w:rsidR="00355C61" w:rsidRPr="00355C61">
              <w:rPr>
                <w:rFonts w:ascii="Times New Roman" w:hAnsi="Times New Roman" w:cs="Times New Roman"/>
                <w:sz w:val="24"/>
                <w:szCs w:val="24"/>
                <w:lang w:eastAsia="lv-LV"/>
              </w:rPr>
              <w:t xml:space="preserve"> kurā</w:t>
            </w:r>
            <w:r w:rsidR="00355C61">
              <w:rPr>
                <w:rFonts w:ascii="Times New Roman" w:hAnsi="Times New Roman" w:cs="Times New Roman"/>
                <w:sz w:val="24"/>
                <w:szCs w:val="24"/>
                <w:lang w:eastAsia="lv-LV"/>
              </w:rPr>
              <w:t>s</w:t>
            </w:r>
            <w:r w:rsidR="00355C61" w:rsidRPr="00355C61">
              <w:rPr>
                <w:rFonts w:ascii="Times New Roman" w:hAnsi="Times New Roman" w:cs="Times New Roman"/>
                <w:sz w:val="24"/>
                <w:szCs w:val="24"/>
                <w:lang w:eastAsia="lv-LV"/>
              </w:rPr>
              <w:t xml:space="preserve"> piedalījās gan valsts, gan nevalstiskā sektora pārstāvji.</w:t>
            </w:r>
          </w:p>
        </w:tc>
      </w:tr>
      <w:tr w:rsidR="00AD07B7" w:rsidRPr="0024716D" w:rsidTr="000B1B91">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līdzdalības rezultāti</w:t>
            </w:r>
          </w:p>
        </w:tc>
        <w:tc>
          <w:tcPr>
            <w:tcW w:w="3102" w:type="pct"/>
            <w:tcBorders>
              <w:top w:val="outset" w:sz="6" w:space="0" w:color="auto"/>
              <w:left w:val="outset" w:sz="6" w:space="0" w:color="auto"/>
              <w:bottom w:val="outset" w:sz="6" w:space="0" w:color="auto"/>
              <w:right w:val="outset" w:sz="6" w:space="0" w:color="auto"/>
            </w:tcBorders>
          </w:tcPr>
          <w:p w:rsidR="00AD07B7" w:rsidRPr="0024716D" w:rsidRDefault="009B4473" w:rsidP="00AD07B7">
            <w:pPr>
              <w:pStyle w:val="naiskr"/>
              <w:spacing w:before="0" w:after="0"/>
              <w:ind w:left="57" w:right="57"/>
              <w:jc w:val="both"/>
              <w:rPr>
                <w:iCs/>
              </w:rPr>
            </w:pPr>
            <w:r w:rsidRPr="009B4473">
              <w:rPr>
                <w:rFonts w:eastAsiaTheme="minorHAnsi"/>
              </w:rPr>
              <w:t>Sabiedrības pārstāvju iebildumi un priekšlikumi nav saņemti.</w:t>
            </w:r>
          </w:p>
        </w:tc>
      </w:tr>
      <w:tr w:rsidR="00AD07B7" w:rsidRPr="0024716D" w:rsidTr="000B1B91">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649"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rsidR="00AD07B7" w:rsidRPr="0024716D" w:rsidRDefault="00AD07B7" w:rsidP="00AD07B7">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rsidR="005B1F02" w:rsidRPr="0024716D" w:rsidRDefault="005B1F02" w:rsidP="005B1F02">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3103"/>
        <w:gridCol w:w="5835"/>
      </w:tblGrid>
      <w:tr w:rsidR="005B1F02" w:rsidRPr="0024716D" w:rsidTr="000B1B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1F02" w:rsidRPr="0024716D" w:rsidRDefault="005B1F02" w:rsidP="001974AE">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1F02" w:rsidRPr="0024716D" w:rsidTr="0029064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izpildē iesaistītās institūcijas</w:t>
            </w:r>
          </w:p>
        </w:tc>
        <w:tc>
          <w:tcPr>
            <w:tcW w:w="308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355C61">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ieņēmumu dienests</w:t>
            </w:r>
            <w:r w:rsidR="00355C61">
              <w:rPr>
                <w:rFonts w:ascii="Times New Roman" w:eastAsia="Times New Roman" w:hAnsi="Times New Roman" w:cs="Times New Roman"/>
                <w:iCs/>
                <w:sz w:val="24"/>
                <w:szCs w:val="24"/>
                <w:lang w:eastAsia="lv-LV"/>
              </w:rPr>
              <w:t xml:space="preserve"> un VAS “Ceļu satiksmes drošības direkcija”.</w:t>
            </w:r>
          </w:p>
        </w:tc>
      </w:tr>
      <w:tr w:rsidR="005B1F02" w:rsidRPr="0024716D" w:rsidTr="0029064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izpildes ietekme uz pārvaldes funkcijām un institucionālo struktūru.</w:t>
            </w:r>
            <w:r w:rsidRPr="002471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85" w:type="pct"/>
            <w:tcBorders>
              <w:top w:val="outset" w:sz="6" w:space="0" w:color="auto"/>
              <w:left w:val="outset" w:sz="6" w:space="0" w:color="auto"/>
              <w:bottom w:val="outset" w:sz="6" w:space="0" w:color="auto"/>
              <w:right w:val="outset" w:sz="6" w:space="0" w:color="auto"/>
            </w:tcBorders>
            <w:hideMark/>
          </w:tcPr>
          <w:p w:rsidR="00355C61" w:rsidRDefault="00355C61" w:rsidP="001974AE">
            <w:pPr>
              <w:spacing w:before="60" w:after="0" w:line="240" w:lineRule="auto"/>
              <w:ind w:left="57" w:right="57"/>
              <w:jc w:val="both"/>
              <w:rPr>
                <w:rFonts w:ascii="Times New Roman" w:hAnsi="Times New Roman"/>
                <w:sz w:val="24"/>
                <w:szCs w:val="24"/>
              </w:rPr>
            </w:pPr>
            <w:r w:rsidRPr="00355C61">
              <w:rPr>
                <w:rFonts w:ascii="Times New Roman" w:hAnsi="Times New Roman"/>
                <w:sz w:val="24"/>
                <w:szCs w:val="24"/>
              </w:rPr>
              <w:t>Likumprojekta izpilde neietekmē projekta izstrādē iesaistīto institūciju pārvaldes funkcijas un institucionālo struktūru.</w:t>
            </w:r>
          </w:p>
          <w:p w:rsidR="005B1F02" w:rsidRDefault="005B1F02" w:rsidP="001974AE">
            <w:pPr>
              <w:spacing w:before="60" w:after="0" w:line="240" w:lineRule="auto"/>
              <w:ind w:left="57" w:right="57"/>
              <w:jc w:val="both"/>
              <w:rPr>
                <w:rFonts w:ascii="Times New Roman" w:hAnsi="Times New Roman"/>
                <w:sz w:val="24"/>
                <w:szCs w:val="24"/>
              </w:rPr>
            </w:pPr>
            <w:r w:rsidRPr="0024716D">
              <w:rPr>
                <w:rFonts w:ascii="Times New Roman" w:hAnsi="Times New Roman"/>
                <w:sz w:val="24"/>
                <w:szCs w:val="24"/>
              </w:rPr>
              <w:t>Nav nepieciešams veidot jaunas institūcijas. Nav nepieciešama esošu institūciju likvidācija vai reorganizācija.</w:t>
            </w:r>
          </w:p>
          <w:p w:rsidR="005B1F02" w:rsidRPr="0024716D" w:rsidRDefault="005B1F02" w:rsidP="001974AE">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sz w:val="24"/>
                <w:szCs w:val="24"/>
              </w:rPr>
              <w:t>Likumprojektā ietvertās normas tiks realizētas esošo cilvēkresursu un finanšu līdzekļu ietvaros.</w:t>
            </w:r>
          </w:p>
        </w:tc>
      </w:tr>
      <w:tr w:rsidR="005B1F02" w:rsidRPr="0024716D" w:rsidTr="00290640">
        <w:trPr>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085" w:type="pct"/>
            <w:tcBorders>
              <w:top w:val="outset" w:sz="6" w:space="0" w:color="auto"/>
              <w:left w:val="outset" w:sz="6" w:space="0" w:color="auto"/>
              <w:bottom w:val="outset" w:sz="6" w:space="0" w:color="auto"/>
              <w:right w:val="outset" w:sz="6" w:space="0" w:color="auto"/>
            </w:tcBorders>
            <w:hideMark/>
          </w:tcPr>
          <w:p w:rsidR="005B1F02" w:rsidRPr="0024716D" w:rsidRDefault="005B1F02" w:rsidP="001974AE">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rsidR="005B1F02" w:rsidRDefault="005B1F02" w:rsidP="005B1F02">
      <w:pPr>
        <w:tabs>
          <w:tab w:val="left" w:pos="6237"/>
        </w:tabs>
        <w:spacing w:after="0" w:line="240" w:lineRule="auto"/>
        <w:rPr>
          <w:rFonts w:ascii="Times New Roman" w:hAnsi="Times New Roman" w:cs="Times New Roman"/>
          <w:sz w:val="26"/>
          <w:szCs w:val="26"/>
        </w:rPr>
      </w:pPr>
    </w:p>
    <w:p w:rsidR="005B1F02" w:rsidRPr="0024716D" w:rsidRDefault="005B1F02" w:rsidP="005B1F02">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Finanšu ministrs</w:t>
      </w:r>
      <w:r w:rsidRPr="0024716D">
        <w:rPr>
          <w:rFonts w:ascii="Times New Roman" w:hAnsi="Times New Roman" w:cs="Times New Roman"/>
          <w:sz w:val="26"/>
          <w:szCs w:val="26"/>
        </w:rPr>
        <w:tab/>
      </w:r>
      <w:proofErr w:type="spellStart"/>
      <w:r>
        <w:rPr>
          <w:rFonts w:ascii="Times New Roman" w:hAnsi="Times New Roman" w:cs="Times New Roman"/>
          <w:sz w:val="26"/>
          <w:szCs w:val="26"/>
        </w:rPr>
        <w:t>J.Reirs</w:t>
      </w:r>
      <w:proofErr w:type="spellEnd"/>
    </w:p>
    <w:p w:rsidR="005B1F02" w:rsidRDefault="005B1F02" w:rsidP="005B1F02">
      <w:pPr>
        <w:tabs>
          <w:tab w:val="left" w:pos="6237"/>
        </w:tabs>
        <w:spacing w:after="0" w:line="240" w:lineRule="auto"/>
        <w:rPr>
          <w:rFonts w:ascii="Times New Roman" w:hAnsi="Times New Roman" w:cs="Times New Roman"/>
          <w:sz w:val="16"/>
          <w:szCs w:val="16"/>
        </w:rPr>
      </w:pPr>
    </w:p>
    <w:p w:rsidR="005B1F02" w:rsidRDefault="005B1F02" w:rsidP="005B1F02">
      <w:pPr>
        <w:tabs>
          <w:tab w:val="left" w:pos="6237"/>
        </w:tabs>
        <w:spacing w:after="0" w:line="240" w:lineRule="auto"/>
        <w:rPr>
          <w:rFonts w:ascii="Times New Roman" w:hAnsi="Times New Roman" w:cs="Times New Roman"/>
          <w:sz w:val="16"/>
          <w:szCs w:val="16"/>
        </w:rPr>
      </w:pPr>
    </w:p>
    <w:p w:rsidR="005B1F02" w:rsidRDefault="005B1F02" w:rsidP="005B1F02">
      <w:pPr>
        <w:tabs>
          <w:tab w:val="left" w:pos="6237"/>
        </w:tabs>
        <w:spacing w:after="0" w:line="240" w:lineRule="auto"/>
        <w:rPr>
          <w:rFonts w:ascii="Times New Roman" w:hAnsi="Times New Roman" w:cs="Times New Roman"/>
          <w:sz w:val="16"/>
          <w:szCs w:val="16"/>
        </w:rPr>
      </w:pPr>
    </w:p>
    <w:p w:rsidR="005B1F02" w:rsidRPr="00027C41" w:rsidRDefault="005B1F02" w:rsidP="005B1F02">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Kraņevska</w:t>
      </w:r>
      <w:r w:rsidRPr="00027C41">
        <w:rPr>
          <w:rFonts w:ascii="Times New Roman" w:hAnsi="Times New Roman" w:cs="Times New Roman"/>
          <w:sz w:val="16"/>
          <w:szCs w:val="16"/>
        </w:rPr>
        <w:t xml:space="preserve"> 670955</w:t>
      </w:r>
      <w:r>
        <w:rPr>
          <w:rFonts w:ascii="Times New Roman" w:hAnsi="Times New Roman" w:cs="Times New Roman"/>
          <w:sz w:val="16"/>
          <w:szCs w:val="16"/>
        </w:rPr>
        <w:t>27</w:t>
      </w:r>
    </w:p>
    <w:p w:rsidR="005B1F02" w:rsidRPr="00027C41" w:rsidRDefault="005B1F02" w:rsidP="005B1F02">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Sanita.Kranevska</w:t>
      </w:r>
      <w:r w:rsidRPr="00027C41">
        <w:rPr>
          <w:rFonts w:ascii="Times New Roman" w:hAnsi="Times New Roman" w:cs="Times New Roman"/>
          <w:sz w:val="16"/>
          <w:szCs w:val="16"/>
        </w:rPr>
        <w:t>@fm.gov.lv</w:t>
      </w:r>
    </w:p>
    <w:p w:rsidR="000C463E" w:rsidRDefault="000C463E"/>
    <w:sectPr w:rsidR="000C463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31" w:rsidRDefault="00FE2C31" w:rsidP="005B1F02">
      <w:pPr>
        <w:spacing w:after="0" w:line="240" w:lineRule="auto"/>
      </w:pPr>
      <w:r>
        <w:separator/>
      </w:r>
    </w:p>
  </w:endnote>
  <w:endnote w:type="continuationSeparator" w:id="0">
    <w:p w:rsidR="00FE2C31" w:rsidRDefault="00FE2C31" w:rsidP="005B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88" w:rsidRPr="004B4F56" w:rsidRDefault="00DE3524" w:rsidP="00136588">
    <w:pPr>
      <w:pStyle w:val="Footer"/>
      <w:rPr>
        <w:rFonts w:ascii="Times New Roman" w:hAnsi="Times New Roman" w:cs="Times New Roman"/>
        <w:sz w:val="20"/>
        <w:szCs w:val="20"/>
      </w:rPr>
    </w:pPr>
    <w:r>
      <w:rPr>
        <w:rFonts w:ascii="Times New Roman" w:hAnsi="Times New Roman" w:cs="Times New Roman"/>
        <w:sz w:val="20"/>
        <w:szCs w:val="20"/>
      </w:rPr>
      <w:t>FMAnot_</w:t>
    </w:r>
    <w:r w:rsidR="00601823">
      <w:rPr>
        <w:rFonts w:ascii="Times New Roman" w:hAnsi="Times New Roman" w:cs="Times New Roman"/>
        <w:sz w:val="20"/>
        <w:szCs w:val="20"/>
      </w:rPr>
      <w:t>24</w:t>
    </w:r>
    <w:r w:rsidR="005B1F02">
      <w:rPr>
        <w:rFonts w:ascii="Times New Roman" w:hAnsi="Times New Roman" w:cs="Times New Roman"/>
        <w:sz w:val="20"/>
        <w:szCs w:val="20"/>
      </w:rPr>
      <w:t>0920</w:t>
    </w:r>
    <w:r>
      <w:rPr>
        <w:rFonts w:ascii="Times New Roman" w:hAnsi="Times New Roman" w:cs="Times New Roman"/>
        <w:sz w:val="20"/>
        <w:szCs w:val="20"/>
      </w:rPr>
      <w:t>_</w:t>
    </w:r>
    <w:r w:rsidR="005B1F02">
      <w:rPr>
        <w:rFonts w:ascii="Times New Roman" w:hAnsi="Times New Roman" w:cs="Times New Roman"/>
        <w:sz w:val="20"/>
        <w:szCs w:val="20"/>
      </w:rPr>
      <w:t>UVTN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02" w:rsidRPr="004B4F56" w:rsidRDefault="00601823" w:rsidP="005B1F02">
    <w:pPr>
      <w:pStyle w:val="Footer"/>
      <w:rPr>
        <w:rFonts w:ascii="Times New Roman" w:hAnsi="Times New Roman" w:cs="Times New Roman"/>
        <w:sz w:val="20"/>
        <w:szCs w:val="20"/>
      </w:rPr>
    </w:pPr>
    <w:r>
      <w:rPr>
        <w:rFonts w:ascii="Times New Roman" w:hAnsi="Times New Roman" w:cs="Times New Roman"/>
        <w:sz w:val="20"/>
        <w:szCs w:val="20"/>
      </w:rPr>
      <w:t>FMAnot_24</w:t>
    </w:r>
    <w:r w:rsidR="005B1F02">
      <w:rPr>
        <w:rFonts w:ascii="Times New Roman" w:hAnsi="Times New Roman" w:cs="Times New Roman"/>
        <w:sz w:val="20"/>
        <w:szCs w:val="20"/>
      </w:rPr>
      <w:t>0920_UVTN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31" w:rsidRDefault="00FE2C31" w:rsidP="005B1F02">
      <w:pPr>
        <w:spacing w:after="0" w:line="240" w:lineRule="auto"/>
      </w:pPr>
      <w:r>
        <w:separator/>
      </w:r>
    </w:p>
  </w:footnote>
  <w:footnote w:type="continuationSeparator" w:id="0">
    <w:p w:rsidR="00FE2C31" w:rsidRDefault="00FE2C31" w:rsidP="005B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DE35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182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0DE5"/>
    <w:multiLevelType w:val="hybridMultilevel"/>
    <w:tmpl w:val="7370F162"/>
    <w:lvl w:ilvl="0" w:tplc="C994A8F6">
      <w:start w:val="1"/>
      <w:numFmt w:val="decimal"/>
      <w:lvlText w:val="%1)"/>
      <w:lvlJc w:val="left"/>
      <w:pPr>
        <w:ind w:left="720" w:hanging="360"/>
      </w:pPr>
      <w:rPr>
        <w:rFonts w:ascii="Times New Roman" w:eastAsiaTheme="minorHAnsi"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777701"/>
    <w:multiLevelType w:val="hybridMultilevel"/>
    <w:tmpl w:val="BFAEFDAC"/>
    <w:lvl w:ilvl="0" w:tplc="52F28F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1">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4" w15:restartNumberingAfterBreak="0">
    <w:nsid w:val="6F8B6F52"/>
    <w:multiLevelType w:val="hybridMultilevel"/>
    <w:tmpl w:val="3A729E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2774E1"/>
    <w:multiLevelType w:val="hybridMultilevel"/>
    <w:tmpl w:val="183635E8"/>
    <w:lvl w:ilvl="0" w:tplc="78D88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02"/>
    <w:rsid w:val="000165EE"/>
    <w:rsid w:val="00026A53"/>
    <w:rsid w:val="00033EA9"/>
    <w:rsid w:val="00072305"/>
    <w:rsid w:val="000B1B91"/>
    <w:rsid w:val="000B6695"/>
    <w:rsid w:val="000C463E"/>
    <w:rsid w:val="000D233E"/>
    <w:rsid w:val="001A3FF2"/>
    <w:rsid w:val="00290640"/>
    <w:rsid w:val="002A0AA4"/>
    <w:rsid w:val="002D0061"/>
    <w:rsid w:val="0035575C"/>
    <w:rsid w:val="00355C61"/>
    <w:rsid w:val="00412CAD"/>
    <w:rsid w:val="004163FC"/>
    <w:rsid w:val="004350A9"/>
    <w:rsid w:val="00446A50"/>
    <w:rsid w:val="004F6A35"/>
    <w:rsid w:val="00542A46"/>
    <w:rsid w:val="00551F3C"/>
    <w:rsid w:val="00585A50"/>
    <w:rsid w:val="005A60DB"/>
    <w:rsid w:val="005B1F02"/>
    <w:rsid w:val="005C42EF"/>
    <w:rsid w:val="00601823"/>
    <w:rsid w:val="0067735B"/>
    <w:rsid w:val="006A7380"/>
    <w:rsid w:val="006C4B51"/>
    <w:rsid w:val="006D2920"/>
    <w:rsid w:val="006F2421"/>
    <w:rsid w:val="00726CA2"/>
    <w:rsid w:val="007511FF"/>
    <w:rsid w:val="007B3D24"/>
    <w:rsid w:val="007B7A13"/>
    <w:rsid w:val="008155A5"/>
    <w:rsid w:val="008E519C"/>
    <w:rsid w:val="00933867"/>
    <w:rsid w:val="00955B53"/>
    <w:rsid w:val="00985D9B"/>
    <w:rsid w:val="009901A1"/>
    <w:rsid w:val="009B4473"/>
    <w:rsid w:val="00AA3C0F"/>
    <w:rsid w:val="00AD07B7"/>
    <w:rsid w:val="00C059B6"/>
    <w:rsid w:val="00C06098"/>
    <w:rsid w:val="00D74EA3"/>
    <w:rsid w:val="00DD1898"/>
    <w:rsid w:val="00DE3524"/>
    <w:rsid w:val="00E8193D"/>
    <w:rsid w:val="00EB5C4B"/>
    <w:rsid w:val="00F568AE"/>
    <w:rsid w:val="00F90B52"/>
    <w:rsid w:val="00FC32FA"/>
    <w:rsid w:val="00FE2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FF7"/>
  <w15:chartTrackingRefBased/>
  <w15:docId w15:val="{3BA5CDAA-0511-4683-8BD6-78D6A97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B1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B1F02"/>
  </w:style>
  <w:style w:type="character" w:styleId="Hyperlink">
    <w:name w:val="Hyperlink"/>
    <w:basedOn w:val="DefaultParagraphFont"/>
    <w:unhideWhenUsed/>
    <w:rsid w:val="005B1F02"/>
    <w:rPr>
      <w:color w:val="0000FF"/>
      <w:u w:val="single"/>
    </w:rPr>
  </w:style>
  <w:style w:type="paragraph" w:customStyle="1" w:styleId="tvhtml">
    <w:name w:val="tv_html"/>
    <w:basedOn w:val="Normal"/>
    <w:rsid w:val="005B1F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B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F02"/>
  </w:style>
  <w:style w:type="paragraph" w:styleId="Footer">
    <w:name w:val="footer"/>
    <w:basedOn w:val="Normal"/>
    <w:link w:val="FooterChar"/>
    <w:uiPriority w:val="99"/>
    <w:unhideWhenUsed/>
    <w:rsid w:val="005B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F02"/>
  </w:style>
  <w:style w:type="character" w:styleId="PlaceholderText">
    <w:name w:val="Placeholder Text"/>
    <w:basedOn w:val="DefaultParagraphFont"/>
    <w:uiPriority w:val="99"/>
    <w:semiHidden/>
    <w:rsid w:val="005B1F02"/>
    <w:rPr>
      <w:color w:val="808080"/>
    </w:rPr>
  </w:style>
  <w:style w:type="character" w:styleId="FollowedHyperlink">
    <w:name w:val="FollowedHyperlink"/>
    <w:basedOn w:val="DefaultParagraphFont"/>
    <w:uiPriority w:val="99"/>
    <w:semiHidden/>
    <w:unhideWhenUsed/>
    <w:rsid w:val="005B1F02"/>
    <w:rPr>
      <w:color w:val="954F72" w:themeColor="followedHyperlink"/>
      <w:u w:val="single"/>
    </w:rPr>
  </w:style>
  <w:style w:type="paragraph" w:styleId="BalloonText">
    <w:name w:val="Balloon Text"/>
    <w:basedOn w:val="Normal"/>
    <w:link w:val="BalloonTextChar"/>
    <w:uiPriority w:val="99"/>
    <w:semiHidden/>
    <w:unhideWhenUsed/>
    <w:rsid w:val="005B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02"/>
    <w:rPr>
      <w:rFonts w:ascii="Tahoma" w:hAnsi="Tahoma" w:cs="Tahoma"/>
      <w:sz w:val="16"/>
      <w:szCs w:val="16"/>
    </w:rPr>
  </w:style>
  <w:style w:type="paragraph" w:customStyle="1" w:styleId="Default">
    <w:name w:val="Default"/>
    <w:rsid w:val="005B1F0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B1F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B1F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B1F02"/>
    <w:rPr>
      <w:vertAlign w:val="superscript"/>
    </w:rPr>
  </w:style>
  <w:style w:type="paragraph" w:customStyle="1" w:styleId="tv213">
    <w:name w:val="tv213"/>
    <w:basedOn w:val="Normal"/>
    <w:rsid w:val="005B1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F02"/>
    <w:rPr>
      <w:sz w:val="16"/>
      <w:szCs w:val="16"/>
    </w:rPr>
  </w:style>
  <w:style w:type="paragraph" w:styleId="CommentText">
    <w:name w:val="annotation text"/>
    <w:basedOn w:val="Normal"/>
    <w:link w:val="CommentTextChar"/>
    <w:uiPriority w:val="99"/>
    <w:semiHidden/>
    <w:unhideWhenUsed/>
    <w:rsid w:val="005B1F02"/>
    <w:pPr>
      <w:spacing w:line="240" w:lineRule="auto"/>
    </w:pPr>
    <w:rPr>
      <w:sz w:val="20"/>
      <w:szCs w:val="20"/>
    </w:rPr>
  </w:style>
  <w:style w:type="character" w:customStyle="1" w:styleId="CommentTextChar">
    <w:name w:val="Comment Text Char"/>
    <w:basedOn w:val="DefaultParagraphFont"/>
    <w:link w:val="CommentText"/>
    <w:uiPriority w:val="99"/>
    <w:semiHidden/>
    <w:rsid w:val="005B1F02"/>
    <w:rPr>
      <w:sz w:val="20"/>
      <w:szCs w:val="20"/>
    </w:rPr>
  </w:style>
  <w:style w:type="paragraph" w:styleId="CommentSubject">
    <w:name w:val="annotation subject"/>
    <w:basedOn w:val="CommentText"/>
    <w:next w:val="CommentText"/>
    <w:link w:val="CommentSubjectChar"/>
    <w:uiPriority w:val="99"/>
    <w:semiHidden/>
    <w:unhideWhenUsed/>
    <w:rsid w:val="005B1F02"/>
    <w:rPr>
      <w:b/>
      <w:bCs/>
    </w:rPr>
  </w:style>
  <w:style w:type="character" w:customStyle="1" w:styleId="CommentSubjectChar">
    <w:name w:val="Comment Subject Char"/>
    <w:basedOn w:val="CommentTextChar"/>
    <w:link w:val="CommentSubject"/>
    <w:uiPriority w:val="99"/>
    <w:semiHidden/>
    <w:rsid w:val="005B1F02"/>
    <w:rPr>
      <w:b/>
      <w:bCs/>
      <w:sz w:val="20"/>
      <w:szCs w:val="20"/>
    </w:rPr>
  </w:style>
  <w:style w:type="paragraph" w:customStyle="1" w:styleId="naiskr">
    <w:name w:val="naiskr"/>
    <w:basedOn w:val="Normal"/>
    <w:rsid w:val="005B1F02"/>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B1F02"/>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5B1F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5B1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1F02"/>
    <w:rPr>
      <w:b/>
      <w:bCs/>
    </w:rPr>
  </w:style>
  <w:style w:type="table" w:styleId="TableGrid">
    <w:name w:val="Table Grid"/>
    <w:basedOn w:val="TableNormal"/>
    <w:uiPriority w:val="39"/>
    <w:rsid w:val="005B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5B1F02"/>
    <w:pPr>
      <w:spacing w:after="120" w:line="276"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5B1F02"/>
    <w:rPr>
      <w:rFonts w:ascii="Times New Roman" w:eastAsia="Calibri" w:hAnsi="Times New Roman" w:cs="Times New Roman"/>
      <w:sz w:val="16"/>
      <w:szCs w:val="16"/>
    </w:rPr>
  </w:style>
  <w:style w:type="paragraph" w:customStyle="1" w:styleId="norm">
    <w:name w:val="norm"/>
    <w:basedOn w:val="Normal"/>
    <w:rsid w:val="005B1F02"/>
    <w:pPr>
      <w:spacing w:before="120" w:after="0" w:line="240" w:lineRule="auto"/>
      <w:jc w:val="both"/>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5B1F02"/>
    <w:rPr>
      <w:color w:val="auto"/>
    </w:rPr>
  </w:style>
  <w:style w:type="paragraph" w:customStyle="1" w:styleId="CM3">
    <w:name w:val="CM3"/>
    <w:basedOn w:val="Default"/>
    <w:next w:val="Default"/>
    <w:uiPriority w:val="99"/>
    <w:rsid w:val="005B1F02"/>
    <w:rPr>
      <w:color w:val="auto"/>
    </w:rPr>
  </w:style>
  <w:style w:type="paragraph" w:customStyle="1" w:styleId="CM4">
    <w:name w:val="CM4"/>
    <w:basedOn w:val="Default"/>
    <w:next w:val="Default"/>
    <w:uiPriority w:val="99"/>
    <w:rsid w:val="005B1F02"/>
    <w:rPr>
      <w:color w:val="auto"/>
    </w:rPr>
  </w:style>
  <w:style w:type="paragraph" w:customStyle="1" w:styleId="Normal1">
    <w:name w:val="Normal1"/>
    <w:basedOn w:val="Normal"/>
    <w:rsid w:val="005B1F02"/>
    <w:pPr>
      <w:spacing w:before="120" w:after="0" w:line="240" w:lineRule="auto"/>
      <w:jc w:val="both"/>
    </w:pPr>
    <w:rPr>
      <w:rFonts w:ascii="Times New Roman" w:eastAsia="Times New Roman" w:hAnsi="Times New Roman" w:cs="Times New Roman"/>
      <w:sz w:val="24"/>
      <w:szCs w:val="24"/>
      <w:lang w:eastAsia="lv-LV"/>
    </w:rPr>
  </w:style>
  <w:style w:type="paragraph" w:customStyle="1" w:styleId="tv2132">
    <w:name w:val="tv2132"/>
    <w:basedOn w:val="Normal"/>
    <w:rsid w:val="005B1F02"/>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5B1F02"/>
    <w:pPr>
      <w:spacing w:after="0" w:line="240" w:lineRule="auto"/>
      <w:ind w:left="720"/>
      <w:contextualSpacing/>
    </w:pPr>
    <w:rPr>
      <w:rFonts w:ascii="Times New Roman" w:hAnsi="Times New Roman"/>
      <w:sz w:val="24"/>
    </w:rPr>
  </w:style>
  <w:style w:type="paragraph" w:customStyle="1" w:styleId="naisnod">
    <w:name w:val="naisnod"/>
    <w:basedOn w:val="Normal"/>
    <w:rsid w:val="005B1F02"/>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4010">
      <w:bodyDiv w:val="1"/>
      <w:marLeft w:val="0"/>
      <w:marRight w:val="0"/>
      <w:marTop w:val="0"/>
      <w:marBottom w:val="0"/>
      <w:divBdr>
        <w:top w:val="none" w:sz="0" w:space="0" w:color="auto"/>
        <w:left w:val="none" w:sz="0" w:space="0" w:color="auto"/>
        <w:bottom w:val="none" w:sz="0" w:space="0" w:color="auto"/>
        <w:right w:val="none" w:sz="0" w:space="0" w:color="auto"/>
      </w:divBdr>
    </w:div>
    <w:div w:id="632947081">
      <w:bodyDiv w:val="1"/>
      <w:marLeft w:val="0"/>
      <w:marRight w:val="0"/>
      <w:marTop w:val="0"/>
      <w:marBottom w:val="0"/>
      <w:divBdr>
        <w:top w:val="none" w:sz="0" w:space="0" w:color="auto"/>
        <w:left w:val="none" w:sz="0" w:space="0" w:color="auto"/>
        <w:bottom w:val="none" w:sz="0" w:space="0" w:color="auto"/>
        <w:right w:val="none" w:sz="0" w:space="0" w:color="auto"/>
      </w:divBdr>
    </w:div>
    <w:div w:id="717239909">
      <w:bodyDiv w:val="1"/>
      <w:marLeft w:val="0"/>
      <w:marRight w:val="0"/>
      <w:marTop w:val="0"/>
      <w:marBottom w:val="0"/>
      <w:divBdr>
        <w:top w:val="none" w:sz="0" w:space="0" w:color="auto"/>
        <w:left w:val="none" w:sz="0" w:space="0" w:color="auto"/>
        <w:bottom w:val="none" w:sz="0" w:space="0" w:color="auto"/>
        <w:right w:val="none" w:sz="0" w:space="0" w:color="auto"/>
      </w:divBdr>
    </w:div>
    <w:div w:id="190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5551</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"Grozījumi TEN un UVTN likumā" sākotnējās ietekmes novērtējuma ziņojums</vt:lpstr>
    </vt:vector>
  </TitlesOfParts>
  <Company>FM</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TEN un UVTN likumā" sākotnējās ietekmes novērtējuma ziņojums</dc:title>
  <dc:subject/>
  <dc:creator>Sanita Kraņevska</dc:creator>
  <cp:keywords/>
  <dc:description/>
  <cp:lastModifiedBy>Sanita Kraņevska</cp:lastModifiedBy>
  <cp:revision>14</cp:revision>
  <dcterms:created xsi:type="dcterms:W3CDTF">2020-09-15T10:30:00Z</dcterms:created>
  <dcterms:modified xsi:type="dcterms:W3CDTF">2020-09-25T04:14:00Z</dcterms:modified>
</cp:coreProperties>
</file>