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BA" w:rsidRPr="004E2527" w:rsidRDefault="001B73EC" w:rsidP="00E2406A">
      <w:pPr>
        <w:pStyle w:val="Heading1"/>
        <w:numPr>
          <w:ilvl w:val="0"/>
          <w:numId w:val="17"/>
        </w:numPr>
        <w:spacing w:before="0" w:after="120"/>
        <w:ind w:left="0" w:firstLine="0"/>
        <w:jc w:val="center"/>
        <w:rPr>
          <w:rFonts w:ascii="Times New Roman" w:hAnsi="Times New Roman" w:cs="Times New Roman"/>
          <w:b/>
          <w:color w:val="auto"/>
          <w:sz w:val="44"/>
          <w:szCs w:val="44"/>
        </w:rPr>
      </w:pPr>
      <w:bookmarkStart w:id="0" w:name="_Toc403038744"/>
      <w:bookmarkStart w:id="1" w:name="_Toc403115883"/>
      <w:r w:rsidRPr="001B73EC">
        <w:rPr>
          <w:rFonts w:ascii="Times New Roman" w:hAnsi="Times New Roman" w:cs="Times New Roman"/>
          <w:b/>
          <w:color w:val="auto"/>
          <w:sz w:val="44"/>
          <w:szCs w:val="44"/>
        </w:rPr>
        <w:t>Fiskālais apskats</w:t>
      </w:r>
    </w:p>
    <w:bookmarkEnd w:id="0"/>
    <w:bookmarkEnd w:id="1"/>
    <w:p w:rsidR="002F76F3" w:rsidRDefault="002F76F3" w:rsidP="00E2406A">
      <w:pPr>
        <w:pStyle w:val="Heading2"/>
        <w:numPr>
          <w:ilvl w:val="1"/>
          <w:numId w:val="17"/>
        </w:numPr>
        <w:spacing w:before="240" w:after="240"/>
        <w:ind w:left="0" w:firstLine="0"/>
        <w:jc w:val="center"/>
        <w:rPr>
          <w:rFonts w:ascii="Times New Roman" w:hAnsi="Times New Roman" w:cs="Times New Roman"/>
          <w:b/>
          <w:color w:val="auto"/>
          <w:sz w:val="36"/>
          <w:szCs w:val="36"/>
        </w:rPr>
      </w:pPr>
      <w:r w:rsidRPr="00347547">
        <w:rPr>
          <w:rFonts w:ascii="Times New Roman" w:hAnsi="Times New Roman" w:cs="Times New Roman"/>
          <w:b/>
          <w:color w:val="auto"/>
          <w:sz w:val="36"/>
          <w:szCs w:val="36"/>
        </w:rPr>
        <w:t>Vispārējās valdības budžeta struktūra</w:t>
      </w:r>
    </w:p>
    <w:p w:rsidR="0090538F" w:rsidRPr="0090538F" w:rsidRDefault="0090538F" w:rsidP="0090538F">
      <w:pPr>
        <w:rPr>
          <w:szCs w:val="28"/>
        </w:rPr>
      </w:pPr>
      <w:r w:rsidRPr="0090538F">
        <w:rPr>
          <w:szCs w:val="28"/>
        </w:rPr>
        <w:t>ES dalībvalstīs makroekonomisko rādītāju un publisko finanšu statistiku uzskaita atbilstoši vienotai un harmonizētai metodoloģijai – Eiropas nacionālo un reģionālo kontu sistēmai (turpmāk – EKS)</w:t>
      </w:r>
      <w:r w:rsidRPr="0090538F">
        <w:rPr>
          <w:szCs w:val="28"/>
          <w:vertAlign w:val="superscript"/>
        </w:rPr>
        <w:footnoteReference w:id="1"/>
      </w:r>
      <w:r w:rsidRPr="0090538F">
        <w:rPr>
          <w:szCs w:val="28"/>
        </w:rPr>
        <w:t>. 2014.gada septembrī ES tika ieviesta pārskatītā un atjaunotā EKS 2010, savukārt līdz tam nacionālo kontu sistēmas aprēķinos lietoja EKS 95, kas balstījās uz ANO 1993.</w:t>
      </w:r>
      <w:r>
        <w:rPr>
          <w:szCs w:val="28"/>
        </w:rPr>
        <w:t xml:space="preserve"> </w:t>
      </w:r>
      <w:r w:rsidRPr="0090538F">
        <w:rPr>
          <w:szCs w:val="28"/>
        </w:rPr>
        <w:t>gadā pieņemtajām nacionālo kontu sistēmas metodoloģijas rekomendācijām.</w:t>
      </w:r>
    </w:p>
    <w:p w:rsidR="0090538F" w:rsidRPr="0090538F" w:rsidRDefault="0090538F" w:rsidP="0090538F">
      <w:pPr>
        <w:rPr>
          <w:szCs w:val="28"/>
        </w:rPr>
      </w:pPr>
      <w:r w:rsidRPr="0090538F">
        <w:rPr>
          <w:szCs w:val="28"/>
        </w:rPr>
        <w:t>EKS ir starptautiski atzīts gan vispārēju ekonomikas procesu, gan atsevišķu ekonomikas sektoru, piemēram, valdības finanšu uzskaites standarts. EKS piemēro Māstrihtas kritēriju uzraudzībai un tā ir ES fiskālās pārvaldības pamatā.</w:t>
      </w:r>
    </w:p>
    <w:p w:rsidR="0090538F" w:rsidRPr="0090538F" w:rsidRDefault="0090538F" w:rsidP="0090538F">
      <w:pPr>
        <w:rPr>
          <w:szCs w:val="28"/>
        </w:rPr>
      </w:pPr>
      <w:r w:rsidRPr="0090538F">
        <w:rPr>
          <w:szCs w:val="28"/>
        </w:rPr>
        <w:t>Ja Latvijā valsts finanšu vadībai izmanto naudas plūsmā balstītu nacionālo metodoloģiju, tad EKS mērķis ir, ievērojot detalizētus metodiskus nosacījumus, transformēt naudas plūsmas ieņēmumus un izdevumus uz EKS ieņēmumiem un izdevumiem. Tādējādi arī budžeta deficītu vai pārpalikumu var izteikt kā:</w:t>
      </w:r>
    </w:p>
    <w:p w:rsidR="0090538F" w:rsidRPr="0090538F" w:rsidRDefault="0090538F" w:rsidP="0090538F">
      <w:pPr>
        <w:numPr>
          <w:ilvl w:val="0"/>
          <w:numId w:val="18"/>
        </w:numPr>
        <w:rPr>
          <w:szCs w:val="28"/>
        </w:rPr>
      </w:pPr>
      <w:r w:rsidRPr="0090538F">
        <w:rPr>
          <w:szCs w:val="28"/>
        </w:rPr>
        <w:t>vispārējās valdības budžeta bilanci</w:t>
      </w:r>
      <w:r w:rsidRPr="0090538F">
        <w:rPr>
          <w:rStyle w:val="FootnoteReference"/>
          <w:color w:val="FFFFFF" w:themeColor="background1"/>
          <w:szCs w:val="28"/>
        </w:rPr>
        <w:footnoteReference w:id="2"/>
      </w:r>
      <w:r w:rsidRPr="0090538F">
        <w:rPr>
          <w:szCs w:val="28"/>
        </w:rPr>
        <w:t>(EKS metodoloģija) vai</w:t>
      </w:r>
    </w:p>
    <w:p w:rsidR="0090538F" w:rsidRPr="0090538F" w:rsidRDefault="0090538F" w:rsidP="0090538F">
      <w:pPr>
        <w:numPr>
          <w:ilvl w:val="0"/>
          <w:numId w:val="18"/>
        </w:numPr>
        <w:rPr>
          <w:szCs w:val="28"/>
        </w:rPr>
      </w:pPr>
      <w:r w:rsidRPr="0090538F">
        <w:rPr>
          <w:szCs w:val="28"/>
        </w:rPr>
        <w:t>konsolidētā kopbudžeta bilanci</w:t>
      </w:r>
      <w:r w:rsidRPr="0090538F">
        <w:rPr>
          <w:rStyle w:val="FootnoteReference"/>
          <w:color w:val="FFFFFF" w:themeColor="background1"/>
          <w:szCs w:val="28"/>
        </w:rPr>
        <w:footnoteReference w:id="3"/>
      </w:r>
      <w:r w:rsidRPr="0090538F">
        <w:rPr>
          <w:szCs w:val="28"/>
        </w:rPr>
        <w:t>(nacionālā metodoloģija).</w:t>
      </w:r>
    </w:p>
    <w:p w:rsidR="0090538F" w:rsidRPr="0090538F" w:rsidRDefault="0090538F" w:rsidP="00510902">
      <w:pPr>
        <w:pStyle w:val="ListParagraph"/>
        <w:ind w:left="1429" w:firstLine="0"/>
        <w:contextualSpacing w:val="0"/>
        <w:jc w:val="center"/>
        <w:rPr>
          <w:b/>
          <w:i/>
          <w:szCs w:val="24"/>
        </w:rPr>
      </w:pPr>
      <w:r>
        <w:rPr>
          <w:b/>
          <w:i/>
          <w:szCs w:val="24"/>
        </w:rPr>
        <w:t>2.1. attēls</w:t>
      </w:r>
      <w:r w:rsidRPr="0090538F">
        <w:rPr>
          <w:b/>
          <w:i/>
          <w:szCs w:val="24"/>
        </w:rPr>
        <w:t xml:space="preserve"> </w:t>
      </w:r>
      <w:r w:rsidRPr="0090538F">
        <w:rPr>
          <w:b/>
          <w:szCs w:val="24"/>
        </w:rPr>
        <w:t>Vispārējās valdības budžeta struktūra (S130000)</w:t>
      </w:r>
    </w:p>
    <w:p w:rsidR="0090538F" w:rsidRPr="00A832D8" w:rsidRDefault="0090538F" w:rsidP="0090538F">
      <w:pPr>
        <w:ind w:firstLine="0"/>
        <w:contextualSpacing/>
        <w:jc w:val="left"/>
      </w:pPr>
      <w:r w:rsidRPr="008D2464">
        <w:rPr>
          <w:noProof/>
          <w:lang w:eastAsia="lv-LV"/>
        </w:rPr>
        <w:drawing>
          <wp:inline distT="0" distB="0" distL="0" distR="0" wp14:anchorId="75D7A5B8" wp14:editId="6CFD764B">
            <wp:extent cx="6008400" cy="32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8400" cy="3240000"/>
                    </a:xfrm>
                    <a:prstGeom prst="rect">
                      <a:avLst/>
                    </a:prstGeom>
                    <a:noFill/>
                    <a:ln>
                      <a:noFill/>
                    </a:ln>
                  </pic:spPr>
                </pic:pic>
              </a:graphicData>
            </a:graphic>
          </wp:inline>
        </w:drawing>
      </w:r>
    </w:p>
    <w:p w:rsidR="0090538F" w:rsidRDefault="0090538F" w:rsidP="0090538F">
      <w:pPr>
        <w:spacing w:before="120"/>
      </w:pPr>
    </w:p>
    <w:p w:rsidR="0090538F" w:rsidRPr="0090538F" w:rsidRDefault="0090538F" w:rsidP="0090538F">
      <w:pPr>
        <w:rPr>
          <w:szCs w:val="28"/>
        </w:rPr>
      </w:pPr>
      <w:r w:rsidRPr="0090538F">
        <w:rPr>
          <w:szCs w:val="28"/>
        </w:rPr>
        <w:t>Lai nodrošinātu pāreju no nacionālās uzskaites kopbudžeta uz vienoto EKS standartu, konsolidētā kopbudžeta bilancei piemēro EKS korekcijas, kas sevī ietver uzskaites metodoloģijas atšķirības. Būtiskākās EKS publisko finanšu statistikas metodoloģijas atšķirības salīdzinājumā ar nacionālo metodoloģiju ir šādas:</w:t>
      </w:r>
    </w:p>
    <w:p w:rsidR="0090538F" w:rsidRPr="0090538F" w:rsidRDefault="0090538F" w:rsidP="0090538F">
      <w:pPr>
        <w:numPr>
          <w:ilvl w:val="0"/>
          <w:numId w:val="19"/>
        </w:numPr>
        <w:ind w:hanging="357"/>
        <w:rPr>
          <w:szCs w:val="28"/>
        </w:rPr>
      </w:pPr>
      <w:r w:rsidRPr="0090538F">
        <w:rPr>
          <w:szCs w:val="28"/>
        </w:rPr>
        <w:lastRenderedPageBreak/>
        <w:t>EKS uzskaites pamatā ir uzkrājuma princips, savukārt nacionālajā budžeta vadībā ievēro naudas plūsmas principu;</w:t>
      </w:r>
    </w:p>
    <w:p w:rsidR="0090538F" w:rsidRPr="0090538F" w:rsidRDefault="0090538F" w:rsidP="0090538F">
      <w:pPr>
        <w:numPr>
          <w:ilvl w:val="0"/>
          <w:numId w:val="19"/>
        </w:numPr>
        <w:ind w:hanging="357"/>
        <w:rPr>
          <w:noProof/>
          <w:szCs w:val="28"/>
        </w:rPr>
      </w:pPr>
      <w:r w:rsidRPr="0090538F">
        <w:rPr>
          <w:noProof/>
          <w:szCs w:val="28"/>
        </w:rPr>
        <w:t xml:space="preserve">Nacionālajā uzskaitē </w:t>
      </w:r>
      <w:r w:rsidRPr="0090538F">
        <w:rPr>
          <w:szCs w:val="28"/>
        </w:rPr>
        <w:t xml:space="preserve">atsevišķu veidu finanšu darījumi (aizdevumi u.tml.) EKS izpratnē var būt </w:t>
      </w:r>
      <w:r w:rsidRPr="0090538F">
        <w:rPr>
          <w:noProof/>
          <w:szCs w:val="28"/>
        </w:rPr>
        <w:t>nefinanšu darījumi, attiecīgi ietekmējot budžeta izdevumus;</w:t>
      </w:r>
    </w:p>
    <w:p w:rsidR="0090538F" w:rsidRPr="0090538F" w:rsidRDefault="0090538F" w:rsidP="0090538F">
      <w:pPr>
        <w:numPr>
          <w:ilvl w:val="0"/>
          <w:numId w:val="19"/>
        </w:numPr>
        <w:ind w:hanging="357"/>
        <w:rPr>
          <w:szCs w:val="28"/>
        </w:rPr>
      </w:pPr>
      <w:r w:rsidRPr="0090538F">
        <w:rPr>
          <w:noProof/>
          <w:szCs w:val="28"/>
        </w:rPr>
        <w:t>EKS ir plašāks sektorālais</w:t>
      </w:r>
      <w:r w:rsidRPr="0090538F">
        <w:rPr>
          <w:szCs w:val="28"/>
        </w:rPr>
        <w:t xml:space="preserve"> tvērums – tas ir attiecināms uz visu vispārējās valdības institucionālo sektoru, tajā skaitā uz valsts vai pašvaldību kontrolētām un finansētām komercsabiedrībām, taču nacionālā budžeta uzskaite aptver vien tipiskās budžeta iestādes.</w:t>
      </w:r>
    </w:p>
    <w:p w:rsidR="0090538F" w:rsidRPr="0090538F" w:rsidRDefault="0090538F" w:rsidP="0090538F">
      <w:pPr>
        <w:rPr>
          <w:szCs w:val="28"/>
        </w:rPr>
      </w:pPr>
      <w:r w:rsidRPr="0090538F">
        <w:rPr>
          <w:szCs w:val="28"/>
        </w:rPr>
        <w:t>Valsts finanšu uzskaiti atbilstoši</w:t>
      </w:r>
      <w:r>
        <w:rPr>
          <w:szCs w:val="28"/>
        </w:rPr>
        <w:t xml:space="preserve"> EKS metodoloģijai Latvijā veic CSP. </w:t>
      </w:r>
      <w:r w:rsidRPr="0090538F">
        <w:rPr>
          <w:szCs w:val="28"/>
        </w:rPr>
        <w:t>Savukārt Finanšu ministrija</w:t>
      </w:r>
      <w:r>
        <w:rPr>
          <w:szCs w:val="28"/>
        </w:rPr>
        <w:t xml:space="preserve"> </w:t>
      </w:r>
      <w:r w:rsidRPr="0090538F">
        <w:rPr>
          <w:szCs w:val="28"/>
        </w:rPr>
        <w:t>izstrādā vispārējās valdības budžeta prognozes, ievērojot CSP izmantoto EKS metodiku, tādējādi nodrošinot prognozēto rādītāju metodoloģisku atbilstību vienotajiem EKS pamatprincipiem.</w:t>
      </w:r>
    </w:p>
    <w:p w:rsidR="0090538F" w:rsidRPr="0090538F" w:rsidRDefault="0090538F" w:rsidP="0090538F">
      <w:pPr>
        <w:rPr>
          <w:szCs w:val="28"/>
        </w:rPr>
      </w:pPr>
      <w:r w:rsidRPr="0090538F">
        <w:rPr>
          <w:szCs w:val="28"/>
        </w:rPr>
        <w:t>Finanšu ministrija, veidojot vispārējās valdības budžeta bilances prognozes, veic pieklasificēto valsts un pašvaldību komersantu aptauju. Aptaujās tiek apkopota informācija par visu vispārējās valdības sektorā ietilpstošo valsts un pēc apgrozījuma lielāko pašvaldību komersantu plānoto saimniecisko darbību. Apkopotā informācija ļauj Finanšu ministrijai aprēķināt šo komersantu saimnieciskās darbības rezultāta ietekmi uz vispārējās valdības budžeta bilanci.</w:t>
      </w:r>
    </w:p>
    <w:p w:rsidR="001952BA" w:rsidRDefault="001952BA" w:rsidP="00E2406A">
      <w:pPr>
        <w:pStyle w:val="Heading2"/>
        <w:numPr>
          <w:ilvl w:val="1"/>
          <w:numId w:val="17"/>
        </w:numPr>
        <w:spacing w:before="240" w:after="240"/>
        <w:ind w:left="0" w:firstLine="0"/>
        <w:jc w:val="center"/>
        <w:rPr>
          <w:rFonts w:ascii="Times New Roman" w:hAnsi="Times New Roman" w:cs="Times New Roman"/>
          <w:b/>
          <w:color w:val="auto"/>
          <w:sz w:val="36"/>
          <w:szCs w:val="36"/>
        </w:rPr>
      </w:pPr>
      <w:r w:rsidRPr="00A832D8">
        <w:rPr>
          <w:rFonts w:ascii="Times New Roman" w:hAnsi="Times New Roman" w:cs="Times New Roman"/>
          <w:b/>
          <w:color w:val="auto"/>
          <w:sz w:val="36"/>
          <w:szCs w:val="36"/>
        </w:rPr>
        <w:t xml:space="preserve">Vispārējās valdības budžeta </w:t>
      </w:r>
      <w:r>
        <w:rPr>
          <w:rFonts w:ascii="Times New Roman" w:hAnsi="Times New Roman" w:cs="Times New Roman"/>
          <w:b/>
          <w:color w:val="auto"/>
          <w:sz w:val="36"/>
          <w:szCs w:val="36"/>
        </w:rPr>
        <w:t>bilance</w:t>
      </w:r>
    </w:p>
    <w:p w:rsidR="0090538F" w:rsidRPr="0090538F" w:rsidRDefault="0090538F" w:rsidP="0090538F">
      <w:pPr>
        <w:rPr>
          <w:szCs w:val="28"/>
        </w:rPr>
      </w:pPr>
      <w:r w:rsidRPr="0090538F">
        <w:rPr>
          <w:szCs w:val="28"/>
        </w:rPr>
        <w:t xml:space="preserve">Covid-19 pandēmija ir ieviesusi būtiskas izmaiņas valsts fiskālajā politikā. 2020. gadā tika aktivizēta ES Stabilitātes un </w:t>
      </w:r>
      <w:r w:rsidRPr="0090538F">
        <w:rPr>
          <w:noProof/>
          <w:szCs w:val="28"/>
        </w:rPr>
        <w:t>izaugsmes pakta vispārējā</w:t>
      </w:r>
      <w:r w:rsidRPr="0090538F">
        <w:rPr>
          <w:szCs w:val="28"/>
        </w:rPr>
        <w:t xml:space="preserve"> izņēmuma klauzula, kas ļauj palielināt vispārējās valdības budžeta deficītu 2020. gadā tik, cik ir nepieciešams pandēmijas izsauktā ekonomikas kaitējuma mazināšanai. Tiek pieņemts, ka vispārējā izņēmuma klauzula paliek spēkā arī 2021. gadā, tādēļ likuma “Covid-19 infekcijas izplatības seku pārvarēšanas likums” 33. pants paredz atkāpes no fiskālās disciplīnas nosacījumiem tikai 2020. un  2021. gadā. Savukārt, 2022. un 2023. gadā Fiskālās disciplīnas likums līdz ar vispārējās izņēmuma klauzulas atcelšanu liek ievērot FDL noteikto 0,5% no IKP strukturālā deficīta mērķi.</w:t>
      </w:r>
    </w:p>
    <w:p w:rsidR="0090538F" w:rsidRDefault="0090538F" w:rsidP="0090538F">
      <w:pPr>
        <w:rPr>
          <w:sz w:val="22"/>
          <w:highlight w:val="yellow"/>
        </w:rPr>
      </w:pPr>
      <w:r w:rsidRPr="0090538F">
        <w:rPr>
          <w:szCs w:val="28"/>
        </w:rPr>
        <w:t xml:space="preserve">Ņemot vērā valdības pieņemtos lēmumus attiecībā uz nodokļu izmaiņām un papildus izdevumiem valdības prioritātēm, vispārējās valdības budžeta bilance 2021. gadā tiek prognozēta -3,9% no IKP, 2022. gadā -2,8% no IKP un 2023. gadā -1,7% no IKP. </w:t>
      </w: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Pr="0090538F" w:rsidRDefault="0090538F" w:rsidP="0090538F">
      <w:pPr>
        <w:rPr>
          <w:sz w:val="22"/>
          <w:highlight w:val="yellow"/>
        </w:rPr>
      </w:pPr>
    </w:p>
    <w:p w:rsidR="0090538F" w:rsidRDefault="0090538F" w:rsidP="0090538F">
      <w:pPr>
        <w:rPr>
          <w:sz w:val="22"/>
          <w:highlight w:val="yellow"/>
        </w:rPr>
      </w:pPr>
    </w:p>
    <w:p w:rsidR="00D76300" w:rsidRDefault="00D76300" w:rsidP="0090538F">
      <w:pPr>
        <w:rPr>
          <w:sz w:val="22"/>
          <w:highlight w:val="yellow"/>
        </w:rPr>
      </w:pPr>
    </w:p>
    <w:p w:rsidR="0090538F" w:rsidRDefault="0090538F" w:rsidP="0090538F">
      <w:pPr>
        <w:jc w:val="center"/>
        <w:rPr>
          <w:sz w:val="22"/>
          <w:highlight w:val="yellow"/>
        </w:rPr>
      </w:pPr>
    </w:p>
    <w:p w:rsidR="0090538F" w:rsidRPr="0090538F" w:rsidRDefault="0090538F" w:rsidP="0090538F">
      <w:pPr>
        <w:spacing w:after="0"/>
        <w:ind w:firstLine="0"/>
        <w:jc w:val="center"/>
        <w:rPr>
          <w:b/>
          <w:i/>
          <w:szCs w:val="24"/>
        </w:rPr>
      </w:pPr>
      <w:r>
        <w:rPr>
          <w:b/>
          <w:i/>
          <w:szCs w:val="24"/>
        </w:rPr>
        <w:lastRenderedPageBreak/>
        <w:t>2.2. attēls</w:t>
      </w:r>
      <w:r w:rsidRPr="00091067">
        <w:rPr>
          <w:b/>
          <w:i/>
          <w:szCs w:val="24"/>
        </w:rPr>
        <w:t xml:space="preserve"> </w:t>
      </w:r>
      <w:r w:rsidRPr="0090538F">
        <w:rPr>
          <w:b/>
          <w:szCs w:val="24"/>
        </w:rPr>
        <w:t>Vispārējās valdības budžeta bilance, % no IKP</w:t>
      </w:r>
      <w:r w:rsidRPr="0090538F">
        <w:rPr>
          <w:b/>
          <w:szCs w:val="24"/>
        </w:rPr>
        <w:br/>
        <w:t>(Datu avots: 2020.gada aprīļa notifikācija, FM prognozes)</w:t>
      </w:r>
    </w:p>
    <w:p w:rsidR="0090538F" w:rsidRPr="0090538F" w:rsidRDefault="0090538F" w:rsidP="0090538F">
      <w:pPr>
        <w:ind w:firstLine="0"/>
        <w:jc w:val="center"/>
      </w:pPr>
      <w:r w:rsidRPr="0090538F">
        <w:rPr>
          <w:noProof/>
          <w:lang w:eastAsia="lv-LV"/>
        </w:rPr>
        <w:drawing>
          <wp:inline distT="0" distB="0" distL="0" distR="0" wp14:anchorId="5707567C" wp14:editId="4F8DC097">
            <wp:extent cx="5372100" cy="313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34" t="7356" r="2591" b="2344"/>
                    <a:stretch/>
                  </pic:blipFill>
                  <pic:spPr bwMode="auto">
                    <a:xfrm>
                      <a:off x="0" y="0"/>
                      <a:ext cx="5372100" cy="3133725"/>
                    </a:xfrm>
                    <a:prstGeom prst="rect">
                      <a:avLst/>
                    </a:prstGeom>
                    <a:noFill/>
                    <a:ln>
                      <a:noFill/>
                    </a:ln>
                    <a:extLst>
                      <a:ext uri="{53640926-AAD7-44D8-BBD7-CCE9431645EC}">
                        <a14:shadowObscured xmlns:a14="http://schemas.microsoft.com/office/drawing/2010/main"/>
                      </a:ext>
                    </a:extLst>
                  </pic:spPr>
                </pic:pic>
              </a:graphicData>
            </a:graphic>
          </wp:inline>
        </w:drawing>
      </w:r>
    </w:p>
    <w:p w:rsidR="0090538F" w:rsidRPr="0090538F" w:rsidRDefault="0090538F" w:rsidP="0090538F">
      <w:pPr>
        <w:rPr>
          <w:color w:val="000000" w:themeColor="text1"/>
          <w:szCs w:val="28"/>
        </w:rPr>
      </w:pPr>
      <w:r w:rsidRPr="0090538F">
        <w:rPr>
          <w:color w:val="000000" w:themeColor="text1"/>
          <w:szCs w:val="28"/>
        </w:rPr>
        <w:t xml:space="preserve">Vispārējās valdības budžeta deficīts </w:t>
      </w:r>
      <w:r w:rsidRPr="0090538F">
        <w:rPr>
          <w:b/>
          <w:color w:val="000000" w:themeColor="text1"/>
          <w:szCs w:val="28"/>
        </w:rPr>
        <w:t>2020. gadam</w:t>
      </w:r>
      <w:r w:rsidRPr="0090538F">
        <w:rPr>
          <w:color w:val="000000" w:themeColor="text1"/>
          <w:szCs w:val="28"/>
        </w:rPr>
        <w:t xml:space="preserve"> tiek prognozēts 7,6% no IKP, kas ir būtiski augstāks nekā plānots. Likuma “Par vidēja termiņa budžeta ietvaru 2020., 2021. un 2022. gadam” (turpmāk – ietvars) izstrādes brīdī Covid-19 infekcijas izplatība vēl nebija prognozējama un deficīts šim gadam tika plānots 0,3% no IKP apmērā.</w:t>
      </w:r>
    </w:p>
    <w:p w:rsidR="0090538F" w:rsidRPr="0090538F" w:rsidRDefault="0090538F" w:rsidP="0090538F">
      <w:pPr>
        <w:rPr>
          <w:color w:val="000000" w:themeColor="text1"/>
          <w:szCs w:val="28"/>
          <w:highlight w:val="yellow"/>
        </w:rPr>
      </w:pPr>
      <w:r w:rsidRPr="0090538F">
        <w:rPr>
          <w:color w:val="000000" w:themeColor="text1"/>
          <w:szCs w:val="28"/>
        </w:rPr>
        <w:t xml:space="preserve">Salīdzinot ar pērn plānoto, būtisks samazinājums vērojams nodokļu ieņēmumu prognozēs. Zemāki ieņēmumi prognozēti visās lielākajās nodokļu grupās, kas saistīts ar Covid-19 izraisīto plašo ietekmi uz tautsaimniecību un vispārējo ekonomiskās aktivitātes sarukumu valstī. Savukārt, </w:t>
      </w:r>
      <w:r w:rsidRPr="0090538F">
        <w:rPr>
          <w:noProof/>
          <w:color w:val="000000" w:themeColor="text1"/>
          <w:szCs w:val="28"/>
        </w:rPr>
        <w:t>nenodokļu</w:t>
      </w:r>
      <w:r w:rsidRPr="0090538F">
        <w:rPr>
          <w:color w:val="000000" w:themeColor="text1"/>
          <w:szCs w:val="28"/>
        </w:rPr>
        <w:t xml:space="preserve"> ieņēmumi, ņemot vērā pieaugumu sagaidāmajos ieņēmumos no dividendēm, tiek sagaidīti lielākā apmērā nekā plānots ietvarā. Nodokļu ieņēmumu neplānotais samazinājums negatīvi ietekmē bilanci visos budžeta līmeņos gan salīdzinājumā ar plānoto, gan salīdzinot ar 2019. gadu.</w:t>
      </w:r>
    </w:p>
    <w:p w:rsidR="0090538F" w:rsidRPr="0090538F" w:rsidRDefault="0090538F" w:rsidP="0090538F">
      <w:pPr>
        <w:rPr>
          <w:color w:val="000000" w:themeColor="text1"/>
          <w:szCs w:val="28"/>
        </w:rPr>
      </w:pPr>
      <w:r w:rsidRPr="0090538F">
        <w:rPr>
          <w:color w:val="000000" w:themeColor="text1"/>
          <w:szCs w:val="28"/>
        </w:rPr>
        <w:t>Būtiski augstāki nekā plānots ietvarā 2020. gadam ir vispārējās valdības budžeta izdevumi, kas skaidrojams ar apjomīgiem papildus izdevumiem atbalsta pasākumu finansēšanai, lai mazinātu Covid-19 ietekmi gan uz iedzīvotājiem, gan uzņēmumiem un nozarēm kopumā. Atbalsta pasākumi galvenokārt ietekmē 2020. gada budžeta izdevumus, taču daļēji arī 2021. gada izdevumu apmēru, īpaši valsts pamatbudžetā. Arī valsts speciālā budžeta izdevumi 2020. gadā palielinās pret plānoto ietvarā, kas saistīts ar augstākiem izdevumiem bezdarbnieku pabalstiem.</w:t>
      </w:r>
    </w:p>
    <w:p w:rsidR="0090538F" w:rsidRDefault="0090538F" w:rsidP="0090538F">
      <w:pPr>
        <w:rPr>
          <w:color w:val="000000" w:themeColor="text1"/>
          <w:szCs w:val="28"/>
        </w:rPr>
      </w:pPr>
      <w:r w:rsidRPr="0090538F">
        <w:rPr>
          <w:color w:val="000000" w:themeColor="text1"/>
          <w:szCs w:val="28"/>
        </w:rPr>
        <w:t xml:space="preserve">Savukārt, pašvaldību budžetā 2020. gadā ir sagaidāms zemāks izdevumu apmērs nekā plānots ietvarā, piemēram, izdevumi precēm un pakalpojumiem tiek prognozēti mazāki, ņemot vērā faktisko izpildi šā gada pirmajā pusē, tāpat izdevumi atlīdzībai šogad pieaugs lēnākā tempā nekā plānots pirms gada, savukārt kapitālie izdevumi tiek prognozēti ar samazinājumu pret 2019. gadu, taču ne tik strauju kā tika plānots iepriekš, ņemot vērā papildus aizņēmumu limita palielināšanu, atbalstot pašvaldību investīcijas Covid-19 krīzē. </w:t>
      </w:r>
    </w:p>
    <w:p w:rsidR="0090538F" w:rsidRDefault="0090538F" w:rsidP="0090538F">
      <w:pPr>
        <w:rPr>
          <w:color w:val="000000" w:themeColor="text1"/>
          <w:szCs w:val="28"/>
        </w:rPr>
      </w:pPr>
    </w:p>
    <w:p w:rsidR="0090538F" w:rsidRPr="0090538F" w:rsidRDefault="0090538F" w:rsidP="0090538F">
      <w:pPr>
        <w:rPr>
          <w:color w:val="000000" w:themeColor="text1"/>
          <w:szCs w:val="28"/>
        </w:rPr>
      </w:pPr>
    </w:p>
    <w:p w:rsidR="0090538F" w:rsidRPr="007333CF" w:rsidRDefault="0090538F" w:rsidP="0090538F">
      <w:pPr>
        <w:keepNext/>
        <w:spacing w:before="240"/>
        <w:ind w:firstLine="0"/>
        <w:jc w:val="center"/>
        <w:rPr>
          <w:b/>
          <w:i/>
          <w:szCs w:val="24"/>
        </w:rPr>
      </w:pPr>
      <w:r>
        <w:rPr>
          <w:b/>
          <w:i/>
          <w:szCs w:val="24"/>
        </w:rPr>
        <w:lastRenderedPageBreak/>
        <w:t xml:space="preserve">2.1. tabula </w:t>
      </w:r>
      <w:r w:rsidRPr="0090538F">
        <w:rPr>
          <w:b/>
          <w:szCs w:val="24"/>
        </w:rPr>
        <w:t>Vispārējās valdības budžeta un</w:t>
      </w:r>
      <w:r>
        <w:rPr>
          <w:b/>
          <w:szCs w:val="24"/>
        </w:rPr>
        <w:t xml:space="preserve"> konsolidētā kopbudžeta bilance </w:t>
      </w:r>
      <w:r w:rsidRPr="0090538F">
        <w:rPr>
          <w:b/>
          <w:szCs w:val="24"/>
        </w:rPr>
        <w:t>2019.</w:t>
      </w:r>
      <w:r w:rsidRPr="0090538F">
        <w:rPr>
          <w:b/>
          <w:szCs w:val="24"/>
        </w:rPr>
        <w:noBreakHyphen/>
        <w:t>2023.</w:t>
      </w:r>
      <w:r>
        <w:rPr>
          <w:b/>
          <w:szCs w:val="24"/>
        </w:rPr>
        <w:t xml:space="preserve"> </w:t>
      </w:r>
      <w:r w:rsidRPr="0090538F">
        <w:rPr>
          <w:b/>
          <w:szCs w:val="24"/>
        </w:rPr>
        <w:t xml:space="preserve">gadā, milj. </w:t>
      </w:r>
      <w:r w:rsidRPr="000A76B3">
        <w:rPr>
          <w:b/>
          <w:i/>
          <w:noProof/>
          <w:szCs w:val="24"/>
        </w:rPr>
        <w:t>euro</w:t>
      </w:r>
      <w:r w:rsidRPr="000A76B3">
        <w:rPr>
          <w:b/>
          <w:i/>
          <w:szCs w:val="24"/>
        </w:rPr>
        <w:t xml:space="preserve"> </w:t>
      </w:r>
      <w:r w:rsidRPr="0090538F">
        <w:rPr>
          <w:b/>
          <w:szCs w:val="24"/>
        </w:rPr>
        <w:t>un % no IKP</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850"/>
        <w:gridCol w:w="851"/>
        <w:gridCol w:w="850"/>
        <w:gridCol w:w="851"/>
        <w:gridCol w:w="850"/>
        <w:gridCol w:w="864"/>
        <w:gridCol w:w="863"/>
      </w:tblGrid>
      <w:tr w:rsidR="00C503FF" w:rsidRPr="0026061A" w:rsidTr="00C503FF">
        <w:trPr>
          <w:trHeight w:val="20"/>
          <w:jc w:val="center"/>
        </w:trPr>
        <w:tc>
          <w:tcPr>
            <w:tcW w:w="2263" w:type="dxa"/>
            <w:shd w:val="clear" w:color="auto" w:fill="95B3D7" w:themeFill="accent1" w:themeFillTint="99"/>
            <w:noWrap/>
            <w:vAlign w:val="center"/>
            <w:hideMark/>
          </w:tcPr>
          <w:p w:rsidR="00C503FF" w:rsidRPr="007333CF" w:rsidRDefault="00C503FF" w:rsidP="00870F8E">
            <w:pPr>
              <w:spacing w:after="0"/>
              <w:ind w:firstLine="0"/>
              <w:contextualSpacing/>
              <w:jc w:val="left"/>
              <w:rPr>
                <w:color w:val="000000"/>
                <w:sz w:val="18"/>
                <w:szCs w:val="18"/>
                <w:lang w:eastAsia="lv-LV"/>
              </w:rPr>
            </w:pPr>
            <w:r w:rsidRPr="007333CF">
              <w:rPr>
                <w:color w:val="000000"/>
                <w:sz w:val="18"/>
                <w:szCs w:val="18"/>
                <w:lang w:eastAsia="lv-LV"/>
              </w:rPr>
              <w:t> </w:t>
            </w:r>
          </w:p>
        </w:tc>
        <w:tc>
          <w:tcPr>
            <w:tcW w:w="851" w:type="dxa"/>
            <w:shd w:val="clear" w:color="auto" w:fill="95B3D7" w:themeFill="accent1" w:themeFillTint="99"/>
            <w:noWrap/>
            <w:vAlign w:val="center"/>
            <w:hideMark/>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201</w:t>
            </w:r>
            <w:r>
              <w:rPr>
                <w:b/>
                <w:bCs/>
                <w:color w:val="000000"/>
                <w:sz w:val="18"/>
                <w:szCs w:val="18"/>
                <w:lang w:eastAsia="lv-LV"/>
              </w:rPr>
              <w:t>9</w:t>
            </w:r>
          </w:p>
        </w:tc>
        <w:tc>
          <w:tcPr>
            <w:tcW w:w="850" w:type="dxa"/>
            <w:shd w:val="clear" w:color="auto" w:fill="95B3D7" w:themeFill="accent1" w:themeFillTint="99"/>
            <w:noWrap/>
            <w:vAlign w:val="center"/>
            <w:hideMark/>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w:t>
            </w:r>
            <w:r>
              <w:rPr>
                <w:b/>
                <w:bCs/>
                <w:color w:val="000000"/>
                <w:sz w:val="18"/>
                <w:szCs w:val="18"/>
                <w:lang w:eastAsia="lv-LV"/>
              </w:rPr>
              <w:t>20</w:t>
            </w:r>
          </w:p>
        </w:tc>
        <w:tc>
          <w:tcPr>
            <w:tcW w:w="851" w:type="dxa"/>
            <w:shd w:val="clear" w:color="auto" w:fill="95B3D7" w:themeFill="accent1" w:themeFillTint="99"/>
            <w:noWrap/>
            <w:vAlign w:val="center"/>
            <w:hideMark/>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1</w:t>
            </w:r>
          </w:p>
        </w:tc>
        <w:tc>
          <w:tcPr>
            <w:tcW w:w="850" w:type="dxa"/>
            <w:shd w:val="clear" w:color="auto" w:fill="95B3D7" w:themeFill="accent1" w:themeFillTint="99"/>
            <w:noWrap/>
            <w:vAlign w:val="center"/>
            <w:hideMark/>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2</w:t>
            </w:r>
          </w:p>
        </w:tc>
        <w:tc>
          <w:tcPr>
            <w:tcW w:w="851" w:type="dxa"/>
            <w:shd w:val="clear" w:color="auto" w:fill="95B3D7" w:themeFill="accent1" w:themeFillTint="99"/>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3</w:t>
            </w:r>
          </w:p>
        </w:tc>
        <w:tc>
          <w:tcPr>
            <w:tcW w:w="850" w:type="dxa"/>
            <w:shd w:val="clear" w:color="auto" w:fill="95B3D7" w:themeFill="accent1" w:themeFillTint="99"/>
            <w:noWrap/>
            <w:vAlign w:val="center"/>
            <w:hideMark/>
          </w:tcPr>
          <w:p w:rsidR="00C503FF" w:rsidRPr="007333CF"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1</w:t>
            </w:r>
          </w:p>
        </w:tc>
        <w:tc>
          <w:tcPr>
            <w:tcW w:w="864" w:type="dxa"/>
            <w:shd w:val="clear" w:color="auto" w:fill="95B3D7" w:themeFill="accent1" w:themeFillTint="99"/>
            <w:noWrap/>
            <w:vAlign w:val="center"/>
            <w:hideMark/>
          </w:tcPr>
          <w:p w:rsidR="00C503FF" w:rsidRPr="00DB4C4C"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2</w:t>
            </w:r>
          </w:p>
        </w:tc>
        <w:tc>
          <w:tcPr>
            <w:tcW w:w="863" w:type="dxa"/>
            <w:shd w:val="clear" w:color="auto" w:fill="95B3D7" w:themeFill="accent1" w:themeFillTint="99"/>
            <w:noWrap/>
            <w:hideMark/>
          </w:tcPr>
          <w:p w:rsidR="00C503FF" w:rsidRPr="00DB4C4C" w:rsidRDefault="00C503FF" w:rsidP="00870F8E">
            <w:pPr>
              <w:spacing w:after="0"/>
              <w:ind w:firstLine="0"/>
              <w:contextualSpacing/>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3</w:t>
            </w:r>
          </w:p>
        </w:tc>
      </w:tr>
      <w:tr w:rsidR="00C503FF" w:rsidRPr="0026061A" w:rsidTr="00C503FF">
        <w:trPr>
          <w:trHeight w:val="20"/>
          <w:jc w:val="center"/>
        </w:trPr>
        <w:tc>
          <w:tcPr>
            <w:tcW w:w="2263" w:type="dxa"/>
            <w:shd w:val="clear" w:color="auto" w:fill="95B3D7" w:themeFill="accent1" w:themeFillTint="99"/>
            <w:noWrap/>
            <w:vAlign w:val="center"/>
            <w:hideMark/>
          </w:tcPr>
          <w:p w:rsidR="00C503FF" w:rsidRPr="007333CF" w:rsidRDefault="00C503FF" w:rsidP="00870F8E">
            <w:pPr>
              <w:spacing w:after="0"/>
              <w:ind w:firstLine="0"/>
              <w:contextualSpacing/>
              <w:jc w:val="left"/>
              <w:rPr>
                <w:b/>
                <w:bCs/>
                <w:color w:val="000000"/>
                <w:sz w:val="18"/>
                <w:szCs w:val="18"/>
                <w:lang w:eastAsia="lv-LV"/>
              </w:rPr>
            </w:pPr>
            <w:r w:rsidRPr="007333CF">
              <w:rPr>
                <w:b/>
                <w:bCs/>
                <w:color w:val="000000"/>
                <w:sz w:val="18"/>
                <w:szCs w:val="18"/>
                <w:lang w:eastAsia="lv-LV"/>
              </w:rPr>
              <w:t> </w:t>
            </w:r>
          </w:p>
        </w:tc>
        <w:tc>
          <w:tcPr>
            <w:tcW w:w="851" w:type="dxa"/>
            <w:shd w:val="clear" w:color="auto" w:fill="95B3D7" w:themeFill="accent1" w:themeFillTint="99"/>
            <w:noWrap/>
            <w:vAlign w:val="center"/>
            <w:hideMark/>
          </w:tcPr>
          <w:p w:rsidR="00C503FF" w:rsidRPr="006A6D52" w:rsidRDefault="00C503FF" w:rsidP="00870F8E">
            <w:pPr>
              <w:spacing w:after="0"/>
              <w:ind w:firstLine="0"/>
              <w:contextualSpacing/>
              <w:jc w:val="center"/>
              <w:rPr>
                <w:b/>
                <w:color w:val="000000"/>
                <w:sz w:val="18"/>
                <w:szCs w:val="18"/>
                <w:lang w:eastAsia="lv-LV"/>
              </w:rPr>
            </w:pPr>
            <w:r w:rsidRPr="006A6D52">
              <w:rPr>
                <w:b/>
                <w:color w:val="000000"/>
                <w:sz w:val="18"/>
                <w:szCs w:val="18"/>
                <w:lang w:eastAsia="lv-LV"/>
              </w:rPr>
              <w:t>Fakts*</w:t>
            </w:r>
          </w:p>
        </w:tc>
        <w:tc>
          <w:tcPr>
            <w:tcW w:w="850" w:type="dxa"/>
            <w:shd w:val="clear" w:color="auto" w:fill="95B3D7" w:themeFill="accent1" w:themeFillTint="99"/>
            <w:vAlign w:val="center"/>
          </w:tcPr>
          <w:p w:rsidR="00C503FF" w:rsidRPr="006A6D52" w:rsidRDefault="00C503FF" w:rsidP="00870F8E">
            <w:pPr>
              <w:spacing w:after="0"/>
              <w:ind w:firstLine="0"/>
              <w:contextualSpacing/>
              <w:jc w:val="center"/>
              <w:rPr>
                <w:b/>
                <w:color w:val="000000"/>
                <w:sz w:val="18"/>
                <w:szCs w:val="18"/>
                <w:lang w:eastAsia="lv-LV"/>
              </w:rPr>
            </w:pPr>
            <w:r w:rsidRPr="006A6D52">
              <w:rPr>
                <w:b/>
                <w:color w:val="000000"/>
                <w:sz w:val="18"/>
                <w:szCs w:val="18"/>
                <w:lang w:eastAsia="lv-LV"/>
              </w:rPr>
              <w:t>Novērt.</w:t>
            </w:r>
          </w:p>
        </w:tc>
        <w:tc>
          <w:tcPr>
            <w:tcW w:w="2552" w:type="dxa"/>
            <w:gridSpan w:val="3"/>
            <w:shd w:val="clear" w:color="auto" w:fill="95B3D7" w:themeFill="accent1" w:themeFillTint="99"/>
            <w:vAlign w:val="center"/>
          </w:tcPr>
          <w:p w:rsidR="00C503FF" w:rsidRPr="006A6D52" w:rsidRDefault="00C503FF" w:rsidP="00870F8E">
            <w:pPr>
              <w:spacing w:after="0"/>
              <w:ind w:firstLine="0"/>
              <w:contextualSpacing/>
              <w:jc w:val="center"/>
              <w:rPr>
                <w:b/>
                <w:color w:val="000000"/>
                <w:sz w:val="18"/>
                <w:szCs w:val="18"/>
                <w:lang w:eastAsia="lv-LV"/>
              </w:rPr>
            </w:pPr>
            <w:r w:rsidRPr="006A6D52">
              <w:rPr>
                <w:b/>
                <w:color w:val="000000"/>
                <w:sz w:val="18"/>
                <w:szCs w:val="18"/>
                <w:lang w:eastAsia="lv-LV"/>
              </w:rPr>
              <w:t>Prognoze (nemainīga politika)</w:t>
            </w:r>
          </w:p>
        </w:tc>
        <w:tc>
          <w:tcPr>
            <w:tcW w:w="2577" w:type="dxa"/>
            <w:gridSpan w:val="3"/>
            <w:shd w:val="clear" w:color="auto" w:fill="95B3D7" w:themeFill="accent1" w:themeFillTint="99"/>
            <w:vAlign w:val="center"/>
            <w:hideMark/>
          </w:tcPr>
          <w:p w:rsidR="00C503FF" w:rsidRPr="006A6D52" w:rsidRDefault="00C503FF" w:rsidP="00870F8E">
            <w:pPr>
              <w:spacing w:after="0"/>
              <w:ind w:firstLine="0"/>
              <w:contextualSpacing/>
              <w:jc w:val="center"/>
              <w:rPr>
                <w:b/>
                <w:color w:val="000000"/>
                <w:sz w:val="18"/>
                <w:szCs w:val="18"/>
                <w:lang w:eastAsia="lv-LV"/>
              </w:rPr>
            </w:pPr>
            <w:r w:rsidRPr="006A6D52">
              <w:rPr>
                <w:b/>
                <w:color w:val="000000"/>
                <w:sz w:val="18"/>
                <w:szCs w:val="18"/>
                <w:lang w:eastAsia="lv-LV"/>
              </w:rPr>
              <w:t xml:space="preserve">Prognoze </w:t>
            </w:r>
          </w:p>
        </w:tc>
      </w:tr>
      <w:tr w:rsidR="00C503FF" w:rsidRPr="006A6D52" w:rsidTr="00C503FF">
        <w:trPr>
          <w:trHeight w:val="20"/>
          <w:jc w:val="center"/>
        </w:trPr>
        <w:tc>
          <w:tcPr>
            <w:tcW w:w="2263" w:type="dxa"/>
            <w:shd w:val="clear" w:color="auto" w:fill="auto"/>
            <w:vAlign w:val="center"/>
            <w:hideMark/>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Vispārējās valdības budžeta bilance, % no IKP</w:t>
            </w:r>
          </w:p>
        </w:tc>
        <w:tc>
          <w:tcPr>
            <w:tcW w:w="851"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-0,2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-7,6 </w:t>
            </w:r>
          </w:p>
        </w:tc>
        <w:tc>
          <w:tcPr>
            <w:tcW w:w="851" w:type="dxa"/>
            <w:shd w:val="clear" w:color="auto" w:fill="auto"/>
            <w:noWrap/>
            <w:vAlign w:val="center"/>
            <w:hideMark/>
          </w:tcPr>
          <w:p w:rsidR="00C503FF" w:rsidRPr="006A6D52" w:rsidRDefault="00C503FF" w:rsidP="00870F8E">
            <w:pPr>
              <w:spacing w:after="0"/>
              <w:ind w:firstLine="0"/>
              <w:jc w:val="right"/>
              <w:rPr>
                <w:b/>
                <w:bCs/>
                <w:sz w:val="18"/>
                <w:szCs w:val="44"/>
                <w:lang w:eastAsia="lv-LV"/>
              </w:rPr>
            </w:pPr>
            <w:r w:rsidRPr="006A6D52">
              <w:rPr>
                <w:b/>
                <w:bCs/>
                <w:sz w:val="18"/>
                <w:szCs w:val="44"/>
              </w:rPr>
              <w:t xml:space="preserve">-3,9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-2,8 </w:t>
            </w:r>
          </w:p>
        </w:tc>
        <w:tc>
          <w:tcPr>
            <w:tcW w:w="851" w:type="dxa"/>
            <w:shd w:val="clear" w:color="auto" w:fill="auto"/>
            <w:vAlign w:val="center"/>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-1,7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-3,9 </w:t>
            </w:r>
          </w:p>
        </w:tc>
        <w:tc>
          <w:tcPr>
            <w:tcW w:w="864"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-2,8 </w:t>
            </w:r>
          </w:p>
        </w:tc>
        <w:tc>
          <w:tcPr>
            <w:tcW w:w="863"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-1,7 </w:t>
            </w:r>
          </w:p>
        </w:tc>
      </w:tr>
      <w:tr w:rsidR="00C503FF" w:rsidRPr="006A6D52" w:rsidTr="00C503FF">
        <w:trPr>
          <w:trHeight w:val="20"/>
          <w:jc w:val="center"/>
        </w:trPr>
        <w:tc>
          <w:tcPr>
            <w:tcW w:w="2263" w:type="dxa"/>
            <w:shd w:val="clear" w:color="auto" w:fill="auto"/>
            <w:vAlign w:val="center"/>
            <w:hideMark/>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Vispārējās valdības budžeta bilance</w:t>
            </w:r>
          </w:p>
        </w:tc>
        <w:tc>
          <w:tcPr>
            <w:tcW w:w="851"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-63,2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-2 143,8 </w:t>
            </w:r>
          </w:p>
        </w:tc>
        <w:tc>
          <w:tcPr>
            <w:tcW w:w="851"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-1 184,9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-876,9 </w:t>
            </w:r>
          </w:p>
        </w:tc>
        <w:tc>
          <w:tcPr>
            <w:tcW w:w="851" w:type="dxa"/>
            <w:shd w:val="clear" w:color="auto" w:fill="auto"/>
            <w:vAlign w:val="center"/>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-563,8 </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-1 184,9 </w:t>
            </w:r>
          </w:p>
        </w:tc>
        <w:tc>
          <w:tcPr>
            <w:tcW w:w="864"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-876,9 </w:t>
            </w:r>
          </w:p>
        </w:tc>
        <w:tc>
          <w:tcPr>
            <w:tcW w:w="863"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 xml:space="preserve">-563,8 </w:t>
            </w:r>
          </w:p>
        </w:tc>
      </w:tr>
      <w:tr w:rsidR="00C503FF" w:rsidRPr="006A6D52" w:rsidTr="00C503FF">
        <w:trPr>
          <w:trHeight w:val="20"/>
          <w:jc w:val="center"/>
        </w:trPr>
        <w:tc>
          <w:tcPr>
            <w:tcW w:w="2263" w:type="dxa"/>
            <w:shd w:val="clear" w:color="auto" w:fill="auto"/>
            <w:vAlign w:val="center"/>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 xml:space="preserve">     Centrālā valdība</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-526,5</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-1 907,7</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-983,4</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-762,1</w:t>
            </w:r>
          </w:p>
        </w:tc>
        <w:tc>
          <w:tcPr>
            <w:tcW w:w="851" w:type="dxa"/>
            <w:shd w:val="clear" w:color="auto" w:fill="auto"/>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-449,7</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-1 067,6</w:t>
            </w:r>
          </w:p>
        </w:tc>
        <w:tc>
          <w:tcPr>
            <w:tcW w:w="864"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-937,0</w:t>
            </w:r>
          </w:p>
        </w:tc>
        <w:tc>
          <w:tcPr>
            <w:tcW w:w="863"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-626,9</w:t>
            </w:r>
          </w:p>
        </w:tc>
      </w:tr>
      <w:tr w:rsidR="00C503FF" w:rsidRPr="006A6D52" w:rsidTr="00C503FF">
        <w:trPr>
          <w:trHeight w:val="20"/>
          <w:jc w:val="center"/>
        </w:trPr>
        <w:tc>
          <w:tcPr>
            <w:tcW w:w="2263" w:type="dxa"/>
            <w:shd w:val="clear" w:color="auto" w:fill="auto"/>
            <w:vAlign w:val="center"/>
          </w:tcPr>
          <w:p w:rsidR="00C503FF" w:rsidRPr="006A6D52" w:rsidRDefault="00C503FF" w:rsidP="00870F8E">
            <w:pPr>
              <w:spacing w:after="0"/>
              <w:ind w:firstLine="0"/>
              <w:contextualSpacing/>
              <w:jc w:val="right"/>
              <w:rPr>
                <w:bCs/>
                <w:i/>
                <w:color w:val="000000"/>
                <w:sz w:val="18"/>
                <w:szCs w:val="18"/>
                <w:lang w:eastAsia="lv-LV"/>
              </w:rPr>
            </w:pPr>
            <w:r w:rsidRPr="006A6D52">
              <w:rPr>
                <w:bCs/>
                <w:i/>
                <w:color w:val="000000"/>
                <w:sz w:val="18"/>
                <w:szCs w:val="18"/>
                <w:lang w:eastAsia="lv-LV"/>
              </w:rPr>
              <w:t>t.sk. komersanti</w:t>
            </w:r>
          </w:p>
        </w:tc>
        <w:tc>
          <w:tcPr>
            <w:tcW w:w="851"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-49,4</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-39,6</w:t>
            </w:r>
          </w:p>
        </w:tc>
        <w:tc>
          <w:tcPr>
            <w:tcW w:w="851"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-18,6</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-40,7</w:t>
            </w:r>
          </w:p>
        </w:tc>
        <w:tc>
          <w:tcPr>
            <w:tcW w:w="851" w:type="dxa"/>
            <w:shd w:val="clear" w:color="auto" w:fill="auto"/>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-41,7</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-58,0</w:t>
            </w:r>
          </w:p>
        </w:tc>
        <w:tc>
          <w:tcPr>
            <w:tcW w:w="864"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-79,7</w:t>
            </w:r>
          </w:p>
        </w:tc>
        <w:tc>
          <w:tcPr>
            <w:tcW w:w="863"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-61,4</w:t>
            </w:r>
          </w:p>
        </w:tc>
      </w:tr>
      <w:tr w:rsidR="00C503FF" w:rsidRPr="006A6D52" w:rsidTr="00C503FF">
        <w:trPr>
          <w:trHeight w:val="20"/>
          <w:jc w:val="center"/>
        </w:trPr>
        <w:tc>
          <w:tcPr>
            <w:tcW w:w="2263" w:type="dxa"/>
            <w:shd w:val="clear" w:color="auto" w:fill="auto"/>
            <w:vAlign w:val="center"/>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 xml:space="preserve">     Vietējā valdība</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179,9</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-79,7</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-63,5</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-80,4</w:t>
            </w:r>
          </w:p>
        </w:tc>
        <w:tc>
          <w:tcPr>
            <w:tcW w:w="851" w:type="dxa"/>
            <w:shd w:val="clear" w:color="auto" w:fill="auto"/>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-73,1</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-68,2</w:t>
            </w:r>
          </w:p>
        </w:tc>
        <w:tc>
          <w:tcPr>
            <w:tcW w:w="864"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-75,8</w:t>
            </w:r>
          </w:p>
        </w:tc>
        <w:tc>
          <w:tcPr>
            <w:tcW w:w="863"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-77,6</w:t>
            </w:r>
          </w:p>
        </w:tc>
      </w:tr>
      <w:tr w:rsidR="00C503FF" w:rsidRPr="006A6D52" w:rsidTr="00C503FF">
        <w:trPr>
          <w:trHeight w:val="20"/>
          <w:jc w:val="center"/>
        </w:trPr>
        <w:tc>
          <w:tcPr>
            <w:tcW w:w="2263" w:type="dxa"/>
            <w:shd w:val="clear" w:color="auto" w:fill="auto"/>
            <w:vAlign w:val="center"/>
          </w:tcPr>
          <w:p w:rsidR="00C503FF" w:rsidRPr="006A6D52" w:rsidRDefault="00C503FF" w:rsidP="00870F8E">
            <w:pPr>
              <w:spacing w:after="0"/>
              <w:ind w:firstLine="0"/>
              <w:contextualSpacing/>
              <w:jc w:val="right"/>
              <w:rPr>
                <w:b/>
                <w:bCs/>
                <w:color w:val="000000"/>
                <w:sz w:val="18"/>
                <w:szCs w:val="18"/>
                <w:lang w:eastAsia="lv-LV"/>
              </w:rPr>
            </w:pPr>
            <w:r w:rsidRPr="006A6D52">
              <w:rPr>
                <w:bCs/>
                <w:i/>
                <w:color w:val="000000"/>
                <w:sz w:val="18"/>
                <w:szCs w:val="18"/>
                <w:lang w:eastAsia="lv-LV"/>
              </w:rPr>
              <w:t>t.sk. komersanti</w:t>
            </w:r>
          </w:p>
        </w:tc>
        <w:tc>
          <w:tcPr>
            <w:tcW w:w="851"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33,2</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-18,8</w:t>
            </w:r>
          </w:p>
        </w:tc>
        <w:tc>
          <w:tcPr>
            <w:tcW w:w="851"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-12,6</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-7,9</w:t>
            </w:r>
          </w:p>
        </w:tc>
        <w:tc>
          <w:tcPr>
            <w:tcW w:w="851" w:type="dxa"/>
            <w:shd w:val="clear" w:color="auto" w:fill="auto"/>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17,0</w:t>
            </w:r>
          </w:p>
        </w:tc>
        <w:tc>
          <w:tcPr>
            <w:tcW w:w="850"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-12,6</w:t>
            </w:r>
          </w:p>
        </w:tc>
        <w:tc>
          <w:tcPr>
            <w:tcW w:w="864"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-7,9</w:t>
            </w:r>
          </w:p>
        </w:tc>
        <w:tc>
          <w:tcPr>
            <w:tcW w:w="863" w:type="dxa"/>
            <w:shd w:val="clear" w:color="auto" w:fill="auto"/>
            <w:noWrap/>
            <w:vAlign w:val="center"/>
          </w:tcPr>
          <w:p w:rsidR="00C503FF" w:rsidRPr="006A6D52" w:rsidRDefault="00C503FF" w:rsidP="00870F8E">
            <w:pPr>
              <w:spacing w:after="0"/>
              <w:ind w:firstLine="0"/>
              <w:contextualSpacing/>
              <w:jc w:val="right"/>
              <w:rPr>
                <w:bCs/>
                <w:sz w:val="18"/>
                <w:szCs w:val="18"/>
                <w:lang w:eastAsia="lv-LV"/>
              </w:rPr>
            </w:pPr>
            <w:r w:rsidRPr="006A6D52">
              <w:rPr>
                <w:bCs/>
                <w:sz w:val="18"/>
                <w:szCs w:val="18"/>
                <w:lang w:eastAsia="lv-LV"/>
              </w:rPr>
              <w:t>17,0</w:t>
            </w:r>
          </w:p>
        </w:tc>
      </w:tr>
      <w:tr w:rsidR="00C503FF" w:rsidRPr="006A6D52" w:rsidTr="00C503FF">
        <w:trPr>
          <w:trHeight w:val="20"/>
          <w:jc w:val="center"/>
        </w:trPr>
        <w:tc>
          <w:tcPr>
            <w:tcW w:w="2263" w:type="dxa"/>
            <w:shd w:val="clear" w:color="auto" w:fill="auto"/>
            <w:vAlign w:val="center"/>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 xml:space="preserve">     Sociālās nodrošināšanas fondi</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283,4</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-156,4</w:t>
            </w:r>
          </w:p>
        </w:tc>
        <w:tc>
          <w:tcPr>
            <w:tcW w:w="851"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-138,0</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-34,4</w:t>
            </w:r>
          </w:p>
        </w:tc>
        <w:tc>
          <w:tcPr>
            <w:tcW w:w="851" w:type="dxa"/>
            <w:shd w:val="clear" w:color="auto" w:fill="auto"/>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-40,9</w:t>
            </w:r>
          </w:p>
        </w:tc>
        <w:tc>
          <w:tcPr>
            <w:tcW w:w="850"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-49,1</w:t>
            </w:r>
          </w:p>
        </w:tc>
        <w:tc>
          <w:tcPr>
            <w:tcW w:w="864"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135,9</w:t>
            </w:r>
          </w:p>
        </w:tc>
        <w:tc>
          <w:tcPr>
            <w:tcW w:w="863" w:type="dxa"/>
            <w:shd w:val="clear" w:color="auto" w:fill="auto"/>
            <w:noWrap/>
            <w:vAlign w:val="center"/>
          </w:tcPr>
          <w:p w:rsidR="00C503FF" w:rsidRPr="006A6D52" w:rsidRDefault="00C503FF" w:rsidP="00870F8E">
            <w:pPr>
              <w:spacing w:after="0"/>
              <w:ind w:firstLine="0"/>
              <w:contextualSpacing/>
              <w:jc w:val="right"/>
              <w:rPr>
                <w:b/>
                <w:bCs/>
                <w:sz w:val="18"/>
                <w:szCs w:val="18"/>
                <w:lang w:eastAsia="lv-LV"/>
              </w:rPr>
            </w:pPr>
            <w:r w:rsidRPr="006A6D52">
              <w:rPr>
                <w:b/>
                <w:bCs/>
                <w:sz w:val="18"/>
                <w:szCs w:val="18"/>
                <w:lang w:eastAsia="lv-LV"/>
              </w:rPr>
              <w:t>140,8</w:t>
            </w:r>
          </w:p>
        </w:tc>
      </w:tr>
      <w:tr w:rsidR="00C503FF" w:rsidRPr="006A6D52" w:rsidTr="00C503FF">
        <w:trPr>
          <w:trHeight w:val="20"/>
          <w:jc w:val="center"/>
        </w:trPr>
        <w:tc>
          <w:tcPr>
            <w:tcW w:w="2263" w:type="dxa"/>
            <w:shd w:val="clear" w:color="auto" w:fill="auto"/>
            <w:noWrap/>
            <w:vAlign w:val="center"/>
            <w:hideMark/>
          </w:tcPr>
          <w:p w:rsidR="00C503FF" w:rsidRPr="006A6D52" w:rsidRDefault="00C503FF" w:rsidP="00870F8E">
            <w:pPr>
              <w:spacing w:after="0"/>
              <w:ind w:firstLine="0"/>
              <w:contextualSpacing/>
              <w:jc w:val="left"/>
              <w:rPr>
                <w:color w:val="000000"/>
                <w:sz w:val="18"/>
                <w:szCs w:val="18"/>
                <w:lang w:eastAsia="lv-LV"/>
              </w:rPr>
            </w:pPr>
            <w:r w:rsidRPr="006A6D52">
              <w:rPr>
                <w:color w:val="000000"/>
                <w:sz w:val="18"/>
                <w:szCs w:val="18"/>
                <w:lang w:eastAsia="lv-LV"/>
              </w:rPr>
              <w:t>EKS korekcijas</w:t>
            </w:r>
          </w:p>
        </w:tc>
        <w:tc>
          <w:tcPr>
            <w:tcW w:w="851" w:type="dxa"/>
            <w:shd w:val="clear" w:color="auto" w:fill="auto"/>
            <w:noWrap/>
            <w:vAlign w:val="center"/>
            <w:hideMark/>
          </w:tcPr>
          <w:p w:rsidR="00C503FF" w:rsidRPr="006A6D52" w:rsidRDefault="00C503FF" w:rsidP="00870F8E">
            <w:pPr>
              <w:spacing w:after="0"/>
              <w:ind w:firstLine="0"/>
              <w:contextualSpacing/>
              <w:jc w:val="right"/>
              <w:rPr>
                <w:color w:val="FF0000"/>
                <w:sz w:val="18"/>
                <w:szCs w:val="18"/>
                <w:lang w:eastAsia="lv-LV"/>
              </w:rPr>
            </w:pPr>
            <w:r w:rsidRPr="006A6D52">
              <w:rPr>
                <w:sz w:val="18"/>
                <w:szCs w:val="44"/>
              </w:rPr>
              <w:t>54,4</w:t>
            </w:r>
          </w:p>
        </w:tc>
        <w:tc>
          <w:tcPr>
            <w:tcW w:w="850" w:type="dxa"/>
            <w:shd w:val="clear" w:color="auto" w:fill="auto"/>
            <w:noWrap/>
            <w:vAlign w:val="center"/>
            <w:hideMark/>
          </w:tcPr>
          <w:p w:rsidR="00C503FF" w:rsidRPr="006A6D52" w:rsidRDefault="00C503FF" w:rsidP="00870F8E">
            <w:pPr>
              <w:spacing w:after="0"/>
              <w:ind w:firstLine="0"/>
              <w:jc w:val="right"/>
              <w:rPr>
                <w:sz w:val="18"/>
                <w:szCs w:val="44"/>
                <w:lang w:eastAsia="lv-LV"/>
              </w:rPr>
            </w:pPr>
            <w:r w:rsidRPr="006A6D52">
              <w:rPr>
                <w:sz w:val="18"/>
                <w:szCs w:val="44"/>
              </w:rPr>
              <w:t>-361,0</w:t>
            </w:r>
          </w:p>
        </w:tc>
        <w:tc>
          <w:tcPr>
            <w:tcW w:w="851" w:type="dxa"/>
            <w:shd w:val="clear" w:color="auto" w:fill="auto"/>
            <w:noWrap/>
            <w:vAlign w:val="center"/>
            <w:hideMark/>
          </w:tcPr>
          <w:p w:rsidR="00C503FF" w:rsidRPr="006A6D52" w:rsidRDefault="00C503FF" w:rsidP="00870F8E">
            <w:pPr>
              <w:spacing w:after="0"/>
              <w:ind w:firstLine="0"/>
              <w:jc w:val="right"/>
              <w:rPr>
                <w:sz w:val="18"/>
                <w:szCs w:val="44"/>
                <w:lang w:eastAsia="lv-LV"/>
              </w:rPr>
            </w:pPr>
            <w:r w:rsidRPr="006A6D52">
              <w:rPr>
                <w:sz w:val="18"/>
                <w:szCs w:val="44"/>
              </w:rPr>
              <w:t>115,5</w:t>
            </w:r>
          </w:p>
        </w:tc>
        <w:tc>
          <w:tcPr>
            <w:tcW w:w="850" w:type="dxa"/>
            <w:shd w:val="clear" w:color="auto" w:fill="auto"/>
            <w:noWrap/>
            <w:vAlign w:val="center"/>
            <w:hideMark/>
          </w:tcPr>
          <w:p w:rsidR="00C503FF" w:rsidRPr="006A6D52" w:rsidRDefault="00C503FF" w:rsidP="00870F8E">
            <w:pPr>
              <w:spacing w:after="0"/>
              <w:ind w:firstLine="0"/>
              <w:jc w:val="right"/>
              <w:rPr>
                <w:sz w:val="18"/>
                <w:szCs w:val="44"/>
                <w:lang w:eastAsia="lv-LV"/>
              </w:rPr>
            </w:pPr>
            <w:r w:rsidRPr="006A6D52">
              <w:rPr>
                <w:sz w:val="18"/>
                <w:szCs w:val="44"/>
              </w:rPr>
              <w:t>-10,3</w:t>
            </w:r>
          </w:p>
        </w:tc>
        <w:tc>
          <w:tcPr>
            <w:tcW w:w="851" w:type="dxa"/>
            <w:shd w:val="clear" w:color="auto" w:fill="auto"/>
            <w:vAlign w:val="center"/>
          </w:tcPr>
          <w:p w:rsidR="00C503FF" w:rsidRPr="006A6D52" w:rsidRDefault="00C503FF" w:rsidP="00870F8E">
            <w:pPr>
              <w:spacing w:after="0"/>
              <w:ind w:firstLine="0"/>
              <w:jc w:val="right"/>
              <w:rPr>
                <w:sz w:val="18"/>
                <w:szCs w:val="44"/>
                <w:lang w:eastAsia="lv-LV"/>
              </w:rPr>
            </w:pPr>
            <w:r w:rsidRPr="006A6D52">
              <w:rPr>
                <w:sz w:val="18"/>
                <w:szCs w:val="44"/>
              </w:rPr>
              <w:t>-232,0</w:t>
            </w:r>
          </w:p>
        </w:tc>
        <w:tc>
          <w:tcPr>
            <w:tcW w:w="850" w:type="dxa"/>
            <w:shd w:val="clear" w:color="auto" w:fill="auto"/>
            <w:noWrap/>
            <w:vAlign w:val="center"/>
            <w:hideMark/>
          </w:tcPr>
          <w:p w:rsidR="00C503FF" w:rsidRPr="006A6D52" w:rsidRDefault="00C503FF" w:rsidP="00870F8E">
            <w:pPr>
              <w:spacing w:after="0"/>
              <w:ind w:firstLine="0"/>
              <w:contextualSpacing/>
              <w:jc w:val="right"/>
              <w:rPr>
                <w:color w:val="FF0000"/>
                <w:sz w:val="18"/>
                <w:szCs w:val="18"/>
                <w:lang w:eastAsia="lv-LV"/>
              </w:rPr>
            </w:pPr>
            <w:r w:rsidRPr="006A6D52">
              <w:rPr>
                <w:sz w:val="18"/>
                <w:szCs w:val="44"/>
              </w:rPr>
              <w:t>81,1</w:t>
            </w:r>
          </w:p>
        </w:tc>
        <w:tc>
          <w:tcPr>
            <w:tcW w:w="864" w:type="dxa"/>
            <w:shd w:val="clear" w:color="auto" w:fill="auto"/>
            <w:noWrap/>
            <w:vAlign w:val="center"/>
            <w:hideMark/>
          </w:tcPr>
          <w:p w:rsidR="00C503FF" w:rsidRPr="006A6D52" w:rsidRDefault="00C503FF" w:rsidP="00870F8E">
            <w:pPr>
              <w:spacing w:after="0"/>
              <w:ind w:firstLine="0"/>
              <w:jc w:val="right"/>
              <w:rPr>
                <w:sz w:val="18"/>
                <w:szCs w:val="44"/>
                <w:lang w:eastAsia="lv-LV"/>
              </w:rPr>
            </w:pPr>
            <w:r w:rsidRPr="006A6D52">
              <w:rPr>
                <w:sz w:val="18"/>
                <w:szCs w:val="44"/>
              </w:rPr>
              <w:t>-47,0</w:t>
            </w:r>
          </w:p>
        </w:tc>
        <w:tc>
          <w:tcPr>
            <w:tcW w:w="863" w:type="dxa"/>
            <w:shd w:val="clear" w:color="auto" w:fill="auto"/>
            <w:noWrap/>
            <w:vAlign w:val="center"/>
            <w:hideMark/>
          </w:tcPr>
          <w:p w:rsidR="00C503FF" w:rsidRPr="006A6D52" w:rsidRDefault="00C503FF" w:rsidP="00870F8E">
            <w:pPr>
              <w:spacing w:after="0"/>
              <w:ind w:firstLine="0"/>
              <w:jc w:val="right"/>
              <w:rPr>
                <w:sz w:val="18"/>
                <w:szCs w:val="44"/>
                <w:lang w:eastAsia="lv-LV"/>
              </w:rPr>
            </w:pPr>
            <w:r w:rsidRPr="006A6D52">
              <w:rPr>
                <w:sz w:val="18"/>
                <w:szCs w:val="44"/>
              </w:rPr>
              <w:t>-250,2</w:t>
            </w:r>
          </w:p>
        </w:tc>
      </w:tr>
      <w:tr w:rsidR="00C503FF" w:rsidRPr="0026061A" w:rsidTr="00C503FF">
        <w:trPr>
          <w:trHeight w:val="20"/>
          <w:jc w:val="center"/>
        </w:trPr>
        <w:tc>
          <w:tcPr>
            <w:tcW w:w="2263" w:type="dxa"/>
            <w:shd w:val="clear" w:color="auto" w:fill="auto"/>
            <w:vAlign w:val="center"/>
            <w:hideMark/>
          </w:tcPr>
          <w:p w:rsidR="00C503FF" w:rsidRPr="006A6D52" w:rsidRDefault="00C503FF" w:rsidP="00870F8E">
            <w:pPr>
              <w:spacing w:after="0"/>
              <w:ind w:firstLine="0"/>
              <w:contextualSpacing/>
              <w:jc w:val="left"/>
              <w:rPr>
                <w:b/>
                <w:bCs/>
                <w:color w:val="000000"/>
                <w:sz w:val="18"/>
                <w:szCs w:val="18"/>
                <w:lang w:eastAsia="lv-LV"/>
              </w:rPr>
            </w:pPr>
            <w:r w:rsidRPr="006A6D52">
              <w:rPr>
                <w:b/>
                <w:bCs/>
                <w:color w:val="000000"/>
                <w:sz w:val="18"/>
                <w:szCs w:val="18"/>
                <w:lang w:eastAsia="lv-LV"/>
              </w:rPr>
              <w:t>KOPBUDŽETA BILANCE</w:t>
            </w:r>
          </w:p>
        </w:tc>
        <w:tc>
          <w:tcPr>
            <w:tcW w:w="851"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-117,6</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-1 782,8</w:t>
            </w:r>
          </w:p>
        </w:tc>
        <w:tc>
          <w:tcPr>
            <w:tcW w:w="851"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-1 300,5</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-866,6</w:t>
            </w:r>
          </w:p>
        </w:tc>
        <w:tc>
          <w:tcPr>
            <w:tcW w:w="851" w:type="dxa"/>
            <w:shd w:val="clear" w:color="auto" w:fill="auto"/>
            <w:vAlign w:val="center"/>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-331,7</w:t>
            </w:r>
          </w:p>
        </w:tc>
        <w:tc>
          <w:tcPr>
            <w:tcW w:w="850"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-1 266,0</w:t>
            </w:r>
          </w:p>
        </w:tc>
        <w:tc>
          <w:tcPr>
            <w:tcW w:w="864" w:type="dxa"/>
            <w:shd w:val="clear" w:color="auto" w:fill="auto"/>
            <w:noWrap/>
            <w:vAlign w:val="center"/>
            <w:hideMark/>
          </w:tcPr>
          <w:p w:rsidR="00C503FF" w:rsidRPr="006A6D52" w:rsidRDefault="00C503FF" w:rsidP="00870F8E">
            <w:pPr>
              <w:spacing w:after="0"/>
              <w:ind w:firstLine="0"/>
              <w:contextualSpacing/>
              <w:jc w:val="right"/>
              <w:rPr>
                <w:b/>
                <w:bCs/>
                <w:color w:val="FF0000"/>
                <w:sz w:val="18"/>
                <w:szCs w:val="18"/>
                <w:lang w:eastAsia="lv-LV"/>
              </w:rPr>
            </w:pPr>
            <w:r w:rsidRPr="006A6D52">
              <w:rPr>
                <w:b/>
                <w:bCs/>
                <w:sz w:val="18"/>
                <w:szCs w:val="44"/>
              </w:rPr>
              <w:t>-829,8</w:t>
            </w:r>
          </w:p>
        </w:tc>
        <w:tc>
          <w:tcPr>
            <w:tcW w:w="863" w:type="dxa"/>
            <w:shd w:val="clear" w:color="auto" w:fill="auto"/>
            <w:noWrap/>
            <w:vAlign w:val="center"/>
            <w:hideMark/>
          </w:tcPr>
          <w:p w:rsidR="00C503FF" w:rsidRPr="000A76B3" w:rsidRDefault="00C503FF" w:rsidP="00870F8E">
            <w:pPr>
              <w:spacing w:after="0"/>
              <w:ind w:firstLine="0"/>
              <w:contextualSpacing/>
              <w:jc w:val="right"/>
              <w:rPr>
                <w:b/>
                <w:bCs/>
                <w:color w:val="FF0000"/>
                <w:sz w:val="18"/>
                <w:szCs w:val="18"/>
                <w:lang w:eastAsia="lv-LV"/>
              </w:rPr>
            </w:pPr>
            <w:r w:rsidRPr="006A6D52">
              <w:rPr>
                <w:b/>
                <w:bCs/>
                <w:sz w:val="18"/>
                <w:szCs w:val="44"/>
              </w:rPr>
              <w:t>-313,6</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100" w:firstLine="180"/>
              <w:contextualSpacing/>
              <w:jc w:val="left"/>
              <w:rPr>
                <w:color w:val="000000"/>
                <w:sz w:val="18"/>
                <w:szCs w:val="18"/>
                <w:lang w:eastAsia="lv-LV"/>
              </w:rPr>
            </w:pPr>
            <w:r w:rsidRPr="007333CF">
              <w:rPr>
                <w:color w:val="000000"/>
                <w:sz w:val="18"/>
                <w:szCs w:val="18"/>
                <w:lang w:eastAsia="lv-LV"/>
              </w:rPr>
              <w:t>Ieņēmumi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11 414,4</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10 988,1</w:t>
            </w:r>
          </w:p>
        </w:tc>
        <w:tc>
          <w:tcPr>
            <w:tcW w:w="851" w:type="dxa"/>
            <w:shd w:val="clear" w:color="auto" w:fill="auto"/>
            <w:noWrap/>
            <w:vAlign w:val="center"/>
            <w:hideMark/>
          </w:tcPr>
          <w:p w:rsidR="00C503FF" w:rsidRPr="000A76B3" w:rsidRDefault="00C503FF" w:rsidP="00870F8E">
            <w:pPr>
              <w:spacing w:after="0"/>
              <w:ind w:firstLine="0"/>
              <w:contextualSpacing/>
              <w:rPr>
                <w:color w:val="FF0000"/>
                <w:sz w:val="18"/>
                <w:szCs w:val="18"/>
                <w:highlight w:val="yellow"/>
                <w:lang w:eastAsia="lv-LV"/>
              </w:rPr>
            </w:pPr>
            <w:r w:rsidRPr="000A76B3">
              <w:rPr>
                <w:sz w:val="18"/>
                <w:szCs w:val="44"/>
              </w:rPr>
              <w:t>11 270,8</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12 047,6</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12 597,4</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11 499,3</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12 342,4</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12 890,6</w:t>
            </w:r>
          </w:p>
        </w:tc>
      </w:tr>
      <w:tr w:rsidR="00C503FF" w:rsidRPr="0026061A" w:rsidTr="00C503FF">
        <w:trPr>
          <w:trHeight w:val="20"/>
          <w:jc w:val="center"/>
        </w:trPr>
        <w:tc>
          <w:tcPr>
            <w:tcW w:w="2263" w:type="dxa"/>
            <w:shd w:val="clear" w:color="auto" w:fill="auto"/>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Nodokļu ieņēmumi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9 057,3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8 665,7</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9 205,9</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9 764,9</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10 277,2</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9 340,5</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9 986,9</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10 510,3</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Ne-nodokļu ieņēmumi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641,3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648,9</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471,0</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462,5</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468,5</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564,9</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536,0</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529,7</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Pašu ieņēmumi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390,0</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362,0</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370,2</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368,0</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371,9</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369,1</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367,0</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370,9</w:t>
            </w:r>
          </w:p>
        </w:tc>
      </w:tr>
      <w:tr w:rsidR="00C503FF" w:rsidRPr="0026061A" w:rsidTr="00C503FF">
        <w:trPr>
          <w:trHeight w:val="20"/>
          <w:jc w:val="center"/>
        </w:trPr>
        <w:tc>
          <w:tcPr>
            <w:tcW w:w="2263" w:type="dxa"/>
            <w:shd w:val="clear" w:color="auto" w:fill="auto"/>
            <w:vAlign w:val="center"/>
            <w:hideMark/>
          </w:tcPr>
          <w:p w:rsidR="00C503FF" w:rsidRPr="007333CF" w:rsidRDefault="00C503FF" w:rsidP="00870F8E">
            <w:pPr>
              <w:spacing w:after="0"/>
              <w:ind w:firstLine="0"/>
              <w:contextualSpacing/>
              <w:jc w:val="left"/>
              <w:rPr>
                <w:color w:val="000000"/>
                <w:sz w:val="18"/>
                <w:szCs w:val="18"/>
                <w:lang w:eastAsia="lv-LV"/>
              </w:rPr>
            </w:pPr>
            <w:r>
              <w:rPr>
                <w:color w:val="000000"/>
                <w:sz w:val="18"/>
                <w:szCs w:val="18"/>
                <w:lang w:eastAsia="lv-LV"/>
              </w:rPr>
              <w:t xml:space="preserve">      </w:t>
            </w:r>
            <w:r w:rsidRPr="007333CF">
              <w:rPr>
                <w:color w:val="000000"/>
                <w:sz w:val="18"/>
                <w:szCs w:val="18"/>
                <w:lang w:eastAsia="lv-LV"/>
              </w:rPr>
              <w:t>Ārvalstu finanšu</w:t>
            </w:r>
            <w:r>
              <w:rPr>
                <w:color w:val="000000"/>
                <w:sz w:val="18"/>
                <w:szCs w:val="18"/>
                <w:lang w:eastAsia="lv-LV"/>
              </w:rPr>
              <w:t xml:space="preserve"> </w:t>
            </w:r>
            <w:r w:rsidRPr="007333CF">
              <w:rPr>
                <w:color w:val="000000"/>
                <w:sz w:val="18"/>
                <w:szCs w:val="18"/>
                <w:lang w:eastAsia="lv-LV"/>
              </w:rPr>
              <w:t>palīdzība</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1 320,5</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1 310,3</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1 221,3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1 449,6</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1 477,2</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1 222,3</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1 450,0</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1 477,2</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Pārējie ieņēmumi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5,2</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1,2</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2,5</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2,5</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2,5</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2,5</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2,5</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2,5</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100" w:firstLine="180"/>
              <w:contextualSpacing/>
              <w:jc w:val="left"/>
              <w:rPr>
                <w:color w:val="000000"/>
                <w:sz w:val="18"/>
                <w:szCs w:val="18"/>
                <w:lang w:eastAsia="lv-LV"/>
              </w:rPr>
            </w:pPr>
            <w:r w:rsidRPr="007333CF">
              <w:rPr>
                <w:color w:val="000000"/>
                <w:sz w:val="18"/>
                <w:szCs w:val="18"/>
                <w:lang w:eastAsia="lv-LV"/>
              </w:rPr>
              <w:t>Izdevumi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11 532,0</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12 770,9</w:t>
            </w:r>
          </w:p>
        </w:tc>
        <w:tc>
          <w:tcPr>
            <w:tcW w:w="851" w:type="dxa"/>
            <w:shd w:val="clear" w:color="auto" w:fill="auto"/>
            <w:noWrap/>
            <w:vAlign w:val="center"/>
            <w:hideMark/>
          </w:tcPr>
          <w:p w:rsidR="00C503FF" w:rsidRPr="000A76B3" w:rsidRDefault="00C503FF" w:rsidP="00870F8E">
            <w:pPr>
              <w:spacing w:after="0"/>
              <w:ind w:firstLine="0"/>
              <w:contextualSpacing/>
              <w:rPr>
                <w:color w:val="FF0000"/>
                <w:sz w:val="18"/>
                <w:szCs w:val="18"/>
                <w:highlight w:val="yellow"/>
                <w:lang w:eastAsia="lv-LV"/>
              </w:rPr>
            </w:pPr>
            <w:r w:rsidRPr="000A76B3">
              <w:rPr>
                <w:sz w:val="18"/>
                <w:szCs w:val="44"/>
              </w:rPr>
              <w:t>12 571,3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12 914,1</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12 929,1</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12 765,3</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13 172,2</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13 204,2</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Atlīdzība</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2 611,9</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2 694,9</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2 729,3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2 771,8</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2 820,0</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2 811,8</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2 864,9</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2 913,5</w:t>
            </w:r>
          </w:p>
        </w:tc>
      </w:tr>
      <w:tr w:rsidR="00C503FF" w:rsidRPr="0026061A" w:rsidTr="00C503FF">
        <w:trPr>
          <w:trHeight w:val="20"/>
          <w:jc w:val="center"/>
        </w:trPr>
        <w:tc>
          <w:tcPr>
            <w:tcW w:w="2263" w:type="dxa"/>
            <w:shd w:val="clear" w:color="auto" w:fill="auto"/>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Preces un pakalpojumi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1 509,7</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1 549,7</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1 590,6</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1 565,1</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1 519,9</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1 597,5</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1 550,5</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1 566,9</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Procentu izdevumi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263,1</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263,2</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291,3</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264,2</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261,9</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268,5</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242,2</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239,9</w:t>
            </w:r>
          </w:p>
        </w:tc>
      </w:tr>
      <w:tr w:rsidR="00C503FF" w:rsidRPr="0026061A" w:rsidTr="00C503FF">
        <w:trPr>
          <w:trHeight w:val="20"/>
          <w:jc w:val="center"/>
        </w:trPr>
        <w:tc>
          <w:tcPr>
            <w:tcW w:w="2263" w:type="dxa"/>
            <w:shd w:val="clear" w:color="auto" w:fill="auto"/>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Subsīdijas un dotācijas</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2 329,4</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2 898,2</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2 764,4</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2 897,7</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2 913,1</w:t>
            </w:r>
          </w:p>
        </w:tc>
        <w:tc>
          <w:tcPr>
            <w:tcW w:w="850"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2 905,0</w:t>
            </w:r>
          </w:p>
        </w:tc>
        <w:tc>
          <w:tcPr>
            <w:tcW w:w="864"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3 095,9</w:t>
            </w:r>
          </w:p>
        </w:tc>
        <w:tc>
          <w:tcPr>
            <w:tcW w:w="863" w:type="dxa"/>
            <w:shd w:val="clear" w:color="auto" w:fill="auto"/>
            <w:noWrap/>
            <w:vAlign w:val="center"/>
            <w:hideMark/>
          </w:tcPr>
          <w:p w:rsidR="00C503FF" w:rsidRPr="00C503FF" w:rsidRDefault="00C503FF" w:rsidP="00870F8E">
            <w:pPr>
              <w:spacing w:after="0"/>
              <w:ind w:firstLine="0"/>
              <w:contextualSpacing/>
              <w:jc w:val="right"/>
              <w:rPr>
                <w:color w:val="FF0000"/>
                <w:sz w:val="18"/>
                <w:szCs w:val="18"/>
                <w:lang w:eastAsia="lv-LV"/>
              </w:rPr>
            </w:pPr>
            <w:r w:rsidRPr="00C503FF">
              <w:rPr>
                <w:sz w:val="18"/>
                <w:szCs w:val="44"/>
              </w:rPr>
              <w:t>3 111,5</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Sociālie pabalsti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3 259,9</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3 749,4</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3 710,6</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3 786,0</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3 953,9</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3 764,4</w:t>
            </w:r>
          </w:p>
        </w:tc>
        <w:tc>
          <w:tcPr>
            <w:tcW w:w="864"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3 827,6</w:t>
            </w:r>
          </w:p>
        </w:tc>
        <w:tc>
          <w:tcPr>
            <w:tcW w:w="863"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3 994,4</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Kapitālie izdevumi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1 209,4</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1 253,4</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1 083,9</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1 224,9</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1 051,8</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1 017,5</w:t>
            </w:r>
          </w:p>
        </w:tc>
        <w:tc>
          <w:tcPr>
            <w:tcW w:w="864"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1 187,5</w:t>
            </w:r>
          </w:p>
        </w:tc>
        <w:tc>
          <w:tcPr>
            <w:tcW w:w="863"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970,5</w:t>
            </w:r>
          </w:p>
        </w:tc>
      </w:tr>
      <w:tr w:rsidR="00C503FF" w:rsidRPr="0026061A" w:rsidTr="00C503FF">
        <w:trPr>
          <w:trHeight w:val="20"/>
          <w:jc w:val="center"/>
        </w:trPr>
        <w:tc>
          <w:tcPr>
            <w:tcW w:w="2263" w:type="dxa"/>
            <w:shd w:val="clear" w:color="auto" w:fill="auto"/>
            <w:noWrap/>
            <w:vAlign w:val="center"/>
            <w:hideMark/>
          </w:tcPr>
          <w:p w:rsidR="00C503FF" w:rsidRPr="007333CF" w:rsidRDefault="00C503FF" w:rsidP="00870F8E">
            <w:pPr>
              <w:spacing w:after="0"/>
              <w:ind w:firstLineChars="200" w:firstLine="360"/>
              <w:contextualSpacing/>
              <w:jc w:val="left"/>
              <w:rPr>
                <w:color w:val="000000"/>
                <w:sz w:val="18"/>
                <w:szCs w:val="18"/>
                <w:lang w:eastAsia="lv-LV"/>
              </w:rPr>
            </w:pPr>
            <w:r w:rsidRPr="007333CF">
              <w:rPr>
                <w:color w:val="000000"/>
                <w:sz w:val="18"/>
                <w:szCs w:val="18"/>
                <w:lang w:eastAsia="lv-LV"/>
              </w:rPr>
              <w:t>Pārējie izdevumi</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348,6</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lang w:eastAsia="lv-LV"/>
              </w:rPr>
            </w:pPr>
            <w:r w:rsidRPr="000A76B3">
              <w:rPr>
                <w:sz w:val="18"/>
                <w:szCs w:val="44"/>
              </w:rPr>
              <w:t>362,1</w:t>
            </w:r>
          </w:p>
        </w:tc>
        <w:tc>
          <w:tcPr>
            <w:tcW w:w="851"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401,1</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404,4</w:t>
            </w:r>
          </w:p>
        </w:tc>
        <w:tc>
          <w:tcPr>
            <w:tcW w:w="851" w:type="dxa"/>
            <w:vAlign w:val="center"/>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408,5</w:t>
            </w:r>
          </w:p>
        </w:tc>
        <w:tc>
          <w:tcPr>
            <w:tcW w:w="850"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400,5</w:t>
            </w:r>
          </w:p>
        </w:tc>
        <w:tc>
          <w:tcPr>
            <w:tcW w:w="864"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403,5</w:t>
            </w:r>
          </w:p>
        </w:tc>
        <w:tc>
          <w:tcPr>
            <w:tcW w:w="863" w:type="dxa"/>
            <w:shd w:val="clear" w:color="auto" w:fill="auto"/>
            <w:noWrap/>
            <w:vAlign w:val="center"/>
            <w:hideMark/>
          </w:tcPr>
          <w:p w:rsidR="00C503FF" w:rsidRPr="000A76B3" w:rsidRDefault="00C503FF" w:rsidP="00870F8E">
            <w:pPr>
              <w:spacing w:after="0"/>
              <w:ind w:firstLine="0"/>
              <w:contextualSpacing/>
              <w:jc w:val="right"/>
              <w:rPr>
                <w:color w:val="FF0000"/>
                <w:sz w:val="18"/>
                <w:szCs w:val="18"/>
                <w:highlight w:val="yellow"/>
                <w:lang w:eastAsia="lv-LV"/>
              </w:rPr>
            </w:pPr>
            <w:r w:rsidRPr="000A76B3">
              <w:rPr>
                <w:sz w:val="18"/>
                <w:szCs w:val="44"/>
              </w:rPr>
              <w:t>407,5</w:t>
            </w:r>
          </w:p>
        </w:tc>
      </w:tr>
    </w:tbl>
    <w:p w:rsidR="0090538F" w:rsidRPr="00234A3D" w:rsidRDefault="0090538F" w:rsidP="0090538F">
      <w:pPr>
        <w:spacing w:before="120" w:after="0"/>
        <w:ind w:firstLine="0"/>
        <w:rPr>
          <w:color w:val="000000" w:themeColor="text1"/>
          <w:sz w:val="17"/>
          <w:szCs w:val="17"/>
        </w:rPr>
      </w:pPr>
      <w:r w:rsidRPr="00234A3D">
        <w:rPr>
          <w:color w:val="000000" w:themeColor="text1"/>
          <w:sz w:val="17"/>
          <w:szCs w:val="17"/>
        </w:rPr>
        <w:t>* Atbilstoši 2020.</w:t>
      </w:r>
      <w:r>
        <w:rPr>
          <w:color w:val="000000" w:themeColor="text1"/>
          <w:sz w:val="17"/>
          <w:szCs w:val="17"/>
        </w:rPr>
        <w:t xml:space="preserve"> </w:t>
      </w:r>
      <w:r w:rsidRPr="00234A3D">
        <w:rPr>
          <w:color w:val="000000" w:themeColor="text1"/>
          <w:sz w:val="17"/>
          <w:szCs w:val="17"/>
        </w:rPr>
        <w:t>gada aprīļa notifikācijas datiem</w:t>
      </w:r>
      <w:r>
        <w:rPr>
          <w:color w:val="000000" w:themeColor="text1"/>
          <w:sz w:val="17"/>
          <w:szCs w:val="17"/>
        </w:rPr>
        <w:t>, tai skaitā kopbudžeta izpilde atbilstoši Valsts kases oficiālajam mēneša pārskatam par 2019. gada janvāri-decembri.</w:t>
      </w:r>
    </w:p>
    <w:p w:rsidR="0090538F" w:rsidRPr="0090538F" w:rsidRDefault="0090538F" w:rsidP="0090538F">
      <w:pPr>
        <w:spacing w:before="120"/>
        <w:ind w:firstLine="720"/>
        <w:rPr>
          <w:color w:val="000000" w:themeColor="text1"/>
          <w:szCs w:val="28"/>
        </w:rPr>
      </w:pPr>
      <w:r w:rsidRPr="0090538F">
        <w:rPr>
          <w:color w:val="000000" w:themeColor="text1"/>
          <w:szCs w:val="28"/>
        </w:rPr>
        <w:t xml:space="preserve">Pilnos faktiskos datus CSP par vispārējās valdības budžeta deficītu 2020. gadā publicēs 2021. gada aprīlī, sagatavojot un iesniedzot </w:t>
      </w:r>
      <w:r w:rsidRPr="0090538F">
        <w:rPr>
          <w:i/>
          <w:noProof/>
          <w:color w:val="000000" w:themeColor="text1"/>
          <w:szCs w:val="28"/>
        </w:rPr>
        <w:t>Eurostat</w:t>
      </w:r>
      <w:r w:rsidRPr="0090538F">
        <w:rPr>
          <w:color w:val="000000" w:themeColor="text1"/>
          <w:szCs w:val="28"/>
        </w:rPr>
        <w:t xml:space="preserve"> vispārējās valdības budžeta deficīta un parāda notifikāciju. Tad būs apkopoti visi vispārējās valdības sektora darījumi, tai skaitā vispārējās valdības komersantu darbības rezultāti, kā arī dati par kopbudžetā uzkrātajām saistībām un prasībām.</w:t>
      </w:r>
    </w:p>
    <w:p w:rsidR="0090538F" w:rsidRPr="0090538F" w:rsidRDefault="0090538F" w:rsidP="0090538F">
      <w:pPr>
        <w:rPr>
          <w:color w:val="000000" w:themeColor="text1"/>
          <w:szCs w:val="28"/>
        </w:rPr>
      </w:pPr>
      <w:r w:rsidRPr="0090538F">
        <w:rPr>
          <w:b/>
          <w:color w:val="000000" w:themeColor="text1"/>
          <w:szCs w:val="28"/>
        </w:rPr>
        <w:t>Vidēja termiņa</w:t>
      </w:r>
      <w:r w:rsidRPr="0090538F">
        <w:rPr>
          <w:color w:val="000000" w:themeColor="text1"/>
          <w:szCs w:val="28"/>
        </w:rPr>
        <w:t xml:space="preserve"> vispārējās valdības budžeta prognožu pamatā ir 2020. gada jūnijā sagatavotais makroekonomiskās attīstības scenārijs, aktualizētie nodokļu ieņēmumi un izdevumi, kā arī valdības pieņemtie lēmumi, tostarp turpinot atbalsta pasākumu finansēšanu Covid-19 krīzes pārvarēšanai 2021. gadā. Tāpat tika ņemta vērā pašvaldību un citu atvasināto publisko personu budžetu iespējamā attīstība turpmākajos gados.</w:t>
      </w:r>
    </w:p>
    <w:p w:rsidR="0090538F" w:rsidRPr="0090538F" w:rsidRDefault="0090538F" w:rsidP="0090538F">
      <w:pPr>
        <w:rPr>
          <w:color w:val="000000" w:themeColor="text1"/>
          <w:szCs w:val="28"/>
        </w:rPr>
      </w:pPr>
      <w:r w:rsidRPr="0090538F">
        <w:rPr>
          <w:color w:val="000000" w:themeColor="text1"/>
          <w:szCs w:val="28"/>
        </w:rPr>
        <w:t>Tiek prognozēts, ka 2021. gadā nodokļu ieņēmumu pieaugums atjaunosies un pieaugums būs vērojams visā vidējā termiņā.  Ieņēmumu pieaugumu sekmēs gan sagaidāmais ekonomiskās aktivitātes pieaugums, gan arī tādi valdības apstiprinātie pasākumi kā minimālās algas celšana 2021. gadā līdz 500 </w:t>
      </w:r>
      <w:proofErr w:type="spellStart"/>
      <w:r w:rsidRPr="0090538F">
        <w:rPr>
          <w:i/>
          <w:color w:val="000000" w:themeColor="text1"/>
          <w:szCs w:val="28"/>
        </w:rPr>
        <w:t>euro</w:t>
      </w:r>
      <w:proofErr w:type="spellEnd"/>
      <w:r w:rsidRPr="0090538F">
        <w:rPr>
          <w:color w:val="000000" w:themeColor="text1"/>
          <w:szCs w:val="28"/>
        </w:rPr>
        <w:t>, minimālā VSAOI objekta ieviešana ar 2021. gada 1.jūliju, atgriezeniskais efekts no atlīdzības palielināšanas ārstniecības personām, pedagogiem 5-6 gadīgo izglītībā un vispārējā izglītībā, kā arī akadēmiskajam personālam augstskolās.  2021. gada vispārējās valdības budžetā ir nozīmīgā apjomā ieplānots finansējuma pieaugums Satversmes tiesas spriedumu izpildei labklājības jomā minimālo pensiju un valsts sociālā nodrošinājuma pabalsta paaugstināšanai, garantētā minimālā ienākuma (GMI) un mājokļa pabalsta finansēšanai, kā arī sociālo garantiju palielināšanai bāreņiem un bez vecāku gādības palikušiem bērniem.</w:t>
      </w:r>
    </w:p>
    <w:p w:rsidR="0090538F" w:rsidRPr="0090538F" w:rsidRDefault="0090538F" w:rsidP="0090538F">
      <w:pPr>
        <w:spacing w:before="240"/>
        <w:rPr>
          <w:szCs w:val="28"/>
        </w:rPr>
      </w:pPr>
      <w:r w:rsidRPr="0090538F">
        <w:rPr>
          <w:b/>
          <w:szCs w:val="28"/>
        </w:rPr>
        <w:lastRenderedPageBreak/>
        <w:t>Valsts budžets</w:t>
      </w:r>
    </w:p>
    <w:p w:rsidR="0090538F" w:rsidRPr="0090538F" w:rsidRDefault="0090538F" w:rsidP="0090538F">
      <w:pPr>
        <w:rPr>
          <w:noProof/>
          <w:szCs w:val="28"/>
        </w:rPr>
      </w:pPr>
      <w:r w:rsidRPr="0090538F">
        <w:rPr>
          <w:szCs w:val="28"/>
        </w:rPr>
        <w:t xml:space="preserve">2020. gadā </w:t>
      </w:r>
      <w:r w:rsidRPr="0090538F">
        <w:rPr>
          <w:b/>
          <w:szCs w:val="28"/>
        </w:rPr>
        <w:t>valsts pamatbudžetā</w:t>
      </w:r>
      <w:r w:rsidRPr="0090538F">
        <w:rPr>
          <w:szCs w:val="28"/>
        </w:rPr>
        <w:t xml:space="preserve"> būtiski palielinājās izdevumu apmērs, kas saistīts gan ar budžetā plānotiem izdevumiem, gan arī Covid-19 seku mazināšanai uz tautsaimniecību apstiprinātajiem atbalsta pasākumiem. Tikmēr valsts pamatbudžeta nodokļu ieņēmumu ievērojami atpalika no plānotā un kopumā ieņēmumi prognozēti zemāki nekā 2019. gadā. Valsts pamatbudžetā jau pēdējos gados bija veidojies nozīmīgs deficīts, bet 2020. gadā Covid-19 pandēmijas ietekmē deficīts prognozēts 1 607,3 milj. </w:t>
      </w:r>
      <w:proofErr w:type="spellStart"/>
      <w:r w:rsidRPr="0090538F">
        <w:rPr>
          <w:i/>
          <w:szCs w:val="28"/>
        </w:rPr>
        <w:t>euro</w:t>
      </w:r>
      <w:proofErr w:type="spellEnd"/>
      <w:r w:rsidRPr="0090538F">
        <w:rPr>
          <w:szCs w:val="28"/>
        </w:rPr>
        <w:t xml:space="preserve"> apmērā. Vidējā termiņā ik gadu prognozēta bilances pakāpeniska uzlabošanās</w:t>
      </w:r>
      <w:r w:rsidRPr="0090538F">
        <w:rPr>
          <w:noProof/>
          <w:szCs w:val="28"/>
        </w:rPr>
        <w:t>.</w:t>
      </w:r>
    </w:p>
    <w:p w:rsidR="0090538F" w:rsidRPr="0090538F" w:rsidRDefault="0090538F" w:rsidP="0090538F">
      <w:pPr>
        <w:rPr>
          <w:noProof/>
          <w:szCs w:val="28"/>
        </w:rPr>
      </w:pPr>
      <w:r w:rsidRPr="0090538F">
        <w:rPr>
          <w:noProof/>
          <w:szCs w:val="28"/>
        </w:rPr>
        <w:t xml:space="preserve">2021. gadā sagaidāms straujšs nodokļu ieņēmumu pieaugums, jo tiek mainīts sadalījums IIN ieņēmumiem starp valsts pamatbudžetu un pašvaldību budžetu 20/80 vietā piemērojot 25/75 sadalījuma proporciju. Šis lēmums būtiski uzlabo valsts budžeta iespējas finansēt augstāku veselības un izglītības nozares darbinieku atalgojumu. Tāpat no 2021.gada paredzēta minimālās algas palielināšana līdz 500 </w:t>
      </w:r>
      <w:r w:rsidRPr="0090538F">
        <w:rPr>
          <w:i/>
          <w:noProof/>
          <w:szCs w:val="28"/>
        </w:rPr>
        <w:t>euro</w:t>
      </w:r>
      <w:r w:rsidRPr="0090538F">
        <w:rPr>
          <w:noProof/>
          <w:szCs w:val="28"/>
        </w:rPr>
        <w:t>, kas pozitīvi ietekmēs nodokļu ieņēmumus, vienlaikus palielinot arī pamatbudžeta izdevumus atalgojuma nodrošināšanai attiecīgajā līmenī. Ienākuma sliekša, kuram piemēro diferencēto neapliekamo minimumu, celšana no 1200 </w:t>
      </w:r>
      <w:r w:rsidRPr="0090538F">
        <w:rPr>
          <w:i/>
          <w:noProof/>
          <w:szCs w:val="28"/>
        </w:rPr>
        <w:t>euro</w:t>
      </w:r>
      <w:r w:rsidRPr="0090538F">
        <w:rPr>
          <w:noProof/>
          <w:szCs w:val="28"/>
        </w:rPr>
        <w:t xml:space="preserve"> līdz 1800 </w:t>
      </w:r>
      <w:r w:rsidRPr="0090538F">
        <w:rPr>
          <w:i/>
          <w:noProof/>
          <w:szCs w:val="28"/>
        </w:rPr>
        <w:t>euro</w:t>
      </w:r>
      <w:r w:rsidRPr="0090538F">
        <w:rPr>
          <w:szCs w:val="28"/>
        </w:rPr>
        <w:t xml:space="preserve"> samazina IIN ieņēmumus, taču šo efektu kompensēs kopējā algu fonda palielinājums.</w:t>
      </w:r>
      <w:r w:rsidRPr="0090538F">
        <w:rPr>
          <w:noProof/>
          <w:szCs w:val="28"/>
        </w:rPr>
        <w:t xml:space="preserve"> </w:t>
      </w:r>
    </w:p>
    <w:p w:rsidR="0090538F" w:rsidRPr="0090538F" w:rsidRDefault="0090538F" w:rsidP="0090538F">
      <w:pPr>
        <w:rPr>
          <w:noProof/>
          <w:szCs w:val="28"/>
          <w:highlight w:val="yellow"/>
        </w:rPr>
      </w:pPr>
      <w:r w:rsidRPr="0090538F">
        <w:rPr>
          <w:noProof/>
          <w:szCs w:val="28"/>
        </w:rPr>
        <w:t>Bez jau minētajiem papildus izdevumiem valdības prioritātēm valsts pamatbudžetā tiek nodrošināti izdevumi aizsardzībai, vidējā termiņā paredzot ne mazāk kā 2% no IKP katru gadu, tāpat budžetā ir ieplānoti Eiropas infrastruktūras savienošanas instrumenta (CEF) līdzekļi tautsaimniecībai nozīmīga dzelzceļa projekta “Rail Baltica” finansēšanai, kas, ņemot vērā projekta kavēšanos, paredz lielākus izdevumus 2023. gadā  un turpmāk.</w:t>
      </w:r>
    </w:p>
    <w:p w:rsidR="0090538F" w:rsidRPr="0090538F" w:rsidRDefault="0090538F" w:rsidP="0090538F">
      <w:pPr>
        <w:rPr>
          <w:color w:val="000000" w:themeColor="text1"/>
          <w:szCs w:val="28"/>
        </w:rPr>
      </w:pPr>
      <w:r w:rsidRPr="0090538F">
        <w:rPr>
          <w:b/>
          <w:color w:val="000000" w:themeColor="text1"/>
          <w:szCs w:val="28"/>
        </w:rPr>
        <w:t>Valsts speciālajā budžetā</w:t>
      </w:r>
      <w:r w:rsidRPr="0090538F">
        <w:rPr>
          <w:color w:val="000000" w:themeColor="text1"/>
          <w:szCs w:val="28"/>
        </w:rPr>
        <w:t xml:space="preserve"> kopš 2014. gada ik gadu bija vērojams pārpalikums, tomēr Covid-19 pandēmijas ietekmē satricinot darba tirgu un palielinoties bezdarbnieku skaitam, 2020. gadā valsts speciālajā budžetā tiek prognozēts deficīts. 2021. gadā un turpmākajos gados tiek prognozēta valsts speciālā budžeta bilances uzlabošanās un to pamatā nosaka sociālās apdrošināšanas iemaksu ieņēmumu pieaugums, valdībai ieviešot minimālo valsts sociālās apdrošināšanas iemaksu (VSAOI) apmēru ar 2021. gada 1. jūliju. Tādējādi jau 2022. gadā valsts speciālajā budžetā veidosies pārpalikums. Vienlaikus ietekmi uz valsts speciālā budžeta ieņēmumiem atstās valdības lēmums no 2021. gada samazināt VSAOI likmi par 1 procentpunktu  (0,5% darba devējam un 0,5% darba ņēmējam). Šis lēmums samazina nodokļu slogu atalgojumam Latvijā, to pietuvinot pārējo Baltijas valstu nodokļu sloga līmenim.</w:t>
      </w:r>
    </w:p>
    <w:p w:rsidR="0090538F" w:rsidRPr="0090538F" w:rsidRDefault="0090538F" w:rsidP="0090538F">
      <w:pPr>
        <w:rPr>
          <w:color w:val="000000" w:themeColor="text1"/>
          <w:szCs w:val="28"/>
        </w:rPr>
      </w:pPr>
      <w:r w:rsidRPr="0090538F">
        <w:rPr>
          <w:color w:val="000000" w:themeColor="text1"/>
          <w:szCs w:val="28"/>
        </w:rPr>
        <w:t>2020. gadā valsts speciālā budžeta izdevumiem vērojams būtisks pieaugums, jo nozīmīgs pieaugums jau bija sagaidāms pensiju izdevumos, ņemot vērā indeksāciju, taču Covid-19 krīzes ietekmē virs plānotā pieauguši izdevumi bezdarbnieku un slimības pabalstiem. Savukārt, valsts speciālā budžeta ieņēmumi būtiski atpalika no plānotā un situācija šajā budžetā kopumā būtiski atšķīrās no 2019. gada. 2021. gadā izdevumu pieaugums sagaidāms daudz mērenāks, jo neskatoties uz pieaugumu pensiju izdevumos būs zemāki izdevumi bezdarbnieku pabalstiem. Pabalstu izdevumus tradicionāli ietekmē arī vidējās darba samaksas izmaiņas un izmaiņas pabalstu saņēmēju skaitā, tādējādi līdz ar vidējās darba samaksas palielināšanos tie ik gadu palielinās.</w:t>
      </w:r>
    </w:p>
    <w:p w:rsidR="0090538F" w:rsidRPr="0090538F" w:rsidRDefault="0090538F" w:rsidP="0090538F">
      <w:pPr>
        <w:rPr>
          <w:noProof/>
          <w:color w:val="000000" w:themeColor="text1"/>
          <w:szCs w:val="28"/>
        </w:rPr>
      </w:pPr>
      <w:r w:rsidRPr="0090538F">
        <w:rPr>
          <w:noProof/>
          <w:color w:val="000000" w:themeColor="text1"/>
          <w:szCs w:val="28"/>
        </w:rPr>
        <w:t>Prognozējot izdevumus pensijām un sociālajiem pabalstiem vidējā termiņā, ir ņemtas vērā spēkā esošās izmaiņas likumdošanā, kas tika apstiprinātas iepriekšējos gados un 2020. gadā, kā arī izmaiņas, kas ir iekļautas likumprojekta “Par valsts budžetu 2021. gadam” pavadošo likumprojektu paketē:</w:t>
      </w:r>
    </w:p>
    <w:p w:rsidR="0090538F" w:rsidRPr="0090538F" w:rsidRDefault="0090538F" w:rsidP="0090538F">
      <w:pPr>
        <w:pStyle w:val="ListParagraph"/>
        <w:numPr>
          <w:ilvl w:val="0"/>
          <w:numId w:val="25"/>
        </w:numPr>
        <w:ind w:left="1134" w:hanging="425"/>
        <w:contextualSpacing w:val="0"/>
        <w:rPr>
          <w:color w:val="000000"/>
          <w:szCs w:val="28"/>
        </w:rPr>
      </w:pPr>
      <w:r w:rsidRPr="0090538F">
        <w:rPr>
          <w:szCs w:val="28"/>
        </w:rPr>
        <w:t xml:space="preserve">No 2014. gada pakāpeniski palielinās pensionēšanās vecums – ik gadu par trim mēnešiem, līdz 2025. gadā tiks sasniegts 65 gadu vecums. Tiesības uz valsts vecuma pensiju 2021. gadā būs personām, kuras sasniegs 64 gadu vecumu. </w:t>
      </w:r>
      <w:r w:rsidRPr="0090538F">
        <w:rPr>
          <w:szCs w:val="28"/>
        </w:rPr>
        <w:lastRenderedPageBreak/>
        <w:t xml:space="preserve">Personām, kuru apdrošināšanas stāžs nav mazāks par 30 gadiem, ir tiesības pensionēties priekšlaicīgi – divus gadus pirms vispārējā pensionēšanās vecuma sasniegšanas, tātad 2021. gadā </w:t>
      </w:r>
      <w:r w:rsidRPr="0090538F">
        <w:rPr>
          <w:color w:val="000000"/>
          <w:szCs w:val="28"/>
        </w:rPr>
        <w:t>pensionēties priekšlaicīgi var personas, kuras sasniegušas 62 gadu vecumu</w:t>
      </w:r>
      <w:r w:rsidRPr="0090538F">
        <w:rPr>
          <w:szCs w:val="28"/>
        </w:rPr>
        <w:t>;</w:t>
      </w:r>
    </w:p>
    <w:p w:rsidR="0090538F" w:rsidRPr="0090538F" w:rsidRDefault="0090538F" w:rsidP="0090538F">
      <w:pPr>
        <w:pStyle w:val="ListParagraph"/>
        <w:numPr>
          <w:ilvl w:val="0"/>
          <w:numId w:val="25"/>
        </w:numPr>
        <w:ind w:left="1134" w:hanging="425"/>
        <w:contextualSpacing w:val="0"/>
        <w:rPr>
          <w:szCs w:val="28"/>
        </w:rPr>
      </w:pPr>
      <w:r w:rsidRPr="0090538F">
        <w:rPr>
          <w:szCs w:val="28"/>
        </w:rPr>
        <w:t>No 2018. gada personām, kuru apdrošināšanas stāžs ir mazāks par 15  gadiem un kurām nav tiesību uz valsts vecuma pensiju, saskaņā ar Valsts sociālo pabalstu likumu, sasniedzot noteikto pensionēšanās vecumu, tiek piešķirts un no valsts pamatbudžeta līdzekļiem izmaksāts valsts sociālā nodrošinājuma pabalsts. No 2025. gada nepieciešamais apdrošināšanas stāžs būs 20 gadi;  </w:t>
      </w:r>
    </w:p>
    <w:p w:rsidR="0090538F" w:rsidRPr="0090538F" w:rsidRDefault="0090538F" w:rsidP="0090538F">
      <w:pPr>
        <w:pStyle w:val="ListParagraph"/>
        <w:numPr>
          <w:ilvl w:val="0"/>
          <w:numId w:val="25"/>
        </w:numPr>
        <w:ind w:left="1134" w:hanging="425"/>
        <w:contextualSpacing w:val="0"/>
        <w:rPr>
          <w:noProof/>
          <w:color w:val="000000"/>
          <w:szCs w:val="28"/>
        </w:rPr>
      </w:pPr>
      <w:r w:rsidRPr="0090538F">
        <w:rPr>
          <w:szCs w:val="28"/>
        </w:rPr>
        <w:t>2020. ga</w:t>
      </w:r>
      <w:r w:rsidRPr="0090538F">
        <w:rPr>
          <w:noProof/>
          <w:szCs w:val="28"/>
        </w:rPr>
        <w:t xml:space="preserve">da 1. oktobrī tika pārskatītas (indeksētas) vecuma, invaliditātes, izdienas, apgādnieka zaudējuma pensijas un apdrošināšanas atlīdzības, kuras piešķirtas (pārrēķinātas) līdz 2020.gada 30.septembrim un kuru apmērs nepārsniedz 454 </w:t>
      </w:r>
      <w:r w:rsidRPr="0090538F">
        <w:rPr>
          <w:i/>
          <w:noProof/>
          <w:szCs w:val="28"/>
        </w:rPr>
        <w:t>euro</w:t>
      </w:r>
      <w:r w:rsidRPr="0090538F">
        <w:rPr>
          <w:noProof/>
          <w:szCs w:val="28"/>
        </w:rPr>
        <w:t xml:space="preserve">, bet pensijas un apdrošināšanas atlīdzības, kuru apmērs pārsniedz 454 </w:t>
      </w:r>
      <w:r w:rsidRPr="0090538F">
        <w:rPr>
          <w:i/>
          <w:noProof/>
          <w:szCs w:val="28"/>
        </w:rPr>
        <w:t>euro</w:t>
      </w:r>
      <w:r w:rsidRPr="0090538F">
        <w:rPr>
          <w:noProof/>
          <w:szCs w:val="28"/>
        </w:rPr>
        <w:t>, pārskata tikai tās daļas apmēru – 454 </w:t>
      </w:r>
      <w:r w:rsidRPr="0090538F">
        <w:rPr>
          <w:i/>
          <w:noProof/>
          <w:szCs w:val="28"/>
        </w:rPr>
        <w:t>euro</w:t>
      </w:r>
      <w:r w:rsidRPr="0090538F">
        <w:rPr>
          <w:noProof/>
          <w:szCs w:val="28"/>
        </w:rPr>
        <w:t>;</w:t>
      </w:r>
    </w:p>
    <w:p w:rsidR="0090538F" w:rsidRPr="0090538F" w:rsidRDefault="0090538F" w:rsidP="0090538F">
      <w:pPr>
        <w:pStyle w:val="ListParagraph"/>
        <w:numPr>
          <w:ilvl w:val="0"/>
          <w:numId w:val="25"/>
        </w:numPr>
        <w:ind w:left="1134" w:hanging="425"/>
        <w:contextualSpacing w:val="0"/>
        <w:rPr>
          <w:color w:val="000000"/>
          <w:szCs w:val="28"/>
        </w:rPr>
      </w:pPr>
      <w:r w:rsidRPr="0090538F">
        <w:rPr>
          <w:noProof/>
          <w:color w:val="000000"/>
          <w:szCs w:val="28"/>
        </w:rPr>
        <w:t xml:space="preserve">No 2020. gada bezdarbnieka pabalsta izmaksas ilgums ir astoņi mēneši 12 mēnešu periodā </w:t>
      </w:r>
      <w:r w:rsidRPr="0090538F">
        <w:rPr>
          <w:color w:val="000000"/>
          <w:szCs w:val="28"/>
        </w:rPr>
        <w:t xml:space="preserve">no pabalsta piešķiršanas dienas; </w:t>
      </w:r>
    </w:p>
    <w:p w:rsidR="0090538F" w:rsidRPr="0090538F" w:rsidRDefault="0090538F" w:rsidP="0090538F">
      <w:pPr>
        <w:pStyle w:val="ListParagraph"/>
        <w:numPr>
          <w:ilvl w:val="0"/>
          <w:numId w:val="25"/>
        </w:numPr>
        <w:ind w:left="1069"/>
        <w:contextualSpacing w:val="0"/>
        <w:rPr>
          <w:noProof/>
          <w:color w:val="000000"/>
          <w:szCs w:val="28"/>
        </w:rPr>
      </w:pPr>
      <w:r w:rsidRPr="0090538F">
        <w:rPr>
          <w:color w:val="000000" w:themeColor="text1"/>
          <w:szCs w:val="28"/>
        </w:rPr>
        <w:t xml:space="preserve">Saistībā ar </w:t>
      </w:r>
      <w:r w:rsidRPr="0090538F">
        <w:rPr>
          <w:szCs w:val="28"/>
        </w:rPr>
        <w:t xml:space="preserve">Satversmes tiesas spriedumu izpildi labklājības jomā no </w:t>
      </w:r>
      <w:r w:rsidRPr="0090538F">
        <w:rPr>
          <w:iCs/>
          <w:noProof/>
          <w:szCs w:val="28"/>
          <w:lang w:eastAsia="lv-LV"/>
        </w:rPr>
        <w:t xml:space="preserve">2020. gada 1. janvāra minimālo vecuma pensijas apmēru nosaka, ņemot vērā minimālo aprēķina bāzi 80 </w:t>
      </w:r>
      <w:r w:rsidRPr="0090538F">
        <w:rPr>
          <w:i/>
          <w:iCs/>
          <w:noProof/>
          <w:szCs w:val="28"/>
          <w:lang w:eastAsia="lv-LV"/>
        </w:rPr>
        <w:t>euro</w:t>
      </w:r>
      <w:r w:rsidRPr="0090538F">
        <w:rPr>
          <w:iCs/>
          <w:noProof/>
          <w:szCs w:val="28"/>
          <w:lang w:eastAsia="lv-LV"/>
        </w:rPr>
        <w:t xml:space="preserve">, bet personām ar invaliditāti kopš bērnības – 122,69 </w:t>
      </w:r>
      <w:r w:rsidRPr="0090538F">
        <w:rPr>
          <w:i/>
          <w:iCs/>
          <w:noProof/>
          <w:szCs w:val="28"/>
          <w:lang w:eastAsia="lv-LV"/>
        </w:rPr>
        <w:t>euro</w:t>
      </w:r>
      <w:r w:rsidRPr="0090538F">
        <w:rPr>
          <w:iCs/>
          <w:noProof/>
          <w:szCs w:val="28"/>
          <w:lang w:eastAsia="lv-LV"/>
        </w:rPr>
        <w:t xml:space="preserve">, kurai atkarībā no personas apdrošināšanas stāža (pilnos gados) piemēro noteiktu koeficientu. </w:t>
      </w:r>
      <w:r w:rsidRPr="0090538F">
        <w:rPr>
          <w:color w:val="000000"/>
          <w:szCs w:val="28"/>
        </w:rPr>
        <w:t xml:space="preserve">2021.-2023.gadā šim atbalstam paredzēti aptuveni </w:t>
      </w:r>
      <w:r w:rsidRPr="0090538F">
        <w:rPr>
          <w:noProof/>
          <w:color w:val="000000"/>
          <w:szCs w:val="28"/>
        </w:rPr>
        <w:t xml:space="preserve">22 milj. </w:t>
      </w:r>
      <w:r w:rsidRPr="0090538F">
        <w:rPr>
          <w:i/>
          <w:noProof/>
          <w:color w:val="000000"/>
          <w:szCs w:val="28"/>
        </w:rPr>
        <w:t>euro</w:t>
      </w:r>
      <w:r w:rsidRPr="0090538F">
        <w:rPr>
          <w:noProof/>
          <w:color w:val="000000"/>
          <w:szCs w:val="28"/>
        </w:rPr>
        <w:t xml:space="preserve"> ik gadu</w:t>
      </w:r>
      <w:r w:rsidRPr="0090538F">
        <w:rPr>
          <w:iCs/>
          <w:noProof/>
          <w:szCs w:val="28"/>
          <w:lang w:eastAsia="lv-LV"/>
        </w:rPr>
        <w:t>;</w:t>
      </w:r>
    </w:p>
    <w:p w:rsidR="0090538F" w:rsidRPr="0090538F" w:rsidRDefault="0090538F" w:rsidP="0090538F">
      <w:pPr>
        <w:pStyle w:val="ListParagraph"/>
        <w:numPr>
          <w:ilvl w:val="0"/>
          <w:numId w:val="25"/>
        </w:numPr>
        <w:ind w:left="1069"/>
        <w:contextualSpacing w:val="0"/>
        <w:rPr>
          <w:noProof/>
          <w:color w:val="000000"/>
          <w:szCs w:val="28"/>
        </w:rPr>
      </w:pPr>
      <w:r w:rsidRPr="0090538F">
        <w:rPr>
          <w:noProof/>
          <w:color w:val="000000" w:themeColor="text1"/>
          <w:szCs w:val="28"/>
        </w:rPr>
        <w:t xml:space="preserve">Saistībā ar </w:t>
      </w:r>
      <w:r w:rsidRPr="0090538F">
        <w:rPr>
          <w:noProof/>
          <w:szCs w:val="28"/>
        </w:rPr>
        <w:t xml:space="preserve">Satversmes tiesas spriedumu izpildi labklājības jomā no </w:t>
      </w:r>
      <w:r w:rsidRPr="0090538F">
        <w:rPr>
          <w:iCs/>
          <w:noProof/>
          <w:szCs w:val="28"/>
          <w:lang w:eastAsia="lv-LV"/>
        </w:rPr>
        <w:t>2020. gada 1. janvāra III grupas invaliditātes gadījumā invaliditātes pensija tiek noteikta 25</w:t>
      </w:r>
      <w:r w:rsidRPr="0090538F">
        <w:rPr>
          <w:rFonts w:eastAsia="Calibri"/>
          <w:iCs/>
          <w:noProof/>
          <w:szCs w:val="28"/>
        </w:rPr>
        <w:t xml:space="preserve">% no ienākumu mediānas (136 </w:t>
      </w:r>
      <w:r w:rsidRPr="0090538F">
        <w:rPr>
          <w:rFonts w:eastAsia="Calibri"/>
          <w:i/>
          <w:iCs/>
          <w:noProof/>
          <w:szCs w:val="28"/>
        </w:rPr>
        <w:t>euro</w:t>
      </w:r>
      <w:r w:rsidRPr="0090538F">
        <w:rPr>
          <w:rFonts w:eastAsia="Calibri"/>
          <w:iCs/>
          <w:noProof/>
          <w:szCs w:val="28"/>
        </w:rPr>
        <w:t xml:space="preserve">) un personām ar invaliditāti kopš bērnības 30% no ienākumu mediānas (163 </w:t>
      </w:r>
      <w:r w:rsidRPr="0090538F">
        <w:rPr>
          <w:rFonts w:eastAsia="Calibri"/>
          <w:i/>
          <w:iCs/>
          <w:noProof/>
          <w:szCs w:val="28"/>
        </w:rPr>
        <w:t>euro</w:t>
      </w:r>
      <w:r w:rsidRPr="0090538F">
        <w:rPr>
          <w:rFonts w:eastAsia="Calibri"/>
          <w:iCs/>
          <w:noProof/>
          <w:szCs w:val="28"/>
        </w:rPr>
        <w:t xml:space="preserve">). </w:t>
      </w:r>
      <w:r w:rsidRPr="0090538F">
        <w:rPr>
          <w:iCs/>
          <w:noProof/>
          <w:szCs w:val="28"/>
          <w:lang w:eastAsia="lv-LV"/>
        </w:rPr>
        <w:t xml:space="preserve"> Savukārt I un II grupas invaliditātes pensijas apmērs nedrīkst būt mazāks par 25</w:t>
      </w:r>
      <w:r w:rsidRPr="0090538F">
        <w:rPr>
          <w:rFonts w:eastAsia="Calibri"/>
          <w:iCs/>
          <w:noProof/>
          <w:szCs w:val="28"/>
        </w:rPr>
        <w:t xml:space="preserve">% no ienākumu mediānas (136 </w:t>
      </w:r>
      <w:r w:rsidRPr="0090538F">
        <w:rPr>
          <w:rFonts w:eastAsia="Calibri"/>
          <w:i/>
          <w:iCs/>
          <w:noProof/>
          <w:szCs w:val="28"/>
        </w:rPr>
        <w:t>euro</w:t>
      </w:r>
      <w:r w:rsidRPr="0090538F">
        <w:rPr>
          <w:rFonts w:eastAsia="Calibri"/>
          <w:iCs/>
          <w:noProof/>
          <w:szCs w:val="28"/>
        </w:rPr>
        <w:t xml:space="preserve">), personām ar invaliditāti kopš bērnības 30% no ienākumu mediānas (163 </w:t>
      </w:r>
      <w:r w:rsidRPr="0090538F">
        <w:rPr>
          <w:rFonts w:eastAsia="Calibri"/>
          <w:i/>
          <w:iCs/>
          <w:noProof/>
          <w:szCs w:val="28"/>
        </w:rPr>
        <w:t>euro</w:t>
      </w:r>
      <w:r w:rsidRPr="0090538F">
        <w:rPr>
          <w:rFonts w:eastAsia="Calibri"/>
          <w:iCs/>
          <w:noProof/>
          <w:szCs w:val="28"/>
        </w:rPr>
        <w:t>)</w:t>
      </w:r>
      <w:r w:rsidRPr="0090538F">
        <w:rPr>
          <w:iCs/>
          <w:noProof/>
          <w:szCs w:val="28"/>
          <w:lang w:eastAsia="lv-LV"/>
        </w:rPr>
        <w:t xml:space="preserve">, kurai piemērots koeficients 1,6 I grupas invaliditātes gadījumā un 1,4 II grupas invaliditātes gadījumā. </w:t>
      </w:r>
      <w:r w:rsidRPr="0090538F">
        <w:rPr>
          <w:noProof/>
          <w:color w:val="000000"/>
          <w:szCs w:val="28"/>
        </w:rPr>
        <w:t xml:space="preserve">2021.-2023.gadā šim atbalstam paredzēti aptuveni 29 milj. </w:t>
      </w:r>
      <w:r w:rsidRPr="0090538F">
        <w:rPr>
          <w:i/>
          <w:noProof/>
          <w:color w:val="000000"/>
          <w:szCs w:val="28"/>
        </w:rPr>
        <w:t>euro</w:t>
      </w:r>
      <w:r w:rsidRPr="0090538F">
        <w:rPr>
          <w:noProof/>
          <w:color w:val="000000"/>
          <w:szCs w:val="28"/>
        </w:rPr>
        <w:t xml:space="preserve"> ik gadu</w:t>
      </w:r>
      <w:r w:rsidRPr="0090538F">
        <w:rPr>
          <w:iCs/>
          <w:noProof/>
          <w:szCs w:val="28"/>
          <w:lang w:eastAsia="lv-LV"/>
        </w:rPr>
        <w:t>;</w:t>
      </w:r>
    </w:p>
    <w:p w:rsidR="0090538F" w:rsidRPr="0090538F" w:rsidRDefault="0090538F" w:rsidP="0090538F">
      <w:pPr>
        <w:pStyle w:val="ListParagraph"/>
        <w:numPr>
          <w:ilvl w:val="0"/>
          <w:numId w:val="25"/>
        </w:numPr>
        <w:ind w:left="1069"/>
        <w:contextualSpacing w:val="0"/>
        <w:rPr>
          <w:noProof/>
          <w:color w:val="000000"/>
          <w:szCs w:val="28"/>
        </w:rPr>
      </w:pPr>
      <w:r w:rsidRPr="0090538F">
        <w:rPr>
          <w:noProof/>
          <w:color w:val="000000" w:themeColor="text1"/>
          <w:szCs w:val="28"/>
        </w:rPr>
        <w:t xml:space="preserve">No 2021. gada tiek pārskatīts valsts sociālā nodrošinājuma pabalsta apmērs, to </w:t>
      </w:r>
      <w:r w:rsidRPr="0090538F">
        <w:rPr>
          <w:rFonts w:eastAsia="Calibri"/>
          <w:iCs/>
          <w:noProof/>
          <w:szCs w:val="28"/>
        </w:rPr>
        <w:t xml:space="preserve">vecuma gadījumā nosakot 20% no ienākumu mediānas jeb 109 </w:t>
      </w:r>
      <w:r w:rsidRPr="0090538F">
        <w:rPr>
          <w:rFonts w:eastAsia="Calibri"/>
          <w:i/>
          <w:iCs/>
          <w:noProof/>
          <w:szCs w:val="28"/>
        </w:rPr>
        <w:t>euro</w:t>
      </w:r>
      <w:r w:rsidRPr="0090538F">
        <w:rPr>
          <w:rFonts w:eastAsia="Calibri"/>
          <w:iCs/>
          <w:noProof/>
          <w:szCs w:val="28"/>
        </w:rPr>
        <w:t xml:space="preserve">, </w:t>
      </w:r>
      <w:r w:rsidRPr="0090538F">
        <w:rPr>
          <w:rFonts w:eastAsia="Calibri"/>
          <w:noProof/>
          <w:szCs w:val="28"/>
        </w:rPr>
        <w:t xml:space="preserve">personām ar invaliditāti 20% apmērā no ienākumu mediānas jeb 109 </w:t>
      </w:r>
      <w:r w:rsidRPr="0090538F">
        <w:rPr>
          <w:rFonts w:eastAsia="Calibri"/>
          <w:i/>
          <w:noProof/>
          <w:szCs w:val="28"/>
        </w:rPr>
        <w:t>euro</w:t>
      </w:r>
      <w:r w:rsidRPr="0090538F">
        <w:rPr>
          <w:rFonts w:eastAsia="Calibri"/>
          <w:noProof/>
          <w:szCs w:val="28"/>
        </w:rPr>
        <w:t xml:space="preserve"> un personām ar invaliditāti kopš bērnības 25% apmērā no ienākumu mediānas jeb 136 </w:t>
      </w:r>
      <w:r w:rsidRPr="0090538F">
        <w:rPr>
          <w:rFonts w:eastAsia="Calibri"/>
          <w:i/>
          <w:noProof/>
          <w:szCs w:val="28"/>
        </w:rPr>
        <w:t xml:space="preserve">euro. </w:t>
      </w:r>
      <w:r w:rsidRPr="0090538F">
        <w:rPr>
          <w:noProof/>
          <w:color w:val="000000"/>
          <w:szCs w:val="28"/>
        </w:rPr>
        <w:t xml:space="preserve">2021.-2023.gadā šim atbalstam paredzēti aptuveni 10 milj. </w:t>
      </w:r>
      <w:r w:rsidRPr="0090538F">
        <w:rPr>
          <w:i/>
          <w:noProof/>
          <w:color w:val="000000"/>
          <w:szCs w:val="28"/>
        </w:rPr>
        <w:t>euro</w:t>
      </w:r>
      <w:r w:rsidRPr="0090538F">
        <w:rPr>
          <w:noProof/>
          <w:color w:val="000000"/>
          <w:szCs w:val="28"/>
        </w:rPr>
        <w:t xml:space="preserve"> ik gadu</w:t>
      </w:r>
      <w:r w:rsidRPr="0090538F">
        <w:rPr>
          <w:iCs/>
          <w:noProof/>
          <w:szCs w:val="28"/>
          <w:lang w:eastAsia="lv-LV"/>
        </w:rPr>
        <w:t>.</w:t>
      </w:r>
    </w:p>
    <w:p w:rsidR="0090538F" w:rsidRPr="0090538F" w:rsidRDefault="0090538F" w:rsidP="0090538F">
      <w:pPr>
        <w:rPr>
          <w:b/>
          <w:color w:val="000000" w:themeColor="text1"/>
          <w:szCs w:val="28"/>
        </w:rPr>
      </w:pPr>
      <w:r w:rsidRPr="0090538F">
        <w:rPr>
          <w:b/>
          <w:noProof/>
          <w:color w:val="000000" w:themeColor="text1"/>
          <w:szCs w:val="28"/>
        </w:rPr>
        <w:t xml:space="preserve">Atvasināto publisko personu budžetā </w:t>
      </w:r>
      <w:r w:rsidRPr="0090538F">
        <w:rPr>
          <w:noProof/>
          <w:color w:val="000000" w:themeColor="text1"/>
          <w:szCs w:val="28"/>
        </w:rPr>
        <w:t>(turpmāk –</w:t>
      </w:r>
      <w:r w:rsidRPr="0090538F">
        <w:rPr>
          <w:b/>
          <w:noProof/>
          <w:color w:val="000000" w:themeColor="text1"/>
          <w:szCs w:val="28"/>
        </w:rPr>
        <w:t xml:space="preserve"> </w:t>
      </w:r>
      <w:r w:rsidRPr="0090538F">
        <w:rPr>
          <w:noProof/>
          <w:color w:val="000000" w:themeColor="text1"/>
          <w:szCs w:val="28"/>
        </w:rPr>
        <w:t>APP) pēdējos gados veidojās pārpalikums, kas saistīts ar pieaugošiem transfertiem no valsts pamatbudžeta. APP budžeta bilanci lielā mērā ietekmē transferti ES fondu projektu īstenošanai. ES fondu plānošanas perioda sākumā transfertu apjoms ir lielāks, jo ietver arī avansa maksājumus, tādējādi APP budžetā palielinās ieņēmumi un veidojas pārpalikums, tomēr ES fondu plānošanas periodam noslēdzoties, kad tiek pabeigti lielāki infrastruktūras projekti universitātēs un zinātniskajos institūtos, palielinās izdevumi, kas veicina deficīta veidošanos, kā, piemēram, 2015. gadā. Tiek plānots, ka APP budžetā veidosies pārpalikums 2020. gadā, bet ar 2021. gadu APP budžetā tiek prognozēts</w:t>
      </w:r>
      <w:r w:rsidRPr="0090538F">
        <w:rPr>
          <w:color w:val="000000" w:themeColor="text1"/>
          <w:szCs w:val="28"/>
        </w:rPr>
        <w:t xml:space="preserve"> deficīts.</w:t>
      </w:r>
    </w:p>
    <w:p w:rsidR="0090538F" w:rsidRPr="0090538F" w:rsidRDefault="0090538F" w:rsidP="0090538F">
      <w:pPr>
        <w:ind w:firstLine="0"/>
        <w:jc w:val="left"/>
        <w:rPr>
          <w:b/>
          <w:i/>
          <w:sz w:val="22"/>
          <w:szCs w:val="24"/>
        </w:rPr>
      </w:pPr>
      <w:r w:rsidRPr="0090538F">
        <w:rPr>
          <w:b/>
          <w:i/>
          <w:sz w:val="22"/>
          <w:szCs w:val="24"/>
        </w:rPr>
        <w:br w:type="page"/>
      </w:r>
    </w:p>
    <w:p w:rsidR="0090538F" w:rsidRPr="004264AC" w:rsidRDefault="0090538F" w:rsidP="00C503FF">
      <w:pPr>
        <w:spacing w:before="120"/>
        <w:ind w:firstLine="0"/>
        <w:jc w:val="center"/>
        <w:rPr>
          <w:b/>
          <w:i/>
          <w:szCs w:val="24"/>
        </w:rPr>
      </w:pPr>
      <w:r>
        <w:rPr>
          <w:b/>
          <w:i/>
          <w:szCs w:val="24"/>
        </w:rPr>
        <w:lastRenderedPageBreak/>
        <w:t>2.2. tabula</w:t>
      </w:r>
      <w:r w:rsidRPr="00C11449">
        <w:rPr>
          <w:b/>
          <w:i/>
          <w:szCs w:val="24"/>
        </w:rPr>
        <w:t xml:space="preserve"> </w:t>
      </w:r>
      <w:r w:rsidRPr="0090538F">
        <w:rPr>
          <w:b/>
          <w:szCs w:val="24"/>
        </w:rPr>
        <w:t>Valsts konsolidētā bud</w:t>
      </w:r>
      <w:bookmarkStart w:id="2" w:name="_GoBack"/>
      <w:bookmarkEnd w:id="2"/>
      <w:r w:rsidRPr="0090538F">
        <w:rPr>
          <w:b/>
          <w:szCs w:val="24"/>
        </w:rPr>
        <w:t>žeta bilance 2019.-2023.gadā, milj.</w:t>
      </w:r>
      <w:r w:rsidRPr="00C11449">
        <w:rPr>
          <w:b/>
          <w:i/>
          <w:szCs w:val="24"/>
        </w:rPr>
        <w:t xml:space="preserve"> </w:t>
      </w:r>
      <w:r w:rsidRPr="00C11449">
        <w:rPr>
          <w:b/>
          <w:i/>
          <w:noProof/>
          <w:szCs w:val="24"/>
        </w:rPr>
        <w:t>euro</w:t>
      </w:r>
    </w:p>
    <w:tbl>
      <w:tblPr>
        <w:tblW w:w="9209" w:type="dxa"/>
        <w:jc w:val="center"/>
        <w:tblLook w:val="04A0" w:firstRow="1" w:lastRow="0" w:firstColumn="1" w:lastColumn="0" w:noHBand="0" w:noVBand="1"/>
      </w:tblPr>
      <w:tblGrid>
        <w:gridCol w:w="2263"/>
        <w:gridCol w:w="851"/>
        <w:gridCol w:w="896"/>
        <w:gridCol w:w="946"/>
        <w:gridCol w:w="851"/>
        <w:gridCol w:w="850"/>
        <w:gridCol w:w="851"/>
        <w:gridCol w:w="850"/>
        <w:gridCol w:w="851"/>
      </w:tblGrid>
      <w:tr w:rsidR="00C503FF" w:rsidRPr="0026061A" w:rsidTr="00C503FF">
        <w:trPr>
          <w:trHeight w:val="75"/>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C503FF" w:rsidRPr="00F07E39" w:rsidRDefault="00C503FF" w:rsidP="00870F8E">
            <w:pPr>
              <w:spacing w:after="0"/>
              <w:ind w:firstLine="0"/>
              <w:jc w:val="left"/>
              <w:rPr>
                <w:color w:val="000000"/>
                <w:sz w:val="18"/>
                <w:szCs w:val="18"/>
                <w:lang w:eastAsia="lv-LV"/>
              </w:rPr>
            </w:pPr>
            <w:r w:rsidRPr="00F07E39">
              <w:rPr>
                <w:color w:val="000000"/>
                <w:sz w:val="18"/>
                <w:szCs w:val="18"/>
                <w:lang w:eastAsia="lv-LV"/>
              </w:rPr>
              <w:t> </w:t>
            </w:r>
          </w:p>
        </w:tc>
        <w:tc>
          <w:tcPr>
            <w:tcW w:w="8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201</w:t>
            </w:r>
            <w:r>
              <w:rPr>
                <w:b/>
                <w:bCs/>
                <w:color w:val="000000"/>
                <w:sz w:val="18"/>
                <w:szCs w:val="18"/>
                <w:lang w:eastAsia="lv-LV"/>
              </w:rPr>
              <w:t>9</w:t>
            </w:r>
          </w:p>
        </w:tc>
        <w:tc>
          <w:tcPr>
            <w:tcW w:w="896"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w:t>
            </w:r>
            <w:r>
              <w:rPr>
                <w:b/>
                <w:bCs/>
                <w:color w:val="000000"/>
                <w:sz w:val="18"/>
                <w:szCs w:val="18"/>
                <w:lang w:eastAsia="lv-LV"/>
              </w:rPr>
              <w:t>20</w:t>
            </w:r>
          </w:p>
        </w:tc>
        <w:tc>
          <w:tcPr>
            <w:tcW w:w="946"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202</w:t>
            </w:r>
            <w:r>
              <w:rPr>
                <w:b/>
                <w:bCs/>
                <w:color w:val="000000"/>
                <w:sz w:val="18"/>
                <w:szCs w:val="18"/>
                <w:lang w:eastAsia="lv-LV"/>
              </w:rPr>
              <w:t>1</w:t>
            </w:r>
          </w:p>
        </w:tc>
        <w:tc>
          <w:tcPr>
            <w:tcW w:w="8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202</w:t>
            </w:r>
            <w:r>
              <w:rPr>
                <w:b/>
                <w:bCs/>
                <w:color w:val="000000"/>
                <w:sz w:val="18"/>
                <w:szCs w:val="18"/>
                <w:lang w:eastAsia="lv-LV"/>
              </w:rPr>
              <w:t>2</w:t>
            </w:r>
          </w:p>
        </w:tc>
        <w:tc>
          <w:tcPr>
            <w:tcW w:w="850" w:type="dxa"/>
            <w:tcBorders>
              <w:top w:val="single" w:sz="4" w:space="0" w:color="auto"/>
              <w:left w:val="nil"/>
              <w:bottom w:val="single" w:sz="4" w:space="0" w:color="auto"/>
              <w:right w:val="single" w:sz="4" w:space="0" w:color="auto"/>
            </w:tcBorders>
            <w:shd w:val="clear" w:color="auto" w:fill="95B3D7" w:themeFill="accent1" w:themeFillTint="99"/>
          </w:tcPr>
          <w:p w:rsidR="00C503FF" w:rsidRPr="00F07E39" w:rsidRDefault="00C503FF" w:rsidP="00870F8E">
            <w:pPr>
              <w:spacing w:after="0"/>
              <w:ind w:firstLine="0"/>
              <w:jc w:val="center"/>
              <w:rPr>
                <w:b/>
                <w:bCs/>
                <w:color w:val="000000"/>
                <w:sz w:val="18"/>
                <w:szCs w:val="18"/>
                <w:lang w:eastAsia="lv-LV"/>
              </w:rPr>
            </w:pPr>
            <w:r w:rsidRPr="007333CF">
              <w:rPr>
                <w:b/>
                <w:bCs/>
                <w:color w:val="000000"/>
                <w:sz w:val="18"/>
                <w:szCs w:val="18"/>
                <w:lang w:eastAsia="lv-LV"/>
              </w:rPr>
              <w:t>202</w:t>
            </w:r>
            <w:r>
              <w:rPr>
                <w:b/>
                <w:bCs/>
                <w:color w:val="000000"/>
                <w:sz w:val="18"/>
                <w:szCs w:val="18"/>
                <w:lang w:eastAsia="lv-LV"/>
              </w:rPr>
              <w:t>3</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202</w:t>
            </w:r>
            <w:r>
              <w:rPr>
                <w:b/>
                <w:bCs/>
                <w:color w:val="000000"/>
                <w:sz w:val="18"/>
                <w:szCs w:val="18"/>
                <w:lang w:eastAsia="lv-LV"/>
              </w:rPr>
              <w:t>1</w:t>
            </w:r>
          </w:p>
        </w:tc>
        <w:tc>
          <w:tcPr>
            <w:tcW w:w="850"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202</w:t>
            </w:r>
            <w:r>
              <w:rPr>
                <w:b/>
                <w:bCs/>
                <w:color w:val="000000"/>
                <w:sz w:val="18"/>
                <w:szCs w:val="18"/>
                <w:lang w:eastAsia="lv-LV"/>
              </w:rPr>
              <w:t>2</w:t>
            </w:r>
          </w:p>
        </w:tc>
        <w:tc>
          <w:tcPr>
            <w:tcW w:w="851" w:type="dxa"/>
            <w:tcBorders>
              <w:top w:val="single" w:sz="4" w:space="0" w:color="auto"/>
              <w:left w:val="nil"/>
              <w:bottom w:val="single" w:sz="4" w:space="0" w:color="auto"/>
              <w:right w:val="single" w:sz="4" w:space="0" w:color="auto"/>
            </w:tcBorders>
            <w:shd w:val="clear" w:color="auto" w:fill="95B3D7" w:themeFill="accent1" w:themeFillTint="99"/>
            <w:noWrap/>
            <w:hideMark/>
          </w:tcPr>
          <w:p w:rsidR="00C503FF" w:rsidRPr="00F07E39" w:rsidRDefault="00C503FF" w:rsidP="00870F8E">
            <w:pPr>
              <w:spacing w:after="0"/>
              <w:ind w:firstLine="0"/>
              <w:jc w:val="center"/>
              <w:rPr>
                <w:b/>
                <w:bCs/>
                <w:sz w:val="18"/>
                <w:szCs w:val="18"/>
                <w:lang w:eastAsia="lv-LV"/>
              </w:rPr>
            </w:pPr>
            <w:r w:rsidRPr="007333CF">
              <w:rPr>
                <w:b/>
                <w:bCs/>
                <w:color w:val="000000"/>
                <w:sz w:val="18"/>
                <w:szCs w:val="18"/>
                <w:lang w:eastAsia="lv-LV"/>
              </w:rPr>
              <w:t>202</w:t>
            </w:r>
            <w:r>
              <w:rPr>
                <w:b/>
                <w:bCs/>
                <w:color w:val="000000"/>
                <w:sz w:val="18"/>
                <w:szCs w:val="18"/>
                <w:lang w:eastAsia="lv-LV"/>
              </w:rPr>
              <w:t>3</w:t>
            </w:r>
          </w:p>
        </w:tc>
      </w:tr>
      <w:tr w:rsidR="00C503FF" w:rsidRPr="0026061A" w:rsidTr="00C503FF">
        <w:trPr>
          <w:trHeight w:val="75"/>
          <w:tblHeader/>
          <w:jc w:val="center"/>
        </w:trPr>
        <w:tc>
          <w:tcPr>
            <w:tcW w:w="2263"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C503FF" w:rsidRPr="00F07E39" w:rsidRDefault="00C503FF" w:rsidP="00870F8E">
            <w:pPr>
              <w:spacing w:after="0"/>
              <w:ind w:firstLine="0"/>
              <w:jc w:val="left"/>
              <w:rPr>
                <w:b/>
                <w:bCs/>
                <w:color w:val="000000"/>
                <w:sz w:val="18"/>
                <w:szCs w:val="18"/>
                <w:lang w:eastAsia="lv-LV"/>
              </w:rPr>
            </w:pPr>
            <w:r w:rsidRPr="00F07E39">
              <w:rPr>
                <w:b/>
                <w:bCs/>
                <w:color w:val="000000"/>
                <w:sz w:val="18"/>
                <w:szCs w:val="18"/>
                <w:lang w:eastAsia="lv-LV"/>
              </w:rPr>
              <w:t> </w:t>
            </w:r>
          </w:p>
        </w:tc>
        <w:tc>
          <w:tcPr>
            <w:tcW w:w="8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503FF" w:rsidRPr="006A6D52" w:rsidRDefault="00C503FF" w:rsidP="00870F8E">
            <w:pPr>
              <w:spacing w:after="0"/>
              <w:ind w:firstLine="0"/>
              <w:jc w:val="center"/>
              <w:rPr>
                <w:b/>
                <w:sz w:val="18"/>
                <w:szCs w:val="18"/>
                <w:lang w:eastAsia="lv-LV"/>
              </w:rPr>
            </w:pPr>
            <w:r w:rsidRPr="006A6D52">
              <w:rPr>
                <w:b/>
                <w:color w:val="000000"/>
                <w:sz w:val="18"/>
                <w:szCs w:val="18"/>
                <w:lang w:eastAsia="lv-LV"/>
              </w:rPr>
              <w:t>Fakts</w:t>
            </w:r>
            <w:r>
              <w:rPr>
                <w:b/>
                <w:color w:val="000000"/>
                <w:sz w:val="18"/>
                <w:szCs w:val="18"/>
                <w:lang w:eastAsia="lv-LV"/>
              </w:rPr>
              <w:t>*</w:t>
            </w:r>
          </w:p>
        </w:tc>
        <w:tc>
          <w:tcPr>
            <w:tcW w:w="89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C503FF" w:rsidRPr="006A6D52" w:rsidRDefault="00C503FF" w:rsidP="00870F8E">
            <w:pPr>
              <w:spacing w:after="0"/>
              <w:ind w:firstLine="0"/>
              <w:jc w:val="center"/>
              <w:rPr>
                <w:b/>
                <w:sz w:val="18"/>
                <w:szCs w:val="18"/>
                <w:lang w:eastAsia="lv-LV"/>
              </w:rPr>
            </w:pPr>
            <w:r w:rsidRPr="006A6D52">
              <w:rPr>
                <w:b/>
                <w:color w:val="000000"/>
                <w:sz w:val="18"/>
                <w:szCs w:val="18"/>
                <w:lang w:eastAsia="lv-LV"/>
              </w:rPr>
              <w:t>Novērt.</w:t>
            </w:r>
          </w:p>
        </w:tc>
        <w:tc>
          <w:tcPr>
            <w:tcW w:w="2647"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tcPr>
          <w:p w:rsidR="00C503FF" w:rsidRPr="006A6D52" w:rsidRDefault="00C503FF" w:rsidP="00870F8E">
            <w:pPr>
              <w:spacing w:after="0"/>
              <w:ind w:firstLine="0"/>
              <w:jc w:val="center"/>
              <w:rPr>
                <w:b/>
                <w:color w:val="000000"/>
                <w:sz w:val="18"/>
                <w:szCs w:val="18"/>
                <w:lang w:eastAsia="lv-LV"/>
              </w:rPr>
            </w:pPr>
            <w:r w:rsidRPr="006A6D52">
              <w:rPr>
                <w:b/>
                <w:color w:val="000000"/>
                <w:sz w:val="18"/>
                <w:szCs w:val="18"/>
                <w:lang w:eastAsia="lv-LV"/>
              </w:rPr>
              <w:t>Prognoze (nemainīga politika)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503FF" w:rsidRPr="006A6D52" w:rsidRDefault="00C503FF" w:rsidP="00870F8E">
            <w:pPr>
              <w:spacing w:after="0"/>
              <w:ind w:firstLine="0"/>
              <w:jc w:val="center"/>
              <w:rPr>
                <w:b/>
                <w:sz w:val="18"/>
                <w:szCs w:val="18"/>
                <w:lang w:eastAsia="lv-LV"/>
              </w:rPr>
            </w:pPr>
            <w:r w:rsidRPr="006A6D52">
              <w:rPr>
                <w:b/>
                <w:color w:val="000000"/>
                <w:sz w:val="18"/>
                <w:szCs w:val="18"/>
                <w:lang w:eastAsia="lv-LV"/>
              </w:rPr>
              <w:t xml:space="preserve">Prognoze </w:t>
            </w:r>
          </w:p>
        </w:tc>
      </w:tr>
      <w:tr w:rsidR="00C503FF" w:rsidRPr="0026061A" w:rsidTr="00C503FF">
        <w:trPr>
          <w:trHeight w:val="7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FF" w:rsidRPr="00F07E39" w:rsidRDefault="00C503FF" w:rsidP="00870F8E">
            <w:pPr>
              <w:spacing w:after="0"/>
              <w:ind w:firstLine="0"/>
              <w:jc w:val="left"/>
              <w:rPr>
                <w:b/>
                <w:bCs/>
                <w:sz w:val="19"/>
                <w:szCs w:val="19"/>
                <w:lang w:eastAsia="lv-LV"/>
              </w:rPr>
            </w:pPr>
            <w:r w:rsidRPr="00F07E39">
              <w:rPr>
                <w:b/>
                <w:bCs/>
                <w:sz w:val="19"/>
                <w:szCs w:val="19"/>
                <w:lang w:eastAsia="lv-LV"/>
              </w:rPr>
              <w:t>VALSTS BUDŽETA BILANCE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-167,8</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-1 764,5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-1 231,7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-774,5</w:t>
            </w:r>
          </w:p>
        </w:tc>
        <w:tc>
          <w:tcPr>
            <w:tcW w:w="850" w:type="dxa"/>
            <w:tcBorders>
              <w:top w:val="single" w:sz="4" w:space="0" w:color="auto"/>
              <w:left w:val="nil"/>
              <w:bottom w:val="single" w:sz="4" w:space="0" w:color="auto"/>
              <w:right w:val="single" w:sz="4" w:space="0" w:color="auto"/>
            </w:tcBorders>
            <w:shd w:val="clear" w:color="auto" w:fill="auto"/>
            <w:vAlign w:val="center"/>
          </w:tcPr>
          <w:p w:rsidR="00C503FF" w:rsidRPr="00AF0A5A" w:rsidRDefault="00C503FF" w:rsidP="00870F8E">
            <w:pPr>
              <w:spacing w:after="0"/>
              <w:ind w:firstLine="0"/>
              <w:jc w:val="right"/>
              <w:rPr>
                <w:b/>
                <w:sz w:val="18"/>
                <w:szCs w:val="18"/>
                <w:lang w:eastAsia="lv-LV"/>
              </w:rPr>
            </w:pPr>
            <w:r w:rsidRPr="0039412E">
              <w:rPr>
                <w:b/>
                <w:bCs/>
                <w:sz w:val="18"/>
                <w:szCs w:val="32"/>
              </w:rPr>
              <w:t>-243,0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-1 191,2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-741,9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sz w:val="18"/>
                <w:szCs w:val="18"/>
                <w:lang w:eastAsia="lv-LV"/>
              </w:rPr>
            </w:pPr>
            <w:r w:rsidRPr="0039412E">
              <w:rPr>
                <w:b/>
                <w:bCs/>
                <w:sz w:val="18"/>
                <w:szCs w:val="32"/>
              </w:rPr>
              <w:t>-220,4</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9 428,0</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9 190,2</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9 437,7</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10 122,5</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32"/>
              </w:rPr>
              <w:t>10 593,0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9 734,6</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10 489,9</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10 954,5</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Nodokļu 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7 268,0</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7 028,5</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7 554,0</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8 031,5</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8 464,8</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7 767,0</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8 326,0</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8 766,1</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Ne-nodokļu 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575,1</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602,5</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418,6</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399,7</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405,4</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502,3</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473,1</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466,6</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Ārvalstu finanšu palīdzība</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1 314,0</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1 307,3</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1 218,3</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1 446,6</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1 474,2</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1 219,3</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1 447,0</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1 474,2</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Pārējie 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270,9</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251,9</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247,0</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244,7</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248,6</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246,0</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243,7</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247,6</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Izdevumi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9 595,8</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10 954,7</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10 669,4</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10 897,0</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32"/>
              </w:rPr>
              <w:t>10 836,0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10 925,8</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11 231,8</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11 174,9</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8 816,4</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10 140,6</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9 995,3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10 168,6</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10 295,8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10 249,6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10 468,2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10 656,6</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CA4CDD">
              <w:rPr>
                <w:sz w:val="18"/>
                <w:szCs w:val="32"/>
              </w:rPr>
              <w:t>779,4</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CA4CDD">
              <w:rPr>
                <w:sz w:val="18"/>
                <w:szCs w:val="32"/>
              </w:rPr>
              <w:t>814,1</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CA4CDD">
              <w:rPr>
                <w:sz w:val="18"/>
                <w:szCs w:val="32"/>
              </w:rPr>
              <w:t>674,1</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CA4CDD">
              <w:rPr>
                <w:sz w:val="18"/>
                <w:szCs w:val="32"/>
              </w:rPr>
              <w:t>728,4</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CA4CDD">
              <w:rPr>
                <w:sz w:val="18"/>
                <w:szCs w:val="32"/>
              </w:rPr>
              <w:t>540,2</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676,2</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763,7</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518,3</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503FF" w:rsidRPr="00F07E39" w:rsidRDefault="00C503FF" w:rsidP="00870F8E">
            <w:pPr>
              <w:spacing w:after="0"/>
              <w:ind w:firstLine="0"/>
              <w:jc w:val="left"/>
              <w:rPr>
                <w:b/>
                <w:bCs/>
                <w:i/>
                <w:iCs/>
                <w:sz w:val="19"/>
                <w:szCs w:val="19"/>
                <w:lang w:eastAsia="lv-LV"/>
              </w:rPr>
            </w:pPr>
            <w:r w:rsidRPr="00F07E39">
              <w:rPr>
                <w:b/>
                <w:bCs/>
                <w:i/>
                <w:iCs/>
                <w:sz w:val="19"/>
                <w:szCs w:val="19"/>
                <w:lang w:eastAsia="lv-LV"/>
              </w:rPr>
              <w:t>VALSTS PAMATBUDŽETA BILANCE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-485,0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-1 607,3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-1 108,8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-745,8</w:t>
            </w:r>
          </w:p>
        </w:tc>
        <w:tc>
          <w:tcPr>
            <w:tcW w:w="850" w:type="dxa"/>
            <w:tcBorders>
              <w:top w:val="single" w:sz="4" w:space="0" w:color="auto"/>
              <w:left w:val="nil"/>
              <w:bottom w:val="single" w:sz="4" w:space="0" w:color="auto"/>
              <w:right w:val="single" w:sz="4" w:space="0" w:color="auto"/>
            </w:tcBorders>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3FF" w:rsidRPr="00C503FF" w:rsidRDefault="00C503FF" w:rsidP="00870F8E">
            <w:pPr>
              <w:spacing w:after="0"/>
              <w:ind w:firstLine="0"/>
              <w:jc w:val="right"/>
              <w:rPr>
                <w:b/>
                <w:i/>
                <w:sz w:val="18"/>
                <w:szCs w:val="18"/>
                <w:lang w:eastAsia="lv-LV"/>
              </w:rPr>
            </w:pPr>
            <w:r w:rsidRPr="00C503FF">
              <w:rPr>
                <w:b/>
                <w:bCs/>
                <w:sz w:val="18"/>
                <w:szCs w:val="32"/>
              </w:rPr>
              <w:t>-1 158,0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503FF" w:rsidRPr="00C503FF" w:rsidRDefault="00C503FF" w:rsidP="00870F8E">
            <w:pPr>
              <w:spacing w:after="0"/>
              <w:ind w:firstLine="0"/>
              <w:jc w:val="right"/>
              <w:rPr>
                <w:b/>
                <w:i/>
                <w:sz w:val="18"/>
                <w:szCs w:val="18"/>
                <w:lang w:eastAsia="lv-LV"/>
              </w:rPr>
            </w:pPr>
            <w:r w:rsidRPr="00C503FF">
              <w:rPr>
                <w:b/>
                <w:bCs/>
                <w:sz w:val="18"/>
                <w:szCs w:val="32"/>
              </w:rPr>
              <w:t>-884,2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C503FF" w:rsidRDefault="00C503FF" w:rsidP="00870F8E">
            <w:pPr>
              <w:spacing w:after="0"/>
              <w:ind w:firstLine="0"/>
              <w:jc w:val="right"/>
              <w:rPr>
                <w:b/>
                <w:i/>
                <w:sz w:val="18"/>
                <w:szCs w:val="18"/>
                <w:lang w:eastAsia="lv-LV"/>
              </w:rPr>
            </w:pPr>
            <w:r w:rsidRPr="00C503FF">
              <w:rPr>
                <w:b/>
                <w:bCs/>
                <w:sz w:val="18"/>
                <w:szCs w:val="32"/>
              </w:rPr>
              <w:t>-361,8</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6 431,1</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6 316,3</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6 424,2</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6 923,9</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32"/>
              </w:rPr>
              <w:t>7 224,9</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6 682,2</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7 184,2</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7 470,0</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Nodokļu ieņēmumi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4 473,0</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4 364,0</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4 753,1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5 054,5</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5 325,5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4 926,7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5 241,4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5 510,3</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Ne-nodokļu ieņēmumi</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529,0</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546,7</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364,1</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341,7</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343,8</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447,9</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415,1</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404,9</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Ārvalstu finanšu palīdzība</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1 292,7</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1 288,3</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1 199,3</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1 427,6</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1 456,2</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1 200,3</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1 428,0</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1 456,2</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Pārējie 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136,3</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117,2</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107,7</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100,1</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99,4</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107,3</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99,7</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98,5</w:t>
            </w:r>
          </w:p>
        </w:tc>
      </w:tr>
      <w:tr w:rsidR="00C503FF" w:rsidRPr="0026061A" w:rsidTr="00C503FF">
        <w:trPr>
          <w:trHeight w:val="10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Izdevumi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6 916,2</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7 923,5</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7 533,0</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32"/>
              </w:rPr>
              <w:t>7 669,7</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32"/>
              </w:rPr>
              <w:t>7 427,5</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7 840,1</w:t>
            </w:r>
          </w:p>
        </w:tc>
        <w:tc>
          <w:tcPr>
            <w:tcW w:w="850"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8 068,4</w:t>
            </w:r>
          </w:p>
        </w:tc>
        <w:tc>
          <w:tcPr>
            <w:tcW w:w="851" w:type="dxa"/>
            <w:tcBorders>
              <w:top w:val="nil"/>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bCs/>
                <w:sz w:val="18"/>
                <w:szCs w:val="32"/>
              </w:rPr>
              <w:t>7 831,8</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6 152,2</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7 141,3</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6 915,7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7 004,3</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6 923,3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7 221,3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7 367,8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C503FF" w:rsidRDefault="00C503FF" w:rsidP="00870F8E">
            <w:pPr>
              <w:spacing w:after="0"/>
              <w:ind w:firstLine="0"/>
              <w:jc w:val="right"/>
              <w:rPr>
                <w:sz w:val="18"/>
                <w:szCs w:val="18"/>
                <w:lang w:eastAsia="lv-LV"/>
              </w:rPr>
            </w:pPr>
            <w:r w:rsidRPr="00C503FF">
              <w:rPr>
                <w:sz w:val="18"/>
                <w:szCs w:val="32"/>
              </w:rPr>
              <w:t>7 349,5</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764,0</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782,3</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617,3</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665,4</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32"/>
              </w:rPr>
              <w:t>504,2</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618,9</w:t>
            </w:r>
          </w:p>
        </w:tc>
        <w:tc>
          <w:tcPr>
            <w:tcW w:w="850"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700,6</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32"/>
              </w:rPr>
              <w:t>482,3</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503FF" w:rsidRPr="00F07E39" w:rsidRDefault="00C503FF" w:rsidP="00870F8E">
            <w:pPr>
              <w:spacing w:after="0"/>
              <w:ind w:firstLine="0"/>
              <w:jc w:val="left"/>
              <w:rPr>
                <w:b/>
                <w:bCs/>
                <w:i/>
                <w:iCs/>
                <w:sz w:val="19"/>
                <w:szCs w:val="19"/>
                <w:lang w:eastAsia="lv-LV"/>
              </w:rPr>
            </w:pPr>
            <w:r w:rsidRPr="00F07E39">
              <w:rPr>
                <w:b/>
                <w:bCs/>
                <w:i/>
                <w:iCs/>
                <w:sz w:val="19"/>
                <w:szCs w:val="19"/>
                <w:lang w:eastAsia="lv-LV"/>
              </w:rPr>
              <w:t>VALSTS SPECIĀLĀ BUDŽETA BILANCE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299,6</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-177,4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-110,2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-4,5</w:t>
            </w:r>
          </w:p>
        </w:tc>
        <w:tc>
          <w:tcPr>
            <w:tcW w:w="850" w:type="dxa"/>
            <w:tcBorders>
              <w:top w:val="single" w:sz="4" w:space="0" w:color="auto"/>
              <w:left w:val="nil"/>
              <w:bottom w:val="single" w:sz="4" w:space="0" w:color="auto"/>
              <w:right w:val="single" w:sz="4" w:space="0" w:color="auto"/>
            </w:tcBorders>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-21,6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165,3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03FF" w:rsidRPr="00AF0A5A" w:rsidRDefault="00C503FF" w:rsidP="00870F8E">
            <w:pPr>
              <w:spacing w:after="0"/>
              <w:ind w:firstLine="0"/>
              <w:jc w:val="right"/>
              <w:rPr>
                <w:b/>
                <w:i/>
                <w:sz w:val="18"/>
                <w:szCs w:val="18"/>
                <w:lang w:eastAsia="lv-LV"/>
              </w:rPr>
            </w:pPr>
            <w:r w:rsidRPr="00CA4CDD">
              <w:rPr>
                <w:b/>
                <w:bCs/>
                <w:sz w:val="18"/>
                <w:szCs w:val="18"/>
              </w:rPr>
              <w:t>184,0</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3 050,3</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2 922,9</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3 053,5</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3 226,3</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18"/>
              </w:rPr>
              <w:t>3 390,3</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3 151,0</w:t>
            </w:r>
          </w:p>
        </w:tc>
        <w:tc>
          <w:tcPr>
            <w:tcW w:w="850"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3 391,9</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3 565,0</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Nodokļu ieņēmumi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2 795,0</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2 664,5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2 800,9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2 977,0</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18"/>
              </w:rPr>
              <w:t>3 139,3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2 840,4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3 084,7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3 255,8</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Pārējie ieņēmumi</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255,3</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258,4</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252,6</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249,3</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18"/>
              </w:rPr>
              <w:t>251,0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310,7</w:t>
            </w:r>
          </w:p>
        </w:tc>
        <w:tc>
          <w:tcPr>
            <w:tcW w:w="850"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307,2</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309,2</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Izdevumi</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2 750,8</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3 100,2</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3 163,6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3 230,8</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bCs/>
                <w:sz w:val="18"/>
                <w:szCs w:val="18"/>
              </w:rPr>
              <w:t>3 386,9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3 172,6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3 226,6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bCs/>
                <w:sz w:val="18"/>
                <w:szCs w:val="18"/>
              </w:rPr>
              <w:t>3 381,0</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2 749,7</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3 099,2</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3 162,4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3 229,6</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18"/>
              </w:rPr>
              <w:t>3 385,8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3 170,5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3 225,4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3 379,9</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239" w:firstLineChars="200" w:firstLine="380"/>
              <w:rPr>
                <w:sz w:val="19"/>
                <w:szCs w:val="19"/>
                <w:lang w:eastAsia="lv-LV"/>
              </w:rPr>
            </w:pPr>
            <w:r w:rsidRPr="00F07E39">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1,1</w:t>
            </w:r>
          </w:p>
        </w:tc>
        <w:tc>
          <w:tcPr>
            <w:tcW w:w="89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1,1</w:t>
            </w:r>
          </w:p>
        </w:tc>
        <w:tc>
          <w:tcPr>
            <w:tcW w:w="946"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1,3</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400E4F">
              <w:rPr>
                <w:sz w:val="18"/>
                <w:szCs w:val="18"/>
              </w:rPr>
              <w:t>1,1</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2,1</w:t>
            </w:r>
          </w:p>
        </w:tc>
        <w:tc>
          <w:tcPr>
            <w:tcW w:w="850"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tcPr>
          <w:p w:rsidR="00C503FF" w:rsidRPr="00AF0A5A" w:rsidRDefault="00C503FF" w:rsidP="00870F8E">
            <w:pPr>
              <w:spacing w:after="0"/>
              <w:ind w:firstLine="0"/>
              <w:jc w:val="right"/>
              <w:rPr>
                <w:sz w:val="18"/>
                <w:szCs w:val="18"/>
                <w:lang w:eastAsia="lv-LV"/>
              </w:rPr>
            </w:pPr>
            <w:r w:rsidRPr="00400E4F">
              <w:rPr>
                <w:sz w:val="18"/>
                <w:szCs w:val="18"/>
              </w:rPr>
              <w:t>1,1</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503FF" w:rsidRPr="00F07E39" w:rsidRDefault="00C503FF" w:rsidP="00870F8E">
            <w:pPr>
              <w:spacing w:after="0"/>
              <w:ind w:firstLine="0"/>
              <w:jc w:val="left"/>
              <w:rPr>
                <w:b/>
                <w:bCs/>
                <w:i/>
                <w:iCs/>
                <w:sz w:val="19"/>
                <w:szCs w:val="19"/>
                <w:lang w:eastAsia="lv-LV"/>
              </w:rPr>
            </w:pPr>
            <w:r w:rsidRPr="00F07E39">
              <w:rPr>
                <w:b/>
                <w:bCs/>
                <w:i/>
                <w:iCs/>
                <w:sz w:val="19"/>
                <w:szCs w:val="19"/>
                <w:lang w:eastAsia="lv-LV"/>
              </w:rPr>
              <w:t>ATVAS. PUBL. PERS. BUDŽETA BILANCE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17,9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20,1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-12,7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-24,1</w:t>
            </w:r>
          </w:p>
        </w:tc>
        <w:tc>
          <w:tcPr>
            <w:tcW w:w="850" w:type="dxa"/>
            <w:tcBorders>
              <w:top w:val="single" w:sz="4" w:space="0" w:color="auto"/>
              <w:left w:val="nil"/>
              <w:bottom w:val="single" w:sz="4" w:space="0" w:color="auto"/>
              <w:right w:val="single" w:sz="4" w:space="0" w:color="auto"/>
            </w:tcBorders>
            <w:vAlign w:val="center"/>
          </w:tcPr>
          <w:p w:rsidR="00C503FF" w:rsidRPr="00AF0A5A" w:rsidRDefault="00C503FF" w:rsidP="00870F8E">
            <w:pPr>
              <w:spacing w:after="0"/>
              <w:ind w:firstLine="0"/>
              <w:jc w:val="right"/>
              <w:rPr>
                <w:b/>
                <w:i/>
                <w:sz w:val="18"/>
                <w:szCs w:val="18"/>
                <w:lang w:eastAsia="lv-LV"/>
              </w:rPr>
            </w:pPr>
            <w:r w:rsidRPr="00CA4CDD">
              <w:rPr>
                <w:b/>
                <w:bCs/>
                <w:sz w:val="18"/>
                <w:szCs w:val="32"/>
              </w:rPr>
              <w:t>-43,7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-11,7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-23,1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503FF" w:rsidRPr="00AF0A5A" w:rsidRDefault="00C503FF" w:rsidP="00870F8E">
            <w:pPr>
              <w:spacing w:after="0"/>
              <w:ind w:firstLine="0"/>
              <w:jc w:val="right"/>
              <w:rPr>
                <w:b/>
                <w:i/>
                <w:sz w:val="18"/>
                <w:szCs w:val="18"/>
                <w:lang w:eastAsia="lv-LV"/>
              </w:rPr>
            </w:pPr>
            <w:r w:rsidRPr="00CA4CDD">
              <w:rPr>
                <w:b/>
                <w:bCs/>
                <w:sz w:val="18"/>
                <w:szCs w:val="32"/>
              </w:rPr>
              <w:t>-42,6</w:t>
            </w:r>
          </w:p>
        </w:tc>
      </w:tr>
      <w:tr w:rsidR="00C503FF" w:rsidRPr="0026061A" w:rsidTr="00C503FF">
        <w:trPr>
          <w:trHeight w:val="7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466,6</w:t>
            </w:r>
          </w:p>
        </w:tc>
        <w:tc>
          <w:tcPr>
            <w:tcW w:w="896"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453,8</w:t>
            </w:r>
          </w:p>
        </w:tc>
        <w:tc>
          <w:tcPr>
            <w:tcW w:w="946"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457,7</w:t>
            </w:r>
          </w:p>
        </w:tc>
        <w:tc>
          <w:tcPr>
            <w:tcW w:w="851"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450,2</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CA4CDD">
              <w:rPr>
                <w:bCs/>
                <w:sz w:val="18"/>
                <w:szCs w:val="32"/>
              </w:rPr>
              <w:t>425,1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485,9</w:t>
            </w:r>
          </w:p>
        </w:tc>
        <w:tc>
          <w:tcPr>
            <w:tcW w:w="850"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465,7</w:t>
            </w:r>
          </w:p>
        </w:tc>
        <w:tc>
          <w:tcPr>
            <w:tcW w:w="851" w:type="dxa"/>
            <w:tcBorders>
              <w:top w:val="nil"/>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440,4</w:t>
            </w:r>
          </w:p>
        </w:tc>
      </w:tr>
      <w:tr w:rsidR="00C503FF" w:rsidRPr="0026061A" w:rsidTr="00C503FF">
        <w:trPr>
          <w:trHeight w:val="7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FF" w:rsidRPr="00F07E39" w:rsidRDefault="00C503FF" w:rsidP="00870F8E">
            <w:pPr>
              <w:spacing w:after="0"/>
              <w:ind w:left="-183" w:firstLineChars="100" w:firstLine="190"/>
              <w:jc w:val="left"/>
              <w:rPr>
                <w:sz w:val="19"/>
                <w:szCs w:val="19"/>
                <w:lang w:eastAsia="lv-LV"/>
              </w:rPr>
            </w:pPr>
            <w:r w:rsidRPr="00F07E39">
              <w:rPr>
                <w:sz w:val="19"/>
                <w:szCs w:val="19"/>
                <w:lang w:eastAsia="lv-LV"/>
              </w:rPr>
              <w:t>Izdevumi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448,7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433,7</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470,3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474,3</w:t>
            </w:r>
          </w:p>
        </w:tc>
        <w:tc>
          <w:tcPr>
            <w:tcW w:w="850" w:type="dxa"/>
            <w:tcBorders>
              <w:top w:val="single" w:sz="4" w:space="0" w:color="auto"/>
              <w:left w:val="nil"/>
              <w:bottom w:val="single" w:sz="4" w:space="0" w:color="auto"/>
              <w:right w:val="single" w:sz="4" w:space="0" w:color="auto"/>
            </w:tcBorders>
            <w:vAlign w:val="bottom"/>
          </w:tcPr>
          <w:p w:rsidR="00C503FF" w:rsidRPr="00AF0A5A" w:rsidRDefault="00C503FF" w:rsidP="00870F8E">
            <w:pPr>
              <w:spacing w:after="0"/>
              <w:ind w:firstLine="0"/>
              <w:jc w:val="right"/>
              <w:rPr>
                <w:sz w:val="18"/>
                <w:szCs w:val="18"/>
                <w:lang w:eastAsia="lv-LV"/>
              </w:rPr>
            </w:pPr>
            <w:r w:rsidRPr="00CA4CDD">
              <w:rPr>
                <w:bCs/>
                <w:sz w:val="18"/>
                <w:szCs w:val="32"/>
              </w:rPr>
              <w:t>468,8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497,6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488,8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03FF" w:rsidRPr="00AF0A5A" w:rsidRDefault="00C503FF" w:rsidP="00870F8E">
            <w:pPr>
              <w:spacing w:after="0"/>
              <w:ind w:firstLine="0"/>
              <w:jc w:val="right"/>
              <w:rPr>
                <w:sz w:val="18"/>
                <w:szCs w:val="18"/>
                <w:lang w:eastAsia="lv-LV"/>
              </w:rPr>
            </w:pPr>
            <w:r w:rsidRPr="00CA4CDD">
              <w:rPr>
                <w:bCs/>
                <w:sz w:val="18"/>
                <w:szCs w:val="32"/>
              </w:rPr>
              <w:t>483,0</w:t>
            </w:r>
          </w:p>
        </w:tc>
      </w:tr>
    </w:tbl>
    <w:p w:rsidR="0090538F" w:rsidRPr="00234A3D" w:rsidRDefault="0090538F" w:rsidP="0090538F">
      <w:pPr>
        <w:spacing w:before="120" w:after="0"/>
        <w:ind w:firstLine="0"/>
        <w:rPr>
          <w:color w:val="000000" w:themeColor="text1"/>
          <w:sz w:val="17"/>
          <w:szCs w:val="17"/>
        </w:rPr>
      </w:pPr>
      <w:r w:rsidRPr="0090538F">
        <w:rPr>
          <w:color w:val="000000" w:themeColor="text1"/>
          <w:sz w:val="18"/>
          <w:szCs w:val="18"/>
        </w:rPr>
        <w:t>* Atbilstoši 2020.</w:t>
      </w:r>
      <w:r>
        <w:rPr>
          <w:color w:val="000000" w:themeColor="text1"/>
          <w:sz w:val="18"/>
          <w:szCs w:val="18"/>
        </w:rPr>
        <w:t xml:space="preserve"> </w:t>
      </w:r>
      <w:r w:rsidRPr="0090538F">
        <w:rPr>
          <w:color w:val="000000" w:themeColor="text1"/>
          <w:sz w:val="18"/>
          <w:szCs w:val="18"/>
        </w:rPr>
        <w:t>gada aprīļa notifikācijas datiem, tai skaitā kopbudžeta izpilde atbilstoši Valsts kases oficiālajam mēneša pārskatam</w:t>
      </w:r>
      <w:r w:rsidRPr="0090538F">
        <w:rPr>
          <w:color w:val="000000" w:themeColor="text1"/>
          <w:sz w:val="16"/>
          <w:szCs w:val="17"/>
        </w:rPr>
        <w:t xml:space="preserve"> </w:t>
      </w:r>
      <w:r>
        <w:rPr>
          <w:color w:val="000000" w:themeColor="text1"/>
          <w:sz w:val="17"/>
          <w:szCs w:val="17"/>
        </w:rPr>
        <w:t>par 2019. gada janvāri-decembri.</w:t>
      </w:r>
    </w:p>
    <w:p w:rsidR="0090538F" w:rsidRPr="0090538F" w:rsidRDefault="0090538F" w:rsidP="0090538F">
      <w:pPr>
        <w:tabs>
          <w:tab w:val="left" w:pos="1965"/>
        </w:tabs>
        <w:spacing w:before="120"/>
        <w:rPr>
          <w:b/>
          <w:color w:val="000000" w:themeColor="text1"/>
          <w:szCs w:val="28"/>
        </w:rPr>
      </w:pPr>
      <w:r w:rsidRPr="0090538F">
        <w:rPr>
          <w:b/>
          <w:color w:val="000000" w:themeColor="text1"/>
          <w:szCs w:val="28"/>
        </w:rPr>
        <w:t>Pašvaldību budžets</w:t>
      </w:r>
    </w:p>
    <w:p w:rsidR="0090538F" w:rsidRPr="0090538F" w:rsidRDefault="0090538F" w:rsidP="0090538F">
      <w:pPr>
        <w:spacing w:before="120"/>
        <w:ind w:firstLine="720"/>
        <w:rPr>
          <w:szCs w:val="28"/>
        </w:rPr>
      </w:pPr>
      <w:r w:rsidRPr="0090538F">
        <w:rPr>
          <w:szCs w:val="28"/>
        </w:rPr>
        <w:t xml:space="preserve">2019. gadā pašvaldību budžetā ieņēmumi pieauga straujāk kā izdevumi, veidojot pārpalikumu 50,2 milj. </w:t>
      </w:r>
      <w:r w:rsidRPr="0090538F">
        <w:rPr>
          <w:i/>
          <w:noProof/>
          <w:szCs w:val="28"/>
        </w:rPr>
        <w:t>euro</w:t>
      </w:r>
      <w:r w:rsidRPr="0090538F">
        <w:rPr>
          <w:noProof/>
          <w:szCs w:val="28"/>
        </w:rPr>
        <w:t xml:space="preserve"> apmērā. Augsto ieņēmumu līmeni nodrošināja iedzīvotāju ienākuma nodokļa ieņēmumu kāpums dēļ augošajiem darba ienākumiem, savukārt pašvaldību budžeta izdevumu pieaugumu nodrošināja atlīdzības, preču un pakalpojumu, kā arī subsīdiju un dotāciju pieaugums. Kapitālo izdevumu apmērs pagājušajā gadā saglabājās 2018. gada līmenī, ņemot vērā aizņemšanās ierobežojumus. 2020. gadā pašvaldību budžetā tiek prognozēts deficīts 18,3 milj. </w:t>
      </w:r>
      <w:r w:rsidRPr="0090538F">
        <w:rPr>
          <w:i/>
          <w:noProof/>
          <w:szCs w:val="28"/>
        </w:rPr>
        <w:t>euro</w:t>
      </w:r>
      <w:r w:rsidRPr="0090538F">
        <w:rPr>
          <w:noProof/>
          <w:szCs w:val="28"/>
        </w:rPr>
        <w:t xml:space="preserve"> </w:t>
      </w:r>
      <w:r w:rsidRPr="0090538F">
        <w:rPr>
          <w:szCs w:val="28"/>
        </w:rPr>
        <w:t xml:space="preserve">apmērā – ieņēmumiem Covid-19 ietekmē samazinoties straujāk nekā izdevumiem. </w:t>
      </w:r>
    </w:p>
    <w:p w:rsidR="0090538F" w:rsidRPr="0090538F" w:rsidRDefault="0090538F" w:rsidP="0090538F">
      <w:pPr>
        <w:spacing w:before="120"/>
        <w:rPr>
          <w:szCs w:val="28"/>
        </w:rPr>
      </w:pPr>
      <w:r w:rsidRPr="0090538F">
        <w:rPr>
          <w:szCs w:val="28"/>
        </w:rPr>
        <w:t>Vidējā termiņā pašvaldību budžetā tiek prognozēts deficīts, ieņēmumiem sarūkot straujāk nekā izdevumiem. Ieņēmumu samazinājumu galvenokārt noteiks valdības lēmums par IIN sadalījuma maiņu, pašvaldībām pārdalot 75% no kopējiem IIN ieņēmumiem iepriekšējo 80% vietā. Tāpat IIN ieņēmumus negatīvi ietekmēs ar nodokli neapliekamā minimuma, tai skaitā pensijām, paaugstināšana 2021. gadā līdz 330 </w:t>
      </w:r>
      <w:proofErr w:type="spellStart"/>
      <w:r w:rsidRPr="0090538F">
        <w:rPr>
          <w:i/>
          <w:noProof/>
          <w:szCs w:val="28"/>
        </w:rPr>
        <w:t>euro</w:t>
      </w:r>
      <w:proofErr w:type="spellEnd"/>
      <w:r w:rsidRPr="0090538F">
        <w:rPr>
          <w:noProof/>
          <w:szCs w:val="28"/>
        </w:rPr>
        <w:t>. Arī transferti</w:t>
      </w:r>
      <w:r w:rsidRPr="0090538F">
        <w:rPr>
          <w:szCs w:val="28"/>
        </w:rPr>
        <w:t xml:space="preserve"> no valsts budžeta vidējā termiņā paredzēti zemākā apmērā nekā 2020. gadā, galvenokārt dēļ iepriekšējā ES fondu investīciju cikla noslēgšanās.</w:t>
      </w:r>
    </w:p>
    <w:p w:rsidR="0090538F" w:rsidRPr="0090538F" w:rsidRDefault="0090538F" w:rsidP="0090538F">
      <w:pPr>
        <w:spacing w:before="120"/>
        <w:rPr>
          <w:szCs w:val="28"/>
        </w:rPr>
      </w:pPr>
      <w:r w:rsidRPr="0090538F">
        <w:rPr>
          <w:szCs w:val="28"/>
        </w:rPr>
        <w:lastRenderedPageBreak/>
        <w:t xml:space="preserve">Būtiski samazinoties ieņēmumiem, tiek prognozēts, ka pašvaldības samazinās arī izdevumus, piemēram, kapitālajiem ieguldījumiem. Lai gan 2020. gadā, lai mazinātu Covid-19 krīzes ietekmi, pašvaldībām ir palielināts aizņemšanās limits par 150 milj. eiro augstas gatavības investīciju projektiem, un tiek piedāvāts to izmantot arī 2021. gadā, prognozējams, ka pašvaldības, ņemot vērā faktisko izpildi līdz šā gada oktobrim, varētu pilnībā neizmantot piešķirto aizņemšanās limitu. Kopumā vidējā termiņā tiek prognozēts, ka kapitālie izdevumi nesasniegs 2019. gada izdevumu līmeni. Vienlaikus, ir izdevumu pozīcijas, kur tiek prognozēts kāpums, piemēram, atlīdzībai, pamatojoties uz minimālās algas celšanu no 2021. gada un atalgojuma palielināšanu pedagogiem, kā arī sociālajiem pabalstiem. No 2021. gada 1. janvāra tiek celts garantētā minimālā ienākuma slieksnis </w:t>
      </w:r>
      <w:r w:rsidRPr="0090538F">
        <w:rPr>
          <w:noProof/>
          <w:szCs w:val="28"/>
        </w:rPr>
        <w:t xml:space="preserve">līdz 109 </w:t>
      </w:r>
      <w:r w:rsidRPr="0090538F">
        <w:rPr>
          <w:i/>
          <w:noProof/>
          <w:szCs w:val="28"/>
        </w:rPr>
        <w:t>euro</w:t>
      </w:r>
      <w:r w:rsidRPr="0090538F">
        <w:rPr>
          <w:noProof/>
          <w:szCs w:val="28"/>
        </w:rPr>
        <w:t xml:space="preserve"> pirmajai vai vienīgajai personai mājsaimniecībā un 76 </w:t>
      </w:r>
      <w:r w:rsidRPr="0090538F">
        <w:rPr>
          <w:i/>
          <w:noProof/>
          <w:szCs w:val="28"/>
        </w:rPr>
        <w:t>euro</w:t>
      </w:r>
      <w:r w:rsidRPr="0090538F">
        <w:rPr>
          <w:noProof/>
          <w:szCs w:val="28"/>
        </w:rPr>
        <w:t xml:space="preserve"> katrai nākamajai</w:t>
      </w:r>
      <w:r w:rsidRPr="0090538F">
        <w:rPr>
          <w:szCs w:val="28"/>
        </w:rPr>
        <w:t xml:space="preserve"> personai mājsaimniecībā, attiecīgi pašvaldību budžetā veidojot papildus izdevumus. </w:t>
      </w:r>
    </w:p>
    <w:p w:rsidR="0090538F" w:rsidRPr="0035239A" w:rsidRDefault="0090538F" w:rsidP="00C4506F">
      <w:pPr>
        <w:keepNext/>
        <w:spacing w:before="120"/>
        <w:ind w:firstLine="0"/>
        <w:jc w:val="center"/>
        <w:rPr>
          <w:i/>
          <w:szCs w:val="24"/>
        </w:rPr>
      </w:pPr>
      <w:r w:rsidRPr="00C11449">
        <w:rPr>
          <w:b/>
          <w:i/>
          <w:szCs w:val="24"/>
        </w:rPr>
        <w:t xml:space="preserve">2.3. tabula </w:t>
      </w:r>
      <w:r w:rsidRPr="00C4506F">
        <w:rPr>
          <w:b/>
          <w:szCs w:val="24"/>
        </w:rPr>
        <w:t>Pašvaldību konsolidētā budžeta bilance 2019.-2023.gadā, milj.</w:t>
      </w:r>
      <w:r w:rsidRPr="00C11449">
        <w:rPr>
          <w:b/>
          <w:i/>
          <w:szCs w:val="24"/>
        </w:rPr>
        <w:t xml:space="preserve"> </w:t>
      </w:r>
      <w:r w:rsidRPr="00C11449">
        <w:rPr>
          <w:b/>
          <w:i/>
          <w:noProof/>
          <w:szCs w:val="24"/>
        </w:rPr>
        <w:t>euro</w:t>
      </w:r>
    </w:p>
    <w:tbl>
      <w:tblPr>
        <w:tblW w:w="9070" w:type="dxa"/>
        <w:jc w:val="center"/>
        <w:tblLook w:val="04A0" w:firstRow="1" w:lastRow="0" w:firstColumn="1" w:lastColumn="0" w:noHBand="0" w:noVBand="1"/>
      </w:tblPr>
      <w:tblGrid>
        <w:gridCol w:w="2581"/>
        <w:gridCol w:w="815"/>
        <w:gridCol w:w="896"/>
        <w:gridCol w:w="806"/>
        <w:gridCol w:w="851"/>
        <w:gridCol w:w="898"/>
        <w:gridCol w:w="711"/>
        <w:gridCol w:w="801"/>
        <w:gridCol w:w="711"/>
      </w:tblGrid>
      <w:tr w:rsidR="0090538F" w:rsidRPr="00C4506F" w:rsidTr="0090538F">
        <w:trPr>
          <w:trHeight w:val="100"/>
          <w:jc w:val="center"/>
        </w:trPr>
        <w:tc>
          <w:tcPr>
            <w:tcW w:w="258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90538F" w:rsidRPr="00C4506F" w:rsidRDefault="0090538F" w:rsidP="0090538F">
            <w:pPr>
              <w:spacing w:after="0"/>
              <w:ind w:firstLine="0"/>
              <w:jc w:val="left"/>
              <w:rPr>
                <w:color w:val="000000"/>
                <w:sz w:val="18"/>
                <w:szCs w:val="18"/>
                <w:lang w:eastAsia="lv-LV"/>
              </w:rPr>
            </w:pPr>
            <w:r w:rsidRPr="00C4506F">
              <w:rPr>
                <w:color w:val="000000"/>
                <w:sz w:val="18"/>
                <w:szCs w:val="18"/>
                <w:lang w:eastAsia="lv-LV"/>
              </w:rPr>
              <w:t> </w:t>
            </w:r>
          </w:p>
        </w:tc>
        <w:tc>
          <w:tcPr>
            <w:tcW w:w="815"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2019</w:t>
            </w:r>
          </w:p>
        </w:tc>
        <w:tc>
          <w:tcPr>
            <w:tcW w:w="896"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2020</w:t>
            </w:r>
          </w:p>
        </w:tc>
        <w:tc>
          <w:tcPr>
            <w:tcW w:w="806"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2021</w:t>
            </w:r>
          </w:p>
        </w:tc>
        <w:tc>
          <w:tcPr>
            <w:tcW w:w="8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2022</w:t>
            </w:r>
          </w:p>
        </w:tc>
        <w:tc>
          <w:tcPr>
            <w:tcW w:w="898" w:type="dxa"/>
            <w:tcBorders>
              <w:top w:val="single" w:sz="4" w:space="0" w:color="auto"/>
              <w:left w:val="nil"/>
              <w:bottom w:val="single" w:sz="4" w:space="0" w:color="auto"/>
              <w:right w:val="single" w:sz="4" w:space="0" w:color="auto"/>
            </w:tcBorders>
            <w:shd w:val="clear" w:color="auto" w:fill="95B3D7" w:themeFill="accent1" w:themeFillTint="99"/>
            <w:noWrap/>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2023</w:t>
            </w:r>
          </w:p>
        </w:tc>
        <w:tc>
          <w:tcPr>
            <w:tcW w:w="71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0538F" w:rsidRPr="00C4506F" w:rsidRDefault="0090538F" w:rsidP="0090538F">
            <w:pPr>
              <w:spacing w:after="0"/>
              <w:ind w:firstLine="0"/>
              <w:jc w:val="center"/>
              <w:rPr>
                <w:b/>
                <w:bCs/>
                <w:color w:val="000000"/>
                <w:sz w:val="18"/>
                <w:szCs w:val="18"/>
                <w:lang w:eastAsia="lv-LV"/>
              </w:rPr>
            </w:pPr>
            <w:r w:rsidRPr="00C4506F">
              <w:rPr>
                <w:b/>
                <w:bCs/>
                <w:color w:val="000000"/>
                <w:sz w:val="18"/>
                <w:szCs w:val="18"/>
                <w:lang w:eastAsia="lv-LV"/>
              </w:rPr>
              <w:t>2021</w:t>
            </w:r>
          </w:p>
        </w:tc>
        <w:tc>
          <w:tcPr>
            <w:tcW w:w="8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2022</w:t>
            </w:r>
          </w:p>
        </w:tc>
        <w:tc>
          <w:tcPr>
            <w:tcW w:w="711" w:type="dxa"/>
            <w:tcBorders>
              <w:top w:val="single" w:sz="4" w:space="0" w:color="auto"/>
              <w:left w:val="nil"/>
              <w:bottom w:val="single" w:sz="4" w:space="0" w:color="auto"/>
              <w:right w:val="single" w:sz="4" w:space="0" w:color="auto"/>
            </w:tcBorders>
            <w:shd w:val="clear" w:color="auto" w:fill="95B3D7" w:themeFill="accent1" w:themeFillTint="99"/>
            <w:noWrap/>
            <w:hideMark/>
          </w:tcPr>
          <w:p w:rsidR="0090538F" w:rsidRPr="00C4506F" w:rsidRDefault="0090538F" w:rsidP="0090538F">
            <w:pPr>
              <w:spacing w:after="0"/>
              <w:ind w:firstLine="0"/>
              <w:jc w:val="center"/>
              <w:rPr>
                <w:b/>
                <w:bCs/>
                <w:sz w:val="18"/>
                <w:szCs w:val="18"/>
                <w:lang w:eastAsia="lv-LV"/>
              </w:rPr>
            </w:pPr>
            <w:r w:rsidRPr="00C4506F">
              <w:rPr>
                <w:b/>
                <w:bCs/>
                <w:color w:val="000000"/>
                <w:sz w:val="18"/>
                <w:szCs w:val="18"/>
                <w:lang w:eastAsia="lv-LV"/>
              </w:rPr>
              <w:t>2023</w:t>
            </w:r>
          </w:p>
        </w:tc>
      </w:tr>
      <w:tr w:rsidR="0090538F" w:rsidRPr="00C4506F" w:rsidTr="0090538F">
        <w:trPr>
          <w:trHeight w:val="78"/>
          <w:jc w:val="center"/>
        </w:trPr>
        <w:tc>
          <w:tcPr>
            <w:tcW w:w="258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90538F" w:rsidRPr="00C4506F" w:rsidRDefault="0090538F" w:rsidP="0090538F">
            <w:pPr>
              <w:spacing w:after="0"/>
              <w:ind w:firstLine="0"/>
              <w:jc w:val="left"/>
              <w:rPr>
                <w:b/>
                <w:bCs/>
                <w:color w:val="000000"/>
                <w:sz w:val="18"/>
                <w:szCs w:val="18"/>
                <w:lang w:eastAsia="lv-LV"/>
              </w:rPr>
            </w:pPr>
            <w:r w:rsidRPr="00C4506F">
              <w:rPr>
                <w:b/>
                <w:bCs/>
                <w:color w:val="000000"/>
                <w:sz w:val="18"/>
                <w:szCs w:val="18"/>
                <w:lang w:eastAsia="lv-LV"/>
              </w:rPr>
              <w:t> </w:t>
            </w:r>
          </w:p>
        </w:tc>
        <w:tc>
          <w:tcPr>
            <w:tcW w:w="815"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90538F" w:rsidRPr="00C4506F" w:rsidRDefault="0090538F" w:rsidP="0090538F">
            <w:pPr>
              <w:spacing w:after="0"/>
              <w:ind w:firstLine="0"/>
              <w:jc w:val="center"/>
              <w:rPr>
                <w:b/>
                <w:sz w:val="18"/>
                <w:szCs w:val="18"/>
                <w:lang w:eastAsia="lv-LV"/>
              </w:rPr>
            </w:pPr>
            <w:r w:rsidRPr="00C4506F">
              <w:rPr>
                <w:b/>
                <w:color w:val="000000"/>
                <w:sz w:val="18"/>
                <w:szCs w:val="18"/>
                <w:lang w:eastAsia="lv-LV"/>
              </w:rPr>
              <w:t>Fakts*</w:t>
            </w:r>
          </w:p>
        </w:tc>
        <w:tc>
          <w:tcPr>
            <w:tcW w:w="89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0538F" w:rsidRPr="00C4506F" w:rsidRDefault="0090538F" w:rsidP="0090538F">
            <w:pPr>
              <w:spacing w:after="0"/>
              <w:ind w:firstLine="0"/>
              <w:jc w:val="center"/>
              <w:rPr>
                <w:b/>
                <w:sz w:val="18"/>
                <w:szCs w:val="18"/>
                <w:lang w:eastAsia="lv-LV"/>
              </w:rPr>
            </w:pPr>
            <w:r w:rsidRPr="00C4506F">
              <w:rPr>
                <w:b/>
                <w:sz w:val="18"/>
                <w:szCs w:val="18"/>
                <w:lang w:eastAsia="lv-LV"/>
              </w:rPr>
              <w:t>Novērt.</w:t>
            </w:r>
          </w:p>
        </w:tc>
        <w:tc>
          <w:tcPr>
            <w:tcW w:w="2555"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tcPr>
          <w:p w:rsidR="0090538F" w:rsidRPr="00C4506F" w:rsidRDefault="0090538F" w:rsidP="0090538F">
            <w:pPr>
              <w:spacing w:after="0"/>
              <w:ind w:firstLine="0"/>
              <w:jc w:val="center"/>
              <w:rPr>
                <w:b/>
                <w:sz w:val="18"/>
                <w:szCs w:val="18"/>
                <w:lang w:eastAsia="lv-LV"/>
              </w:rPr>
            </w:pPr>
            <w:r w:rsidRPr="00C4506F">
              <w:rPr>
                <w:b/>
                <w:color w:val="000000"/>
                <w:sz w:val="18"/>
                <w:szCs w:val="18"/>
                <w:lang w:eastAsia="lv-LV"/>
              </w:rPr>
              <w:t>Prognoze (nemainīga politika)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0538F" w:rsidRPr="00C4506F" w:rsidRDefault="0090538F" w:rsidP="0090538F">
            <w:pPr>
              <w:spacing w:after="0"/>
              <w:ind w:firstLine="0"/>
              <w:jc w:val="center"/>
              <w:rPr>
                <w:b/>
                <w:sz w:val="18"/>
                <w:szCs w:val="18"/>
                <w:lang w:eastAsia="lv-LV"/>
              </w:rPr>
            </w:pPr>
            <w:r w:rsidRPr="00C4506F">
              <w:rPr>
                <w:b/>
                <w:sz w:val="18"/>
                <w:szCs w:val="18"/>
                <w:lang w:eastAsia="lv-LV"/>
              </w:rPr>
              <w:t>Prognoze</w:t>
            </w:r>
          </w:p>
        </w:tc>
      </w:tr>
      <w:tr w:rsidR="0090538F" w:rsidRPr="00C4506F" w:rsidTr="0090538F">
        <w:trPr>
          <w:trHeight w:val="184"/>
          <w:jc w:val="center"/>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38F" w:rsidRPr="00C4506F" w:rsidRDefault="0090538F" w:rsidP="0090538F">
            <w:pPr>
              <w:spacing w:after="0"/>
              <w:ind w:firstLine="0"/>
              <w:jc w:val="left"/>
              <w:rPr>
                <w:b/>
                <w:bCs/>
                <w:sz w:val="18"/>
                <w:szCs w:val="18"/>
                <w:lang w:eastAsia="lv-LV"/>
              </w:rPr>
            </w:pPr>
            <w:r w:rsidRPr="00C4506F">
              <w:rPr>
                <w:b/>
                <w:bCs/>
                <w:sz w:val="18"/>
                <w:szCs w:val="18"/>
                <w:lang w:eastAsia="lv-LV"/>
              </w:rPr>
              <w:t>PAŠVALDĪBU BUDŽETA BILANCE</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sz w:val="18"/>
                <w:szCs w:val="18"/>
              </w:rPr>
              <w:t>50,2</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sz w:val="18"/>
                <w:szCs w:val="18"/>
              </w:rPr>
              <w:t>-18,3</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sz w:val="18"/>
                <w:szCs w:val="18"/>
              </w:rPr>
              <w:t>-68,8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sz w:val="18"/>
                <w:szCs w:val="18"/>
              </w:rPr>
              <w:t>-92,1</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sz w:val="18"/>
                <w:szCs w:val="18"/>
              </w:rPr>
              <w:t>-88,7</w:t>
            </w:r>
          </w:p>
        </w:tc>
        <w:tc>
          <w:tcPr>
            <w:tcW w:w="711" w:type="dxa"/>
            <w:tcBorders>
              <w:top w:val="single" w:sz="4" w:space="0" w:color="auto"/>
              <w:left w:val="nil"/>
              <w:bottom w:val="single" w:sz="4" w:space="0" w:color="auto"/>
              <w:right w:val="single" w:sz="4" w:space="0" w:color="auto"/>
            </w:tcBorders>
            <w:shd w:val="clear" w:color="auto" w:fill="auto"/>
            <w:vAlign w:val="center"/>
          </w:tcPr>
          <w:p w:rsidR="0090538F" w:rsidRPr="00C4506F" w:rsidRDefault="0090538F" w:rsidP="0090538F">
            <w:pPr>
              <w:spacing w:after="0"/>
              <w:ind w:firstLine="0"/>
              <w:jc w:val="right"/>
              <w:rPr>
                <w:b/>
                <w:color w:val="FF0000"/>
                <w:sz w:val="18"/>
                <w:szCs w:val="18"/>
                <w:lang w:eastAsia="lv-LV"/>
              </w:rPr>
            </w:pPr>
            <w:r w:rsidRPr="00C4506F">
              <w:rPr>
                <w:b/>
                <w:color w:val="000000" w:themeColor="text1"/>
                <w:sz w:val="18"/>
                <w:szCs w:val="18"/>
                <w:lang w:eastAsia="lv-LV"/>
              </w:rPr>
              <w:t>-74,8</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color w:val="000000" w:themeColor="text1"/>
                <w:sz w:val="18"/>
                <w:szCs w:val="18"/>
                <w:lang w:eastAsia="lv-LV"/>
              </w:rPr>
              <w:t>-87,9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90538F" w:rsidRPr="00C4506F" w:rsidRDefault="0090538F" w:rsidP="0090538F">
            <w:pPr>
              <w:spacing w:after="0"/>
              <w:ind w:firstLine="0"/>
              <w:jc w:val="right"/>
              <w:rPr>
                <w:b/>
                <w:color w:val="FF0000"/>
                <w:sz w:val="18"/>
                <w:szCs w:val="18"/>
                <w:lang w:eastAsia="lv-LV"/>
              </w:rPr>
            </w:pPr>
            <w:r w:rsidRPr="00C4506F">
              <w:rPr>
                <w:b/>
                <w:color w:val="000000" w:themeColor="text1"/>
                <w:sz w:val="18"/>
                <w:szCs w:val="18"/>
                <w:lang w:eastAsia="lv-LV"/>
              </w:rPr>
              <w:t>-93,2</w:t>
            </w:r>
          </w:p>
        </w:tc>
      </w:tr>
      <w:tr w:rsidR="0090538F" w:rsidRPr="00C4506F" w:rsidTr="0090538F">
        <w:trPr>
          <w:trHeight w:val="71"/>
          <w:jc w:val="center"/>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25" w:firstLineChars="100" w:firstLine="180"/>
              <w:rPr>
                <w:sz w:val="18"/>
                <w:szCs w:val="18"/>
                <w:lang w:eastAsia="lv-LV"/>
              </w:rPr>
            </w:pPr>
            <w:r w:rsidRPr="00C4506F">
              <w:rPr>
                <w:sz w:val="18"/>
                <w:szCs w:val="18"/>
                <w:lang w:eastAsia="lv-LV"/>
              </w:rPr>
              <w:t>Ieņēmumi</w:t>
            </w:r>
          </w:p>
        </w:tc>
        <w:tc>
          <w:tcPr>
            <w:tcW w:w="815"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2 921,2</w:t>
            </w:r>
          </w:p>
        </w:tc>
        <w:tc>
          <w:tcPr>
            <w:tcW w:w="89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2 779,3</w:t>
            </w:r>
          </w:p>
        </w:tc>
        <w:tc>
          <w:tcPr>
            <w:tcW w:w="80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2 751,4</w:t>
            </w:r>
          </w:p>
        </w:tc>
        <w:tc>
          <w:tcPr>
            <w:tcW w:w="85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2 821,6</w:t>
            </w:r>
          </w:p>
        </w:tc>
        <w:tc>
          <w:tcPr>
            <w:tcW w:w="898"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2 895,7</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2683,6</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2802,6</w:t>
            </w:r>
          </w:p>
        </w:tc>
        <w:tc>
          <w:tcPr>
            <w:tcW w:w="71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2891,1</w:t>
            </w:r>
          </w:p>
        </w:tc>
      </w:tr>
      <w:tr w:rsidR="0090538F" w:rsidRPr="00C4506F" w:rsidTr="0090538F">
        <w:trPr>
          <w:trHeight w:val="78"/>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39" w:firstLineChars="200" w:firstLine="360"/>
              <w:rPr>
                <w:sz w:val="18"/>
                <w:szCs w:val="18"/>
                <w:lang w:eastAsia="lv-LV"/>
              </w:rPr>
            </w:pPr>
            <w:r w:rsidRPr="00C4506F">
              <w:rPr>
                <w:sz w:val="18"/>
                <w:szCs w:val="18"/>
                <w:lang w:eastAsia="lv-LV"/>
              </w:rPr>
              <w:t>Nodokļu ieņēmumi</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1 789,3</w:t>
            </w:r>
          </w:p>
        </w:tc>
        <w:tc>
          <w:tcPr>
            <w:tcW w:w="89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1 637,2</w:t>
            </w:r>
          </w:p>
        </w:tc>
        <w:tc>
          <w:tcPr>
            <w:tcW w:w="80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1 652,0</w:t>
            </w:r>
          </w:p>
        </w:tc>
        <w:tc>
          <w:tcPr>
            <w:tcW w:w="85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1 733,4</w:t>
            </w:r>
          </w:p>
        </w:tc>
        <w:tc>
          <w:tcPr>
            <w:tcW w:w="898"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1 812,5</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1573,4</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1660,8</w:t>
            </w:r>
          </w:p>
        </w:tc>
        <w:tc>
          <w:tcPr>
            <w:tcW w:w="71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1744,2</w:t>
            </w:r>
          </w:p>
        </w:tc>
      </w:tr>
      <w:tr w:rsidR="0090538F" w:rsidRPr="00C4506F" w:rsidTr="0090538F">
        <w:trPr>
          <w:trHeight w:val="86"/>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39" w:firstLineChars="200" w:firstLine="360"/>
              <w:rPr>
                <w:sz w:val="18"/>
                <w:szCs w:val="18"/>
                <w:lang w:eastAsia="lv-LV"/>
              </w:rPr>
            </w:pPr>
            <w:r w:rsidRPr="00C4506F">
              <w:rPr>
                <w:noProof/>
                <w:sz w:val="18"/>
                <w:szCs w:val="18"/>
                <w:lang w:eastAsia="lv-LV"/>
              </w:rPr>
              <w:t xml:space="preserve">Transferts </w:t>
            </w:r>
            <w:r w:rsidRPr="00C4506F">
              <w:rPr>
                <w:sz w:val="18"/>
                <w:szCs w:val="18"/>
                <w:lang w:eastAsia="lv-LV"/>
              </w:rPr>
              <w:t>no valsts budžeta</w:t>
            </w:r>
          </w:p>
        </w:tc>
        <w:tc>
          <w:tcPr>
            <w:tcW w:w="815" w:type="dxa"/>
            <w:tcBorders>
              <w:top w:val="nil"/>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926,4</w:t>
            </w:r>
          </w:p>
        </w:tc>
        <w:tc>
          <w:tcPr>
            <w:tcW w:w="896"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959,8</w:t>
            </w:r>
          </w:p>
        </w:tc>
        <w:tc>
          <w:tcPr>
            <w:tcW w:w="806"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900,5</w:t>
            </w:r>
          </w:p>
        </w:tc>
        <w:tc>
          <w:tcPr>
            <w:tcW w:w="851"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889,2</w:t>
            </w:r>
          </w:p>
        </w:tc>
        <w:tc>
          <w:tcPr>
            <w:tcW w:w="898"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884,3</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911,2</w:t>
            </w:r>
          </w:p>
        </w:tc>
        <w:tc>
          <w:tcPr>
            <w:tcW w:w="801" w:type="dxa"/>
            <w:tcBorders>
              <w:top w:val="nil"/>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942,8</w:t>
            </w:r>
          </w:p>
        </w:tc>
        <w:tc>
          <w:tcPr>
            <w:tcW w:w="711"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947,9</w:t>
            </w:r>
          </w:p>
        </w:tc>
      </w:tr>
      <w:tr w:rsidR="0090538F" w:rsidRPr="00C4506F" w:rsidTr="0090538F">
        <w:trPr>
          <w:trHeight w:val="78"/>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39" w:firstLineChars="200" w:firstLine="360"/>
              <w:rPr>
                <w:sz w:val="18"/>
                <w:szCs w:val="18"/>
                <w:lang w:eastAsia="lv-LV"/>
              </w:rPr>
            </w:pPr>
            <w:r w:rsidRPr="00C4506F">
              <w:rPr>
                <w:sz w:val="18"/>
                <w:szCs w:val="18"/>
                <w:lang w:eastAsia="lv-LV"/>
              </w:rPr>
              <w:t>Pārējie ieņēmumi</w:t>
            </w:r>
          </w:p>
        </w:tc>
        <w:tc>
          <w:tcPr>
            <w:tcW w:w="815" w:type="dxa"/>
            <w:tcBorders>
              <w:top w:val="nil"/>
              <w:left w:val="single" w:sz="4" w:space="0" w:color="auto"/>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sz w:val="18"/>
                <w:szCs w:val="18"/>
              </w:rPr>
              <w:t>205,6</w:t>
            </w:r>
          </w:p>
        </w:tc>
        <w:tc>
          <w:tcPr>
            <w:tcW w:w="896" w:type="dxa"/>
            <w:tcBorders>
              <w:top w:val="nil"/>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sz w:val="18"/>
                <w:szCs w:val="18"/>
              </w:rPr>
              <w:t>182,3</w:t>
            </w:r>
          </w:p>
        </w:tc>
        <w:tc>
          <w:tcPr>
            <w:tcW w:w="806" w:type="dxa"/>
            <w:tcBorders>
              <w:top w:val="nil"/>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sz w:val="18"/>
                <w:szCs w:val="18"/>
              </w:rPr>
              <w:t>199,0</w:t>
            </w:r>
          </w:p>
        </w:tc>
        <w:tc>
          <w:tcPr>
            <w:tcW w:w="851" w:type="dxa"/>
            <w:tcBorders>
              <w:top w:val="nil"/>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sz w:val="18"/>
                <w:szCs w:val="18"/>
              </w:rPr>
              <w:t>199,0</w:t>
            </w:r>
          </w:p>
        </w:tc>
        <w:tc>
          <w:tcPr>
            <w:tcW w:w="898" w:type="dxa"/>
            <w:tcBorders>
              <w:top w:val="nil"/>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sz w:val="18"/>
                <w:szCs w:val="18"/>
              </w:rPr>
              <w:t>199,0</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199,0</w:t>
            </w:r>
          </w:p>
        </w:tc>
        <w:tc>
          <w:tcPr>
            <w:tcW w:w="801" w:type="dxa"/>
            <w:tcBorders>
              <w:top w:val="nil"/>
              <w:left w:val="single" w:sz="4" w:space="0" w:color="auto"/>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199,0</w:t>
            </w:r>
          </w:p>
        </w:tc>
        <w:tc>
          <w:tcPr>
            <w:tcW w:w="711" w:type="dxa"/>
            <w:tcBorders>
              <w:top w:val="nil"/>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199,0</w:t>
            </w:r>
          </w:p>
        </w:tc>
      </w:tr>
      <w:tr w:rsidR="0090538F" w:rsidRPr="00C4506F" w:rsidTr="0090538F">
        <w:trPr>
          <w:trHeight w:val="71"/>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25" w:firstLineChars="100" w:firstLine="180"/>
              <w:rPr>
                <w:sz w:val="18"/>
                <w:szCs w:val="18"/>
                <w:lang w:eastAsia="lv-LV"/>
              </w:rPr>
            </w:pPr>
            <w:r w:rsidRPr="00C4506F">
              <w:rPr>
                <w:sz w:val="18"/>
                <w:szCs w:val="18"/>
                <w:lang w:eastAsia="lv-LV"/>
              </w:rPr>
              <w:t>Izdevumi</w:t>
            </w:r>
          </w:p>
        </w:tc>
        <w:tc>
          <w:tcPr>
            <w:tcW w:w="815"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2 871,1</w:t>
            </w:r>
          </w:p>
        </w:tc>
        <w:tc>
          <w:tcPr>
            <w:tcW w:w="89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2 797,6</w:t>
            </w:r>
          </w:p>
        </w:tc>
        <w:tc>
          <w:tcPr>
            <w:tcW w:w="80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2 820,2</w:t>
            </w:r>
          </w:p>
        </w:tc>
        <w:tc>
          <w:tcPr>
            <w:tcW w:w="85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2 913,7</w:t>
            </w:r>
          </w:p>
        </w:tc>
        <w:tc>
          <w:tcPr>
            <w:tcW w:w="898"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2 984,5</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2758,4</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2890,5</w:t>
            </w:r>
          </w:p>
        </w:tc>
        <w:tc>
          <w:tcPr>
            <w:tcW w:w="71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2984,3</w:t>
            </w:r>
          </w:p>
        </w:tc>
      </w:tr>
      <w:tr w:rsidR="0090538F" w:rsidRPr="00C4506F" w:rsidTr="0090538F">
        <w:trPr>
          <w:trHeight w:val="78"/>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39" w:firstLineChars="200" w:firstLine="360"/>
              <w:rPr>
                <w:sz w:val="18"/>
                <w:szCs w:val="18"/>
                <w:lang w:eastAsia="lv-LV"/>
              </w:rPr>
            </w:pPr>
            <w:r w:rsidRPr="00C4506F">
              <w:rPr>
                <w:sz w:val="18"/>
                <w:szCs w:val="18"/>
                <w:lang w:eastAsia="lv-LV"/>
              </w:rPr>
              <w:t>Uzturēšanas izdevumi</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2 204,8</w:t>
            </w:r>
          </w:p>
        </w:tc>
        <w:tc>
          <w:tcPr>
            <w:tcW w:w="89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2 204,0</w:t>
            </w:r>
          </w:p>
        </w:tc>
        <w:tc>
          <w:tcPr>
            <w:tcW w:w="806"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2 284,4</w:t>
            </w:r>
          </w:p>
        </w:tc>
        <w:tc>
          <w:tcPr>
            <w:tcW w:w="85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2 358,8</w:t>
            </w:r>
          </w:p>
        </w:tc>
        <w:tc>
          <w:tcPr>
            <w:tcW w:w="898"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2 453,8</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2291,1</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2408,2</w:t>
            </w:r>
          </w:p>
        </w:tc>
        <w:tc>
          <w:tcPr>
            <w:tcW w:w="711" w:type="dxa"/>
            <w:tcBorders>
              <w:top w:val="single" w:sz="4" w:space="0" w:color="auto"/>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2512,9</w:t>
            </w:r>
          </w:p>
        </w:tc>
      </w:tr>
      <w:tr w:rsidR="0090538F" w:rsidRPr="00C4506F" w:rsidTr="0090538F">
        <w:trPr>
          <w:trHeight w:val="78"/>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90538F" w:rsidRPr="00C4506F" w:rsidRDefault="0090538F" w:rsidP="0090538F">
            <w:pPr>
              <w:spacing w:after="0"/>
              <w:ind w:left="-239" w:firstLineChars="200" w:firstLine="360"/>
              <w:rPr>
                <w:sz w:val="18"/>
                <w:szCs w:val="18"/>
                <w:lang w:eastAsia="lv-LV"/>
              </w:rPr>
            </w:pPr>
            <w:r w:rsidRPr="00C4506F">
              <w:rPr>
                <w:sz w:val="18"/>
                <w:szCs w:val="18"/>
                <w:lang w:eastAsia="lv-LV"/>
              </w:rPr>
              <w:t>Kapitālie izdevumi</w:t>
            </w:r>
          </w:p>
        </w:tc>
        <w:tc>
          <w:tcPr>
            <w:tcW w:w="815" w:type="dxa"/>
            <w:tcBorders>
              <w:top w:val="nil"/>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665,4</w:t>
            </w:r>
          </w:p>
        </w:tc>
        <w:tc>
          <w:tcPr>
            <w:tcW w:w="896"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593,6</w:t>
            </w:r>
          </w:p>
        </w:tc>
        <w:tc>
          <w:tcPr>
            <w:tcW w:w="806"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535,8</w:t>
            </w:r>
          </w:p>
        </w:tc>
        <w:tc>
          <w:tcPr>
            <w:tcW w:w="851"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554,9</w:t>
            </w:r>
          </w:p>
        </w:tc>
        <w:tc>
          <w:tcPr>
            <w:tcW w:w="898"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sz w:val="18"/>
                <w:szCs w:val="18"/>
              </w:rPr>
              <w:t>530,7</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467,3</w:t>
            </w:r>
          </w:p>
        </w:tc>
        <w:tc>
          <w:tcPr>
            <w:tcW w:w="801" w:type="dxa"/>
            <w:tcBorders>
              <w:top w:val="nil"/>
              <w:left w:val="single" w:sz="4" w:space="0" w:color="auto"/>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482,3</w:t>
            </w:r>
          </w:p>
        </w:tc>
        <w:tc>
          <w:tcPr>
            <w:tcW w:w="711" w:type="dxa"/>
            <w:tcBorders>
              <w:top w:val="nil"/>
              <w:left w:val="nil"/>
              <w:bottom w:val="single" w:sz="4" w:space="0" w:color="auto"/>
              <w:right w:val="single" w:sz="4" w:space="0" w:color="auto"/>
            </w:tcBorders>
            <w:shd w:val="clear" w:color="auto" w:fill="auto"/>
            <w:noWrap/>
            <w:hideMark/>
          </w:tcPr>
          <w:p w:rsidR="0090538F" w:rsidRPr="00C4506F" w:rsidRDefault="0090538F" w:rsidP="0090538F">
            <w:pPr>
              <w:spacing w:after="0"/>
              <w:ind w:firstLine="0"/>
              <w:jc w:val="right"/>
              <w:rPr>
                <w:color w:val="FF0000"/>
                <w:sz w:val="18"/>
                <w:szCs w:val="18"/>
                <w:lang w:eastAsia="lv-LV"/>
              </w:rPr>
            </w:pPr>
            <w:r w:rsidRPr="00C4506F">
              <w:rPr>
                <w:color w:val="000000" w:themeColor="text1"/>
                <w:sz w:val="18"/>
                <w:szCs w:val="18"/>
                <w:lang w:eastAsia="lv-LV"/>
              </w:rPr>
              <w:t>471,3</w:t>
            </w:r>
          </w:p>
        </w:tc>
      </w:tr>
      <w:tr w:rsidR="0090538F" w:rsidRPr="00C4506F" w:rsidTr="0090538F">
        <w:trPr>
          <w:trHeight w:val="78"/>
          <w:jc w:val="center"/>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8F" w:rsidRPr="00C4506F" w:rsidRDefault="0090538F" w:rsidP="0090538F">
            <w:pPr>
              <w:spacing w:after="0"/>
              <w:ind w:left="-239" w:firstLineChars="200" w:firstLine="360"/>
              <w:rPr>
                <w:sz w:val="18"/>
                <w:szCs w:val="18"/>
                <w:lang w:eastAsia="lv-LV"/>
              </w:rPr>
            </w:pPr>
            <w:r w:rsidRPr="00C4506F">
              <w:rPr>
                <w:sz w:val="18"/>
                <w:szCs w:val="18"/>
                <w:lang w:eastAsia="lv-LV"/>
              </w:rPr>
              <w:t>Pārējie izdevumi</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sz w:val="18"/>
                <w:szCs w:val="18"/>
              </w:rPr>
              <w:t>0,9</w:t>
            </w:r>
          </w:p>
        </w:tc>
        <w:tc>
          <w:tcPr>
            <w:tcW w:w="896" w:type="dxa"/>
            <w:tcBorders>
              <w:top w:val="single" w:sz="4" w:space="0" w:color="auto"/>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sz w:val="18"/>
                <w:szCs w:val="18"/>
              </w:rPr>
              <w:t>0,0</w:t>
            </w:r>
          </w:p>
        </w:tc>
        <w:tc>
          <w:tcPr>
            <w:tcW w:w="806" w:type="dxa"/>
            <w:tcBorders>
              <w:top w:val="single" w:sz="4" w:space="0" w:color="auto"/>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sz w:val="18"/>
                <w:szCs w:val="18"/>
              </w:rPr>
              <w:t>0,0</w:t>
            </w:r>
          </w:p>
        </w:tc>
        <w:tc>
          <w:tcPr>
            <w:tcW w:w="898" w:type="dxa"/>
            <w:tcBorders>
              <w:top w:val="single" w:sz="4" w:space="0" w:color="auto"/>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sz w:val="18"/>
                <w:szCs w:val="18"/>
              </w:rPr>
              <w:t>0,0</w:t>
            </w:r>
          </w:p>
        </w:tc>
        <w:tc>
          <w:tcPr>
            <w:tcW w:w="711" w:type="dxa"/>
            <w:tcBorders>
              <w:top w:val="single" w:sz="4" w:space="0" w:color="auto"/>
              <w:left w:val="nil"/>
              <w:bottom w:val="single" w:sz="4" w:space="0" w:color="auto"/>
              <w:right w:val="single" w:sz="4" w:space="0" w:color="auto"/>
            </w:tcBorders>
          </w:tcPr>
          <w:p w:rsidR="0090538F" w:rsidRPr="00C4506F" w:rsidRDefault="0090538F" w:rsidP="0090538F">
            <w:pPr>
              <w:spacing w:after="0"/>
              <w:ind w:firstLine="0"/>
              <w:jc w:val="right"/>
              <w:rPr>
                <w:color w:val="FF0000"/>
                <w:sz w:val="18"/>
                <w:szCs w:val="18"/>
              </w:rPr>
            </w:pPr>
            <w:r w:rsidRPr="00C4506F">
              <w:rPr>
                <w:color w:val="000000" w:themeColor="text1"/>
                <w:sz w:val="18"/>
                <w:szCs w:val="18"/>
              </w:rPr>
              <w:t>0,0</w:t>
            </w:r>
          </w:p>
        </w:tc>
        <w:tc>
          <w:tcPr>
            <w:tcW w:w="801" w:type="dxa"/>
            <w:tcBorders>
              <w:top w:val="single" w:sz="4" w:space="0" w:color="auto"/>
              <w:left w:val="single" w:sz="4" w:space="0" w:color="auto"/>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color w:val="000000" w:themeColor="text1"/>
                <w:sz w:val="18"/>
                <w:szCs w:val="18"/>
              </w:rPr>
              <w:t>0,0</w:t>
            </w:r>
          </w:p>
        </w:tc>
        <w:tc>
          <w:tcPr>
            <w:tcW w:w="711" w:type="dxa"/>
            <w:tcBorders>
              <w:top w:val="single" w:sz="4" w:space="0" w:color="auto"/>
              <w:left w:val="nil"/>
              <w:bottom w:val="single" w:sz="4" w:space="0" w:color="auto"/>
              <w:right w:val="single" w:sz="4" w:space="0" w:color="auto"/>
            </w:tcBorders>
            <w:shd w:val="clear" w:color="auto" w:fill="auto"/>
            <w:noWrap/>
          </w:tcPr>
          <w:p w:rsidR="0090538F" w:rsidRPr="00C4506F" w:rsidRDefault="0090538F" w:rsidP="0090538F">
            <w:pPr>
              <w:spacing w:after="0"/>
              <w:ind w:firstLine="0"/>
              <w:jc w:val="right"/>
              <w:rPr>
                <w:color w:val="FF0000"/>
                <w:sz w:val="18"/>
                <w:szCs w:val="18"/>
              </w:rPr>
            </w:pPr>
            <w:r w:rsidRPr="00C4506F">
              <w:rPr>
                <w:color w:val="000000" w:themeColor="text1"/>
                <w:sz w:val="18"/>
                <w:szCs w:val="18"/>
              </w:rPr>
              <w:t>0,0</w:t>
            </w:r>
          </w:p>
        </w:tc>
      </w:tr>
    </w:tbl>
    <w:p w:rsidR="00C4506F" w:rsidRPr="00C4506F" w:rsidRDefault="0090538F" w:rsidP="00C4506F">
      <w:pPr>
        <w:spacing w:before="120" w:after="0"/>
        <w:ind w:firstLine="0"/>
        <w:rPr>
          <w:color w:val="000000" w:themeColor="text1"/>
          <w:sz w:val="18"/>
          <w:szCs w:val="18"/>
        </w:rPr>
      </w:pPr>
      <w:r w:rsidRPr="00C4506F">
        <w:rPr>
          <w:color w:val="000000" w:themeColor="text1"/>
          <w:sz w:val="18"/>
          <w:szCs w:val="18"/>
        </w:rPr>
        <w:t>* Atbilstoši 2020.</w:t>
      </w:r>
      <w:r w:rsidR="00C4506F">
        <w:rPr>
          <w:color w:val="000000" w:themeColor="text1"/>
          <w:sz w:val="18"/>
          <w:szCs w:val="18"/>
        </w:rPr>
        <w:t xml:space="preserve"> </w:t>
      </w:r>
      <w:r w:rsidRPr="00C4506F">
        <w:rPr>
          <w:color w:val="000000" w:themeColor="text1"/>
          <w:sz w:val="18"/>
          <w:szCs w:val="18"/>
        </w:rPr>
        <w:t>gada aprīļa notifikācijas datiem, tai skaitā kopbudžeta izpilde atbilstoši Valsts kases oficiālajam mēneša pārskatam par 2019.</w:t>
      </w:r>
      <w:r w:rsidR="00C4506F">
        <w:rPr>
          <w:color w:val="000000" w:themeColor="text1"/>
          <w:sz w:val="18"/>
          <w:szCs w:val="18"/>
        </w:rPr>
        <w:t xml:space="preserve"> </w:t>
      </w:r>
      <w:r w:rsidRPr="00C4506F">
        <w:rPr>
          <w:color w:val="000000" w:themeColor="text1"/>
          <w:sz w:val="18"/>
          <w:szCs w:val="18"/>
        </w:rPr>
        <w:t>gada janvāri-decembri.</w:t>
      </w:r>
    </w:p>
    <w:p w:rsidR="00C4506F" w:rsidRDefault="00C4506F" w:rsidP="00E5724B">
      <w:pPr>
        <w:pStyle w:val="ListParagraph"/>
        <w:keepNext/>
        <w:keepLines/>
        <w:numPr>
          <w:ilvl w:val="1"/>
          <w:numId w:val="17"/>
        </w:numPr>
        <w:spacing w:before="240" w:after="240"/>
        <w:ind w:left="0" w:firstLine="0"/>
        <w:contextualSpacing w:val="0"/>
        <w:jc w:val="center"/>
        <w:outlineLvl w:val="1"/>
        <w:rPr>
          <w:rFonts w:eastAsiaTheme="majorEastAsia"/>
          <w:b/>
          <w:sz w:val="36"/>
          <w:szCs w:val="36"/>
        </w:rPr>
      </w:pPr>
      <w:r w:rsidRPr="00C4506F">
        <w:rPr>
          <w:rFonts w:eastAsiaTheme="majorEastAsia"/>
          <w:b/>
          <w:sz w:val="36"/>
          <w:szCs w:val="36"/>
        </w:rPr>
        <w:t>Valdības apstiprinātie atbalsta pasākumi Covid-19 infekcijas izraisītās krīzes seku mazināšanai tautsaimniecībā un to fiskālā ietekme</w:t>
      </w:r>
    </w:p>
    <w:p w:rsidR="00C4506F" w:rsidRPr="00C4506F" w:rsidRDefault="00C4506F" w:rsidP="00C4506F">
      <w:pPr>
        <w:spacing w:before="120"/>
        <w:rPr>
          <w:color w:val="000000" w:themeColor="text1"/>
          <w:szCs w:val="24"/>
        </w:rPr>
      </w:pPr>
      <w:r w:rsidRPr="00C4506F">
        <w:rPr>
          <w:color w:val="000000" w:themeColor="text1"/>
          <w:szCs w:val="24"/>
        </w:rPr>
        <w:t xml:space="preserve">Atbilstoši </w:t>
      </w:r>
      <w:r>
        <w:rPr>
          <w:color w:val="000000" w:themeColor="text1"/>
          <w:szCs w:val="24"/>
        </w:rPr>
        <w:t>Finanšu ministrijas</w:t>
      </w:r>
      <w:r w:rsidRPr="00C4506F">
        <w:rPr>
          <w:color w:val="000000" w:themeColor="text1"/>
          <w:szCs w:val="24"/>
        </w:rPr>
        <w:t xml:space="preserve"> novērtējumam līdz šā gada 20.</w:t>
      </w:r>
      <w:r>
        <w:rPr>
          <w:color w:val="000000" w:themeColor="text1"/>
          <w:szCs w:val="24"/>
        </w:rPr>
        <w:t xml:space="preserve"> </w:t>
      </w:r>
      <w:r w:rsidRPr="00C4506F">
        <w:rPr>
          <w:color w:val="000000" w:themeColor="text1"/>
          <w:szCs w:val="24"/>
        </w:rPr>
        <w:t>septembrim apstiprinātais tautsaimniecības atbalsta pasākumu apmērs veido 3,</w:t>
      </w:r>
      <w:r w:rsidRPr="00C4506F">
        <w:rPr>
          <w:noProof/>
          <w:color w:val="000000" w:themeColor="text1"/>
          <w:szCs w:val="24"/>
        </w:rPr>
        <w:t xml:space="preserve">14 miljardus </w:t>
      </w:r>
      <w:r w:rsidRPr="00C4506F">
        <w:rPr>
          <w:i/>
          <w:noProof/>
          <w:color w:val="000000" w:themeColor="text1"/>
          <w:szCs w:val="24"/>
        </w:rPr>
        <w:t>euro</w:t>
      </w:r>
      <w:r w:rsidRPr="00C4506F">
        <w:rPr>
          <w:noProof/>
          <w:color w:val="000000" w:themeColor="text1"/>
          <w:szCs w:val="24"/>
        </w:rPr>
        <w:t xml:space="preserve"> jeb 11,1% no IKP, tostarp par 1 212,4 milj. </w:t>
      </w:r>
      <w:r w:rsidRPr="00C4506F">
        <w:rPr>
          <w:i/>
          <w:noProof/>
          <w:color w:val="000000" w:themeColor="text1"/>
          <w:szCs w:val="24"/>
        </w:rPr>
        <w:t>euro</w:t>
      </w:r>
      <w:r w:rsidRPr="00C4506F">
        <w:rPr>
          <w:noProof/>
          <w:color w:val="000000" w:themeColor="text1"/>
          <w:szCs w:val="24"/>
        </w:rPr>
        <w:t xml:space="preserve"> palielinot vispārējās valdības budžeta deficītu 2020. gadā un par 149,8 milj. </w:t>
      </w:r>
      <w:r w:rsidRPr="00C4506F">
        <w:rPr>
          <w:i/>
          <w:noProof/>
          <w:color w:val="000000" w:themeColor="text1"/>
          <w:szCs w:val="24"/>
        </w:rPr>
        <w:t>euro</w:t>
      </w:r>
      <w:r w:rsidRPr="00C4506F">
        <w:rPr>
          <w:noProof/>
          <w:color w:val="000000" w:themeColor="text1"/>
          <w:szCs w:val="24"/>
        </w:rPr>
        <w:t xml:space="preserve"> 2</w:t>
      </w:r>
      <w:r w:rsidRPr="00C4506F">
        <w:rPr>
          <w:color w:val="000000" w:themeColor="text1"/>
          <w:szCs w:val="24"/>
        </w:rPr>
        <w:t xml:space="preserve">021. gadā. </w:t>
      </w:r>
      <w:r w:rsidRPr="00C4506F">
        <w:rPr>
          <w:color w:val="000000"/>
          <w:szCs w:val="24"/>
        </w:rPr>
        <w:t>Pieņemtos atbalsta pasākumu lēmumus Covid-19 krīzes pārvarēšanai var sadalīt piecās kategorijās – atbalsts nodokļu jomā, atbalsts pabalstu jomā, atbalsts aizdevumu un garantiju jomā, atbalsts nozarēm, kā arī ES finansējuma atbalsts. Pasākumi ar lielāko fiskālo ietekmi katrā jomā ir atspoguļoti</w:t>
      </w:r>
      <w:r w:rsidRPr="00C4506F">
        <w:rPr>
          <w:color w:val="000000" w:themeColor="text1"/>
          <w:szCs w:val="24"/>
        </w:rPr>
        <w:t xml:space="preserve"> 2.4. tabulā. </w:t>
      </w:r>
    </w:p>
    <w:p w:rsidR="00C4506F" w:rsidRPr="00C4506F" w:rsidRDefault="00C4506F" w:rsidP="00C4506F">
      <w:pPr>
        <w:spacing w:before="120"/>
        <w:rPr>
          <w:b/>
          <w:color w:val="000000"/>
          <w:szCs w:val="24"/>
        </w:rPr>
      </w:pPr>
      <w:r w:rsidRPr="00C4506F">
        <w:rPr>
          <w:b/>
          <w:color w:val="000000"/>
          <w:szCs w:val="24"/>
        </w:rPr>
        <w:t>Atbalsts nodokļu jomā</w:t>
      </w:r>
    </w:p>
    <w:p w:rsidR="00C4506F" w:rsidRPr="00C4506F" w:rsidRDefault="00C4506F" w:rsidP="00C4506F">
      <w:pPr>
        <w:spacing w:before="120"/>
        <w:rPr>
          <w:color w:val="000000"/>
          <w:szCs w:val="24"/>
        </w:rPr>
      </w:pPr>
      <w:r w:rsidRPr="00C4506F">
        <w:rPr>
          <w:color w:val="000000"/>
          <w:szCs w:val="24"/>
        </w:rPr>
        <w:t>Likumā “Par valsts apdraudējuma un tā seku novēršanas un pārvarēšanas pasākumiem sakarā ar Covid-19 izplatību”, kas tika pieņemts Saeimā 2020. gada 20.martā, tika noteikti vairāki nodokļu ieņēmumus ietekmējoši atbalsta pasākumi, lai mazinātu krīzes sekas uzņēmējiem un iedzīvotājiem. Šis likums darbojās līdz 2020. gada 9. jūnijam, bet 10. jūnijā stājās spēkā “Covid-19 infekcijas izplatības seku pārvarēšanas likums”’, kas arī paredz attiecīgu atbalstu. Atbalstā nodokļu jomā ietilpst tādi pasākumi kā:</w:t>
      </w:r>
    </w:p>
    <w:p w:rsidR="00C4506F" w:rsidRPr="00C4506F" w:rsidRDefault="00C4506F" w:rsidP="00C4506F">
      <w:pPr>
        <w:numPr>
          <w:ilvl w:val="0"/>
          <w:numId w:val="37"/>
        </w:numPr>
        <w:spacing w:before="120"/>
        <w:rPr>
          <w:rFonts w:eastAsia="Calibri"/>
          <w:color w:val="000000"/>
          <w:szCs w:val="24"/>
        </w:rPr>
      </w:pPr>
      <w:r w:rsidRPr="00C4506F">
        <w:rPr>
          <w:rFonts w:eastAsia="Calibri"/>
          <w:color w:val="000000"/>
          <w:szCs w:val="24"/>
        </w:rPr>
        <w:t>nodokļu samaksas termiņa pagarinājumi;</w:t>
      </w:r>
    </w:p>
    <w:p w:rsidR="00C4506F" w:rsidRPr="00C4506F" w:rsidRDefault="00C4506F" w:rsidP="00C4506F">
      <w:pPr>
        <w:numPr>
          <w:ilvl w:val="0"/>
          <w:numId w:val="37"/>
        </w:numPr>
        <w:spacing w:before="120"/>
        <w:rPr>
          <w:rFonts w:eastAsia="Calibri"/>
          <w:color w:val="000000"/>
          <w:szCs w:val="24"/>
        </w:rPr>
      </w:pPr>
      <w:r w:rsidRPr="00C4506F">
        <w:rPr>
          <w:rFonts w:eastAsia="Calibri"/>
          <w:color w:val="000000"/>
          <w:szCs w:val="24"/>
        </w:rPr>
        <w:t>IIN avansa maksājumu atcelšana;</w:t>
      </w:r>
    </w:p>
    <w:p w:rsidR="00C4506F" w:rsidRPr="00C4506F" w:rsidRDefault="00C4506F" w:rsidP="00C4506F">
      <w:pPr>
        <w:numPr>
          <w:ilvl w:val="0"/>
          <w:numId w:val="37"/>
        </w:numPr>
        <w:spacing w:before="120"/>
        <w:rPr>
          <w:rFonts w:eastAsia="Calibri"/>
          <w:color w:val="000000"/>
          <w:szCs w:val="24"/>
        </w:rPr>
      </w:pPr>
      <w:r w:rsidRPr="00C4506F">
        <w:rPr>
          <w:rFonts w:eastAsia="Calibri"/>
          <w:color w:val="000000"/>
          <w:szCs w:val="24"/>
        </w:rPr>
        <w:t>pārmaksātā PVN atmaksa 30 dienu laikā;</w:t>
      </w:r>
    </w:p>
    <w:p w:rsidR="00C4506F" w:rsidRPr="00C4506F" w:rsidRDefault="00C4506F" w:rsidP="00C4506F">
      <w:pPr>
        <w:numPr>
          <w:ilvl w:val="0"/>
          <w:numId w:val="37"/>
        </w:numPr>
        <w:spacing w:before="120"/>
        <w:rPr>
          <w:rFonts w:eastAsia="Calibri"/>
          <w:color w:val="000000"/>
          <w:szCs w:val="24"/>
        </w:rPr>
      </w:pPr>
      <w:r w:rsidRPr="00C4506F">
        <w:rPr>
          <w:rFonts w:eastAsia="Calibri"/>
          <w:color w:val="000000"/>
          <w:szCs w:val="24"/>
        </w:rPr>
        <w:lastRenderedPageBreak/>
        <w:t>nekustamā īpašuma nodokļa samaksas termiņu pagarināšana (šim pasākumam nav fiskālās ietekmes, jo termiņu pārcelšana notiek tikai 2020. gada ietvaros).</w:t>
      </w:r>
    </w:p>
    <w:p w:rsidR="00C4506F" w:rsidRPr="00C4506F" w:rsidRDefault="00C4506F" w:rsidP="00C4506F">
      <w:pPr>
        <w:spacing w:before="120"/>
        <w:rPr>
          <w:noProof/>
          <w:color w:val="000000"/>
          <w:szCs w:val="24"/>
        </w:rPr>
      </w:pPr>
      <w:r w:rsidRPr="00C4506F">
        <w:rPr>
          <w:color w:val="000000"/>
          <w:szCs w:val="24"/>
        </w:rPr>
        <w:t>Pēc</w:t>
      </w:r>
      <w:r>
        <w:rPr>
          <w:color w:val="000000"/>
          <w:szCs w:val="24"/>
        </w:rPr>
        <w:t xml:space="preserve"> VID</w:t>
      </w:r>
      <w:r w:rsidRPr="00C4506F">
        <w:rPr>
          <w:color w:val="000000"/>
          <w:szCs w:val="24"/>
        </w:rPr>
        <w:t xml:space="preserve"> datiem līdz 2020. gada 20. septembrim ar atsauci un īpašo Covid-19 krīzes regulējumu nodokļu “brīvdienas” ir piešķirtas 142,4 milj. </w:t>
      </w:r>
      <w:r w:rsidRPr="00C4506F">
        <w:rPr>
          <w:i/>
          <w:noProof/>
          <w:color w:val="000000"/>
          <w:szCs w:val="24"/>
        </w:rPr>
        <w:t>euro</w:t>
      </w:r>
      <w:r w:rsidRPr="00C4506F">
        <w:rPr>
          <w:noProof/>
          <w:color w:val="000000"/>
          <w:szCs w:val="24"/>
        </w:rPr>
        <w:t xml:space="preserve"> apmērā, kas atbilstoši F</w:t>
      </w:r>
      <w:r>
        <w:rPr>
          <w:noProof/>
          <w:color w:val="000000"/>
          <w:szCs w:val="24"/>
        </w:rPr>
        <w:t>inanšu ministrijas</w:t>
      </w:r>
      <w:r w:rsidRPr="00C4506F">
        <w:rPr>
          <w:noProof/>
          <w:color w:val="000000"/>
          <w:szCs w:val="24"/>
        </w:rPr>
        <w:t xml:space="preserve"> novērtējumam uz šo brīdi negatīvi ietekmē vispārējās valdības budžeta bilanci par 42,7 milj. </w:t>
      </w:r>
      <w:r w:rsidRPr="00C4506F">
        <w:rPr>
          <w:i/>
          <w:noProof/>
          <w:color w:val="000000"/>
          <w:szCs w:val="24"/>
        </w:rPr>
        <w:t>euro</w:t>
      </w:r>
      <w:r w:rsidRPr="00C4506F">
        <w:rPr>
          <w:noProof/>
          <w:color w:val="000000"/>
          <w:szCs w:val="24"/>
        </w:rPr>
        <w:t>.</w:t>
      </w:r>
    </w:p>
    <w:p w:rsidR="00C4506F" w:rsidRPr="00C4506F" w:rsidRDefault="00C4506F" w:rsidP="00C4506F">
      <w:pPr>
        <w:spacing w:before="120"/>
        <w:rPr>
          <w:b/>
          <w:color w:val="000000"/>
          <w:szCs w:val="24"/>
        </w:rPr>
      </w:pPr>
      <w:r w:rsidRPr="00C4506F">
        <w:rPr>
          <w:b/>
          <w:color w:val="000000"/>
          <w:szCs w:val="24"/>
        </w:rPr>
        <w:t>Atbalsts pabalstu jomā</w:t>
      </w:r>
    </w:p>
    <w:p w:rsidR="00C4506F" w:rsidRPr="00C4506F" w:rsidRDefault="00C4506F" w:rsidP="00C4506F">
      <w:pPr>
        <w:spacing w:before="120"/>
        <w:rPr>
          <w:color w:val="000000"/>
          <w:szCs w:val="24"/>
        </w:rPr>
      </w:pPr>
      <w:r w:rsidRPr="00C4506F">
        <w:rPr>
          <w:color w:val="000000"/>
          <w:szCs w:val="24"/>
        </w:rPr>
        <w:t>Laika posmā no 2020.</w:t>
      </w:r>
      <w:r>
        <w:rPr>
          <w:color w:val="000000"/>
          <w:szCs w:val="24"/>
        </w:rPr>
        <w:t xml:space="preserve"> gada </w:t>
      </w:r>
      <w:r w:rsidRPr="00C4506F">
        <w:rPr>
          <w:color w:val="000000"/>
          <w:szCs w:val="24"/>
        </w:rPr>
        <w:t>20. marta līdz 20. septembrim tika pieņemti vairāki normatīvie akti, kas nosaka papildus izdevumus pabalstiem iedzīvotāju atbalstam, mazinot Covid-19 izraisītās krīzes sekas.</w:t>
      </w:r>
    </w:p>
    <w:p w:rsidR="00C4506F" w:rsidRPr="00C4506F" w:rsidRDefault="00C4506F" w:rsidP="00C4506F">
      <w:pPr>
        <w:spacing w:before="120"/>
        <w:rPr>
          <w:color w:val="000000"/>
          <w:szCs w:val="24"/>
        </w:rPr>
      </w:pPr>
      <w:r w:rsidRPr="00C4506F">
        <w:rPr>
          <w:color w:val="000000"/>
          <w:szCs w:val="24"/>
        </w:rPr>
        <w:t>Lielākie izdevumi tiek plānoti šādiem pabalstiem:</w:t>
      </w:r>
    </w:p>
    <w:p w:rsidR="00C4506F" w:rsidRPr="00C4506F" w:rsidRDefault="00C4506F" w:rsidP="00C4506F">
      <w:pPr>
        <w:numPr>
          <w:ilvl w:val="0"/>
          <w:numId w:val="38"/>
        </w:numPr>
        <w:spacing w:before="120"/>
        <w:rPr>
          <w:rFonts w:eastAsia="Calibri"/>
          <w:noProof/>
          <w:color w:val="000000"/>
          <w:szCs w:val="24"/>
        </w:rPr>
      </w:pPr>
      <w:r w:rsidRPr="00C4506F">
        <w:rPr>
          <w:rFonts w:eastAsia="Calibri"/>
          <w:color w:val="000000"/>
          <w:szCs w:val="24"/>
        </w:rPr>
        <w:t>Dīkstāves pabalsti.</w:t>
      </w:r>
      <w:r w:rsidRPr="00C4506F">
        <w:rPr>
          <w:rFonts w:eastAsia="Calibri"/>
          <w:szCs w:val="24"/>
        </w:rPr>
        <w:t xml:space="preserve"> </w:t>
      </w:r>
      <w:r w:rsidRPr="00C4506F">
        <w:rPr>
          <w:rFonts w:eastAsia="Calibri"/>
          <w:color w:val="000000"/>
          <w:szCs w:val="24"/>
        </w:rPr>
        <w:t xml:space="preserve">Darbinieka atlīdzība dīkstāves gadījumā tiek kompensēta no valsts puses 75% apmērā no darbinieka sešu mēnešu vidējās atlīdzības, bet ne vairāk kā 700 </w:t>
      </w:r>
      <w:proofErr w:type="spellStart"/>
      <w:r w:rsidRPr="00C4506F">
        <w:rPr>
          <w:i/>
          <w:color w:val="000000"/>
          <w:szCs w:val="24"/>
        </w:rPr>
        <w:t>euro</w:t>
      </w:r>
      <w:proofErr w:type="spellEnd"/>
      <w:r w:rsidRPr="00C4506F">
        <w:rPr>
          <w:rFonts w:eastAsia="Calibri"/>
          <w:color w:val="000000"/>
          <w:szCs w:val="24"/>
        </w:rPr>
        <w:t xml:space="preserve">. Dīkstāves pabalsts netiek aplikts ar IIN un valsts sociālās apdrošināšanas iemaksām. Laika gaitā tika pieņemti vairāki grozījumi MK noteikumos, kas paplašināja dīkstāves pabalsta saņēmēju </w:t>
      </w:r>
      <w:r w:rsidRPr="00C4506F">
        <w:rPr>
          <w:rFonts w:eastAsia="Calibri"/>
          <w:noProof/>
          <w:color w:val="000000"/>
          <w:szCs w:val="24"/>
        </w:rPr>
        <w:t>loku – iekļaujot pašnodarbinātās personas, autoratlīdzības saņēmējus, mikrouzņēmuma</w:t>
      </w:r>
      <w:r w:rsidRPr="00C4506F">
        <w:rPr>
          <w:rFonts w:eastAsia="Calibri"/>
          <w:color w:val="000000"/>
          <w:szCs w:val="24"/>
        </w:rPr>
        <w:t xml:space="preserve"> nodokļa maksātājus, valdes locekļus, strādājošos pensionārus u.c. Līdz 2020.gada 20. septembrim saskaņā ar VID datiem dīkstāves pabalsti ir izmaksāti 53,6 milj.</w:t>
      </w:r>
      <w:r w:rsidRPr="00C4506F">
        <w:rPr>
          <w:rFonts w:eastAsia="Calibri"/>
          <w:noProof/>
          <w:color w:val="000000"/>
          <w:szCs w:val="24"/>
        </w:rPr>
        <w:t xml:space="preserve"> </w:t>
      </w:r>
      <w:r w:rsidRPr="00C4506F">
        <w:rPr>
          <w:i/>
          <w:noProof/>
          <w:color w:val="000000"/>
          <w:szCs w:val="24"/>
        </w:rPr>
        <w:t>euro</w:t>
      </w:r>
      <w:r w:rsidRPr="00C4506F">
        <w:rPr>
          <w:rFonts w:eastAsia="Calibri"/>
          <w:color w:val="000000"/>
          <w:szCs w:val="24"/>
        </w:rPr>
        <w:t xml:space="preserve"> apmērā</w:t>
      </w:r>
      <w:r w:rsidRPr="00C4506F">
        <w:rPr>
          <w:rFonts w:eastAsia="Calibri"/>
          <w:noProof/>
          <w:szCs w:val="24"/>
        </w:rPr>
        <w:t>.</w:t>
      </w:r>
    </w:p>
    <w:p w:rsidR="00C4506F" w:rsidRPr="00C4506F" w:rsidRDefault="00C4506F" w:rsidP="00C4506F">
      <w:pPr>
        <w:numPr>
          <w:ilvl w:val="0"/>
          <w:numId w:val="38"/>
        </w:numPr>
        <w:spacing w:before="120"/>
        <w:rPr>
          <w:rFonts w:eastAsia="Calibri"/>
          <w:noProof/>
          <w:color w:val="000000"/>
          <w:szCs w:val="24"/>
        </w:rPr>
      </w:pPr>
      <w:r w:rsidRPr="00C4506F">
        <w:rPr>
          <w:rFonts w:eastAsia="Calibri"/>
          <w:noProof/>
          <w:szCs w:val="24"/>
        </w:rPr>
        <w:t xml:space="preserve">Bezdarbnieku palīdzības pabalsts. Persona, kurai piešķirtā bezdarbnieka pabalsta periods beidzas 2020. gada 12. martā vai vēlāk un kura sakarā ar Covid-19 izsludinātās ārkārtējās situācijas radītajām sekām nav atradusi darbu un neveic saimniecisko darbību, var pieprasīt bezdarbnieka palīdzības pabalstu 180 </w:t>
      </w:r>
      <w:r w:rsidRPr="00C4506F">
        <w:rPr>
          <w:rFonts w:eastAsia="Calibri"/>
          <w:i/>
          <w:noProof/>
          <w:szCs w:val="24"/>
        </w:rPr>
        <w:t>euro</w:t>
      </w:r>
      <w:r w:rsidRPr="00C4506F">
        <w:rPr>
          <w:rFonts w:eastAsia="Calibri"/>
          <w:noProof/>
          <w:szCs w:val="24"/>
        </w:rPr>
        <w:t>.</w:t>
      </w:r>
    </w:p>
    <w:p w:rsidR="00C4506F" w:rsidRPr="00C4506F" w:rsidRDefault="00C4506F" w:rsidP="00C4506F">
      <w:pPr>
        <w:numPr>
          <w:ilvl w:val="0"/>
          <w:numId w:val="38"/>
        </w:numPr>
        <w:spacing w:before="120"/>
        <w:rPr>
          <w:rFonts w:eastAsia="Calibri"/>
          <w:noProof/>
          <w:color w:val="000000"/>
          <w:szCs w:val="24"/>
        </w:rPr>
      </w:pPr>
      <w:r w:rsidRPr="00C4506F">
        <w:rPr>
          <w:rFonts w:eastAsia="Calibri"/>
          <w:noProof/>
          <w:color w:val="000000"/>
          <w:szCs w:val="24"/>
        </w:rPr>
        <w:t xml:space="preserve">Atbalsts jaunajiem speciālistiem. Pabalstu izmaksā pirmos divus mēnešus 500 </w:t>
      </w:r>
      <w:r w:rsidRPr="00C4506F">
        <w:rPr>
          <w:rFonts w:eastAsia="Calibri"/>
          <w:i/>
          <w:noProof/>
          <w:color w:val="000000"/>
          <w:szCs w:val="24"/>
        </w:rPr>
        <w:t>euro</w:t>
      </w:r>
      <w:r w:rsidRPr="00C4506F">
        <w:rPr>
          <w:rFonts w:eastAsia="Calibri"/>
          <w:noProof/>
          <w:color w:val="000000"/>
          <w:szCs w:val="24"/>
        </w:rPr>
        <w:t xml:space="preserve"> apmērā, trešajā un ceturtajā mēnesī 375 </w:t>
      </w:r>
      <w:r w:rsidRPr="00C4506F">
        <w:rPr>
          <w:rFonts w:eastAsia="Calibri"/>
          <w:i/>
          <w:noProof/>
          <w:color w:val="000000"/>
          <w:szCs w:val="24"/>
        </w:rPr>
        <w:t>euro</w:t>
      </w:r>
      <w:r w:rsidRPr="00C4506F">
        <w:rPr>
          <w:rFonts w:eastAsia="Calibri"/>
          <w:noProof/>
          <w:color w:val="000000"/>
          <w:szCs w:val="24"/>
        </w:rPr>
        <w:t xml:space="preserve"> apmērā personām, kuras gada laikā pirms ārkārtējās situācijas izsludināšanas ir beigušas mācības augstskolā vai koledžā, kur ir ieguvušas augstāko izglītību un ir ieguvušas bezdarbnieka statusu ārkārtējās situācijas laikā vai triju mēnešu laikā pēc tās beigām.</w:t>
      </w:r>
    </w:p>
    <w:p w:rsidR="00C4506F" w:rsidRPr="00C4506F" w:rsidRDefault="00C4506F" w:rsidP="00C4506F">
      <w:pPr>
        <w:numPr>
          <w:ilvl w:val="0"/>
          <w:numId w:val="38"/>
        </w:numPr>
        <w:spacing w:before="120"/>
        <w:rPr>
          <w:rFonts w:eastAsia="Calibri"/>
          <w:noProof/>
          <w:color w:val="000000"/>
          <w:szCs w:val="24"/>
        </w:rPr>
      </w:pPr>
      <w:r w:rsidRPr="00C4506F">
        <w:rPr>
          <w:rFonts w:eastAsia="Calibri"/>
          <w:noProof/>
          <w:color w:val="000000"/>
          <w:szCs w:val="24"/>
        </w:rPr>
        <w:t xml:space="preserve">Subsidētās darbavietas eksportējošiem uzņēmumiem un tūrisma nozarei. Atbalsts tiks sniegts 25-30 % apmērā no saimnieciskās darbības veicēja 2019. gadā samaksātajām valsts sociālās apdrošināšanas obligātajām iemaksām, bet ne vairāk kā 800 000 </w:t>
      </w:r>
      <w:r w:rsidRPr="00C4506F">
        <w:rPr>
          <w:rFonts w:eastAsia="Calibri"/>
          <w:i/>
          <w:noProof/>
          <w:color w:val="000000"/>
          <w:szCs w:val="24"/>
        </w:rPr>
        <w:t>euro</w:t>
      </w:r>
      <w:r w:rsidRPr="00C4506F">
        <w:rPr>
          <w:rFonts w:eastAsia="Calibri"/>
          <w:noProof/>
          <w:color w:val="000000"/>
          <w:szCs w:val="24"/>
        </w:rPr>
        <w:t xml:space="preserve"> saistītai personu grupai.</w:t>
      </w:r>
    </w:p>
    <w:p w:rsidR="00C4506F" w:rsidRPr="00C4506F" w:rsidRDefault="00C4506F" w:rsidP="00C4506F">
      <w:pPr>
        <w:spacing w:before="120"/>
        <w:rPr>
          <w:b/>
          <w:color w:val="000000"/>
          <w:szCs w:val="24"/>
        </w:rPr>
      </w:pPr>
      <w:r w:rsidRPr="00C4506F">
        <w:rPr>
          <w:b/>
          <w:color w:val="000000"/>
          <w:szCs w:val="24"/>
        </w:rPr>
        <w:t>Atbalsts aizdevumu un garantiju jomā</w:t>
      </w:r>
    </w:p>
    <w:p w:rsidR="00C4506F" w:rsidRPr="00C4506F" w:rsidRDefault="00C4506F" w:rsidP="00C4506F">
      <w:pPr>
        <w:spacing w:before="120"/>
        <w:rPr>
          <w:color w:val="000000"/>
          <w:szCs w:val="24"/>
        </w:rPr>
      </w:pPr>
      <w:r w:rsidRPr="00C4506F">
        <w:rPr>
          <w:color w:val="000000"/>
          <w:szCs w:val="24"/>
        </w:rPr>
        <w:t xml:space="preserve">Plānotie atbalsta pasākumi tiek nodrošināti galvenokārt ar finanšu institūcijas ALTUM starpniecību un atbalsta veids pamatā ir paredzēts uzņēmumu likviditātes uzlabošanai īstermiņā. Šī atbalsta pasākumu grupa ietver arī pašvaldību aizņēmumu limita palielināšanu par 150 </w:t>
      </w:r>
      <w:r w:rsidRPr="00C4506F">
        <w:rPr>
          <w:noProof/>
          <w:color w:val="000000"/>
          <w:szCs w:val="24"/>
        </w:rPr>
        <w:t xml:space="preserve">milj. </w:t>
      </w:r>
      <w:r w:rsidRPr="00C4506F">
        <w:rPr>
          <w:i/>
          <w:noProof/>
          <w:color w:val="000000"/>
          <w:szCs w:val="24"/>
        </w:rPr>
        <w:t>euro</w:t>
      </w:r>
      <w:r w:rsidRPr="00C4506F">
        <w:rPr>
          <w:noProof/>
          <w:color w:val="000000"/>
          <w:szCs w:val="24"/>
        </w:rPr>
        <w:t xml:space="preserve"> augstas gatavības investīciju projektu īstenošanai. Atbalstu veido a</w:t>
      </w:r>
      <w:r w:rsidRPr="00C4506F">
        <w:rPr>
          <w:rFonts w:eastAsia="Calibri"/>
          <w:noProof/>
          <w:color w:val="000000"/>
          <w:szCs w:val="24"/>
        </w:rPr>
        <w:t xml:space="preserve">izdevumi apgrozāmiem līdzekļiem, kredītu garantijas, portfeļgarantijas, </w:t>
      </w:r>
      <w:r w:rsidRPr="00C4506F">
        <w:rPr>
          <w:rFonts w:eastAsia="Calibri"/>
          <w:noProof/>
          <w:szCs w:val="24"/>
        </w:rPr>
        <w:t>ALTUM ieguldījumu fonds modernizācijai, finansējums lielo komersanu atbalstam un pašvaldību aizņēmumu limita palielināšana.</w:t>
      </w:r>
    </w:p>
    <w:p w:rsidR="00C4506F" w:rsidRPr="00C4506F" w:rsidRDefault="00C4506F" w:rsidP="00C4506F">
      <w:pPr>
        <w:spacing w:before="120"/>
        <w:rPr>
          <w:b/>
          <w:color w:val="000000"/>
          <w:szCs w:val="24"/>
        </w:rPr>
      </w:pPr>
      <w:r w:rsidRPr="00C4506F">
        <w:rPr>
          <w:b/>
          <w:color w:val="000000"/>
          <w:szCs w:val="24"/>
        </w:rPr>
        <w:t>Atbalsts nozarēm</w:t>
      </w:r>
    </w:p>
    <w:p w:rsidR="00C4506F" w:rsidRPr="00475D97" w:rsidRDefault="00C4506F" w:rsidP="00475D97">
      <w:pPr>
        <w:spacing w:before="120"/>
        <w:rPr>
          <w:rFonts w:eastAsia="Calibri"/>
          <w:color w:val="000000"/>
          <w:szCs w:val="24"/>
        </w:rPr>
      </w:pPr>
      <w:r w:rsidRPr="00C4506F">
        <w:rPr>
          <w:color w:val="000000"/>
          <w:szCs w:val="24"/>
        </w:rPr>
        <w:t xml:space="preserve">Atbalsts paredzēts nozaru finansiālo grūtību mazināšanai un zaudējumu segšanai, kā arī medicīnas līdzekļu un aprīkojuma nodrošināšanai Covid-19 infekcijas izplatības novēršanai. Jāmin šādas nozares ar lielāko atbalsta apmēru: </w:t>
      </w:r>
      <w:r w:rsidRPr="00C4506F">
        <w:rPr>
          <w:rFonts w:eastAsia="Calibri"/>
          <w:color w:val="000000"/>
          <w:szCs w:val="24"/>
        </w:rPr>
        <w:t xml:space="preserve">aviopārvadājumi, veselības aprūpe, </w:t>
      </w:r>
      <w:r w:rsidRPr="00C4506F">
        <w:rPr>
          <w:rFonts w:eastAsia="Calibri"/>
          <w:noProof/>
          <w:color w:val="000000"/>
          <w:szCs w:val="24"/>
        </w:rPr>
        <w:t>valsts autoceļu būvniecība un tiltu remonti,</w:t>
      </w:r>
      <w:r w:rsidRPr="00C4506F">
        <w:rPr>
          <w:rFonts w:eastAsia="Calibri"/>
          <w:color w:val="000000"/>
          <w:szCs w:val="24"/>
        </w:rPr>
        <w:t xml:space="preserve"> pasažieru un kravu pārvadātāji, lauksaimniecības, mežsaimniecības, zivsaimniecības un pārtikas ražošanas nozare, kultūra, demogrāfija, zinātne </w:t>
      </w:r>
      <w:r w:rsidRPr="00C4506F">
        <w:rPr>
          <w:rFonts w:eastAsia="Calibri"/>
          <w:color w:val="000000"/>
          <w:szCs w:val="24"/>
        </w:rPr>
        <w:lastRenderedPageBreak/>
        <w:t xml:space="preserve">un izglītība, tai skaitā atbalsts attālinātajam mācību procesam, sporta nozare, mediji un sabiedrības informēšana. </w:t>
      </w:r>
    </w:p>
    <w:p w:rsidR="00C4506F" w:rsidRPr="00C4506F" w:rsidRDefault="00C4506F" w:rsidP="00C4506F">
      <w:pPr>
        <w:spacing w:before="120"/>
        <w:rPr>
          <w:b/>
          <w:color w:val="000000"/>
          <w:szCs w:val="24"/>
        </w:rPr>
      </w:pPr>
      <w:r w:rsidRPr="00C4506F">
        <w:rPr>
          <w:b/>
          <w:color w:val="000000"/>
          <w:szCs w:val="24"/>
        </w:rPr>
        <w:t>ES finansējuma atbalsts</w:t>
      </w:r>
    </w:p>
    <w:p w:rsidR="00C4506F" w:rsidRPr="00C4506F" w:rsidRDefault="00C4506F" w:rsidP="00C4506F">
      <w:pPr>
        <w:spacing w:before="120"/>
        <w:rPr>
          <w:b/>
          <w:szCs w:val="24"/>
        </w:rPr>
      </w:pPr>
      <w:r w:rsidRPr="00C4506F">
        <w:rPr>
          <w:color w:val="000000"/>
          <w:szCs w:val="24"/>
        </w:rPr>
        <w:t xml:space="preserve">Ar mērķi nodrošināt iespēju vieglāk un ātrāk reaģēt, mazinot Covid-19 izraisītās sekas, ES fondu regulu grozījumi ļauj dalībvalstīm pārstrukturēt investīcijas, paplašinot izdevumu </w:t>
      </w:r>
      <w:r w:rsidRPr="00C4506F">
        <w:rPr>
          <w:noProof/>
          <w:color w:val="000000"/>
          <w:szCs w:val="24"/>
        </w:rPr>
        <w:t>attiecināmības tvērumu</w:t>
      </w:r>
      <w:r w:rsidRPr="00C4506F">
        <w:rPr>
          <w:color w:val="000000"/>
          <w:szCs w:val="24"/>
        </w:rPr>
        <w:t xml:space="preserve"> un pieļaujot dalībvalstu ES fondu darbības programmu grozījumus pirms EK oficiāla lēmuma, tādējādi tika rosināts pārdalīt 496 milj. </w:t>
      </w:r>
      <w:r w:rsidRPr="00C4506F">
        <w:rPr>
          <w:i/>
          <w:noProof/>
          <w:color w:val="000000"/>
          <w:szCs w:val="24"/>
        </w:rPr>
        <w:t>euro</w:t>
      </w:r>
      <w:r w:rsidRPr="00C4506F">
        <w:rPr>
          <w:noProof/>
          <w:color w:val="000000"/>
          <w:szCs w:val="24"/>
        </w:rPr>
        <w:t xml:space="preserve">. Vēl valdība nolēma atļaut uzņemties papildus saistības projektu īstenošanai “virssaistību” veidā un palielināt investīcijas vidējā termiņā ES fondu un lauksaimniecības fondu projektiem, tādējādi </w:t>
      </w:r>
      <w:r w:rsidRPr="00C4506F">
        <w:rPr>
          <w:color w:val="000000"/>
          <w:szCs w:val="24"/>
        </w:rPr>
        <w:t>nodrošinot kopējās ES fondu finansējuma “aploksnes” izlietojumu.</w:t>
      </w:r>
    </w:p>
    <w:p w:rsidR="00C4506F" w:rsidRPr="00C4506F" w:rsidRDefault="00C4506F" w:rsidP="00C4506F">
      <w:pPr>
        <w:spacing w:before="120"/>
        <w:ind w:left="360" w:firstLine="0"/>
        <w:jc w:val="center"/>
        <w:rPr>
          <w:rFonts w:eastAsia="Calibri"/>
          <w:b/>
          <w:i/>
          <w:szCs w:val="24"/>
        </w:rPr>
      </w:pPr>
      <w:r w:rsidRPr="00C11449">
        <w:rPr>
          <w:b/>
          <w:i/>
          <w:szCs w:val="24"/>
        </w:rPr>
        <w:t>2.</w:t>
      </w:r>
      <w:r>
        <w:rPr>
          <w:b/>
          <w:i/>
          <w:szCs w:val="24"/>
        </w:rPr>
        <w:t>4</w:t>
      </w:r>
      <w:r w:rsidRPr="00C11449">
        <w:rPr>
          <w:b/>
          <w:i/>
          <w:szCs w:val="24"/>
        </w:rPr>
        <w:t xml:space="preserve">. tabula </w:t>
      </w:r>
      <w:r w:rsidRPr="00C4506F">
        <w:rPr>
          <w:rFonts w:eastAsia="Calibri"/>
          <w:b/>
          <w:szCs w:val="24"/>
        </w:rPr>
        <w:t>Valdības apstiprinātie atbalsta pasākumi Covid-19 izraisītās krīzes seku mazināšanai tautsaimniecībā un to fiskālā ietekme, % no IKP un milj</w:t>
      </w:r>
      <w:r w:rsidRPr="00C4506F">
        <w:rPr>
          <w:rFonts w:eastAsia="Calibri"/>
          <w:b/>
          <w:noProof/>
          <w:szCs w:val="24"/>
        </w:rPr>
        <w:t>.</w:t>
      </w:r>
      <w:r w:rsidRPr="00C4506F">
        <w:rPr>
          <w:rFonts w:eastAsia="Calibri"/>
          <w:b/>
          <w:i/>
          <w:noProof/>
          <w:szCs w:val="24"/>
        </w:rPr>
        <w:t xml:space="preserve"> euro</w:t>
      </w:r>
    </w:p>
    <w:tbl>
      <w:tblPr>
        <w:tblStyle w:val="TableGrid"/>
        <w:tblW w:w="9168" w:type="dxa"/>
        <w:jc w:val="center"/>
        <w:tblLayout w:type="fixed"/>
        <w:tblLook w:val="04A0" w:firstRow="1" w:lastRow="0" w:firstColumn="1" w:lastColumn="0" w:noHBand="0" w:noVBand="1"/>
      </w:tblPr>
      <w:tblGrid>
        <w:gridCol w:w="3539"/>
        <w:gridCol w:w="1418"/>
        <w:gridCol w:w="850"/>
        <w:gridCol w:w="709"/>
        <w:gridCol w:w="709"/>
        <w:gridCol w:w="708"/>
        <w:gridCol w:w="1235"/>
      </w:tblGrid>
      <w:tr w:rsidR="00C4506F" w:rsidRPr="00BB6FC9" w:rsidTr="002603D7">
        <w:trPr>
          <w:trHeight w:val="250"/>
          <w:jc w:val="center"/>
        </w:trPr>
        <w:tc>
          <w:tcPr>
            <w:tcW w:w="3539" w:type="dxa"/>
            <w:vMerge w:val="restart"/>
            <w:shd w:val="clear" w:color="auto" w:fill="95B3D7" w:themeFill="accent1" w:themeFillTint="99"/>
            <w:vAlign w:val="center"/>
            <w:hideMark/>
          </w:tcPr>
          <w:p w:rsidR="00C4506F" w:rsidRPr="00C4506F" w:rsidRDefault="00C4506F" w:rsidP="002603D7">
            <w:pPr>
              <w:spacing w:after="0"/>
              <w:rPr>
                <w:b/>
                <w:bCs/>
                <w:color w:val="000000"/>
                <w:sz w:val="18"/>
                <w:szCs w:val="18"/>
                <w:highlight w:val="yellow"/>
              </w:rPr>
            </w:pPr>
          </w:p>
        </w:tc>
        <w:tc>
          <w:tcPr>
            <w:tcW w:w="1418" w:type="dxa"/>
            <w:vMerge w:val="restart"/>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 xml:space="preserve">Apstiprinātais atbalsts, milj. </w:t>
            </w:r>
            <w:r w:rsidRPr="00C4506F">
              <w:rPr>
                <w:b/>
                <w:bCs/>
                <w:i/>
                <w:noProof/>
                <w:color w:val="000000"/>
                <w:sz w:val="18"/>
                <w:szCs w:val="18"/>
              </w:rPr>
              <w:t>euro</w:t>
            </w:r>
            <w:r w:rsidRPr="00C4506F">
              <w:rPr>
                <w:b/>
                <w:bCs/>
                <w:noProof/>
                <w:color w:val="000000"/>
                <w:sz w:val="18"/>
                <w:szCs w:val="18"/>
              </w:rPr>
              <w:t xml:space="preserve"> </w:t>
            </w:r>
          </w:p>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 no IKP)</w:t>
            </w:r>
          </w:p>
        </w:tc>
        <w:tc>
          <w:tcPr>
            <w:tcW w:w="2976" w:type="dxa"/>
            <w:gridSpan w:val="4"/>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 xml:space="preserve">Ietekme uz vispārējās valdības budžeta bilanci, milj. </w:t>
            </w:r>
            <w:r w:rsidRPr="00C4506F">
              <w:rPr>
                <w:b/>
                <w:bCs/>
                <w:i/>
                <w:noProof/>
                <w:color w:val="000000"/>
                <w:sz w:val="18"/>
                <w:szCs w:val="18"/>
              </w:rPr>
              <w:t>euro</w:t>
            </w:r>
          </w:p>
        </w:tc>
        <w:tc>
          <w:tcPr>
            <w:tcW w:w="1235" w:type="dxa"/>
            <w:shd w:val="clear" w:color="auto" w:fill="95B3D7" w:themeFill="accent1" w:themeFillTint="99"/>
            <w:vAlign w:val="center"/>
            <w:hideMark/>
          </w:tcPr>
          <w:p w:rsidR="00C4506F" w:rsidRPr="00C4506F" w:rsidRDefault="00C4506F" w:rsidP="002603D7">
            <w:pPr>
              <w:spacing w:after="0"/>
              <w:ind w:firstLine="0"/>
              <w:jc w:val="center"/>
              <w:rPr>
                <w:b/>
                <w:noProof/>
                <w:color w:val="000000"/>
                <w:sz w:val="18"/>
                <w:szCs w:val="18"/>
              </w:rPr>
            </w:pPr>
            <w:r w:rsidRPr="00C4506F">
              <w:rPr>
                <w:b/>
                <w:noProof/>
                <w:color w:val="000000"/>
                <w:sz w:val="18"/>
                <w:szCs w:val="18"/>
              </w:rPr>
              <w:t xml:space="preserve">Faktiskā izpilde 20.09.2020., milj. </w:t>
            </w:r>
            <w:r w:rsidRPr="00C4506F">
              <w:rPr>
                <w:b/>
                <w:i/>
                <w:noProof/>
                <w:color w:val="000000"/>
                <w:sz w:val="18"/>
                <w:szCs w:val="18"/>
              </w:rPr>
              <w:t>euro</w:t>
            </w:r>
            <w:r w:rsidRPr="00C4506F">
              <w:rPr>
                <w:b/>
                <w:noProof/>
                <w:color w:val="000000"/>
                <w:sz w:val="18"/>
                <w:szCs w:val="18"/>
              </w:rPr>
              <w:t>*</w:t>
            </w:r>
          </w:p>
        </w:tc>
      </w:tr>
      <w:tr w:rsidR="00C4506F" w:rsidRPr="00BB6FC9" w:rsidTr="002603D7">
        <w:trPr>
          <w:trHeight w:val="229"/>
          <w:jc w:val="center"/>
        </w:trPr>
        <w:tc>
          <w:tcPr>
            <w:tcW w:w="3539" w:type="dxa"/>
            <w:vMerge/>
            <w:shd w:val="clear" w:color="auto" w:fill="95B3D7" w:themeFill="accent1" w:themeFillTint="99"/>
            <w:vAlign w:val="center"/>
            <w:hideMark/>
          </w:tcPr>
          <w:p w:rsidR="00C4506F" w:rsidRPr="00C4506F" w:rsidRDefault="00C4506F" w:rsidP="002603D7">
            <w:pPr>
              <w:spacing w:after="0"/>
              <w:rPr>
                <w:b/>
                <w:bCs/>
                <w:color w:val="000000"/>
                <w:sz w:val="18"/>
                <w:szCs w:val="18"/>
                <w:highlight w:val="yellow"/>
              </w:rPr>
            </w:pPr>
          </w:p>
        </w:tc>
        <w:tc>
          <w:tcPr>
            <w:tcW w:w="1418" w:type="dxa"/>
            <w:vMerge/>
            <w:shd w:val="clear" w:color="auto" w:fill="95B3D7" w:themeFill="accent1" w:themeFillTint="99"/>
            <w:vAlign w:val="center"/>
            <w:hideMark/>
          </w:tcPr>
          <w:p w:rsidR="00C4506F" w:rsidRPr="00C4506F" w:rsidRDefault="00C4506F" w:rsidP="002603D7">
            <w:pPr>
              <w:spacing w:after="0"/>
              <w:rPr>
                <w:b/>
                <w:bCs/>
                <w:noProof/>
                <w:color w:val="000000"/>
                <w:sz w:val="18"/>
                <w:szCs w:val="18"/>
              </w:rPr>
            </w:pPr>
          </w:p>
        </w:tc>
        <w:tc>
          <w:tcPr>
            <w:tcW w:w="850" w:type="dxa"/>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2020</w:t>
            </w:r>
          </w:p>
        </w:tc>
        <w:tc>
          <w:tcPr>
            <w:tcW w:w="709" w:type="dxa"/>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2021</w:t>
            </w:r>
          </w:p>
        </w:tc>
        <w:tc>
          <w:tcPr>
            <w:tcW w:w="709" w:type="dxa"/>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2022</w:t>
            </w:r>
          </w:p>
        </w:tc>
        <w:tc>
          <w:tcPr>
            <w:tcW w:w="708" w:type="dxa"/>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2023</w:t>
            </w:r>
          </w:p>
        </w:tc>
        <w:tc>
          <w:tcPr>
            <w:tcW w:w="1235" w:type="dxa"/>
            <w:shd w:val="clear" w:color="auto" w:fill="95B3D7" w:themeFill="accent1" w:themeFillTint="99"/>
            <w:vAlign w:val="center"/>
            <w:hideMark/>
          </w:tcPr>
          <w:p w:rsidR="00C4506F" w:rsidRPr="00C4506F" w:rsidRDefault="00C4506F" w:rsidP="002603D7">
            <w:pPr>
              <w:spacing w:after="0"/>
              <w:ind w:firstLine="0"/>
              <w:jc w:val="center"/>
              <w:rPr>
                <w:b/>
                <w:bCs/>
                <w:noProof/>
                <w:color w:val="000000"/>
                <w:sz w:val="18"/>
                <w:szCs w:val="18"/>
              </w:rPr>
            </w:pPr>
            <w:r w:rsidRPr="00C4506F">
              <w:rPr>
                <w:b/>
                <w:bCs/>
                <w:noProof/>
                <w:color w:val="000000"/>
                <w:sz w:val="18"/>
                <w:szCs w:val="18"/>
              </w:rPr>
              <w:t>2020</w:t>
            </w:r>
          </w:p>
        </w:tc>
      </w:tr>
      <w:tr w:rsidR="00C4506F" w:rsidRPr="00BB6FC9" w:rsidTr="002603D7">
        <w:trPr>
          <w:trHeight w:val="229"/>
          <w:jc w:val="center"/>
        </w:trPr>
        <w:tc>
          <w:tcPr>
            <w:tcW w:w="3539" w:type="dxa"/>
            <w:shd w:val="clear" w:color="auto" w:fill="auto"/>
            <w:vAlign w:val="center"/>
            <w:hideMark/>
          </w:tcPr>
          <w:p w:rsidR="00C4506F" w:rsidRPr="00C4506F" w:rsidRDefault="00C4506F" w:rsidP="002603D7">
            <w:pPr>
              <w:spacing w:after="0"/>
              <w:ind w:firstLine="0"/>
              <w:jc w:val="right"/>
              <w:rPr>
                <w:b/>
                <w:bCs/>
                <w:color w:val="000000"/>
                <w:sz w:val="18"/>
                <w:szCs w:val="18"/>
              </w:rPr>
            </w:pPr>
            <w:r w:rsidRPr="00C4506F">
              <w:rPr>
                <w:b/>
                <w:bCs/>
                <w:color w:val="000000"/>
                <w:sz w:val="18"/>
                <w:szCs w:val="18"/>
              </w:rPr>
              <w:t>Atbalsts kopā</w:t>
            </w:r>
          </w:p>
        </w:tc>
        <w:tc>
          <w:tcPr>
            <w:tcW w:w="1418" w:type="dxa"/>
            <w:shd w:val="clear" w:color="auto" w:fill="auto"/>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 xml:space="preserve">3 138,9 </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(11,1)</w:t>
            </w:r>
          </w:p>
        </w:tc>
        <w:tc>
          <w:tcPr>
            <w:tcW w:w="850" w:type="dxa"/>
            <w:shd w:val="clear" w:color="auto" w:fill="auto"/>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-1 212,4</w:t>
            </w:r>
          </w:p>
        </w:tc>
        <w:tc>
          <w:tcPr>
            <w:tcW w:w="709" w:type="dxa"/>
            <w:shd w:val="clear" w:color="auto" w:fill="auto"/>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-149,8</w:t>
            </w:r>
          </w:p>
        </w:tc>
        <w:tc>
          <w:tcPr>
            <w:tcW w:w="709" w:type="dxa"/>
            <w:shd w:val="clear" w:color="auto" w:fill="auto"/>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-5,5</w:t>
            </w:r>
          </w:p>
        </w:tc>
        <w:tc>
          <w:tcPr>
            <w:tcW w:w="708" w:type="dxa"/>
            <w:shd w:val="clear" w:color="auto" w:fill="auto"/>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-1,0</w:t>
            </w:r>
          </w:p>
        </w:tc>
        <w:tc>
          <w:tcPr>
            <w:tcW w:w="1235" w:type="dxa"/>
            <w:shd w:val="clear" w:color="auto" w:fill="auto"/>
            <w:vAlign w:val="center"/>
            <w:hideMark/>
          </w:tcPr>
          <w:p w:rsidR="00C4506F" w:rsidRPr="00C4506F" w:rsidRDefault="00C4506F" w:rsidP="002603D7">
            <w:pPr>
              <w:spacing w:after="0"/>
              <w:ind w:firstLine="0"/>
              <w:jc w:val="center"/>
              <w:rPr>
                <w:b/>
                <w:color w:val="000000"/>
                <w:sz w:val="18"/>
                <w:szCs w:val="18"/>
              </w:rPr>
            </w:pPr>
            <w:r w:rsidRPr="00C4506F">
              <w:rPr>
                <w:b/>
                <w:color w:val="000000"/>
                <w:sz w:val="18"/>
                <w:szCs w:val="18"/>
              </w:rPr>
              <w:t>-718,4</w:t>
            </w:r>
          </w:p>
        </w:tc>
      </w:tr>
      <w:tr w:rsidR="00C4506F" w:rsidRPr="00BB6FC9" w:rsidTr="002603D7">
        <w:trPr>
          <w:trHeight w:val="229"/>
          <w:jc w:val="center"/>
        </w:trPr>
        <w:tc>
          <w:tcPr>
            <w:tcW w:w="3539" w:type="dxa"/>
            <w:shd w:val="clear" w:color="auto" w:fill="DBE5F1" w:themeFill="accent1" w:themeFillTint="33"/>
            <w:noWrap/>
            <w:vAlign w:val="center"/>
            <w:hideMark/>
          </w:tcPr>
          <w:p w:rsidR="00C4506F" w:rsidRPr="00C4506F" w:rsidRDefault="00C4506F" w:rsidP="002603D7">
            <w:pPr>
              <w:spacing w:after="0"/>
              <w:ind w:firstLine="0"/>
              <w:rPr>
                <w:b/>
                <w:bCs/>
                <w:color w:val="000000"/>
                <w:sz w:val="18"/>
                <w:szCs w:val="18"/>
              </w:rPr>
            </w:pPr>
            <w:r w:rsidRPr="00C4506F">
              <w:rPr>
                <w:b/>
                <w:bCs/>
                <w:color w:val="000000"/>
                <w:sz w:val="18"/>
                <w:szCs w:val="18"/>
              </w:rPr>
              <w:t>Atbalsts nodokļu jomā</w:t>
            </w:r>
          </w:p>
        </w:tc>
        <w:tc>
          <w:tcPr>
            <w:tcW w:w="141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 xml:space="preserve">234,2 </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(0,8)</w:t>
            </w:r>
          </w:p>
        </w:tc>
        <w:tc>
          <w:tcPr>
            <w:tcW w:w="850"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-139,9</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35,5</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1,0</w:t>
            </w:r>
          </w:p>
        </w:tc>
        <w:tc>
          <w:tcPr>
            <w:tcW w:w="70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1,9</w:t>
            </w:r>
          </w:p>
        </w:tc>
        <w:tc>
          <w:tcPr>
            <w:tcW w:w="1235"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-77,7</w:t>
            </w:r>
          </w:p>
        </w:tc>
      </w:tr>
      <w:tr w:rsidR="00C4506F" w:rsidRPr="00BB6FC9" w:rsidTr="002603D7">
        <w:trPr>
          <w:trHeight w:val="229"/>
          <w:jc w:val="center"/>
        </w:trPr>
        <w:tc>
          <w:tcPr>
            <w:tcW w:w="3539" w:type="dxa"/>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Nodokļu samaksas termiņa pagarinājumi</w:t>
            </w:r>
          </w:p>
        </w:tc>
        <w:tc>
          <w:tcPr>
            <w:tcW w:w="1418"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139,2</w:t>
            </w:r>
          </w:p>
        </w:tc>
        <w:tc>
          <w:tcPr>
            <w:tcW w:w="850"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-44,9</w:t>
            </w:r>
          </w:p>
        </w:tc>
        <w:tc>
          <w:tcPr>
            <w:tcW w:w="709"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0,5</w:t>
            </w:r>
          </w:p>
        </w:tc>
        <w:tc>
          <w:tcPr>
            <w:tcW w:w="709"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1,0</w:t>
            </w:r>
          </w:p>
        </w:tc>
        <w:tc>
          <w:tcPr>
            <w:tcW w:w="708"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1,9</w:t>
            </w:r>
          </w:p>
        </w:tc>
        <w:tc>
          <w:tcPr>
            <w:tcW w:w="1235" w:type="dxa"/>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-42,7</w:t>
            </w:r>
          </w:p>
        </w:tc>
      </w:tr>
      <w:tr w:rsidR="00C4506F" w:rsidRPr="00BB6FC9" w:rsidTr="002603D7">
        <w:trPr>
          <w:trHeight w:val="229"/>
          <w:jc w:val="center"/>
        </w:trPr>
        <w:tc>
          <w:tcPr>
            <w:tcW w:w="3539" w:type="dxa"/>
            <w:shd w:val="clear" w:color="auto" w:fill="DBE5F1" w:themeFill="accent1" w:themeFillTint="33"/>
            <w:noWrap/>
            <w:vAlign w:val="center"/>
            <w:hideMark/>
          </w:tcPr>
          <w:p w:rsidR="00C4506F" w:rsidRPr="00C4506F" w:rsidRDefault="00C4506F" w:rsidP="002603D7">
            <w:pPr>
              <w:spacing w:after="0"/>
              <w:ind w:firstLine="0"/>
              <w:rPr>
                <w:b/>
                <w:bCs/>
                <w:color w:val="000000"/>
                <w:sz w:val="18"/>
                <w:szCs w:val="18"/>
              </w:rPr>
            </w:pPr>
            <w:r w:rsidRPr="00C4506F">
              <w:rPr>
                <w:b/>
                <w:bCs/>
                <w:color w:val="000000"/>
                <w:sz w:val="18"/>
                <w:szCs w:val="18"/>
              </w:rPr>
              <w:t>Atbalsts pabalstu jomā</w:t>
            </w:r>
          </w:p>
        </w:tc>
        <w:tc>
          <w:tcPr>
            <w:tcW w:w="141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152,8</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(0,5)</w:t>
            </w:r>
          </w:p>
        </w:tc>
        <w:tc>
          <w:tcPr>
            <w:tcW w:w="850"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-152,8</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70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1235"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-94,8</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Dīkstāves pabalsti</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53,6</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-53,6</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-53,6</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Subsidētās darba vietas eksportējošiem uzņēmumiem un tūrisma nozarei</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70,2</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-70,2</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-26,6</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Bezdarbnieku palīdzības pabalsts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10,1</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-10,1</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-2,2</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Atbalsts jaunajiem speciālistiem</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6,6</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-6,6</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-0,1</w:t>
            </w:r>
          </w:p>
        </w:tc>
      </w:tr>
      <w:tr w:rsidR="00C4506F" w:rsidRPr="00BB6FC9" w:rsidTr="002603D7">
        <w:trPr>
          <w:trHeight w:val="229"/>
          <w:jc w:val="center"/>
        </w:trPr>
        <w:tc>
          <w:tcPr>
            <w:tcW w:w="3539" w:type="dxa"/>
            <w:shd w:val="clear" w:color="auto" w:fill="DBE5F1" w:themeFill="accent1" w:themeFillTint="33"/>
            <w:noWrap/>
            <w:vAlign w:val="center"/>
            <w:hideMark/>
          </w:tcPr>
          <w:p w:rsidR="00C4506F" w:rsidRPr="00C4506F" w:rsidRDefault="00C4506F" w:rsidP="002603D7">
            <w:pPr>
              <w:spacing w:after="0"/>
              <w:ind w:firstLine="0"/>
              <w:rPr>
                <w:b/>
                <w:bCs/>
                <w:color w:val="000000"/>
                <w:sz w:val="18"/>
                <w:szCs w:val="18"/>
              </w:rPr>
            </w:pPr>
            <w:r w:rsidRPr="00C4506F">
              <w:rPr>
                <w:b/>
                <w:bCs/>
                <w:color w:val="000000"/>
                <w:sz w:val="18"/>
                <w:szCs w:val="18"/>
              </w:rPr>
              <w:t>Atbalsts aizdevumu un garantiju jomā</w:t>
            </w:r>
          </w:p>
        </w:tc>
        <w:tc>
          <w:tcPr>
            <w:tcW w:w="141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 xml:space="preserve">1 205,0 </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(4,3)</w:t>
            </w:r>
          </w:p>
        </w:tc>
        <w:tc>
          <w:tcPr>
            <w:tcW w:w="850"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-240,0</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-72,0</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70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1235"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-123,3</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Kredītu garantijas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415,0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-25,0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-25,0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noProof/>
                <w:color w:val="000000"/>
                <w:sz w:val="18"/>
                <w:szCs w:val="18"/>
              </w:rPr>
            </w:pPr>
            <w:r w:rsidRPr="00C4506F">
              <w:rPr>
                <w:bCs/>
                <w:noProof/>
                <w:color w:val="000000"/>
                <w:sz w:val="18"/>
                <w:szCs w:val="18"/>
              </w:rPr>
              <w:t>Portfeļgarantijas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300,0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-25,0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-25,0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Aizdevumi apgrozāmiem līdzekļiem </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200,0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-50,0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Pašvaldību aizņēmumu limita palielināšana</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150,0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-72,0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-3,3</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Ieguldījumu fonds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50,0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highlight w:val="yellow"/>
              </w:rPr>
            </w:pPr>
            <w:r w:rsidRPr="00C4506F">
              <w:rPr>
                <w:rFonts w:eastAsia="Calibri"/>
                <w:snapToGrid w:val="0"/>
                <w:sz w:val="18"/>
                <w:szCs w:val="18"/>
              </w:rPr>
              <w:t>Atbalsts lielajiem komersantiem</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90,0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-90,0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-20,0</w:t>
            </w:r>
          </w:p>
        </w:tc>
      </w:tr>
      <w:tr w:rsidR="00C4506F" w:rsidRPr="00BB6FC9" w:rsidTr="002603D7">
        <w:trPr>
          <w:trHeight w:val="229"/>
          <w:jc w:val="center"/>
        </w:trPr>
        <w:tc>
          <w:tcPr>
            <w:tcW w:w="3539" w:type="dxa"/>
            <w:shd w:val="clear" w:color="auto" w:fill="DBE5F1" w:themeFill="accent1" w:themeFillTint="33"/>
            <w:noWrap/>
            <w:vAlign w:val="center"/>
            <w:hideMark/>
          </w:tcPr>
          <w:p w:rsidR="00C4506F" w:rsidRPr="00C4506F" w:rsidRDefault="00C4506F" w:rsidP="002603D7">
            <w:pPr>
              <w:spacing w:after="0"/>
              <w:ind w:firstLine="0"/>
              <w:rPr>
                <w:b/>
                <w:bCs/>
                <w:color w:val="000000"/>
                <w:sz w:val="18"/>
                <w:szCs w:val="18"/>
              </w:rPr>
            </w:pPr>
            <w:r w:rsidRPr="00C4506F">
              <w:rPr>
                <w:b/>
                <w:bCs/>
                <w:color w:val="000000"/>
                <w:sz w:val="18"/>
                <w:szCs w:val="18"/>
              </w:rPr>
              <w:t>Atbalsts nozarēm</w:t>
            </w:r>
          </w:p>
        </w:tc>
        <w:tc>
          <w:tcPr>
            <w:tcW w:w="141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785,0</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(2,8)</w:t>
            </w:r>
          </w:p>
        </w:tc>
        <w:tc>
          <w:tcPr>
            <w:tcW w:w="850"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-679,9</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-105,3</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70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1235"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-422,6</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Atbalsts aviopārvadājumu nozarei</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310,4</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-310,4</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-256,0</w:t>
            </w:r>
          </w:p>
        </w:tc>
      </w:tr>
      <w:tr w:rsidR="00C4506F" w:rsidRPr="00BB6FC9" w:rsidTr="002603D7">
        <w:trPr>
          <w:trHeight w:val="70"/>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Ar veselības aprūpi saistīts atbalsts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183,6</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-134,3</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-49,3</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-65,7</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Valsts autoceļu būvniecībai un tiltu remontiem</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75,0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-75,0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-9,3</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Atbalsts pasažieru un kravu pārvadātājiem</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66,0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-66,0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-58,9</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Finansiālo grūtību mazināšanai lauksaimniecības, mežsaimniecības, zivsaimniecības un pārtikas ražošanas nozarēm</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45,5</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-45,5</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-12,6</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Atbalsts kultūras nozarei</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32,7</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-21,4</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-11,2</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-9,3</w:t>
            </w:r>
          </w:p>
        </w:tc>
      </w:tr>
      <w:tr w:rsidR="00C4506F" w:rsidRPr="00BB6FC9" w:rsidTr="002603D7">
        <w:trPr>
          <w:trHeight w:val="229"/>
          <w:jc w:val="center"/>
        </w:trPr>
        <w:tc>
          <w:tcPr>
            <w:tcW w:w="3539" w:type="dxa"/>
            <w:shd w:val="clear" w:color="auto" w:fill="DBE5F1" w:themeFill="accent1" w:themeFillTint="33"/>
            <w:noWrap/>
            <w:vAlign w:val="center"/>
            <w:hideMark/>
          </w:tcPr>
          <w:p w:rsidR="00C4506F" w:rsidRPr="00C4506F" w:rsidRDefault="00C4506F" w:rsidP="002603D7">
            <w:pPr>
              <w:spacing w:after="0"/>
              <w:ind w:firstLine="0"/>
              <w:rPr>
                <w:b/>
                <w:bCs/>
                <w:color w:val="000000"/>
                <w:sz w:val="18"/>
                <w:szCs w:val="18"/>
              </w:rPr>
            </w:pPr>
            <w:r w:rsidRPr="00C4506F">
              <w:rPr>
                <w:b/>
                <w:bCs/>
                <w:color w:val="000000"/>
                <w:sz w:val="18"/>
                <w:szCs w:val="18"/>
              </w:rPr>
              <w:t>ES fondu finansējuma atbalsts</w:t>
            </w:r>
          </w:p>
        </w:tc>
        <w:tc>
          <w:tcPr>
            <w:tcW w:w="141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 xml:space="preserve">761,9 </w:t>
            </w:r>
          </w:p>
          <w:p w:rsidR="00C4506F" w:rsidRPr="00C4506F" w:rsidRDefault="00C4506F" w:rsidP="002603D7">
            <w:pPr>
              <w:spacing w:after="0"/>
              <w:ind w:firstLine="0"/>
              <w:jc w:val="center"/>
              <w:rPr>
                <w:b/>
                <w:bCs/>
                <w:color w:val="000000"/>
                <w:sz w:val="18"/>
                <w:szCs w:val="18"/>
              </w:rPr>
            </w:pPr>
            <w:r w:rsidRPr="00C4506F">
              <w:rPr>
                <w:b/>
                <w:bCs/>
                <w:color w:val="000000"/>
                <w:sz w:val="18"/>
                <w:szCs w:val="18"/>
              </w:rPr>
              <w:t>(2,7)</w:t>
            </w:r>
          </w:p>
        </w:tc>
        <w:tc>
          <w:tcPr>
            <w:tcW w:w="850"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-8,0</w:t>
            </w:r>
          </w:p>
        </w:tc>
        <w:tc>
          <w:tcPr>
            <w:tcW w:w="709"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-6,4</w:t>
            </w:r>
          </w:p>
        </w:tc>
        <w:tc>
          <w:tcPr>
            <w:tcW w:w="708"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-2,9</w:t>
            </w:r>
          </w:p>
        </w:tc>
        <w:tc>
          <w:tcPr>
            <w:tcW w:w="1235" w:type="dxa"/>
            <w:shd w:val="clear" w:color="auto" w:fill="DBE5F1" w:themeFill="accent1" w:themeFillTint="33"/>
            <w:vAlign w:val="center"/>
            <w:hideMark/>
          </w:tcPr>
          <w:p w:rsidR="00C4506F" w:rsidRPr="00C4506F" w:rsidRDefault="00C4506F" w:rsidP="002603D7">
            <w:pPr>
              <w:spacing w:after="0"/>
              <w:ind w:firstLine="0"/>
              <w:jc w:val="center"/>
              <w:rPr>
                <w:b/>
                <w:bCs/>
                <w:color w:val="000000"/>
                <w:sz w:val="18"/>
                <w:szCs w:val="18"/>
              </w:rPr>
            </w:pPr>
            <w:r w:rsidRPr="00C4506F">
              <w:rPr>
                <w:b/>
                <w:bCs/>
                <w:color w:val="000000"/>
                <w:sz w:val="18"/>
                <w:szCs w:val="18"/>
              </w:rPr>
              <w:t>0,0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color w:val="000000"/>
                <w:sz w:val="18"/>
                <w:szCs w:val="18"/>
              </w:rPr>
            </w:pPr>
            <w:r w:rsidRPr="00C4506F">
              <w:rPr>
                <w:bCs/>
                <w:color w:val="000000"/>
                <w:sz w:val="18"/>
                <w:szCs w:val="18"/>
              </w:rPr>
              <w:t>ES fondu finansējuma pārdales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496,0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noProof/>
                <w:color w:val="000000"/>
                <w:sz w:val="18"/>
                <w:szCs w:val="18"/>
              </w:rPr>
            </w:pPr>
            <w:r w:rsidRPr="00C4506F">
              <w:rPr>
                <w:bCs/>
                <w:noProof/>
                <w:color w:val="000000"/>
                <w:sz w:val="18"/>
                <w:szCs w:val="18"/>
              </w:rPr>
              <w:t>ES fondu virssaistības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141,4</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r>
      <w:tr w:rsidR="00C4506F" w:rsidRPr="00BB6FC9" w:rsidTr="002603D7">
        <w:trPr>
          <w:trHeight w:val="229"/>
          <w:jc w:val="center"/>
        </w:trPr>
        <w:tc>
          <w:tcPr>
            <w:tcW w:w="3539" w:type="dxa"/>
            <w:shd w:val="clear" w:color="auto" w:fill="auto"/>
            <w:noWrap/>
            <w:vAlign w:val="center"/>
          </w:tcPr>
          <w:p w:rsidR="00C4506F" w:rsidRPr="00C4506F" w:rsidRDefault="00C4506F" w:rsidP="002603D7">
            <w:pPr>
              <w:spacing w:after="0"/>
              <w:ind w:firstLine="0"/>
              <w:jc w:val="right"/>
              <w:rPr>
                <w:bCs/>
                <w:noProof/>
                <w:color w:val="000000"/>
                <w:sz w:val="18"/>
                <w:szCs w:val="18"/>
              </w:rPr>
            </w:pPr>
            <w:r w:rsidRPr="00C4506F">
              <w:rPr>
                <w:bCs/>
                <w:noProof/>
                <w:color w:val="000000"/>
                <w:sz w:val="18"/>
                <w:szCs w:val="18"/>
              </w:rPr>
              <w:t>Lauksaimniecības fondu virssaistības</w:t>
            </w:r>
          </w:p>
        </w:tc>
        <w:tc>
          <w:tcPr>
            <w:tcW w:w="141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58,0</w:t>
            </w:r>
          </w:p>
        </w:tc>
        <w:tc>
          <w:tcPr>
            <w:tcW w:w="850"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-8,0</w:t>
            </w:r>
          </w:p>
        </w:tc>
        <w:tc>
          <w:tcPr>
            <w:tcW w:w="709"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-6,4</w:t>
            </w:r>
          </w:p>
        </w:tc>
        <w:tc>
          <w:tcPr>
            <w:tcW w:w="708"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-2,9</w:t>
            </w:r>
          </w:p>
        </w:tc>
        <w:tc>
          <w:tcPr>
            <w:tcW w:w="1235" w:type="dxa"/>
            <w:shd w:val="clear" w:color="auto" w:fill="auto"/>
            <w:vAlign w:val="center"/>
          </w:tcPr>
          <w:p w:rsidR="00C4506F" w:rsidRPr="00C4506F" w:rsidRDefault="00C4506F" w:rsidP="002603D7">
            <w:pPr>
              <w:spacing w:after="0"/>
              <w:ind w:firstLine="0"/>
              <w:jc w:val="center"/>
              <w:rPr>
                <w:bCs/>
                <w:color w:val="000000"/>
                <w:sz w:val="18"/>
                <w:szCs w:val="18"/>
              </w:rPr>
            </w:pPr>
            <w:r w:rsidRPr="00C4506F">
              <w:rPr>
                <w:bCs/>
                <w:color w:val="000000"/>
                <w:sz w:val="18"/>
                <w:szCs w:val="18"/>
              </w:rPr>
              <w:t>0,0</w:t>
            </w:r>
          </w:p>
        </w:tc>
      </w:tr>
    </w:tbl>
    <w:p w:rsidR="00C4506F" w:rsidRPr="0005679B" w:rsidRDefault="00C4506F" w:rsidP="00C4506F">
      <w:pPr>
        <w:spacing w:before="120" w:after="0"/>
        <w:ind w:firstLine="0"/>
        <w:rPr>
          <w:i/>
          <w:color w:val="000000"/>
          <w:sz w:val="18"/>
          <w:szCs w:val="18"/>
        </w:rPr>
      </w:pPr>
      <w:r>
        <w:rPr>
          <w:i/>
          <w:color w:val="000000"/>
          <w:sz w:val="18"/>
          <w:szCs w:val="18"/>
        </w:rPr>
        <w:t>*Valsts kases dati, Finanšu ministrijas</w:t>
      </w:r>
      <w:r w:rsidRPr="0005679B">
        <w:rPr>
          <w:i/>
          <w:color w:val="000000"/>
          <w:sz w:val="18"/>
          <w:szCs w:val="18"/>
        </w:rPr>
        <w:t xml:space="preserve"> novērtējums</w:t>
      </w:r>
    </w:p>
    <w:p w:rsidR="00805884" w:rsidRPr="00C4506F" w:rsidRDefault="00C4506F" w:rsidP="00C4506F">
      <w:pPr>
        <w:spacing w:after="0"/>
        <w:ind w:firstLine="0"/>
        <w:jc w:val="left"/>
        <w:rPr>
          <w:rFonts w:eastAsiaTheme="majorEastAsia"/>
          <w:b/>
          <w:sz w:val="36"/>
          <w:szCs w:val="36"/>
        </w:rPr>
      </w:pPr>
      <w:r>
        <w:rPr>
          <w:b/>
          <w:sz w:val="36"/>
          <w:szCs w:val="36"/>
        </w:rPr>
        <w:br w:type="page"/>
      </w:r>
    </w:p>
    <w:p w:rsidR="00EA09DB" w:rsidRDefault="001952BA" w:rsidP="00C4506F">
      <w:pPr>
        <w:pStyle w:val="Heading2"/>
        <w:numPr>
          <w:ilvl w:val="1"/>
          <w:numId w:val="17"/>
        </w:numPr>
        <w:spacing w:before="240" w:after="240"/>
        <w:jc w:val="center"/>
        <w:rPr>
          <w:rFonts w:ascii="Times New Roman" w:hAnsi="Times New Roman" w:cs="Times New Roman"/>
          <w:b/>
          <w:color w:val="auto"/>
          <w:sz w:val="36"/>
          <w:szCs w:val="36"/>
        </w:rPr>
      </w:pPr>
      <w:r>
        <w:rPr>
          <w:rFonts w:ascii="Times New Roman" w:hAnsi="Times New Roman" w:cs="Times New Roman"/>
          <w:b/>
          <w:color w:val="auto"/>
          <w:sz w:val="36"/>
          <w:szCs w:val="36"/>
        </w:rPr>
        <w:lastRenderedPageBreak/>
        <w:t>Budžeta prognožu salīdzinājums ar aktuālākajām Eiropas Komisijas prognozē</w:t>
      </w:r>
      <w:r w:rsidR="00EA09DB">
        <w:rPr>
          <w:rFonts w:ascii="Times New Roman" w:hAnsi="Times New Roman" w:cs="Times New Roman"/>
          <w:b/>
          <w:color w:val="auto"/>
          <w:sz w:val="36"/>
          <w:szCs w:val="36"/>
        </w:rPr>
        <w:t>m</w:t>
      </w:r>
    </w:p>
    <w:p w:rsidR="00510902" w:rsidRPr="00510902" w:rsidRDefault="00510902" w:rsidP="00510902">
      <w:pPr>
        <w:pStyle w:val="funkcijas"/>
        <w:ind w:firstLine="720"/>
        <w:rPr>
          <w:rFonts w:eastAsia="Calibri"/>
          <w:szCs w:val="28"/>
          <w:u w:val="none"/>
        </w:rPr>
      </w:pPr>
      <w:r>
        <w:rPr>
          <w:rFonts w:eastAsia="Calibri"/>
          <w:szCs w:val="28"/>
          <w:u w:val="none"/>
        </w:rPr>
        <w:t>Salīdzinot Finanšu ministrijas</w:t>
      </w:r>
      <w:r w:rsidRPr="00510902">
        <w:rPr>
          <w:rFonts w:eastAsia="Calibri"/>
          <w:szCs w:val="28"/>
          <w:u w:val="none"/>
        </w:rPr>
        <w:t xml:space="preserve"> sagatavotās vispārējās valdības budžeta prognozes ar aktuālajām </w:t>
      </w:r>
      <w:r>
        <w:rPr>
          <w:rFonts w:eastAsia="Calibri"/>
          <w:szCs w:val="28"/>
          <w:u w:val="none"/>
        </w:rPr>
        <w:t>EK</w:t>
      </w:r>
      <w:r w:rsidRPr="00510902">
        <w:rPr>
          <w:rFonts w:eastAsia="Calibri"/>
          <w:szCs w:val="28"/>
          <w:u w:val="none"/>
        </w:rPr>
        <w:t xml:space="preserve"> prognozēm, ir būtiski ņemt vērā to izstrādes laiku. Paskaidrojumu sagatavošanas brīdī ir pieejamas EK fiskālās prognozes, kas tika publicētas 2020. gada maijā. Prognozes tika gatavotas augstas nenoteiktības apstākļos, izplatoties Covid-19 infekcijai un lielākā daļā ES dalībvalstu ieviešot ārkārtējo situāciju. Savukārt, </w:t>
      </w:r>
      <w:r>
        <w:rPr>
          <w:rFonts w:eastAsia="Calibri"/>
          <w:szCs w:val="28"/>
          <w:u w:val="none"/>
        </w:rPr>
        <w:t>Finanšu ministrijas</w:t>
      </w:r>
      <w:r w:rsidRPr="00510902">
        <w:rPr>
          <w:rFonts w:eastAsia="Calibri"/>
          <w:szCs w:val="28"/>
          <w:u w:val="none"/>
        </w:rPr>
        <w:t xml:space="preserve"> gadījumā 2020. gada budžeta deficīta novērtējumā tika ņemta vērā aktuālākā IKP prognoze, kas izstrādāta šā gada jūnijā un līdz 20. septembrim apkopotā informācija par Covid-19 atbalsta pasākumu fiskālo ietekmi. Tāpat, gatavojot budžetu 2021. gadam, ieņēmumu un izdevumu prognozes ir aktualizētas, ņemot vērā valdības pieņemtos lēmumus līdz šā gada oktobrim. </w:t>
      </w:r>
    </w:p>
    <w:p w:rsidR="00510902" w:rsidRPr="00510902" w:rsidRDefault="00510902" w:rsidP="00510902">
      <w:pPr>
        <w:pStyle w:val="funkcijas"/>
        <w:ind w:firstLine="720"/>
        <w:rPr>
          <w:rFonts w:eastAsia="Calibri"/>
          <w:szCs w:val="28"/>
          <w:highlight w:val="yellow"/>
          <w:u w:val="none"/>
        </w:rPr>
      </w:pPr>
      <w:r w:rsidRPr="00510902">
        <w:rPr>
          <w:rFonts w:eastAsia="Calibri"/>
          <w:szCs w:val="28"/>
          <w:u w:val="none"/>
        </w:rPr>
        <w:t xml:space="preserve">Atbilstoši 2020. gada pavasara prognozēm EK prognozē, ka Latvijas vispārējās valdības budžeta deficīts 2020. gadā būs 7,3% no IKP un 2021. gadā būs 4,5% no IKP, kas, ņemot vērā lielo prognozēšanas nenoteiktību Covid-19 infekcijas apstākļos, ir </w:t>
      </w:r>
      <w:r>
        <w:rPr>
          <w:rFonts w:eastAsia="Calibri"/>
          <w:szCs w:val="28"/>
          <w:u w:val="none"/>
        </w:rPr>
        <w:t>tuvu Finanšu ministrijas</w:t>
      </w:r>
      <w:r w:rsidRPr="00510902">
        <w:rPr>
          <w:rFonts w:eastAsia="Calibri"/>
          <w:szCs w:val="28"/>
          <w:u w:val="none"/>
        </w:rPr>
        <w:t xml:space="preserve"> prognozēm. Gan </w:t>
      </w:r>
      <w:r>
        <w:rPr>
          <w:rFonts w:eastAsia="Calibri"/>
          <w:szCs w:val="28"/>
          <w:u w:val="none"/>
        </w:rPr>
        <w:t>Finanšu ministrija</w:t>
      </w:r>
      <w:r w:rsidRPr="00510902">
        <w:rPr>
          <w:rFonts w:eastAsia="Calibri"/>
          <w:szCs w:val="28"/>
          <w:u w:val="none"/>
        </w:rPr>
        <w:t xml:space="preserve">, gan EK prognozē, ka deficīts 2021. gadā, atjaunojoties ekonomikas izaugsmei pēc Covid-19 krīzes un attiecīgi samazinoties atbalsta pasākumu paketei, salīdzinājumā ar 2020. gadu samazināsies. </w:t>
      </w:r>
    </w:p>
    <w:p w:rsidR="00510902" w:rsidRPr="00B8343C" w:rsidRDefault="00510902" w:rsidP="00510902">
      <w:pPr>
        <w:pStyle w:val="ListParagraph"/>
        <w:keepNext/>
        <w:spacing w:before="120"/>
        <w:ind w:left="482" w:firstLine="0"/>
        <w:contextualSpacing w:val="0"/>
        <w:jc w:val="center"/>
        <w:rPr>
          <w:i/>
          <w:szCs w:val="24"/>
        </w:rPr>
      </w:pPr>
      <w:r w:rsidRPr="00B8343C">
        <w:rPr>
          <w:b/>
          <w:i/>
          <w:szCs w:val="24"/>
        </w:rPr>
        <w:t>2.</w:t>
      </w:r>
      <w:r>
        <w:rPr>
          <w:b/>
          <w:i/>
          <w:szCs w:val="24"/>
        </w:rPr>
        <w:t>5. tabula</w:t>
      </w:r>
      <w:r w:rsidRPr="00B8343C">
        <w:rPr>
          <w:b/>
          <w:i/>
          <w:szCs w:val="24"/>
        </w:rPr>
        <w:t xml:space="preserve"> </w:t>
      </w:r>
      <w:r w:rsidRPr="00510902">
        <w:rPr>
          <w:b/>
          <w:szCs w:val="24"/>
        </w:rPr>
        <w:t>Finanšu ministrijas budžeta prognozes salīdzinājums ar EK prognozi, % no IKP</w:t>
      </w:r>
    </w:p>
    <w:tbl>
      <w:tblPr>
        <w:tblW w:w="7508" w:type="dxa"/>
        <w:jc w:val="center"/>
        <w:tblLook w:val="04A0" w:firstRow="1" w:lastRow="0" w:firstColumn="1" w:lastColumn="0" w:noHBand="0" w:noVBand="1"/>
      </w:tblPr>
      <w:tblGrid>
        <w:gridCol w:w="2972"/>
        <w:gridCol w:w="850"/>
        <w:gridCol w:w="709"/>
        <w:gridCol w:w="709"/>
        <w:gridCol w:w="708"/>
        <w:gridCol w:w="808"/>
        <w:gridCol w:w="752"/>
      </w:tblGrid>
      <w:tr w:rsidR="00510902" w:rsidRPr="00842D51" w:rsidTr="002603D7">
        <w:trPr>
          <w:trHeight w:val="244"/>
          <w:jc w:val="center"/>
        </w:trPr>
        <w:tc>
          <w:tcPr>
            <w:tcW w:w="297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10902" w:rsidRPr="00A7167A" w:rsidRDefault="00510902" w:rsidP="002603D7">
            <w:pPr>
              <w:spacing w:after="0"/>
              <w:ind w:firstLine="0"/>
              <w:jc w:val="center"/>
              <w:rPr>
                <w:color w:val="000000"/>
                <w:sz w:val="18"/>
                <w:szCs w:val="18"/>
                <w:lang w:eastAsia="lv-LV"/>
              </w:rPr>
            </w:pPr>
          </w:p>
        </w:tc>
        <w:tc>
          <w:tcPr>
            <w:tcW w:w="1559" w:type="dxa"/>
            <w:gridSpan w:val="2"/>
            <w:tcBorders>
              <w:top w:val="single" w:sz="4" w:space="0" w:color="auto"/>
              <w:left w:val="single" w:sz="4" w:space="0" w:color="auto"/>
              <w:bottom w:val="single" w:sz="4" w:space="0" w:color="auto"/>
              <w:right w:val="double" w:sz="4" w:space="0" w:color="auto"/>
            </w:tcBorders>
            <w:shd w:val="clear" w:color="auto" w:fill="95B3D7" w:themeFill="accent1" w:themeFillTint="99"/>
            <w:noWrap/>
            <w:hideMark/>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LV</w:t>
            </w:r>
          </w:p>
        </w:tc>
        <w:tc>
          <w:tcPr>
            <w:tcW w:w="1417" w:type="dxa"/>
            <w:gridSpan w:val="2"/>
            <w:tcBorders>
              <w:top w:val="single" w:sz="4" w:space="0" w:color="auto"/>
              <w:left w:val="double" w:sz="4" w:space="0" w:color="auto"/>
              <w:bottom w:val="single" w:sz="4" w:space="0" w:color="auto"/>
              <w:right w:val="double" w:sz="4" w:space="0" w:color="auto"/>
            </w:tcBorders>
            <w:shd w:val="clear" w:color="auto" w:fill="95B3D7" w:themeFill="accent1" w:themeFillTint="99"/>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EK</w:t>
            </w:r>
            <w:r w:rsidRPr="00A7167A">
              <w:rPr>
                <w:b/>
                <w:bCs/>
                <w:sz w:val="18"/>
                <w:szCs w:val="18"/>
                <w:lang w:eastAsia="lv-LV"/>
              </w:rPr>
              <w:br/>
            </w:r>
            <w:r>
              <w:rPr>
                <w:bCs/>
                <w:sz w:val="18"/>
                <w:szCs w:val="18"/>
                <w:lang w:eastAsia="lv-LV"/>
              </w:rPr>
              <w:t>(pavasaris 2020</w:t>
            </w:r>
            <w:r w:rsidRPr="00A7167A">
              <w:rPr>
                <w:bCs/>
                <w:sz w:val="18"/>
                <w:szCs w:val="18"/>
                <w:lang w:eastAsia="lv-LV"/>
              </w:rPr>
              <w:t>)</w:t>
            </w:r>
          </w:p>
        </w:tc>
        <w:tc>
          <w:tcPr>
            <w:tcW w:w="1560" w:type="dxa"/>
            <w:gridSpan w:val="2"/>
            <w:tcBorders>
              <w:top w:val="single" w:sz="4" w:space="0" w:color="auto"/>
              <w:left w:val="double" w:sz="4" w:space="0" w:color="auto"/>
              <w:bottom w:val="single" w:sz="4" w:space="0" w:color="auto"/>
              <w:right w:val="single" w:sz="4" w:space="0" w:color="auto"/>
            </w:tcBorders>
            <w:shd w:val="clear" w:color="auto" w:fill="95B3D7" w:themeFill="accent1" w:themeFillTint="99"/>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Starpība</w:t>
            </w:r>
            <w:r w:rsidRPr="00A7167A">
              <w:rPr>
                <w:b/>
                <w:bCs/>
                <w:sz w:val="18"/>
                <w:szCs w:val="18"/>
                <w:lang w:eastAsia="lv-LV"/>
              </w:rPr>
              <w:br/>
            </w:r>
            <w:r w:rsidRPr="00A7167A">
              <w:rPr>
                <w:bCs/>
                <w:sz w:val="18"/>
                <w:szCs w:val="18"/>
                <w:lang w:eastAsia="lv-LV"/>
              </w:rPr>
              <w:t>(procentpunktos)</w:t>
            </w:r>
          </w:p>
        </w:tc>
      </w:tr>
      <w:tr w:rsidR="00510902" w:rsidRPr="00842D51" w:rsidTr="002603D7">
        <w:trPr>
          <w:trHeight w:val="244"/>
          <w:jc w:val="center"/>
        </w:trPr>
        <w:tc>
          <w:tcPr>
            <w:tcW w:w="297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510902" w:rsidRPr="00A7167A" w:rsidRDefault="00510902" w:rsidP="002603D7">
            <w:pPr>
              <w:spacing w:after="0"/>
              <w:ind w:firstLine="0"/>
              <w:jc w:val="left"/>
              <w:rPr>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510902" w:rsidRPr="00A7167A" w:rsidRDefault="00510902" w:rsidP="002603D7">
            <w:pPr>
              <w:spacing w:after="0"/>
              <w:ind w:firstLine="0"/>
              <w:jc w:val="center"/>
              <w:rPr>
                <w:b/>
                <w:bCs/>
                <w:sz w:val="18"/>
                <w:szCs w:val="18"/>
                <w:lang w:eastAsia="lv-LV"/>
              </w:rPr>
            </w:pPr>
            <w:r>
              <w:rPr>
                <w:b/>
                <w:bCs/>
                <w:sz w:val="18"/>
                <w:szCs w:val="18"/>
                <w:lang w:eastAsia="lv-LV"/>
              </w:rPr>
              <w:t>2020</w:t>
            </w:r>
          </w:p>
        </w:tc>
        <w:tc>
          <w:tcPr>
            <w:tcW w:w="709" w:type="dxa"/>
            <w:tcBorders>
              <w:top w:val="single" w:sz="4" w:space="0" w:color="auto"/>
              <w:left w:val="nil"/>
              <w:bottom w:val="single" w:sz="4" w:space="0" w:color="auto"/>
              <w:right w:val="double" w:sz="4" w:space="0" w:color="auto"/>
            </w:tcBorders>
            <w:shd w:val="clear" w:color="auto" w:fill="95B3D7" w:themeFill="accent1" w:themeFillTint="99"/>
          </w:tcPr>
          <w:p w:rsidR="00510902" w:rsidRPr="00A7167A" w:rsidRDefault="00510902" w:rsidP="002603D7">
            <w:pPr>
              <w:spacing w:after="0"/>
              <w:ind w:firstLine="0"/>
              <w:jc w:val="center"/>
              <w:rPr>
                <w:b/>
                <w:bCs/>
                <w:sz w:val="18"/>
                <w:szCs w:val="18"/>
                <w:lang w:eastAsia="lv-LV"/>
              </w:rPr>
            </w:pPr>
            <w:r>
              <w:rPr>
                <w:b/>
                <w:bCs/>
                <w:sz w:val="18"/>
                <w:szCs w:val="18"/>
                <w:lang w:eastAsia="lv-LV"/>
              </w:rPr>
              <w:t>2021</w:t>
            </w:r>
          </w:p>
        </w:tc>
        <w:tc>
          <w:tcPr>
            <w:tcW w:w="709" w:type="dxa"/>
            <w:tcBorders>
              <w:top w:val="single" w:sz="4" w:space="0" w:color="auto"/>
              <w:left w:val="double" w:sz="4" w:space="0" w:color="auto"/>
              <w:bottom w:val="single" w:sz="4" w:space="0" w:color="auto"/>
              <w:right w:val="single" w:sz="4" w:space="0" w:color="auto"/>
            </w:tcBorders>
            <w:shd w:val="clear" w:color="auto" w:fill="95B3D7" w:themeFill="accent1" w:themeFillTint="99"/>
          </w:tcPr>
          <w:p w:rsidR="00510902" w:rsidRPr="00A7167A" w:rsidRDefault="00510902" w:rsidP="002603D7">
            <w:pPr>
              <w:spacing w:after="0"/>
              <w:ind w:firstLine="0"/>
              <w:jc w:val="center"/>
              <w:rPr>
                <w:b/>
                <w:bCs/>
                <w:sz w:val="18"/>
                <w:szCs w:val="18"/>
                <w:lang w:eastAsia="lv-LV"/>
              </w:rPr>
            </w:pPr>
            <w:r>
              <w:rPr>
                <w:b/>
                <w:bCs/>
                <w:sz w:val="18"/>
                <w:szCs w:val="18"/>
                <w:lang w:eastAsia="lv-LV"/>
              </w:rPr>
              <w:t>2020</w:t>
            </w:r>
          </w:p>
        </w:tc>
        <w:tc>
          <w:tcPr>
            <w:tcW w:w="708" w:type="dxa"/>
            <w:tcBorders>
              <w:top w:val="single" w:sz="4" w:space="0" w:color="auto"/>
              <w:left w:val="single" w:sz="4" w:space="0" w:color="auto"/>
              <w:bottom w:val="single" w:sz="4" w:space="0" w:color="auto"/>
              <w:right w:val="double" w:sz="4" w:space="0" w:color="auto"/>
            </w:tcBorders>
            <w:shd w:val="clear" w:color="auto" w:fill="95B3D7" w:themeFill="accent1" w:themeFillTint="99"/>
            <w:noWrap/>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202</w:t>
            </w:r>
            <w:r>
              <w:rPr>
                <w:b/>
                <w:bCs/>
                <w:sz w:val="18"/>
                <w:szCs w:val="18"/>
                <w:lang w:eastAsia="lv-LV"/>
              </w:rPr>
              <w:t>1</w:t>
            </w:r>
          </w:p>
        </w:tc>
        <w:tc>
          <w:tcPr>
            <w:tcW w:w="808" w:type="dxa"/>
            <w:tcBorders>
              <w:top w:val="single" w:sz="4" w:space="0" w:color="auto"/>
              <w:left w:val="double" w:sz="4" w:space="0" w:color="auto"/>
              <w:bottom w:val="single" w:sz="4" w:space="0" w:color="auto"/>
              <w:right w:val="single" w:sz="4" w:space="0" w:color="auto"/>
            </w:tcBorders>
            <w:shd w:val="clear" w:color="auto" w:fill="95B3D7" w:themeFill="accent1" w:themeFillTint="99"/>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20</w:t>
            </w:r>
            <w:r>
              <w:rPr>
                <w:b/>
                <w:bCs/>
                <w:sz w:val="18"/>
                <w:szCs w:val="18"/>
                <w:lang w:eastAsia="lv-LV"/>
              </w:rPr>
              <w:t>20</w:t>
            </w:r>
          </w:p>
        </w:tc>
        <w:tc>
          <w:tcPr>
            <w:tcW w:w="7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510902" w:rsidRPr="00A7167A" w:rsidRDefault="00510902" w:rsidP="002603D7">
            <w:pPr>
              <w:spacing w:after="0"/>
              <w:ind w:firstLine="0"/>
              <w:jc w:val="center"/>
              <w:rPr>
                <w:b/>
                <w:bCs/>
                <w:sz w:val="18"/>
                <w:szCs w:val="18"/>
                <w:lang w:eastAsia="lv-LV"/>
              </w:rPr>
            </w:pPr>
            <w:r w:rsidRPr="00A7167A">
              <w:rPr>
                <w:b/>
                <w:bCs/>
                <w:sz w:val="18"/>
                <w:szCs w:val="18"/>
                <w:lang w:eastAsia="lv-LV"/>
              </w:rPr>
              <w:t>2</w:t>
            </w:r>
            <w:r>
              <w:rPr>
                <w:b/>
                <w:bCs/>
                <w:sz w:val="18"/>
                <w:szCs w:val="18"/>
                <w:lang w:eastAsia="lv-LV"/>
              </w:rPr>
              <w:t>021</w:t>
            </w:r>
          </w:p>
        </w:tc>
      </w:tr>
      <w:tr w:rsidR="00510902" w:rsidRPr="00842D51" w:rsidTr="002603D7">
        <w:trPr>
          <w:trHeight w:val="165"/>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902" w:rsidRPr="00A7167A" w:rsidRDefault="00510902" w:rsidP="002603D7">
            <w:pPr>
              <w:spacing w:after="0"/>
              <w:ind w:firstLine="0"/>
              <w:jc w:val="left"/>
              <w:rPr>
                <w:b/>
                <w:bCs/>
                <w:sz w:val="18"/>
                <w:szCs w:val="18"/>
                <w:lang w:eastAsia="lv-LV"/>
              </w:rPr>
            </w:pPr>
            <w:r w:rsidRPr="00A7167A">
              <w:rPr>
                <w:b/>
                <w:bCs/>
                <w:sz w:val="18"/>
                <w:szCs w:val="18"/>
                <w:lang w:eastAsia="lv-LV"/>
              </w:rPr>
              <w:t>Vispārējās valdības budžeta bilance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902" w:rsidRPr="000D18EC" w:rsidRDefault="00510902" w:rsidP="002603D7">
            <w:pPr>
              <w:spacing w:after="0"/>
              <w:ind w:firstLine="0"/>
              <w:jc w:val="right"/>
              <w:rPr>
                <w:b/>
                <w:sz w:val="18"/>
                <w:szCs w:val="18"/>
                <w:lang w:eastAsia="lv-LV"/>
              </w:rPr>
            </w:pPr>
            <w:r w:rsidRPr="000D18EC">
              <w:rPr>
                <w:b/>
                <w:bCs/>
                <w:color w:val="000000"/>
                <w:sz w:val="18"/>
                <w:szCs w:val="18"/>
              </w:rPr>
              <w:t>-7,6</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b/>
                <w:sz w:val="18"/>
                <w:szCs w:val="18"/>
                <w:lang w:eastAsia="lv-LV"/>
              </w:rPr>
            </w:pPr>
            <w:r>
              <w:rPr>
                <w:b/>
                <w:bCs/>
                <w:color w:val="000000"/>
                <w:sz w:val="18"/>
                <w:szCs w:val="18"/>
              </w:rPr>
              <w:t>-3,9</w:t>
            </w: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rsidR="00510902" w:rsidRPr="00A7167A" w:rsidRDefault="00510902" w:rsidP="002603D7">
            <w:pPr>
              <w:spacing w:after="0"/>
              <w:ind w:firstLine="0"/>
              <w:jc w:val="right"/>
              <w:rPr>
                <w:b/>
                <w:sz w:val="18"/>
                <w:szCs w:val="18"/>
                <w:lang w:eastAsia="lv-LV"/>
              </w:rPr>
            </w:pPr>
            <w:r>
              <w:rPr>
                <w:b/>
                <w:bCs/>
                <w:color w:val="000000"/>
                <w:sz w:val="18"/>
                <w:szCs w:val="18"/>
              </w:rPr>
              <w:t>-7,3</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510902" w:rsidRPr="00A7167A" w:rsidRDefault="00510902" w:rsidP="002603D7">
            <w:pPr>
              <w:spacing w:after="0"/>
              <w:ind w:firstLine="0"/>
              <w:jc w:val="right"/>
              <w:rPr>
                <w:b/>
                <w:sz w:val="18"/>
                <w:szCs w:val="18"/>
                <w:lang w:eastAsia="lv-LV"/>
              </w:rPr>
            </w:pPr>
            <w:r>
              <w:rPr>
                <w:b/>
                <w:bCs/>
                <w:color w:val="000000"/>
                <w:sz w:val="18"/>
                <w:szCs w:val="18"/>
              </w:rPr>
              <w:t>-4,5</w:t>
            </w:r>
          </w:p>
        </w:tc>
        <w:tc>
          <w:tcPr>
            <w:tcW w:w="808" w:type="dxa"/>
            <w:tcBorders>
              <w:top w:val="single" w:sz="4" w:space="0" w:color="auto"/>
              <w:left w:val="double" w:sz="4" w:space="0" w:color="auto"/>
              <w:bottom w:val="single" w:sz="4" w:space="0" w:color="auto"/>
              <w:right w:val="single" w:sz="4" w:space="0" w:color="auto"/>
            </w:tcBorders>
            <w:shd w:val="clear" w:color="auto" w:fill="auto"/>
          </w:tcPr>
          <w:p w:rsidR="00510902" w:rsidRPr="00823F8A" w:rsidRDefault="00510902" w:rsidP="002603D7">
            <w:pPr>
              <w:spacing w:after="0"/>
              <w:ind w:firstLine="0"/>
              <w:jc w:val="right"/>
              <w:rPr>
                <w:b/>
                <w:bCs/>
                <w:color w:val="000000"/>
                <w:sz w:val="18"/>
                <w:szCs w:val="18"/>
              </w:rPr>
            </w:pPr>
            <w:r w:rsidRPr="00823F8A">
              <w:rPr>
                <w:b/>
                <w:bCs/>
                <w:color w:val="000000"/>
                <w:sz w:val="18"/>
                <w:szCs w:val="18"/>
              </w:rPr>
              <w:t>0,3</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902" w:rsidRPr="00823F8A" w:rsidRDefault="00510902" w:rsidP="002603D7">
            <w:pPr>
              <w:spacing w:after="0"/>
              <w:ind w:firstLine="0"/>
              <w:jc w:val="right"/>
              <w:rPr>
                <w:b/>
                <w:bCs/>
                <w:color w:val="000000"/>
                <w:sz w:val="18"/>
                <w:szCs w:val="18"/>
              </w:rPr>
            </w:pPr>
            <w:r w:rsidRPr="00823F8A">
              <w:rPr>
                <w:b/>
                <w:bCs/>
                <w:color w:val="000000"/>
                <w:sz w:val="18"/>
                <w:szCs w:val="18"/>
              </w:rPr>
              <w:t>-0,6</w:t>
            </w:r>
          </w:p>
        </w:tc>
      </w:tr>
      <w:tr w:rsidR="00510902" w:rsidRPr="00842D51" w:rsidTr="002603D7">
        <w:trPr>
          <w:trHeight w:val="64"/>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25" w:firstLineChars="100" w:firstLine="180"/>
              <w:rPr>
                <w:b/>
                <w:sz w:val="18"/>
                <w:szCs w:val="18"/>
                <w:lang w:eastAsia="lv-LV"/>
              </w:rPr>
            </w:pPr>
            <w:r w:rsidRPr="00A7167A">
              <w:rPr>
                <w:b/>
                <w:sz w:val="18"/>
                <w:szCs w:val="18"/>
                <w:lang w:eastAsia="lv-LV"/>
              </w:rPr>
              <w:t>Ieņēmumi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b/>
                <w:sz w:val="18"/>
                <w:szCs w:val="18"/>
                <w:lang w:eastAsia="lv-LV"/>
              </w:rPr>
            </w:pPr>
            <w:r>
              <w:rPr>
                <w:b/>
                <w:bCs/>
                <w:color w:val="000000"/>
                <w:sz w:val="18"/>
                <w:szCs w:val="18"/>
              </w:rPr>
              <w:t>39,8</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b/>
                <w:sz w:val="18"/>
                <w:szCs w:val="18"/>
                <w:lang w:eastAsia="lv-LV"/>
              </w:rPr>
            </w:pPr>
            <w:r>
              <w:rPr>
                <w:b/>
                <w:bCs/>
                <w:color w:val="000000"/>
                <w:sz w:val="18"/>
                <w:szCs w:val="18"/>
              </w:rPr>
              <w:t>39,2</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b/>
                <w:sz w:val="18"/>
                <w:szCs w:val="18"/>
                <w:lang w:eastAsia="lv-LV"/>
              </w:rPr>
            </w:pPr>
            <w:r w:rsidRPr="00A7167A">
              <w:rPr>
                <w:b/>
                <w:bCs/>
                <w:color w:val="000000"/>
                <w:sz w:val="18"/>
                <w:szCs w:val="18"/>
              </w:rPr>
              <w:t>37,</w:t>
            </w:r>
            <w:r>
              <w:rPr>
                <w:b/>
                <w:bCs/>
                <w:color w:val="000000"/>
                <w:sz w:val="18"/>
                <w:szCs w:val="18"/>
              </w:rPr>
              <w:t>8</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b/>
                <w:sz w:val="18"/>
                <w:szCs w:val="18"/>
                <w:lang w:eastAsia="lv-LV"/>
              </w:rPr>
            </w:pPr>
            <w:r w:rsidRPr="00A7167A">
              <w:rPr>
                <w:b/>
                <w:bCs/>
                <w:color w:val="000000"/>
                <w:sz w:val="18"/>
                <w:szCs w:val="18"/>
              </w:rPr>
              <w:t>3</w:t>
            </w:r>
            <w:r>
              <w:rPr>
                <w:b/>
                <w:bCs/>
                <w:color w:val="000000"/>
                <w:sz w:val="18"/>
                <w:szCs w:val="18"/>
              </w:rPr>
              <w:t>7</w:t>
            </w:r>
            <w:r w:rsidRPr="00A7167A">
              <w:rPr>
                <w:b/>
                <w:bCs/>
                <w:color w:val="000000"/>
                <w:sz w:val="18"/>
                <w:szCs w:val="18"/>
              </w:rPr>
              <w:t>,</w:t>
            </w:r>
            <w:r>
              <w:rPr>
                <w:b/>
                <w:bCs/>
                <w:color w:val="000000"/>
                <w:sz w:val="18"/>
                <w:szCs w:val="18"/>
              </w:rPr>
              <w:t>0</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
                <w:bCs/>
                <w:color w:val="000000"/>
                <w:sz w:val="18"/>
                <w:szCs w:val="18"/>
              </w:rPr>
            </w:pPr>
            <w:r w:rsidRPr="00823F8A">
              <w:rPr>
                <w:b/>
                <w:bCs/>
                <w:color w:val="000000"/>
                <w:sz w:val="18"/>
                <w:szCs w:val="18"/>
              </w:rPr>
              <w:t>-2,0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823F8A" w:rsidRDefault="00510902" w:rsidP="002603D7">
            <w:pPr>
              <w:spacing w:after="0"/>
              <w:ind w:firstLine="0"/>
              <w:jc w:val="right"/>
              <w:rPr>
                <w:b/>
                <w:bCs/>
                <w:color w:val="000000"/>
                <w:sz w:val="18"/>
                <w:szCs w:val="18"/>
              </w:rPr>
            </w:pPr>
            <w:r w:rsidRPr="00823F8A">
              <w:rPr>
                <w:b/>
                <w:bCs/>
                <w:color w:val="000000"/>
                <w:sz w:val="18"/>
                <w:szCs w:val="18"/>
              </w:rPr>
              <w:t>-2,2</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Nodokļu ieņēmumi</w:t>
            </w:r>
            <w:r w:rsidRPr="00A7167A">
              <w:rPr>
                <w:rStyle w:val="FootnoteReference"/>
                <w:sz w:val="18"/>
                <w:szCs w:val="18"/>
                <w:lang w:eastAsia="lv-LV"/>
              </w:rPr>
              <w:footnoteReference w:id="4"/>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32,2</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32,5</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sidRPr="00A7167A">
              <w:rPr>
                <w:color w:val="000000"/>
                <w:sz w:val="18"/>
                <w:szCs w:val="18"/>
              </w:rPr>
              <w:t>30,</w:t>
            </w:r>
            <w:r>
              <w:rPr>
                <w:color w:val="000000"/>
                <w:sz w:val="18"/>
                <w:szCs w:val="18"/>
              </w:rPr>
              <w:t>1</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29</w:t>
            </w:r>
            <w:r w:rsidRPr="00A7167A">
              <w:rPr>
                <w:color w:val="000000"/>
                <w:sz w:val="18"/>
                <w:szCs w:val="18"/>
              </w:rPr>
              <w:t>,7</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-2,1</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-2,8</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Pārējie ieņēmumi</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10902" w:rsidRPr="00823F8A" w:rsidRDefault="00510902" w:rsidP="002603D7">
            <w:pPr>
              <w:spacing w:after="0"/>
              <w:ind w:firstLine="0"/>
              <w:jc w:val="right"/>
              <w:rPr>
                <w:sz w:val="18"/>
                <w:szCs w:val="18"/>
                <w:lang w:eastAsia="lv-LV"/>
              </w:rPr>
            </w:pPr>
            <w:r w:rsidRPr="00823F8A">
              <w:rPr>
                <w:color w:val="000000"/>
                <w:sz w:val="18"/>
                <w:szCs w:val="18"/>
              </w:rPr>
              <w:t>7,5</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823F8A" w:rsidRDefault="00510902" w:rsidP="002603D7">
            <w:pPr>
              <w:spacing w:after="0"/>
              <w:ind w:firstLine="0"/>
              <w:jc w:val="right"/>
              <w:rPr>
                <w:sz w:val="18"/>
                <w:szCs w:val="18"/>
                <w:lang w:eastAsia="lv-LV"/>
              </w:rPr>
            </w:pPr>
            <w:r w:rsidRPr="00823F8A">
              <w:rPr>
                <w:color w:val="000000"/>
                <w:sz w:val="18"/>
                <w:szCs w:val="18"/>
              </w:rPr>
              <w:t>6,8</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7,7</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7,3</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0,2</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0,5</w:t>
            </w:r>
          </w:p>
        </w:tc>
      </w:tr>
      <w:tr w:rsidR="00510902" w:rsidRPr="00842D51" w:rsidTr="002603D7">
        <w:trPr>
          <w:trHeight w:val="64"/>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25" w:firstLineChars="100" w:firstLine="180"/>
              <w:rPr>
                <w:b/>
                <w:sz w:val="18"/>
                <w:szCs w:val="18"/>
                <w:lang w:eastAsia="lv-LV"/>
              </w:rPr>
            </w:pPr>
            <w:r w:rsidRPr="00A7167A">
              <w:rPr>
                <w:b/>
                <w:sz w:val="18"/>
                <w:szCs w:val="18"/>
                <w:lang w:eastAsia="lv-LV"/>
              </w:rPr>
              <w:t>Izdevumi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b/>
                <w:sz w:val="18"/>
                <w:szCs w:val="18"/>
                <w:lang w:eastAsia="lv-LV"/>
              </w:rPr>
            </w:pPr>
            <w:r>
              <w:rPr>
                <w:b/>
                <w:bCs/>
                <w:color w:val="000000"/>
                <w:sz w:val="18"/>
                <w:szCs w:val="18"/>
              </w:rPr>
              <w:t>47,4</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b/>
                <w:sz w:val="18"/>
                <w:szCs w:val="18"/>
                <w:lang w:eastAsia="lv-LV"/>
              </w:rPr>
            </w:pPr>
            <w:r>
              <w:rPr>
                <w:b/>
                <w:bCs/>
                <w:color w:val="000000"/>
                <w:sz w:val="18"/>
                <w:szCs w:val="18"/>
              </w:rPr>
              <w:t>43,2</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b/>
                <w:sz w:val="18"/>
                <w:szCs w:val="18"/>
                <w:lang w:eastAsia="lv-LV"/>
              </w:rPr>
            </w:pPr>
            <w:r>
              <w:rPr>
                <w:b/>
                <w:bCs/>
                <w:color w:val="000000"/>
                <w:sz w:val="18"/>
                <w:szCs w:val="18"/>
              </w:rPr>
              <w:t>45,1</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b/>
                <w:sz w:val="18"/>
                <w:szCs w:val="18"/>
                <w:lang w:eastAsia="lv-LV"/>
              </w:rPr>
            </w:pPr>
            <w:r>
              <w:rPr>
                <w:b/>
                <w:bCs/>
                <w:color w:val="000000"/>
                <w:sz w:val="18"/>
                <w:szCs w:val="18"/>
              </w:rPr>
              <w:t>41,5</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
                <w:bCs/>
                <w:color w:val="000000"/>
                <w:sz w:val="18"/>
                <w:szCs w:val="18"/>
              </w:rPr>
            </w:pPr>
            <w:r w:rsidRPr="00823F8A">
              <w:rPr>
                <w:b/>
                <w:bCs/>
                <w:color w:val="000000"/>
                <w:sz w:val="18"/>
                <w:szCs w:val="18"/>
              </w:rPr>
              <w:t>-2,3</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823F8A" w:rsidRDefault="00510902" w:rsidP="002603D7">
            <w:pPr>
              <w:spacing w:after="0"/>
              <w:ind w:firstLine="0"/>
              <w:jc w:val="right"/>
              <w:rPr>
                <w:b/>
                <w:bCs/>
                <w:color w:val="000000"/>
                <w:sz w:val="18"/>
                <w:szCs w:val="18"/>
              </w:rPr>
            </w:pPr>
            <w:r w:rsidRPr="00823F8A">
              <w:rPr>
                <w:b/>
                <w:bCs/>
                <w:color w:val="000000"/>
                <w:sz w:val="18"/>
                <w:szCs w:val="18"/>
              </w:rPr>
              <w:t>-1,7</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Atlīdzība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12,1</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11,8</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12,1</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11,5</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-0,3</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Starppatēriņš</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6,1</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5,9</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7,1</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6,7</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1,0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0,8</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Sociālie maksājumi</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14,5</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14,0</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14,2</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13,4</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-0,3</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-0,6</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Procentu izdevumi</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0,9</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0,8</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sidRPr="00A7167A">
              <w:rPr>
                <w:color w:val="000000"/>
                <w:sz w:val="18"/>
                <w:szCs w:val="18"/>
              </w:rPr>
              <w:t>0,</w:t>
            </w:r>
            <w:r>
              <w:rPr>
                <w:color w:val="000000"/>
                <w:sz w:val="18"/>
                <w:szCs w:val="18"/>
              </w:rPr>
              <w:t>8</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sidRPr="00A7167A">
              <w:rPr>
                <w:color w:val="000000"/>
                <w:sz w:val="18"/>
                <w:szCs w:val="18"/>
              </w:rPr>
              <w:t>0,</w:t>
            </w:r>
            <w:r>
              <w:rPr>
                <w:color w:val="000000"/>
                <w:sz w:val="18"/>
                <w:szCs w:val="18"/>
              </w:rPr>
              <w:t>7</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-0,1</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-0,1</w:t>
            </w:r>
          </w:p>
        </w:tc>
      </w:tr>
      <w:tr w:rsidR="00510902" w:rsidRPr="00842D51" w:rsidTr="002603D7">
        <w:trPr>
          <w:trHeight w:val="70"/>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Subsīdijas</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1,5</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1,3</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1,2</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1,0</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-0,3</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-0,3</w:t>
            </w:r>
          </w:p>
        </w:tc>
      </w:tr>
      <w:tr w:rsidR="00510902" w:rsidRPr="00842D51" w:rsidTr="002603D7">
        <w:trPr>
          <w:trHeight w:val="7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902" w:rsidRPr="00A7167A" w:rsidRDefault="00510902" w:rsidP="002603D7">
            <w:pPr>
              <w:spacing w:after="0"/>
              <w:ind w:left="-239" w:firstLineChars="200" w:firstLine="360"/>
              <w:jc w:val="left"/>
              <w:rPr>
                <w:sz w:val="18"/>
                <w:szCs w:val="18"/>
                <w:lang w:eastAsia="lv-LV"/>
              </w:rPr>
            </w:pPr>
            <w:r w:rsidRPr="00A7167A">
              <w:rPr>
                <w:sz w:val="18"/>
                <w:szCs w:val="18"/>
                <w:lang w:eastAsia="lv-LV"/>
              </w:rPr>
              <w:t>Bruto pamatkapitāla veidošana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6,0</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5,3</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sidRPr="00A7167A">
              <w:rPr>
                <w:color w:val="000000"/>
                <w:sz w:val="18"/>
                <w:szCs w:val="18"/>
              </w:rPr>
              <w:t>5,</w:t>
            </w:r>
            <w:r>
              <w:rPr>
                <w:color w:val="000000"/>
                <w:sz w:val="18"/>
                <w:szCs w:val="18"/>
              </w:rPr>
              <w:t>2</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Pr>
                <w:color w:val="000000"/>
                <w:sz w:val="18"/>
                <w:szCs w:val="18"/>
              </w:rPr>
              <w:t>4,9</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-0,8</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-0,4</w:t>
            </w:r>
          </w:p>
        </w:tc>
      </w:tr>
      <w:tr w:rsidR="00510902" w:rsidRPr="00842D51" w:rsidTr="002603D7">
        <w:trPr>
          <w:trHeight w:val="7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902" w:rsidRPr="00A7167A" w:rsidRDefault="00510902" w:rsidP="002603D7">
            <w:pPr>
              <w:spacing w:after="0"/>
              <w:ind w:left="-239" w:firstLineChars="200" w:firstLine="360"/>
              <w:rPr>
                <w:sz w:val="18"/>
                <w:szCs w:val="18"/>
                <w:lang w:eastAsia="lv-LV"/>
              </w:rPr>
            </w:pPr>
            <w:r w:rsidRPr="00A7167A">
              <w:rPr>
                <w:sz w:val="18"/>
                <w:szCs w:val="18"/>
                <w:lang w:eastAsia="lv-LV"/>
              </w:rPr>
              <w:t>Pārējie izdevumi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0D18EC" w:rsidRDefault="00510902" w:rsidP="002603D7">
            <w:pPr>
              <w:spacing w:after="0"/>
              <w:ind w:firstLine="0"/>
              <w:jc w:val="right"/>
              <w:rPr>
                <w:sz w:val="18"/>
                <w:szCs w:val="18"/>
                <w:lang w:eastAsia="lv-LV"/>
              </w:rPr>
            </w:pPr>
            <w:r>
              <w:rPr>
                <w:color w:val="000000"/>
                <w:sz w:val="18"/>
                <w:szCs w:val="18"/>
              </w:rPr>
              <w:t>6,2</w:t>
            </w:r>
          </w:p>
        </w:tc>
        <w:tc>
          <w:tcPr>
            <w:tcW w:w="709" w:type="dxa"/>
            <w:tcBorders>
              <w:top w:val="single" w:sz="4" w:space="0" w:color="auto"/>
              <w:left w:val="nil"/>
              <w:bottom w:val="single" w:sz="4" w:space="0" w:color="auto"/>
              <w:right w:val="double" w:sz="4" w:space="0" w:color="auto"/>
            </w:tcBorders>
            <w:shd w:val="clear" w:color="auto" w:fill="auto"/>
            <w:vAlign w:val="bottom"/>
          </w:tcPr>
          <w:p w:rsidR="00510902" w:rsidRPr="000D18EC" w:rsidRDefault="00510902" w:rsidP="002603D7">
            <w:pPr>
              <w:spacing w:after="0"/>
              <w:ind w:firstLine="0"/>
              <w:jc w:val="right"/>
              <w:rPr>
                <w:sz w:val="18"/>
                <w:szCs w:val="18"/>
                <w:lang w:eastAsia="lv-LV"/>
              </w:rPr>
            </w:pPr>
            <w:r>
              <w:rPr>
                <w:color w:val="000000"/>
                <w:sz w:val="18"/>
                <w:szCs w:val="18"/>
              </w:rPr>
              <w:t>4,1</w:t>
            </w:r>
          </w:p>
        </w:tc>
        <w:tc>
          <w:tcPr>
            <w:tcW w:w="709" w:type="dxa"/>
            <w:tcBorders>
              <w:top w:val="single" w:sz="4" w:space="0" w:color="auto"/>
              <w:left w:val="double" w:sz="4" w:space="0" w:color="auto"/>
              <w:bottom w:val="single" w:sz="4" w:space="0" w:color="auto"/>
              <w:right w:val="single" w:sz="4" w:space="0" w:color="auto"/>
            </w:tcBorders>
            <w:vAlign w:val="bottom"/>
          </w:tcPr>
          <w:p w:rsidR="00510902" w:rsidRPr="00A7167A" w:rsidRDefault="00510902" w:rsidP="002603D7">
            <w:pPr>
              <w:spacing w:after="0"/>
              <w:ind w:firstLine="0"/>
              <w:jc w:val="right"/>
              <w:rPr>
                <w:sz w:val="18"/>
                <w:szCs w:val="18"/>
                <w:lang w:eastAsia="lv-LV"/>
              </w:rPr>
            </w:pPr>
            <w:r>
              <w:rPr>
                <w:color w:val="000000"/>
                <w:sz w:val="18"/>
                <w:szCs w:val="18"/>
              </w:rPr>
              <w:t>4,6</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bottom"/>
          </w:tcPr>
          <w:p w:rsidR="00510902" w:rsidRPr="00A7167A" w:rsidRDefault="00510902" w:rsidP="002603D7">
            <w:pPr>
              <w:spacing w:after="0"/>
              <w:ind w:firstLine="0"/>
              <w:jc w:val="right"/>
              <w:rPr>
                <w:sz w:val="18"/>
                <w:szCs w:val="18"/>
                <w:lang w:eastAsia="lv-LV"/>
              </w:rPr>
            </w:pPr>
            <w:r w:rsidRPr="00A7167A">
              <w:rPr>
                <w:color w:val="000000"/>
                <w:sz w:val="18"/>
                <w:szCs w:val="18"/>
              </w:rPr>
              <w:t>3,</w:t>
            </w:r>
            <w:r>
              <w:rPr>
                <w:color w:val="000000"/>
                <w:sz w:val="18"/>
                <w:szCs w:val="18"/>
              </w:rPr>
              <w:t>2</w:t>
            </w:r>
          </w:p>
        </w:tc>
        <w:tc>
          <w:tcPr>
            <w:tcW w:w="808" w:type="dxa"/>
            <w:tcBorders>
              <w:top w:val="single" w:sz="4" w:space="0" w:color="auto"/>
              <w:left w:val="double" w:sz="4" w:space="0" w:color="auto"/>
              <w:bottom w:val="single" w:sz="4" w:space="0" w:color="auto"/>
              <w:right w:val="single" w:sz="4" w:space="0" w:color="auto"/>
            </w:tcBorders>
          </w:tcPr>
          <w:p w:rsidR="00510902" w:rsidRPr="00823F8A" w:rsidRDefault="00510902" w:rsidP="002603D7">
            <w:pPr>
              <w:spacing w:after="0"/>
              <w:ind w:firstLine="0"/>
              <w:jc w:val="right"/>
              <w:rPr>
                <w:bCs/>
                <w:color w:val="000000"/>
                <w:sz w:val="18"/>
                <w:szCs w:val="18"/>
              </w:rPr>
            </w:pPr>
            <w:r w:rsidRPr="00823F8A">
              <w:rPr>
                <w:bCs/>
                <w:color w:val="000000"/>
                <w:sz w:val="18"/>
                <w:szCs w:val="18"/>
              </w:rPr>
              <w:t>-1,</w:t>
            </w:r>
            <w:r>
              <w:rPr>
                <w:bCs/>
                <w:color w:val="000000"/>
                <w:sz w:val="18"/>
                <w:szCs w:val="18"/>
              </w:rPr>
              <w:t>6</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902" w:rsidRPr="0053721E" w:rsidRDefault="00510902" w:rsidP="002603D7">
            <w:pPr>
              <w:spacing w:after="0"/>
              <w:ind w:firstLine="0"/>
              <w:jc w:val="right"/>
              <w:rPr>
                <w:bCs/>
                <w:color w:val="000000"/>
                <w:sz w:val="18"/>
                <w:szCs w:val="18"/>
              </w:rPr>
            </w:pPr>
            <w:r w:rsidRPr="0053721E">
              <w:rPr>
                <w:bCs/>
                <w:color w:val="000000"/>
                <w:sz w:val="18"/>
                <w:szCs w:val="18"/>
              </w:rPr>
              <w:t>-0,9</w:t>
            </w:r>
          </w:p>
        </w:tc>
      </w:tr>
    </w:tbl>
    <w:p w:rsidR="00510902" w:rsidRDefault="00510902" w:rsidP="00510902">
      <w:pPr>
        <w:pStyle w:val="funkcijas"/>
        <w:spacing w:after="0"/>
        <w:ind w:firstLine="720"/>
        <w:rPr>
          <w:rFonts w:eastAsia="Calibri"/>
          <w:u w:val="none"/>
        </w:rPr>
      </w:pPr>
    </w:p>
    <w:p w:rsidR="00510902" w:rsidRPr="00510902" w:rsidRDefault="00510902" w:rsidP="00510902">
      <w:pPr>
        <w:pStyle w:val="funkcijas"/>
        <w:spacing w:after="0"/>
        <w:ind w:firstLine="720"/>
        <w:rPr>
          <w:rFonts w:eastAsia="Calibri"/>
          <w:szCs w:val="28"/>
          <w:u w:val="none"/>
        </w:rPr>
      </w:pPr>
      <w:r w:rsidRPr="00510902">
        <w:rPr>
          <w:rFonts w:eastAsia="Calibri"/>
          <w:szCs w:val="28"/>
          <w:u w:val="none"/>
        </w:rPr>
        <w:t>Lai</w:t>
      </w:r>
      <w:r>
        <w:rPr>
          <w:rFonts w:eastAsia="Calibri"/>
          <w:szCs w:val="28"/>
          <w:u w:val="none"/>
        </w:rPr>
        <w:t xml:space="preserve"> gan tradicionāli starp EK un Finanšu ministriju</w:t>
      </w:r>
      <w:r w:rsidRPr="00510902">
        <w:rPr>
          <w:rFonts w:eastAsia="Calibri"/>
          <w:szCs w:val="28"/>
          <w:u w:val="none"/>
        </w:rPr>
        <w:t xml:space="preserve"> ir vērojamas atšķirības kopējā ieņēmumu un izdevumu līmenī, ko visticamāk nosaka metodoloģiskās atšķirības kopējā ieņēmumu un izdevumu apjoma uzskaitē, tāpat arī atšķirīga IKP prognoze, abas institūcijas prognozē līdzīgas tendences 2021. gadam – budžeta ieņēmumu un izdevumu īpatsvara IKP samazināšanos, kas nozīmē, ka šīs pozīcijas nepieaugs tik strauji kā iekšzemes kopprodukts. Taču pretēji EK, ņemot vērā aktuālākos valdības lēmumus, FM prognozē, ka nodokļu slogs jeb nodokļu ieņēmumu īpatsvars IKP 2021. gadā palielināsies. To veicinās minimālā VSAOI apmēra ieviešana, mikro-uzņēmumu nodokļa režīma reorganizēšana, akcīzes nodokļa likmju paaugstināšana tabakas izstrādājumiem,  atgriezeniskais efekts uz nodokļu ieņēmumiem no </w:t>
      </w:r>
      <w:r w:rsidRPr="00510902">
        <w:rPr>
          <w:color w:val="000000" w:themeColor="text1"/>
          <w:szCs w:val="28"/>
          <w:u w:val="none"/>
        </w:rPr>
        <w:t xml:space="preserve">atlīdzības palielināšanas ārstniecības personām, pedagogiem izglītības iestādēs, kā arī akadēmiskajam personālam augstskolās.  </w:t>
      </w:r>
      <w:r w:rsidRPr="00510902">
        <w:rPr>
          <w:rFonts w:eastAsia="Calibri"/>
          <w:szCs w:val="28"/>
          <w:u w:val="none"/>
        </w:rPr>
        <w:t xml:space="preserve"> </w:t>
      </w:r>
    </w:p>
    <w:p w:rsidR="003C0F79" w:rsidRPr="003C0F79" w:rsidRDefault="003C0F79" w:rsidP="003C0F79"/>
    <w:p w:rsidR="003C0F79" w:rsidRDefault="003C0F79" w:rsidP="00552482">
      <w:pPr>
        <w:pStyle w:val="Heading2"/>
        <w:numPr>
          <w:ilvl w:val="1"/>
          <w:numId w:val="17"/>
        </w:numPr>
        <w:spacing w:before="0" w:after="240"/>
        <w:ind w:left="0" w:firstLine="0"/>
        <w:jc w:val="center"/>
        <w:rPr>
          <w:rFonts w:ascii="Times New Roman" w:hAnsi="Times New Roman" w:cs="Times New Roman"/>
          <w:b/>
          <w:color w:val="auto"/>
          <w:sz w:val="36"/>
          <w:szCs w:val="36"/>
        </w:rPr>
      </w:pPr>
      <w:r w:rsidRPr="00552BEA">
        <w:rPr>
          <w:rFonts w:ascii="Times New Roman" w:hAnsi="Times New Roman" w:cs="Times New Roman"/>
          <w:b/>
          <w:color w:val="auto"/>
          <w:sz w:val="36"/>
          <w:szCs w:val="36"/>
        </w:rPr>
        <w:lastRenderedPageBreak/>
        <w:t>Pašvaldību finanšu izlīdzināšana</w:t>
      </w:r>
    </w:p>
    <w:p w:rsidR="00A3608B" w:rsidRPr="005A4908" w:rsidRDefault="00A3608B" w:rsidP="00A3608B">
      <w:pPr>
        <w:pStyle w:val="BodyText"/>
        <w:spacing w:before="236"/>
        <w:ind w:firstLine="720"/>
        <w:rPr>
          <w:i/>
        </w:rPr>
      </w:pPr>
      <w:r>
        <w:t xml:space="preserve">Valsts budžetā 2021.gadam ir paredzēts finansējums pašvaldībām 199,35 milj. </w:t>
      </w:r>
      <w:proofErr w:type="spellStart"/>
      <w:r>
        <w:rPr>
          <w:i/>
        </w:rPr>
        <w:t>euro</w:t>
      </w:r>
      <w:proofErr w:type="spellEnd"/>
      <w:r>
        <w:rPr>
          <w:i/>
        </w:rPr>
        <w:t xml:space="preserve"> </w:t>
      </w:r>
      <w:r>
        <w:t>apmērā, kas paredzēts Pašvaldību finanšu izlīdzināšanas likuma normu izpildei, t.sk.:</w:t>
      </w:r>
    </w:p>
    <w:p w:rsidR="00A3608B" w:rsidRDefault="00A3608B" w:rsidP="00A3608B">
      <w:pPr>
        <w:pStyle w:val="ListParagraph"/>
        <w:widowControl w:val="0"/>
        <w:numPr>
          <w:ilvl w:val="0"/>
          <w:numId w:val="31"/>
        </w:numPr>
        <w:tabs>
          <w:tab w:val="left" w:pos="1096"/>
        </w:tabs>
        <w:autoSpaceDE w:val="0"/>
        <w:autoSpaceDN w:val="0"/>
        <w:spacing w:before="120" w:after="0"/>
        <w:ind w:left="1077" w:right="108" w:hanging="357"/>
        <w:contextualSpacing w:val="0"/>
        <w:jc w:val="both"/>
      </w:pPr>
      <w:r>
        <w:t xml:space="preserve">dotācija pašvaldību finanšu izlīdzināšanas fondam 198,69 milj. </w:t>
      </w:r>
      <w:proofErr w:type="spellStart"/>
      <w:r>
        <w:rPr>
          <w:i/>
        </w:rPr>
        <w:t>euro</w:t>
      </w:r>
      <w:proofErr w:type="spellEnd"/>
      <w:r>
        <w:t>, t.sk. speciālā dotācija 162,87 milj.</w:t>
      </w:r>
      <w:r>
        <w:rPr>
          <w:spacing w:val="-1"/>
        </w:rPr>
        <w:t xml:space="preserve"> </w:t>
      </w:r>
      <w:proofErr w:type="spellStart"/>
      <w:r>
        <w:rPr>
          <w:i/>
        </w:rPr>
        <w:t>euro</w:t>
      </w:r>
      <w:proofErr w:type="spellEnd"/>
      <w:r>
        <w:t>;</w:t>
      </w:r>
    </w:p>
    <w:p w:rsidR="00A3608B" w:rsidRPr="009A7DBC" w:rsidRDefault="00A3608B" w:rsidP="00A3608B">
      <w:pPr>
        <w:pStyle w:val="ListParagraph"/>
        <w:widowControl w:val="0"/>
        <w:numPr>
          <w:ilvl w:val="0"/>
          <w:numId w:val="31"/>
        </w:numPr>
        <w:tabs>
          <w:tab w:val="left" w:pos="1096"/>
        </w:tabs>
        <w:autoSpaceDE w:val="0"/>
        <w:autoSpaceDN w:val="0"/>
        <w:spacing w:before="120" w:after="0"/>
        <w:ind w:left="1077" w:right="108" w:hanging="357"/>
        <w:contextualSpacing w:val="0"/>
        <w:jc w:val="both"/>
      </w:pPr>
      <w:r>
        <w:t>d</w:t>
      </w:r>
      <w:r w:rsidRPr="009A7DBC">
        <w:t>otācija paš</w:t>
      </w:r>
      <w:r>
        <w:t xml:space="preserve">valdībām </w:t>
      </w:r>
      <w:r w:rsidRPr="009A7DBC">
        <w:t>0,66</w:t>
      </w:r>
      <w:r w:rsidRPr="009A7DBC">
        <w:rPr>
          <w:spacing w:val="-1"/>
        </w:rPr>
        <w:t xml:space="preserve"> </w:t>
      </w:r>
      <w:r w:rsidRPr="009A7DBC">
        <w:t xml:space="preserve">milj. </w:t>
      </w:r>
      <w:proofErr w:type="spellStart"/>
      <w:r w:rsidRPr="009A7DBC">
        <w:rPr>
          <w:i/>
        </w:rPr>
        <w:t>euro</w:t>
      </w:r>
      <w:proofErr w:type="spellEnd"/>
      <w:r w:rsidRPr="009A7DBC">
        <w:rPr>
          <w:i/>
        </w:rPr>
        <w:t xml:space="preserve"> </w:t>
      </w:r>
      <w:r w:rsidRPr="009A7DBC">
        <w:t xml:space="preserve">apmērā </w:t>
      </w:r>
      <w:r>
        <w:t xml:space="preserve">par </w:t>
      </w:r>
      <w:r w:rsidRPr="009A7DBC">
        <w:t xml:space="preserve">bērniem bērnunamos </w:t>
      </w:r>
      <w:r w:rsidRPr="009A7DBC">
        <w:rPr>
          <w:spacing w:val="-7"/>
        </w:rPr>
        <w:t xml:space="preserve">un </w:t>
      </w:r>
      <w:r w:rsidRPr="009A7DBC">
        <w:t xml:space="preserve">iemītniekiem veco ļaužu pansionātos un centros, </w:t>
      </w:r>
      <w:r>
        <w:t xml:space="preserve">kuri tajos ievietoti līdz 1998. </w:t>
      </w:r>
      <w:r w:rsidRPr="009A7DBC">
        <w:t>gada 1.</w:t>
      </w:r>
      <w:r>
        <w:t xml:space="preserve"> </w:t>
      </w:r>
      <w:r w:rsidRPr="009A7DBC">
        <w:t xml:space="preserve">janvārim, </w:t>
      </w:r>
      <w:r>
        <w:t>MK</w:t>
      </w:r>
      <w:r w:rsidRPr="009A7DBC">
        <w:t xml:space="preserve"> noteiktajā</w:t>
      </w:r>
      <w:r w:rsidRPr="009A7DBC">
        <w:rPr>
          <w:spacing w:val="-3"/>
        </w:rPr>
        <w:t xml:space="preserve"> </w:t>
      </w:r>
      <w:r w:rsidRPr="009A7DBC">
        <w:t>kārtībā.</w:t>
      </w:r>
    </w:p>
    <w:p w:rsidR="00A3608B" w:rsidRDefault="00A3608B" w:rsidP="00A3608B">
      <w:pPr>
        <w:pStyle w:val="BodyText"/>
        <w:spacing w:before="120"/>
        <w:ind w:right="117" w:firstLine="707"/>
        <w:jc w:val="both"/>
      </w:pPr>
      <w:r>
        <w:t>Pašvaldību finanšu izlīdzināšanas aprēķins tiek veikts atbilstoši Pašvaldību finanšu izlīdzināšanas likumam, kas nodrošina līdzvērtīgas iespējas pašvaldību autonomo funkciju realizācijai, kā arī, pārdomāti pārdalot līdzekļus, veicina pašvaldību ieinteresētību savas administratīvās teritorijas attīstībā. Visi pašvaldību finanšu izlīdzināšanas aprēķinā izmantojamie rādītāji ir publiski pieejami, attiecīgi ikviena pašvaldība var aprēķināt potenciālos pašvaldību finanšu izlīdzināšanas rezultātus, tādējādi prognozējot savus</w:t>
      </w:r>
      <w:r>
        <w:rPr>
          <w:spacing w:val="1"/>
        </w:rPr>
        <w:t xml:space="preserve"> </w:t>
      </w:r>
      <w:r>
        <w:t>ieņēmumus.</w:t>
      </w:r>
    </w:p>
    <w:p w:rsidR="00A3608B" w:rsidRDefault="00A3608B" w:rsidP="00A3608B">
      <w:pPr>
        <w:pStyle w:val="BodyText"/>
        <w:spacing w:before="120"/>
        <w:ind w:left="102" w:right="110" w:firstLine="707"/>
        <w:jc w:val="both"/>
      </w:pPr>
      <w:r>
        <w:t>2021. gada pašvaldību finanšu izlīdzināšanas fonda ieņēmumi tiek plānoti 272,65 milj</w:t>
      </w:r>
      <w:r>
        <w:rPr>
          <w:i/>
        </w:rPr>
        <w:t xml:space="preserve">. </w:t>
      </w:r>
      <w:proofErr w:type="spellStart"/>
      <w:r>
        <w:rPr>
          <w:i/>
        </w:rPr>
        <w:t>euro</w:t>
      </w:r>
      <w:proofErr w:type="spellEnd"/>
      <w:r>
        <w:t xml:space="preserve">. Tos veido valsts budžeta dotācija kopā ar speciālo dotāciju  - 198,69 milj. </w:t>
      </w:r>
      <w:proofErr w:type="spellStart"/>
      <w:r>
        <w:rPr>
          <w:i/>
        </w:rPr>
        <w:t>euro</w:t>
      </w:r>
      <w:proofErr w:type="spellEnd"/>
      <w:r>
        <w:rPr>
          <w:i/>
        </w:rPr>
        <w:t xml:space="preserve"> </w:t>
      </w:r>
      <w:r>
        <w:t xml:space="preserve">un pašvaldību iemaksas - 73,96 milj. </w:t>
      </w:r>
      <w:proofErr w:type="spellStart"/>
      <w:r>
        <w:rPr>
          <w:i/>
        </w:rPr>
        <w:t>euro</w:t>
      </w:r>
      <w:proofErr w:type="spellEnd"/>
      <w:r>
        <w:t>. Atbilstoši aprēķinam ir paredzēts, ka iemaksas pašvaldību finanšu izlīdzināšanas fondā veiks 11 pašvaldības, bet dotāciju saņems 108 pašvaldības. Lielākie iemaksu veicēji pašvaldību finanšu izlīdzināšanas fondā, rēķinot procentuāli no pašvaldību vērtētajiem ieņēmumiem, ir Garkalnes novads – 40,39%, Jūrmalas pilsēta – 17,07%, Carnikavas novads – 15,84%, Mārupes novads – 15,38%. Rīgas pilsētas iemaksas</w:t>
      </w:r>
      <w:r>
        <w:rPr>
          <w:spacing w:val="-6"/>
        </w:rPr>
        <w:t xml:space="preserve"> </w:t>
      </w:r>
      <w:r>
        <w:t>būs</w:t>
      </w:r>
      <w:r>
        <w:rPr>
          <w:spacing w:val="-6"/>
        </w:rPr>
        <w:t xml:space="preserve"> </w:t>
      </w:r>
      <w:r>
        <w:t>lielākās</w:t>
      </w:r>
      <w:r>
        <w:rPr>
          <w:spacing w:val="-6"/>
        </w:rPr>
        <w:t xml:space="preserve"> </w:t>
      </w:r>
      <w:r>
        <w:t>pēc</w:t>
      </w:r>
      <w:r>
        <w:rPr>
          <w:spacing w:val="-6"/>
        </w:rPr>
        <w:t xml:space="preserve"> </w:t>
      </w:r>
      <w:r>
        <w:t>kopējo</w:t>
      </w:r>
      <w:r>
        <w:rPr>
          <w:spacing w:val="-6"/>
        </w:rPr>
        <w:t xml:space="preserve"> </w:t>
      </w:r>
      <w:r>
        <w:t>iemaksu</w:t>
      </w:r>
      <w:r>
        <w:rPr>
          <w:spacing w:val="-6"/>
        </w:rPr>
        <w:t xml:space="preserve"> </w:t>
      </w:r>
      <w:r>
        <w:t xml:space="preserve">apjoma - 42,53 milj. </w:t>
      </w:r>
      <w:proofErr w:type="spellStart"/>
      <w:r>
        <w:rPr>
          <w:i/>
        </w:rPr>
        <w:t>euro</w:t>
      </w:r>
      <w:proofErr w:type="spellEnd"/>
      <w:r>
        <w:t>, kas procentuāli no Rīgas pilsētas pašvaldības vērtētajiem ieņēmumiem ir</w:t>
      </w:r>
      <w:r>
        <w:rPr>
          <w:spacing w:val="1"/>
        </w:rPr>
        <w:t xml:space="preserve"> </w:t>
      </w:r>
      <w:r>
        <w:t>6,62%.</w:t>
      </w:r>
    </w:p>
    <w:p w:rsidR="003C0F79" w:rsidRDefault="003C0F79" w:rsidP="004F2064">
      <w:pPr>
        <w:ind w:firstLine="0"/>
      </w:pPr>
    </w:p>
    <w:p w:rsidR="003C0F79" w:rsidRPr="00510902" w:rsidRDefault="003C0F79" w:rsidP="00552482">
      <w:pPr>
        <w:pStyle w:val="Heading2"/>
        <w:numPr>
          <w:ilvl w:val="1"/>
          <w:numId w:val="17"/>
        </w:numPr>
        <w:spacing w:before="240" w:after="240"/>
        <w:ind w:left="0" w:firstLine="0"/>
        <w:jc w:val="center"/>
        <w:rPr>
          <w:rFonts w:ascii="Times New Roman" w:hAnsi="Times New Roman" w:cs="Times New Roman"/>
          <w:b/>
          <w:color w:val="auto"/>
          <w:sz w:val="36"/>
          <w:szCs w:val="36"/>
        </w:rPr>
      </w:pPr>
      <w:r>
        <w:rPr>
          <w:rFonts w:ascii="Times New Roman" w:hAnsi="Times New Roman" w:cs="Times New Roman"/>
          <w:b/>
          <w:color w:val="auto"/>
          <w:sz w:val="36"/>
          <w:szCs w:val="36"/>
        </w:rPr>
        <w:t>Informācija par m</w:t>
      </w:r>
      <w:r w:rsidRPr="00A72827">
        <w:rPr>
          <w:rFonts w:ascii="Times New Roman" w:hAnsi="Times New Roman" w:cs="Times New Roman"/>
          <w:b/>
          <w:color w:val="auto"/>
          <w:sz w:val="36"/>
          <w:szCs w:val="36"/>
        </w:rPr>
        <w:t xml:space="preserve">inistriju padotībā </w:t>
      </w:r>
      <w:r>
        <w:rPr>
          <w:rFonts w:ascii="Times New Roman" w:hAnsi="Times New Roman" w:cs="Times New Roman"/>
          <w:b/>
          <w:color w:val="auto"/>
          <w:sz w:val="36"/>
          <w:szCs w:val="36"/>
        </w:rPr>
        <w:t>esošām</w:t>
      </w:r>
      <w:r w:rsidRPr="00A72827">
        <w:rPr>
          <w:rFonts w:ascii="Times New Roman" w:hAnsi="Times New Roman" w:cs="Times New Roman"/>
          <w:b/>
          <w:color w:val="auto"/>
          <w:sz w:val="36"/>
          <w:szCs w:val="36"/>
        </w:rPr>
        <w:t xml:space="preserve"> no </w:t>
      </w:r>
      <w:r>
        <w:rPr>
          <w:rFonts w:ascii="Times New Roman" w:hAnsi="Times New Roman" w:cs="Times New Roman"/>
          <w:b/>
          <w:color w:val="auto"/>
          <w:sz w:val="36"/>
          <w:szCs w:val="36"/>
        </w:rPr>
        <w:t>valsts budžeta daļēji finansētām atvasinātām publiskām personām un budžeta nefinansētām iestādēm</w:t>
      </w:r>
    </w:p>
    <w:p w:rsidR="00BD7FDC" w:rsidRDefault="00510902" w:rsidP="00510902">
      <w:pPr>
        <w:pStyle w:val="ListParagraph"/>
        <w:spacing w:before="120"/>
        <w:ind w:left="0"/>
        <w:contextualSpacing w:val="0"/>
      </w:pPr>
      <w:r>
        <w:t>Tabulā Nr.2.6</w:t>
      </w:r>
      <w:r w:rsidR="00BD7FDC">
        <w:t>. apkopota ministriju iesniegtā informācija par to</w:t>
      </w:r>
      <w:r w:rsidR="00BD7FDC" w:rsidRPr="00A72827">
        <w:rPr>
          <w:szCs w:val="24"/>
        </w:rPr>
        <w:t xml:space="preserve"> padotībā esošām no valsts budžeta daļēji finansētām atvasinātām publiskām personām </w:t>
      </w:r>
      <w:r w:rsidR="00BD7FDC">
        <w:rPr>
          <w:szCs w:val="24"/>
        </w:rPr>
        <w:t xml:space="preserve">2021.gadā </w:t>
      </w:r>
      <w:r w:rsidR="00BD7FDC" w:rsidRPr="00A72827">
        <w:rPr>
          <w:szCs w:val="24"/>
        </w:rPr>
        <w:t>un</w:t>
      </w:r>
      <w:r>
        <w:rPr>
          <w:szCs w:val="24"/>
        </w:rPr>
        <w:t xml:space="preserve"> tabulā Nr.2.7</w:t>
      </w:r>
      <w:r w:rsidR="00BD7FDC">
        <w:rPr>
          <w:szCs w:val="24"/>
        </w:rPr>
        <w:t xml:space="preserve">. </w:t>
      </w:r>
      <w:r w:rsidR="00BD7FDC" w:rsidRPr="00831298">
        <w:rPr>
          <w:szCs w:val="24"/>
        </w:rPr>
        <w:t xml:space="preserve">apkopota ministriju iesniegtā </w:t>
      </w:r>
      <w:r w:rsidR="00BD7FDC">
        <w:rPr>
          <w:szCs w:val="24"/>
        </w:rPr>
        <w:t>informācija par</w:t>
      </w:r>
      <w:r w:rsidR="00BD7FDC" w:rsidRPr="00A72827">
        <w:rPr>
          <w:szCs w:val="24"/>
        </w:rPr>
        <w:t xml:space="preserve"> </w:t>
      </w:r>
      <w:r w:rsidR="00BD7FDC">
        <w:rPr>
          <w:szCs w:val="24"/>
        </w:rPr>
        <w:t xml:space="preserve">padotībā esošām </w:t>
      </w:r>
      <w:r w:rsidR="00BD7FDC" w:rsidRPr="00A72827">
        <w:rPr>
          <w:szCs w:val="24"/>
        </w:rPr>
        <w:t>budžeta nefinansētām iestādēm</w:t>
      </w:r>
      <w:r w:rsidR="00BD7FDC">
        <w:rPr>
          <w:szCs w:val="24"/>
        </w:rPr>
        <w:t xml:space="preserve"> 2021.gadā. </w:t>
      </w:r>
      <w:r w:rsidR="00BD7FDC">
        <w:t xml:space="preserve">  </w:t>
      </w:r>
    </w:p>
    <w:p w:rsidR="00BD7FDC" w:rsidRPr="00796540" w:rsidRDefault="00BD7FDC" w:rsidP="00BD7FDC">
      <w:pPr>
        <w:spacing w:after="0"/>
        <w:ind w:firstLine="0"/>
        <w:jc w:val="center"/>
        <w:rPr>
          <w:b/>
          <w:bCs/>
          <w:szCs w:val="24"/>
          <w:lang w:eastAsia="lv-LV"/>
        </w:rPr>
      </w:pPr>
    </w:p>
    <w:p w:rsidR="00BD7FDC" w:rsidRPr="00885482" w:rsidRDefault="00510902" w:rsidP="00885482">
      <w:pPr>
        <w:ind w:firstLine="0"/>
        <w:jc w:val="center"/>
        <w:rPr>
          <w:b/>
          <w:bCs/>
          <w:szCs w:val="24"/>
          <w:lang w:eastAsia="lv-LV"/>
        </w:rPr>
      </w:pPr>
      <w:r>
        <w:rPr>
          <w:b/>
          <w:bCs/>
          <w:i/>
          <w:szCs w:val="24"/>
          <w:lang w:eastAsia="lv-LV"/>
        </w:rPr>
        <w:t>2.6</w:t>
      </w:r>
      <w:r w:rsidR="00BD7FDC">
        <w:rPr>
          <w:b/>
          <w:bCs/>
          <w:i/>
          <w:szCs w:val="24"/>
          <w:lang w:eastAsia="lv-LV"/>
        </w:rPr>
        <w:t xml:space="preserve">. tabula </w:t>
      </w:r>
      <w:r w:rsidR="00BD7FDC" w:rsidRPr="00BD7FDC">
        <w:rPr>
          <w:b/>
          <w:bCs/>
          <w:szCs w:val="24"/>
          <w:lang w:eastAsia="lv-LV"/>
        </w:rPr>
        <w:t>2021.</w:t>
      </w:r>
      <w:r w:rsidR="00885482">
        <w:rPr>
          <w:b/>
          <w:bCs/>
          <w:szCs w:val="24"/>
          <w:lang w:eastAsia="lv-LV"/>
        </w:rPr>
        <w:t xml:space="preserve"> </w:t>
      </w:r>
      <w:r w:rsidR="00BD7FDC" w:rsidRPr="00BD7FDC">
        <w:rPr>
          <w:b/>
          <w:bCs/>
          <w:szCs w:val="24"/>
          <w:lang w:eastAsia="lv-LV"/>
        </w:rPr>
        <w:t>gadā ministriju padotībā esošās valsts budžeta daļēji finansētās atvasinātās publiskās personas</w:t>
      </w:r>
    </w:p>
    <w:tbl>
      <w:tblPr>
        <w:tblStyle w:val="TableGrid"/>
        <w:tblW w:w="0" w:type="auto"/>
        <w:tblLook w:val="04A0" w:firstRow="1" w:lastRow="0" w:firstColumn="1" w:lastColumn="0" w:noHBand="0" w:noVBand="1"/>
      </w:tblPr>
      <w:tblGrid>
        <w:gridCol w:w="846"/>
        <w:gridCol w:w="8215"/>
      </w:tblGrid>
      <w:tr w:rsidR="00BD7FDC" w:rsidRPr="00A00B7C" w:rsidTr="0090538F">
        <w:trPr>
          <w:trHeight w:val="490"/>
          <w:tblHeader/>
        </w:trPr>
        <w:tc>
          <w:tcPr>
            <w:tcW w:w="846" w:type="dxa"/>
            <w:shd w:val="clear" w:color="auto" w:fill="D9D9D9" w:themeFill="background1" w:themeFillShade="D9"/>
            <w:vAlign w:val="center"/>
            <w:hideMark/>
          </w:tcPr>
          <w:p w:rsidR="00BD7FDC" w:rsidRPr="00BD7FDC" w:rsidRDefault="00BD7FDC" w:rsidP="0090538F">
            <w:pPr>
              <w:spacing w:after="0"/>
              <w:ind w:firstLine="0"/>
              <w:jc w:val="center"/>
              <w:rPr>
                <w:bCs/>
                <w:sz w:val="20"/>
                <w:lang w:eastAsia="lv-LV"/>
              </w:rPr>
            </w:pPr>
            <w:proofErr w:type="spellStart"/>
            <w:r w:rsidRPr="00BD7FDC">
              <w:rPr>
                <w:bCs/>
                <w:sz w:val="20"/>
                <w:lang w:eastAsia="lv-LV"/>
              </w:rPr>
              <w:t>Nr.p.k</w:t>
            </w:r>
            <w:proofErr w:type="spellEnd"/>
            <w:r w:rsidRPr="00BD7FDC">
              <w:rPr>
                <w:bCs/>
                <w:sz w:val="20"/>
                <w:lang w:eastAsia="lv-LV"/>
              </w:rPr>
              <w:t>.</w:t>
            </w:r>
          </w:p>
        </w:tc>
        <w:tc>
          <w:tcPr>
            <w:tcW w:w="8215" w:type="dxa"/>
            <w:shd w:val="clear" w:color="auto" w:fill="D9D9D9" w:themeFill="background1" w:themeFillShade="D9"/>
            <w:vAlign w:val="center"/>
            <w:hideMark/>
          </w:tcPr>
          <w:p w:rsidR="00BD7FDC" w:rsidRPr="00BD7FDC" w:rsidRDefault="00BD7FDC" w:rsidP="00BD7FDC">
            <w:pPr>
              <w:spacing w:after="0"/>
              <w:ind w:firstLine="0"/>
              <w:jc w:val="center"/>
              <w:rPr>
                <w:bCs/>
                <w:sz w:val="20"/>
                <w:lang w:eastAsia="lv-LV"/>
              </w:rPr>
            </w:pPr>
            <w:r w:rsidRPr="00BD7FDC">
              <w:rPr>
                <w:bCs/>
                <w:sz w:val="20"/>
                <w:lang w:eastAsia="lv-LV"/>
              </w:rPr>
              <w:t>Valsts budžeta daļēji finansētas atvasinātas publiskas personas nosaukums</w:t>
            </w:r>
          </w:p>
        </w:tc>
      </w:tr>
      <w:tr w:rsidR="00BD7FDC" w:rsidRPr="00A00B7C" w:rsidTr="00BD7FDC">
        <w:trPr>
          <w:trHeight w:val="137"/>
        </w:trPr>
        <w:tc>
          <w:tcPr>
            <w:tcW w:w="9061" w:type="dxa"/>
            <w:gridSpan w:val="2"/>
            <w:vAlign w:val="center"/>
            <w:hideMark/>
          </w:tcPr>
          <w:p w:rsidR="00BD7FDC" w:rsidRPr="00BD7FDC" w:rsidRDefault="00BD7FDC" w:rsidP="0090538F">
            <w:pPr>
              <w:spacing w:after="0"/>
              <w:ind w:firstLine="0"/>
              <w:jc w:val="center"/>
              <w:rPr>
                <w:b/>
                <w:bCs/>
                <w:sz w:val="20"/>
                <w:lang w:eastAsia="lv-LV"/>
              </w:rPr>
            </w:pPr>
            <w:r w:rsidRPr="00BD7FDC">
              <w:rPr>
                <w:b/>
                <w:bCs/>
                <w:sz w:val="20"/>
                <w:lang w:eastAsia="lv-LV"/>
              </w:rPr>
              <w:t>Izglītības un zinātnes ministrija</w:t>
            </w:r>
          </w:p>
        </w:tc>
      </w:tr>
      <w:tr w:rsidR="00BD7FDC" w:rsidRPr="00A00B7C" w:rsidTr="00BD7FDC">
        <w:trPr>
          <w:trHeight w:val="130"/>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Augstākās izglītības padome</w:t>
            </w:r>
          </w:p>
        </w:tc>
      </w:tr>
      <w:tr w:rsidR="00BD7FDC" w:rsidRPr="00A00B7C" w:rsidTr="00BD7FDC">
        <w:trPr>
          <w:trHeight w:val="175"/>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Banku augstskola</w:t>
            </w:r>
          </w:p>
        </w:tc>
      </w:tr>
      <w:tr w:rsidR="00BD7FDC" w:rsidRPr="00A00B7C" w:rsidTr="00BD7FDC">
        <w:trPr>
          <w:trHeight w:val="222"/>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Daugavpils Universitāte</w:t>
            </w:r>
          </w:p>
        </w:tc>
      </w:tr>
      <w:tr w:rsidR="00BD7FDC" w:rsidRPr="00A00B7C" w:rsidTr="00BD7FDC">
        <w:trPr>
          <w:trHeight w:val="125"/>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4.</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Jūras akadēmija</w:t>
            </w:r>
          </w:p>
        </w:tc>
      </w:tr>
      <w:tr w:rsidR="00BD7FDC" w:rsidRPr="00A00B7C" w:rsidTr="00BD7FDC">
        <w:trPr>
          <w:trHeight w:val="157"/>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5.</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Sporta pedagoģijas akadēmija</w:t>
            </w:r>
          </w:p>
        </w:tc>
      </w:tr>
      <w:tr w:rsidR="00BD7FDC" w:rsidRPr="00A00B7C" w:rsidTr="00BD7FDC">
        <w:trPr>
          <w:trHeight w:val="20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6.</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Universitāte</w:t>
            </w:r>
          </w:p>
        </w:tc>
      </w:tr>
      <w:tr w:rsidR="00BD7FDC" w:rsidRPr="00A00B7C" w:rsidTr="00BD7FDC">
        <w:trPr>
          <w:trHeight w:val="107"/>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7.</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Universitātes Cietvielu fizikas institūts</w:t>
            </w:r>
          </w:p>
        </w:tc>
      </w:tr>
      <w:tr w:rsidR="00BD7FDC" w:rsidRPr="00A00B7C" w:rsidTr="00BD7FDC">
        <w:trPr>
          <w:trHeight w:val="15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lastRenderedPageBreak/>
              <w:t>8.</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Universitātes Matemātikas un informātikas institūts</w:t>
            </w:r>
          </w:p>
        </w:tc>
      </w:tr>
      <w:tr w:rsidR="00BD7FDC" w:rsidRPr="00A00B7C" w:rsidTr="00BD7FDC">
        <w:trPr>
          <w:trHeight w:val="199"/>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9.</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Liepājas Universitāte</w:t>
            </w:r>
          </w:p>
        </w:tc>
      </w:tr>
      <w:tr w:rsidR="00BD7FDC" w:rsidRPr="00A00B7C" w:rsidTr="00BD7FDC">
        <w:trPr>
          <w:trHeight w:val="23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10.</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Rēzeknes Tehnoloģiju akadēmija</w:t>
            </w:r>
          </w:p>
        </w:tc>
      </w:tr>
      <w:tr w:rsidR="00BD7FDC" w:rsidRPr="00A00B7C" w:rsidTr="00BD7FDC">
        <w:trPr>
          <w:trHeight w:val="277"/>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11.</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Rīgas Tehniskā universitāte</w:t>
            </w:r>
          </w:p>
        </w:tc>
      </w:tr>
      <w:tr w:rsidR="00BD7FDC" w:rsidRPr="00A00B7C" w:rsidTr="00BD7FDC">
        <w:trPr>
          <w:trHeight w:val="139"/>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12.</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Ventspils Augstskola</w:t>
            </w:r>
          </w:p>
        </w:tc>
      </w:tr>
      <w:tr w:rsidR="00BD7FDC" w:rsidRPr="00A00B7C" w:rsidTr="00BD7FDC">
        <w:trPr>
          <w:trHeight w:val="185"/>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13.</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Vidzemes Augstskola</w:t>
            </w:r>
          </w:p>
        </w:tc>
      </w:tr>
      <w:tr w:rsidR="00BD7FDC" w:rsidRPr="00A00B7C" w:rsidTr="00BD7FDC">
        <w:trPr>
          <w:trHeight w:val="23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14.</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Zinātņu akadēmija</w:t>
            </w:r>
          </w:p>
        </w:tc>
      </w:tr>
      <w:tr w:rsidR="00BD7FDC" w:rsidRPr="00A00B7C" w:rsidTr="00BD7FDC">
        <w:trPr>
          <w:trHeight w:val="26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15.</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Organiskās sintēzes institūts</w:t>
            </w:r>
          </w:p>
        </w:tc>
      </w:tr>
      <w:tr w:rsidR="00BD7FDC" w:rsidRPr="00A00B7C" w:rsidTr="00BD7FDC">
        <w:trPr>
          <w:trHeight w:val="139"/>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16.</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Valsts koksnes ķīmijas institūts</w:t>
            </w:r>
          </w:p>
        </w:tc>
      </w:tr>
      <w:tr w:rsidR="00BD7FDC" w:rsidRPr="00A00B7C" w:rsidTr="00BD7FDC">
        <w:trPr>
          <w:trHeight w:val="185"/>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17.</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Fizikālās enerģētikas institūts</w:t>
            </w:r>
          </w:p>
        </w:tc>
      </w:tr>
      <w:tr w:rsidR="00BD7FDC" w:rsidRPr="00A00B7C" w:rsidTr="00BD7FDC">
        <w:trPr>
          <w:trHeight w:val="23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18.</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 xml:space="preserve">Latvijas </w:t>
            </w:r>
            <w:proofErr w:type="spellStart"/>
            <w:r w:rsidRPr="00BD7FDC">
              <w:rPr>
                <w:bCs/>
                <w:sz w:val="20"/>
                <w:lang w:eastAsia="lv-LV"/>
              </w:rPr>
              <w:t>Biomedicīnas</w:t>
            </w:r>
            <w:proofErr w:type="spellEnd"/>
            <w:r w:rsidRPr="00BD7FDC">
              <w:rPr>
                <w:bCs/>
                <w:sz w:val="20"/>
                <w:lang w:eastAsia="lv-LV"/>
              </w:rPr>
              <w:t xml:space="preserve"> pētījumu un studiju centrs</w:t>
            </w:r>
          </w:p>
        </w:tc>
      </w:tr>
      <w:tr w:rsidR="00BD7FDC" w:rsidRPr="00A00B7C" w:rsidTr="00BD7FDC">
        <w:trPr>
          <w:trHeight w:val="136"/>
        </w:trPr>
        <w:tc>
          <w:tcPr>
            <w:tcW w:w="846" w:type="dxa"/>
            <w:tcBorders>
              <w:bottom w:val="single" w:sz="4" w:space="0" w:color="auto"/>
            </w:tcBorders>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19.</w:t>
            </w:r>
          </w:p>
        </w:tc>
        <w:tc>
          <w:tcPr>
            <w:tcW w:w="8215" w:type="dxa"/>
            <w:tcBorders>
              <w:bottom w:val="single" w:sz="4" w:space="0" w:color="auto"/>
            </w:tcBorders>
            <w:vAlign w:val="center"/>
            <w:hideMark/>
          </w:tcPr>
          <w:p w:rsidR="00BD7FDC" w:rsidRPr="00BD7FDC" w:rsidRDefault="00BD7FDC" w:rsidP="0090538F">
            <w:pPr>
              <w:spacing w:after="0"/>
              <w:ind w:firstLine="0"/>
              <w:jc w:val="left"/>
              <w:rPr>
                <w:bCs/>
                <w:sz w:val="20"/>
                <w:lang w:eastAsia="lv-LV"/>
              </w:rPr>
            </w:pPr>
            <w:r w:rsidRPr="00BD7FDC">
              <w:rPr>
                <w:bCs/>
                <w:sz w:val="20"/>
                <w:lang w:eastAsia="lv-LV"/>
              </w:rPr>
              <w:t>Elektronikas un datorzinātņu institūts</w:t>
            </w:r>
          </w:p>
        </w:tc>
      </w:tr>
      <w:tr w:rsidR="00BD7FDC" w:rsidRPr="00A00B7C" w:rsidTr="00BD7FDC">
        <w:trPr>
          <w:trHeight w:val="167"/>
        </w:trPr>
        <w:tc>
          <w:tcPr>
            <w:tcW w:w="846" w:type="dxa"/>
            <w:tcBorders>
              <w:top w:val="single" w:sz="4" w:space="0" w:color="auto"/>
              <w:left w:val="single" w:sz="4" w:space="0" w:color="auto"/>
              <w:bottom w:val="single" w:sz="4" w:space="0" w:color="auto"/>
              <w:right w:val="nil"/>
            </w:tcBorders>
            <w:hideMark/>
          </w:tcPr>
          <w:p w:rsidR="00BD7FDC" w:rsidRPr="00BD7FDC" w:rsidRDefault="00BD7FDC" w:rsidP="0090538F">
            <w:pPr>
              <w:spacing w:after="0"/>
              <w:ind w:firstLine="0"/>
              <w:jc w:val="center"/>
              <w:rPr>
                <w:bCs/>
                <w:sz w:val="20"/>
                <w:lang w:eastAsia="lv-LV"/>
              </w:rPr>
            </w:pPr>
          </w:p>
        </w:tc>
        <w:tc>
          <w:tcPr>
            <w:tcW w:w="8215" w:type="dxa"/>
            <w:tcBorders>
              <w:top w:val="single" w:sz="4" w:space="0" w:color="auto"/>
              <w:left w:val="nil"/>
              <w:bottom w:val="single" w:sz="4" w:space="0" w:color="auto"/>
              <w:right w:val="single" w:sz="4" w:space="0" w:color="auto"/>
            </w:tcBorders>
            <w:vAlign w:val="center"/>
            <w:hideMark/>
          </w:tcPr>
          <w:p w:rsidR="00BD7FDC" w:rsidRPr="00BD7FDC" w:rsidRDefault="00BD7FDC" w:rsidP="0090538F">
            <w:pPr>
              <w:spacing w:after="0"/>
              <w:ind w:firstLine="2299"/>
              <w:jc w:val="left"/>
              <w:rPr>
                <w:b/>
                <w:bCs/>
                <w:sz w:val="20"/>
                <w:lang w:eastAsia="lv-LV"/>
              </w:rPr>
            </w:pPr>
            <w:r w:rsidRPr="00BD7FDC">
              <w:rPr>
                <w:b/>
                <w:bCs/>
                <w:sz w:val="20"/>
                <w:lang w:eastAsia="lv-LV"/>
              </w:rPr>
              <w:t>Zemkopības ministrija</w:t>
            </w:r>
          </w:p>
        </w:tc>
      </w:tr>
      <w:tr w:rsidR="00BD7FDC" w:rsidRPr="00A00B7C" w:rsidTr="00BD7FDC">
        <w:trPr>
          <w:trHeight w:val="315"/>
        </w:trPr>
        <w:tc>
          <w:tcPr>
            <w:tcW w:w="846" w:type="dxa"/>
            <w:tcBorders>
              <w:top w:val="single" w:sz="4" w:space="0" w:color="auto"/>
            </w:tcBorders>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20.</w:t>
            </w:r>
          </w:p>
        </w:tc>
        <w:tc>
          <w:tcPr>
            <w:tcW w:w="8215" w:type="dxa"/>
            <w:tcBorders>
              <w:top w:val="single" w:sz="4" w:space="0" w:color="auto"/>
            </w:tcBorders>
            <w:vAlign w:val="center"/>
            <w:hideMark/>
          </w:tcPr>
          <w:p w:rsidR="00BD7FDC" w:rsidRPr="00BD7FDC" w:rsidRDefault="00BD7FDC" w:rsidP="0090538F">
            <w:pPr>
              <w:spacing w:after="0"/>
              <w:ind w:firstLine="0"/>
              <w:jc w:val="left"/>
              <w:rPr>
                <w:bCs/>
                <w:sz w:val="20"/>
                <w:lang w:eastAsia="lv-LV"/>
              </w:rPr>
            </w:pPr>
            <w:r w:rsidRPr="00BD7FDC">
              <w:rPr>
                <w:bCs/>
                <w:sz w:val="20"/>
                <w:lang w:eastAsia="lv-LV"/>
              </w:rPr>
              <w:t xml:space="preserve">LLU </w:t>
            </w:r>
            <w:proofErr w:type="spellStart"/>
            <w:r w:rsidRPr="00BD7FDC">
              <w:rPr>
                <w:bCs/>
                <w:sz w:val="20"/>
                <w:lang w:eastAsia="lv-LV"/>
              </w:rPr>
              <w:t>Agroresursu</w:t>
            </w:r>
            <w:proofErr w:type="spellEnd"/>
            <w:r w:rsidRPr="00BD7FDC">
              <w:rPr>
                <w:bCs/>
                <w:sz w:val="20"/>
                <w:lang w:eastAsia="lv-LV"/>
              </w:rPr>
              <w:t xml:space="preserve"> un ekonomikas institūts</w:t>
            </w:r>
          </w:p>
        </w:tc>
      </w:tr>
      <w:tr w:rsidR="00BD7FDC" w:rsidRPr="00A00B7C" w:rsidTr="0090538F">
        <w:trPr>
          <w:trHeight w:val="330"/>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21.</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Valsts zinātniskais institūts “Pārtikas drošības, dzīvnieku veselības un vides zinātniskais institūts BIOR””</w:t>
            </w:r>
          </w:p>
        </w:tc>
      </w:tr>
      <w:tr w:rsidR="00BD7FDC" w:rsidRPr="00A00B7C" w:rsidTr="00BD7FDC">
        <w:trPr>
          <w:trHeight w:val="85"/>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22.</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LLU Dārzkopības institūts</w:t>
            </w:r>
          </w:p>
        </w:tc>
      </w:tr>
      <w:tr w:rsidR="00BD7FDC" w:rsidRPr="00A00B7C" w:rsidTr="00BD7FDC">
        <w:trPr>
          <w:trHeight w:val="13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23.</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Lauksaimniecības universitāte</w:t>
            </w:r>
          </w:p>
        </w:tc>
      </w:tr>
      <w:tr w:rsidR="00BD7FDC" w:rsidRPr="00A00B7C" w:rsidTr="00BD7FDC">
        <w:trPr>
          <w:trHeight w:val="177"/>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24.</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Valsts mežzinātnes institūts “Silava”</w:t>
            </w:r>
          </w:p>
        </w:tc>
      </w:tr>
      <w:tr w:rsidR="00BD7FDC" w:rsidRPr="00A00B7C" w:rsidTr="00BD7FDC">
        <w:trPr>
          <w:trHeight w:val="364"/>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25.</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LVMI Silava un LLU Valsts zinātniskās izpētes mežu apsaimniekošanas aģentūra "Meža pētīšanas stacija"</w:t>
            </w:r>
          </w:p>
        </w:tc>
      </w:tr>
      <w:tr w:rsidR="00BD7FDC" w:rsidRPr="00A00B7C" w:rsidTr="00BD7FDC">
        <w:trPr>
          <w:trHeight w:val="173"/>
        </w:trPr>
        <w:tc>
          <w:tcPr>
            <w:tcW w:w="9061" w:type="dxa"/>
            <w:gridSpan w:val="2"/>
            <w:vAlign w:val="center"/>
            <w:hideMark/>
          </w:tcPr>
          <w:p w:rsidR="00BD7FDC" w:rsidRPr="00BD7FDC" w:rsidRDefault="00BD7FDC" w:rsidP="0090538F">
            <w:pPr>
              <w:spacing w:after="0"/>
              <w:ind w:firstLine="0"/>
              <w:jc w:val="center"/>
              <w:rPr>
                <w:b/>
                <w:bCs/>
                <w:sz w:val="20"/>
                <w:lang w:eastAsia="lv-LV"/>
              </w:rPr>
            </w:pPr>
            <w:r w:rsidRPr="00BD7FDC">
              <w:rPr>
                <w:b/>
                <w:bCs/>
                <w:sz w:val="20"/>
                <w:lang w:eastAsia="lv-LV"/>
              </w:rPr>
              <w:t>Vides aizsardzības un reģionālās attīstības ministrija</w:t>
            </w:r>
          </w:p>
        </w:tc>
      </w:tr>
      <w:tr w:rsidR="00BD7FDC" w:rsidRPr="00A00B7C" w:rsidTr="00BD7FDC">
        <w:trPr>
          <w:trHeight w:val="15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26.</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Zemgales plānošanas reģions</w:t>
            </w:r>
          </w:p>
        </w:tc>
      </w:tr>
      <w:tr w:rsidR="00BD7FDC" w:rsidRPr="00A00B7C" w:rsidTr="00BD7FDC">
        <w:trPr>
          <w:trHeight w:val="197"/>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27.</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Vidzemes plānošanas reģions</w:t>
            </w:r>
          </w:p>
        </w:tc>
      </w:tr>
      <w:tr w:rsidR="00BD7FDC" w:rsidRPr="00A00B7C" w:rsidTr="00BD7FDC">
        <w:trPr>
          <w:trHeight w:val="24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28.</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Kurzemes plānošanas reģions</w:t>
            </w:r>
          </w:p>
        </w:tc>
      </w:tr>
      <w:tr w:rsidR="00BD7FDC" w:rsidRPr="00A00B7C" w:rsidTr="00BD7FDC">
        <w:trPr>
          <w:trHeight w:val="13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29.</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Rīgas plānošanas reģions</w:t>
            </w:r>
          </w:p>
        </w:tc>
      </w:tr>
      <w:tr w:rsidR="00BD7FDC" w:rsidRPr="00A00B7C" w:rsidTr="00BD7FDC">
        <w:trPr>
          <w:trHeight w:val="180"/>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30.</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Latgales plānošanas reģions</w:t>
            </w:r>
          </w:p>
        </w:tc>
      </w:tr>
      <w:tr w:rsidR="00BD7FDC" w:rsidRPr="00A00B7C" w:rsidTr="00BD7FDC">
        <w:trPr>
          <w:trHeight w:val="8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31.</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Nacionālais botāniskais dārzs</w:t>
            </w:r>
          </w:p>
        </w:tc>
      </w:tr>
      <w:tr w:rsidR="00BD7FDC" w:rsidRPr="00A00B7C" w:rsidTr="00BD7FDC">
        <w:trPr>
          <w:trHeight w:val="258"/>
        </w:trPr>
        <w:tc>
          <w:tcPr>
            <w:tcW w:w="9061" w:type="dxa"/>
            <w:gridSpan w:val="2"/>
            <w:vAlign w:val="center"/>
            <w:hideMark/>
          </w:tcPr>
          <w:p w:rsidR="00BD7FDC" w:rsidRPr="00BD7FDC" w:rsidRDefault="00BD7FDC" w:rsidP="0090538F">
            <w:pPr>
              <w:spacing w:after="0"/>
              <w:ind w:firstLine="0"/>
              <w:jc w:val="center"/>
              <w:rPr>
                <w:b/>
                <w:bCs/>
                <w:sz w:val="20"/>
                <w:lang w:eastAsia="lv-LV"/>
              </w:rPr>
            </w:pPr>
            <w:r w:rsidRPr="00BD7FDC">
              <w:rPr>
                <w:b/>
                <w:bCs/>
                <w:sz w:val="20"/>
                <w:lang w:eastAsia="lv-LV"/>
              </w:rPr>
              <w:t>Kultūras ministrija</w:t>
            </w:r>
          </w:p>
        </w:tc>
      </w:tr>
      <w:tr w:rsidR="00BD7FDC" w:rsidRPr="00A00B7C" w:rsidTr="00BD7FDC">
        <w:trPr>
          <w:trHeight w:val="121"/>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32.</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Mākslas akadēmija</w:t>
            </w:r>
          </w:p>
        </w:tc>
      </w:tr>
      <w:tr w:rsidR="00BD7FDC" w:rsidRPr="00A00B7C" w:rsidTr="00BD7FDC">
        <w:trPr>
          <w:trHeight w:val="168"/>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33.</w:t>
            </w:r>
          </w:p>
        </w:tc>
        <w:tc>
          <w:tcPr>
            <w:tcW w:w="8215" w:type="dxa"/>
            <w:vAlign w:val="center"/>
            <w:hideMark/>
          </w:tcPr>
          <w:p w:rsidR="00BD7FDC" w:rsidRPr="00BD7FDC" w:rsidRDefault="00BD7FDC" w:rsidP="0090538F">
            <w:pPr>
              <w:spacing w:after="0"/>
              <w:ind w:firstLine="0"/>
              <w:jc w:val="left"/>
              <w:rPr>
                <w:bCs/>
                <w:sz w:val="20"/>
                <w:lang w:eastAsia="lv-LV"/>
              </w:rPr>
            </w:pPr>
            <w:proofErr w:type="spellStart"/>
            <w:r w:rsidRPr="00BD7FDC">
              <w:rPr>
                <w:bCs/>
                <w:sz w:val="20"/>
                <w:lang w:eastAsia="lv-LV"/>
              </w:rPr>
              <w:t>J.Vītola</w:t>
            </w:r>
            <w:proofErr w:type="spellEnd"/>
            <w:r w:rsidRPr="00BD7FDC">
              <w:rPr>
                <w:bCs/>
                <w:sz w:val="20"/>
                <w:lang w:eastAsia="lv-LV"/>
              </w:rPr>
              <w:t xml:space="preserve"> Latvijas Mūzikas akadēmija</w:t>
            </w:r>
          </w:p>
        </w:tc>
      </w:tr>
      <w:tr w:rsidR="00BD7FDC" w:rsidRPr="00A00B7C" w:rsidTr="00BD7FDC">
        <w:trPr>
          <w:trHeight w:val="213"/>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34.</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Latvijas Kultūras akadēmija</w:t>
            </w:r>
          </w:p>
        </w:tc>
      </w:tr>
      <w:tr w:rsidR="00BD7FDC" w:rsidRPr="00A00B7C" w:rsidTr="00BD7FDC">
        <w:trPr>
          <w:trHeight w:val="70"/>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35.</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UNESCO Latvijas Nacionālā komisija</w:t>
            </w:r>
          </w:p>
        </w:tc>
      </w:tr>
      <w:tr w:rsidR="00BD7FDC" w:rsidRPr="00A00B7C" w:rsidTr="00BD7FDC">
        <w:trPr>
          <w:trHeight w:val="70"/>
        </w:trPr>
        <w:tc>
          <w:tcPr>
            <w:tcW w:w="9061" w:type="dxa"/>
            <w:gridSpan w:val="2"/>
            <w:vAlign w:val="center"/>
            <w:hideMark/>
          </w:tcPr>
          <w:p w:rsidR="00BD7FDC" w:rsidRPr="00BD7FDC" w:rsidRDefault="00BD7FDC" w:rsidP="0090538F">
            <w:pPr>
              <w:spacing w:after="0"/>
              <w:ind w:firstLine="0"/>
              <w:jc w:val="center"/>
              <w:rPr>
                <w:b/>
                <w:bCs/>
                <w:sz w:val="20"/>
                <w:lang w:eastAsia="lv-LV"/>
              </w:rPr>
            </w:pPr>
            <w:r w:rsidRPr="00BD7FDC">
              <w:rPr>
                <w:b/>
                <w:bCs/>
                <w:sz w:val="20"/>
                <w:lang w:eastAsia="lv-LV"/>
              </w:rPr>
              <w:t>Veselības ministrija</w:t>
            </w:r>
          </w:p>
        </w:tc>
      </w:tr>
      <w:tr w:rsidR="00BD7FDC" w:rsidRPr="00A00B7C" w:rsidTr="00BD7FDC">
        <w:trPr>
          <w:trHeight w:val="70"/>
        </w:trPr>
        <w:tc>
          <w:tcPr>
            <w:tcW w:w="846" w:type="dxa"/>
            <w:vAlign w:val="center"/>
            <w:hideMark/>
          </w:tcPr>
          <w:p w:rsidR="00BD7FDC" w:rsidRPr="00BD7FDC" w:rsidRDefault="00BD7FDC" w:rsidP="0090538F">
            <w:pPr>
              <w:spacing w:after="0"/>
              <w:ind w:firstLine="0"/>
              <w:jc w:val="center"/>
              <w:rPr>
                <w:bCs/>
                <w:sz w:val="20"/>
                <w:lang w:eastAsia="lv-LV"/>
              </w:rPr>
            </w:pPr>
            <w:r w:rsidRPr="00BD7FDC">
              <w:rPr>
                <w:bCs/>
                <w:sz w:val="20"/>
                <w:lang w:eastAsia="lv-LV"/>
              </w:rPr>
              <w:t>36.</w:t>
            </w:r>
          </w:p>
        </w:tc>
        <w:tc>
          <w:tcPr>
            <w:tcW w:w="8215" w:type="dxa"/>
            <w:vAlign w:val="center"/>
            <w:hideMark/>
          </w:tcPr>
          <w:p w:rsidR="00BD7FDC" w:rsidRPr="00BD7FDC" w:rsidRDefault="00BD7FDC" w:rsidP="0090538F">
            <w:pPr>
              <w:spacing w:after="0"/>
              <w:ind w:firstLine="0"/>
              <w:jc w:val="left"/>
              <w:rPr>
                <w:bCs/>
                <w:sz w:val="20"/>
                <w:lang w:eastAsia="lv-LV"/>
              </w:rPr>
            </w:pPr>
            <w:r w:rsidRPr="00BD7FDC">
              <w:rPr>
                <w:bCs/>
                <w:sz w:val="20"/>
                <w:lang w:eastAsia="lv-LV"/>
              </w:rPr>
              <w:t>Rīgas Stradiņa universitāte</w:t>
            </w:r>
          </w:p>
        </w:tc>
      </w:tr>
    </w:tbl>
    <w:p w:rsidR="00BD7FDC" w:rsidRDefault="00BD7FDC" w:rsidP="00BD7FDC">
      <w:pPr>
        <w:spacing w:after="0"/>
        <w:ind w:firstLine="0"/>
        <w:rPr>
          <w:b/>
          <w:bCs/>
          <w:sz w:val="16"/>
          <w:szCs w:val="24"/>
          <w:lang w:eastAsia="lv-LV"/>
        </w:rPr>
      </w:pPr>
    </w:p>
    <w:p w:rsidR="00BD7FDC" w:rsidRDefault="00BD7FDC" w:rsidP="00BD7FDC">
      <w:pPr>
        <w:spacing w:after="0"/>
        <w:ind w:firstLine="0"/>
        <w:rPr>
          <w:b/>
          <w:bCs/>
          <w:sz w:val="16"/>
          <w:szCs w:val="24"/>
          <w:lang w:eastAsia="lv-LV"/>
        </w:rPr>
      </w:pPr>
    </w:p>
    <w:p w:rsidR="00BD7FDC" w:rsidRPr="00996481" w:rsidRDefault="00BD7FDC" w:rsidP="00BD7FDC">
      <w:pPr>
        <w:spacing w:after="0"/>
        <w:ind w:firstLine="0"/>
        <w:rPr>
          <w:b/>
          <w:bCs/>
          <w:sz w:val="16"/>
          <w:szCs w:val="24"/>
          <w:lang w:eastAsia="lv-LV"/>
        </w:rPr>
      </w:pPr>
    </w:p>
    <w:p w:rsidR="003C0F79" w:rsidRPr="00885482" w:rsidRDefault="00BD7FDC" w:rsidP="00885482">
      <w:pPr>
        <w:pStyle w:val="ListParagraph"/>
        <w:spacing w:before="120"/>
        <w:ind w:left="0" w:firstLine="0"/>
        <w:contextualSpacing w:val="0"/>
        <w:jc w:val="center"/>
        <w:rPr>
          <w:b/>
          <w:bCs/>
          <w:i/>
          <w:szCs w:val="24"/>
          <w:lang w:eastAsia="lv-LV"/>
        </w:rPr>
      </w:pPr>
      <w:r w:rsidRPr="00E73F78">
        <w:rPr>
          <w:b/>
          <w:bCs/>
          <w:i/>
          <w:szCs w:val="24"/>
          <w:lang w:eastAsia="lv-LV"/>
        </w:rPr>
        <w:t>2.</w:t>
      </w:r>
      <w:r w:rsidR="00510902">
        <w:rPr>
          <w:b/>
          <w:bCs/>
          <w:i/>
          <w:szCs w:val="24"/>
          <w:lang w:eastAsia="lv-LV"/>
        </w:rPr>
        <w:t>7</w:t>
      </w:r>
      <w:r>
        <w:rPr>
          <w:b/>
          <w:bCs/>
          <w:i/>
          <w:szCs w:val="24"/>
          <w:lang w:eastAsia="lv-LV"/>
        </w:rPr>
        <w:t>. tabula</w:t>
      </w:r>
      <w:r w:rsidRPr="00E73F78">
        <w:rPr>
          <w:b/>
          <w:bCs/>
          <w:i/>
          <w:szCs w:val="24"/>
          <w:lang w:eastAsia="lv-LV"/>
        </w:rPr>
        <w:t xml:space="preserve"> </w:t>
      </w:r>
      <w:r w:rsidRPr="00BD7FDC">
        <w:rPr>
          <w:b/>
          <w:bCs/>
          <w:szCs w:val="24"/>
          <w:lang w:eastAsia="lv-LV"/>
        </w:rPr>
        <w:t>2021.</w:t>
      </w:r>
      <w:r w:rsidR="00885482">
        <w:rPr>
          <w:b/>
          <w:bCs/>
          <w:szCs w:val="24"/>
          <w:lang w:eastAsia="lv-LV"/>
        </w:rPr>
        <w:t xml:space="preserve"> </w:t>
      </w:r>
      <w:r w:rsidRPr="00BD7FDC">
        <w:rPr>
          <w:b/>
          <w:bCs/>
          <w:szCs w:val="24"/>
          <w:lang w:eastAsia="lv-LV"/>
        </w:rPr>
        <w:t>gadā ministriju padotībā esošās budžeta nefinansētās iestādes</w:t>
      </w:r>
    </w:p>
    <w:tbl>
      <w:tblPr>
        <w:tblStyle w:val="TableGrid"/>
        <w:tblW w:w="0" w:type="auto"/>
        <w:tblLook w:val="04A0" w:firstRow="1" w:lastRow="0" w:firstColumn="1" w:lastColumn="0" w:noHBand="0" w:noVBand="1"/>
      </w:tblPr>
      <w:tblGrid>
        <w:gridCol w:w="846"/>
        <w:gridCol w:w="8215"/>
      </w:tblGrid>
      <w:tr w:rsidR="00BD7FDC" w:rsidRPr="00BD7FDC" w:rsidTr="00BD7FDC">
        <w:trPr>
          <w:trHeight w:val="490"/>
          <w:tblHeader/>
        </w:trPr>
        <w:tc>
          <w:tcPr>
            <w:tcW w:w="846" w:type="dxa"/>
            <w:shd w:val="clear" w:color="auto" w:fill="D9D9D9" w:themeFill="background1" w:themeFillShade="D9"/>
            <w:vAlign w:val="center"/>
            <w:hideMark/>
          </w:tcPr>
          <w:p w:rsidR="00BD7FDC" w:rsidRPr="00BD7FDC" w:rsidRDefault="00BD7FDC" w:rsidP="00BD7FDC">
            <w:pPr>
              <w:spacing w:after="0"/>
              <w:ind w:firstLine="0"/>
              <w:jc w:val="center"/>
              <w:rPr>
                <w:bCs/>
                <w:sz w:val="20"/>
                <w:lang w:eastAsia="lv-LV"/>
              </w:rPr>
            </w:pPr>
            <w:proofErr w:type="spellStart"/>
            <w:r w:rsidRPr="00BD7FDC">
              <w:rPr>
                <w:bCs/>
                <w:sz w:val="20"/>
                <w:lang w:eastAsia="lv-LV"/>
              </w:rPr>
              <w:t>Nr.p.k</w:t>
            </w:r>
            <w:proofErr w:type="spellEnd"/>
            <w:r w:rsidRPr="00BD7FDC">
              <w:rPr>
                <w:bCs/>
                <w:sz w:val="20"/>
                <w:lang w:eastAsia="lv-LV"/>
              </w:rPr>
              <w:t>.</w:t>
            </w:r>
          </w:p>
        </w:tc>
        <w:tc>
          <w:tcPr>
            <w:tcW w:w="8215" w:type="dxa"/>
            <w:shd w:val="clear" w:color="auto" w:fill="D9D9D9" w:themeFill="background1" w:themeFillShade="D9"/>
            <w:vAlign w:val="center"/>
            <w:hideMark/>
          </w:tcPr>
          <w:p w:rsidR="00BD7FDC" w:rsidRPr="00BD7FDC" w:rsidRDefault="00BD7FDC" w:rsidP="00BD7FDC">
            <w:pPr>
              <w:spacing w:after="0"/>
              <w:ind w:firstLine="0"/>
              <w:jc w:val="center"/>
              <w:rPr>
                <w:sz w:val="20"/>
                <w:szCs w:val="22"/>
                <w:lang w:eastAsia="lv-LV"/>
              </w:rPr>
            </w:pPr>
            <w:r w:rsidRPr="00BD7FDC">
              <w:rPr>
                <w:sz w:val="20"/>
                <w:szCs w:val="22"/>
                <w:lang w:eastAsia="lv-LV"/>
              </w:rPr>
              <w:t>Budžeta nefinansētās iestādes nosaukums</w:t>
            </w:r>
          </w:p>
        </w:tc>
      </w:tr>
      <w:tr w:rsidR="00BD7FDC" w:rsidRPr="00BD7FDC" w:rsidTr="0090538F">
        <w:trPr>
          <w:trHeight w:val="137"/>
        </w:trPr>
        <w:tc>
          <w:tcPr>
            <w:tcW w:w="9061" w:type="dxa"/>
            <w:gridSpan w:val="2"/>
            <w:vAlign w:val="center"/>
            <w:hideMark/>
          </w:tcPr>
          <w:p w:rsidR="00BD7FDC" w:rsidRPr="00BD7FDC" w:rsidRDefault="00BD7FDC" w:rsidP="00BD7FDC">
            <w:pPr>
              <w:spacing w:after="0"/>
              <w:ind w:firstLine="0"/>
              <w:jc w:val="center"/>
              <w:rPr>
                <w:b/>
                <w:bCs/>
                <w:sz w:val="20"/>
                <w:lang w:eastAsia="lv-LV"/>
              </w:rPr>
            </w:pPr>
            <w:r w:rsidRPr="00BD7FDC">
              <w:rPr>
                <w:b/>
                <w:sz w:val="20"/>
                <w:szCs w:val="22"/>
              </w:rPr>
              <w:t>Satiksmes ministrija</w:t>
            </w:r>
          </w:p>
        </w:tc>
      </w:tr>
      <w:tr w:rsidR="00BD7FDC" w:rsidRPr="00BD7FDC" w:rsidTr="0090538F">
        <w:trPr>
          <w:trHeight w:val="130"/>
        </w:trPr>
        <w:tc>
          <w:tcPr>
            <w:tcW w:w="846" w:type="dxa"/>
            <w:vAlign w:val="center"/>
            <w:hideMark/>
          </w:tcPr>
          <w:p w:rsidR="00BD7FDC" w:rsidRPr="00BD7FDC" w:rsidRDefault="00BD7FDC" w:rsidP="00BD7FDC">
            <w:pPr>
              <w:spacing w:after="0"/>
              <w:ind w:firstLine="0"/>
              <w:jc w:val="center"/>
              <w:rPr>
                <w:bCs/>
                <w:sz w:val="20"/>
                <w:lang w:eastAsia="lv-LV"/>
              </w:rPr>
            </w:pPr>
            <w:r w:rsidRPr="00BD7FDC">
              <w:rPr>
                <w:bCs/>
                <w:sz w:val="20"/>
                <w:lang w:eastAsia="lv-LV"/>
              </w:rPr>
              <w:t>1.</w:t>
            </w:r>
          </w:p>
        </w:tc>
        <w:tc>
          <w:tcPr>
            <w:tcW w:w="8215" w:type="dxa"/>
            <w:vAlign w:val="center"/>
            <w:hideMark/>
          </w:tcPr>
          <w:p w:rsidR="00BD7FDC" w:rsidRPr="00BD7FDC" w:rsidRDefault="00BD7FDC" w:rsidP="00BD7FDC">
            <w:pPr>
              <w:spacing w:after="0"/>
              <w:ind w:firstLine="0"/>
              <w:jc w:val="left"/>
              <w:rPr>
                <w:bCs/>
                <w:sz w:val="20"/>
                <w:lang w:eastAsia="lv-LV"/>
              </w:rPr>
            </w:pPr>
            <w:r w:rsidRPr="00BD7FDC">
              <w:rPr>
                <w:sz w:val="20"/>
                <w:szCs w:val="22"/>
              </w:rPr>
              <w:t>Valsts dzelzceļa tehniskā inspekcija</w:t>
            </w:r>
          </w:p>
        </w:tc>
      </w:tr>
      <w:tr w:rsidR="00BD7FDC" w:rsidRPr="00BD7FDC" w:rsidTr="0090538F">
        <w:trPr>
          <w:trHeight w:val="175"/>
        </w:trPr>
        <w:tc>
          <w:tcPr>
            <w:tcW w:w="846" w:type="dxa"/>
            <w:vAlign w:val="center"/>
            <w:hideMark/>
          </w:tcPr>
          <w:p w:rsidR="00BD7FDC" w:rsidRPr="00BD7FDC" w:rsidRDefault="00BD7FDC" w:rsidP="00BD7FDC">
            <w:pPr>
              <w:spacing w:after="0"/>
              <w:ind w:firstLine="0"/>
              <w:jc w:val="center"/>
              <w:rPr>
                <w:bCs/>
                <w:sz w:val="20"/>
                <w:lang w:eastAsia="lv-LV"/>
              </w:rPr>
            </w:pPr>
            <w:r w:rsidRPr="00BD7FDC">
              <w:rPr>
                <w:bCs/>
                <w:sz w:val="20"/>
                <w:lang w:eastAsia="lv-LV"/>
              </w:rPr>
              <w:t>2.</w:t>
            </w:r>
          </w:p>
        </w:tc>
        <w:tc>
          <w:tcPr>
            <w:tcW w:w="8215" w:type="dxa"/>
            <w:vAlign w:val="center"/>
            <w:hideMark/>
          </w:tcPr>
          <w:p w:rsidR="00BD7FDC" w:rsidRPr="00BD7FDC" w:rsidRDefault="00BD7FDC" w:rsidP="00BD7FDC">
            <w:pPr>
              <w:spacing w:after="0"/>
              <w:ind w:firstLine="0"/>
              <w:jc w:val="left"/>
              <w:rPr>
                <w:bCs/>
                <w:sz w:val="20"/>
                <w:lang w:eastAsia="lv-LV"/>
              </w:rPr>
            </w:pPr>
            <w:r w:rsidRPr="00BD7FDC">
              <w:rPr>
                <w:sz w:val="20"/>
                <w:szCs w:val="22"/>
              </w:rPr>
              <w:t>Valsts dzelzceļa administrācija</w:t>
            </w:r>
          </w:p>
        </w:tc>
      </w:tr>
      <w:tr w:rsidR="00BD7FDC" w:rsidRPr="00BD7FDC" w:rsidTr="0090538F">
        <w:trPr>
          <w:trHeight w:val="222"/>
        </w:trPr>
        <w:tc>
          <w:tcPr>
            <w:tcW w:w="846" w:type="dxa"/>
            <w:vAlign w:val="center"/>
            <w:hideMark/>
          </w:tcPr>
          <w:p w:rsidR="00BD7FDC" w:rsidRPr="00BD7FDC" w:rsidRDefault="00BD7FDC" w:rsidP="00BD7FDC">
            <w:pPr>
              <w:spacing w:after="0"/>
              <w:ind w:firstLine="0"/>
              <w:jc w:val="center"/>
              <w:rPr>
                <w:bCs/>
                <w:sz w:val="20"/>
                <w:lang w:eastAsia="lv-LV"/>
              </w:rPr>
            </w:pPr>
            <w:r w:rsidRPr="00BD7FDC">
              <w:rPr>
                <w:bCs/>
                <w:sz w:val="20"/>
                <w:lang w:eastAsia="lv-LV"/>
              </w:rPr>
              <w:t>3.</w:t>
            </w:r>
          </w:p>
        </w:tc>
        <w:tc>
          <w:tcPr>
            <w:tcW w:w="8215" w:type="dxa"/>
            <w:vAlign w:val="center"/>
            <w:hideMark/>
          </w:tcPr>
          <w:p w:rsidR="00BD7FDC" w:rsidRPr="00BD7FDC" w:rsidRDefault="00BD7FDC" w:rsidP="00BD7FDC">
            <w:pPr>
              <w:spacing w:after="0"/>
              <w:ind w:firstLine="0"/>
              <w:jc w:val="left"/>
              <w:rPr>
                <w:bCs/>
                <w:sz w:val="20"/>
                <w:lang w:eastAsia="lv-LV"/>
              </w:rPr>
            </w:pPr>
            <w:r w:rsidRPr="00BD7FDC">
              <w:rPr>
                <w:sz w:val="20"/>
                <w:szCs w:val="22"/>
              </w:rPr>
              <w:t>Transporta nelaimes gadījumu un incidentu izmeklēšanas birojs</w:t>
            </w:r>
          </w:p>
        </w:tc>
      </w:tr>
      <w:tr w:rsidR="00BD7FDC" w:rsidRPr="00BD7FDC" w:rsidTr="0090538F">
        <w:trPr>
          <w:trHeight w:val="125"/>
        </w:trPr>
        <w:tc>
          <w:tcPr>
            <w:tcW w:w="846" w:type="dxa"/>
            <w:vAlign w:val="center"/>
            <w:hideMark/>
          </w:tcPr>
          <w:p w:rsidR="00BD7FDC" w:rsidRPr="00BD7FDC" w:rsidRDefault="00BD7FDC" w:rsidP="00BD7FDC">
            <w:pPr>
              <w:spacing w:after="0"/>
              <w:ind w:firstLine="0"/>
              <w:jc w:val="center"/>
              <w:rPr>
                <w:bCs/>
                <w:sz w:val="20"/>
                <w:lang w:eastAsia="lv-LV"/>
              </w:rPr>
            </w:pPr>
            <w:r w:rsidRPr="00BD7FDC">
              <w:rPr>
                <w:bCs/>
                <w:sz w:val="20"/>
                <w:lang w:eastAsia="lv-LV"/>
              </w:rPr>
              <w:t>4.</w:t>
            </w:r>
          </w:p>
        </w:tc>
        <w:tc>
          <w:tcPr>
            <w:tcW w:w="8215" w:type="dxa"/>
            <w:vAlign w:val="center"/>
            <w:hideMark/>
          </w:tcPr>
          <w:p w:rsidR="00BD7FDC" w:rsidRPr="00BD7FDC" w:rsidRDefault="00BD7FDC" w:rsidP="00BD7FDC">
            <w:pPr>
              <w:spacing w:after="0"/>
              <w:ind w:firstLine="0"/>
              <w:jc w:val="left"/>
              <w:rPr>
                <w:sz w:val="20"/>
                <w:szCs w:val="22"/>
              </w:rPr>
            </w:pPr>
            <w:r w:rsidRPr="00BD7FDC">
              <w:rPr>
                <w:sz w:val="20"/>
                <w:szCs w:val="22"/>
              </w:rPr>
              <w:t>Valsts aģentūra “Civilās aviācijas aģentūra”</w:t>
            </w:r>
          </w:p>
        </w:tc>
      </w:tr>
      <w:tr w:rsidR="00BD7FDC" w:rsidRPr="00BD7FDC" w:rsidTr="0090538F">
        <w:trPr>
          <w:trHeight w:val="157"/>
        </w:trPr>
        <w:tc>
          <w:tcPr>
            <w:tcW w:w="9061" w:type="dxa"/>
            <w:gridSpan w:val="2"/>
            <w:vAlign w:val="center"/>
          </w:tcPr>
          <w:p w:rsidR="00BD7FDC" w:rsidRPr="00BD7FDC" w:rsidRDefault="00BD7FDC" w:rsidP="00BD7FDC">
            <w:pPr>
              <w:spacing w:after="0"/>
              <w:ind w:firstLine="0"/>
              <w:jc w:val="center"/>
              <w:rPr>
                <w:bCs/>
                <w:sz w:val="20"/>
                <w:lang w:eastAsia="lv-LV"/>
              </w:rPr>
            </w:pPr>
            <w:r w:rsidRPr="00BD7FDC">
              <w:rPr>
                <w:b/>
                <w:sz w:val="20"/>
                <w:szCs w:val="22"/>
                <w:lang w:eastAsia="lv-LV"/>
              </w:rPr>
              <w:t>Tieslietu ministrija</w:t>
            </w:r>
          </w:p>
        </w:tc>
      </w:tr>
      <w:tr w:rsidR="00BD7FDC" w:rsidRPr="00BD7FDC" w:rsidTr="0090538F">
        <w:trPr>
          <w:trHeight w:val="203"/>
        </w:trPr>
        <w:tc>
          <w:tcPr>
            <w:tcW w:w="846" w:type="dxa"/>
            <w:vAlign w:val="center"/>
            <w:hideMark/>
          </w:tcPr>
          <w:p w:rsidR="00BD7FDC" w:rsidRPr="00BD7FDC" w:rsidRDefault="00BD7FDC" w:rsidP="00BD7FDC">
            <w:pPr>
              <w:spacing w:after="0"/>
              <w:ind w:firstLine="0"/>
              <w:jc w:val="center"/>
              <w:rPr>
                <w:bCs/>
                <w:sz w:val="20"/>
                <w:lang w:eastAsia="lv-LV"/>
              </w:rPr>
            </w:pPr>
            <w:r>
              <w:rPr>
                <w:bCs/>
                <w:sz w:val="20"/>
                <w:lang w:eastAsia="lv-LV"/>
              </w:rPr>
              <w:t>5</w:t>
            </w:r>
            <w:r w:rsidRPr="00BD7FDC">
              <w:rPr>
                <w:bCs/>
                <w:sz w:val="20"/>
                <w:lang w:eastAsia="lv-LV"/>
              </w:rPr>
              <w:t>.</w:t>
            </w:r>
          </w:p>
        </w:tc>
        <w:tc>
          <w:tcPr>
            <w:tcW w:w="8215" w:type="dxa"/>
            <w:vAlign w:val="center"/>
            <w:hideMark/>
          </w:tcPr>
          <w:p w:rsidR="00BD7FDC" w:rsidRPr="00BD7FDC" w:rsidRDefault="00BD7FDC" w:rsidP="00BD7FDC">
            <w:pPr>
              <w:spacing w:after="0"/>
              <w:ind w:firstLine="0"/>
              <w:jc w:val="left"/>
              <w:rPr>
                <w:bCs/>
                <w:sz w:val="20"/>
                <w:lang w:eastAsia="lv-LV"/>
              </w:rPr>
            </w:pPr>
            <w:r w:rsidRPr="00BD7FDC">
              <w:rPr>
                <w:sz w:val="20"/>
                <w:szCs w:val="22"/>
                <w:lang w:eastAsia="lv-LV"/>
              </w:rPr>
              <w:t>Latvijas Republikas Patentu valde</w:t>
            </w:r>
          </w:p>
        </w:tc>
      </w:tr>
      <w:tr w:rsidR="00BD7FDC" w:rsidRPr="00BD7FDC" w:rsidTr="00BD7FDC">
        <w:trPr>
          <w:trHeight w:val="281"/>
        </w:trPr>
        <w:tc>
          <w:tcPr>
            <w:tcW w:w="9061" w:type="dxa"/>
            <w:gridSpan w:val="2"/>
            <w:vAlign w:val="center"/>
            <w:hideMark/>
          </w:tcPr>
          <w:p w:rsidR="00BD7FDC" w:rsidRPr="00BD7FDC" w:rsidRDefault="00BD7FDC" w:rsidP="00BD7FDC">
            <w:pPr>
              <w:spacing w:after="0"/>
              <w:ind w:firstLine="0"/>
              <w:jc w:val="center"/>
              <w:rPr>
                <w:bCs/>
                <w:sz w:val="20"/>
                <w:lang w:eastAsia="lv-LV"/>
              </w:rPr>
            </w:pPr>
            <w:r w:rsidRPr="00BD7FDC">
              <w:rPr>
                <w:b/>
                <w:sz w:val="20"/>
                <w:szCs w:val="22"/>
                <w:lang w:eastAsia="lv-LV"/>
              </w:rPr>
              <w:t>Veselības ministrija</w:t>
            </w:r>
          </w:p>
        </w:tc>
      </w:tr>
      <w:tr w:rsidR="00BD7FDC" w:rsidRPr="00BD7FDC" w:rsidTr="0090538F">
        <w:trPr>
          <w:trHeight w:val="153"/>
        </w:trPr>
        <w:tc>
          <w:tcPr>
            <w:tcW w:w="846" w:type="dxa"/>
            <w:vAlign w:val="center"/>
            <w:hideMark/>
          </w:tcPr>
          <w:p w:rsidR="00BD7FDC" w:rsidRPr="00BD7FDC" w:rsidRDefault="00885482" w:rsidP="00BD7FDC">
            <w:pPr>
              <w:spacing w:after="0"/>
              <w:ind w:firstLine="0"/>
              <w:jc w:val="center"/>
              <w:rPr>
                <w:bCs/>
                <w:sz w:val="20"/>
                <w:lang w:eastAsia="lv-LV"/>
              </w:rPr>
            </w:pPr>
            <w:r>
              <w:rPr>
                <w:bCs/>
                <w:sz w:val="20"/>
                <w:lang w:eastAsia="lv-LV"/>
              </w:rPr>
              <w:t>6</w:t>
            </w:r>
            <w:r w:rsidR="00BD7FDC" w:rsidRPr="00BD7FDC">
              <w:rPr>
                <w:bCs/>
                <w:sz w:val="20"/>
                <w:lang w:eastAsia="lv-LV"/>
              </w:rPr>
              <w:t>.</w:t>
            </w:r>
          </w:p>
        </w:tc>
        <w:tc>
          <w:tcPr>
            <w:tcW w:w="8215" w:type="dxa"/>
            <w:vAlign w:val="center"/>
            <w:hideMark/>
          </w:tcPr>
          <w:p w:rsidR="00BD7FDC" w:rsidRPr="00BD7FDC" w:rsidRDefault="00BD7FDC" w:rsidP="00BD7FDC">
            <w:pPr>
              <w:spacing w:after="0"/>
              <w:ind w:firstLine="0"/>
              <w:jc w:val="left"/>
              <w:rPr>
                <w:bCs/>
                <w:sz w:val="20"/>
                <w:lang w:eastAsia="lv-LV"/>
              </w:rPr>
            </w:pPr>
            <w:r w:rsidRPr="00BD7FDC">
              <w:rPr>
                <w:sz w:val="20"/>
                <w:szCs w:val="22"/>
                <w:lang w:eastAsia="lv-LV"/>
              </w:rPr>
              <w:t>Zāļu valsts aģentūra</w:t>
            </w:r>
          </w:p>
        </w:tc>
      </w:tr>
    </w:tbl>
    <w:p w:rsidR="00EA09DB" w:rsidRPr="00EA09DB" w:rsidRDefault="00EA09DB" w:rsidP="00EA09DB">
      <w:pPr>
        <w:spacing w:before="120"/>
        <w:ind w:firstLine="0"/>
      </w:pPr>
    </w:p>
    <w:sectPr w:rsidR="00EA09DB" w:rsidRPr="00EA09DB" w:rsidSect="00552482">
      <w:headerReference w:type="even" r:id="rId10"/>
      <w:headerReference w:type="default" r:id="rId11"/>
      <w:footerReference w:type="default" r:id="rId12"/>
      <w:footerReference w:type="first" r:id="rId13"/>
      <w:pgSz w:w="11906" w:h="16838" w:code="9"/>
      <w:pgMar w:top="1418" w:right="1134" w:bottom="1134" w:left="1701" w:header="720" w:footer="720" w:gutter="0"/>
      <w:pgNumType w:start="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8F" w:rsidRDefault="0090538F">
      <w:r>
        <w:separator/>
      </w:r>
    </w:p>
  </w:endnote>
  <w:endnote w:type="continuationSeparator" w:id="0">
    <w:p w:rsidR="0090538F" w:rsidRDefault="0090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Footer"/>
    </w:pPr>
    <w:r>
      <w:rPr>
        <w:noProof/>
      </w:rPr>
      <w:fldChar w:fldCharType="begin"/>
    </w:r>
    <w:r>
      <w:rPr>
        <w:noProof/>
      </w:rPr>
      <w:instrText xml:space="preserve"> FILENAME   \* MERGEFORMAT </w:instrText>
    </w:r>
    <w:r>
      <w:rPr>
        <w:noProof/>
      </w:rPr>
      <w:fldChar w:fldCharType="separate"/>
    </w:r>
    <w:r>
      <w:rPr>
        <w:noProof/>
      </w:rPr>
      <w:t>FMPask_2_121020_proj2021.docx</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Footer"/>
    </w:pPr>
    <w:r>
      <w:rPr>
        <w:sz w:val="24"/>
      </w:rPr>
      <w:fldChar w:fldCharType="begin"/>
    </w:r>
    <w:r>
      <w:rPr>
        <w:sz w:val="24"/>
      </w:rPr>
      <w:instrText xml:space="preserve"> FILENAME </w:instrText>
    </w:r>
    <w:r>
      <w:rPr>
        <w:sz w:val="24"/>
      </w:rPr>
      <w:fldChar w:fldCharType="separate"/>
    </w:r>
    <w:r>
      <w:rPr>
        <w:noProof/>
        <w:sz w:val="24"/>
      </w:rPr>
      <w:t>FMPask_D_071016_proj2017.docx</w:t>
    </w:r>
    <w:r>
      <w:rPr>
        <w:sz w:val="24"/>
      </w:rPr>
      <w:fldChar w:fldCharType="end"/>
    </w:r>
    <w:r>
      <w:rPr>
        <w:sz w:val="24"/>
      </w:rPr>
      <w:t xml:space="preserve">; </w:t>
    </w:r>
    <w:r>
      <w:rPr>
        <w:sz w:val="24"/>
      </w:rPr>
      <w:fldChar w:fldCharType="begin"/>
    </w:r>
    <w:r>
      <w:rPr>
        <w:sz w:val="24"/>
      </w:rPr>
      <w:instrText xml:space="preserve"> TITLE  \* MERGEFORMAT </w:instrText>
    </w:r>
    <w:r>
      <w:rPr>
        <w:sz w:val="24"/>
      </w:rPr>
      <w:fldChar w:fldCharType="separate"/>
    </w:r>
    <w:r w:rsidRPr="00C7433B">
      <w:rPr>
        <w:sz w:val="24"/>
      </w:rPr>
      <w:t>Likumprojekta "Par valsts budžetu 2017.gadam" paskaidrojumi. 2.nodaļa Fiskālais apskats</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8F" w:rsidRDefault="0090538F" w:rsidP="00645A26">
      <w:pPr>
        <w:spacing w:after="0"/>
        <w:ind w:firstLine="0"/>
      </w:pPr>
      <w:r>
        <w:separator/>
      </w:r>
    </w:p>
  </w:footnote>
  <w:footnote w:type="continuationSeparator" w:id="0">
    <w:p w:rsidR="0090538F" w:rsidRDefault="0090538F" w:rsidP="00DB6196">
      <w:pPr>
        <w:spacing w:after="0"/>
        <w:ind w:firstLine="0"/>
      </w:pPr>
      <w:r>
        <w:continuationSeparator/>
      </w:r>
    </w:p>
  </w:footnote>
  <w:footnote w:id="1">
    <w:p w:rsidR="0090538F" w:rsidRPr="004129D2" w:rsidRDefault="0090538F" w:rsidP="00D76300">
      <w:pPr>
        <w:pStyle w:val="FootnoteText"/>
        <w:jc w:val="both"/>
        <w:rPr>
          <w:sz w:val="17"/>
          <w:szCs w:val="17"/>
        </w:rPr>
      </w:pPr>
      <w:r w:rsidRPr="004129D2">
        <w:rPr>
          <w:rStyle w:val="FootnoteReference"/>
          <w:sz w:val="17"/>
          <w:szCs w:val="17"/>
        </w:rPr>
        <w:footnoteRef/>
      </w:r>
      <w:r w:rsidRPr="004129D2">
        <w:rPr>
          <w:sz w:val="17"/>
          <w:szCs w:val="17"/>
        </w:rPr>
        <w:t xml:space="preserve"> Eiropas Parlamenta un Padomes regula (ES) Nr. 549/2013 par Eiropas nacionālo un reģionālo kontu sistēmu Eiropas Savienībā.</w:t>
      </w:r>
    </w:p>
  </w:footnote>
  <w:footnote w:id="2">
    <w:p w:rsidR="0090538F" w:rsidRPr="004129D2" w:rsidRDefault="0090538F" w:rsidP="00D76300">
      <w:pPr>
        <w:pStyle w:val="FootnoteText"/>
        <w:rPr>
          <w:sz w:val="17"/>
          <w:szCs w:val="17"/>
        </w:rPr>
      </w:pPr>
      <w:r w:rsidRPr="004129D2">
        <w:rPr>
          <w:rStyle w:val="FootnoteReference"/>
          <w:sz w:val="17"/>
          <w:szCs w:val="17"/>
        </w:rPr>
        <w:footnoteRef/>
      </w:r>
      <w:r w:rsidRPr="004129D2">
        <w:rPr>
          <w:sz w:val="17"/>
          <w:szCs w:val="17"/>
        </w:rPr>
        <w:t xml:space="preserve"> Valsts (S130130) vai pašvaldību struktūru (S130330) kontrolētās un finansētās komercsabiedrības. Komersantu saraksts ir pieejams CSP mājas lapā </w:t>
      </w:r>
      <w:r w:rsidRPr="006B1300">
        <w:rPr>
          <w:sz w:val="17"/>
          <w:szCs w:val="17"/>
        </w:rPr>
        <w:t>https://www.csb.gov.lv/lv/statistika/klasifikacijas/institucionalo-sektoru-klasifikacija/kodi</w:t>
      </w:r>
      <w:r w:rsidRPr="007B0F0A">
        <w:rPr>
          <w:rStyle w:val="Hyperlink"/>
          <w:sz w:val="17"/>
          <w:szCs w:val="17"/>
        </w:rPr>
        <w:t>.</w:t>
      </w:r>
    </w:p>
  </w:footnote>
  <w:footnote w:id="3">
    <w:p w:rsidR="0090538F" w:rsidRPr="004129D2" w:rsidRDefault="0090538F" w:rsidP="00D76300">
      <w:pPr>
        <w:pStyle w:val="FootnoteText"/>
        <w:rPr>
          <w:sz w:val="17"/>
          <w:szCs w:val="17"/>
        </w:rPr>
      </w:pPr>
      <w:r w:rsidRPr="004129D2">
        <w:rPr>
          <w:rStyle w:val="FootnoteReference"/>
          <w:sz w:val="17"/>
          <w:szCs w:val="17"/>
        </w:rPr>
        <w:footnoteRef/>
      </w:r>
      <w:r w:rsidRPr="004129D2">
        <w:rPr>
          <w:sz w:val="17"/>
          <w:szCs w:val="17"/>
        </w:rPr>
        <w:t xml:space="preserve"> No valsts budžeta daļēji finansēto atvasināto publisko personu (S130160) un budžeta nefinansēto iestāžu budžeti (S130150). Iestāžu saraksts pieejams turpat, CSP mājas lapā.</w:t>
      </w:r>
    </w:p>
  </w:footnote>
  <w:footnote w:id="4">
    <w:p w:rsidR="00510902" w:rsidRPr="00F243B2" w:rsidRDefault="00510902" w:rsidP="00510902">
      <w:pPr>
        <w:pStyle w:val="FootnoteText"/>
        <w:rPr>
          <w:sz w:val="16"/>
          <w:szCs w:val="16"/>
        </w:rPr>
      </w:pPr>
      <w:r w:rsidRPr="00F243B2">
        <w:rPr>
          <w:rStyle w:val="FootnoteReference"/>
          <w:sz w:val="16"/>
          <w:szCs w:val="16"/>
        </w:rPr>
        <w:footnoteRef/>
      </w:r>
      <w:r w:rsidRPr="00F243B2">
        <w:rPr>
          <w:sz w:val="16"/>
          <w:szCs w:val="16"/>
        </w:rPr>
        <w:t xml:space="preserve"> Nodokļu ieņēmumi (</w:t>
      </w:r>
      <w:r w:rsidRPr="00F243B2">
        <w:rPr>
          <w:i/>
          <w:noProof/>
          <w:sz w:val="16"/>
          <w:szCs w:val="16"/>
          <w:lang w:val="en-US"/>
        </w:rPr>
        <w:t>Tax burden</w:t>
      </w:r>
      <w:r w:rsidRPr="00F243B2">
        <w:rPr>
          <w:sz w:val="16"/>
          <w:szCs w:val="16"/>
        </w:rPr>
        <w:t>) atbilstoši EKS metodoloģijai (D.2 (</w:t>
      </w:r>
      <w:r w:rsidRPr="00F243B2">
        <w:rPr>
          <w:i/>
          <w:noProof/>
          <w:sz w:val="16"/>
          <w:szCs w:val="16"/>
          <w:lang w:val="en-US"/>
        </w:rPr>
        <w:t>including those collected by EU</w:t>
      </w:r>
      <w:r w:rsidRPr="00F243B2">
        <w:rPr>
          <w:sz w:val="16"/>
          <w:szCs w:val="16"/>
        </w:rPr>
        <w:t>) + D.5 + D.61 + D.91 - D.995).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0538F" w:rsidRDefault="0090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74387"/>
      <w:docPartObj>
        <w:docPartGallery w:val="Page Numbers (Top of Page)"/>
        <w:docPartUnique/>
      </w:docPartObj>
    </w:sdtPr>
    <w:sdtEndPr>
      <w:rPr>
        <w:noProof/>
      </w:rPr>
    </w:sdtEndPr>
    <w:sdtContent>
      <w:p w:rsidR="0090538F" w:rsidRDefault="0090538F" w:rsidP="00DB77B1">
        <w:pPr>
          <w:pStyle w:val="Header"/>
          <w:tabs>
            <w:tab w:val="left" w:pos="4275"/>
            <w:tab w:val="center" w:pos="4535"/>
          </w:tabs>
          <w:jc w:val="left"/>
          <w:rPr>
            <w:noProof/>
          </w:rPr>
        </w:pPr>
        <w:r>
          <w:tab/>
        </w:r>
        <w:r>
          <w:tab/>
        </w:r>
        <w:r>
          <w:tab/>
        </w:r>
        <w:r>
          <w:fldChar w:fldCharType="begin"/>
        </w:r>
        <w:r>
          <w:instrText xml:space="preserve"> PAGE   \* MERGEFORMAT </w:instrText>
        </w:r>
        <w:r>
          <w:fldChar w:fldCharType="separate"/>
        </w:r>
        <w:r w:rsidR="00C503FF">
          <w:rPr>
            <w:noProof/>
          </w:rPr>
          <w:t>67</w:t>
        </w:r>
        <w:r>
          <w:rPr>
            <w:noProof/>
          </w:rPr>
          <w:fldChar w:fldCharType="end"/>
        </w:r>
      </w:p>
      <w:p w:rsidR="0090538F" w:rsidRDefault="00C503FF">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2D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5787C"/>
    <w:multiLevelType w:val="hybridMultilevel"/>
    <w:tmpl w:val="0650A63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3E345A2"/>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574CF1"/>
    <w:multiLevelType w:val="hybridMultilevel"/>
    <w:tmpl w:val="1D00EC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F1B3975"/>
    <w:multiLevelType w:val="hybridMultilevel"/>
    <w:tmpl w:val="0AB892E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075"/>
    <w:multiLevelType w:val="hybridMultilevel"/>
    <w:tmpl w:val="6E8E976C"/>
    <w:lvl w:ilvl="0" w:tplc="04260011">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B562C"/>
    <w:multiLevelType w:val="hybridMultilevel"/>
    <w:tmpl w:val="5C6AEA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AB36F4F"/>
    <w:multiLevelType w:val="hybridMultilevel"/>
    <w:tmpl w:val="EC1EE3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3162AD9"/>
    <w:multiLevelType w:val="hybridMultilevel"/>
    <w:tmpl w:val="E272E7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697A4B"/>
    <w:multiLevelType w:val="hybridMultilevel"/>
    <w:tmpl w:val="B4CC8A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84522B4"/>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BA18E8"/>
    <w:multiLevelType w:val="hybridMultilevel"/>
    <w:tmpl w:val="562C2B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1A426B3"/>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71F619D"/>
    <w:multiLevelType w:val="multilevel"/>
    <w:tmpl w:val="2416A45E"/>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38207461"/>
    <w:multiLevelType w:val="hybridMultilevel"/>
    <w:tmpl w:val="FA24CD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3D842B15"/>
    <w:multiLevelType w:val="hybridMultilevel"/>
    <w:tmpl w:val="8EC20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C24A34"/>
    <w:multiLevelType w:val="hybridMultilevel"/>
    <w:tmpl w:val="CC58C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0" w15:restartNumberingAfterBreak="0">
    <w:nsid w:val="3FE02F01"/>
    <w:multiLevelType w:val="hybridMultilevel"/>
    <w:tmpl w:val="FAD8B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B02F20"/>
    <w:multiLevelType w:val="hybridMultilevel"/>
    <w:tmpl w:val="16DA0D08"/>
    <w:lvl w:ilvl="0" w:tplc="41907E88">
      <w:start w:val="1"/>
      <w:numFmt w:val="decimal"/>
      <w:lvlText w:val="%1."/>
      <w:lvlJc w:val="left"/>
      <w:pPr>
        <w:ind w:left="1095" w:hanging="284"/>
        <w:jc w:val="left"/>
      </w:pPr>
      <w:rPr>
        <w:rFonts w:ascii="Times New Roman" w:eastAsia="Times New Roman" w:hAnsi="Times New Roman" w:cs="Times New Roman" w:hint="default"/>
        <w:spacing w:val="-23"/>
        <w:w w:val="99"/>
        <w:sz w:val="24"/>
        <w:szCs w:val="24"/>
        <w:lang w:val="lv-LV" w:eastAsia="lv-LV" w:bidi="lv-LV"/>
      </w:rPr>
    </w:lvl>
    <w:lvl w:ilvl="1" w:tplc="C10ECE40">
      <w:start w:val="1"/>
      <w:numFmt w:val="decimal"/>
      <w:lvlText w:val="%2."/>
      <w:lvlJc w:val="left"/>
      <w:pPr>
        <w:ind w:left="1335" w:hanging="240"/>
        <w:jc w:val="left"/>
      </w:pPr>
      <w:rPr>
        <w:rFonts w:ascii="Times New Roman" w:eastAsia="Times New Roman" w:hAnsi="Times New Roman" w:cs="Times New Roman" w:hint="default"/>
        <w:spacing w:val="-2"/>
        <w:w w:val="100"/>
        <w:sz w:val="24"/>
        <w:szCs w:val="24"/>
        <w:lang w:val="lv-LV" w:eastAsia="lv-LV" w:bidi="lv-LV"/>
      </w:rPr>
    </w:lvl>
    <w:lvl w:ilvl="2" w:tplc="F1F255C4">
      <w:numFmt w:val="bullet"/>
      <w:lvlText w:val="•"/>
      <w:lvlJc w:val="left"/>
      <w:pPr>
        <w:ind w:left="2222" w:hanging="240"/>
      </w:pPr>
      <w:rPr>
        <w:rFonts w:hint="default"/>
        <w:lang w:val="lv-LV" w:eastAsia="lv-LV" w:bidi="lv-LV"/>
      </w:rPr>
    </w:lvl>
    <w:lvl w:ilvl="3" w:tplc="DC367FC6">
      <w:numFmt w:val="bullet"/>
      <w:lvlText w:val="•"/>
      <w:lvlJc w:val="left"/>
      <w:pPr>
        <w:ind w:left="3105" w:hanging="240"/>
      </w:pPr>
      <w:rPr>
        <w:rFonts w:hint="default"/>
        <w:lang w:val="lv-LV" w:eastAsia="lv-LV" w:bidi="lv-LV"/>
      </w:rPr>
    </w:lvl>
    <w:lvl w:ilvl="4" w:tplc="37342AC6">
      <w:numFmt w:val="bullet"/>
      <w:lvlText w:val="•"/>
      <w:lvlJc w:val="left"/>
      <w:pPr>
        <w:ind w:left="3988" w:hanging="240"/>
      </w:pPr>
      <w:rPr>
        <w:rFonts w:hint="default"/>
        <w:lang w:val="lv-LV" w:eastAsia="lv-LV" w:bidi="lv-LV"/>
      </w:rPr>
    </w:lvl>
    <w:lvl w:ilvl="5" w:tplc="34CCDA4A">
      <w:numFmt w:val="bullet"/>
      <w:lvlText w:val="•"/>
      <w:lvlJc w:val="left"/>
      <w:pPr>
        <w:ind w:left="4871" w:hanging="240"/>
      </w:pPr>
      <w:rPr>
        <w:rFonts w:hint="default"/>
        <w:lang w:val="lv-LV" w:eastAsia="lv-LV" w:bidi="lv-LV"/>
      </w:rPr>
    </w:lvl>
    <w:lvl w:ilvl="6" w:tplc="E5CC7FD0">
      <w:numFmt w:val="bullet"/>
      <w:lvlText w:val="•"/>
      <w:lvlJc w:val="left"/>
      <w:pPr>
        <w:ind w:left="5754" w:hanging="240"/>
      </w:pPr>
      <w:rPr>
        <w:rFonts w:hint="default"/>
        <w:lang w:val="lv-LV" w:eastAsia="lv-LV" w:bidi="lv-LV"/>
      </w:rPr>
    </w:lvl>
    <w:lvl w:ilvl="7" w:tplc="D05C14C6">
      <w:numFmt w:val="bullet"/>
      <w:lvlText w:val="•"/>
      <w:lvlJc w:val="left"/>
      <w:pPr>
        <w:ind w:left="6637" w:hanging="240"/>
      </w:pPr>
      <w:rPr>
        <w:rFonts w:hint="default"/>
        <w:lang w:val="lv-LV" w:eastAsia="lv-LV" w:bidi="lv-LV"/>
      </w:rPr>
    </w:lvl>
    <w:lvl w:ilvl="8" w:tplc="6EA881A2">
      <w:numFmt w:val="bullet"/>
      <w:lvlText w:val="•"/>
      <w:lvlJc w:val="left"/>
      <w:pPr>
        <w:ind w:left="7520" w:hanging="240"/>
      </w:pPr>
      <w:rPr>
        <w:rFonts w:hint="default"/>
        <w:lang w:val="lv-LV" w:eastAsia="lv-LV" w:bidi="lv-LV"/>
      </w:rPr>
    </w:lvl>
  </w:abstractNum>
  <w:abstractNum w:abstractNumId="22" w15:restartNumberingAfterBreak="0">
    <w:nsid w:val="53287646"/>
    <w:multiLevelType w:val="hybridMultilevel"/>
    <w:tmpl w:val="728CEBA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32B6B0E"/>
    <w:multiLevelType w:val="hybridMultilevel"/>
    <w:tmpl w:val="A7420C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7BF1239"/>
    <w:multiLevelType w:val="hybridMultilevel"/>
    <w:tmpl w:val="A6660AE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5D85735B"/>
    <w:multiLevelType w:val="multilevel"/>
    <w:tmpl w:val="4F8885D2"/>
    <w:lvl w:ilvl="0">
      <w:start w:val="2"/>
      <w:numFmt w:val="decimal"/>
      <w:lvlText w:val="%1."/>
      <w:lvlJc w:val="left"/>
      <w:pPr>
        <w:ind w:left="540" w:hanging="54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DA71F02"/>
    <w:multiLevelType w:val="hybridMultilevel"/>
    <w:tmpl w:val="B2D06DF2"/>
    <w:lvl w:ilvl="0" w:tplc="8522C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220B79"/>
    <w:multiLevelType w:val="hybridMultilevel"/>
    <w:tmpl w:val="9C4448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64E146EE"/>
    <w:multiLevelType w:val="hybridMultilevel"/>
    <w:tmpl w:val="92B80DA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65A64CFD"/>
    <w:multiLevelType w:val="hybridMultilevel"/>
    <w:tmpl w:val="B9BAB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422E86"/>
    <w:multiLevelType w:val="hybridMultilevel"/>
    <w:tmpl w:val="19E84D30"/>
    <w:lvl w:ilvl="0" w:tplc="04260005">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1" w15:restartNumberingAfterBreak="0">
    <w:nsid w:val="6AA80152"/>
    <w:multiLevelType w:val="hybridMultilevel"/>
    <w:tmpl w:val="AC360ED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C5957D7"/>
    <w:multiLevelType w:val="hybridMultilevel"/>
    <w:tmpl w:val="545485F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F124485"/>
    <w:multiLevelType w:val="hybridMultilevel"/>
    <w:tmpl w:val="AF84DB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0012FB7"/>
    <w:multiLevelType w:val="hybridMultilevel"/>
    <w:tmpl w:val="93AE1A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10358E2"/>
    <w:multiLevelType w:val="hybridMultilevel"/>
    <w:tmpl w:val="2BE8B6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73E6081F"/>
    <w:multiLevelType w:val="hybridMultilevel"/>
    <w:tmpl w:val="71F418D4"/>
    <w:lvl w:ilvl="0" w:tplc="04260001">
      <w:start w:val="1"/>
      <w:numFmt w:val="bullet"/>
      <w:lvlText w:val=""/>
      <w:lvlJc w:val="left"/>
      <w:pPr>
        <w:ind w:left="1440" w:hanging="360"/>
      </w:pPr>
      <w:rPr>
        <w:rFonts w:ascii="Symbol" w:hAnsi="Symbol" w:hint="default"/>
      </w:rPr>
    </w:lvl>
    <w:lvl w:ilvl="1" w:tplc="F7889D16">
      <w:numFmt w:val="bullet"/>
      <w:lvlText w:val="-"/>
      <w:lvlJc w:val="left"/>
      <w:pPr>
        <w:ind w:left="2160" w:hanging="360"/>
      </w:pPr>
      <w:rPr>
        <w:rFonts w:ascii="Times New Roman" w:eastAsiaTheme="minorEastAsia"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8D146FC"/>
    <w:multiLevelType w:val="hybridMultilevel"/>
    <w:tmpl w:val="CE74D1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DC82D02"/>
    <w:multiLevelType w:val="multilevel"/>
    <w:tmpl w:val="CF9C53D8"/>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9"/>
  </w:num>
  <w:num w:numId="3">
    <w:abstractNumId w:val="9"/>
  </w:num>
  <w:num w:numId="4">
    <w:abstractNumId w:val="5"/>
  </w:num>
  <w:num w:numId="5">
    <w:abstractNumId w:val="29"/>
  </w:num>
  <w:num w:numId="6">
    <w:abstractNumId w:val="20"/>
  </w:num>
  <w:num w:numId="7">
    <w:abstractNumId w:val="18"/>
  </w:num>
  <w:num w:numId="8">
    <w:abstractNumId w:val="24"/>
  </w:num>
  <w:num w:numId="9">
    <w:abstractNumId w:val="35"/>
  </w:num>
  <w:num w:numId="10">
    <w:abstractNumId w:val="1"/>
  </w:num>
  <w:num w:numId="11">
    <w:abstractNumId w:val="3"/>
  </w:num>
  <w:num w:numId="12">
    <w:abstractNumId w:val="7"/>
  </w:num>
  <w:num w:numId="13">
    <w:abstractNumId w:val="13"/>
  </w:num>
  <w:num w:numId="14">
    <w:abstractNumId w:val="8"/>
  </w:num>
  <w:num w:numId="15">
    <w:abstractNumId w:val="27"/>
  </w:num>
  <w:num w:numId="16">
    <w:abstractNumId w:val="11"/>
  </w:num>
  <w:num w:numId="17">
    <w:abstractNumId w:val="2"/>
  </w:num>
  <w:num w:numId="18">
    <w:abstractNumId w:val="4"/>
  </w:num>
  <w:num w:numId="19">
    <w:abstractNumId w:val="32"/>
  </w:num>
  <w:num w:numId="20">
    <w:abstractNumId w:val="10"/>
  </w:num>
  <w:num w:numId="21">
    <w:abstractNumId w:val="38"/>
  </w:num>
  <w:num w:numId="22">
    <w:abstractNumId w:val="6"/>
  </w:num>
  <w:num w:numId="23">
    <w:abstractNumId w:val="17"/>
  </w:num>
  <w:num w:numId="24">
    <w:abstractNumId w:val="23"/>
  </w:num>
  <w:num w:numId="25">
    <w:abstractNumId w:val="28"/>
  </w:num>
  <w:num w:numId="26">
    <w:abstractNumId w:val="12"/>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21"/>
  </w:num>
  <w:num w:numId="32">
    <w:abstractNumId w:val="33"/>
  </w:num>
  <w:num w:numId="33">
    <w:abstractNumId w:val="34"/>
  </w:num>
  <w:num w:numId="34">
    <w:abstractNumId w:val="16"/>
  </w:num>
  <w:num w:numId="35">
    <w:abstractNumId w:val="36"/>
  </w:num>
  <w:num w:numId="36">
    <w:abstractNumId w:val="37"/>
  </w:num>
  <w:num w:numId="37">
    <w:abstractNumId w:val="31"/>
  </w:num>
  <w:num w:numId="38">
    <w:abstractNumId w:val="22"/>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2"/>
    <w:rsid w:val="00002C5F"/>
    <w:rsid w:val="0000670F"/>
    <w:rsid w:val="0000682B"/>
    <w:rsid w:val="0001194A"/>
    <w:rsid w:val="0001300E"/>
    <w:rsid w:val="00013083"/>
    <w:rsid w:val="00013716"/>
    <w:rsid w:val="00013B3E"/>
    <w:rsid w:val="00014540"/>
    <w:rsid w:val="0001655C"/>
    <w:rsid w:val="00016781"/>
    <w:rsid w:val="000179DE"/>
    <w:rsid w:val="00022D76"/>
    <w:rsid w:val="000231C3"/>
    <w:rsid w:val="00023EDF"/>
    <w:rsid w:val="00024872"/>
    <w:rsid w:val="00026213"/>
    <w:rsid w:val="000403B5"/>
    <w:rsid w:val="000458D6"/>
    <w:rsid w:val="00046E7F"/>
    <w:rsid w:val="00047E93"/>
    <w:rsid w:val="00051EF4"/>
    <w:rsid w:val="00055D14"/>
    <w:rsid w:val="0005622E"/>
    <w:rsid w:val="000566CA"/>
    <w:rsid w:val="000614B0"/>
    <w:rsid w:val="000632B3"/>
    <w:rsid w:val="0007385D"/>
    <w:rsid w:val="00074A9A"/>
    <w:rsid w:val="000764DB"/>
    <w:rsid w:val="0008141D"/>
    <w:rsid w:val="00081BC4"/>
    <w:rsid w:val="00083327"/>
    <w:rsid w:val="000958AB"/>
    <w:rsid w:val="000958F4"/>
    <w:rsid w:val="000960A7"/>
    <w:rsid w:val="00096EC5"/>
    <w:rsid w:val="000A07D3"/>
    <w:rsid w:val="000A334D"/>
    <w:rsid w:val="000A4274"/>
    <w:rsid w:val="000A7CC4"/>
    <w:rsid w:val="000B2F12"/>
    <w:rsid w:val="000B3D83"/>
    <w:rsid w:val="000B4795"/>
    <w:rsid w:val="000B598E"/>
    <w:rsid w:val="000B79BF"/>
    <w:rsid w:val="000C0784"/>
    <w:rsid w:val="000C2DB1"/>
    <w:rsid w:val="000D1731"/>
    <w:rsid w:val="000D4778"/>
    <w:rsid w:val="000D6DFA"/>
    <w:rsid w:val="000E0972"/>
    <w:rsid w:val="000E3734"/>
    <w:rsid w:val="000E4833"/>
    <w:rsid w:val="000F44FB"/>
    <w:rsid w:val="000F6E28"/>
    <w:rsid w:val="001002F9"/>
    <w:rsid w:val="00103754"/>
    <w:rsid w:val="001055B8"/>
    <w:rsid w:val="00105631"/>
    <w:rsid w:val="00105843"/>
    <w:rsid w:val="001079E4"/>
    <w:rsid w:val="0011131F"/>
    <w:rsid w:val="00112F83"/>
    <w:rsid w:val="00126C0C"/>
    <w:rsid w:val="00131D32"/>
    <w:rsid w:val="00131DFD"/>
    <w:rsid w:val="001378E6"/>
    <w:rsid w:val="00142A21"/>
    <w:rsid w:val="00144403"/>
    <w:rsid w:val="0014530B"/>
    <w:rsid w:val="00145391"/>
    <w:rsid w:val="00146152"/>
    <w:rsid w:val="00147642"/>
    <w:rsid w:val="00147F25"/>
    <w:rsid w:val="00154954"/>
    <w:rsid w:val="00154FD9"/>
    <w:rsid w:val="00155400"/>
    <w:rsid w:val="001559B9"/>
    <w:rsid w:val="00172DAF"/>
    <w:rsid w:val="00174E16"/>
    <w:rsid w:val="001774F4"/>
    <w:rsid w:val="00177995"/>
    <w:rsid w:val="00177B25"/>
    <w:rsid w:val="00183DBC"/>
    <w:rsid w:val="00185380"/>
    <w:rsid w:val="00187C22"/>
    <w:rsid w:val="00191B6D"/>
    <w:rsid w:val="001946EF"/>
    <w:rsid w:val="001952BA"/>
    <w:rsid w:val="00196CD0"/>
    <w:rsid w:val="001A199E"/>
    <w:rsid w:val="001A2B14"/>
    <w:rsid w:val="001A3888"/>
    <w:rsid w:val="001B159B"/>
    <w:rsid w:val="001B3A5F"/>
    <w:rsid w:val="001B525A"/>
    <w:rsid w:val="001B5AE8"/>
    <w:rsid w:val="001B6350"/>
    <w:rsid w:val="001B690F"/>
    <w:rsid w:val="001B6E35"/>
    <w:rsid w:val="001B73EC"/>
    <w:rsid w:val="001C6E10"/>
    <w:rsid w:val="001D0BA1"/>
    <w:rsid w:val="001D4AB6"/>
    <w:rsid w:val="001D5168"/>
    <w:rsid w:val="001D58DC"/>
    <w:rsid w:val="001E002E"/>
    <w:rsid w:val="001E239E"/>
    <w:rsid w:val="001E4938"/>
    <w:rsid w:val="001E4F38"/>
    <w:rsid w:val="001E5341"/>
    <w:rsid w:val="001E70B0"/>
    <w:rsid w:val="001F57A4"/>
    <w:rsid w:val="001F67EF"/>
    <w:rsid w:val="001F7E9B"/>
    <w:rsid w:val="00200D66"/>
    <w:rsid w:val="00202209"/>
    <w:rsid w:val="00205F43"/>
    <w:rsid w:val="002105E2"/>
    <w:rsid w:val="00211DBC"/>
    <w:rsid w:val="00212A19"/>
    <w:rsid w:val="00212A4E"/>
    <w:rsid w:val="00213F4C"/>
    <w:rsid w:val="00214E25"/>
    <w:rsid w:val="00217609"/>
    <w:rsid w:val="0022268B"/>
    <w:rsid w:val="0022541A"/>
    <w:rsid w:val="00225B28"/>
    <w:rsid w:val="00230726"/>
    <w:rsid w:val="00231A83"/>
    <w:rsid w:val="0023209D"/>
    <w:rsid w:val="00235100"/>
    <w:rsid w:val="002357C2"/>
    <w:rsid w:val="0023672D"/>
    <w:rsid w:val="00236CF5"/>
    <w:rsid w:val="002409B9"/>
    <w:rsid w:val="00241A89"/>
    <w:rsid w:val="00244018"/>
    <w:rsid w:val="00244943"/>
    <w:rsid w:val="0024496D"/>
    <w:rsid w:val="00247097"/>
    <w:rsid w:val="00247951"/>
    <w:rsid w:val="00247CEF"/>
    <w:rsid w:val="002503AB"/>
    <w:rsid w:val="00253A2B"/>
    <w:rsid w:val="00260553"/>
    <w:rsid w:val="00261EA2"/>
    <w:rsid w:val="0026280F"/>
    <w:rsid w:val="00263D0E"/>
    <w:rsid w:val="00265147"/>
    <w:rsid w:val="00266FF3"/>
    <w:rsid w:val="00267F8A"/>
    <w:rsid w:val="002742C0"/>
    <w:rsid w:val="00274E24"/>
    <w:rsid w:val="00275868"/>
    <w:rsid w:val="002779BC"/>
    <w:rsid w:val="0028173F"/>
    <w:rsid w:val="002845B9"/>
    <w:rsid w:val="00286031"/>
    <w:rsid w:val="00286577"/>
    <w:rsid w:val="0029292B"/>
    <w:rsid w:val="0029355E"/>
    <w:rsid w:val="002936F1"/>
    <w:rsid w:val="002938BD"/>
    <w:rsid w:val="002A1516"/>
    <w:rsid w:val="002B0226"/>
    <w:rsid w:val="002B27F3"/>
    <w:rsid w:val="002C1CE4"/>
    <w:rsid w:val="002C1DE4"/>
    <w:rsid w:val="002C4CCA"/>
    <w:rsid w:val="002C68AF"/>
    <w:rsid w:val="002C6B81"/>
    <w:rsid w:val="002C6D7B"/>
    <w:rsid w:val="002D17E0"/>
    <w:rsid w:val="002D2492"/>
    <w:rsid w:val="002D523B"/>
    <w:rsid w:val="002D6048"/>
    <w:rsid w:val="002D69F9"/>
    <w:rsid w:val="002E1629"/>
    <w:rsid w:val="002E2976"/>
    <w:rsid w:val="002E3B98"/>
    <w:rsid w:val="002E74D1"/>
    <w:rsid w:val="002E7CF8"/>
    <w:rsid w:val="002F0733"/>
    <w:rsid w:val="002F379F"/>
    <w:rsid w:val="002F61F3"/>
    <w:rsid w:val="002F76F3"/>
    <w:rsid w:val="00300626"/>
    <w:rsid w:val="0030153B"/>
    <w:rsid w:val="00306BF2"/>
    <w:rsid w:val="00311C5B"/>
    <w:rsid w:val="00314A65"/>
    <w:rsid w:val="00324B13"/>
    <w:rsid w:val="003258F3"/>
    <w:rsid w:val="0033149C"/>
    <w:rsid w:val="0033559A"/>
    <w:rsid w:val="00337A7C"/>
    <w:rsid w:val="00340CF2"/>
    <w:rsid w:val="00341239"/>
    <w:rsid w:val="00342115"/>
    <w:rsid w:val="00343EB0"/>
    <w:rsid w:val="00343F4E"/>
    <w:rsid w:val="00344E80"/>
    <w:rsid w:val="00346639"/>
    <w:rsid w:val="00347547"/>
    <w:rsid w:val="003477E8"/>
    <w:rsid w:val="00347967"/>
    <w:rsid w:val="00350B06"/>
    <w:rsid w:val="00351D59"/>
    <w:rsid w:val="00355240"/>
    <w:rsid w:val="00355D79"/>
    <w:rsid w:val="00357DE5"/>
    <w:rsid w:val="003610C2"/>
    <w:rsid w:val="00361A17"/>
    <w:rsid w:val="00363409"/>
    <w:rsid w:val="00373045"/>
    <w:rsid w:val="00373BDD"/>
    <w:rsid w:val="00377FD6"/>
    <w:rsid w:val="0038136B"/>
    <w:rsid w:val="003813B0"/>
    <w:rsid w:val="00381942"/>
    <w:rsid w:val="00387DE5"/>
    <w:rsid w:val="00392D30"/>
    <w:rsid w:val="00393E8A"/>
    <w:rsid w:val="003970BC"/>
    <w:rsid w:val="003A1E81"/>
    <w:rsid w:val="003A48F6"/>
    <w:rsid w:val="003A498A"/>
    <w:rsid w:val="003A65BC"/>
    <w:rsid w:val="003A6F01"/>
    <w:rsid w:val="003A7C75"/>
    <w:rsid w:val="003B3117"/>
    <w:rsid w:val="003B5971"/>
    <w:rsid w:val="003B63B3"/>
    <w:rsid w:val="003C0F79"/>
    <w:rsid w:val="003C2663"/>
    <w:rsid w:val="003C2D1E"/>
    <w:rsid w:val="003C35B5"/>
    <w:rsid w:val="003C3925"/>
    <w:rsid w:val="003C400B"/>
    <w:rsid w:val="003C45D1"/>
    <w:rsid w:val="003D14D5"/>
    <w:rsid w:val="003D26C1"/>
    <w:rsid w:val="003D3828"/>
    <w:rsid w:val="003D43E7"/>
    <w:rsid w:val="003D7B34"/>
    <w:rsid w:val="003E08FF"/>
    <w:rsid w:val="003E606D"/>
    <w:rsid w:val="003F2423"/>
    <w:rsid w:val="003F34D7"/>
    <w:rsid w:val="003F35B1"/>
    <w:rsid w:val="003F3AAC"/>
    <w:rsid w:val="003F4BB1"/>
    <w:rsid w:val="003F5EB0"/>
    <w:rsid w:val="003F745F"/>
    <w:rsid w:val="00400DDE"/>
    <w:rsid w:val="00405BEF"/>
    <w:rsid w:val="00411751"/>
    <w:rsid w:val="00411D9E"/>
    <w:rsid w:val="0041283F"/>
    <w:rsid w:val="00415A3D"/>
    <w:rsid w:val="00420BF0"/>
    <w:rsid w:val="004216A0"/>
    <w:rsid w:val="00423A61"/>
    <w:rsid w:val="00424F7F"/>
    <w:rsid w:val="00425ADB"/>
    <w:rsid w:val="004271AC"/>
    <w:rsid w:val="00431319"/>
    <w:rsid w:val="00432E87"/>
    <w:rsid w:val="00434853"/>
    <w:rsid w:val="00434F0F"/>
    <w:rsid w:val="004408CA"/>
    <w:rsid w:val="0044180E"/>
    <w:rsid w:val="00443719"/>
    <w:rsid w:val="004479A1"/>
    <w:rsid w:val="0045110A"/>
    <w:rsid w:val="00451A22"/>
    <w:rsid w:val="00452A8A"/>
    <w:rsid w:val="004553A0"/>
    <w:rsid w:val="00455725"/>
    <w:rsid w:val="00460C08"/>
    <w:rsid w:val="00464D70"/>
    <w:rsid w:val="00467996"/>
    <w:rsid w:val="004724BA"/>
    <w:rsid w:val="00474510"/>
    <w:rsid w:val="004745CD"/>
    <w:rsid w:val="004755A2"/>
    <w:rsid w:val="00475D97"/>
    <w:rsid w:val="004761E5"/>
    <w:rsid w:val="00480ADB"/>
    <w:rsid w:val="004847F5"/>
    <w:rsid w:val="00495DDD"/>
    <w:rsid w:val="004A1762"/>
    <w:rsid w:val="004A2816"/>
    <w:rsid w:val="004A3F5B"/>
    <w:rsid w:val="004A5E59"/>
    <w:rsid w:val="004A5FFB"/>
    <w:rsid w:val="004A634B"/>
    <w:rsid w:val="004A75F4"/>
    <w:rsid w:val="004A7D43"/>
    <w:rsid w:val="004B581C"/>
    <w:rsid w:val="004B742D"/>
    <w:rsid w:val="004C1D9A"/>
    <w:rsid w:val="004D0832"/>
    <w:rsid w:val="004D2D2B"/>
    <w:rsid w:val="004D35E0"/>
    <w:rsid w:val="004D420B"/>
    <w:rsid w:val="004D4910"/>
    <w:rsid w:val="004D6476"/>
    <w:rsid w:val="004E2527"/>
    <w:rsid w:val="004E6B0A"/>
    <w:rsid w:val="004F2064"/>
    <w:rsid w:val="004F2C63"/>
    <w:rsid w:val="004F2C94"/>
    <w:rsid w:val="004F455D"/>
    <w:rsid w:val="004F6429"/>
    <w:rsid w:val="004F6BFD"/>
    <w:rsid w:val="00503460"/>
    <w:rsid w:val="0050460F"/>
    <w:rsid w:val="00505586"/>
    <w:rsid w:val="00505B19"/>
    <w:rsid w:val="005068E4"/>
    <w:rsid w:val="005072A5"/>
    <w:rsid w:val="00510902"/>
    <w:rsid w:val="00510A4F"/>
    <w:rsid w:val="005125E7"/>
    <w:rsid w:val="0051261E"/>
    <w:rsid w:val="005139F0"/>
    <w:rsid w:val="0051417D"/>
    <w:rsid w:val="005203A5"/>
    <w:rsid w:val="005216E4"/>
    <w:rsid w:val="00521CE9"/>
    <w:rsid w:val="00522797"/>
    <w:rsid w:val="00523C8C"/>
    <w:rsid w:val="00523E62"/>
    <w:rsid w:val="00525806"/>
    <w:rsid w:val="00526F4F"/>
    <w:rsid w:val="00530C29"/>
    <w:rsid w:val="005368B5"/>
    <w:rsid w:val="00540E20"/>
    <w:rsid w:val="00541A4F"/>
    <w:rsid w:val="00542403"/>
    <w:rsid w:val="0054446B"/>
    <w:rsid w:val="00550904"/>
    <w:rsid w:val="00552482"/>
    <w:rsid w:val="00557082"/>
    <w:rsid w:val="00560628"/>
    <w:rsid w:val="00566114"/>
    <w:rsid w:val="00567120"/>
    <w:rsid w:val="005709BB"/>
    <w:rsid w:val="005726EA"/>
    <w:rsid w:val="005749FC"/>
    <w:rsid w:val="00577591"/>
    <w:rsid w:val="00577C70"/>
    <w:rsid w:val="00580CC7"/>
    <w:rsid w:val="0058665D"/>
    <w:rsid w:val="00590259"/>
    <w:rsid w:val="00591519"/>
    <w:rsid w:val="00591E97"/>
    <w:rsid w:val="005933B1"/>
    <w:rsid w:val="005942B4"/>
    <w:rsid w:val="005A4908"/>
    <w:rsid w:val="005A5703"/>
    <w:rsid w:val="005A6228"/>
    <w:rsid w:val="005A6EF1"/>
    <w:rsid w:val="005A7DA4"/>
    <w:rsid w:val="005C0AE0"/>
    <w:rsid w:val="005C5800"/>
    <w:rsid w:val="005C71B0"/>
    <w:rsid w:val="005D0340"/>
    <w:rsid w:val="005D2CB8"/>
    <w:rsid w:val="005D5B91"/>
    <w:rsid w:val="005D661C"/>
    <w:rsid w:val="005E217F"/>
    <w:rsid w:val="005E6843"/>
    <w:rsid w:val="005E6D10"/>
    <w:rsid w:val="005E70EB"/>
    <w:rsid w:val="005F012B"/>
    <w:rsid w:val="005F4CB3"/>
    <w:rsid w:val="005F5453"/>
    <w:rsid w:val="005F574A"/>
    <w:rsid w:val="005F7596"/>
    <w:rsid w:val="006015AA"/>
    <w:rsid w:val="00604CEF"/>
    <w:rsid w:val="00605640"/>
    <w:rsid w:val="00610CFD"/>
    <w:rsid w:val="0061285C"/>
    <w:rsid w:val="0061430B"/>
    <w:rsid w:val="00614CBC"/>
    <w:rsid w:val="006155B6"/>
    <w:rsid w:val="006171BD"/>
    <w:rsid w:val="00617C07"/>
    <w:rsid w:val="0062233D"/>
    <w:rsid w:val="0062587A"/>
    <w:rsid w:val="00625C89"/>
    <w:rsid w:val="006273F3"/>
    <w:rsid w:val="00632978"/>
    <w:rsid w:val="00635327"/>
    <w:rsid w:val="00643F4E"/>
    <w:rsid w:val="00644A38"/>
    <w:rsid w:val="00645A26"/>
    <w:rsid w:val="0064620E"/>
    <w:rsid w:val="00652F7F"/>
    <w:rsid w:val="0065483B"/>
    <w:rsid w:val="006551B3"/>
    <w:rsid w:val="00656AD9"/>
    <w:rsid w:val="0066216A"/>
    <w:rsid w:val="00662177"/>
    <w:rsid w:val="006632C6"/>
    <w:rsid w:val="00663713"/>
    <w:rsid w:val="00664397"/>
    <w:rsid w:val="00664A5D"/>
    <w:rsid w:val="00664CD3"/>
    <w:rsid w:val="0066559C"/>
    <w:rsid w:val="00666978"/>
    <w:rsid w:val="00670AAC"/>
    <w:rsid w:val="00677880"/>
    <w:rsid w:val="006802CD"/>
    <w:rsid w:val="006804DD"/>
    <w:rsid w:val="0068326E"/>
    <w:rsid w:val="00695565"/>
    <w:rsid w:val="006A2154"/>
    <w:rsid w:val="006A28D5"/>
    <w:rsid w:val="006A6B7A"/>
    <w:rsid w:val="006A75C7"/>
    <w:rsid w:val="006A7F21"/>
    <w:rsid w:val="006B1DDE"/>
    <w:rsid w:val="006B2B5C"/>
    <w:rsid w:val="006B4A35"/>
    <w:rsid w:val="006B63EE"/>
    <w:rsid w:val="006B7542"/>
    <w:rsid w:val="006C41CB"/>
    <w:rsid w:val="006C4C54"/>
    <w:rsid w:val="006C5ADE"/>
    <w:rsid w:val="006C6708"/>
    <w:rsid w:val="006D04C0"/>
    <w:rsid w:val="006D2326"/>
    <w:rsid w:val="006D288D"/>
    <w:rsid w:val="006D3844"/>
    <w:rsid w:val="006D6693"/>
    <w:rsid w:val="006D6738"/>
    <w:rsid w:val="006D75AA"/>
    <w:rsid w:val="006E1B3F"/>
    <w:rsid w:val="006E24CE"/>
    <w:rsid w:val="006E45AD"/>
    <w:rsid w:val="006F1951"/>
    <w:rsid w:val="006F68BC"/>
    <w:rsid w:val="006F7038"/>
    <w:rsid w:val="00701434"/>
    <w:rsid w:val="00701903"/>
    <w:rsid w:val="0070239E"/>
    <w:rsid w:val="0070532A"/>
    <w:rsid w:val="007074EB"/>
    <w:rsid w:val="00711574"/>
    <w:rsid w:val="0072578D"/>
    <w:rsid w:val="007261ED"/>
    <w:rsid w:val="00731546"/>
    <w:rsid w:val="007330E2"/>
    <w:rsid w:val="0073314C"/>
    <w:rsid w:val="0073495C"/>
    <w:rsid w:val="00744942"/>
    <w:rsid w:val="00745481"/>
    <w:rsid w:val="00746799"/>
    <w:rsid w:val="0075396F"/>
    <w:rsid w:val="007557A5"/>
    <w:rsid w:val="007574F6"/>
    <w:rsid w:val="0076237E"/>
    <w:rsid w:val="00763A06"/>
    <w:rsid w:val="00765557"/>
    <w:rsid w:val="007662D6"/>
    <w:rsid w:val="00766B6B"/>
    <w:rsid w:val="007674AB"/>
    <w:rsid w:val="00767C9C"/>
    <w:rsid w:val="00770247"/>
    <w:rsid w:val="0077391F"/>
    <w:rsid w:val="007747FC"/>
    <w:rsid w:val="007766A7"/>
    <w:rsid w:val="0077730E"/>
    <w:rsid w:val="0077756E"/>
    <w:rsid w:val="00777B21"/>
    <w:rsid w:val="00777BF3"/>
    <w:rsid w:val="00780A29"/>
    <w:rsid w:val="007810BF"/>
    <w:rsid w:val="00781292"/>
    <w:rsid w:val="00782EF6"/>
    <w:rsid w:val="00783177"/>
    <w:rsid w:val="00783325"/>
    <w:rsid w:val="00783956"/>
    <w:rsid w:val="00784258"/>
    <w:rsid w:val="00787D88"/>
    <w:rsid w:val="00795939"/>
    <w:rsid w:val="00797C92"/>
    <w:rsid w:val="007A03F1"/>
    <w:rsid w:val="007A2BBC"/>
    <w:rsid w:val="007A54DB"/>
    <w:rsid w:val="007B03B5"/>
    <w:rsid w:val="007B4BCB"/>
    <w:rsid w:val="007C117F"/>
    <w:rsid w:val="007C4DAE"/>
    <w:rsid w:val="007C5130"/>
    <w:rsid w:val="007C7486"/>
    <w:rsid w:val="007D0015"/>
    <w:rsid w:val="007D00C2"/>
    <w:rsid w:val="007D05B7"/>
    <w:rsid w:val="007D090D"/>
    <w:rsid w:val="007D179F"/>
    <w:rsid w:val="007D1EEC"/>
    <w:rsid w:val="007E1BA6"/>
    <w:rsid w:val="007F64A9"/>
    <w:rsid w:val="007F79C0"/>
    <w:rsid w:val="00801425"/>
    <w:rsid w:val="00801947"/>
    <w:rsid w:val="00805884"/>
    <w:rsid w:val="00812001"/>
    <w:rsid w:val="008131ED"/>
    <w:rsid w:val="00814342"/>
    <w:rsid w:val="0082138D"/>
    <w:rsid w:val="00824665"/>
    <w:rsid w:val="008248F8"/>
    <w:rsid w:val="00824A53"/>
    <w:rsid w:val="008300A2"/>
    <w:rsid w:val="00831298"/>
    <w:rsid w:val="008347CC"/>
    <w:rsid w:val="00834DF8"/>
    <w:rsid w:val="00840729"/>
    <w:rsid w:val="00840F75"/>
    <w:rsid w:val="008412AA"/>
    <w:rsid w:val="00845DD4"/>
    <w:rsid w:val="00846CA0"/>
    <w:rsid w:val="00850B80"/>
    <w:rsid w:val="00852A7A"/>
    <w:rsid w:val="00854EFF"/>
    <w:rsid w:val="008562A6"/>
    <w:rsid w:val="00856C2C"/>
    <w:rsid w:val="008600E3"/>
    <w:rsid w:val="008615A5"/>
    <w:rsid w:val="00863A95"/>
    <w:rsid w:val="008645D1"/>
    <w:rsid w:val="00865BA9"/>
    <w:rsid w:val="00866C94"/>
    <w:rsid w:val="00867B4A"/>
    <w:rsid w:val="008712EF"/>
    <w:rsid w:val="00874245"/>
    <w:rsid w:val="00874279"/>
    <w:rsid w:val="008745F3"/>
    <w:rsid w:val="00881947"/>
    <w:rsid w:val="00885482"/>
    <w:rsid w:val="0089031C"/>
    <w:rsid w:val="00893A59"/>
    <w:rsid w:val="00893F15"/>
    <w:rsid w:val="008A3E4E"/>
    <w:rsid w:val="008A7B75"/>
    <w:rsid w:val="008B066E"/>
    <w:rsid w:val="008B0A04"/>
    <w:rsid w:val="008B3B03"/>
    <w:rsid w:val="008B6F4A"/>
    <w:rsid w:val="008B7862"/>
    <w:rsid w:val="008C0FFC"/>
    <w:rsid w:val="008C14FA"/>
    <w:rsid w:val="008C428F"/>
    <w:rsid w:val="008C71C1"/>
    <w:rsid w:val="008D06A1"/>
    <w:rsid w:val="008D0D83"/>
    <w:rsid w:val="008D1EF4"/>
    <w:rsid w:val="008D3735"/>
    <w:rsid w:val="008D6000"/>
    <w:rsid w:val="008D7A67"/>
    <w:rsid w:val="008E1BF9"/>
    <w:rsid w:val="008E1FD6"/>
    <w:rsid w:val="008E2DC0"/>
    <w:rsid w:val="008E6189"/>
    <w:rsid w:val="008E6DBF"/>
    <w:rsid w:val="008F1AD1"/>
    <w:rsid w:val="008F40BA"/>
    <w:rsid w:val="008F4DA9"/>
    <w:rsid w:val="008F729A"/>
    <w:rsid w:val="00901A25"/>
    <w:rsid w:val="00902A74"/>
    <w:rsid w:val="00904E51"/>
    <w:rsid w:val="0090538F"/>
    <w:rsid w:val="00911EA2"/>
    <w:rsid w:val="0091263C"/>
    <w:rsid w:val="0091343F"/>
    <w:rsid w:val="0091490D"/>
    <w:rsid w:val="00916900"/>
    <w:rsid w:val="00921D63"/>
    <w:rsid w:val="00924A7D"/>
    <w:rsid w:val="00926FAE"/>
    <w:rsid w:val="00927076"/>
    <w:rsid w:val="009273C5"/>
    <w:rsid w:val="009279DF"/>
    <w:rsid w:val="0093213A"/>
    <w:rsid w:val="00932388"/>
    <w:rsid w:val="00933B2F"/>
    <w:rsid w:val="00934FBE"/>
    <w:rsid w:val="00941712"/>
    <w:rsid w:val="00941D9B"/>
    <w:rsid w:val="0094612F"/>
    <w:rsid w:val="00946F51"/>
    <w:rsid w:val="009473EA"/>
    <w:rsid w:val="0095082A"/>
    <w:rsid w:val="009509D4"/>
    <w:rsid w:val="00951842"/>
    <w:rsid w:val="00951CEC"/>
    <w:rsid w:val="00952F55"/>
    <w:rsid w:val="00956824"/>
    <w:rsid w:val="00960129"/>
    <w:rsid w:val="009622DF"/>
    <w:rsid w:val="00971902"/>
    <w:rsid w:val="009736FA"/>
    <w:rsid w:val="00974D49"/>
    <w:rsid w:val="00977F58"/>
    <w:rsid w:val="00990D0F"/>
    <w:rsid w:val="00996481"/>
    <w:rsid w:val="009A3F26"/>
    <w:rsid w:val="009A5091"/>
    <w:rsid w:val="009A6CB8"/>
    <w:rsid w:val="009A7BE8"/>
    <w:rsid w:val="009B1370"/>
    <w:rsid w:val="009B64B1"/>
    <w:rsid w:val="009B7D8F"/>
    <w:rsid w:val="009C3C8E"/>
    <w:rsid w:val="009C3E42"/>
    <w:rsid w:val="009C3F75"/>
    <w:rsid w:val="009C408D"/>
    <w:rsid w:val="009C5EE6"/>
    <w:rsid w:val="009D142F"/>
    <w:rsid w:val="009D1D06"/>
    <w:rsid w:val="009D2821"/>
    <w:rsid w:val="009D3CA6"/>
    <w:rsid w:val="009D5645"/>
    <w:rsid w:val="009E1769"/>
    <w:rsid w:val="009E1D25"/>
    <w:rsid w:val="009E1FCE"/>
    <w:rsid w:val="009E36C9"/>
    <w:rsid w:val="009E6CD1"/>
    <w:rsid w:val="009F0D72"/>
    <w:rsid w:val="009F1C65"/>
    <w:rsid w:val="009F48B2"/>
    <w:rsid w:val="009F79FE"/>
    <w:rsid w:val="00A002D7"/>
    <w:rsid w:val="00A01143"/>
    <w:rsid w:val="00A01A7F"/>
    <w:rsid w:val="00A03EA9"/>
    <w:rsid w:val="00A06F98"/>
    <w:rsid w:val="00A10A81"/>
    <w:rsid w:val="00A10FF9"/>
    <w:rsid w:val="00A210AD"/>
    <w:rsid w:val="00A243D5"/>
    <w:rsid w:val="00A259BA"/>
    <w:rsid w:val="00A3010F"/>
    <w:rsid w:val="00A3608B"/>
    <w:rsid w:val="00A411DB"/>
    <w:rsid w:val="00A43F70"/>
    <w:rsid w:val="00A44A58"/>
    <w:rsid w:val="00A459B9"/>
    <w:rsid w:val="00A521EF"/>
    <w:rsid w:val="00A52CEA"/>
    <w:rsid w:val="00A53DC0"/>
    <w:rsid w:val="00A545F9"/>
    <w:rsid w:val="00A55CBC"/>
    <w:rsid w:val="00A57CF8"/>
    <w:rsid w:val="00A60A1C"/>
    <w:rsid w:val="00A63D1C"/>
    <w:rsid w:val="00A6439B"/>
    <w:rsid w:val="00A656DE"/>
    <w:rsid w:val="00A72827"/>
    <w:rsid w:val="00A75CBE"/>
    <w:rsid w:val="00A8131D"/>
    <w:rsid w:val="00A8711C"/>
    <w:rsid w:val="00A960A8"/>
    <w:rsid w:val="00A97944"/>
    <w:rsid w:val="00AA3C96"/>
    <w:rsid w:val="00AA7403"/>
    <w:rsid w:val="00AA7EDF"/>
    <w:rsid w:val="00AB7FBE"/>
    <w:rsid w:val="00AC661F"/>
    <w:rsid w:val="00AC7F49"/>
    <w:rsid w:val="00AE1073"/>
    <w:rsid w:val="00AE2A5D"/>
    <w:rsid w:val="00AE7600"/>
    <w:rsid w:val="00AE7663"/>
    <w:rsid w:val="00AF0E6D"/>
    <w:rsid w:val="00AF4655"/>
    <w:rsid w:val="00B01018"/>
    <w:rsid w:val="00B015C1"/>
    <w:rsid w:val="00B05D46"/>
    <w:rsid w:val="00B06F6B"/>
    <w:rsid w:val="00B07904"/>
    <w:rsid w:val="00B12C01"/>
    <w:rsid w:val="00B13AE2"/>
    <w:rsid w:val="00B14F5B"/>
    <w:rsid w:val="00B20C1E"/>
    <w:rsid w:val="00B24967"/>
    <w:rsid w:val="00B272FC"/>
    <w:rsid w:val="00B27D32"/>
    <w:rsid w:val="00B31226"/>
    <w:rsid w:val="00B32ECB"/>
    <w:rsid w:val="00B3502B"/>
    <w:rsid w:val="00B363FA"/>
    <w:rsid w:val="00B36AA0"/>
    <w:rsid w:val="00B373E9"/>
    <w:rsid w:val="00B37CF2"/>
    <w:rsid w:val="00B44AB3"/>
    <w:rsid w:val="00B537C1"/>
    <w:rsid w:val="00B62750"/>
    <w:rsid w:val="00B63FCD"/>
    <w:rsid w:val="00B64C65"/>
    <w:rsid w:val="00B72890"/>
    <w:rsid w:val="00B76C33"/>
    <w:rsid w:val="00B76EFF"/>
    <w:rsid w:val="00B80E41"/>
    <w:rsid w:val="00B82FAE"/>
    <w:rsid w:val="00B9165B"/>
    <w:rsid w:val="00B93F27"/>
    <w:rsid w:val="00B96200"/>
    <w:rsid w:val="00BA067D"/>
    <w:rsid w:val="00BA15C7"/>
    <w:rsid w:val="00BA238C"/>
    <w:rsid w:val="00BA39B2"/>
    <w:rsid w:val="00BA3E8F"/>
    <w:rsid w:val="00BA779E"/>
    <w:rsid w:val="00BC03B1"/>
    <w:rsid w:val="00BC0638"/>
    <w:rsid w:val="00BC1FD1"/>
    <w:rsid w:val="00BC61BD"/>
    <w:rsid w:val="00BC63D4"/>
    <w:rsid w:val="00BD01D6"/>
    <w:rsid w:val="00BD0A49"/>
    <w:rsid w:val="00BD3A49"/>
    <w:rsid w:val="00BD3C82"/>
    <w:rsid w:val="00BD7FDC"/>
    <w:rsid w:val="00BE0E10"/>
    <w:rsid w:val="00BE18FC"/>
    <w:rsid w:val="00BE1E98"/>
    <w:rsid w:val="00BE2C7B"/>
    <w:rsid w:val="00BE3708"/>
    <w:rsid w:val="00BE3AD8"/>
    <w:rsid w:val="00BF0D87"/>
    <w:rsid w:val="00BF15B2"/>
    <w:rsid w:val="00BF3753"/>
    <w:rsid w:val="00BF5B5E"/>
    <w:rsid w:val="00C0099A"/>
    <w:rsid w:val="00C018E7"/>
    <w:rsid w:val="00C03AB0"/>
    <w:rsid w:val="00C041E7"/>
    <w:rsid w:val="00C05817"/>
    <w:rsid w:val="00C07CF0"/>
    <w:rsid w:val="00C1052A"/>
    <w:rsid w:val="00C120A8"/>
    <w:rsid w:val="00C15B8C"/>
    <w:rsid w:val="00C161C0"/>
    <w:rsid w:val="00C21187"/>
    <w:rsid w:val="00C27116"/>
    <w:rsid w:val="00C3200D"/>
    <w:rsid w:val="00C3220C"/>
    <w:rsid w:val="00C37C48"/>
    <w:rsid w:val="00C40D02"/>
    <w:rsid w:val="00C40F60"/>
    <w:rsid w:val="00C4214B"/>
    <w:rsid w:val="00C428F2"/>
    <w:rsid w:val="00C44BA7"/>
    <w:rsid w:val="00C4506F"/>
    <w:rsid w:val="00C4556E"/>
    <w:rsid w:val="00C46D73"/>
    <w:rsid w:val="00C501E1"/>
    <w:rsid w:val="00C503FF"/>
    <w:rsid w:val="00C517EB"/>
    <w:rsid w:val="00C533C0"/>
    <w:rsid w:val="00C5471E"/>
    <w:rsid w:val="00C556FC"/>
    <w:rsid w:val="00C55ADB"/>
    <w:rsid w:val="00C659DF"/>
    <w:rsid w:val="00C660E5"/>
    <w:rsid w:val="00C71C8E"/>
    <w:rsid w:val="00C72083"/>
    <w:rsid w:val="00C7433B"/>
    <w:rsid w:val="00C7786B"/>
    <w:rsid w:val="00C80C52"/>
    <w:rsid w:val="00C80D53"/>
    <w:rsid w:val="00C81742"/>
    <w:rsid w:val="00C83817"/>
    <w:rsid w:val="00C87A70"/>
    <w:rsid w:val="00C87E2D"/>
    <w:rsid w:val="00C938FD"/>
    <w:rsid w:val="00C96ACB"/>
    <w:rsid w:val="00CA172B"/>
    <w:rsid w:val="00CA4750"/>
    <w:rsid w:val="00CA479F"/>
    <w:rsid w:val="00CA687D"/>
    <w:rsid w:val="00CB61E4"/>
    <w:rsid w:val="00CB72CF"/>
    <w:rsid w:val="00CB7424"/>
    <w:rsid w:val="00CC0876"/>
    <w:rsid w:val="00CC6705"/>
    <w:rsid w:val="00CC67D3"/>
    <w:rsid w:val="00CC6C20"/>
    <w:rsid w:val="00CD5E06"/>
    <w:rsid w:val="00CE0B5D"/>
    <w:rsid w:val="00CE1CF4"/>
    <w:rsid w:val="00CE2E5F"/>
    <w:rsid w:val="00CF07D5"/>
    <w:rsid w:val="00CF120B"/>
    <w:rsid w:val="00CF27D5"/>
    <w:rsid w:val="00CF2AC9"/>
    <w:rsid w:val="00CF4017"/>
    <w:rsid w:val="00CF5279"/>
    <w:rsid w:val="00CF587F"/>
    <w:rsid w:val="00D0083A"/>
    <w:rsid w:val="00D02406"/>
    <w:rsid w:val="00D0727E"/>
    <w:rsid w:val="00D1683C"/>
    <w:rsid w:val="00D20C53"/>
    <w:rsid w:val="00D21423"/>
    <w:rsid w:val="00D219E6"/>
    <w:rsid w:val="00D22811"/>
    <w:rsid w:val="00D23C53"/>
    <w:rsid w:val="00D25080"/>
    <w:rsid w:val="00D30F3A"/>
    <w:rsid w:val="00D31860"/>
    <w:rsid w:val="00D330FC"/>
    <w:rsid w:val="00D361E9"/>
    <w:rsid w:val="00D42873"/>
    <w:rsid w:val="00D440B5"/>
    <w:rsid w:val="00D51601"/>
    <w:rsid w:val="00D53F94"/>
    <w:rsid w:val="00D570E3"/>
    <w:rsid w:val="00D57101"/>
    <w:rsid w:val="00D57392"/>
    <w:rsid w:val="00D60156"/>
    <w:rsid w:val="00D66AE2"/>
    <w:rsid w:val="00D66D56"/>
    <w:rsid w:val="00D71806"/>
    <w:rsid w:val="00D71D9E"/>
    <w:rsid w:val="00D72627"/>
    <w:rsid w:val="00D75D9C"/>
    <w:rsid w:val="00D75FBA"/>
    <w:rsid w:val="00D760C5"/>
    <w:rsid w:val="00D76300"/>
    <w:rsid w:val="00D808D8"/>
    <w:rsid w:val="00D80C4E"/>
    <w:rsid w:val="00D834F6"/>
    <w:rsid w:val="00D83E55"/>
    <w:rsid w:val="00D8635E"/>
    <w:rsid w:val="00D90326"/>
    <w:rsid w:val="00D915CC"/>
    <w:rsid w:val="00D92209"/>
    <w:rsid w:val="00D96301"/>
    <w:rsid w:val="00DA0600"/>
    <w:rsid w:val="00DA54B9"/>
    <w:rsid w:val="00DA7D70"/>
    <w:rsid w:val="00DB047A"/>
    <w:rsid w:val="00DB0AEA"/>
    <w:rsid w:val="00DB1459"/>
    <w:rsid w:val="00DB47C1"/>
    <w:rsid w:val="00DB490E"/>
    <w:rsid w:val="00DB6196"/>
    <w:rsid w:val="00DB77B1"/>
    <w:rsid w:val="00DC0D4E"/>
    <w:rsid w:val="00DC17EB"/>
    <w:rsid w:val="00DC5E65"/>
    <w:rsid w:val="00DC6669"/>
    <w:rsid w:val="00DC67EC"/>
    <w:rsid w:val="00DD0DAF"/>
    <w:rsid w:val="00DD2842"/>
    <w:rsid w:val="00DD68C3"/>
    <w:rsid w:val="00DD7C17"/>
    <w:rsid w:val="00DE0775"/>
    <w:rsid w:val="00DE0C72"/>
    <w:rsid w:val="00DE13CB"/>
    <w:rsid w:val="00DE20C2"/>
    <w:rsid w:val="00DE561F"/>
    <w:rsid w:val="00DE6CC1"/>
    <w:rsid w:val="00DE72D0"/>
    <w:rsid w:val="00DE773D"/>
    <w:rsid w:val="00DE796B"/>
    <w:rsid w:val="00DE7C3C"/>
    <w:rsid w:val="00DF0457"/>
    <w:rsid w:val="00DF176D"/>
    <w:rsid w:val="00DF3E16"/>
    <w:rsid w:val="00DF4C1E"/>
    <w:rsid w:val="00E00614"/>
    <w:rsid w:val="00E01CB6"/>
    <w:rsid w:val="00E1131C"/>
    <w:rsid w:val="00E1157E"/>
    <w:rsid w:val="00E11EF1"/>
    <w:rsid w:val="00E11FF6"/>
    <w:rsid w:val="00E20858"/>
    <w:rsid w:val="00E22697"/>
    <w:rsid w:val="00E2406A"/>
    <w:rsid w:val="00E25819"/>
    <w:rsid w:val="00E25E5D"/>
    <w:rsid w:val="00E26F17"/>
    <w:rsid w:val="00E27AE0"/>
    <w:rsid w:val="00E304CE"/>
    <w:rsid w:val="00E321F5"/>
    <w:rsid w:val="00E3397A"/>
    <w:rsid w:val="00E3397F"/>
    <w:rsid w:val="00E33B11"/>
    <w:rsid w:val="00E33F6E"/>
    <w:rsid w:val="00E35194"/>
    <w:rsid w:val="00E401E3"/>
    <w:rsid w:val="00E411F4"/>
    <w:rsid w:val="00E4152B"/>
    <w:rsid w:val="00E42808"/>
    <w:rsid w:val="00E45ECE"/>
    <w:rsid w:val="00E46046"/>
    <w:rsid w:val="00E466EF"/>
    <w:rsid w:val="00E46FD3"/>
    <w:rsid w:val="00E50AFB"/>
    <w:rsid w:val="00E50D69"/>
    <w:rsid w:val="00E52E7E"/>
    <w:rsid w:val="00E5724B"/>
    <w:rsid w:val="00E63DE8"/>
    <w:rsid w:val="00E707B9"/>
    <w:rsid w:val="00E70A7A"/>
    <w:rsid w:val="00E71BC4"/>
    <w:rsid w:val="00E73F78"/>
    <w:rsid w:val="00E81887"/>
    <w:rsid w:val="00E8318A"/>
    <w:rsid w:val="00E873E4"/>
    <w:rsid w:val="00E944BD"/>
    <w:rsid w:val="00E95922"/>
    <w:rsid w:val="00EA09DB"/>
    <w:rsid w:val="00EA1C0F"/>
    <w:rsid w:val="00EA247F"/>
    <w:rsid w:val="00EA5003"/>
    <w:rsid w:val="00EB24BE"/>
    <w:rsid w:val="00EB5338"/>
    <w:rsid w:val="00EB6924"/>
    <w:rsid w:val="00EC032A"/>
    <w:rsid w:val="00EC0653"/>
    <w:rsid w:val="00EC0CB9"/>
    <w:rsid w:val="00EC0D38"/>
    <w:rsid w:val="00EC1150"/>
    <w:rsid w:val="00EC1548"/>
    <w:rsid w:val="00EC1890"/>
    <w:rsid w:val="00EC1A53"/>
    <w:rsid w:val="00EC4C40"/>
    <w:rsid w:val="00ED12B2"/>
    <w:rsid w:val="00ED319D"/>
    <w:rsid w:val="00ED3FCC"/>
    <w:rsid w:val="00ED6624"/>
    <w:rsid w:val="00ED69F7"/>
    <w:rsid w:val="00EE310B"/>
    <w:rsid w:val="00EE4242"/>
    <w:rsid w:val="00EE46AA"/>
    <w:rsid w:val="00EE4ED4"/>
    <w:rsid w:val="00EE5DCE"/>
    <w:rsid w:val="00EF19FF"/>
    <w:rsid w:val="00EF2630"/>
    <w:rsid w:val="00EF63F0"/>
    <w:rsid w:val="00EF7670"/>
    <w:rsid w:val="00F011DC"/>
    <w:rsid w:val="00F02DA3"/>
    <w:rsid w:val="00F0558A"/>
    <w:rsid w:val="00F06CE3"/>
    <w:rsid w:val="00F12309"/>
    <w:rsid w:val="00F15F08"/>
    <w:rsid w:val="00F20D4A"/>
    <w:rsid w:val="00F23F96"/>
    <w:rsid w:val="00F24DCA"/>
    <w:rsid w:val="00F24E3C"/>
    <w:rsid w:val="00F258EE"/>
    <w:rsid w:val="00F27EA0"/>
    <w:rsid w:val="00F304E1"/>
    <w:rsid w:val="00F31D58"/>
    <w:rsid w:val="00F31DC1"/>
    <w:rsid w:val="00F31DED"/>
    <w:rsid w:val="00F32C83"/>
    <w:rsid w:val="00F3336D"/>
    <w:rsid w:val="00F3465B"/>
    <w:rsid w:val="00F3641E"/>
    <w:rsid w:val="00F40681"/>
    <w:rsid w:val="00F414D6"/>
    <w:rsid w:val="00F45402"/>
    <w:rsid w:val="00F46FA3"/>
    <w:rsid w:val="00F5158B"/>
    <w:rsid w:val="00F51EA5"/>
    <w:rsid w:val="00F5365E"/>
    <w:rsid w:val="00F53B6D"/>
    <w:rsid w:val="00F54F04"/>
    <w:rsid w:val="00F56FDD"/>
    <w:rsid w:val="00F57A43"/>
    <w:rsid w:val="00F60EDC"/>
    <w:rsid w:val="00F61845"/>
    <w:rsid w:val="00F62188"/>
    <w:rsid w:val="00F65290"/>
    <w:rsid w:val="00F65931"/>
    <w:rsid w:val="00F66422"/>
    <w:rsid w:val="00F67FAD"/>
    <w:rsid w:val="00F733C1"/>
    <w:rsid w:val="00F74FF8"/>
    <w:rsid w:val="00F75C45"/>
    <w:rsid w:val="00F84705"/>
    <w:rsid w:val="00F84885"/>
    <w:rsid w:val="00F84898"/>
    <w:rsid w:val="00F84D19"/>
    <w:rsid w:val="00F8612B"/>
    <w:rsid w:val="00F865DD"/>
    <w:rsid w:val="00F87537"/>
    <w:rsid w:val="00F9139A"/>
    <w:rsid w:val="00F92D50"/>
    <w:rsid w:val="00F96212"/>
    <w:rsid w:val="00FA18A7"/>
    <w:rsid w:val="00FA3277"/>
    <w:rsid w:val="00FA5896"/>
    <w:rsid w:val="00FA7643"/>
    <w:rsid w:val="00FB038A"/>
    <w:rsid w:val="00FB08E7"/>
    <w:rsid w:val="00FC1507"/>
    <w:rsid w:val="00FC4073"/>
    <w:rsid w:val="00FC56F6"/>
    <w:rsid w:val="00FC73F4"/>
    <w:rsid w:val="00FD0102"/>
    <w:rsid w:val="00FD269D"/>
    <w:rsid w:val="00FD44DF"/>
    <w:rsid w:val="00FD7254"/>
    <w:rsid w:val="00FE1AE6"/>
    <w:rsid w:val="00FE2270"/>
    <w:rsid w:val="00FE3779"/>
    <w:rsid w:val="00FE6051"/>
    <w:rsid w:val="00FF0151"/>
    <w:rsid w:val="00FF0DAB"/>
    <w:rsid w:val="00FF1FCD"/>
    <w:rsid w:val="00FF3CCA"/>
    <w:rsid w:val="00FF7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4E5CDB4"/>
  <w15:docId w15:val="{58579858-0989-47E7-95FC-4A3E5A2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E4"/>
    <w:pPr>
      <w:spacing w:after="120"/>
      <w:ind w:firstLine="709"/>
      <w:jc w:val="both"/>
    </w:pPr>
    <w:rPr>
      <w:sz w:val="24"/>
      <w:lang w:eastAsia="en-US"/>
    </w:rPr>
  </w:style>
  <w:style w:type="paragraph" w:styleId="Heading1">
    <w:name w:val="heading 1"/>
    <w:basedOn w:val="Normal"/>
    <w:next w:val="Normal"/>
    <w:link w:val="Heading1Char"/>
    <w:uiPriority w:val="9"/>
    <w:rsid w:val="001B7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7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3E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E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B73E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B73EC"/>
    <w:rPr>
      <w:rFonts w:asciiTheme="majorHAnsi" w:eastAsiaTheme="majorEastAsia" w:hAnsiTheme="majorHAnsi" w:cstheme="majorBidi"/>
      <w:color w:val="243F60" w:themeColor="accent1" w:themeShade="7F"/>
      <w:sz w:val="24"/>
      <w:szCs w:val="24"/>
      <w:lang w:eastAsia="en-US"/>
    </w:rPr>
  </w:style>
  <w:style w:type="paragraph" w:styleId="Footer">
    <w:name w:val="footer"/>
    <w:basedOn w:val="Normal"/>
    <w:rsid w:val="00977512"/>
    <w:pPr>
      <w:tabs>
        <w:tab w:val="center" w:pos="4153"/>
        <w:tab w:val="right" w:pos="8306"/>
      </w:tabs>
      <w:spacing w:after="0"/>
      <w:ind w:firstLine="0"/>
    </w:pPr>
    <w:rPr>
      <w:sz w:val="20"/>
    </w:rPr>
  </w:style>
  <w:style w:type="paragraph" w:customStyle="1" w:styleId="H4">
    <w:name w:val="H4"/>
    <w:rsid w:val="005068E4"/>
    <w:pPr>
      <w:spacing w:after="120"/>
      <w:jc w:val="center"/>
      <w:outlineLvl w:val="3"/>
    </w:pPr>
    <w:rPr>
      <w:b/>
      <w:sz w:val="28"/>
      <w:lang w:eastAsia="en-US"/>
    </w:rPr>
  </w:style>
  <w:style w:type="paragraph" w:customStyle="1" w:styleId="H3">
    <w:name w:val="H3"/>
    <w:rsid w:val="005068E4"/>
    <w:pPr>
      <w:spacing w:after="120"/>
      <w:jc w:val="center"/>
      <w:outlineLvl w:val="2"/>
    </w:pPr>
    <w:rPr>
      <w:b/>
      <w:sz w:val="32"/>
      <w:lang w:eastAsia="en-US"/>
    </w:rPr>
  </w:style>
  <w:style w:type="paragraph" w:customStyle="1" w:styleId="H2">
    <w:name w:val="H2"/>
    <w:rsid w:val="005068E4"/>
    <w:pPr>
      <w:spacing w:after="120"/>
      <w:jc w:val="center"/>
      <w:outlineLvl w:val="1"/>
    </w:pPr>
    <w:rPr>
      <w:b/>
      <w:sz w:val="36"/>
      <w:lang w:eastAsia="en-US"/>
    </w:rPr>
  </w:style>
  <w:style w:type="paragraph" w:customStyle="1" w:styleId="H1">
    <w:name w:val="H1"/>
    <w:rsid w:val="005068E4"/>
    <w:pPr>
      <w:spacing w:after="120"/>
      <w:jc w:val="center"/>
      <w:outlineLvl w:val="0"/>
    </w:pPr>
    <w:rPr>
      <w:b/>
      <w:sz w:val="44"/>
      <w:lang w:eastAsia="en-US"/>
    </w:rPr>
  </w:style>
  <w:style w:type="paragraph" w:customStyle="1" w:styleId="T">
    <w:name w:val="T"/>
    <w:basedOn w:val="Normal"/>
    <w:uiPriority w:val="99"/>
    <w:rsid w:val="005068E4"/>
    <w:pPr>
      <w:keepNext/>
      <w:ind w:firstLine="0"/>
      <w:jc w:val="center"/>
    </w:pPr>
    <w:rPr>
      <w:b/>
      <w:i/>
    </w:rPr>
  </w:style>
  <w:style w:type="paragraph" w:customStyle="1" w:styleId="Z">
    <w:name w:val="Z"/>
    <w:basedOn w:val="T"/>
    <w:uiPriority w:val="99"/>
    <w:rsid w:val="005068E4"/>
    <w:pPr>
      <w:keepNext w:val="0"/>
    </w:pPr>
  </w:style>
  <w:style w:type="character" w:styleId="PageNumber">
    <w:name w:val="page number"/>
    <w:basedOn w:val="DefaultParagraphFont"/>
    <w:rsid w:val="00977512"/>
  </w:style>
  <w:style w:type="paragraph" w:styleId="Header">
    <w:name w:val="header"/>
    <w:basedOn w:val="Normal"/>
    <w:link w:val="HeaderChar"/>
    <w:uiPriority w:val="99"/>
    <w:rsid w:val="00977512"/>
    <w:pPr>
      <w:tabs>
        <w:tab w:val="center" w:pos="4153"/>
        <w:tab w:val="right" w:pos="8306"/>
      </w:tabs>
      <w:spacing w:after="0"/>
      <w:ind w:firstLine="0"/>
    </w:pPr>
  </w:style>
  <w:style w:type="character" w:customStyle="1" w:styleId="HeaderChar">
    <w:name w:val="Header Char"/>
    <w:basedOn w:val="DefaultParagraphFont"/>
    <w:link w:val="Header"/>
    <w:uiPriority w:val="99"/>
    <w:rsid w:val="009F48B2"/>
    <w:rPr>
      <w:sz w:val="24"/>
      <w:lang w:eastAsia="en-US"/>
    </w:rPr>
  </w:style>
  <w:style w:type="paragraph" w:styleId="FootnoteText">
    <w:name w:val="footnote text"/>
    <w:aliases w:val="Footnote,Fußnote,Fußnote Char Char Char"/>
    <w:basedOn w:val="Normal"/>
    <w:link w:val="FootnoteTextChar"/>
    <w:uiPriority w:val="99"/>
    <w:rsid w:val="00977512"/>
    <w:pPr>
      <w:spacing w:after="0"/>
      <w:ind w:firstLine="0"/>
      <w:jc w:val="left"/>
    </w:pPr>
    <w:rPr>
      <w:sz w:val="20"/>
    </w:rPr>
  </w:style>
  <w:style w:type="character" w:customStyle="1" w:styleId="FootnoteTextChar">
    <w:name w:val="Footnote Text Char"/>
    <w:aliases w:val="Footnote Char,Fußnote Char,Fußnote Char Char Char Char"/>
    <w:basedOn w:val="DefaultParagraphFont"/>
    <w:link w:val="FootnoteText"/>
    <w:uiPriority w:val="99"/>
    <w:rsid w:val="00DD0DAF"/>
    <w:rPr>
      <w:lang w:eastAsia="en-US"/>
    </w:rPr>
  </w:style>
  <w:style w:type="paragraph" w:customStyle="1" w:styleId="tabteksts">
    <w:name w:val="tab_teksts"/>
    <w:basedOn w:val="Normal"/>
    <w:qFormat/>
    <w:rsid w:val="005068E4"/>
    <w:pPr>
      <w:spacing w:after="0"/>
      <w:ind w:firstLine="0"/>
      <w:jc w:val="left"/>
    </w:pPr>
    <w:rPr>
      <w:sz w:val="18"/>
    </w:rPr>
  </w:style>
  <w:style w:type="paragraph" w:customStyle="1" w:styleId="BalloonText1">
    <w:name w:val="Balloon Text1"/>
    <w:basedOn w:val="Normal"/>
    <w:semiHidden/>
    <w:rsid w:val="00977512"/>
    <w:rPr>
      <w:rFonts w:ascii="Tahoma" w:hAnsi="Tahoma" w:cs="Tahoma"/>
      <w:sz w:val="16"/>
      <w:szCs w:val="16"/>
    </w:rPr>
  </w:style>
  <w:style w:type="paragraph" w:styleId="BalloonText">
    <w:name w:val="Balloon Text"/>
    <w:basedOn w:val="Normal"/>
    <w:semiHidden/>
    <w:rsid w:val="00977512"/>
    <w:rPr>
      <w:rFonts w:ascii="Tahoma" w:hAnsi="Tahoma" w:cs="Tahoma"/>
      <w:sz w:val="16"/>
      <w:szCs w:val="16"/>
    </w:rPr>
  </w:style>
  <w:style w:type="table" w:styleId="TableGrid">
    <w:name w:val="Table Grid"/>
    <w:basedOn w:val="TableNormal"/>
    <w:uiPriority w:val="39"/>
    <w:rsid w:val="00F2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
    <w:basedOn w:val="DefaultParagraphFont"/>
    <w:uiPriority w:val="99"/>
    <w:unhideWhenUsed/>
    <w:rsid w:val="00881947"/>
    <w:rPr>
      <w:vertAlign w:val="superscript"/>
    </w:rPr>
  </w:style>
  <w:style w:type="paragraph" w:styleId="EndnoteText">
    <w:name w:val="endnote text"/>
    <w:basedOn w:val="Normal"/>
    <w:link w:val="EndnoteTextChar"/>
    <w:uiPriority w:val="99"/>
    <w:semiHidden/>
    <w:unhideWhenUsed/>
    <w:rsid w:val="00131D32"/>
    <w:pPr>
      <w:spacing w:after="0"/>
    </w:pPr>
    <w:rPr>
      <w:sz w:val="20"/>
    </w:rPr>
  </w:style>
  <w:style w:type="character" w:customStyle="1" w:styleId="EndnoteTextChar">
    <w:name w:val="Endnote Text Char"/>
    <w:basedOn w:val="DefaultParagraphFont"/>
    <w:link w:val="EndnoteText"/>
    <w:uiPriority w:val="99"/>
    <w:semiHidden/>
    <w:rsid w:val="00131D32"/>
    <w:rPr>
      <w:lang w:eastAsia="en-US"/>
    </w:rPr>
  </w:style>
  <w:style w:type="character" w:styleId="EndnoteReference">
    <w:name w:val="endnote reference"/>
    <w:basedOn w:val="DefaultParagraphFont"/>
    <w:uiPriority w:val="99"/>
    <w:semiHidden/>
    <w:unhideWhenUsed/>
    <w:rsid w:val="00131D32"/>
    <w:rPr>
      <w:vertAlign w:val="superscript"/>
    </w:rPr>
  </w:style>
  <w:style w:type="paragraph" w:styleId="CommentText">
    <w:name w:val="annotation text"/>
    <w:basedOn w:val="Normal"/>
    <w:link w:val="CommentTextChar"/>
    <w:uiPriority w:val="99"/>
    <w:unhideWhenUsed/>
    <w:rsid w:val="009A7BE8"/>
    <w:rPr>
      <w:sz w:val="20"/>
    </w:rPr>
  </w:style>
  <w:style w:type="character" w:customStyle="1" w:styleId="CommentTextChar">
    <w:name w:val="Comment Text Char"/>
    <w:basedOn w:val="DefaultParagraphFont"/>
    <w:link w:val="CommentText"/>
    <w:uiPriority w:val="99"/>
    <w:rsid w:val="009A7BE8"/>
    <w:rPr>
      <w:lang w:eastAsia="en-US"/>
    </w:rPr>
  </w:style>
  <w:style w:type="paragraph" w:customStyle="1" w:styleId="funkcijas">
    <w:name w:val="funkcijas"/>
    <w:basedOn w:val="Normal"/>
    <w:qFormat/>
    <w:rsid w:val="005068E4"/>
    <w:pPr>
      <w:ind w:firstLine="0"/>
    </w:pPr>
    <w:rPr>
      <w:bCs/>
      <w:u w:val="single"/>
    </w:rPr>
  </w:style>
  <w:style w:type="paragraph" w:customStyle="1" w:styleId="Funkcijasbold">
    <w:name w:val="Funkcijas_bold"/>
    <w:basedOn w:val="Normal"/>
    <w:qFormat/>
    <w:rsid w:val="005068E4"/>
    <w:pPr>
      <w:ind w:firstLine="0"/>
    </w:pPr>
    <w:rPr>
      <w:b/>
      <w:bCs/>
    </w:rPr>
  </w:style>
  <w:style w:type="paragraph" w:customStyle="1" w:styleId="izdevumi">
    <w:name w:val="izdevumi"/>
    <w:basedOn w:val="Normal"/>
    <w:qFormat/>
    <w:rsid w:val="005068E4"/>
    <w:pPr>
      <w:widowControl w:val="0"/>
      <w:spacing w:before="120"/>
      <w:ind w:left="567" w:firstLine="0"/>
    </w:pPr>
    <w:rPr>
      <w:i/>
    </w:rPr>
  </w:style>
  <w:style w:type="paragraph" w:customStyle="1" w:styleId="paraksti">
    <w:name w:val="paraksti"/>
    <w:basedOn w:val="Normal"/>
    <w:qFormat/>
    <w:rsid w:val="005068E4"/>
    <w:pPr>
      <w:ind w:firstLine="0"/>
    </w:pPr>
    <w:rPr>
      <w:i/>
      <w:sz w:val="18"/>
    </w:rPr>
  </w:style>
  <w:style w:type="paragraph" w:customStyle="1" w:styleId="programmas">
    <w:name w:val="programmas"/>
    <w:basedOn w:val="Normal"/>
    <w:qFormat/>
    <w:rsid w:val="005068E4"/>
    <w:pPr>
      <w:widowControl w:val="0"/>
      <w:spacing w:before="240"/>
      <w:ind w:firstLine="0"/>
      <w:jc w:val="center"/>
    </w:pPr>
    <w:rPr>
      <w:b/>
      <w:lang w:val="en-US"/>
    </w:rPr>
  </w:style>
  <w:style w:type="paragraph" w:customStyle="1" w:styleId="samazpaliel">
    <w:name w:val="samaz_paliel"/>
    <w:basedOn w:val="Normal"/>
    <w:qFormat/>
    <w:rsid w:val="005068E4"/>
    <w:pPr>
      <w:widowControl w:val="0"/>
      <w:ind w:firstLine="0"/>
    </w:pPr>
    <w:rPr>
      <w:b/>
      <w:u w:val="single"/>
    </w:rPr>
  </w:style>
  <w:style w:type="paragraph" w:customStyle="1" w:styleId="Tabuluvirsraksti">
    <w:name w:val="Tabulu_virsraksti"/>
    <w:basedOn w:val="Normal"/>
    <w:qFormat/>
    <w:rsid w:val="005068E4"/>
    <w:pPr>
      <w:ind w:firstLine="0"/>
      <w:jc w:val="center"/>
    </w:p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1B73EC"/>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D20C53"/>
    <w:rPr>
      <w:sz w:val="24"/>
      <w:lang w:eastAsia="en-US"/>
    </w:rPr>
  </w:style>
  <w:style w:type="character" w:styleId="Hyperlink">
    <w:name w:val="Hyperlink"/>
    <w:basedOn w:val="DefaultParagraphFont"/>
    <w:uiPriority w:val="99"/>
    <w:unhideWhenUsed/>
    <w:rsid w:val="00046E7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46E7F"/>
    <w:rPr>
      <w:b/>
      <w:bCs/>
    </w:rPr>
  </w:style>
  <w:style w:type="character" w:customStyle="1" w:styleId="CommentSubjectChar">
    <w:name w:val="Comment Subject Char"/>
    <w:basedOn w:val="CommentTextChar"/>
    <w:link w:val="CommentSubject"/>
    <w:uiPriority w:val="99"/>
    <w:semiHidden/>
    <w:rsid w:val="00046E7F"/>
    <w:rPr>
      <w:b/>
      <w:bCs/>
      <w:lang w:eastAsia="en-US"/>
    </w:rPr>
  </w:style>
  <w:style w:type="paragraph" w:styleId="NormalWeb">
    <w:name w:val="Normal (Web)"/>
    <w:basedOn w:val="Normal"/>
    <w:uiPriority w:val="99"/>
    <w:semiHidden/>
    <w:unhideWhenUsed/>
    <w:rsid w:val="001952BA"/>
    <w:pPr>
      <w:spacing w:before="100" w:beforeAutospacing="1" w:after="100" w:afterAutospacing="1"/>
      <w:ind w:firstLine="0"/>
      <w:jc w:val="left"/>
    </w:pPr>
    <w:rPr>
      <w:szCs w:val="24"/>
      <w:lang w:eastAsia="lv-LV"/>
    </w:rPr>
  </w:style>
  <w:style w:type="paragraph" w:styleId="BodyText">
    <w:name w:val="Body Text"/>
    <w:basedOn w:val="Normal"/>
    <w:link w:val="BodyTextChar"/>
    <w:uiPriority w:val="1"/>
    <w:qFormat/>
    <w:rsid w:val="005A4908"/>
    <w:pPr>
      <w:widowControl w:val="0"/>
      <w:autoSpaceDE w:val="0"/>
      <w:autoSpaceDN w:val="0"/>
      <w:spacing w:after="0"/>
      <w:ind w:firstLine="0"/>
      <w:jc w:val="left"/>
    </w:pPr>
    <w:rPr>
      <w:szCs w:val="24"/>
      <w:lang w:eastAsia="lv-LV" w:bidi="lv-LV"/>
    </w:rPr>
  </w:style>
  <w:style w:type="character" w:customStyle="1" w:styleId="BodyTextChar">
    <w:name w:val="Body Text Char"/>
    <w:basedOn w:val="DefaultParagraphFont"/>
    <w:link w:val="BodyText"/>
    <w:uiPriority w:val="1"/>
    <w:rsid w:val="005A4908"/>
    <w:rPr>
      <w:sz w:val="24"/>
      <w:szCs w:val="24"/>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556">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
    <w:div w:id="138884154">
      <w:bodyDiv w:val="1"/>
      <w:marLeft w:val="0"/>
      <w:marRight w:val="0"/>
      <w:marTop w:val="0"/>
      <w:marBottom w:val="0"/>
      <w:divBdr>
        <w:top w:val="none" w:sz="0" w:space="0" w:color="auto"/>
        <w:left w:val="none" w:sz="0" w:space="0" w:color="auto"/>
        <w:bottom w:val="none" w:sz="0" w:space="0" w:color="auto"/>
        <w:right w:val="none" w:sz="0" w:space="0" w:color="auto"/>
      </w:divBdr>
    </w:div>
    <w:div w:id="262883669">
      <w:bodyDiv w:val="1"/>
      <w:marLeft w:val="0"/>
      <w:marRight w:val="0"/>
      <w:marTop w:val="0"/>
      <w:marBottom w:val="0"/>
      <w:divBdr>
        <w:top w:val="none" w:sz="0" w:space="0" w:color="auto"/>
        <w:left w:val="none" w:sz="0" w:space="0" w:color="auto"/>
        <w:bottom w:val="none" w:sz="0" w:space="0" w:color="auto"/>
        <w:right w:val="none" w:sz="0" w:space="0" w:color="auto"/>
      </w:divBdr>
    </w:div>
    <w:div w:id="351037250">
      <w:bodyDiv w:val="1"/>
      <w:marLeft w:val="0"/>
      <w:marRight w:val="0"/>
      <w:marTop w:val="0"/>
      <w:marBottom w:val="0"/>
      <w:divBdr>
        <w:top w:val="none" w:sz="0" w:space="0" w:color="auto"/>
        <w:left w:val="none" w:sz="0" w:space="0" w:color="auto"/>
        <w:bottom w:val="none" w:sz="0" w:space="0" w:color="auto"/>
        <w:right w:val="none" w:sz="0" w:space="0" w:color="auto"/>
      </w:divBdr>
    </w:div>
    <w:div w:id="405107043">
      <w:bodyDiv w:val="1"/>
      <w:marLeft w:val="0"/>
      <w:marRight w:val="0"/>
      <w:marTop w:val="0"/>
      <w:marBottom w:val="0"/>
      <w:divBdr>
        <w:top w:val="none" w:sz="0" w:space="0" w:color="auto"/>
        <w:left w:val="none" w:sz="0" w:space="0" w:color="auto"/>
        <w:bottom w:val="none" w:sz="0" w:space="0" w:color="auto"/>
        <w:right w:val="none" w:sz="0" w:space="0" w:color="auto"/>
      </w:divBdr>
    </w:div>
    <w:div w:id="420377936">
      <w:bodyDiv w:val="1"/>
      <w:marLeft w:val="0"/>
      <w:marRight w:val="0"/>
      <w:marTop w:val="0"/>
      <w:marBottom w:val="0"/>
      <w:divBdr>
        <w:top w:val="none" w:sz="0" w:space="0" w:color="auto"/>
        <w:left w:val="none" w:sz="0" w:space="0" w:color="auto"/>
        <w:bottom w:val="none" w:sz="0" w:space="0" w:color="auto"/>
        <w:right w:val="none" w:sz="0" w:space="0" w:color="auto"/>
      </w:divBdr>
    </w:div>
    <w:div w:id="430903372">
      <w:bodyDiv w:val="1"/>
      <w:marLeft w:val="0"/>
      <w:marRight w:val="0"/>
      <w:marTop w:val="0"/>
      <w:marBottom w:val="0"/>
      <w:divBdr>
        <w:top w:val="none" w:sz="0" w:space="0" w:color="auto"/>
        <w:left w:val="none" w:sz="0" w:space="0" w:color="auto"/>
        <w:bottom w:val="none" w:sz="0" w:space="0" w:color="auto"/>
        <w:right w:val="none" w:sz="0" w:space="0" w:color="auto"/>
      </w:divBdr>
    </w:div>
    <w:div w:id="475336791">
      <w:bodyDiv w:val="1"/>
      <w:marLeft w:val="0"/>
      <w:marRight w:val="0"/>
      <w:marTop w:val="0"/>
      <w:marBottom w:val="0"/>
      <w:divBdr>
        <w:top w:val="none" w:sz="0" w:space="0" w:color="auto"/>
        <w:left w:val="none" w:sz="0" w:space="0" w:color="auto"/>
        <w:bottom w:val="none" w:sz="0" w:space="0" w:color="auto"/>
        <w:right w:val="none" w:sz="0" w:space="0" w:color="auto"/>
      </w:divBdr>
    </w:div>
    <w:div w:id="505167166">
      <w:bodyDiv w:val="1"/>
      <w:marLeft w:val="0"/>
      <w:marRight w:val="0"/>
      <w:marTop w:val="0"/>
      <w:marBottom w:val="0"/>
      <w:divBdr>
        <w:top w:val="none" w:sz="0" w:space="0" w:color="auto"/>
        <w:left w:val="none" w:sz="0" w:space="0" w:color="auto"/>
        <w:bottom w:val="none" w:sz="0" w:space="0" w:color="auto"/>
        <w:right w:val="none" w:sz="0" w:space="0" w:color="auto"/>
      </w:divBdr>
    </w:div>
    <w:div w:id="533232111">
      <w:bodyDiv w:val="1"/>
      <w:marLeft w:val="0"/>
      <w:marRight w:val="0"/>
      <w:marTop w:val="0"/>
      <w:marBottom w:val="0"/>
      <w:divBdr>
        <w:top w:val="none" w:sz="0" w:space="0" w:color="auto"/>
        <w:left w:val="none" w:sz="0" w:space="0" w:color="auto"/>
        <w:bottom w:val="none" w:sz="0" w:space="0" w:color="auto"/>
        <w:right w:val="none" w:sz="0" w:space="0" w:color="auto"/>
      </w:divBdr>
    </w:div>
    <w:div w:id="552162225">
      <w:bodyDiv w:val="1"/>
      <w:marLeft w:val="0"/>
      <w:marRight w:val="0"/>
      <w:marTop w:val="0"/>
      <w:marBottom w:val="0"/>
      <w:divBdr>
        <w:top w:val="none" w:sz="0" w:space="0" w:color="auto"/>
        <w:left w:val="none" w:sz="0" w:space="0" w:color="auto"/>
        <w:bottom w:val="none" w:sz="0" w:space="0" w:color="auto"/>
        <w:right w:val="none" w:sz="0" w:space="0" w:color="auto"/>
      </w:divBdr>
    </w:div>
    <w:div w:id="767309626">
      <w:bodyDiv w:val="1"/>
      <w:marLeft w:val="0"/>
      <w:marRight w:val="0"/>
      <w:marTop w:val="0"/>
      <w:marBottom w:val="0"/>
      <w:divBdr>
        <w:top w:val="none" w:sz="0" w:space="0" w:color="auto"/>
        <w:left w:val="none" w:sz="0" w:space="0" w:color="auto"/>
        <w:bottom w:val="none" w:sz="0" w:space="0" w:color="auto"/>
        <w:right w:val="none" w:sz="0" w:space="0" w:color="auto"/>
      </w:divBdr>
    </w:div>
    <w:div w:id="780418143">
      <w:bodyDiv w:val="1"/>
      <w:marLeft w:val="0"/>
      <w:marRight w:val="0"/>
      <w:marTop w:val="0"/>
      <w:marBottom w:val="0"/>
      <w:divBdr>
        <w:top w:val="none" w:sz="0" w:space="0" w:color="auto"/>
        <w:left w:val="none" w:sz="0" w:space="0" w:color="auto"/>
        <w:bottom w:val="none" w:sz="0" w:space="0" w:color="auto"/>
        <w:right w:val="none" w:sz="0" w:space="0" w:color="auto"/>
      </w:divBdr>
    </w:div>
    <w:div w:id="811293612">
      <w:bodyDiv w:val="1"/>
      <w:marLeft w:val="0"/>
      <w:marRight w:val="0"/>
      <w:marTop w:val="0"/>
      <w:marBottom w:val="0"/>
      <w:divBdr>
        <w:top w:val="none" w:sz="0" w:space="0" w:color="auto"/>
        <w:left w:val="none" w:sz="0" w:space="0" w:color="auto"/>
        <w:bottom w:val="none" w:sz="0" w:space="0" w:color="auto"/>
        <w:right w:val="none" w:sz="0" w:space="0" w:color="auto"/>
      </w:divBdr>
    </w:div>
    <w:div w:id="910968073">
      <w:bodyDiv w:val="1"/>
      <w:marLeft w:val="0"/>
      <w:marRight w:val="0"/>
      <w:marTop w:val="0"/>
      <w:marBottom w:val="0"/>
      <w:divBdr>
        <w:top w:val="none" w:sz="0" w:space="0" w:color="auto"/>
        <w:left w:val="none" w:sz="0" w:space="0" w:color="auto"/>
        <w:bottom w:val="none" w:sz="0" w:space="0" w:color="auto"/>
        <w:right w:val="none" w:sz="0" w:space="0" w:color="auto"/>
      </w:divBdr>
    </w:div>
    <w:div w:id="912086294">
      <w:bodyDiv w:val="1"/>
      <w:marLeft w:val="0"/>
      <w:marRight w:val="0"/>
      <w:marTop w:val="0"/>
      <w:marBottom w:val="0"/>
      <w:divBdr>
        <w:top w:val="none" w:sz="0" w:space="0" w:color="auto"/>
        <w:left w:val="none" w:sz="0" w:space="0" w:color="auto"/>
        <w:bottom w:val="none" w:sz="0" w:space="0" w:color="auto"/>
        <w:right w:val="none" w:sz="0" w:space="0" w:color="auto"/>
      </w:divBdr>
    </w:div>
    <w:div w:id="973484375">
      <w:bodyDiv w:val="1"/>
      <w:marLeft w:val="0"/>
      <w:marRight w:val="0"/>
      <w:marTop w:val="0"/>
      <w:marBottom w:val="0"/>
      <w:divBdr>
        <w:top w:val="none" w:sz="0" w:space="0" w:color="auto"/>
        <w:left w:val="none" w:sz="0" w:space="0" w:color="auto"/>
        <w:bottom w:val="none" w:sz="0" w:space="0" w:color="auto"/>
        <w:right w:val="none" w:sz="0" w:space="0" w:color="auto"/>
      </w:divBdr>
    </w:div>
    <w:div w:id="977295454">
      <w:bodyDiv w:val="1"/>
      <w:marLeft w:val="0"/>
      <w:marRight w:val="0"/>
      <w:marTop w:val="0"/>
      <w:marBottom w:val="0"/>
      <w:divBdr>
        <w:top w:val="none" w:sz="0" w:space="0" w:color="auto"/>
        <w:left w:val="none" w:sz="0" w:space="0" w:color="auto"/>
        <w:bottom w:val="none" w:sz="0" w:space="0" w:color="auto"/>
        <w:right w:val="none" w:sz="0" w:space="0" w:color="auto"/>
      </w:divBdr>
    </w:div>
    <w:div w:id="980309391">
      <w:bodyDiv w:val="1"/>
      <w:marLeft w:val="0"/>
      <w:marRight w:val="0"/>
      <w:marTop w:val="0"/>
      <w:marBottom w:val="0"/>
      <w:divBdr>
        <w:top w:val="none" w:sz="0" w:space="0" w:color="auto"/>
        <w:left w:val="none" w:sz="0" w:space="0" w:color="auto"/>
        <w:bottom w:val="none" w:sz="0" w:space="0" w:color="auto"/>
        <w:right w:val="none" w:sz="0" w:space="0" w:color="auto"/>
      </w:divBdr>
    </w:div>
    <w:div w:id="988830195">
      <w:bodyDiv w:val="1"/>
      <w:marLeft w:val="0"/>
      <w:marRight w:val="0"/>
      <w:marTop w:val="0"/>
      <w:marBottom w:val="0"/>
      <w:divBdr>
        <w:top w:val="none" w:sz="0" w:space="0" w:color="auto"/>
        <w:left w:val="none" w:sz="0" w:space="0" w:color="auto"/>
        <w:bottom w:val="none" w:sz="0" w:space="0" w:color="auto"/>
        <w:right w:val="none" w:sz="0" w:space="0" w:color="auto"/>
      </w:divBdr>
    </w:div>
    <w:div w:id="997153122">
      <w:bodyDiv w:val="1"/>
      <w:marLeft w:val="0"/>
      <w:marRight w:val="0"/>
      <w:marTop w:val="0"/>
      <w:marBottom w:val="0"/>
      <w:divBdr>
        <w:top w:val="none" w:sz="0" w:space="0" w:color="auto"/>
        <w:left w:val="none" w:sz="0" w:space="0" w:color="auto"/>
        <w:bottom w:val="none" w:sz="0" w:space="0" w:color="auto"/>
        <w:right w:val="none" w:sz="0" w:space="0" w:color="auto"/>
      </w:divBdr>
    </w:div>
    <w:div w:id="1006982210">
      <w:bodyDiv w:val="1"/>
      <w:marLeft w:val="0"/>
      <w:marRight w:val="0"/>
      <w:marTop w:val="0"/>
      <w:marBottom w:val="0"/>
      <w:divBdr>
        <w:top w:val="none" w:sz="0" w:space="0" w:color="auto"/>
        <w:left w:val="none" w:sz="0" w:space="0" w:color="auto"/>
        <w:bottom w:val="none" w:sz="0" w:space="0" w:color="auto"/>
        <w:right w:val="none" w:sz="0" w:space="0" w:color="auto"/>
      </w:divBdr>
    </w:div>
    <w:div w:id="1011644879">
      <w:bodyDiv w:val="1"/>
      <w:marLeft w:val="0"/>
      <w:marRight w:val="0"/>
      <w:marTop w:val="0"/>
      <w:marBottom w:val="0"/>
      <w:divBdr>
        <w:top w:val="none" w:sz="0" w:space="0" w:color="auto"/>
        <w:left w:val="none" w:sz="0" w:space="0" w:color="auto"/>
        <w:bottom w:val="none" w:sz="0" w:space="0" w:color="auto"/>
        <w:right w:val="none" w:sz="0" w:space="0" w:color="auto"/>
      </w:divBdr>
    </w:div>
    <w:div w:id="1078674701">
      <w:bodyDiv w:val="1"/>
      <w:marLeft w:val="0"/>
      <w:marRight w:val="0"/>
      <w:marTop w:val="0"/>
      <w:marBottom w:val="0"/>
      <w:divBdr>
        <w:top w:val="none" w:sz="0" w:space="0" w:color="auto"/>
        <w:left w:val="none" w:sz="0" w:space="0" w:color="auto"/>
        <w:bottom w:val="none" w:sz="0" w:space="0" w:color="auto"/>
        <w:right w:val="none" w:sz="0" w:space="0" w:color="auto"/>
      </w:divBdr>
    </w:div>
    <w:div w:id="1115976285">
      <w:bodyDiv w:val="1"/>
      <w:marLeft w:val="0"/>
      <w:marRight w:val="0"/>
      <w:marTop w:val="0"/>
      <w:marBottom w:val="0"/>
      <w:divBdr>
        <w:top w:val="none" w:sz="0" w:space="0" w:color="auto"/>
        <w:left w:val="none" w:sz="0" w:space="0" w:color="auto"/>
        <w:bottom w:val="none" w:sz="0" w:space="0" w:color="auto"/>
        <w:right w:val="none" w:sz="0" w:space="0" w:color="auto"/>
      </w:divBdr>
    </w:div>
    <w:div w:id="1211962919">
      <w:bodyDiv w:val="1"/>
      <w:marLeft w:val="0"/>
      <w:marRight w:val="0"/>
      <w:marTop w:val="0"/>
      <w:marBottom w:val="0"/>
      <w:divBdr>
        <w:top w:val="none" w:sz="0" w:space="0" w:color="auto"/>
        <w:left w:val="none" w:sz="0" w:space="0" w:color="auto"/>
        <w:bottom w:val="none" w:sz="0" w:space="0" w:color="auto"/>
        <w:right w:val="none" w:sz="0" w:space="0" w:color="auto"/>
      </w:divBdr>
    </w:div>
    <w:div w:id="1219510770">
      <w:bodyDiv w:val="1"/>
      <w:marLeft w:val="0"/>
      <w:marRight w:val="0"/>
      <w:marTop w:val="0"/>
      <w:marBottom w:val="0"/>
      <w:divBdr>
        <w:top w:val="none" w:sz="0" w:space="0" w:color="auto"/>
        <w:left w:val="none" w:sz="0" w:space="0" w:color="auto"/>
        <w:bottom w:val="none" w:sz="0" w:space="0" w:color="auto"/>
        <w:right w:val="none" w:sz="0" w:space="0" w:color="auto"/>
      </w:divBdr>
    </w:div>
    <w:div w:id="1292325838">
      <w:bodyDiv w:val="1"/>
      <w:marLeft w:val="0"/>
      <w:marRight w:val="0"/>
      <w:marTop w:val="0"/>
      <w:marBottom w:val="0"/>
      <w:divBdr>
        <w:top w:val="none" w:sz="0" w:space="0" w:color="auto"/>
        <w:left w:val="none" w:sz="0" w:space="0" w:color="auto"/>
        <w:bottom w:val="none" w:sz="0" w:space="0" w:color="auto"/>
        <w:right w:val="none" w:sz="0" w:space="0" w:color="auto"/>
      </w:divBdr>
    </w:div>
    <w:div w:id="1318606789">
      <w:bodyDiv w:val="1"/>
      <w:marLeft w:val="0"/>
      <w:marRight w:val="0"/>
      <w:marTop w:val="0"/>
      <w:marBottom w:val="0"/>
      <w:divBdr>
        <w:top w:val="none" w:sz="0" w:space="0" w:color="auto"/>
        <w:left w:val="none" w:sz="0" w:space="0" w:color="auto"/>
        <w:bottom w:val="none" w:sz="0" w:space="0" w:color="auto"/>
        <w:right w:val="none" w:sz="0" w:space="0" w:color="auto"/>
      </w:divBdr>
    </w:div>
    <w:div w:id="1354577367">
      <w:bodyDiv w:val="1"/>
      <w:marLeft w:val="0"/>
      <w:marRight w:val="0"/>
      <w:marTop w:val="0"/>
      <w:marBottom w:val="0"/>
      <w:divBdr>
        <w:top w:val="none" w:sz="0" w:space="0" w:color="auto"/>
        <w:left w:val="none" w:sz="0" w:space="0" w:color="auto"/>
        <w:bottom w:val="none" w:sz="0" w:space="0" w:color="auto"/>
        <w:right w:val="none" w:sz="0" w:space="0" w:color="auto"/>
      </w:divBdr>
    </w:div>
    <w:div w:id="1665283794">
      <w:bodyDiv w:val="1"/>
      <w:marLeft w:val="0"/>
      <w:marRight w:val="0"/>
      <w:marTop w:val="0"/>
      <w:marBottom w:val="0"/>
      <w:divBdr>
        <w:top w:val="none" w:sz="0" w:space="0" w:color="auto"/>
        <w:left w:val="none" w:sz="0" w:space="0" w:color="auto"/>
        <w:bottom w:val="none" w:sz="0" w:space="0" w:color="auto"/>
        <w:right w:val="none" w:sz="0" w:space="0" w:color="auto"/>
      </w:divBdr>
    </w:div>
    <w:div w:id="1678533496">
      <w:bodyDiv w:val="1"/>
      <w:marLeft w:val="0"/>
      <w:marRight w:val="0"/>
      <w:marTop w:val="0"/>
      <w:marBottom w:val="0"/>
      <w:divBdr>
        <w:top w:val="none" w:sz="0" w:space="0" w:color="auto"/>
        <w:left w:val="none" w:sz="0" w:space="0" w:color="auto"/>
        <w:bottom w:val="none" w:sz="0" w:space="0" w:color="auto"/>
        <w:right w:val="none" w:sz="0" w:space="0" w:color="auto"/>
      </w:divBdr>
    </w:div>
    <w:div w:id="1986660274">
      <w:bodyDiv w:val="1"/>
      <w:marLeft w:val="0"/>
      <w:marRight w:val="0"/>
      <w:marTop w:val="0"/>
      <w:marBottom w:val="0"/>
      <w:divBdr>
        <w:top w:val="none" w:sz="0" w:space="0" w:color="auto"/>
        <w:left w:val="none" w:sz="0" w:space="0" w:color="auto"/>
        <w:bottom w:val="none" w:sz="0" w:space="0" w:color="auto"/>
        <w:right w:val="none" w:sz="0" w:space="0" w:color="auto"/>
      </w:divBdr>
    </w:div>
    <w:div w:id="2006081695">
      <w:bodyDiv w:val="1"/>
      <w:marLeft w:val="0"/>
      <w:marRight w:val="0"/>
      <w:marTop w:val="0"/>
      <w:marBottom w:val="0"/>
      <w:divBdr>
        <w:top w:val="none" w:sz="0" w:space="0" w:color="auto"/>
        <w:left w:val="none" w:sz="0" w:space="0" w:color="auto"/>
        <w:bottom w:val="none" w:sz="0" w:space="0" w:color="auto"/>
        <w:right w:val="none" w:sz="0" w:space="0" w:color="auto"/>
      </w:divBdr>
    </w:div>
    <w:div w:id="2135560164">
      <w:bodyDiv w:val="1"/>
      <w:marLeft w:val="0"/>
      <w:marRight w:val="0"/>
      <w:marTop w:val="0"/>
      <w:marBottom w:val="0"/>
      <w:divBdr>
        <w:top w:val="none" w:sz="0" w:space="0" w:color="auto"/>
        <w:left w:val="none" w:sz="0" w:space="0" w:color="auto"/>
        <w:bottom w:val="none" w:sz="0" w:space="0" w:color="auto"/>
        <w:right w:val="none" w:sz="0" w:space="0" w:color="auto"/>
      </w:divBdr>
    </w:div>
    <w:div w:id="2136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637C-872D-41FE-A526-73067865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110</TotalTime>
  <Pages>13</Pages>
  <Words>5112</Words>
  <Characters>32549</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Likuma "Par valsts budžetu 2021.gadam" paskaidrojumi, 2.nodaļa Fiskālais apskats</vt:lpstr>
    </vt:vector>
  </TitlesOfParts>
  <Company>Finanšu ministrija</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2.nodaļa Fiskālais apskats</dc:title>
  <dc:subject>paskaidrojuma raksts</dc:subject>
  <dc:creator>mara.allena@fm.gov.lv</dc:creator>
  <dc:description>67083912,
mara.allena@fm.gov.lv</dc:description>
  <cp:lastModifiedBy>Dace Godiņa</cp:lastModifiedBy>
  <cp:revision>42</cp:revision>
  <cp:lastPrinted>2016-10-03T05:11:00Z</cp:lastPrinted>
  <dcterms:created xsi:type="dcterms:W3CDTF">2019-05-07T11:40:00Z</dcterms:created>
  <dcterms:modified xsi:type="dcterms:W3CDTF">2020-10-12T08:46:00Z</dcterms:modified>
</cp:coreProperties>
</file>